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15DB1" w14:textId="6CD33FA3" w:rsidR="008D0475" w:rsidRDefault="008D0475" w:rsidP="008D0475">
      <w:pPr>
        <w:spacing w:after="0" w:line="240" w:lineRule="auto"/>
        <w:jc w:val="center"/>
        <w:rPr>
          <w:rFonts w:ascii="Times New Roman" w:hAnsi="Times New Roman" w:cs="Times New Roman"/>
        </w:rPr>
      </w:pPr>
      <w:r>
        <w:rPr>
          <w:rFonts w:ascii="Times New Roman" w:hAnsi="Times New Roman" w:cs="Times New Roman"/>
        </w:rPr>
        <w:t>BEFORE THE PUBLIC SERVICE COMMISSION</w:t>
      </w:r>
    </w:p>
    <w:p w14:paraId="31B0FE9C" w14:textId="6E246ED3" w:rsidR="008D0475" w:rsidRDefault="008D0475" w:rsidP="008D0475">
      <w:pPr>
        <w:spacing w:after="0" w:line="240" w:lineRule="auto"/>
        <w:jc w:val="center"/>
        <w:rPr>
          <w:rFonts w:ascii="Times New Roman" w:hAnsi="Times New Roman" w:cs="Times New Roman"/>
        </w:rPr>
      </w:pPr>
    </w:p>
    <w:p w14:paraId="06BC91C9" w14:textId="5C25F39A" w:rsidR="008D0475" w:rsidRDefault="008D0475" w:rsidP="008D0475">
      <w:pPr>
        <w:spacing w:after="0" w:line="240" w:lineRule="auto"/>
        <w:jc w:val="center"/>
        <w:rPr>
          <w:rFonts w:ascii="Times New Roman" w:hAnsi="Times New Roman" w:cs="Times New Roman"/>
        </w:rPr>
      </w:pPr>
      <w:r>
        <w:rPr>
          <w:rFonts w:ascii="Times New Roman" w:hAnsi="Times New Roman" w:cs="Times New Roman"/>
        </w:rPr>
        <w:t>STATE OF GEORGIA</w:t>
      </w:r>
    </w:p>
    <w:p w14:paraId="59E9FADC" w14:textId="0049BEBD" w:rsidR="008D0475" w:rsidRDefault="008D0475" w:rsidP="008D0475">
      <w:pPr>
        <w:spacing w:after="0" w:line="240" w:lineRule="auto"/>
        <w:jc w:val="center"/>
        <w:rPr>
          <w:rFonts w:ascii="Times New Roman" w:hAnsi="Times New Roman" w:cs="Times New Roman"/>
        </w:rPr>
      </w:pPr>
    </w:p>
    <w:p w14:paraId="282712F5" w14:textId="7E1C4728" w:rsidR="008D0475" w:rsidRDefault="008D0475" w:rsidP="008D0475">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4E56A4B" w14:textId="7FC12AE1" w:rsidR="008D0475" w:rsidRDefault="008D0475" w:rsidP="008D0475">
      <w:pPr>
        <w:spacing w:after="0" w:line="240" w:lineRule="auto"/>
        <w:jc w:val="both"/>
        <w:rPr>
          <w:rFonts w:ascii="Times New Roman" w:hAnsi="Times New Roman" w:cs="Times New Roman"/>
        </w:rPr>
      </w:pPr>
      <w:r>
        <w:rPr>
          <w:rFonts w:ascii="Times New Roman" w:hAnsi="Times New Roman" w:cs="Times New Roman"/>
        </w:rPr>
        <w:t>IN RE:</w:t>
      </w:r>
    </w:p>
    <w:p w14:paraId="50DCD2B6" w14:textId="1AD4CD94" w:rsidR="008D0475" w:rsidRDefault="008D0475" w:rsidP="008D0475">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5AAF950D" w14:textId="319F5377" w:rsidR="008D0475" w:rsidRDefault="008D0475" w:rsidP="008D0475">
      <w:pPr>
        <w:spacing w:after="0" w:line="240" w:lineRule="auto"/>
        <w:jc w:val="both"/>
        <w:rPr>
          <w:rFonts w:ascii="Times New Roman" w:hAnsi="Times New Roman" w:cs="Times New Roman"/>
        </w:rPr>
      </w:pPr>
      <w:r>
        <w:rPr>
          <w:rFonts w:ascii="Times New Roman" w:hAnsi="Times New Roman" w:cs="Times New Roman"/>
        </w:rPr>
        <w:t>Georgia Power Company’s Distributed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DOCKET 43107</w:t>
      </w:r>
    </w:p>
    <w:p w14:paraId="2E795EA2" w14:textId="1D7DE757" w:rsidR="008D0475" w:rsidRDefault="008D0475" w:rsidP="008D0475">
      <w:pPr>
        <w:spacing w:after="0" w:line="240" w:lineRule="auto"/>
        <w:jc w:val="both"/>
        <w:rPr>
          <w:rFonts w:ascii="Times New Roman" w:hAnsi="Times New Roman" w:cs="Times New Roman"/>
        </w:rPr>
      </w:pPr>
      <w:r>
        <w:rPr>
          <w:rFonts w:ascii="Times New Roman" w:hAnsi="Times New Roman" w:cs="Times New Roman"/>
        </w:rPr>
        <w:t>Generation Customer-Connected</w:t>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proofErr w:type="gramEnd"/>
    </w:p>
    <w:p w14:paraId="403201EA" w14:textId="31423120" w:rsidR="0036773C" w:rsidRDefault="008D0475" w:rsidP="008D0475">
      <w:pPr>
        <w:spacing w:after="0" w:line="240" w:lineRule="auto"/>
        <w:jc w:val="both"/>
        <w:rPr>
          <w:rFonts w:ascii="Times New Roman" w:hAnsi="Times New Roman" w:cs="Times New Roman"/>
        </w:rPr>
      </w:pPr>
      <w:r>
        <w:rPr>
          <w:rFonts w:ascii="Times New Roman" w:hAnsi="Times New Roman" w:cs="Times New Roman"/>
        </w:rPr>
        <w:t>Solar Program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76ECEAC7" w14:textId="654BF7FA" w:rsidR="008D0475" w:rsidRDefault="0036773C" w:rsidP="006226D7">
      <w:pPr>
        <w:spacing w:after="0" w:line="240" w:lineRule="auto"/>
        <w:ind w:left="3600" w:firstLine="720"/>
        <w:jc w:val="both"/>
        <w:rPr>
          <w:rFonts w:ascii="Times New Roman" w:hAnsi="Times New Roman" w:cs="Times New Roman"/>
        </w:rPr>
      </w:pPr>
      <w:r>
        <w:rPr>
          <w:rFonts w:ascii="Times New Roman" w:hAnsi="Times New Roman" w:cs="Times New Roman"/>
        </w:rPr>
        <w:t xml:space="preserve">      </w:t>
      </w:r>
      <w:r w:rsidR="008D0475">
        <w:rPr>
          <w:rFonts w:ascii="Times New Roman" w:hAnsi="Times New Roman" w:cs="Times New Roman"/>
        </w:rPr>
        <w:t>:</w:t>
      </w:r>
    </w:p>
    <w:p w14:paraId="27F1A446" w14:textId="7C37D34A" w:rsidR="008D0475" w:rsidRDefault="008D0475" w:rsidP="008D0475">
      <w:pPr>
        <w:spacing w:after="0" w:line="240" w:lineRule="auto"/>
        <w:jc w:val="both"/>
        <w:rPr>
          <w:rFonts w:ascii="Times New Roman" w:hAnsi="Times New Roman" w:cs="Times New Roman"/>
        </w:rPr>
      </w:pPr>
    </w:p>
    <w:p w14:paraId="5CE48560" w14:textId="375DC570" w:rsidR="006251C9" w:rsidRDefault="008D0475" w:rsidP="009703FB">
      <w:pPr>
        <w:spacing w:after="0" w:line="240" w:lineRule="auto"/>
        <w:jc w:val="center"/>
        <w:rPr>
          <w:rFonts w:ascii="Times New Roman" w:hAnsi="Times New Roman" w:cs="Times New Roman"/>
          <w:b/>
          <w:bCs/>
          <w:u w:val="single"/>
        </w:rPr>
      </w:pPr>
      <w:r w:rsidRPr="006251C9">
        <w:rPr>
          <w:rFonts w:ascii="Times New Roman" w:hAnsi="Times New Roman" w:cs="Times New Roman"/>
          <w:b/>
          <w:bCs/>
          <w:u w:val="single"/>
        </w:rPr>
        <w:t>COMMENTS OF THE GEORGIA SOLAR</w:t>
      </w:r>
    </w:p>
    <w:p w14:paraId="2222E0FF" w14:textId="6F62FB0E" w:rsidR="006251C9" w:rsidRDefault="008D0475" w:rsidP="006251C9">
      <w:pPr>
        <w:spacing w:after="0" w:line="240" w:lineRule="auto"/>
        <w:jc w:val="center"/>
        <w:rPr>
          <w:rFonts w:ascii="Times New Roman" w:hAnsi="Times New Roman" w:cs="Times New Roman"/>
          <w:b/>
          <w:bCs/>
          <w:u w:val="single"/>
        </w:rPr>
      </w:pPr>
      <w:r w:rsidRPr="006251C9">
        <w:rPr>
          <w:rFonts w:ascii="Times New Roman" w:hAnsi="Times New Roman" w:cs="Times New Roman"/>
          <w:b/>
          <w:bCs/>
          <w:u w:val="single"/>
        </w:rPr>
        <w:t>ENERGY INDUSTRIES</w:t>
      </w:r>
      <w:r w:rsidR="006251C9">
        <w:rPr>
          <w:rFonts w:ascii="Times New Roman" w:hAnsi="Times New Roman" w:cs="Times New Roman"/>
          <w:b/>
          <w:bCs/>
          <w:u w:val="single"/>
        </w:rPr>
        <w:t xml:space="preserve"> </w:t>
      </w:r>
      <w:r w:rsidRPr="006251C9">
        <w:rPr>
          <w:rFonts w:ascii="Times New Roman" w:hAnsi="Times New Roman" w:cs="Times New Roman"/>
          <w:b/>
          <w:bCs/>
          <w:u w:val="single"/>
        </w:rPr>
        <w:t>ASSOCIATION, INC.</w:t>
      </w:r>
      <w:r w:rsidR="00CD6D5A">
        <w:rPr>
          <w:rFonts w:ascii="Times New Roman" w:hAnsi="Times New Roman" w:cs="Times New Roman"/>
          <w:b/>
          <w:bCs/>
          <w:u w:val="single"/>
        </w:rPr>
        <w:t xml:space="preserve"> ON THE</w:t>
      </w:r>
    </w:p>
    <w:p w14:paraId="43463482" w14:textId="61CFC1EE" w:rsidR="00CD6D5A" w:rsidRDefault="00CD6D5A" w:rsidP="006251C9">
      <w:pPr>
        <w:spacing w:after="0" w:line="240" w:lineRule="auto"/>
        <w:jc w:val="center"/>
        <w:rPr>
          <w:rFonts w:ascii="Times New Roman" w:hAnsi="Times New Roman" w:cs="Times New Roman"/>
          <w:b/>
          <w:bCs/>
          <w:u w:val="single"/>
        </w:rPr>
      </w:pPr>
      <w:r>
        <w:rPr>
          <w:rFonts w:ascii="Times New Roman" w:hAnsi="Times New Roman" w:cs="Times New Roman"/>
          <w:b/>
          <w:bCs/>
          <w:u w:val="single"/>
        </w:rPr>
        <w:t>PROGRAM GUIDELINES AND PRO FORMA POWER PURCHASE AGREEMENT</w:t>
      </w:r>
    </w:p>
    <w:p w14:paraId="7A4FBB00" w14:textId="6E71C7A9" w:rsidR="00CD6D5A" w:rsidRDefault="00CD6D5A" w:rsidP="006251C9">
      <w:pPr>
        <w:spacing w:after="0" w:line="240" w:lineRule="auto"/>
        <w:jc w:val="center"/>
        <w:rPr>
          <w:rFonts w:ascii="Times New Roman" w:hAnsi="Times New Roman" w:cs="Times New Roman"/>
          <w:b/>
          <w:bCs/>
          <w:u w:val="single"/>
        </w:rPr>
      </w:pPr>
      <w:r>
        <w:rPr>
          <w:rFonts w:ascii="Times New Roman" w:hAnsi="Times New Roman" w:cs="Times New Roman"/>
          <w:b/>
          <w:bCs/>
          <w:u w:val="single"/>
        </w:rPr>
        <w:t>IN GEORGIA POWER COMPANY’S DISTRIBUTED GENERATION</w:t>
      </w:r>
    </w:p>
    <w:p w14:paraId="1E058D4A" w14:textId="64CC1C4F" w:rsidR="00CD6D5A" w:rsidRPr="006251C9" w:rsidRDefault="00CD6D5A" w:rsidP="006251C9">
      <w:pPr>
        <w:spacing w:after="0" w:line="240" w:lineRule="auto"/>
        <w:jc w:val="center"/>
        <w:rPr>
          <w:rFonts w:ascii="Times New Roman" w:hAnsi="Times New Roman" w:cs="Times New Roman"/>
          <w:b/>
          <w:bCs/>
          <w:u w:val="single"/>
        </w:rPr>
      </w:pPr>
      <w:r>
        <w:rPr>
          <w:rFonts w:ascii="Times New Roman" w:hAnsi="Times New Roman" w:cs="Times New Roman"/>
          <w:b/>
          <w:bCs/>
          <w:u w:val="single"/>
        </w:rPr>
        <w:t>CUSTOMER-CONNECTED PROGRAM</w:t>
      </w:r>
    </w:p>
    <w:p w14:paraId="2226F2E0" w14:textId="2F1E6C22" w:rsidR="008D0475" w:rsidRPr="006251C9" w:rsidRDefault="008D0475" w:rsidP="008D0475">
      <w:pPr>
        <w:spacing w:after="0" w:line="240" w:lineRule="auto"/>
        <w:jc w:val="center"/>
        <w:rPr>
          <w:rFonts w:ascii="Times New Roman" w:hAnsi="Times New Roman" w:cs="Times New Roman"/>
          <w:b/>
          <w:bCs/>
          <w:u w:val="single"/>
        </w:rPr>
      </w:pPr>
    </w:p>
    <w:p w14:paraId="0EB711AE" w14:textId="56875D9D" w:rsidR="00B46034" w:rsidRDefault="008D0475" w:rsidP="00B46034">
      <w:pPr>
        <w:spacing w:after="0" w:line="480" w:lineRule="auto"/>
        <w:jc w:val="both"/>
        <w:rPr>
          <w:rFonts w:ascii="Times New Roman" w:hAnsi="Times New Roman" w:cs="Times New Roman"/>
        </w:rPr>
      </w:pPr>
      <w:r>
        <w:rPr>
          <w:rFonts w:ascii="Times New Roman" w:hAnsi="Times New Roman" w:cs="Times New Roman"/>
        </w:rPr>
        <w:tab/>
        <w:t xml:space="preserve">Comes now, the GEORGIA SOLAR ENERGY INDUSTRIES ASSOCIATION, INC. (“GSEIA”), </w:t>
      </w:r>
      <w:r w:rsidR="00CD6D5A">
        <w:rPr>
          <w:rFonts w:ascii="Times New Roman" w:hAnsi="Times New Roman" w:cs="Times New Roman"/>
        </w:rPr>
        <w:t>I</w:t>
      </w:r>
      <w:r>
        <w:rPr>
          <w:rFonts w:ascii="Times New Roman" w:hAnsi="Times New Roman" w:cs="Times New Roman"/>
        </w:rPr>
        <w:t xml:space="preserve">ntervenor in the above styled docket and files these Comments on the Program Guidelines (“Guidelines”) and Pro Forma Power Purchase Agreement (“PPA”) proposed by Georgia Power Company (“Georgia Power” or the “Company”) in its Distributed Generation </w:t>
      </w:r>
      <w:r w:rsidR="00B01D76">
        <w:rPr>
          <w:rFonts w:ascii="Times New Roman" w:hAnsi="Times New Roman" w:cs="Times New Roman"/>
        </w:rPr>
        <w:t xml:space="preserve">(“DG”) </w:t>
      </w:r>
      <w:r>
        <w:rPr>
          <w:rFonts w:ascii="Times New Roman" w:hAnsi="Times New Roman" w:cs="Times New Roman"/>
        </w:rPr>
        <w:t>Customer-Connected Program (“Customer Connect</w:t>
      </w:r>
      <w:r w:rsidR="009703FB">
        <w:rPr>
          <w:rFonts w:ascii="Times New Roman" w:hAnsi="Times New Roman" w:cs="Times New Roman"/>
        </w:rPr>
        <w:t>ed</w:t>
      </w:r>
      <w:r>
        <w:rPr>
          <w:rFonts w:ascii="Times New Roman" w:hAnsi="Times New Roman" w:cs="Times New Roman"/>
        </w:rPr>
        <w:t>”)</w:t>
      </w:r>
      <w:r w:rsidR="00B01D76">
        <w:rPr>
          <w:rFonts w:ascii="Times New Roman" w:hAnsi="Times New Roman" w:cs="Times New Roman"/>
        </w:rPr>
        <w:t xml:space="preserve">. </w:t>
      </w:r>
      <w:r w:rsidR="00CE3AB4">
        <w:rPr>
          <w:rFonts w:ascii="Times New Roman" w:hAnsi="Times New Roman" w:cs="Times New Roman"/>
        </w:rPr>
        <w:t xml:space="preserve"> </w:t>
      </w:r>
      <w:r w:rsidR="006251C9">
        <w:rPr>
          <w:rFonts w:ascii="Times New Roman" w:hAnsi="Times New Roman" w:cs="Times New Roman"/>
        </w:rPr>
        <w:t>On April 15, 2020, t</w:t>
      </w:r>
      <w:r w:rsidR="00B01D76">
        <w:rPr>
          <w:rFonts w:ascii="Times New Roman" w:hAnsi="Times New Roman" w:cs="Times New Roman"/>
        </w:rPr>
        <w:t xml:space="preserve">he Company </w:t>
      </w:r>
      <w:r w:rsidR="006251C9">
        <w:rPr>
          <w:rFonts w:ascii="Times New Roman" w:hAnsi="Times New Roman" w:cs="Times New Roman"/>
        </w:rPr>
        <w:t>filed its “Application for Approval of Georgia Power Company’s Distributed Generation Customer-Connected Solar Program.”</w:t>
      </w:r>
      <w:r w:rsidR="00585C9C">
        <w:rPr>
          <w:rStyle w:val="FootnoteReference"/>
          <w:rFonts w:ascii="Times New Roman" w:hAnsi="Times New Roman" w:cs="Times New Roman"/>
        </w:rPr>
        <w:footnoteReference w:id="1"/>
      </w:r>
      <w:r w:rsidR="006251C9">
        <w:rPr>
          <w:rFonts w:ascii="Times New Roman" w:hAnsi="Times New Roman" w:cs="Times New Roman"/>
        </w:rPr>
        <w:t xml:space="preserve">  Herein, GSEIA </w:t>
      </w:r>
      <w:r w:rsidR="002E2509">
        <w:rPr>
          <w:rFonts w:ascii="Times New Roman" w:hAnsi="Times New Roman" w:cs="Times New Roman"/>
        </w:rPr>
        <w:t>provide</w:t>
      </w:r>
      <w:r w:rsidR="006226D7">
        <w:rPr>
          <w:rFonts w:ascii="Times New Roman" w:hAnsi="Times New Roman" w:cs="Times New Roman"/>
        </w:rPr>
        <w:t>s</w:t>
      </w:r>
      <w:r w:rsidR="002E2509">
        <w:rPr>
          <w:rFonts w:ascii="Times New Roman" w:hAnsi="Times New Roman" w:cs="Times New Roman"/>
        </w:rPr>
        <w:t xml:space="preserve"> both general comments and </w:t>
      </w:r>
      <w:r w:rsidR="00CD6D5A">
        <w:rPr>
          <w:rFonts w:ascii="Times New Roman" w:hAnsi="Times New Roman" w:cs="Times New Roman"/>
        </w:rPr>
        <w:t xml:space="preserve">comments </w:t>
      </w:r>
      <w:r w:rsidR="009703FB">
        <w:rPr>
          <w:rFonts w:ascii="Times New Roman" w:hAnsi="Times New Roman" w:cs="Times New Roman"/>
        </w:rPr>
        <w:t xml:space="preserve">on </w:t>
      </w:r>
      <w:r w:rsidR="002E2509">
        <w:rPr>
          <w:rFonts w:ascii="Times New Roman" w:hAnsi="Times New Roman" w:cs="Times New Roman"/>
        </w:rPr>
        <w:t xml:space="preserve">specific provisions </w:t>
      </w:r>
      <w:r w:rsidR="00CE3AB4">
        <w:rPr>
          <w:rFonts w:ascii="Times New Roman" w:hAnsi="Times New Roman" w:cs="Times New Roman"/>
        </w:rPr>
        <w:t>therein</w:t>
      </w:r>
      <w:r w:rsidR="002E2509">
        <w:rPr>
          <w:rFonts w:ascii="Times New Roman" w:hAnsi="Times New Roman" w:cs="Times New Roman"/>
        </w:rPr>
        <w:t>.</w:t>
      </w:r>
    </w:p>
    <w:p w14:paraId="221F30B2" w14:textId="3C74D906" w:rsidR="007A2BCB" w:rsidRDefault="007A2BCB" w:rsidP="00B46034">
      <w:pPr>
        <w:spacing w:after="0" w:line="480" w:lineRule="auto"/>
        <w:jc w:val="both"/>
        <w:rPr>
          <w:rFonts w:ascii="Times New Roman" w:hAnsi="Times New Roman" w:cs="Times New Roman"/>
        </w:rPr>
      </w:pPr>
    </w:p>
    <w:p w14:paraId="69B68608" w14:textId="77777777" w:rsidR="007A2BCB" w:rsidRDefault="007A2BCB" w:rsidP="00B46034">
      <w:pPr>
        <w:spacing w:after="0" w:line="480" w:lineRule="auto"/>
        <w:jc w:val="both"/>
        <w:rPr>
          <w:rFonts w:ascii="Times New Roman" w:hAnsi="Times New Roman" w:cs="Times New Roman"/>
        </w:rPr>
      </w:pPr>
    </w:p>
    <w:p w14:paraId="7623C015" w14:textId="3320DEEE" w:rsidR="002E5B3A" w:rsidRPr="006158FF" w:rsidRDefault="002E5B3A" w:rsidP="006158FF">
      <w:pPr>
        <w:spacing w:after="0" w:line="480" w:lineRule="auto"/>
        <w:jc w:val="center"/>
        <w:rPr>
          <w:rFonts w:ascii="Times New Roman" w:hAnsi="Times New Roman" w:cs="Times New Roman"/>
          <w:b/>
          <w:bCs/>
        </w:rPr>
      </w:pPr>
      <w:r w:rsidRPr="006158FF">
        <w:rPr>
          <w:rFonts w:ascii="Times New Roman" w:hAnsi="Times New Roman" w:cs="Times New Roman"/>
          <w:b/>
          <w:bCs/>
        </w:rPr>
        <w:lastRenderedPageBreak/>
        <w:t>I.</w:t>
      </w:r>
    </w:p>
    <w:p w14:paraId="660E5616" w14:textId="271C9619" w:rsidR="00DF15C7" w:rsidRPr="004768D7" w:rsidRDefault="00DF15C7" w:rsidP="00B46034">
      <w:pPr>
        <w:spacing w:after="0" w:line="480" w:lineRule="auto"/>
        <w:jc w:val="center"/>
        <w:rPr>
          <w:rFonts w:ascii="Times New Roman" w:hAnsi="Times New Roman" w:cs="Times New Roman"/>
        </w:rPr>
      </w:pPr>
      <w:r w:rsidRPr="004768D7">
        <w:rPr>
          <w:rFonts w:ascii="Times New Roman" w:hAnsi="Times New Roman" w:cs="Times New Roman"/>
          <w:b/>
          <w:bCs/>
        </w:rPr>
        <w:t>GENERAL COMMENTS</w:t>
      </w:r>
    </w:p>
    <w:p w14:paraId="4EC893E8" w14:textId="68A72BB1" w:rsidR="005E31C2" w:rsidRDefault="00CE3AB4" w:rsidP="00CE3AB4">
      <w:pPr>
        <w:spacing w:after="0" w:line="480" w:lineRule="auto"/>
        <w:ind w:firstLine="720"/>
        <w:jc w:val="both"/>
        <w:rPr>
          <w:rFonts w:ascii="Times New Roman" w:hAnsi="Times New Roman" w:cs="Times New Roman"/>
        </w:rPr>
      </w:pPr>
      <w:r>
        <w:rPr>
          <w:rFonts w:ascii="Times New Roman" w:hAnsi="Times New Roman" w:cs="Times New Roman"/>
        </w:rPr>
        <w:t>T</w:t>
      </w:r>
      <w:r w:rsidRPr="00BC3209">
        <w:rPr>
          <w:rFonts w:ascii="Times New Roman" w:hAnsi="Times New Roman" w:cs="Times New Roman"/>
        </w:rPr>
        <w:t xml:space="preserve">he Company’s Guidelines and PPA in Customer Connected </w:t>
      </w:r>
      <w:r>
        <w:rPr>
          <w:rFonts w:ascii="Times New Roman" w:hAnsi="Times New Roman" w:cs="Times New Roman"/>
        </w:rPr>
        <w:t>purport to make its customer</w:t>
      </w:r>
      <w:r w:rsidR="005D0F7F">
        <w:rPr>
          <w:rFonts w:ascii="Times New Roman" w:hAnsi="Times New Roman" w:cs="Times New Roman"/>
        </w:rPr>
        <w:t>s</w:t>
      </w:r>
      <w:r>
        <w:rPr>
          <w:rFonts w:ascii="Times New Roman" w:hAnsi="Times New Roman" w:cs="Times New Roman"/>
        </w:rPr>
        <w:t xml:space="preserve"> the program</w:t>
      </w:r>
      <w:r w:rsidR="005E31C2">
        <w:rPr>
          <w:rFonts w:ascii="Times New Roman" w:hAnsi="Times New Roman" w:cs="Times New Roman"/>
        </w:rPr>
        <w:t>’</w:t>
      </w:r>
      <w:r>
        <w:rPr>
          <w:rFonts w:ascii="Times New Roman" w:hAnsi="Times New Roman" w:cs="Times New Roman"/>
        </w:rPr>
        <w:t>s priority, offering them another mean</w:t>
      </w:r>
      <w:r w:rsidR="005E31C2">
        <w:rPr>
          <w:rFonts w:ascii="Times New Roman" w:hAnsi="Times New Roman" w:cs="Times New Roman"/>
        </w:rPr>
        <w:t>s</w:t>
      </w:r>
      <w:r>
        <w:rPr>
          <w:rFonts w:ascii="Times New Roman" w:hAnsi="Times New Roman" w:cs="Times New Roman"/>
        </w:rPr>
        <w:t xml:space="preserve"> to deploy solar generation.  By requiring the customer to be the PPA</w:t>
      </w:r>
      <w:r w:rsidR="00E37803">
        <w:rPr>
          <w:rFonts w:ascii="Times New Roman" w:hAnsi="Times New Roman" w:cs="Times New Roman"/>
        </w:rPr>
        <w:t xml:space="preserve"> and Interconnection Agreement (“IA”) counterparty</w:t>
      </w:r>
      <w:r>
        <w:rPr>
          <w:rFonts w:ascii="Times New Roman" w:hAnsi="Times New Roman" w:cs="Times New Roman"/>
        </w:rPr>
        <w:t xml:space="preserve"> and with repeated references to the Company’s “customer,” the Guidelines and PPA </w:t>
      </w:r>
      <w:r w:rsidR="005E31C2">
        <w:rPr>
          <w:rFonts w:ascii="Times New Roman" w:hAnsi="Times New Roman" w:cs="Times New Roman"/>
        </w:rPr>
        <w:t xml:space="preserve"> (at first blush) </w:t>
      </w:r>
      <w:r>
        <w:rPr>
          <w:rFonts w:ascii="Times New Roman" w:hAnsi="Times New Roman" w:cs="Times New Roman"/>
        </w:rPr>
        <w:t>seem to encourage solar deployment similar to behind the meter (“BTM”)</w:t>
      </w:r>
      <w:r>
        <w:rPr>
          <w:rStyle w:val="FootnoteReference"/>
          <w:rFonts w:ascii="Times New Roman" w:hAnsi="Times New Roman" w:cs="Times New Roman"/>
        </w:rPr>
        <w:footnoteReference w:id="2"/>
      </w:r>
      <w:r>
        <w:rPr>
          <w:rFonts w:ascii="Times New Roman" w:hAnsi="Times New Roman" w:cs="Times New Roman"/>
        </w:rPr>
        <w:t xml:space="preserve"> by which the customer deploys self-generation to directly reduce the cost of energy. </w:t>
      </w:r>
    </w:p>
    <w:p w14:paraId="070E0EB5" w14:textId="7908B752" w:rsidR="00CE3AB4" w:rsidRDefault="00CE3AB4" w:rsidP="00CE3AB4">
      <w:pPr>
        <w:spacing w:after="0" w:line="480" w:lineRule="auto"/>
        <w:ind w:firstLine="720"/>
        <w:jc w:val="both"/>
        <w:rPr>
          <w:rFonts w:ascii="Times New Roman" w:hAnsi="Times New Roman" w:cs="Times New Roman"/>
        </w:rPr>
      </w:pPr>
      <w:r>
        <w:rPr>
          <w:rFonts w:ascii="Times New Roman" w:hAnsi="Times New Roman" w:cs="Times New Roman"/>
        </w:rPr>
        <w:t xml:space="preserve">The reality is quite different.  The Guidelines and PPA saddle the customer with contractual obligations, technical complexities, interconnection requirements, costs/fees and trip wires for liquidated damages that may cause the customer’s performance to falter and risk breach.  </w:t>
      </w:r>
      <w:r w:rsidR="00E37803">
        <w:rPr>
          <w:rFonts w:ascii="Times New Roman" w:hAnsi="Times New Roman" w:cs="Times New Roman"/>
        </w:rPr>
        <w:t>Few customers will want to finance, own, operate and maintain a commercial-scale solar facility. T</w:t>
      </w:r>
      <w:r w:rsidR="005E31C2">
        <w:rPr>
          <w:rFonts w:ascii="Times New Roman" w:hAnsi="Times New Roman" w:cs="Times New Roman"/>
        </w:rPr>
        <w:t>he Company’s suggested solution</w:t>
      </w:r>
      <w:r w:rsidR="00372ABD">
        <w:rPr>
          <w:rFonts w:ascii="Times New Roman" w:hAnsi="Times New Roman" w:cs="Times New Roman"/>
        </w:rPr>
        <w:t>s</w:t>
      </w:r>
      <w:r w:rsidR="005E31C2">
        <w:rPr>
          <w:rFonts w:ascii="Times New Roman" w:hAnsi="Times New Roman" w:cs="Times New Roman"/>
        </w:rPr>
        <w:t xml:space="preserve"> – a Solar Energy Purchase [Procurement] Agreement (“SEPA”)</w:t>
      </w:r>
      <w:r w:rsidR="00E37803">
        <w:rPr>
          <w:rFonts w:ascii="Times New Roman" w:hAnsi="Times New Roman" w:cs="Times New Roman"/>
        </w:rPr>
        <w:t xml:space="preserve"> or lease with a third party</w:t>
      </w:r>
      <w:r w:rsidR="005E31C2">
        <w:rPr>
          <w:rFonts w:ascii="Times New Roman" w:hAnsi="Times New Roman" w:cs="Times New Roman"/>
        </w:rPr>
        <w:t xml:space="preserve"> -- will </w:t>
      </w:r>
      <w:r w:rsidR="00372ABD">
        <w:rPr>
          <w:rFonts w:ascii="Times New Roman" w:hAnsi="Times New Roman" w:cs="Times New Roman"/>
        </w:rPr>
        <w:t xml:space="preserve">only </w:t>
      </w:r>
      <w:r w:rsidR="005E31C2">
        <w:rPr>
          <w:rFonts w:ascii="Times New Roman" w:hAnsi="Times New Roman" w:cs="Times New Roman"/>
        </w:rPr>
        <w:t>increase the contractual complexities of the project and</w:t>
      </w:r>
      <w:r>
        <w:rPr>
          <w:rFonts w:ascii="Times New Roman" w:hAnsi="Times New Roman" w:cs="Times New Roman"/>
        </w:rPr>
        <w:t xml:space="preserve"> </w:t>
      </w:r>
      <w:r w:rsidR="005E31C2">
        <w:rPr>
          <w:rFonts w:ascii="Times New Roman" w:hAnsi="Times New Roman" w:cs="Times New Roman"/>
        </w:rPr>
        <w:t xml:space="preserve">reduce </w:t>
      </w:r>
      <w:r w:rsidR="00BE7152">
        <w:rPr>
          <w:rFonts w:ascii="Times New Roman" w:hAnsi="Times New Roman" w:cs="Times New Roman"/>
        </w:rPr>
        <w:t>i</w:t>
      </w:r>
      <w:r>
        <w:rPr>
          <w:rFonts w:ascii="Times New Roman" w:hAnsi="Times New Roman" w:cs="Times New Roman"/>
        </w:rPr>
        <w:t>t</w:t>
      </w:r>
      <w:r w:rsidR="00BE7152">
        <w:rPr>
          <w:rFonts w:ascii="Times New Roman" w:hAnsi="Times New Roman" w:cs="Times New Roman"/>
        </w:rPr>
        <w:t>s</w:t>
      </w:r>
      <w:r>
        <w:rPr>
          <w:rFonts w:ascii="Times New Roman" w:hAnsi="Times New Roman" w:cs="Times New Roman"/>
        </w:rPr>
        <w:t xml:space="preserve"> economic benefits</w:t>
      </w:r>
      <w:r w:rsidR="008A3692">
        <w:rPr>
          <w:rFonts w:ascii="Times New Roman" w:hAnsi="Times New Roman" w:cs="Times New Roman"/>
        </w:rPr>
        <w:t xml:space="preserve"> to the customer</w:t>
      </w:r>
      <w:r>
        <w:rPr>
          <w:rFonts w:ascii="Times New Roman" w:hAnsi="Times New Roman" w:cs="Times New Roman"/>
        </w:rPr>
        <w:t xml:space="preserve">.  </w:t>
      </w:r>
      <w:r w:rsidR="008A3692">
        <w:rPr>
          <w:rFonts w:ascii="Times New Roman" w:hAnsi="Times New Roman" w:cs="Times New Roman"/>
        </w:rPr>
        <w:t xml:space="preserve"> In short, the revisions to the Guidelines from prior customers-sited programs will not benefit customers.  They require customers to take on risks and costs they do not want to bear and will make financing projects virtually impossible.</w:t>
      </w:r>
    </w:p>
    <w:p w14:paraId="63679780" w14:textId="637F02EB" w:rsidR="00FB2954" w:rsidRDefault="00461A28" w:rsidP="00FB2954">
      <w:pPr>
        <w:spacing w:after="0" w:line="480" w:lineRule="auto"/>
        <w:ind w:firstLine="720"/>
        <w:jc w:val="both"/>
        <w:rPr>
          <w:rFonts w:ascii="Times New Roman" w:hAnsi="Times New Roman" w:cs="Times New Roman"/>
        </w:rPr>
      </w:pPr>
      <w:r>
        <w:rPr>
          <w:rFonts w:ascii="Times New Roman" w:hAnsi="Times New Roman" w:cs="Times New Roman"/>
        </w:rPr>
        <w:t>T</w:t>
      </w:r>
      <w:r w:rsidR="00B46034" w:rsidRPr="00BC3209">
        <w:rPr>
          <w:rFonts w:ascii="Times New Roman" w:hAnsi="Times New Roman" w:cs="Times New Roman"/>
        </w:rPr>
        <w:t xml:space="preserve">he Company </w:t>
      </w:r>
      <w:r w:rsidR="00FB2954">
        <w:rPr>
          <w:rFonts w:ascii="Times New Roman" w:hAnsi="Times New Roman" w:cs="Times New Roman"/>
        </w:rPr>
        <w:t xml:space="preserve">seems to </w:t>
      </w:r>
      <w:r w:rsidR="005E31C2">
        <w:rPr>
          <w:rFonts w:ascii="Times New Roman" w:hAnsi="Times New Roman" w:cs="Times New Roman"/>
        </w:rPr>
        <w:t>seek a redo on</w:t>
      </w:r>
      <w:r>
        <w:rPr>
          <w:rFonts w:ascii="Times New Roman" w:hAnsi="Times New Roman" w:cs="Times New Roman"/>
        </w:rPr>
        <w:t xml:space="preserve"> </w:t>
      </w:r>
      <w:r w:rsidR="00B46034" w:rsidRPr="00BC3209">
        <w:rPr>
          <w:rFonts w:ascii="Times New Roman" w:hAnsi="Times New Roman" w:cs="Times New Roman"/>
        </w:rPr>
        <w:t xml:space="preserve">a contentious issue </w:t>
      </w:r>
      <w:r>
        <w:rPr>
          <w:rFonts w:ascii="Times New Roman" w:hAnsi="Times New Roman" w:cs="Times New Roman"/>
        </w:rPr>
        <w:t xml:space="preserve">that was </w:t>
      </w:r>
      <w:r w:rsidR="00FB2954">
        <w:rPr>
          <w:rFonts w:ascii="Times New Roman" w:hAnsi="Times New Roman" w:cs="Times New Roman"/>
        </w:rPr>
        <w:t xml:space="preserve">fully litigated </w:t>
      </w:r>
      <w:r w:rsidR="00B46034" w:rsidRPr="00BC3209">
        <w:rPr>
          <w:rFonts w:ascii="Times New Roman" w:hAnsi="Times New Roman" w:cs="Times New Roman"/>
        </w:rPr>
        <w:t xml:space="preserve">in </w:t>
      </w:r>
      <w:r>
        <w:rPr>
          <w:rFonts w:ascii="Times New Roman" w:hAnsi="Times New Roman" w:cs="Times New Roman"/>
        </w:rPr>
        <w:t xml:space="preserve">the </w:t>
      </w:r>
      <w:r w:rsidR="00B46034" w:rsidRPr="00BC3209">
        <w:rPr>
          <w:rFonts w:ascii="Times New Roman" w:hAnsi="Times New Roman" w:cs="Times New Roman"/>
        </w:rPr>
        <w:t>2019 Integrated Resources Plan</w:t>
      </w:r>
      <w:r w:rsidR="005E31C2">
        <w:rPr>
          <w:rStyle w:val="FootnoteReference"/>
          <w:rFonts w:ascii="Times New Roman" w:hAnsi="Times New Roman" w:cs="Times New Roman"/>
        </w:rPr>
        <w:footnoteReference w:id="3"/>
      </w:r>
      <w:r w:rsidR="00B46034" w:rsidRPr="00BC3209">
        <w:rPr>
          <w:rFonts w:ascii="Times New Roman" w:hAnsi="Times New Roman" w:cs="Times New Roman"/>
        </w:rPr>
        <w:t xml:space="preserve"> (“IRP”):  </w:t>
      </w:r>
      <w:r w:rsidR="005E31C2">
        <w:rPr>
          <w:rFonts w:ascii="Times New Roman" w:hAnsi="Times New Roman" w:cs="Times New Roman"/>
        </w:rPr>
        <w:t xml:space="preserve">elimination of </w:t>
      </w:r>
      <w:r w:rsidR="00DF15C7" w:rsidRPr="00BC3209">
        <w:rPr>
          <w:rFonts w:ascii="Times New Roman" w:hAnsi="Times New Roman" w:cs="Times New Roman"/>
        </w:rPr>
        <w:t>a customer-sited program</w:t>
      </w:r>
      <w:r w:rsidR="00192722">
        <w:rPr>
          <w:rFonts w:ascii="Times New Roman" w:hAnsi="Times New Roman" w:cs="Times New Roman"/>
        </w:rPr>
        <w:t xml:space="preserve"> to follow</w:t>
      </w:r>
      <w:r w:rsidR="00B46034" w:rsidRPr="00BC3209">
        <w:rPr>
          <w:rFonts w:ascii="Times New Roman" w:hAnsi="Times New Roman" w:cs="Times New Roman"/>
        </w:rPr>
        <w:t xml:space="preserve"> </w:t>
      </w:r>
      <w:r w:rsidR="005D0F7F">
        <w:rPr>
          <w:rFonts w:ascii="Times New Roman" w:hAnsi="Times New Roman" w:cs="Times New Roman"/>
        </w:rPr>
        <w:lastRenderedPageBreak/>
        <w:t xml:space="preserve">comparable programs in </w:t>
      </w:r>
      <w:r w:rsidR="005E31C2">
        <w:rPr>
          <w:rFonts w:ascii="Times New Roman" w:hAnsi="Times New Roman" w:cs="Times New Roman"/>
        </w:rPr>
        <w:t xml:space="preserve">its </w:t>
      </w:r>
      <w:r w:rsidR="009703FB" w:rsidRPr="00BC3209">
        <w:rPr>
          <w:rFonts w:ascii="Times New Roman" w:hAnsi="Times New Roman" w:cs="Times New Roman"/>
        </w:rPr>
        <w:t>Advanced Solar Initiative Prime</w:t>
      </w:r>
      <w:r w:rsidR="007E05F3" w:rsidRPr="00BC3209">
        <w:rPr>
          <w:rFonts w:ascii="Times New Roman" w:hAnsi="Times New Roman" w:cs="Times New Roman"/>
        </w:rPr>
        <w:t xml:space="preserve"> Group B</w:t>
      </w:r>
      <w:r w:rsidR="009703FB" w:rsidRPr="00BC3209">
        <w:rPr>
          <w:rFonts w:ascii="Times New Roman" w:hAnsi="Times New Roman" w:cs="Times New Roman"/>
        </w:rPr>
        <w:t xml:space="preserve"> (“ASI Prime</w:t>
      </w:r>
      <w:r w:rsidR="007E05F3" w:rsidRPr="00BC3209">
        <w:rPr>
          <w:rFonts w:ascii="Times New Roman" w:hAnsi="Times New Roman" w:cs="Times New Roman"/>
        </w:rPr>
        <w:t xml:space="preserve"> Group B</w:t>
      </w:r>
      <w:r w:rsidR="009703FB" w:rsidRPr="00BC3209">
        <w:rPr>
          <w:rFonts w:ascii="Times New Roman" w:hAnsi="Times New Roman" w:cs="Times New Roman"/>
        </w:rPr>
        <w:t>”</w:t>
      </w:r>
      <w:r w:rsidR="007E05F3" w:rsidRPr="00BC3209">
        <w:rPr>
          <w:rFonts w:ascii="Times New Roman" w:hAnsi="Times New Roman" w:cs="Times New Roman"/>
        </w:rPr>
        <w:t xml:space="preserve"> or “Group B”</w:t>
      </w:r>
      <w:r w:rsidR="009703FB" w:rsidRPr="00BC3209">
        <w:rPr>
          <w:rFonts w:ascii="Times New Roman" w:hAnsi="Times New Roman" w:cs="Times New Roman"/>
        </w:rPr>
        <w:t>)</w:t>
      </w:r>
      <w:r w:rsidR="00192722">
        <w:rPr>
          <w:rStyle w:val="FootnoteReference"/>
          <w:rFonts w:ascii="Times New Roman" w:hAnsi="Times New Roman" w:cs="Times New Roman"/>
        </w:rPr>
        <w:footnoteReference w:id="4"/>
      </w:r>
      <w:r w:rsidR="009703FB" w:rsidRPr="00BC3209">
        <w:rPr>
          <w:rFonts w:ascii="Times New Roman" w:hAnsi="Times New Roman" w:cs="Times New Roman"/>
        </w:rPr>
        <w:t xml:space="preserve"> and Renewable Energy Development Initiative (“REDI”).</w:t>
      </w:r>
      <w:r w:rsidR="00192722">
        <w:rPr>
          <w:rStyle w:val="FootnoteReference"/>
          <w:rFonts w:ascii="Times New Roman" w:hAnsi="Times New Roman" w:cs="Times New Roman"/>
        </w:rPr>
        <w:footnoteReference w:id="5"/>
      </w:r>
      <w:r w:rsidR="009703FB" w:rsidRPr="00BC3209">
        <w:rPr>
          <w:rFonts w:ascii="Times New Roman" w:hAnsi="Times New Roman" w:cs="Times New Roman"/>
        </w:rPr>
        <w:t xml:space="preserve">  </w:t>
      </w:r>
      <w:r w:rsidR="00275E3E">
        <w:rPr>
          <w:rFonts w:ascii="Times New Roman" w:hAnsi="Times New Roman" w:cs="Times New Roman"/>
        </w:rPr>
        <w:t xml:space="preserve">To </w:t>
      </w:r>
      <w:r w:rsidR="00BE7152">
        <w:rPr>
          <w:rFonts w:ascii="Times New Roman" w:hAnsi="Times New Roman" w:cs="Times New Roman"/>
        </w:rPr>
        <w:t xml:space="preserve">discourage </w:t>
      </w:r>
      <w:r w:rsidR="00275E3E">
        <w:rPr>
          <w:rFonts w:ascii="Times New Roman" w:hAnsi="Times New Roman" w:cs="Times New Roman"/>
        </w:rPr>
        <w:t>a customer sited program, t</w:t>
      </w:r>
      <w:r w:rsidR="00FB2954">
        <w:rPr>
          <w:rFonts w:ascii="Times New Roman" w:hAnsi="Times New Roman" w:cs="Times New Roman"/>
        </w:rPr>
        <w:t>he Company’s Application re</w:t>
      </w:r>
      <w:r w:rsidR="00275E3E">
        <w:rPr>
          <w:rFonts w:ascii="Times New Roman" w:hAnsi="Times New Roman" w:cs="Times New Roman"/>
        </w:rPr>
        <w:t>states</w:t>
      </w:r>
      <w:r w:rsidR="00FB2954">
        <w:rPr>
          <w:rFonts w:ascii="Times New Roman" w:hAnsi="Times New Roman" w:cs="Times New Roman"/>
        </w:rPr>
        <w:t xml:space="preserve"> myths to which its witness panel testified in the IRP:</w:t>
      </w:r>
    </w:p>
    <w:p w14:paraId="182BE9EF" w14:textId="67A5D667" w:rsidR="00FB2954" w:rsidRPr="00630019" w:rsidRDefault="00FB2954" w:rsidP="00FB2954">
      <w:pPr>
        <w:pStyle w:val="ListParagraph"/>
        <w:numPr>
          <w:ilvl w:val="0"/>
          <w:numId w:val="12"/>
        </w:numPr>
        <w:spacing w:after="0" w:line="480" w:lineRule="auto"/>
        <w:jc w:val="both"/>
        <w:rPr>
          <w:rFonts w:ascii="Times New Roman" w:hAnsi="Times New Roman" w:cs="Times New Roman"/>
        </w:rPr>
      </w:pPr>
      <w:r>
        <w:rPr>
          <w:rFonts w:ascii="Times New Roman" w:hAnsi="Times New Roman" w:cs="Times New Roman"/>
        </w:rPr>
        <w:t>That a</w:t>
      </w:r>
      <w:r w:rsidRPr="00630019">
        <w:rPr>
          <w:rFonts w:ascii="Times New Roman" w:hAnsi="Times New Roman" w:cs="Times New Roman"/>
        </w:rPr>
        <w:t xml:space="preserve"> customer receives no benefit from </w:t>
      </w:r>
      <w:r w:rsidR="008D3B2C">
        <w:rPr>
          <w:rFonts w:ascii="Times New Roman" w:hAnsi="Times New Roman" w:cs="Times New Roman"/>
        </w:rPr>
        <w:t xml:space="preserve">a customer-sited project if </w:t>
      </w:r>
      <w:r w:rsidR="001237A0">
        <w:rPr>
          <w:rFonts w:ascii="Times New Roman" w:hAnsi="Times New Roman" w:cs="Times New Roman"/>
        </w:rPr>
        <w:t xml:space="preserve">there is </w:t>
      </w:r>
      <w:r w:rsidRPr="00630019">
        <w:rPr>
          <w:rFonts w:ascii="Times New Roman" w:hAnsi="Times New Roman" w:cs="Times New Roman"/>
        </w:rPr>
        <w:t xml:space="preserve">a third-party </w:t>
      </w:r>
      <w:r>
        <w:rPr>
          <w:rFonts w:ascii="Times New Roman" w:hAnsi="Times New Roman" w:cs="Times New Roman"/>
        </w:rPr>
        <w:t xml:space="preserve">owner or PPA </w:t>
      </w:r>
      <w:r w:rsidR="001237A0">
        <w:rPr>
          <w:rFonts w:ascii="Times New Roman" w:hAnsi="Times New Roman" w:cs="Times New Roman"/>
        </w:rPr>
        <w:t>counterparty</w:t>
      </w:r>
      <w:r w:rsidRPr="00630019">
        <w:rPr>
          <w:rFonts w:ascii="Times New Roman" w:hAnsi="Times New Roman" w:cs="Times New Roman"/>
        </w:rPr>
        <w:t>;</w:t>
      </w:r>
      <w:r>
        <w:rPr>
          <w:rStyle w:val="FootnoteReference"/>
          <w:rFonts w:ascii="Times New Roman" w:hAnsi="Times New Roman" w:cs="Times New Roman"/>
        </w:rPr>
        <w:footnoteReference w:id="6"/>
      </w:r>
      <w:r w:rsidRPr="00630019">
        <w:rPr>
          <w:rFonts w:ascii="Times New Roman" w:hAnsi="Times New Roman" w:cs="Times New Roman"/>
        </w:rPr>
        <w:t xml:space="preserve"> and</w:t>
      </w:r>
    </w:p>
    <w:p w14:paraId="615AA875" w14:textId="601F29A6" w:rsidR="00FB2954" w:rsidRDefault="00FB2954" w:rsidP="00FB2954">
      <w:pPr>
        <w:pStyle w:val="ListParagraph"/>
        <w:numPr>
          <w:ilvl w:val="0"/>
          <w:numId w:val="12"/>
        </w:numPr>
        <w:spacing w:after="0" w:line="480" w:lineRule="auto"/>
        <w:jc w:val="both"/>
        <w:rPr>
          <w:rFonts w:ascii="Times New Roman" w:hAnsi="Times New Roman" w:cs="Times New Roman"/>
        </w:rPr>
      </w:pPr>
      <w:r w:rsidRPr="00957A40">
        <w:rPr>
          <w:rFonts w:ascii="Times New Roman" w:hAnsi="Times New Roman" w:cs="Times New Roman"/>
        </w:rPr>
        <w:t xml:space="preserve">That solar generation compensated at </w:t>
      </w:r>
      <w:r w:rsidR="001237A0" w:rsidRPr="00957A40">
        <w:rPr>
          <w:rFonts w:ascii="Times New Roman" w:hAnsi="Times New Roman" w:cs="Times New Roman"/>
        </w:rPr>
        <w:t xml:space="preserve">Renewable Cost Benefit Framework (“RCB”) </w:t>
      </w:r>
      <w:r w:rsidR="001237A0">
        <w:rPr>
          <w:rFonts w:ascii="Times New Roman" w:hAnsi="Times New Roman" w:cs="Times New Roman"/>
        </w:rPr>
        <w:t xml:space="preserve">avoided cost </w:t>
      </w:r>
      <w:r w:rsidRPr="00957A40">
        <w:rPr>
          <w:rFonts w:ascii="Times New Roman" w:hAnsi="Times New Roman" w:cs="Times New Roman"/>
        </w:rPr>
        <w:t>is “above-market pricing,” costing other customers more for electricity than if solicited through competitive bidding.</w:t>
      </w:r>
      <w:r>
        <w:rPr>
          <w:rStyle w:val="FootnoteReference"/>
          <w:rFonts w:ascii="Times New Roman" w:hAnsi="Times New Roman" w:cs="Times New Roman"/>
        </w:rPr>
        <w:footnoteReference w:id="7"/>
      </w:r>
      <w:r w:rsidRPr="00957A40">
        <w:rPr>
          <w:rFonts w:ascii="Times New Roman" w:hAnsi="Times New Roman" w:cs="Times New Roman"/>
        </w:rPr>
        <w:t xml:space="preserve">  </w:t>
      </w:r>
    </w:p>
    <w:p w14:paraId="03F4AA31" w14:textId="5C441C38" w:rsidR="00987E9E" w:rsidRDefault="00275E3E" w:rsidP="00987E9E">
      <w:pPr>
        <w:spacing w:after="0" w:line="480" w:lineRule="auto"/>
        <w:jc w:val="both"/>
        <w:rPr>
          <w:rFonts w:ascii="Times New Roman" w:hAnsi="Times New Roman" w:cs="Times New Roman"/>
        </w:rPr>
      </w:pPr>
      <w:r>
        <w:rPr>
          <w:rFonts w:ascii="Times New Roman" w:hAnsi="Times New Roman" w:cs="Times New Roman"/>
        </w:rPr>
        <w:t xml:space="preserve">In the IRP, </w:t>
      </w:r>
      <w:r w:rsidR="008E15EA" w:rsidRPr="00957A40">
        <w:rPr>
          <w:rFonts w:ascii="Times New Roman" w:hAnsi="Times New Roman" w:cs="Times New Roman"/>
        </w:rPr>
        <w:t>GSEIA</w:t>
      </w:r>
      <w:r w:rsidR="00BC3209" w:rsidRPr="00957A40">
        <w:rPr>
          <w:rFonts w:ascii="Times New Roman" w:hAnsi="Times New Roman" w:cs="Times New Roman"/>
        </w:rPr>
        <w:t xml:space="preserve"> </w:t>
      </w:r>
      <w:r w:rsidR="009703FB" w:rsidRPr="00957A40">
        <w:rPr>
          <w:rFonts w:ascii="Times New Roman" w:hAnsi="Times New Roman" w:cs="Times New Roman"/>
        </w:rPr>
        <w:t>urg</w:t>
      </w:r>
      <w:r w:rsidR="00BC3209" w:rsidRPr="00957A40">
        <w:rPr>
          <w:rFonts w:ascii="Times New Roman" w:hAnsi="Times New Roman" w:cs="Times New Roman"/>
        </w:rPr>
        <w:t>ed</w:t>
      </w:r>
      <w:r w:rsidR="009703FB" w:rsidRPr="00957A40">
        <w:rPr>
          <w:rFonts w:ascii="Times New Roman" w:hAnsi="Times New Roman" w:cs="Times New Roman"/>
        </w:rPr>
        <w:t xml:space="preserve"> the Commission to continue a customer-sited program</w:t>
      </w:r>
      <w:r w:rsidR="007A379F" w:rsidRPr="00957A40">
        <w:rPr>
          <w:rFonts w:ascii="Times New Roman" w:hAnsi="Times New Roman" w:cs="Times New Roman"/>
        </w:rPr>
        <w:t xml:space="preserve">.  </w:t>
      </w:r>
      <w:r w:rsidR="00FB2954">
        <w:rPr>
          <w:rFonts w:ascii="Times New Roman" w:hAnsi="Times New Roman" w:cs="Times New Roman"/>
        </w:rPr>
        <w:t xml:space="preserve">After being </w:t>
      </w:r>
      <w:r w:rsidR="00283FD2" w:rsidRPr="00957A40">
        <w:rPr>
          <w:rFonts w:ascii="Times New Roman" w:hAnsi="Times New Roman" w:cs="Times New Roman"/>
        </w:rPr>
        <w:t>fully litigated</w:t>
      </w:r>
      <w:r w:rsidR="007A379F" w:rsidRPr="00957A40">
        <w:rPr>
          <w:rFonts w:ascii="Times New Roman" w:hAnsi="Times New Roman" w:cs="Times New Roman"/>
        </w:rPr>
        <w:t xml:space="preserve">, </w:t>
      </w:r>
      <w:r w:rsidR="00FB2954">
        <w:rPr>
          <w:rFonts w:ascii="Times New Roman" w:hAnsi="Times New Roman" w:cs="Times New Roman"/>
        </w:rPr>
        <w:t>t</w:t>
      </w:r>
      <w:r w:rsidR="002E2509" w:rsidRPr="00957A40">
        <w:rPr>
          <w:rFonts w:ascii="Times New Roman" w:hAnsi="Times New Roman" w:cs="Times New Roman"/>
        </w:rPr>
        <w:t>he Commission directed the Company to implement a customer-sited DG program</w:t>
      </w:r>
      <w:r w:rsidR="002E2509">
        <w:rPr>
          <w:rStyle w:val="FootnoteReference"/>
          <w:rFonts w:ascii="Times New Roman" w:hAnsi="Times New Roman" w:cs="Times New Roman"/>
        </w:rPr>
        <w:footnoteReference w:id="8"/>
      </w:r>
      <w:r w:rsidR="002E2509" w:rsidRPr="00957A40">
        <w:rPr>
          <w:rFonts w:ascii="Times New Roman" w:hAnsi="Times New Roman" w:cs="Times New Roman"/>
        </w:rPr>
        <w:t xml:space="preserve"> to procure 50 MW of solar generation from projects one (1) to three (3) MW in size at </w:t>
      </w:r>
      <w:r w:rsidR="00987E9E">
        <w:rPr>
          <w:rFonts w:ascii="Times New Roman" w:hAnsi="Times New Roman" w:cs="Times New Roman"/>
        </w:rPr>
        <w:t xml:space="preserve">RCB avoided cost. </w:t>
      </w:r>
    </w:p>
    <w:p w14:paraId="2C44A0C5" w14:textId="6F77643B" w:rsidR="00894EDA" w:rsidRDefault="00F16A68" w:rsidP="00987E9E">
      <w:pPr>
        <w:spacing w:after="0" w:line="480" w:lineRule="auto"/>
        <w:ind w:firstLine="720"/>
        <w:jc w:val="both"/>
        <w:rPr>
          <w:rFonts w:ascii="Times New Roman" w:hAnsi="Times New Roman" w:cs="Times New Roman"/>
        </w:rPr>
      </w:pPr>
      <w:r>
        <w:rPr>
          <w:rFonts w:ascii="Times New Roman" w:hAnsi="Times New Roman" w:cs="Times New Roman"/>
        </w:rPr>
        <w:t>In response, t</w:t>
      </w:r>
      <w:r w:rsidR="00987E9E">
        <w:rPr>
          <w:rFonts w:ascii="Times New Roman" w:hAnsi="Times New Roman" w:cs="Times New Roman"/>
        </w:rPr>
        <w:t>he Company propose</w:t>
      </w:r>
      <w:r>
        <w:rPr>
          <w:rFonts w:ascii="Times New Roman" w:hAnsi="Times New Roman" w:cs="Times New Roman"/>
        </w:rPr>
        <w:t>d</w:t>
      </w:r>
      <w:r w:rsidR="00987E9E">
        <w:rPr>
          <w:rFonts w:ascii="Times New Roman" w:hAnsi="Times New Roman" w:cs="Times New Roman"/>
        </w:rPr>
        <w:t xml:space="preserve"> a program that will almost certainly fai</w:t>
      </w:r>
      <w:r>
        <w:rPr>
          <w:rFonts w:ascii="Times New Roman" w:hAnsi="Times New Roman" w:cs="Times New Roman"/>
        </w:rPr>
        <w:t>l</w:t>
      </w:r>
      <w:r w:rsidR="00987E9E">
        <w:rPr>
          <w:rFonts w:ascii="Times New Roman" w:hAnsi="Times New Roman" w:cs="Times New Roman"/>
        </w:rPr>
        <w:t xml:space="preserve"> and that </w:t>
      </w:r>
      <w:r w:rsidR="00275E3E">
        <w:rPr>
          <w:rFonts w:ascii="Times New Roman" w:hAnsi="Times New Roman" w:cs="Times New Roman"/>
        </w:rPr>
        <w:t>restrict</w:t>
      </w:r>
      <w:r w:rsidR="00BE7152">
        <w:rPr>
          <w:rFonts w:ascii="Times New Roman" w:hAnsi="Times New Roman" w:cs="Times New Roman"/>
        </w:rPr>
        <w:t>s</w:t>
      </w:r>
      <w:r w:rsidR="00275E3E">
        <w:rPr>
          <w:rFonts w:ascii="Times New Roman" w:hAnsi="Times New Roman" w:cs="Times New Roman"/>
        </w:rPr>
        <w:t xml:space="preserve"> the rights of its </w:t>
      </w:r>
      <w:r w:rsidR="00347D89">
        <w:rPr>
          <w:rFonts w:ascii="Times New Roman" w:hAnsi="Times New Roman" w:cs="Times New Roman"/>
        </w:rPr>
        <w:t xml:space="preserve">customers </w:t>
      </w:r>
      <w:r w:rsidR="00275E3E">
        <w:rPr>
          <w:rFonts w:ascii="Times New Roman" w:hAnsi="Times New Roman" w:cs="Times New Roman"/>
        </w:rPr>
        <w:t xml:space="preserve">who </w:t>
      </w:r>
      <w:r w:rsidR="00BE7152">
        <w:rPr>
          <w:rFonts w:ascii="Times New Roman" w:hAnsi="Times New Roman" w:cs="Times New Roman"/>
        </w:rPr>
        <w:t xml:space="preserve">must </w:t>
      </w:r>
      <w:r w:rsidR="00347D89">
        <w:rPr>
          <w:rFonts w:ascii="Times New Roman" w:hAnsi="Times New Roman" w:cs="Times New Roman"/>
        </w:rPr>
        <w:t>be</w:t>
      </w:r>
      <w:r w:rsidR="00275E3E">
        <w:rPr>
          <w:rFonts w:ascii="Times New Roman" w:hAnsi="Times New Roman" w:cs="Times New Roman"/>
        </w:rPr>
        <w:t>ar</w:t>
      </w:r>
      <w:r w:rsidR="00347D89">
        <w:rPr>
          <w:rFonts w:ascii="Times New Roman" w:hAnsi="Times New Roman" w:cs="Times New Roman"/>
        </w:rPr>
        <w:t xml:space="preserve"> the brunt of Customer </w:t>
      </w:r>
      <w:proofErr w:type="spellStart"/>
      <w:r w:rsidR="00347D89">
        <w:rPr>
          <w:rFonts w:ascii="Times New Roman" w:hAnsi="Times New Roman" w:cs="Times New Roman"/>
        </w:rPr>
        <w:t>Connected’s</w:t>
      </w:r>
      <w:proofErr w:type="spellEnd"/>
      <w:r w:rsidR="00347D89">
        <w:rPr>
          <w:rFonts w:ascii="Times New Roman" w:hAnsi="Times New Roman" w:cs="Times New Roman"/>
        </w:rPr>
        <w:t xml:space="preserve"> </w:t>
      </w:r>
      <w:r w:rsidR="00031D9E" w:rsidRPr="00957A40">
        <w:rPr>
          <w:rFonts w:ascii="Times New Roman" w:hAnsi="Times New Roman" w:cs="Times New Roman"/>
        </w:rPr>
        <w:t xml:space="preserve">complex </w:t>
      </w:r>
      <w:r w:rsidR="00283FD2" w:rsidRPr="00957A40">
        <w:rPr>
          <w:rFonts w:ascii="Times New Roman" w:hAnsi="Times New Roman" w:cs="Times New Roman"/>
        </w:rPr>
        <w:lastRenderedPageBreak/>
        <w:t>G</w:t>
      </w:r>
      <w:r w:rsidR="00AD60C3" w:rsidRPr="00957A40">
        <w:rPr>
          <w:rFonts w:ascii="Times New Roman" w:hAnsi="Times New Roman" w:cs="Times New Roman"/>
        </w:rPr>
        <w:t>uidelines and PPA terms</w:t>
      </w:r>
      <w:r w:rsidR="00275E3E">
        <w:rPr>
          <w:rFonts w:ascii="Times New Roman" w:hAnsi="Times New Roman" w:cs="Times New Roman"/>
        </w:rPr>
        <w:t xml:space="preserve"> </w:t>
      </w:r>
      <w:r>
        <w:rPr>
          <w:rFonts w:ascii="Times New Roman" w:hAnsi="Times New Roman" w:cs="Times New Roman"/>
        </w:rPr>
        <w:t xml:space="preserve">which </w:t>
      </w:r>
      <w:r w:rsidR="00031D9E" w:rsidRPr="00957A40">
        <w:rPr>
          <w:rFonts w:ascii="Times New Roman" w:hAnsi="Times New Roman" w:cs="Times New Roman"/>
        </w:rPr>
        <w:t>prohibit</w:t>
      </w:r>
      <w:r>
        <w:rPr>
          <w:rFonts w:ascii="Times New Roman" w:hAnsi="Times New Roman" w:cs="Times New Roman"/>
        </w:rPr>
        <w:t xml:space="preserve"> </w:t>
      </w:r>
      <w:r w:rsidR="00031D9E" w:rsidRPr="00957A40">
        <w:rPr>
          <w:rFonts w:ascii="Times New Roman" w:hAnsi="Times New Roman" w:cs="Times New Roman"/>
        </w:rPr>
        <w:t xml:space="preserve">a third-party </w:t>
      </w:r>
      <w:r w:rsidR="002E2509" w:rsidRPr="00957A40">
        <w:rPr>
          <w:rFonts w:ascii="Times New Roman" w:hAnsi="Times New Roman" w:cs="Times New Roman"/>
        </w:rPr>
        <w:t>PPA</w:t>
      </w:r>
      <w:r w:rsidR="00987E9E">
        <w:rPr>
          <w:rFonts w:ascii="Times New Roman" w:hAnsi="Times New Roman" w:cs="Times New Roman"/>
        </w:rPr>
        <w:t xml:space="preserve"> and IA</w:t>
      </w:r>
      <w:r w:rsidR="002E2509" w:rsidRPr="00957A40">
        <w:rPr>
          <w:rFonts w:ascii="Times New Roman" w:hAnsi="Times New Roman" w:cs="Times New Roman"/>
        </w:rPr>
        <w:t xml:space="preserve"> </w:t>
      </w:r>
      <w:r w:rsidR="00987E9E">
        <w:rPr>
          <w:rFonts w:ascii="Times New Roman" w:hAnsi="Times New Roman" w:cs="Times New Roman"/>
        </w:rPr>
        <w:t>counterpar</w:t>
      </w:r>
      <w:r w:rsidR="00031D9E" w:rsidRPr="00957A40">
        <w:rPr>
          <w:rFonts w:ascii="Times New Roman" w:hAnsi="Times New Roman" w:cs="Times New Roman"/>
        </w:rPr>
        <w:t>ty, increas</w:t>
      </w:r>
      <w:r>
        <w:rPr>
          <w:rFonts w:ascii="Times New Roman" w:hAnsi="Times New Roman" w:cs="Times New Roman"/>
        </w:rPr>
        <w:t>e</w:t>
      </w:r>
      <w:r w:rsidR="00BE7152">
        <w:rPr>
          <w:rFonts w:ascii="Times New Roman" w:hAnsi="Times New Roman" w:cs="Times New Roman"/>
        </w:rPr>
        <w:t xml:space="preserve"> already</w:t>
      </w:r>
      <w:r w:rsidR="00275E3E">
        <w:rPr>
          <w:rFonts w:ascii="Times New Roman" w:hAnsi="Times New Roman" w:cs="Times New Roman"/>
        </w:rPr>
        <w:t xml:space="preserve"> complex</w:t>
      </w:r>
      <w:r w:rsidR="00BC3209" w:rsidRPr="00957A40">
        <w:rPr>
          <w:rFonts w:ascii="Times New Roman" w:hAnsi="Times New Roman" w:cs="Times New Roman"/>
        </w:rPr>
        <w:t xml:space="preserve"> </w:t>
      </w:r>
      <w:r w:rsidR="00461A28" w:rsidRPr="00957A40">
        <w:rPr>
          <w:rFonts w:ascii="Times New Roman" w:hAnsi="Times New Roman" w:cs="Times New Roman"/>
        </w:rPr>
        <w:t xml:space="preserve">contractual </w:t>
      </w:r>
      <w:r w:rsidR="00BC3209" w:rsidRPr="00957A40">
        <w:rPr>
          <w:rFonts w:ascii="Times New Roman" w:hAnsi="Times New Roman" w:cs="Times New Roman"/>
        </w:rPr>
        <w:t>obligations</w:t>
      </w:r>
      <w:r w:rsidR="00275E3E">
        <w:rPr>
          <w:rFonts w:ascii="Times New Roman" w:hAnsi="Times New Roman" w:cs="Times New Roman"/>
        </w:rPr>
        <w:t>, increas</w:t>
      </w:r>
      <w:r>
        <w:rPr>
          <w:rFonts w:ascii="Times New Roman" w:hAnsi="Times New Roman" w:cs="Times New Roman"/>
        </w:rPr>
        <w:t>e</w:t>
      </w:r>
      <w:r w:rsidR="00BC3209" w:rsidRPr="00957A40">
        <w:rPr>
          <w:rFonts w:ascii="Times New Roman" w:hAnsi="Times New Roman" w:cs="Times New Roman"/>
        </w:rPr>
        <w:t xml:space="preserve"> </w:t>
      </w:r>
      <w:r w:rsidR="007A379F" w:rsidRPr="00957A40">
        <w:rPr>
          <w:rFonts w:ascii="Times New Roman" w:hAnsi="Times New Roman" w:cs="Times New Roman"/>
        </w:rPr>
        <w:t>economic</w:t>
      </w:r>
      <w:r w:rsidR="00BC3209" w:rsidRPr="00957A40">
        <w:rPr>
          <w:rFonts w:ascii="Times New Roman" w:hAnsi="Times New Roman" w:cs="Times New Roman"/>
        </w:rPr>
        <w:t xml:space="preserve"> risks</w:t>
      </w:r>
      <w:r w:rsidR="00275E3E">
        <w:rPr>
          <w:rFonts w:ascii="Times New Roman" w:hAnsi="Times New Roman" w:cs="Times New Roman"/>
        </w:rPr>
        <w:t xml:space="preserve"> (</w:t>
      </w:r>
      <w:r w:rsidR="00275E3E" w:rsidRPr="00957A40">
        <w:rPr>
          <w:rFonts w:ascii="Times New Roman" w:hAnsi="Times New Roman" w:cs="Times New Roman"/>
        </w:rPr>
        <w:t>coupled with declining prices)</w:t>
      </w:r>
      <w:r w:rsidR="00031D9E" w:rsidRPr="00957A40">
        <w:rPr>
          <w:rFonts w:ascii="Times New Roman" w:hAnsi="Times New Roman" w:cs="Times New Roman"/>
        </w:rPr>
        <w:t xml:space="preserve">, </w:t>
      </w:r>
      <w:r w:rsidR="00275E3E">
        <w:rPr>
          <w:rFonts w:ascii="Times New Roman" w:hAnsi="Times New Roman" w:cs="Times New Roman"/>
        </w:rPr>
        <w:t>reduc</w:t>
      </w:r>
      <w:r>
        <w:rPr>
          <w:rFonts w:ascii="Times New Roman" w:hAnsi="Times New Roman" w:cs="Times New Roman"/>
        </w:rPr>
        <w:t>e</w:t>
      </w:r>
      <w:r w:rsidR="00275E3E">
        <w:rPr>
          <w:rFonts w:ascii="Times New Roman" w:hAnsi="Times New Roman" w:cs="Times New Roman"/>
        </w:rPr>
        <w:t xml:space="preserve"> the customer’s ability to transfer their property, increas</w:t>
      </w:r>
      <w:r>
        <w:rPr>
          <w:rFonts w:ascii="Times New Roman" w:hAnsi="Times New Roman" w:cs="Times New Roman"/>
        </w:rPr>
        <w:t>e</w:t>
      </w:r>
      <w:r w:rsidR="00275E3E">
        <w:rPr>
          <w:rFonts w:ascii="Times New Roman" w:hAnsi="Times New Roman" w:cs="Times New Roman"/>
        </w:rPr>
        <w:t xml:space="preserve"> </w:t>
      </w:r>
      <w:r w:rsidR="00031D9E" w:rsidRPr="00957A40">
        <w:rPr>
          <w:rFonts w:ascii="Times New Roman" w:hAnsi="Times New Roman" w:cs="Times New Roman"/>
        </w:rPr>
        <w:t xml:space="preserve">fees and </w:t>
      </w:r>
      <w:r w:rsidR="00275E3E">
        <w:rPr>
          <w:rFonts w:ascii="Times New Roman" w:hAnsi="Times New Roman" w:cs="Times New Roman"/>
        </w:rPr>
        <w:t>impos</w:t>
      </w:r>
      <w:r w:rsidR="005D0F7F">
        <w:rPr>
          <w:rFonts w:ascii="Times New Roman" w:hAnsi="Times New Roman" w:cs="Times New Roman"/>
        </w:rPr>
        <w:t>e</w:t>
      </w:r>
      <w:r w:rsidR="00275E3E">
        <w:rPr>
          <w:rFonts w:ascii="Times New Roman" w:hAnsi="Times New Roman" w:cs="Times New Roman"/>
        </w:rPr>
        <w:t xml:space="preserve"> liquidated damages as contract performance </w:t>
      </w:r>
      <w:r w:rsidR="00031D9E" w:rsidRPr="00957A40">
        <w:rPr>
          <w:rFonts w:ascii="Times New Roman" w:hAnsi="Times New Roman" w:cs="Times New Roman"/>
        </w:rPr>
        <w:t>penalties</w:t>
      </w:r>
      <w:r w:rsidR="00347D89">
        <w:rPr>
          <w:rFonts w:ascii="Times New Roman" w:hAnsi="Times New Roman" w:cs="Times New Roman"/>
        </w:rPr>
        <w:t xml:space="preserve">.  </w:t>
      </w:r>
      <w:r w:rsidR="00987E9E">
        <w:rPr>
          <w:rFonts w:ascii="Times New Roman" w:hAnsi="Times New Roman" w:cs="Times New Roman"/>
        </w:rPr>
        <w:t xml:space="preserve">Finally, the rates the Company proposes to pay for electricity from these DG projects </w:t>
      </w:r>
      <w:r w:rsidR="0040594C">
        <w:rPr>
          <w:rFonts w:ascii="Times New Roman" w:hAnsi="Times New Roman" w:cs="Times New Roman"/>
        </w:rPr>
        <w:t xml:space="preserve">are </w:t>
      </w:r>
      <w:r w:rsidR="005B3280">
        <w:rPr>
          <w:rFonts w:ascii="Times New Roman" w:hAnsi="Times New Roman" w:cs="Times New Roman"/>
        </w:rPr>
        <w:t xml:space="preserve">almost 40% lower than rates offered in REDI, adding to the customer’s economic risk, </w:t>
      </w:r>
      <w:r>
        <w:rPr>
          <w:rFonts w:ascii="Times New Roman" w:hAnsi="Times New Roman" w:cs="Times New Roman"/>
        </w:rPr>
        <w:t xml:space="preserve">deterring financing, </w:t>
      </w:r>
      <w:r w:rsidR="005B3280">
        <w:rPr>
          <w:rFonts w:ascii="Times New Roman" w:hAnsi="Times New Roman" w:cs="Times New Roman"/>
        </w:rPr>
        <w:t xml:space="preserve">rendering the program unworkable and </w:t>
      </w:r>
      <w:r>
        <w:rPr>
          <w:rFonts w:ascii="Times New Roman" w:hAnsi="Times New Roman" w:cs="Times New Roman"/>
        </w:rPr>
        <w:t xml:space="preserve">potentially </w:t>
      </w:r>
      <w:r w:rsidR="005B3280">
        <w:rPr>
          <w:rFonts w:ascii="Times New Roman" w:hAnsi="Times New Roman" w:cs="Times New Roman"/>
        </w:rPr>
        <w:t xml:space="preserve">jeopardizing future DG deployment in Georgia.  </w:t>
      </w:r>
      <w:r w:rsidR="00F95416">
        <w:rPr>
          <w:rFonts w:ascii="Times New Roman" w:hAnsi="Times New Roman" w:cs="Times New Roman"/>
        </w:rPr>
        <w:t>When the Customer Connected Guidelines</w:t>
      </w:r>
      <w:r w:rsidR="005B3280">
        <w:rPr>
          <w:rFonts w:ascii="Times New Roman" w:hAnsi="Times New Roman" w:cs="Times New Roman"/>
        </w:rPr>
        <w:t>,</w:t>
      </w:r>
      <w:r w:rsidR="00F95416">
        <w:rPr>
          <w:rFonts w:ascii="Times New Roman" w:hAnsi="Times New Roman" w:cs="Times New Roman"/>
        </w:rPr>
        <w:t xml:space="preserve"> PPA</w:t>
      </w:r>
      <w:r w:rsidR="005B3280">
        <w:rPr>
          <w:rFonts w:ascii="Times New Roman" w:hAnsi="Times New Roman" w:cs="Times New Roman"/>
        </w:rPr>
        <w:t xml:space="preserve"> and pricing</w:t>
      </w:r>
      <w:r w:rsidR="00F95416">
        <w:rPr>
          <w:rFonts w:ascii="Times New Roman" w:hAnsi="Times New Roman" w:cs="Times New Roman"/>
        </w:rPr>
        <w:t xml:space="preserve"> are fully and accurately explained to the customer, there will be little incentive to deploy.  For these reasons</w:t>
      </w:r>
      <w:r w:rsidR="00347D89">
        <w:rPr>
          <w:rFonts w:ascii="Times New Roman" w:hAnsi="Times New Roman" w:cs="Times New Roman"/>
        </w:rPr>
        <w:t xml:space="preserve">, Customer Connected is </w:t>
      </w:r>
      <w:r w:rsidR="00BC3209" w:rsidRPr="00957A40">
        <w:rPr>
          <w:rFonts w:ascii="Times New Roman" w:hAnsi="Times New Roman" w:cs="Times New Roman"/>
        </w:rPr>
        <w:t>un</w:t>
      </w:r>
      <w:r w:rsidR="00894EDA" w:rsidRPr="00957A40">
        <w:rPr>
          <w:rFonts w:ascii="Times New Roman" w:hAnsi="Times New Roman" w:cs="Times New Roman"/>
        </w:rPr>
        <w:t>likely</w:t>
      </w:r>
      <w:r w:rsidR="00031D9E" w:rsidRPr="00957A40">
        <w:rPr>
          <w:rFonts w:ascii="Times New Roman" w:hAnsi="Times New Roman" w:cs="Times New Roman"/>
        </w:rPr>
        <w:t xml:space="preserve"> to </w:t>
      </w:r>
      <w:r w:rsidR="00894EDA" w:rsidRPr="00957A40">
        <w:rPr>
          <w:rFonts w:ascii="Times New Roman" w:hAnsi="Times New Roman" w:cs="Times New Roman"/>
        </w:rPr>
        <w:t>succe</w:t>
      </w:r>
      <w:r w:rsidR="007A379F" w:rsidRPr="00957A40">
        <w:rPr>
          <w:rFonts w:ascii="Times New Roman" w:hAnsi="Times New Roman" w:cs="Times New Roman"/>
        </w:rPr>
        <w:t>ed</w:t>
      </w:r>
      <w:r w:rsidR="00894EDA" w:rsidRPr="00957A40">
        <w:rPr>
          <w:rFonts w:ascii="Times New Roman" w:hAnsi="Times New Roman" w:cs="Times New Roman"/>
        </w:rPr>
        <w:t xml:space="preserve">, </w:t>
      </w:r>
      <w:r w:rsidR="00BC3209" w:rsidRPr="00957A40">
        <w:rPr>
          <w:rFonts w:ascii="Times New Roman" w:hAnsi="Times New Roman" w:cs="Times New Roman"/>
        </w:rPr>
        <w:t>begging the question of whether a</w:t>
      </w:r>
      <w:r w:rsidR="00F95416">
        <w:rPr>
          <w:rFonts w:ascii="Times New Roman" w:hAnsi="Times New Roman" w:cs="Times New Roman"/>
        </w:rPr>
        <w:t>n</w:t>
      </w:r>
      <w:r w:rsidR="00BC3209" w:rsidRPr="00957A40">
        <w:rPr>
          <w:rFonts w:ascii="Times New Roman" w:hAnsi="Times New Roman" w:cs="Times New Roman"/>
        </w:rPr>
        <w:t xml:space="preserve"> </w:t>
      </w:r>
      <w:r w:rsidR="0045556D">
        <w:rPr>
          <w:rFonts w:ascii="Times New Roman" w:hAnsi="Times New Roman" w:cs="Times New Roman"/>
        </w:rPr>
        <w:t xml:space="preserve">unsuccessful </w:t>
      </w:r>
      <w:r w:rsidR="00BC3209" w:rsidRPr="00957A40">
        <w:rPr>
          <w:rFonts w:ascii="Times New Roman" w:hAnsi="Times New Roman" w:cs="Times New Roman"/>
        </w:rPr>
        <w:t xml:space="preserve">program </w:t>
      </w:r>
      <w:r w:rsidR="00220C53" w:rsidRPr="00957A40">
        <w:rPr>
          <w:rFonts w:ascii="Times New Roman" w:hAnsi="Times New Roman" w:cs="Times New Roman"/>
        </w:rPr>
        <w:t>i</w:t>
      </w:r>
      <w:r w:rsidR="0045556D">
        <w:rPr>
          <w:rFonts w:ascii="Times New Roman" w:hAnsi="Times New Roman" w:cs="Times New Roman"/>
        </w:rPr>
        <w:t>s</w:t>
      </w:r>
      <w:r w:rsidR="00220C53" w:rsidRPr="00957A40">
        <w:rPr>
          <w:rFonts w:ascii="Times New Roman" w:hAnsi="Times New Roman" w:cs="Times New Roman"/>
        </w:rPr>
        <w:t xml:space="preserve"> </w:t>
      </w:r>
      <w:r w:rsidR="00BC3209" w:rsidRPr="00957A40">
        <w:rPr>
          <w:rFonts w:ascii="Times New Roman" w:hAnsi="Times New Roman" w:cs="Times New Roman"/>
        </w:rPr>
        <w:t>really a program at all.</w:t>
      </w:r>
      <w:r w:rsidR="00275E3E">
        <w:rPr>
          <w:rFonts w:ascii="Times New Roman" w:hAnsi="Times New Roman" w:cs="Times New Roman"/>
        </w:rPr>
        <w:t xml:space="preserve"> </w:t>
      </w:r>
    </w:p>
    <w:p w14:paraId="01E84083" w14:textId="437353CB" w:rsidR="002E5B3A" w:rsidRPr="006158FF" w:rsidRDefault="002E5B3A" w:rsidP="002E5B3A">
      <w:pPr>
        <w:spacing w:after="0" w:line="480" w:lineRule="auto"/>
        <w:jc w:val="center"/>
        <w:rPr>
          <w:rFonts w:ascii="Times New Roman" w:hAnsi="Times New Roman" w:cs="Times New Roman"/>
          <w:b/>
          <w:bCs/>
        </w:rPr>
      </w:pPr>
      <w:r w:rsidRPr="006158FF">
        <w:rPr>
          <w:rFonts w:ascii="Times New Roman" w:hAnsi="Times New Roman" w:cs="Times New Roman"/>
          <w:b/>
          <w:bCs/>
        </w:rPr>
        <w:t>II.</w:t>
      </w:r>
    </w:p>
    <w:p w14:paraId="6DE40A8E" w14:textId="77777777" w:rsidR="002E5B3A" w:rsidRDefault="002E5B3A" w:rsidP="002E5B3A">
      <w:pPr>
        <w:spacing w:after="0" w:line="480" w:lineRule="auto"/>
        <w:jc w:val="center"/>
        <w:rPr>
          <w:rFonts w:ascii="Times New Roman" w:hAnsi="Times New Roman" w:cs="Times New Roman"/>
          <w:b/>
          <w:bCs/>
        </w:rPr>
      </w:pPr>
      <w:r w:rsidRPr="006158FF">
        <w:rPr>
          <w:rFonts w:ascii="Times New Roman" w:hAnsi="Times New Roman" w:cs="Times New Roman"/>
          <w:b/>
          <w:bCs/>
        </w:rPr>
        <w:t xml:space="preserve">COMMENTS </w:t>
      </w:r>
      <w:r>
        <w:rPr>
          <w:rFonts w:ascii="Times New Roman" w:hAnsi="Times New Roman" w:cs="Times New Roman"/>
          <w:b/>
          <w:bCs/>
        </w:rPr>
        <w:t xml:space="preserve">ON </w:t>
      </w:r>
      <w:r w:rsidRPr="006158FF">
        <w:rPr>
          <w:rFonts w:ascii="Times New Roman" w:hAnsi="Times New Roman" w:cs="Times New Roman"/>
          <w:b/>
          <w:bCs/>
        </w:rPr>
        <w:t>THE COMPANY’S BASIS FOR PROGRAM CHANGES</w:t>
      </w:r>
    </w:p>
    <w:p w14:paraId="2E23DFFC" w14:textId="29685FD6" w:rsidR="002E5B3A" w:rsidRDefault="002E5B3A" w:rsidP="006158FF">
      <w:pPr>
        <w:spacing w:after="0" w:line="240" w:lineRule="auto"/>
        <w:ind w:firstLine="720"/>
        <w:jc w:val="both"/>
        <w:rPr>
          <w:rFonts w:ascii="Times New Roman" w:hAnsi="Times New Roman" w:cs="Times New Roman"/>
          <w:b/>
          <w:bCs/>
        </w:rPr>
      </w:pPr>
      <w:r>
        <w:rPr>
          <w:rFonts w:ascii="Times New Roman" w:hAnsi="Times New Roman" w:cs="Times New Roman"/>
          <w:b/>
          <w:bCs/>
        </w:rPr>
        <w:t xml:space="preserve">A.  </w:t>
      </w:r>
      <w:r w:rsidRPr="00055650">
        <w:rPr>
          <w:rFonts w:ascii="Times New Roman" w:hAnsi="Times New Roman" w:cs="Times New Roman"/>
          <w:b/>
          <w:bCs/>
        </w:rPr>
        <w:t>C</w:t>
      </w:r>
      <w:r>
        <w:rPr>
          <w:rFonts w:ascii="Times New Roman" w:hAnsi="Times New Roman" w:cs="Times New Roman"/>
          <w:b/>
          <w:bCs/>
        </w:rPr>
        <w:t xml:space="preserve">ustomers benefit when a third-party </w:t>
      </w:r>
      <w:r w:rsidR="00F16A68">
        <w:rPr>
          <w:rFonts w:ascii="Times New Roman" w:hAnsi="Times New Roman" w:cs="Times New Roman"/>
          <w:b/>
          <w:bCs/>
        </w:rPr>
        <w:t xml:space="preserve">executes </w:t>
      </w:r>
      <w:r>
        <w:rPr>
          <w:rFonts w:ascii="Times New Roman" w:hAnsi="Times New Roman" w:cs="Times New Roman"/>
          <w:b/>
          <w:bCs/>
        </w:rPr>
        <w:t>the PPA.</w:t>
      </w:r>
    </w:p>
    <w:p w14:paraId="31548E1B" w14:textId="77777777" w:rsidR="002E5B3A" w:rsidRPr="006158FF" w:rsidRDefault="002E5B3A" w:rsidP="006158FF">
      <w:pPr>
        <w:spacing w:after="0" w:line="240" w:lineRule="auto"/>
        <w:jc w:val="both"/>
        <w:rPr>
          <w:rFonts w:ascii="Times New Roman" w:hAnsi="Times New Roman" w:cs="Times New Roman"/>
          <w:b/>
          <w:bCs/>
        </w:rPr>
      </w:pPr>
    </w:p>
    <w:p w14:paraId="063E717D" w14:textId="6243B6B2" w:rsidR="00D5750A" w:rsidRDefault="002E5B3A" w:rsidP="00D5750A">
      <w:pPr>
        <w:spacing w:after="0" w:line="480" w:lineRule="auto"/>
        <w:ind w:firstLine="720"/>
        <w:jc w:val="both"/>
        <w:rPr>
          <w:rFonts w:ascii="Times New Roman" w:hAnsi="Times New Roman" w:cs="Times New Roman"/>
        </w:rPr>
      </w:pPr>
      <w:r>
        <w:rPr>
          <w:rFonts w:ascii="Times New Roman" w:hAnsi="Times New Roman" w:cs="Times New Roman"/>
        </w:rPr>
        <w:t xml:space="preserve">The </w:t>
      </w:r>
      <w:r w:rsidRPr="006158FF">
        <w:rPr>
          <w:rFonts w:ascii="Times New Roman" w:hAnsi="Times New Roman" w:cs="Times New Roman"/>
        </w:rPr>
        <w:t>Company</w:t>
      </w:r>
      <w:r>
        <w:rPr>
          <w:rFonts w:ascii="Times New Roman" w:hAnsi="Times New Roman" w:cs="Times New Roman"/>
        </w:rPr>
        <w:t xml:space="preserve"> claims that customers in ASI Prime Group B and REDI received no benefit from the solar facility when a third party executed the PPA</w:t>
      </w:r>
      <w:r w:rsidRPr="006158FF">
        <w:rPr>
          <w:rFonts w:ascii="Times New Roman" w:hAnsi="Times New Roman" w:cs="Times New Roman"/>
        </w:rPr>
        <w:t xml:space="preserve">.  This is </w:t>
      </w:r>
      <w:r>
        <w:rPr>
          <w:rFonts w:ascii="Times New Roman" w:hAnsi="Times New Roman" w:cs="Times New Roman"/>
        </w:rPr>
        <w:t>belied by the success of th</w:t>
      </w:r>
      <w:r w:rsidR="00ED3C36">
        <w:rPr>
          <w:rFonts w:ascii="Times New Roman" w:hAnsi="Times New Roman" w:cs="Times New Roman"/>
        </w:rPr>
        <w:t>ose</w:t>
      </w:r>
      <w:r>
        <w:rPr>
          <w:rFonts w:ascii="Times New Roman" w:hAnsi="Times New Roman" w:cs="Times New Roman"/>
        </w:rPr>
        <w:t xml:space="preserve"> programs</w:t>
      </w:r>
      <w:r w:rsidR="00ED3C36">
        <w:rPr>
          <w:rFonts w:ascii="Times New Roman" w:hAnsi="Times New Roman" w:cs="Times New Roman"/>
        </w:rPr>
        <w:t xml:space="preserve"> and (as shown below) the Company’s own Guidelines and PPA terms</w:t>
      </w:r>
      <w:r w:rsidR="001424E4">
        <w:rPr>
          <w:rFonts w:ascii="Times New Roman" w:hAnsi="Times New Roman" w:cs="Times New Roman"/>
        </w:rPr>
        <w:t xml:space="preserve"> which</w:t>
      </w:r>
      <w:r w:rsidR="00ED3C36">
        <w:rPr>
          <w:rFonts w:ascii="Times New Roman" w:hAnsi="Times New Roman" w:cs="Times New Roman"/>
        </w:rPr>
        <w:t xml:space="preserve"> specifically allowed either the customer o</w:t>
      </w:r>
      <w:r w:rsidR="001424E4">
        <w:rPr>
          <w:rFonts w:ascii="Times New Roman" w:hAnsi="Times New Roman" w:cs="Times New Roman"/>
        </w:rPr>
        <w:t>r</w:t>
      </w:r>
      <w:r w:rsidR="00ED3C36">
        <w:rPr>
          <w:rFonts w:ascii="Times New Roman" w:hAnsi="Times New Roman" w:cs="Times New Roman"/>
        </w:rPr>
        <w:t xml:space="preserve"> a third party to own the solar facility and execute the PPA.</w:t>
      </w:r>
      <w:r w:rsidR="00ED3C36">
        <w:rPr>
          <w:rStyle w:val="FootnoteReference"/>
          <w:rFonts w:ascii="Times New Roman" w:hAnsi="Times New Roman" w:cs="Times New Roman"/>
        </w:rPr>
        <w:footnoteReference w:id="9"/>
      </w:r>
      <w:r w:rsidR="00ED3C36">
        <w:rPr>
          <w:rFonts w:ascii="Times New Roman" w:hAnsi="Times New Roman" w:cs="Times New Roman"/>
        </w:rPr>
        <w:t xml:space="preserve">  </w:t>
      </w:r>
      <w:r w:rsidR="00D5750A">
        <w:rPr>
          <w:rFonts w:ascii="Times New Roman" w:hAnsi="Times New Roman" w:cs="Times New Roman"/>
        </w:rPr>
        <w:t xml:space="preserve">  Both p</w:t>
      </w:r>
      <w:r w:rsidR="00D5750A" w:rsidRPr="00002961">
        <w:rPr>
          <w:rFonts w:ascii="Times New Roman" w:hAnsi="Times New Roman" w:cs="Times New Roman"/>
        </w:rPr>
        <w:t>rogram</w:t>
      </w:r>
      <w:r w:rsidR="00D5750A">
        <w:rPr>
          <w:rFonts w:ascii="Times New Roman" w:hAnsi="Times New Roman" w:cs="Times New Roman"/>
        </w:rPr>
        <w:t xml:space="preserve">s were well received, and the 50MW available in REDI were oversubscribed.  </w:t>
      </w:r>
    </w:p>
    <w:p w14:paraId="7E7B3A95" w14:textId="4D927279" w:rsidR="00ED3C36" w:rsidRDefault="00ED3C36" w:rsidP="006158FF">
      <w:pPr>
        <w:spacing w:after="0" w:line="480" w:lineRule="auto"/>
        <w:ind w:firstLine="720"/>
        <w:jc w:val="both"/>
        <w:rPr>
          <w:rFonts w:ascii="Times New Roman" w:hAnsi="Times New Roman" w:cs="Times New Roman"/>
        </w:rPr>
      </w:pPr>
      <w:r>
        <w:rPr>
          <w:rFonts w:ascii="Times New Roman" w:hAnsi="Times New Roman" w:cs="Times New Roman"/>
        </w:rPr>
        <w:t xml:space="preserve">Further, the Company acknowledged the customer’s </w:t>
      </w:r>
      <w:r w:rsidR="0084425F">
        <w:rPr>
          <w:rFonts w:ascii="Times New Roman" w:hAnsi="Times New Roman" w:cs="Times New Roman"/>
        </w:rPr>
        <w:t xml:space="preserve">ability to negotiate the </w:t>
      </w:r>
      <w:r>
        <w:rPr>
          <w:rFonts w:ascii="Times New Roman" w:hAnsi="Times New Roman" w:cs="Times New Roman"/>
        </w:rPr>
        <w:t xml:space="preserve">benefit </w:t>
      </w:r>
      <w:r w:rsidR="0084425F">
        <w:rPr>
          <w:rFonts w:ascii="Times New Roman" w:hAnsi="Times New Roman" w:cs="Times New Roman"/>
        </w:rPr>
        <w:t xml:space="preserve">it wants to receive </w:t>
      </w:r>
      <w:r>
        <w:rPr>
          <w:rFonts w:ascii="Times New Roman" w:hAnsi="Times New Roman" w:cs="Times New Roman"/>
        </w:rPr>
        <w:t xml:space="preserve">from third-party execution of the PPA, stating:  </w:t>
      </w:r>
    </w:p>
    <w:p w14:paraId="45584CD9" w14:textId="70B55DFE" w:rsidR="00ED3C36" w:rsidRDefault="00ED3C36" w:rsidP="006158FF">
      <w:pPr>
        <w:spacing w:after="0" w:line="240" w:lineRule="auto"/>
        <w:ind w:left="720"/>
        <w:jc w:val="both"/>
        <w:rPr>
          <w:rFonts w:ascii="Times New Roman" w:hAnsi="Times New Roman" w:cs="Times New Roman"/>
        </w:rPr>
      </w:pPr>
      <w:r w:rsidRPr="003B3EDB">
        <w:rPr>
          <w:rFonts w:ascii="Times New Roman" w:hAnsi="Times New Roman" w:cs="Times New Roman"/>
        </w:rPr>
        <w:lastRenderedPageBreak/>
        <w:t xml:space="preserve">If the Customer is the Seller under the PPA, the Customer gets the economic benefit resulting from selling solar generation to Georgia Power. </w:t>
      </w:r>
      <w:r w:rsidRPr="003B3EDB">
        <w:rPr>
          <w:rFonts w:ascii="Times New Roman" w:hAnsi="Times New Roman" w:cs="Times New Roman"/>
          <w:i/>
          <w:iCs/>
        </w:rPr>
        <w:t>If a solar farm is constructed on behalf of a Customer (Customer is not the Seller under the PPA),</w:t>
      </w:r>
      <w:r w:rsidRPr="003B3EDB">
        <w:rPr>
          <w:rFonts w:ascii="Times New Roman" w:hAnsi="Times New Roman" w:cs="Times New Roman"/>
        </w:rPr>
        <w:t xml:space="preserve"> </w:t>
      </w:r>
      <w:r w:rsidRPr="003B3EDB">
        <w:rPr>
          <w:rFonts w:ascii="Times New Roman" w:hAnsi="Times New Roman" w:cs="Times New Roman"/>
          <w:i/>
          <w:iCs/>
        </w:rPr>
        <w:t>the benefits to the Customer are negotiated between the Customer and Seller</w:t>
      </w:r>
      <w:r w:rsidRPr="003B3EDB">
        <w:rPr>
          <w:rFonts w:ascii="Times New Roman" w:hAnsi="Times New Roman" w:cs="Times New Roman"/>
        </w:rPr>
        <w:t>.”</w:t>
      </w:r>
      <w:r>
        <w:rPr>
          <w:rStyle w:val="FootnoteReference"/>
          <w:rFonts w:ascii="Times New Roman" w:hAnsi="Times New Roman" w:cs="Times New Roman"/>
        </w:rPr>
        <w:footnoteReference w:id="10"/>
      </w:r>
      <w:r w:rsidR="0084425F">
        <w:rPr>
          <w:rFonts w:ascii="Times New Roman" w:hAnsi="Times New Roman" w:cs="Times New Roman"/>
        </w:rPr>
        <w:t xml:space="preserve"> (Emphasis added)</w:t>
      </w:r>
    </w:p>
    <w:p w14:paraId="4C625352" w14:textId="228FE164" w:rsidR="0084425F" w:rsidRDefault="0084425F" w:rsidP="0084425F">
      <w:pPr>
        <w:spacing w:after="0" w:line="240" w:lineRule="auto"/>
        <w:jc w:val="both"/>
        <w:rPr>
          <w:rFonts w:ascii="Times New Roman" w:hAnsi="Times New Roman" w:cs="Times New Roman"/>
        </w:rPr>
      </w:pPr>
    </w:p>
    <w:p w14:paraId="04C67520" w14:textId="65100D72" w:rsidR="0084425F" w:rsidRDefault="0084425F" w:rsidP="0084425F">
      <w:pPr>
        <w:spacing w:after="0" w:line="480" w:lineRule="auto"/>
        <w:jc w:val="both"/>
        <w:rPr>
          <w:rFonts w:ascii="Times New Roman" w:hAnsi="Times New Roman" w:cs="Times New Roman"/>
        </w:rPr>
      </w:pPr>
      <w:r w:rsidRPr="006158FF">
        <w:rPr>
          <w:rFonts w:ascii="Times New Roman" w:hAnsi="Times New Roman" w:cs="Times New Roman"/>
        </w:rPr>
        <w:t>Thus,</w:t>
      </w:r>
      <w:r>
        <w:rPr>
          <w:rFonts w:ascii="Times New Roman" w:hAnsi="Times New Roman" w:cs="Times New Roman"/>
        </w:rPr>
        <w:t xml:space="preserve"> the Company supported the right of its</w:t>
      </w:r>
      <w:r w:rsidRPr="006158FF">
        <w:rPr>
          <w:rFonts w:ascii="Times New Roman" w:hAnsi="Times New Roman" w:cs="Times New Roman"/>
        </w:rPr>
        <w:t xml:space="preserve"> customer </w:t>
      </w:r>
      <w:r>
        <w:rPr>
          <w:rFonts w:ascii="Times New Roman" w:hAnsi="Times New Roman" w:cs="Times New Roman"/>
        </w:rPr>
        <w:t xml:space="preserve">to </w:t>
      </w:r>
      <w:r w:rsidRPr="006158FF">
        <w:rPr>
          <w:rFonts w:ascii="Times New Roman" w:hAnsi="Times New Roman" w:cs="Times New Roman"/>
        </w:rPr>
        <w:t>free</w:t>
      </w:r>
      <w:r>
        <w:rPr>
          <w:rFonts w:ascii="Times New Roman" w:hAnsi="Times New Roman" w:cs="Times New Roman"/>
        </w:rPr>
        <w:t>ly</w:t>
      </w:r>
      <w:r w:rsidRPr="006158FF">
        <w:rPr>
          <w:rFonts w:ascii="Times New Roman" w:hAnsi="Times New Roman" w:cs="Times New Roman"/>
        </w:rPr>
        <w:t xml:space="preserve"> negotiate the benefits they would receive</w:t>
      </w:r>
      <w:r>
        <w:rPr>
          <w:rFonts w:ascii="Times New Roman" w:hAnsi="Times New Roman" w:cs="Times New Roman"/>
        </w:rPr>
        <w:t xml:space="preserve"> with the third-party.  It is beyond the </w:t>
      </w:r>
      <w:r w:rsidRPr="006158FF">
        <w:rPr>
          <w:rFonts w:ascii="Times New Roman" w:hAnsi="Times New Roman" w:cs="Times New Roman"/>
        </w:rPr>
        <w:t>Company</w:t>
      </w:r>
      <w:r>
        <w:rPr>
          <w:rFonts w:ascii="Times New Roman" w:hAnsi="Times New Roman" w:cs="Times New Roman"/>
        </w:rPr>
        <w:t xml:space="preserve">’s purview to decide (for its customer) whether the Customer benefitted or not.  </w:t>
      </w:r>
    </w:p>
    <w:p w14:paraId="005767BE" w14:textId="3471900A" w:rsidR="00FD154B" w:rsidRDefault="00D5750A" w:rsidP="00D5750A">
      <w:pPr>
        <w:spacing w:after="0" w:line="480" w:lineRule="auto"/>
        <w:jc w:val="both"/>
        <w:rPr>
          <w:rFonts w:ascii="Times New Roman" w:hAnsi="Times New Roman" w:cs="Times New Roman"/>
        </w:rPr>
      </w:pPr>
      <w:r>
        <w:rPr>
          <w:rFonts w:ascii="Times New Roman" w:hAnsi="Times New Roman" w:cs="Times New Roman"/>
        </w:rPr>
        <w:tab/>
        <w:t>That said, t</w:t>
      </w:r>
      <w:r w:rsidR="002E5B3A" w:rsidRPr="006158FF">
        <w:rPr>
          <w:rFonts w:ascii="Times New Roman" w:hAnsi="Times New Roman" w:cs="Times New Roman"/>
        </w:rPr>
        <w:t xml:space="preserve">he Company suggests in its Application that </w:t>
      </w:r>
      <w:r>
        <w:rPr>
          <w:rFonts w:ascii="Times New Roman" w:hAnsi="Times New Roman" w:cs="Times New Roman"/>
        </w:rPr>
        <w:t>c</w:t>
      </w:r>
      <w:r w:rsidR="002E5B3A" w:rsidRPr="006158FF">
        <w:rPr>
          <w:rFonts w:ascii="Times New Roman" w:hAnsi="Times New Roman" w:cs="Times New Roman"/>
        </w:rPr>
        <w:t>ustomers did not benefit from the prior Customer Sited programs.</w:t>
      </w:r>
      <w:r w:rsidR="002E5B3A">
        <w:rPr>
          <w:rStyle w:val="FootnoteReference"/>
          <w:rFonts w:ascii="Times New Roman" w:hAnsi="Times New Roman" w:cs="Times New Roman"/>
        </w:rPr>
        <w:footnoteReference w:id="11"/>
      </w:r>
      <w:r>
        <w:rPr>
          <w:rFonts w:ascii="Times New Roman" w:hAnsi="Times New Roman" w:cs="Times New Roman"/>
        </w:rPr>
        <w:t xml:space="preserve">  </w:t>
      </w:r>
      <w:r w:rsidR="002E5B3A" w:rsidRPr="006158FF">
        <w:rPr>
          <w:rFonts w:ascii="Times New Roman" w:hAnsi="Times New Roman" w:cs="Times New Roman"/>
        </w:rPr>
        <w:t xml:space="preserve">Every customer had its </w:t>
      </w:r>
      <w:r w:rsidR="00F16A68">
        <w:rPr>
          <w:rFonts w:ascii="Times New Roman" w:hAnsi="Times New Roman" w:cs="Times New Roman"/>
        </w:rPr>
        <w:t xml:space="preserve">own </w:t>
      </w:r>
      <w:r w:rsidR="002E5B3A" w:rsidRPr="006158FF">
        <w:rPr>
          <w:rFonts w:ascii="Times New Roman" w:hAnsi="Times New Roman" w:cs="Times New Roman"/>
        </w:rPr>
        <w:t xml:space="preserve">reasons </w:t>
      </w:r>
      <w:r w:rsidR="00F16A68">
        <w:rPr>
          <w:rFonts w:ascii="Times New Roman" w:hAnsi="Times New Roman" w:cs="Times New Roman"/>
        </w:rPr>
        <w:t>to</w:t>
      </w:r>
      <w:r w:rsidR="002E5B3A" w:rsidRPr="006158FF">
        <w:rPr>
          <w:rFonts w:ascii="Times New Roman" w:hAnsi="Times New Roman" w:cs="Times New Roman"/>
        </w:rPr>
        <w:t xml:space="preserve"> participat</w:t>
      </w:r>
      <w:r w:rsidR="00F16A68">
        <w:rPr>
          <w:rFonts w:ascii="Times New Roman" w:hAnsi="Times New Roman" w:cs="Times New Roman"/>
        </w:rPr>
        <w:t>e</w:t>
      </w:r>
      <w:r w:rsidR="002E5B3A" w:rsidRPr="006158FF">
        <w:rPr>
          <w:rFonts w:ascii="Times New Roman" w:hAnsi="Times New Roman" w:cs="Times New Roman"/>
        </w:rPr>
        <w:t xml:space="preserve"> in </w:t>
      </w:r>
      <w:r w:rsidR="00F16A68">
        <w:rPr>
          <w:rFonts w:ascii="Times New Roman" w:hAnsi="Times New Roman" w:cs="Times New Roman"/>
        </w:rPr>
        <w:t xml:space="preserve">development of a </w:t>
      </w:r>
      <w:r>
        <w:rPr>
          <w:rFonts w:ascii="Times New Roman" w:hAnsi="Times New Roman" w:cs="Times New Roman"/>
        </w:rPr>
        <w:t xml:space="preserve">solar facility in </w:t>
      </w:r>
      <w:r w:rsidR="00F16A68">
        <w:rPr>
          <w:rFonts w:ascii="Times New Roman" w:hAnsi="Times New Roman" w:cs="Times New Roman"/>
        </w:rPr>
        <w:t>ASI Prime Group B and REDI, as confirmed through discussions with customers.   Most customers desired to be involved with solar development, but they did not want to own the solar facility or be the PPA counterparty.</w:t>
      </w:r>
      <w:r w:rsidR="000317B3">
        <w:rPr>
          <w:rStyle w:val="FootnoteReference"/>
          <w:rFonts w:ascii="Times New Roman" w:hAnsi="Times New Roman" w:cs="Times New Roman"/>
        </w:rPr>
        <w:footnoteReference w:id="12"/>
      </w:r>
      <w:r w:rsidR="00FD154B">
        <w:rPr>
          <w:rFonts w:ascii="Times New Roman" w:hAnsi="Times New Roman" w:cs="Times New Roman"/>
        </w:rPr>
        <w:t xml:space="preserve">  Customers cite</w:t>
      </w:r>
      <w:r w:rsidR="001037FF">
        <w:rPr>
          <w:rFonts w:ascii="Times New Roman" w:hAnsi="Times New Roman" w:cs="Times New Roman"/>
        </w:rPr>
        <w:t>d</w:t>
      </w:r>
      <w:r w:rsidR="00FD154B">
        <w:rPr>
          <w:rFonts w:ascii="Times New Roman" w:hAnsi="Times New Roman" w:cs="Times New Roman"/>
        </w:rPr>
        <w:t xml:space="preserve"> the following reasons for their position:</w:t>
      </w:r>
    </w:p>
    <w:p w14:paraId="6239F8A5" w14:textId="2778C274" w:rsidR="00FD154B" w:rsidRDefault="00FD154B" w:rsidP="00FD154B">
      <w:pPr>
        <w:pStyle w:val="ListParagraph"/>
        <w:numPr>
          <w:ilvl w:val="0"/>
          <w:numId w:val="28"/>
        </w:numPr>
        <w:spacing w:after="0" w:line="480" w:lineRule="auto"/>
        <w:jc w:val="both"/>
        <w:rPr>
          <w:rFonts w:ascii="Times New Roman" w:hAnsi="Times New Roman" w:cs="Times New Roman"/>
        </w:rPr>
      </w:pPr>
      <w:r>
        <w:rPr>
          <w:rFonts w:ascii="Times New Roman" w:hAnsi="Times New Roman" w:cs="Times New Roman"/>
        </w:rPr>
        <w:t xml:space="preserve"> The complexity of the contract</w:t>
      </w:r>
      <w:r w:rsidR="00F11B4A">
        <w:rPr>
          <w:rFonts w:ascii="Times New Roman" w:hAnsi="Times New Roman" w:cs="Times New Roman"/>
        </w:rPr>
        <w:t>s (Guidelines, PPA and IA)</w:t>
      </w:r>
      <w:r>
        <w:rPr>
          <w:rFonts w:ascii="Times New Roman" w:hAnsi="Times New Roman" w:cs="Times New Roman"/>
        </w:rPr>
        <w:t xml:space="preserve"> and transaction for an investment ancillary to their primary business or function;</w:t>
      </w:r>
    </w:p>
    <w:p w14:paraId="4717CDC0" w14:textId="2B195B11" w:rsidR="00FD154B" w:rsidRDefault="00FD154B" w:rsidP="00FD154B">
      <w:pPr>
        <w:pStyle w:val="ListParagraph"/>
        <w:numPr>
          <w:ilvl w:val="0"/>
          <w:numId w:val="28"/>
        </w:numPr>
        <w:spacing w:after="0" w:line="480" w:lineRule="auto"/>
        <w:jc w:val="both"/>
        <w:rPr>
          <w:rFonts w:ascii="Times New Roman" w:hAnsi="Times New Roman" w:cs="Times New Roman"/>
        </w:rPr>
      </w:pPr>
      <w:r>
        <w:rPr>
          <w:rFonts w:ascii="Times New Roman" w:hAnsi="Times New Roman" w:cs="Times New Roman"/>
        </w:rPr>
        <w:t>The technical complexity and engineering expertise required to operate the solar facility and confirm compliance with the Guidelines, PPA and IA;</w:t>
      </w:r>
    </w:p>
    <w:p w14:paraId="1E7F8F27" w14:textId="4954449C" w:rsidR="00FD154B" w:rsidRDefault="00FD154B" w:rsidP="00FD154B">
      <w:pPr>
        <w:pStyle w:val="ListParagraph"/>
        <w:numPr>
          <w:ilvl w:val="0"/>
          <w:numId w:val="28"/>
        </w:numPr>
        <w:spacing w:after="0" w:line="480" w:lineRule="auto"/>
        <w:jc w:val="both"/>
        <w:rPr>
          <w:rFonts w:ascii="Times New Roman" w:hAnsi="Times New Roman" w:cs="Times New Roman"/>
        </w:rPr>
      </w:pPr>
      <w:r>
        <w:rPr>
          <w:rFonts w:ascii="Times New Roman" w:hAnsi="Times New Roman" w:cs="Times New Roman"/>
        </w:rPr>
        <w:t xml:space="preserve">The length of the </w:t>
      </w:r>
      <w:r w:rsidR="00F11B4A">
        <w:rPr>
          <w:rFonts w:ascii="Times New Roman" w:hAnsi="Times New Roman" w:cs="Times New Roman"/>
        </w:rPr>
        <w:t xml:space="preserve">PPA </w:t>
      </w:r>
      <w:r>
        <w:rPr>
          <w:rFonts w:ascii="Times New Roman" w:hAnsi="Times New Roman" w:cs="Times New Roman"/>
        </w:rPr>
        <w:t>exceeds the</w:t>
      </w:r>
      <w:r w:rsidR="001037FF">
        <w:rPr>
          <w:rFonts w:ascii="Times New Roman" w:hAnsi="Times New Roman" w:cs="Times New Roman"/>
        </w:rPr>
        <w:t xml:space="preserve"> length of standard</w:t>
      </w:r>
      <w:r>
        <w:rPr>
          <w:rFonts w:ascii="Times New Roman" w:hAnsi="Times New Roman" w:cs="Times New Roman"/>
        </w:rPr>
        <w:t xml:space="preserve"> contractual arrangements;</w:t>
      </w:r>
      <w:r w:rsidR="00F11B4A">
        <w:rPr>
          <w:rFonts w:ascii="Times New Roman" w:hAnsi="Times New Roman" w:cs="Times New Roman"/>
        </w:rPr>
        <w:t xml:space="preserve"> and</w:t>
      </w:r>
    </w:p>
    <w:p w14:paraId="5D321A69" w14:textId="3730693E" w:rsidR="00F11B4A" w:rsidRDefault="00FD154B" w:rsidP="00FD154B">
      <w:pPr>
        <w:pStyle w:val="ListParagraph"/>
        <w:numPr>
          <w:ilvl w:val="0"/>
          <w:numId w:val="28"/>
        </w:numPr>
        <w:spacing w:after="0" w:line="480" w:lineRule="auto"/>
        <w:jc w:val="both"/>
        <w:rPr>
          <w:rFonts w:ascii="Times New Roman" w:hAnsi="Times New Roman" w:cs="Times New Roman"/>
        </w:rPr>
      </w:pPr>
      <w:r>
        <w:rPr>
          <w:rFonts w:ascii="Times New Roman" w:hAnsi="Times New Roman" w:cs="Times New Roman"/>
        </w:rPr>
        <w:lastRenderedPageBreak/>
        <w:t>The rate of return (which is only experienced over the full term of the</w:t>
      </w:r>
      <w:r w:rsidR="00F11B4A">
        <w:rPr>
          <w:rFonts w:ascii="Times New Roman" w:hAnsi="Times New Roman" w:cs="Times New Roman"/>
        </w:rPr>
        <w:t xml:space="preserve"> PPA and at the price set by the PPA) is less than preferred for the investment.</w:t>
      </w:r>
      <w:r>
        <w:rPr>
          <w:rFonts w:ascii="Times New Roman" w:hAnsi="Times New Roman" w:cs="Times New Roman"/>
        </w:rPr>
        <w:t xml:space="preserve"> </w:t>
      </w:r>
      <w:r w:rsidR="00F16A68" w:rsidRPr="00EA2C34">
        <w:rPr>
          <w:rFonts w:ascii="Times New Roman" w:hAnsi="Times New Roman" w:cs="Times New Roman"/>
        </w:rPr>
        <w:t xml:space="preserve"> </w:t>
      </w:r>
    </w:p>
    <w:p w14:paraId="1AFE4410" w14:textId="050DF33E" w:rsidR="002E5B3A" w:rsidRPr="006158FF" w:rsidRDefault="00F16A68" w:rsidP="00EA2C34">
      <w:pPr>
        <w:spacing w:after="0" w:line="480" w:lineRule="auto"/>
        <w:ind w:firstLine="720"/>
        <w:jc w:val="both"/>
        <w:rPr>
          <w:rFonts w:ascii="Times New Roman" w:hAnsi="Times New Roman" w:cs="Times New Roman"/>
        </w:rPr>
      </w:pPr>
      <w:r w:rsidRPr="00EA2C34">
        <w:rPr>
          <w:rFonts w:ascii="Times New Roman" w:hAnsi="Times New Roman" w:cs="Times New Roman"/>
        </w:rPr>
        <w:t xml:space="preserve"> </w:t>
      </w:r>
      <w:r w:rsidR="000437D4">
        <w:rPr>
          <w:rFonts w:ascii="Times New Roman" w:hAnsi="Times New Roman" w:cs="Times New Roman"/>
        </w:rPr>
        <w:t>Despite these obstacles, the customer</w:t>
      </w:r>
      <w:r w:rsidR="00B74E99">
        <w:rPr>
          <w:rFonts w:ascii="Times New Roman" w:hAnsi="Times New Roman" w:cs="Times New Roman"/>
        </w:rPr>
        <w:t>s</w:t>
      </w:r>
      <w:r w:rsidR="000437D4">
        <w:rPr>
          <w:rFonts w:ascii="Times New Roman" w:hAnsi="Times New Roman" w:cs="Times New Roman"/>
        </w:rPr>
        <w:t xml:space="preserve"> still want to participate in renewable energy deployment and attain their objectives through means other than ownership, such as land lease payments, tax base enhancements for the benefit of the community, public support for the environmental benefits from renewable energy deployment, satisfaction of sustainability goals for themselves and the purchasers of their products and other negotiated benefits with the third party.  </w:t>
      </w:r>
      <w:r w:rsidR="002E5B3A" w:rsidRPr="006158FF">
        <w:rPr>
          <w:rFonts w:ascii="Times New Roman" w:hAnsi="Times New Roman" w:cs="Times New Roman"/>
        </w:rPr>
        <w:t xml:space="preserve">Whatever their reasons, customers willingly and voluntarily participated in </w:t>
      </w:r>
      <w:r w:rsidR="005A1FB4">
        <w:rPr>
          <w:rFonts w:ascii="Times New Roman" w:hAnsi="Times New Roman" w:cs="Times New Roman"/>
        </w:rPr>
        <w:t>ASI Prime Group B and REDI based on their specific interests, business goals, energy requirements and sustainability priorities.  The customer had the ability to determine whether it would own the solar facility</w:t>
      </w:r>
      <w:r w:rsidR="000437D4">
        <w:rPr>
          <w:rFonts w:ascii="Times New Roman" w:hAnsi="Times New Roman" w:cs="Times New Roman"/>
        </w:rPr>
        <w:t xml:space="preserve"> or</w:t>
      </w:r>
      <w:r w:rsidR="005A1FB4">
        <w:rPr>
          <w:rFonts w:ascii="Times New Roman" w:hAnsi="Times New Roman" w:cs="Times New Roman"/>
        </w:rPr>
        <w:t xml:space="preserve"> develop the solar facility in conjunction with a third party</w:t>
      </w:r>
      <w:r w:rsidR="000437D4">
        <w:rPr>
          <w:rFonts w:ascii="Times New Roman" w:hAnsi="Times New Roman" w:cs="Times New Roman"/>
        </w:rPr>
        <w:t xml:space="preserve"> in a contractual arrangement which included meaningful negotiations on </w:t>
      </w:r>
      <w:r w:rsidR="005A1FB4">
        <w:rPr>
          <w:rFonts w:ascii="Times New Roman" w:hAnsi="Times New Roman" w:cs="Times New Roman"/>
        </w:rPr>
        <w:t>the specific terms and conditions</w:t>
      </w:r>
      <w:r w:rsidR="000437D4">
        <w:rPr>
          <w:rFonts w:ascii="Times New Roman" w:hAnsi="Times New Roman" w:cs="Times New Roman"/>
        </w:rPr>
        <w:t xml:space="preserve">.  </w:t>
      </w:r>
      <w:r w:rsidR="005A1FB4">
        <w:rPr>
          <w:rFonts w:ascii="Times New Roman" w:hAnsi="Times New Roman" w:cs="Times New Roman"/>
        </w:rPr>
        <w:t xml:space="preserve">That ASI Prime Group B and REDI </w:t>
      </w:r>
      <w:r w:rsidR="002E5B3A" w:rsidRPr="006158FF">
        <w:rPr>
          <w:rFonts w:ascii="Times New Roman" w:hAnsi="Times New Roman" w:cs="Times New Roman"/>
        </w:rPr>
        <w:t>allowed third-parties to own the projects</w:t>
      </w:r>
      <w:r w:rsidR="005A1FB4">
        <w:rPr>
          <w:rFonts w:ascii="Times New Roman" w:hAnsi="Times New Roman" w:cs="Times New Roman"/>
        </w:rPr>
        <w:t>, execute</w:t>
      </w:r>
      <w:r w:rsidR="002E5B3A" w:rsidRPr="006158FF">
        <w:rPr>
          <w:rFonts w:ascii="Times New Roman" w:hAnsi="Times New Roman" w:cs="Times New Roman"/>
        </w:rPr>
        <w:t xml:space="preserve"> the PPAs and </w:t>
      </w:r>
      <w:r w:rsidR="002E5B3A">
        <w:rPr>
          <w:rFonts w:ascii="Times New Roman" w:hAnsi="Times New Roman" w:cs="Times New Roman"/>
        </w:rPr>
        <w:t>IAs</w:t>
      </w:r>
      <w:r w:rsidR="005A1FB4">
        <w:rPr>
          <w:rFonts w:ascii="Times New Roman" w:hAnsi="Times New Roman" w:cs="Times New Roman"/>
        </w:rPr>
        <w:t xml:space="preserve"> and conclude successfully </w:t>
      </w:r>
      <w:r w:rsidR="002E5B3A" w:rsidRPr="006158FF">
        <w:rPr>
          <w:rFonts w:ascii="Times New Roman" w:hAnsi="Times New Roman" w:cs="Times New Roman"/>
        </w:rPr>
        <w:t xml:space="preserve">speaks volumes </w:t>
      </w:r>
      <w:r w:rsidR="005A1FB4">
        <w:rPr>
          <w:rFonts w:ascii="Times New Roman" w:hAnsi="Times New Roman" w:cs="Times New Roman"/>
        </w:rPr>
        <w:t xml:space="preserve">about </w:t>
      </w:r>
      <w:r w:rsidR="002E5B3A" w:rsidRPr="006158FF">
        <w:rPr>
          <w:rFonts w:ascii="Times New Roman" w:hAnsi="Times New Roman" w:cs="Times New Roman"/>
        </w:rPr>
        <w:t>the customer</w:t>
      </w:r>
      <w:r w:rsidR="005A1FB4">
        <w:rPr>
          <w:rFonts w:ascii="Times New Roman" w:hAnsi="Times New Roman" w:cs="Times New Roman"/>
        </w:rPr>
        <w:t xml:space="preserve">’s ability to decide for itself how it </w:t>
      </w:r>
      <w:r w:rsidR="002E5B3A">
        <w:rPr>
          <w:rFonts w:ascii="Times New Roman" w:hAnsi="Times New Roman" w:cs="Times New Roman"/>
        </w:rPr>
        <w:t xml:space="preserve">benefits </w:t>
      </w:r>
      <w:r w:rsidR="005A1FB4">
        <w:rPr>
          <w:rFonts w:ascii="Times New Roman" w:hAnsi="Times New Roman" w:cs="Times New Roman"/>
        </w:rPr>
        <w:t>f</w:t>
      </w:r>
      <w:r w:rsidR="002E5B3A">
        <w:rPr>
          <w:rFonts w:ascii="Times New Roman" w:hAnsi="Times New Roman" w:cs="Times New Roman"/>
        </w:rPr>
        <w:t>rom these programs</w:t>
      </w:r>
      <w:r w:rsidR="002E5B3A" w:rsidRPr="006158FF">
        <w:rPr>
          <w:rFonts w:ascii="Times New Roman" w:hAnsi="Times New Roman" w:cs="Times New Roman"/>
        </w:rPr>
        <w:t xml:space="preserve">.    </w:t>
      </w:r>
    </w:p>
    <w:p w14:paraId="443783AB" w14:textId="4F23540A" w:rsidR="00F410CD" w:rsidRDefault="00F410CD" w:rsidP="00764397">
      <w:pPr>
        <w:spacing w:after="0" w:line="240" w:lineRule="auto"/>
        <w:ind w:left="1080" w:hanging="360"/>
        <w:jc w:val="both"/>
        <w:rPr>
          <w:rFonts w:ascii="Times New Roman" w:hAnsi="Times New Roman" w:cs="Times New Roman"/>
          <w:b/>
          <w:bCs/>
        </w:rPr>
      </w:pPr>
      <w:r>
        <w:rPr>
          <w:rFonts w:ascii="Times New Roman" w:hAnsi="Times New Roman" w:cs="Times New Roman"/>
          <w:b/>
          <w:bCs/>
        </w:rPr>
        <w:t xml:space="preserve">B. Compensating solar generation at </w:t>
      </w:r>
      <w:r w:rsidRPr="00985DDA">
        <w:rPr>
          <w:rFonts w:ascii="Times New Roman" w:hAnsi="Times New Roman" w:cs="Times New Roman"/>
          <w:b/>
          <w:bCs/>
        </w:rPr>
        <w:t xml:space="preserve">RCB </w:t>
      </w:r>
      <w:r>
        <w:rPr>
          <w:rFonts w:ascii="Times New Roman" w:hAnsi="Times New Roman" w:cs="Times New Roman"/>
          <w:b/>
          <w:bCs/>
        </w:rPr>
        <w:t>avoided cost is not</w:t>
      </w:r>
      <w:r w:rsidRPr="00985DDA">
        <w:rPr>
          <w:rFonts w:ascii="Times New Roman" w:hAnsi="Times New Roman" w:cs="Times New Roman"/>
          <w:b/>
          <w:bCs/>
        </w:rPr>
        <w:t xml:space="preserve"> “</w:t>
      </w:r>
      <w:r>
        <w:rPr>
          <w:rFonts w:ascii="Times New Roman" w:hAnsi="Times New Roman" w:cs="Times New Roman"/>
          <w:b/>
          <w:bCs/>
        </w:rPr>
        <w:t>above</w:t>
      </w:r>
      <w:r w:rsidRPr="00985DDA">
        <w:rPr>
          <w:rFonts w:ascii="Times New Roman" w:hAnsi="Times New Roman" w:cs="Times New Roman"/>
          <w:b/>
          <w:bCs/>
        </w:rPr>
        <w:t>-</w:t>
      </w:r>
      <w:r>
        <w:rPr>
          <w:rFonts w:ascii="Times New Roman" w:hAnsi="Times New Roman" w:cs="Times New Roman"/>
          <w:b/>
          <w:bCs/>
        </w:rPr>
        <w:t>market pricing.”</w:t>
      </w:r>
    </w:p>
    <w:p w14:paraId="2DD6C9B6" w14:textId="77777777" w:rsidR="00F410CD" w:rsidRPr="006158FF" w:rsidRDefault="00F410CD" w:rsidP="006158FF">
      <w:pPr>
        <w:spacing w:after="0" w:line="240" w:lineRule="auto"/>
        <w:ind w:firstLine="720"/>
        <w:rPr>
          <w:rFonts w:ascii="Times New Roman" w:hAnsi="Times New Roman" w:cs="Times New Roman"/>
          <w:b/>
          <w:bCs/>
        </w:rPr>
      </w:pPr>
    </w:p>
    <w:p w14:paraId="20C2FE9B" w14:textId="33FAFE2A" w:rsidR="00F410CD" w:rsidRPr="006158FF" w:rsidRDefault="00F410CD" w:rsidP="009351CA">
      <w:pPr>
        <w:spacing w:after="0" w:line="480" w:lineRule="auto"/>
        <w:jc w:val="both"/>
        <w:rPr>
          <w:rFonts w:ascii="Times New Roman" w:hAnsi="Times New Roman" w:cs="Times New Roman"/>
        </w:rPr>
      </w:pPr>
      <w:r>
        <w:rPr>
          <w:rFonts w:ascii="Times New Roman" w:hAnsi="Times New Roman" w:cs="Times New Roman"/>
        </w:rPr>
        <w:tab/>
        <w:t>T</w:t>
      </w:r>
      <w:r w:rsidRPr="006158FF">
        <w:rPr>
          <w:rFonts w:ascii="Times New Roman" w:hAnsi="Times New Roman" w:cs="Times New Roman"/>
        </w:rPr>
        <w:t xml:space="preserve">he Company </w:t>
      </w:r>
      <w:r>
        <w:rPr>
          <w:rFonts w:ascii="Times New Roman" w:hAnsi="Times New Roman" w:cs="Times New Roman"/>
        </w:rPr>
        <w:t xml:space="preserve">claims that because generation from a customer-sited DG solar facility is compensated at RCB avoided cost, it is overpaying.  It </w:t>
      </w:r>
      <w:r w:rsidRPr="006158FF">
        <w:rPr>
          <w:rFonts w:ascii="Times New Roman" w:hAnsi="Times New Roman" w:cs="Times New Roman"/>
        </w:rPr>
        <w:t xml:space="preserve">characterizes the </w:t>
      </w:r>
      <w:r>
        <w:rPr>
          <w:rFonts w:ascii="Times New Roman" w:hAnsi="Times New Roman" w:cs="Times New Roman"/>
        </w:rPr>
        <w:t xml:space="preserve">RCB avoided cost </w:t>
      </w:r>
      <w:r w:rsidRPr="006158FF">
        <w:rPr>
          <w:rFonts w:ascii="Times New Roman" w:hAnsi="Times New Roman" w:cs="Times New Roman"/>
        </w:rPr>
        <w:t>fixed price</w:t>
      </w:r>
      <w:r>
        <w:rPr>
          <w:rFonts w:ascii="Times New Roman" w:hAnsi="Times New Roman" w:cs="Times New Roman"/>
        </w:rPr>
        <w:t xml:space="preserve"> </w:t>
      </w:r>
      <w:r w:rsidRPr="006158FF">
        <w:rPr>
          <w:rFonts w:ascii="Times New Roman" w:hAnsi="Times New Roman" w:cs="Times New Roman"/>
        </w:rPr>
        <w:t>as “above-market”</w:t>
      </w:r>
      <w:r>
        <w:rPr>
          <w:rFonts w:ascii="Times New Roman" w:hAnsi="Times New Roman" w:cs="Times New Roman"/>
        </w:rPr>
        <w:t xml:space="preserve"> because it is not competitively bid. </w:t>
      </w:r>
      <w:r w:rsidRPr="006158FF">
        <w:rPr>
          <w:rFonts w:ascii="Times New Roman" w:hAnsi="Times New Roman" w:cs="Times New Roman"/>
        </w:rPr>
        <w:t xml:space="preserve"> This is not accurate</w:t>
      </w:r>
      <w:r>
        <w:rPr>
          <w:rFonts w:ascii="Times New Roman" w:hAnsi="Times New Roman" w:cs="Times New Roman"/>
        </w:rPr>
        <w:t xml:space="preserve"> because RCB avoided cost </w:t>
      </w:r>
      <w:r w:rsidRPr="006158FF">
        <w:rPr>
          <w:rFonts w:ascii="Times New Roman" w:hAnsi="Times New Roman" w:cs="Times New Roman"/>
        </w:rPr>
        <w:t>pricing is a Commission-approved pricing structure for solar energy that is intended to set the price of solar to reflect the true value that solar energy generates for the Company</w:t>
      </w:r>
      <w:r>
        <w:rPr>
          <w:rFonts w:ascii="Times New Roman" w:hAnsi="Times New Roman" w:cs="Times New Roman"/>
        </w:rPr>
        <w:t xml:space="preserve"> and </w:t>
      </w:r>
      <w:r w:rsidRPr="006158FF">
        <w:rPr>
          <w:rFonts w:ascii="Times New Roman" w:hAnsi="Times New Roman" w:cs="Times New Roman"/>
        </w:rPr>
        <w:lastRenderedPageBreak/>
        <w:t xml:space="preserve">ratepayers.  By </w:t>
      </w:r>
      <w:r>
        <w:rPr>
          <w:rFonts w:ascii="Times New Roman" w:hAnsi="Times New Roman" w:cs="Times New Roman"/>
        </w:rPr>
        <w:t>opposing compensation for solar generation</w:t>
      </w:r>
      <w:r w:rsidRPr="006158FF">
        <w:rPr>
          <w:rFonts w:ascii="Times New Roman" w:hAnsi="Times New Roman" w:cs="Times New Roman"/>
        </w:rPr>
        <w:t>, the Company</w:t>
      </w:r>
      <w:r>
        <w:rPr>
          <w:rFonts w:ascii="Times New Roman" w:hAnsi="Times New Roman" w:cs="Times New Roman"/>
        </w:rPr>
        <w:t xml:space="preserve"> </w:t>
      </w:r>
      <w:r w:rsidRPr="006158FF">
        <w:rPr>
          <w:rFonts w:ascii="Times New Roman" w:hAnsi="Times New Roman" w:cs="Times New Roman"/>
        </w:rPr>
        <w:t>s</w:t>
      </w:r>
      <w:r>
        <w:rPr>
          <w:rFonts w:ascii="Times New Roman" w:hAnsi="Times New Roman" w:cs="Times New Roman"/>
        </w:rPr>
        <w:t>eek</w:t>
      </w:r>
      <w:r w:rsidR="006C28C5">
        <w:rPr>
          <w:rFonts w:ascii="Times New Roman" w:hAnsi="Times New Roman" w:cs="Times New Roman"/>
        </w:rPr>
        <w:t>s</w:t>
      </w:r>
      <w:r>
        <w:rPr>
          <w:rFonts w:ascii="Times New Roman" w:hAnsi="Times New Roman" w:cs="Times New Roman"/>
        </w:rPr>
        <w:t xml:space="preserve"> to </w:t>
      </w:r>
      <w:r w:rsidR="00E1587A">
        <w:rPr>
          <w:rFonts w:ascii="Times New Roman" w:hAnsi="Times New Roman" w:cs="Times New Roman"/>
        </w:rPr>
        <w:t xml:space="preserve">purchase electricity </w:t>
      </w:r>
      <w:r w:rsidR="00764397">
        <w:rPr>
          <w:rFonts w:ascii="Times New Roman" w:hAnsi="Times New Roman" w:cs="Times New Roman"/>
        </w:rPr>
        <w:t>there</w:t>
      </w:r>
      <w:r w:rsidR="00E1587A">
        <w:rPr>
          <w:rFonts w:ascii="Times New Roman" w:hAnsi="Times New Roman" w:cs="Times New Roman"/>
        </w:rPr>
        <w:t xml:space="preserve">from at a price below its </w:t>
      </w:r>
      <w:r>
        <w:rPr>
          <w:rFonts w:ascii="Times New Roman" w:hAnsi="Times New Roman" w:cs="Times New Roman"/>
        </w:rPr>
        <w:t xml:space="preserve">true and </w:t>
      </w:r>
      <w:r w:rsidRPr="006158FF">
        <w:rPr>
          <w:rFonts w:ascii="Times New Roman" w:hAnsi="Times New Roman" w:cs="Times New Roman"/>
        </w:rPr>
        <w:t xml:space="preserve">fair value </w:t>
      </w:r>
      <w:r w:rsidR="00E1587A">
        <w:rPr>
          <w:rFonts w:ascii="Times New Roman" w:hAnsi="Times New Roman" w:cs="Times New Roman"/>
        </w:rPr>
        <w:t>to the Company</w:t>
      </w:r>
      <w:r w:rsidRPr="006158FF">
        <w:rPr>
          <w:rFonts w:ascii="Times New Roman" w:hAnsi="Times New Roman" w:cs="Times New Roman"/>
        </w:rPr>
        <w:t xml:space="preserve">.  </w:t>
      </w:r>
    </w:p>
    <w:p w14:paraId="73AE3EB9" w14:textId="6437DC80" w:rsidR="00F410CD" w:rsidRDefault="00F410CD" w:rsidP="006158FF">
      <w:pPr>
        <w:spacing w:after="0" w:line="480" w:lineRule="auto"/>
        <w:jc w:val="both"/>
        <w:rPr>
          <w:rFonts w:ascii="Times New Roman" w:hAnsi="Times New Roman" w:cs="Times New Roman"/>
        </w:rPr>
      </w:pPr>
      <w:r>
        <w:rPr>
          <w:rFonts w:ascii="Times New Roman" w:hAnsi="Times New Roman" w:cs="Times New Roman"/>
        </w:rPr>
        <w:tab/>
      </w:r>
      <w:r w:rsidR="00E1587A">
        <w:rPr>
          <w:rFonts w:ascii="Times New Roman" w:hAnsi="Times New Roman" w:cs="Times New Roman"/>
        </w:rPr>
        <w:t>C</w:t>
      </w:r>
      <w:r w:rsidRPr="006158FF">
        <w:rPr>
          <w:rFonts w:ascii="Times New Roman" w:hAnsi="Times New Roman" w:cs="Times New Roman"/>
        </w:rPr>
        <w:t>ompetitive bidding is not appropriate for a customer sited program</w:t>
      </w:r>
      <w:r>
        <w:rPr>
          <w:rFonts w:ascii="Times New Roman" w:hAnsi="Times New Roman" w:cs="Times New Roman"/>
        </w:rPr>
        <w:t xml:space="preserve"> such as Customer Connected</w:t>
      </w:r>
      <w:r w:rsidRPr="006158FF">
        <w:rPr>
          <w:rFonts w:ascii="Times New Roman" w:hAnsi="Times New Roman" w:cs="Times New Roman"/>
        </w:rPr>
        <w:t xml:space="preserve">.  </w:t>
      </w:r>
      <w:r w:rsidR="00E1587A">
        <w:rPr>
          <w:rFonts w:ascii="Times New Roman" w:hAnsi="Times New Roman" w:cs="Times New Roman"/>
        </w:rPr>
        <w:t xml:space="preserve">In each Customer sited program, the Guidelines limit project size to 125% of the customer’s peak load.   </w:t>
      </w:r>
      <w:r w:rsidRPr="006158FF">
        <w:rPr>
          <w:rFonts w:ascii="Times New Roman" w:hAnsi="Times New Roman" w:cs="Times New Roman"/>
        </w:rPr>
        <w:t>If customer</w:t>
      </w:r>
      <w:r>
        <w:rPr>
          <w:rFonts w:ascii="Times New Roman" w:hAnsi="Times New Roman" w:cs="Times New Roman"/>
        </w:rPr>
        <w:t>-</w:t>
      </w:r>
      <w:r w:rsidRPr="006158FF">
        <w:rPr>
          <w:rFonts w:ascii="Times New Roman" w:hAnsi="Times New Roman" w:cs="Times New Roman"/>
        </w:rPr>
        <w:t xml:space="preserve">sited projects were competitively bid, only customers with the largest loads that could support the largest projects would prevail. </w:t>
      </w:r>
      <w:r w:rsidR="00E1587A">
        <w:rPr>
          <w:rFonts w:ascii="Times New Roman" w:hAnsi="Times New Roman" w:cs="Times New Roman"/>
        </w:rPr>
        <w:t xml:space="preserve"> Customers with smaller electric loads would be effectively excluded, unable to </w:t>
      </w:r>
      <w:r w:rsidRPr="006158FF">
        <w:rPr>
          <w:rFonts w:ascii="Times New Roman" w:hAnsi="Times New Roman" w:cs="Times New Roman"/>
        </w:rPr>
        <w:t xml:space="preserve">compete against </w:t>
      </w:r>
      <w:r w:rsidR="00E1587A">
        <w:rPr>
          <w:rFonts w:ascii="Times New Roman" w:hAnsi="Times New Roman" w:cs="Times New Roman"/>
        </w:rPr>
        <w:t xml:space="preserve">the economies of scale that advantage </w:t>
      </w:r>
      <w:r w:rsidRPr="006158FF">
        <w:rPr>
          <w:rFonts w:ascii="Times New Roman" w:hAnsi="Times New Roman" w:cs="Times New Roman"/>
        </w:rPr>
        <w:t xml:space="preserve">larger </w:t>
      </w:r>
      <w:r w:rsidR="00E1587A">
        <w:rPr>
          <w:rFonts w:ascii="Times New Roman" w:hAnsi="Times New Roman" w:cs="Times New Roman"/>
        </w:rPr>
        <w:t>customer</w:t>
      </w:r>
      <w:r w:rsidR="006C28C5">
        <w:rPr>
          <w:rFonts w:ascii="Times New Roman" w:hAnsi="Times New Roman" w:cs="Times New Roman"/>
        </w:rPr>
        <w:t>s</w:t>
      </w:r>
      <w:r w:rsidRPr="006158FF">
        <w:rPr>
          <w:rFonts w:ascii="Times New Roman" w:hAnsi="Times New Roman" w:cs="Times New Roman"/>
        </w:rPr>
        <w:t xml:space="preserve">.  </w:t>
      </w:r>
      <w:r w:rsidR="00E1587A">
        <w:rPr>
          <w:rFonts w:ascii="Times New Roman" w:hAnsi="Times New Roman" w:cs="Times New Roman"/>
        </w:rPr>
        <w:t>C</w:t>
      </w:r>
      <w:r w:rsidRPr="006158FF">
        <w:rPr>
          <w:rFonts w:ascii="Times New Roman" w:hAnsi="Times New Roman" w:cs="Times New Roman"/>
        </w:rPr>
        <w:t xml:space="preserve">ustomer sited projects must be located adjacent to </w:t>
      </w:r>
      <w:r w:rsidR="00E1587A">
        <w:rPr>
          <w:rFonts w:ascii="Times New Roman" w:hAnsi="Times New Roman" w:cs="Times New Roman"/>
        </w:rPr>
        <w:t xml:space="preserve">the </w:t>
      </w:r>
      <w:r w:rsidRPr="006158FF">
        <w:rPr>
          <w:rFonts w:ascii="Times New Roman" w:hAnsi="Times New Roman" w:cs="Times New Roman"/>
        </w:rPr>
        <w:t xml:space="preserve">customer </w:t>
      </w:r>
      <w:r w:rsidR="00E1587A">
        <w:rPr>
          <w:rFonts w:ascii="Times New Roman" w:hAnsi="Times New Roman" w:cs="Times New Roman"/>
        </w:rPr>
        <w:t>often</w:t>
      </w:r>
      <w:r w:rsidR="006C28C5">
        <w:rPr>
          <w:rFonts w:ascii="Times New Roman" w:hAnsi="Times New Roman" w:cs="Times New Roman"/>
        </w:rPr>
        <w:t xml:space="preserve"> on</w:t>
      </w:r>
      <w:r w:rsidR="00E1587A">
        <w:rPr>
          <w:rFonts w:ascii="Times New Roman" w:hAnsi="Times New Roman" w:cs="Times New Roman"/>
        </w:rPr>
        <w:t xml:space="preserve"> </w:t>
      </w:r>
      <w:r w:rsidRPr="006158FF">
        <w:rPr>
          <w:rFonts w:ascii="Times New Roman" w:hAnsi="Times New Roman" w:cs="Times New Roman"/>
        </w:rPr>
        <w:t>more valuable</w:t>
      </w:r>
      <w:r w:rsidR="00E1587A">
        <w:rPr>
          <w:rFonts w:ascii="Times New Roman" w:hAnsi="Times New Roman" w:cs="Times New Roman"/>
        </w:rPr>
        <w:t xml:space="preserve"> industrial or commercial tracts than a greenfield </w:t>
      </w:r>
      <w:r w:rsidRPr="006158FF">
        <w:rPr>
          <w:rFonts w:ascii="Times New Roman" w:hAnsi="Times New Roman" w:cs="Times New Roman"/>
        </w:rPr>
        <w:t xml:space="preserve">project </w:t>
      </w:r>
      <w:r w:rsidR="00E1587A">
        <w:rPr>
          <w:rFonts w:ascii="Times New Roman" w:hAnsi="Times New Roman" w:cs="Times New Roman"/>
        </w:rPr>
        <w:t>in un</w:t>
      </w:r>
      <w:r w:rsidRPr="006158FF">
        <w:rPr>
          <w:rFonts w:ascii="Times New Roman" w:hAnsi="Times New Roman" w:cs="Times New Roman"/>
        </w:rPr>
        <w:t xml:space="preserve">developed </w:t>
      </w:r>
      <w:r w:rsidR="00E1587A">
        <w:rPr>
          <w:rFonts w:ascii="Times New Roman" w:hAnsi="Times New Roman" w:cs="Times New Roman"/>
        </w:rPr>
        <w:t>areas</w:t>
      </w:r>
      <w:r w:rsidRPr="006158FF">
        <w:rPr>
          <w:rFonts w:ascii="Times New Roman" w:hAnsi="Times New Roman" w:cs="Times New Roman"/>
        </w:rPr>
        <w:t xml:space="preserve">.  More expensive land </w:t>
      </w:r>
      <w:r w:rsidR="00E1587A">
        <w:rPr>
          <w:rFonts w:ascii="Times New Roman" w:hAnsi="Times New Roman" w:cs="Times New Roman"/>
        </w:rPr>
        <w:t xml:space="preserve">increases development </w:t>
      </w:r>
      <w:r w:rsidRPr="006158FF">
        <w:rPr>
          <w:rFonts w:ascii="Times New Roman" w:hAnsi="Times New Roman" w:cs="Times New Roman"/>
        </w:rPr>
        <w:t xml:space="preserve">costs </w:t>
      </w:r>
      <w:r w:rsidR="00E1587A">
        <w:rPr>
          <w:rFonts w:ascii="Times New Roman" w:hAnsi="Times New Roman" w:cs="Times New Roman"/>
        </w:rPr>
        <w:t xml:space="preserve">for </w:t>
      </w:r>
      <w:r w:rsidRPr="006158FF">
        <w:rPr>
          <w:rFonts w:ascii="Times New Roman" w:hAnsi="Times New Roman" w:cs="Times New Roman"/>
        </w:rPr>
        <w:t>a customer sited project</w:t>
      </w:r>
      <w:r w:rsidR="00E1587A">
        <w:rPr>
          <w:rFonts w:ascii="Times New Roman" w:hAnsi="Times New Roman" w:cs="Times New Roman"/>
        </w:rPr>
        <w:t xml:space="preserve">.  These </w:t>
      </w:r>
      <w:r w:rsidRPr="006158FF">
        <w:rPr>
          <w:rFonts w:ascii="Times New Roman" w:hAnsi="Times New Roman" w:cs="Times New Roman"/>
        </w:rPr>
        <w:t xml:space="preserve">cannot compete with </w:t>
      </w:r>
      <w:r w:rsidR="00E1587A">
        <w:rPr>
          <w:rFonts w:ascii="Times New Roman" w:hAnsi="Times New Roman" w:cs="Times New Roman"/>
        </w:rPr>
        <w:t xml:space="preserve">rural </w:t>
      </w:r>
      <w:r w:rsidRPr="006158FF">
        <w:rPr>
          <w:rFonts w:ascii="Times New Roman" w:hAnsi="Times New Roman" w:cs="Times New Roman"/>
        </w:rPr>
        <w:t>projects that may bid into an RFP.</w:t>
      </w:r>
    </w:p>
    <w:p w14:paraId="75359329" w14:textId="1A40CC5B" w:rsidR="00EA021E" w:rsidRDefault="00F410CD" w:rsidP="00F410CD">
      <w:pPr>
        <w:spacing w:after="0" w:line="480" w:lineRule="auto"/>
        <w:jc w:val="both"/>
        <w:rPr>
          <w:rFonts w:ascii="Times New Roman" w:hAnsi="Times New Roman" w:cs="Times New Roman"/>
        </w:rPr>
      </w:pPr>
      <w:r>
        <w:rPr>
          <w:rFonts w:ascii="Times New Roman" w:hAnsi="Times New Roman" w:cs="Times New Roman"/>
        </w:rPr>
        <w:tab/>
      </w:r>
      <w:r w:rsidRPr="006158FF">
        <w:rPr>
          <w:rFonts w:ascii="Times New Roman" w:hAnsi="Times New Roman" w:cs="Times New Roman"/>
        </w:rPr>
        <w:t>Further, the Company admits in its Application that “</w:t>
      </w:r>
      <w:r w:rsidRPr="006158FF">
        <w:rPr>
          <w:rFonts w:ascii="Times New Roman" w:hAnsi="Times New Roman" w:cs="Times New Roman"/>
          <w:b/>
          <w:bCs/>
          <w:i/>
          <w:iCs/>
        </w:rPr>
        <w:t>locating a DG resource near the customer’s load</w:t>
      </w:r>
      <w:r w:rsidRPr="006158FF">
        <w:rPr>
          <w:rFonts w:ascii="Times New Roman" w:hAnsi="Times New Roman" w:cs="Times New Roman"/>
        </w:rPr>
        <w:t>” is a “</w:t>
      </w:r>
      <w:r w:rsidRPr="006158FF">
        <w:rPr>
          <w:rFonts w:ascii="Times New Roman" w:hAnsi="Times New Roman" w:cs="Times New Roman"/>
          <w:b/>
          <w:bCs/>
          <w:i/>
          <w:iCs/>
        </w:rPr>
        <w:t>tangible benefit</w:t>
      </w:r>
      <w:r w:rsidRPr="006158FF">
        <w:rPr>
          <w:rFonts w:ascii="Times New Roman" w:hAnsi="Times New Roman" w:cs="Times New Roman"/>
        </w:rPr>
        <w:t>” of the program.</w:t>
      </w:r>
      <w:r w:rsidR="00EA021E">
        <w:rPr>
          <w:rStyle w:val="FootnoteReference"/>
          <w:rFonts w:ascii="Times New Roman" w:hAnsi="Times New Roman" w:cs="Times New Roman"/>
        </w:rPr>
        <w:footnoteReference w:id="13"/>
      </w:r>
      <w:r w:rsidRPr="006158FF">
        <w:rPr>
          <w:rFonts w:ascii="Times New Roman" w:hAnsi="Times New Roman" w:cs="Times New Roman"/>
        </w:rPr>
        <w:t xml:space="preserve">    This locational value of DG resources </w:t>
      </w:r>
      <w:r w:rsidR="00EA021E">
        <w:rPr>
          <w:rFonts w:ascii="Times New Roman" w:hAnsi="Times New Roman" w:cs="Times New Roman"/>
        </w:rPr>
        <w:t xml:space="preserve">supports higher compensation under RCB avoided cost.   But, </w:t>
      </w:r>
      <w:r w:rsidRPr="006158FF">
        <w:rPr>
          <w:rFonts w:ascii="Times New Roman" w:hAnsi="Times New Roman" w:cs="Times New Roman"/>
        </w:rPr>
        <w:t xml:space="preserve">the Company’s RCB Framework does </w:t>
      </w:r>
      <w:r w:rsidR="006C28C5">
        <w:rPr>
          <w:rFonts w:ascii="Times New Roman" w:hAnsi="Times New Roman" w:cs="Times New Roman"/>
        </w:rPr>
        <w:t xml:space="preserve">not </w:t>
      </w:r>
      <w:r w:rsidRPr="006158FF">
        <w:rPr>
          <w:rFonts w:ascii="Times New Roman" w:hAnsi="Times New Roman" w:cs="Times New Roman"/>
        </w:rPr>
        <w:t xml:space="preserve">account </w:t>
      </w:r>
      <w:r w:rsidR="00EA021E">
        <w:rPr>
          <w:rFonts w:ascii="Times New Roman" w:hAnsi="Times New Roman" w:cs="Times New Roman"/>
        </w:rPr>
        <w:t xml:space="preserve">for </w:t>
      </w:r>
      <w:r w:rsidRPr="006158FF">
        <w:rPr>
          <w:rFonts w:ascii="Times New Roman" w:hAnsi="Times New Roman" w:cs="Times New Roman"/>
        </w:rPr>
        <w:t xml:space="preserve">the </w:t>
      </w:r>
      <w:r w:rsidR="00EA021E">
        <w:rPr>
          <w:rFonts w:ascii="Times New Roman" w:hAnsi="Times New Roman" w:cs="Times New Roman"/>
        </w:rPr>
        <w:t xml:space="preserve">geographic, </w:t>
      </w:r>
      <w:r w:rsidRPr="006158FF">
        <w:rPr>
          <w:rFonts w:ascii="Times New Roman" w:hAnsi="Times New Roman" w:cs="Times New Roman"/>
        </w:rPr>
        <w:t>locational benefits of distributed generation</w:t>
      </w:r>
      <w:r w:rsidR="00EA021E">
        <w:rPr>
          <w:rFonts w:ascii="Times New Roman" w:hAnsi="Times New Roman" w:cs="Times New Roman"/>
        </w:rPr>
        <w:t xml:space="preserve"> – despite repeated requests for its inclusion.  As a result, </w:t>
      </w:r>
      <w:r w:rsidRPr="006158FF">
        <w:rPr>
          <w:rFonts w:ascii="Times New Roman" w:hAnsi="Times New Roman" w:cs="Times New Roman"/>
        </w:rPr>
        <w:t xml:space="preserve">RCB </w:t>
      </w:r>
      <w:r w:rsidR="00EA021E">
        <w:rPr>
          <w:rFonts w:ascii="Times New Roman" w:hAnsi="Times New Roman" w:cs="Times New Roman"/>
        </w:rPr>
        <w:t xml:space="preserve">avoided cost compensation </w:t>
      </w:r>
      <w:r w:rsidRPr="006158FF">
        <w:rPr>
          <w:rFonts w:ascii="Times New Roman" w:hAnsi="Times New Roman" w:cs="Times New Roman"/>
          <w:b/>
          <w:bCs/>
          <w:i/>
          <w:iCs/>
        </w:rPr>
        <w:t>undervalues</w:t>
      </w:r>
      <w:r w:rsidRPr="006158FF">
        <w:rPr>
          <w:rFonts w:ascii="Times New Roman" w:hAnsi="Times New Roman" w:cs="Times New Roman"/>
          <w:i/>
          <w:iCs/>
        </w:rPr>
        <w:t xml:space="preserve"> </w:t>
      </w:r>
      <w:r w:rsidRPr="006158FF">
        <w:rPr>
          <w:rFonts w:ascii="Times New Roman" w:hAnsi="Times New Roman" w:cs="Times New Roman"/>
        </w:rPr>
        <w:t>these solar resources located adjacent to load</w:t>
      </w:r>
      <w:r w:rsidR="006C28C5">
        <w:rPr>
          <w:rFonts w:ascii="Times New Roman" w:hAnsi="Times New Roman" w:cs="Times New Roman"/>
        </w:rPr>
        <w:t xml:space="preserve">.  </w:t>
      </w:r>
      <w:proofErr w:type="gramStart"/>
      <w:r w:rsidR="006C28C5">
        <w:rPr>
          <w:rFonts w:ascii="Times New Roman" w:hAnsi="Times New Roman" w:cs="Times New Roman"/>
        </w:rPr>
        <w:t>In reality,</w:t>
      </w:r>
      <w:r w:rsidRPr="006158FF">
        <w:rPr>
          <w:rFonts w:ascii="Times New Roman" w:hAnsi="Times New Roman" w:cs="Times New Roman"/>
        </w:rPr>
        <w:t xml:space="preserve"> the</w:t>
      </w:r>
      <w:proofErr w:type="gramEnd"/>
      <w:r w:rsidRPr="006158FF">
        <w:rPr>
          <w:rFonts w:ascii="Times New Roman" w:hAnsi="Times New Roman" w:cs="Times New Roman"/>
        </w:rPr>
        <w:t xml:space="preserve"> Company </w:t>
      </w:r>
      <w:r w:rsidR="00EA021E">
        <w:rPr>
          <w:rFonts w:ascii="Times New Roman" w:hAnsi="Times New Roman" w:cs="Times New Roman"/>
        </w:rPr>
        <w:t xml:space="preserve">pays less than its actual fair market value without including </w:t>
      </w:r>
      <w:r w:rsidRPr="006158FF">
        <w:rPr>
          <w:rFonts w:ascii="Times New Roman" w:hAnsi="Times New Roman" w:cs="Times New Roman"/>
        </w:rPr>
        <w:t xml:space="preserve">this tangible benefit. </w:t>
      </w:r>
      <w:r>
        <w:rPr>
          <w:rFonts w:ascii="Times New Roman" w:hAnsi="Times New Roman" w:cs="Times New Roman"/>
        </w:rPr>
        <w:t xml:space="preserve"> </w:t>
      </w:r>
    </w:p>
    <w:p w14:paraId="42EC84AB" w14:textId="06AA6426" w:rsidR="007A2BCB" w:rsidRDefault="007A2BCB" w:rsidP="00F410CD">
      <w:pPr>
        <w:spacing w:after="0" w:line="480" w:lineRule="auto"/>
        <w:jc w:val="both"/>
        <w:rPr>
          <w:rFonts w:ascii="Times New Roman" w:hAnsi="Times New Roman" w:cs="Times New Roman"/>
        </w:rPr>
      </w:pPr>
    </w:p>
    <w:p w14:paraId="51D0B8FB" w14:textId="4F555158" w:rsidR="007A2BCB" w:rsidRDefault="007A2BCB" w:rsidP="00F410CD">
      <w:pPr>
        <w:spacing w:after="0" w:line="480" w:lineRule="auto"/>
        <w:jc w:val="both"/>
        <w:rPr>
          <w:rFonts w:ascii="Times New Roman" w:hAnsi="Times New Roman" w:cs="Times New Roman"/>
        </w:rPr>
      </w:pPr>
    </w:p>
    <w:p w14:paraId="171E86D8" w14:textId="77777777" w:rsidR="007A2BCB" w:rsidRDefault="007A2BCB" w:rsidP="00F410CD">
      <w:pPr>
        <w:spacing w:after="0" w:line="480" w:lineRule="auto"/>
        <w:jc w:val="both"/>
        <w:rPr>
          <w:rFonts w:ascii="Times New Roman" w:hAnsi="Times New Roman" w:cs="Times New Roman"/>
        </w:rPr>
      </w:pPr>
    </w:p>
    <w:p w14:paraId="4CF0061E" w14:textId="60AEB057" w:rsidR="002E5B3A" w:rsidRPr="006158FF" w:rsidRDefault="00EA021E" w:rsidP="006158FF">
      <w:pPr>
        <w:spacing w:after="0" w:line="480" w:lineRule="auto"/>
        <w:jc w:val="center"/>
        <w:rPr>
          <w:rFonts w:ascii="Times New Roman" w:hAnsi="Times New Roman" w:cs="Times New Roman"/>
          <w:b/>
          <w:bCs/>
        </w:rPr>
      </w:pPr>
      <w:r w:rsidRPr="006158FF">
        <w:rPr>
          <w:rFonts w:ascii="Times New Roman" w:hAnsi="Times New Roman" w:cs="Times New Roman"/>
          <w:b/>
          <w:bCs/>
        </w:rPr>
        <w:lastRenderedPageBreak/>
        <w:t>III.</w:t>
      </w:r>
    </w:p>
    <w:p w14:paraId="68BF7265" w14:textId="77777777" w:rsidR="0028331F" w:rsidRDefault="001479AB" w:rsidP="0028331F">
      <w:pPr>
        <w:spacing w:after="0" w:line="480" w:lineRule="auto"/>
        <w:jc w:val="center"/>
        <w:rPr>
          <w:rFonts w:ascii="Times New Roman" w:hAnsi="Times New Roman" w:cs="Times New Roman"/>
        </w:rPr>
      </w:pPr>
      <w:r w:rsidRPr="006158FF">
        <w:rPr>
          <w:rFonts w:ascii="Times New Roman" w:hAnsi="Times New Roman" w:cs="Times New Roman"/>
          <w:b/>
          <w:bCs/>
        </w:rPr>
        <w:t xml:space="preserve">COMMENTS ON SPECIFIC </w:t>
      </w:r>
      <w:r w:rsidR="00CE3A06" w:rsidRPr="006158FF">
        <w:rPr>
          <w:rFonts w:ascii="Times New Roman" w:hAnsi="Times New Roman" w:cs="Times New Roman"/>
          <w:b/>
          <w:bCs/>
        </w:rPr>
        <w:t xml:space="preserve">PROGRAM </w:t>
      </w:r>
      <w:r w:rsidRPr="006158FF">
        <w:rPr>
          <w:rFonts w:ascii="Times New Roman" w:hAnsi="Times New Roman" w:cs="Times New Roman"/>
          <w:b/>
          <w:bCs/>
        </w:rPr>
        <w:t>GUIDELINE</w:t>
      </w:r>
      <w:r w:rsidR="00CE3A06" w:rsidRPr="006158FF">
        <w:rPr>
          <w:rFonts w:ascii="Times New Roman" w:hAnsi="Times New Roman" w:cs="Times New Roman"/>
          <w:b/>
          <w:bCs/>
        </w:rPr>
        <w:t>S</w:t>
      </w:r>
      <w:r w:rsidRPr="006158FF">
        <w:rPr>
          <w:rFonts w:ascii="Times New Roman" w:hAnsi="Times New Roman" w:cs="Times New Roman"/>
          <w:b/>
          <w:bCs/>
        </w:rPr>
        <w:t xml:space="preserve"> AND PPA TERMS</w:t>
      </w:r>
    </w:p>
    <w:p w14:paraId="3C53DB61" w14:textId="1394772B" w:rsidR="00487D39" w:rsidRDefault="00013605" w:rsidP="0028331F">
      <w:pPr>
        <w:spacing w:after="0" w:line="480" w:lineRule="auto"/>
        <w:ind w:firstLine="720"/>
        <w:jc w:val="both"/>
        <w:rPr>
          <w:rFonts w:ascii="Times New Roman" w:hAnsi="Times New Roman" w:cs="Times New Roman"/>
        </w:rPr>
      </w:pPr>
      <w:r>
        <w:rPr>
          <w:rFonts w:ascii="Times New Roman" w:hAnsi="Times New Roman" w:cs="Times New Roman"/>
        </w:rPr>
        <w:t xml:space="preserve">GSEIA’s comments on specific Guidelines and PPA terms are </w:t>
      </w:r>
      <w:r w:rsidR="00DD1AB8">
        <w:rPr>
          <w:rFonts w:ascii="Times New Roman" w:hAnsi="Times New Roman" w:cs="Times New Roman"/>
        </w:rPr>
        <w:t>organized by topic</w:t>
      </w:r>
      <w:r w:rsidR="00AF78B1">
        <w:rPr>
          <w:rFonts w:ascii="Times New Roman" w:hAnsi="Times New Roman" w:cs="Times New Roman"/>
        </w:rPr>
        <w:t>,</w:t>
      </w:r>
      <w:r>
        <w:rPr>
          <w:rFonts w:ascii="Times New Roman" w:hAnsi="Times New Roman" w:cs="Times New Roman"/>
        </w:rPr>
        <w:t xml:space="preserve"> </w:t>
      </w:r>
      <w:r w:rsidR="005F7C16">
        <w:rPr>
          <w:rFonts w:ascii="Times New Roman" w:hAnsi="Times New Roman" w:cs="Times New Roman"/>
        </w:rPr>
        <w:t xml:space="preserve">with all </w:t>
      </w:r>
      <w:r w:rsidR="00DD1AB8">
        <w:rPr>
          <w:rFonts w:ascii="Times New Roman" w:hAnsi="Times New Roman" w:cs="Times New Roman"/>
        </w:rPr>
        <w:t xml:space="preserve">topical </w:t>
      </w:r>
      <w:r w:rsidR="005F7C16">
        <w:rPr>
          <w:rFonts w:ascii="Times New Roman" w:hAnsi="Times New Roman" w:cs="Times New Roman"/>
        </w:rPr>
        <w:t xml:space="preserve">provisions </w:t>
      </w:r>
      <w:r w:rsidR="00DD1AB8">
        <w:rPr>
          <w:rFonts w:ascii="Times New Roman" w:hAnsi="Times New Roman" w:cs="Times New Roman"/>
        </w:rPr>
        <w:t>addressed</w:t>
      </w:r>
      <w:r w:rsidR="005F7C16">
        <w:rPr>
          <w:rFonts w:ascii="Times New Roman" w:hAnsi="Times New Roman" w:cs="Times New Roman"/>
        </w:rPr>
        <w:t xml:space="preserve"> simultaneously, as follows:</w:t>
      </w:r>
    </w:p>
    <w:p w14:paraId="4AE8151E" w14:textId="53EFE30A" w:rsidR="00032533" w:rsidRPr="00546ACE" w:rsidRDefault="00927BFB" w:rsidP="00764397">
      <w:pPr>
        <w:spacing w:after="0" w:line="240" w:lineRule="auto"/>
        <w:ind w:left="1080" w:hanging="360"/>
        <w:jc w:val="both"/>
        <w:rPr>
          <w:rFonts w:ascii="Times New Roman" w:hAnsi="Times New Roman" w:cs="Times New Roman"/>
          <w:b/>
          <w:bCs/>
        </w:rPr>
      </w:pPr>
      <w:r>
        <w:rPr>
          <w:rFonts w:ascii="Times New Roman" w:hAnsi="Times New Roman" w:cs="Times New Roman"/>
          <w:b/>
          <w:bCs/>
        </w:rPr>
        <w:t xml:space="preserve">A. </w:t>
      </w:r>
      <w:r w:rsidR="00764397">
        <w:rPr>
          <w:rFonts w:ascii="Times New Roman" w:hAnsi="Times New Roman" w:cs="Times New Roman"/>
          <w:b/>
          <w:bCs/>
        </w:rPr>
        <w:tab/>
      </w:r>
      <w:r>
        <w:rPr>
          <w:rFonts w:ascii="Times New Roman" w:hAnsi="Times New Roman" w:cs="Times New Roman"/>
          <w:b/>
          <w:bCs/>
        </w:rPr>
        <w:t>Requirements that the Customer be the PPA counterparty and that the Customer’s ability to contract with a third party be limited to a SEPA.</w:t>
      </w:r>
    </w:p>
    <w:p w14:paraId="447F0F18" w14:textId="77777777" w:rsidR="00032533" w:rsidRPr="00032533" w:rsidRDefault="00032533" w:rsidP="00032533">
      <w:pPr>
        <w:spacing w:after="0" w:line="240" w:lineRule="auto"/>
        <w:rPr>
          <w:rFonts w:ascii="Times New Roman" w:hAnsi="Times New Roman" w:cs="Times New Roman"/>
        </w:rPr>
      </w:pPr>
    </w:p>
    <w:p w14:paraId="60747258" w14:textId="6E538C75" w:rsidR="00005BF4" w:rsidRDefault="00005BF4" w:rsidP="00032533">
      <w:pPr>
        <w:spacing w:after="0" w:line="240" w:lineRule="auto"/>
        <w:ind w:left="720"/>
        <w:rPr>
          <w:rFonts w:ascii="Times New Roman" w:hAnsi="Times New Roman" w:cs="Times New Roman"/>
        </w:rPr>
      </w:pPr>
      <w:r>
        <w:rPr>
          <w:rFonts w:ascii="Times New Roman" w:hAnsi="Times New Roman" w:cs="Times New Roman"/>
        </w:rPr>
        <w:t>Applicable Provisions:</w:t>
      </w:r>
    </w:p>
    <w:p w14:paraId="16405353" w14:textId="77777777" w:rsidR="00005BF4" w:rsidRDefault="00005BF4" w:rsidP="00032533">
      <w:pPr>
        <w:spacing w:after="0" w:line="240" w:lineRule="auto"/>
        <w:ind w:left="720"/>
        <w:rPr>
          <w:rFonts w:ascii="Times New Roman" w:hAnsi="Times New Roman" w:cs="Times New Roman"/>
        </w:rPr>
      </w:pPr>
    </w:p>
    <w:p w14:paraId="5972D479" w14:textId="60EF8955" w:rsidR="00032533" w:rsidRPr="00546ACE" w:rsidRDefault="00032533" w:rsidP="00032533">
      <w:pPr>
        <w:spacing w:after="0" w:line="240" w:lineRule="auto"/>
        <w:ind w:left="720"/>
        <w:rPr>
          <w:rFonts w:ascii="Times New Roman" w:hAnsi="Times New Roman" w:cs="Times New Roman"/>
          <w:i/>
          <w:iCs/>
        </w:rPr>
      </w:pPr>
      <w:r w:rsidRPr="00546ACE">
        <w:rPr>
          <w:rFonts w:ascii="Times New Roman" w:hAnsi="Times New Roman" w:cs="Times New Roman"/>
          <w:i/>
          <w:iCs/>
        </w:rPr>
        <w:t>Guidelines, II (C – E), p.</w:t>
      </w:r>
      <w:r w:rsidR="00D10066" w:rsidRPr="00546ACE">
        <w:rPr>
          <w:rFonts w:ascii="Times New Roman" w:hAnsi="Times New Roman" w:cs="Times New Roman"/>
          <w:i/>
          <w:iCs/>
        </w:rPr>
        <w:t xml:space="preserve"> </w:t>
      </w:r>
      <w:r w:rsidRPr="00546ACE">
        <w:rPr>
          <w:rFonts w:ascii="Times New Roman" w:hAnsi="Times New Roman" w:cs="Times New Roman"/>
          <w:i/>
          <w:iCs/>
        </w:rPr>
        <w:t>2</w:t>
      </w:r>
      <w:r w:rsidR="00D10066" w:rsidRPr="00546ACE">
        <w:rPr>
          <w:rFonts w:ascii="Times New Roman" w:hAnsi="Times New Roman" w:cs="Times New Roman"/>
          <w:i/>
          <w:iCs/>
        </w:rPr>
        <w:t xml:space="preserve"> – Customer-Connected Facility Ownership/Lease</w:t>
      </w:r>
      <w:r w:rsidRPr="00546ACE">
        <w:rPr>
          <w:rFonts w:ascii="Times New Roman" w:hAnsi="Times New Roman" w:cs="Times New Roman"/>
          <w:i/>
          <w:iCs/>
        </w:rPr>
        <w:t>;</w:t>
      </w:r>
      <w:r w:rsidR="00D10066" w:rsidRPr="00546ACE">
        <w:rPr>
          <w:rFonts w:ascii="Times New Roman" w:hAnsi="Times New Roman" w:cs="Times New Roman"/>
          <w:i/>
          <w:iCs/>
        </w:rPr>
        <w:t xml:space="preserve"> SEPA</w:t>
      </w:r>
    </w:p>
    <w:p w14:paraId="254E0E1C" w14:textId="43241F29" w:rsidR="00032533" w:rsidRPr="00546ACE" w:rsidRDefault="00032533" w:rsidP="00032533">
      <w:pPr>
        <w:spacing w:after="0" w:line="240" w:lineRule="auto"/>
        <w:ind w:left="720"/>
        <w:rPr>
          <w:rFonts w:ascii="Times New Roman" w:hAnsi="Times New Roman" w:cs="Times New Roman"/>
          <w:i/>
          <w:iCs/>
        </w:rPr>
      </w:pPr>
      <w:r w:rsidRPr="00546ACE">
        <w:rPr>
          <w:rFonts w:ascii="Times New Roman" w:hAnsi="Times New Roman" w:cs="Times New Roman"/>
          <w:i/>
          <w:iCs/>
        </w:rPr>
        <w:t xml:space="preserve">Guidelines, Attachment A, p. 1 – definition of “customer” </w:t>
      </w:r>
    </w:p>
    <w:p w14:paraId="3E800E15" w14:textId="71B39737" w:rsidR="00032533" w:rsidRPr="00546ACE" w:rsidRDefault="00032533" w:rsidP="00032533">
      <w:pPr>
        <w:spacing w:after="0" w:line="240" w:lineRule="auto"/>
        <w:ind w:left="720"/>
        <w:rPr>
          <w:rFonts w:ascii="Times New Roman" w:hAnsi="Times New Roman" w:cs="Times New Roman"/>
          <w:i/>
          <w:iCs/>
        </w:rPr>
      </w:pPr>
      <w:r w:rsidRPr="00546ACE">
        <w:rPr>
          <w:rFonts w:ascii="Times New Roman" w:hAnsi="Times New Roman" w:cs="Times New Roman"/>
          <w:i/>
          <w:iCs/>
        </w:rPr>
        <w:t>Guidelines, Attachment A, p. 2 – definition of “G</w:t>
      </w:r>
      <w:r w:rsidR="007E0872" w:rsidRPr="00546ACE">
        <w:rPr>
          <w:rFonts w:ascii="Times New Roman" w:hAnsi="Times New Roman" w:cs="Times New Roman"/>
          <w:i/>
          <w:iCs/>
        </w:rPr>
        <w:t xml:space="preserve">eorgia </w:t>
      </w:r>
      <w:r w:rsidRPr="00546ACE">
        <w:rPr>
          <w:rFonts w:ascii="Times New Roman" w:hAnsi="Times New Roman" w:cs="Times New Roman"/>
          <w:i/>
          <w:iCs/>
        </w:rPr>
        <w:t>P</w:t>
      </w:r>
      <w:r w:rsidR="007E0872" w:rsidRPr="00546ACE">
        <w:rPr>
          <w:rFonts w:ascii="Times New Roman" w:hAnsi="Times New Roman" w:cs="Times New Roman"/>
          <w:i/>
          <w:iCs/>
        </w:rPr>
        <w:t>ower</w:t>
      </w:r>
      <w:r w:rsidRPr="00546ACE">
        <w:rPr>
          <w:rFonts w:ascii="Times New Roman" w:hAnsi="Times New Roman" w:cs="Times New Roman"/>
          <w:i/>
          <w:iCs/>
        </w:rPr>
        <w:t xml:space="preserve"> Customer Account”</w:t>
      </w:r>
    </w:p>
    <w:p w14:paraId="51A90129" w14:textId="46F1303C" w:rsidR="00032533" w:rsidRPr="00546ACE" w:rsidRDefault="00032533" w:rsidP="00032533">
      <w:pPr>
        <w:spacing w:after="0" w:line="240" w:lineRule="auto"/>
        <w:ind w:left="720"/>
        <w:rPr>
          <w:rFonts w:ascii="Times New Roman" w:hAnsi="Times New Roman" w:cs="Times New Roman"/>
          <w:i/>
          <w:iCs/>
        </w:rPr>
      </w:pPr>
      <w:r w:rsidRPr="00546ACE">
        <w:rPr>
          <w:rFonts w:ascii="Times New Roman" w:hAnsi="Times New Roman" w:cs="Times New Roman"/>
          <w:i/>
          <w:iCs/>
        </w:rPr>
        <w:t>Guidelines, Attachment A, p. 4 – definition of “person”</w:t>
      </w:r>
    </w:p>
    <w:p w14:paraId="5B9E7150" w14:textId="2DD44A69" w:rsidR="00032533" w:rsidRPr="00546ACE" w:rsidRDefault="00032533" w:rsidP="00032533">
      <w:pPr>
        <w:spacing w:after="0" w:line="240" w:lineRule="auto"/>
        <w:ind w:left="720"/>
        <w:rPr>
          <w:rFonts w:ascii="Times New Roman" w:hAnsi="Times New Roman" w:cs="Times New Roman"/>
          <w:i/>
          <w:iCs/>
        </w:rPr>
      </w:pPr>
      <w:r w:rsidRPr="00546ACE">
        <w:rPr>
          <w:rFonts w:ascii="Times New Roman" w:hAnsi="Times New Roman" w:cs="Times New Roman"/>
          <w:i/>
          <w:iCs/>
        </w:rPr>
        <w:t xml:space="preserve">Guidelines, Attachment A, p. 4 – definition of “premises” </w:t>
      </w:r>
    </w:p>
    <w:p w14:paraId="686DE7B9" w14:textId="3C21807C" w:rsidR="00032533" w:rsidRPr="00546ACE" w:rsidRDefault="00032533" w:rsidP="00032533">
      <w:pPr>
        <w:spacing w:after="0" w:line="240" w:lineRule="auto"/>
        <w:ind w:left="720"/>
        <w:rPr>
          <w:rFonts w:ascii="Times New Roman" w:hAnsi="Times New Roman" w:cs="Times New Roman"/>
          <w:i/>
          <w:iCs/>
        </w:rPr>
      </w:pPr>
      <w:r w:rsidRPr="00546ACE">
        <w:rPr>
          <w:rFonts w:ascii="Times New Roman" w:hAnsi="Times New Roman" w:cs="Times New Roman"/>
          <w:i/>
          <w:iCs/>
        </w:rPr>
        <w:t>PPA, § 1, p.</w:t>
      </w:r>
      <w:r w:rsidR="00E62543">
        <w:rPr>
          <w:rFonts w:ascii="Times New Roman" w:hAnsi="Times New Roman" w:cs="Times New Roman"/>
          <w:i/>
          <w:iCs/>
        </w:rPr>
        <w:t xml:space="preserve"> </w:t>
      </w:r>
      <w:r w:rsidRPr="00546ACE">
        <w:rPr>
          <w:rFonts w:ascii="Times New Roman" w:hAnsi="Times New Roman" w:cs="Times New Roman"/>
          <w:i/>
          <w:iCs/>
        </w:rPr>
        <w:t xml:space="preserve">1 -- same description of ownership as </w:t>
      </w:r>
      <w:r w:rsidR="00AB6C73">
        <w:rPr>
          <w:rFonts w:ascii="Times New Roman" w:hAnsi="Times New Roman" w:cs="Times New Roman"/>
          <w:i/>
          <w:iCs/>
        </w:rPr>
        <w:t>in G</w:t>
      </w:r>
      <w:r w:rsidRPr="00546ACE">
        <w:rPr>
          <w:rFonts w:ascii="Times New Roman" w:hAnsi="Times New Roman" w:cs="Times New Roman"/>
          <w:i/>
          <w:iCs/>
        </w:rPr>
        <w:t>uidelines</w:t>
      </w:r>
    </w:p>
    <w:p w14:paraId="5B5F7FFE" w14:textId="48929A39" w:rsidR="00032533" w:rsidRPr="00546ACE" w:rsidRDefault="00032533" w:rsidP="00032533">
      <w:pPr>
        <w:spacing w:after="0" w:line="240" w:lineRule="auto"/>
        <w:ind w:left="720"/>
        <w:rPr>
          <w:rFonts w:ascii="Times New Roman" w:hAnsi="Times New Roman" w:cs="Times New Roman"/>
          <w:i/>
          <w:iCs/>
        </w:rPr>
      </w:pPr>
      <w:r w:rsidRPr="00546ACE">
        <w:rPr>
          <w:rFonts w:ascii="Times New Roman" w:hAnsi="Times New Roman" w:cs="Times New Roman"/>
          <w:i/>
          <w:iCs/>
        </w:rPr>
        <w:t>PPA, § 1</w:t>
      </w:r>
      <w:r w:rsidR="00AB6C73">
        <w:rPr>
          <w:rFonts w:ascii="Times New Roman" w:hAnsi="Times New Roman" w:cs="Times New Roman"/>
          <w:i/>
          <w:iCs/>
        </w:rPr>
        <w:t>2</w:t>
      </w:r>
      <w:r w:rsidRPr="00546ACE">
        <w:rPr>
          <w:rFonts w:ascii="Times New Roman" w:hAnsi="Times New Roman" w:cs="Times New Roman"/>
          <w:i/>
          <w:iCs/>
        </w:rPr>
        <w:t>(</w:t>
      </w:r>
      <w:r w:rsidR="00AB6C73">
        <w:rPr>
          <w:rFonts w:ascii="Times New Roman" w:hAnsi="Times New Roman" w:cs="Times New Roman"/>
          <w:i/>
          <w:iCs/>
        </w:rPr>
        <w:t>c</w:t>
      </w:r>
      <w:r w:rsidRPr="00546ACE">
        <w:rPr>
          <w:rFonts w:ascii="Times New Roman" w:hAnsi="Times New Roman" w:cs="Times New Roman"/>
          <w:i/>
          <w:iCs/>
        </w:rPr>
        <w:t>)(</w:t>
      </w:r>
      <w:proofErr w:type="spellStart"/>
      <w:r w:rsidRPr="00546ACE">
        <w:rPr>
          <w:rFonts w:ascii="Times New Roman" w:hAnsi="Times New Roman" w:cs="Times New Roman"/>
          <w:i/>
          <w:iCs/>
        </w:rPr>
        <w:t>i</w:t>
      </w:r>
      <w:proofErr w:type="spellEnd"/>
      <w:r w:rsidRPr="00546ACE">
        <w:rPr>
          <w:rFonts w:ascii="Times New Roman" w:hAnsi="Times New Roman" w:cs="Times New Roman"/>
          <w:i/>
          <w:iCs/>
        </w:rPr>
        <w:t>)</w:t>
      </w:r>
      <w:r w:rsidR="00AB6C73">
        <w:rPr>
          <w:rFonts w:ascii="Times New Roman" w:hAnsi="Times New Roman" w:cs="Times New Roman"/>
          <w:i/>
          <w:iCs/>
        </w:rPr>
        <w:t>, p. 6</w:t>
      </w:r>
      <w:r w:rsidRPr="00546ACE">
        <w:rPr>
          <w:rFonts w:ascii="Times New Roman" w:hAnsi="Times New Roman" w:cs="Times New Roman"/>
          <w:i/>
          <w:iCs/>
        </w:rPr>
        <w:t xml:space="preserve"> – same </w:t>
      </w:r>
      <w:r w:rsidR="007E0872" w:rsidRPr="00546ACE">
        <w:rPr>
          <w:rFonts w:ascii="Times New Roman" w:hAnsi="Times New Roman" w:cs="Times New Roman"/>
          <w:i/>
          <w:iCs/>
        </w:rPr>
        <w:t>“</w:t>
      </w:r>
      <w:r w:rsidRPr="00546ACE">
        <w:rPr>
          <w:rFonts w:ascii="Times New Roman" w:hAnsi="Times New Roman" w:cs="Times New Roman"/>
          <w:i/>
          <w:iCs/>
        </w:rPr>
        <w:t>customer</w:t>
      </w:r>
      <w:r w:rsidR="007E0872" w:rsidRPr="00546ACE">
        <w:rPr>
          <w:rFonts w:ascii="Times New Roman" w:hAnsi="Times New Roman" w:cs="Times New Roman"/>
          <w:i/>
          <w:iCs/>
        </w:rPr>
        <w:t>”</w:t>
      </w:r>
      <w:r w:rsidRPr="00546ACE">
        <w:rPr>
          <w:rFonts w:ascii="Times New Roman" w:hAnsi="Times New Roman" w:cs="Times New Roman"/>
          <w:i/>
          <w:iCs/>
        </w:rPr>
        <w:t xml:space="preserve"> through contract </w:t>
      </w:r>
      <w:r w:rsidR="00AB6C73">
        <w:rPr>
          <w:rFonts w:ascii="Times New Roman" w:hAnsi="Times New Roman" w:cs="Times New Roman"/>
          <w:i/>
          <w:iCs/>
        </w:rPr>
        <w:t>term</w:t>
      </w:r>
    </w:p>
    <w:p w14:paraId="0328372F" w14:textId="77777777" w:rsidR="00032533" w:rsidRDefault="00032533" w:rsidP="00032533">
      <w:pPr>
        <w:spacing w:after="0" w:line="240" w:lineRule="auto"/>
        <w:ind w:left="720"/>
        <w:rPr>
          <w:rFonts w:ascii="Times New Roman" w:hAnsi="Times New Roman" w:cs="Times New Roman"/>
        </w:rPr>
      </w:pPr>
    </w:p>
    <w:p w14:paraId="52ED73BB" w14:textId="1F975DB9" w:rsidR="002C41DE" w:rsidRDefault="00372DDF" w:rsidP="007E05F3">
      <w:pPr>
        <w:spacing w:after="0" w:line="480" w:lineRule="auto"/>
        <w:ind w:firstLine="720"/>
        <w:jc w:val="both"/>
        <w:rPr>
          <w:rFonts w:ascii="Times New Roman" w:hAnsi="Times New Roman" w:cs="Times New Roman"/>
        </w:rPr>
      </w:pPr>
      <w:r>
        <w:rPr>
          <w:rFonts w:ascii="Times New Roman" w:hAnsi="Times New Roman" w:cs="Times New Roman"/>
        </w:rPr>
        <w:t xml:space="preserve">In </w:t>
      </w:r>
      <w:r w:rsidR="00A44173">
        <w:rPr>
          <w:rFonts w:ascii="Times New Roman" w:hAnsi="Times New Roman" w:cs="Times New Roman"/>
        </w:rPr>
        <w:t>C</w:t>
      </w:r>
      <w:r w:rsidR="007E05F3">
        <w:rPr>
          <w:rFonts w:ascii="Times New Roman" w:hAnsi="Times New Roman" w:cs="Times New Roman"/>
        </w:rPr>
        <w:t>ustomer Connected</w:t>
      </w:r>
      <w:r>
        <w:rPr>
          <w:rFonts w:ascii="Times New Roman" w:hAnsi="Times New Roman" w:cs="Times New Roman"/>
        </w:rPr>
        <w:t xml:space="preserve">, </w:t>
      </w:r>
      <w:r w:rsidR="00032533">
        <w:rPr>
          <w:rFonts w:ascii="Times New Roman" w:hAnsi="Times New Roman" w:cs="Times New Roman"/>
        </w:rPr>
        <w:t>a third</w:t>
      </w:r>
      <w:r w:rsidR="00AB6C73">
        <w:rPr>
          <w:rFonts w:ascii="Times New Roman" w:hAnsi="Times New Roman" w:cs="Times New Roman"/>
        </w:rPr>
        <w:t>-</w:t>
      </w:r>
      <w:r w:rsidR="00032533">
        <w:rPr>
          <w:rFonts w:ascii="Times New Roman" w:hAnsi="Times New Roman" w:cs="Times New Roman"/>
        </w:rPr>
        <w:t xml:space="preserve">party </w:t>
      </w:r>
      <w:r w:rsidR="00B415AB">
        <w:rPr>
          <w:rFonts w:ascii="Times New Roman" w:hAnsi="Times New Roman" w:cs="Times New Roman"/>
        </w:rPr>
        <w:t xml:space="preserve">cannot sign </w:t>
      </w:r>
      <w:r w:rsidR="007E05F3">
        <w:rPr>
          <w:rFonts w:ascii="Times New Roman" w:hAnsi="Times New Roman" w:cs="Times New Roman"/>
        </w:rPr>
        <w:t>the PPA</w:t>
      </w:r>
      <w:r w:rsidR="00086692">
        <w:rPr>
          <w:rFonts w:ascii="Times New Roman" w:hAnsi="Times New Roman" w:cs="Times New Roman"/>
        </w:rPr>
        <w:t xml:space="preserve">.  </w:t>
      </w:r>
      <w:r w:rsidR="00B415AB">
        <w:rPr>
          <w:rFonts w:ascii="Times New Roman" w:hAnsi="Times New Roman" w:cs="Times New Roman"/>
        </w:rPr>
        <w:t xml:space="preserve">The customer must be the </w:t>
      </w:r>
      <w:r w:rsidR="009D5DB3">
        <w:rPr>
          <w:rFonts w:ascii="Times New Roman" w:hAnsi="Times New Roman" w:cs="Times New Roman"/>
        </w:rPr>
        <w:t xml:space="preserve">Company’s </w:t>
      </w:r>
      <w:r w:rsidR="00B415AB">
        <w:rPr>
          <w:rFonts w:ascii="Times New Roman" w:hAnsi="Times New Roman" w:cs="Times New Roman"/>
        </w:rPr>
        <w:t>counterparty</w:t>
      </w:r>
      <w:r w:rsidR="009D5DB3">
        <w:rPr>
          <w:rFonts w:ascii="Times New Roman" w:hAnsi="Times New Roman" w:cs="Times New Roman"/>
        </w:rPr>
        <w:t>.</w:t>
      </w:r>
      <w:r w:rsidR="00B415AB">
        <w:rPr>
          <w:rFonts w:ascii="Times New Roman" w:hAnsi="Times New Roman" w:cs="Times New Roman"/>
        </w:rPr>
        <w:t xml:space="preserve">  This transfers </w:t>
      </w:r>
      <w:r w:rsidR="00086692">
        <w:rPr>
          <w:rFonts w:ascii="Times New Roman" w:hAnsi="Times New Roman" w:cs="Times New Roman"/>
        </w:rPr>
        <w:t>all contractual obligations</w:t>
      </w:r>
      <w:r w:rsidR="00A44173">
        <w:rPr>
          <w:rFonts w:ascii="Times New Roman" w:hAnsi="Times New Roman" w:cs="Times New Roman"/>
        </w:rPr>
        <w:t xml:space="preserve"> </w:t>
      </w:r>
      <w:r w:rsidR="00B415AB">
        <w:rPr>
          <w:rFonts w:ascii="Times New Roman" w:hAnsi="Times New Roman" w:cs="Times New Roman"/>
        </w:rPr>
        <w:t>and economic risks t</w:t>
      </w:r>
      <w:r w:rsidR="00A44173">
        <w:rPr>
          <w:rFonts w:ascii="Times New Roman" w:hAnsi="Times New Roman" w:cs="Times New Roman"/>
        </w:rPr>
        <w:t>o the customer</w:t>
      </w:r>
      <w:r w:rsidR="00032533">
        <w:rPr>
          <w:rFonts w:ascii="Times New Roman" w:hAnsi="Times New Roman" w:cs="Times New Roman"/>
        </w:rPr>
        <w:t xml:space="preserve">.  </w:t>
      </w:r>
      <w:r w:rsidR="00B415AB">
        <w:rPr>
          <w:rFonts w:ascii="Times New Roman" w:hAnsi="Times New Roman" w:cs="Times New Roman"/>
        </w:rPr>
        <w:t>T</w:t>
      </w:r>
      <w:r w:rsidR="004A7628">
        <w:rPr>
          <w:rFonts w:ascii="Times New Roman" w:hAnsi="Times New Roman" w:cs="Times New Roman"/>
        </w:rPr>
        <w:t>his</w:t>
      </w:r>
      <w:r w:rsidR="002C41DE">
        <w:rPr>
          <w:rFonts w:ascii="Times New Roman" w:hAnsi="Times New Roman" w:cs="Times New Roman"/>
        </w:rPr>
        <w:t xml:space="preserve"> change:</w:t>
      </w:r>
    </w:p>
    <w:p w14:paraId="150962D0" w14:textId="679CD38B" w:rsidR="002C41DE" w:rsidRDefault="00372DDF" w:rsidP="002C41DE">
      <w:pPr>
        <w:pStyle w:val="ListParagraph"/>
        <w:numPr>
          <w:ilvl w:val="0"/>
          <w:numId w:val="3"/>
        </w:numPr>
        <w:spacing w:after="0" w:line="480" w:lineRule="auto"/>
        <w:jc w:val="both"/>
        <w:rPr>
          <w:rFonts w:ascii="Times New Roman" w:hAnsi="Times New Roman" w:cs="Times New Roman"/>
        </w:rPr>
      </w:pPr>
      <w:r>
        <w:rPr>
          <w:rFonts w:ascii="Times New Roman" w:hAnsi="Times New Roman" w:cs="Times New Roman"/>
        </w:rPr>
        <w:t>A</w:t>
      </w:r>
      <w:r w:rsidR="00E120F2">
        <w:rPr>
          <w:rFonts w:ascii="Times New Roman" w:hAnsi="Times New Roman" w:cs="Times New Roman"/>
        </w:rPr>
        <w:t xml:space="preserve">lters </w:t>
      </w:r>
      <w:r w:rsidR="002C41DE">
        <w:rPr>
          <w:rFonts w:ascii="Times New Roman" w:hAnsi="Times New Roman" w:cs="Times New Roman"/>
        </w:rPr>
        <w:t xml:space="preserve">the precedent, procedure and methodology </w:t>
      </w:r>
      <w:r w:rsidR="00FF4F04">
        <w:rPr>
          <w:rFonts w:ascii="Times New Roman" w:hAnsi="Times New Roman" w:cs="Times New Roman"/>
        </w:rPr>
        <w:t>of</w:t>
      </w:r>
      <w:r w:rsidR="000C3D6E">
        <w:rPr>
          <w:rFonts w:ascii="Times New Roman" w:hAnsi="Times New Roman" w:cs="Times New Roman"/>
        </w:rPr>
        <w:t xml:space="preserve"> the Company’s</w:t>
      </w:r>
      <w:r w:rsidR="00FF4F04">
        <w:rPr>
          <w:rFonts w:ascii="Times New Roman" w:hAnsi="Times New Roman" w:cs="Times New Roman"/>
        </w:rPr>
        <w:t xml:space="preserve"> preceding</w:t>
      </w:r>
      <w:r w:rsidR="000C3D6E">
        <w:rPr>
          <w:rFonts w:ascii="Times New Roman" w:hAnsi="Times New Roman" w:cs="Times New Roman"/>
        </w:rPr>
        <w:t xml:space="preserve"> </w:t>
      </w:r>
      <w:r w:rsidR="002C41DE">
        <w:rPr>
          <w:rFonts w:ascii="Times New Roman" w:hAnsi="Times New Roman" w:cs="Times New Roman"/>
        </w:rPr>
        <w:t>customer-sited programs;</w:t>
      </w:r>
    </w:p>
    <w:p w14:paraId="13487A71" w14:textId="7C03B308" w:rsidR="002C41DE" w:rsidRDefault="00E82EB7" w:rsidP="002C41DE">
      <w:pPr>
        <w:pStyle w:val="ListParagraph"/>
        <w:numPr>
          <w:ilvl w:val="0"/>
          <w:numId w:val="3"/>
        </w:numPr>
        <w:spacing w:after="0" w:line="480" w:lineRule="auto"/>
        <w:jc w:val="both"/>
        <w:rPr>
          <w:rFonts w:ascii="Times New Roman" w:hAnsi="Times New Roman" w:cs="Times New Roman"/>
        </w:rPr>
      </w:pPr>
      <w:r>
        <w:rPr>
          <w:rFonts w:ascii="Times New Roman" w:hAnsi="Times New Roman" w:cs="Times New Roman"/>
        </w:rPr>
        <w:t xml:space="preserve">Substantially </w:t>
      </w:r>
      <w:r w:rsidR="004A7628" w:rsidRPr="002C41DE">
        <w:rPr>
          <w:rFonts w:ascii="Times New Roman" w:hAnsi="Times New Roman" w:cs="Times New Roman"/>
        </w:rPr>
        <w:t xml:space="preserve">increases the </w:t>
      </w:r>
      <w:r>
        <w:rPr>
          <w:rFonts w:ascii="Times New Roman" w:hAnsi="Times New Roman" w:cs="Times New Roman"/>
        </w:rPr>
        <w:t xml:space="preserve">contractual </w:t>
      </w:r>
      <w:r w:rsidR="00D10066">
        <w:rPr>
          <w:rFonts w:ascii="Times New Roman" w:hAnsi="Times New Roman" w:cs="Times New Roman"/>
        </w:rPr>
        <w:t xml:space="preserve">compliance </w:t>
      </w:r>
      <w:r>
        <w:rPr>
          <w:rFonts w:ascii="Times New Roman" w:hAnsi="Times New Roman" w:cs="Times New Roman"/>
        </w:rPr>
        <w:t xml:space="preserve">complexity </w:t>
      </w:r>
      <w:r w:rsidR="004A7628" w:rsidRPr="002C41DE">
        <w:rPr>
          <w:rFonts w:ascii="Times New Roman" w:hAnsi="Times New Roman" w:cs="Times New Roman"/>
        </w:rPr>
        <w:t xml:space="preserve">imposed </w:t>
      </w:r>
      <w:r w:rsidR="00032533" w:rsidRPr="002C41DE">
        <w:rPr>
          <w:rFonts w:ascii="Times New Roman" w:hAnsi="Times New Roman" w:cs="Times New Roman"/>
        </w:rPr>
        <w:t>on the customer</w:t>
      </w:r>
      <w:r w:rsidR="002C41DE">
        <w:rPr>
          <w:rFonts w:ascii="Times New Roman" w:hAnsi="Times New Roman" w:cs="Times New Roman"/>
        </w:rPr>
        <w:t>;</w:t>
      </w:r>
      <w:r w:rsidR="00032533" w:rsidRPr="002C41DE">
        <w:rPr>
          <w:rFonts w:ascii="Times New Roman" w:hAnsi="Times New Roman" w:cs="Times New Roman"/>
        </w:rPr>
        <w:t xml:space="preserve"> </w:t>
      </w:r>
      <w:r w:rsidR="00894EDA" w:rsidRPr="002C41DE">
        <w:rPr>
          <w:rFonts w:ascii="Times New Roman" w:hAnsi="Times New Roman" w:cs="Times New Roman"/>
        </w:rPr>
        <w:t xml:space="preserve"> </w:t>
      </w:r>
    </w:p>
    <w:p w14:paraId="78541BA9" w14:textId="5E0492FD" w:rsidR="002C41DE" w:rsidRPr="007B19CE" w:rsidRDefault="002C41DE" w:rsidP="00FF4F04">
      <w:pPr>
        <w:pStyle w:val="ListParagraph"/>
        <w:numPr>
          <w:ilvl w:val="0"/>
          <w:numId w:val="3"/>
        </w:numPr>
        <w:spacing w:after="0" w:line="480" w:lineRule="auto"/>
        <w:jc w:val="both"/>
        <w:rPr>
          <w:rFonts w:ascii="Times New Roman" w:hAnsi="Times New Roman" w:cs="Times New Roman"/>
        </w:rPr>
      </w:pPr>
      <w:r w:rsidRPr="00FF4F04">
        <w:rPr>
          <w:rFonts w:ascii="Times New Roman" w:hAnsi="Times New Roman" w:cs="Times New Roman"/>
        </w:rPr>
        <w:t>C</w:t>
      </w:r>
      <w:r w:rsidR="004A7628" w:rsidRPr="00FF4F04">
        <w:rPr>
          <w:rFonts w:ascii="Times New Roman" w:hAnsi="Times New Roman" w:cs="Times New Roman"/>
        </w:rPr>
        <w:t>onstrains the customer’s ability to</w:t>
      </w:r>
      <w:r w:rsidR="00E120F2" w:rsidRPr="00FF4F04">
        <w:rPr>
          <w:rFonts w:ascii="Times New Roman" w:hAnsi="Times New Roman" w:cs="Times New Roman"/>
        </w:rPr>
        <w:t xml:space="preserve"> assign the PPA and</w:t>
      </w:r>
      <w:r w:rsidR="004A7628" w:rsidRPr="00FF4F04">
        <w:rPr>
          <w:rFonts w:ascii="Times New Roman" w:hAnsi="Times New Roman" w:cs="Times New Roman"/>
        </w:rPr>
        <w:t xml:space="preserve"> transfer property</w:t>
      </w:r>
      <w:r w:rsidR="00D40B00" w:rsidRPr="00FF4F04">
        <w:rPr>
          <w:rFonts w:ascii="Times New Roman" w:hAnsi="Times New Roman" w:cs="Times New Roman"/>
        </w:rPr>
        <w:t xml:space="preserve"> a</w:t>
      </w:r>
      <w:r w:rsidR="00E120F2" w:rsidRPr="00C36949">
        <w:rPr>
          <w:rFonts w:ascii="Times New Roman" w:hAnsi="Times New Roman" w:cs="Times New Roman"/>
        </w:rPr>
        <w:t>t the</w:t>
      </w:r>
      <w:r w:rsidR="00D40B00" w:rsidRPr="00347B98">
        <w:rPr>
          <w:rFonts w:ascii="Times New Roman" w:hAnsi="Times New Roman" w:cs="Times New Roman"/>
        </w:rPr>
        <w:t xml:space="preserve"> r</w:t>
      </w:r>
      <w:r w:rsidR="004A7628" w:rsidRPr="00340879">
        <w:rPr>
          <w:rFonts w:ascii="Times New Roman" w:hAnsi="Times New Roman" w:cs="Times New Roman"/>
        </w:rPr>
        <w:t>isk</w:t>
      </w:r>
      <w:r w:rsidRPr="00340879">
        <w:rPr>
          <w:rFonts w:ascii="Times New Roman" w:hAnsi="Times New Roman" w:cs="Times New Roman"/>
        </w:rPr>
        <w:t xml:space="preserve"> </w:t>
      </w:r>
      <w:r w:rsidR="00E120F2" w:rsidRPr="009E432F">
        <w:rPr>
          <w:rFonts w:ascii="Times New Roman" w:hAnsi="Times New Roman" w:cs="Times New Roman"/>
        </w:rPr>
        <w:t xml:space="preserve">of </w:t>
      </w:r>
      <w:r w:rsidRPr="007B19CE">
        <w:rPr>
          <w:rFonts w:ascii="Times New Roman" w:hAnsi="Times New Roman" w:cs="Times New Roman"/>
        </w:rPr>
        <w:t>stranding</w:t>
      </w:r>
      <w:r w:rsidR="004A7628" w:rsidRPr="007B19CE">
        <w:rPr>
          <w:rFonts w:ascii="Times New Roman" w:hAnsi="Times New Roman" w:cs="Times New Roman"/>
        </w:rPr>
        <w:t xml:space="preserve"> beneficial, energy producing assets</w:t>
      </w:r>
      <w:r w:rsidR="00D40B00" w:rsidRPr="007B19CE">
        <w:rPr>
          <w:rFonts w:ascii="Times New Roman" w:hAnsi="Times New Roman" w:cs="Times New Roman"/>
        </w:rPr>
        <w:t>;</w:t>
      </w:r>
      <w:r w:rsidRPr="007B19CE">
        <w:rPr>
          <w:rFonts w:ascii="Times New Roman" w:hAnsi="Times New Roman" w:cs="Times New Roman"/>
        </w:rPr>
        <w:t xml:space="preserve"> and</w:t>
      </w:r>
    </w:p>
    <w:p w14:paraId="1752E2FF" w14:textId="0EB55856" w:rsidR="00BB305A" w:rsidRDefault="002C41DE" w:rsidP="002C41DE">
      <w:pPr>
        <w:pStyle w:val="ListParagraph"/>
        <w:numPr>
          <w:ilvl w:val="0"/>
          <w:numId w:val="3"/>
        </w:numPr>
        <w:spacing w:after="0" w:line="480" w:lineRule="auto"/>
        <w:jc w:val="both"/>
        <w:rPr>
          <w:rFonts w:ascii="Times New Roman" w:hAnsi="Times New Roman" w:cs="Times New Roman"/>
        </w:rPr>
      </w:pPr>
      <w:r>
        <w:rPr>
          <w:rFonts w:ascii="Times New Roman" w:hAnsi="Times New Roman" w:cs="Times New Roman"/>
        </w:rPr>
        <w:t>Re</w:t>
      </w:r>
      <w:r w:rsidR="00D10066">
        <w:rPr>
          <w:rFonts w:ascii="Times New Roman" w:hAnsi="Times New Roman" w:cs="Times New Roman"/>
        </w:rPr>
        <w:t xml:space="preserve">duces </w:t>
      </w:r>
      <w:r w:rsidR="00970E9C">
        <w:rPr>
          <w:rFonts w:ascii="Times New Roman" w:hAnsi="Times New Roman" w:cs="Times New Roman"/>
        </w:rPr>
        <w:t>the customer</w:t>
      </w:r>
      <w:r w:rsidR="007E05F3">
        <w:rPr>
          <w:rFonts w:ascii="Times New Roman" w:hAnsi="Times New Roman" w:cs="Times New Roman"/>
        </w:rPr>
        <w:t xml:space="preserve">’s </w:t>
      </w:r>
      <w:r w:rsidR="00125D2C" w:rsidRPr="002C41DE">
        <w:rPr>
          <w:rFonts w:ascii="Times New Roman" w:hAnsi="Times New Roman" w:cs="Times New Roman"/>
        </w:rPr>
        <w:t>economic benefit</w:t>
      </w:r>
      <w:r w:rsidR="00D10066">
        <w:rPr>
          <w:rFonts w:ascii="Times New Roman" w:hAnsi="Times New Roman" w:cs="Times New Roman"/>
        </w:rPr>
        <w:t xml:space="preserve"> from</w:t>
      </w:r>
      <w:r w:rsidR="00875D73">
        <w:rPr>
          <w:rFonts w:ascii="Times New Roman" w:hAnsi="Times New Roman" w:cs="Times New Roman"/>
        </w:rPr>
        <w:t xml:space="preserve"> energy generated by </w:t>
      </w:r>
      <w:r w:rsidR="000C3D6E">
        <w:rPr>
          <w:rFonts w:ascii="Times New Roman" w:hAnsi="Times New Roman" w:cs="Times New Roman"/>
        </w:rPr>
        <w:t>the solar array</w:t>
      </w:r>
      <w:r w:rsidR="00125D2C" w:rsidRPr="002C41DE">
        <w:rPr>
          <w:rFonts w:ascii="Times New Roman" w:hAnsi="Times New Roman" w:cs="Times New Roman"/>
        </w:rPr>
        <w:t xml:space="preserve">. </w:t>
      </w:r>
    </w:p>
    <w:p w14:paraId="754AB111" w14:textId="2208F578" w:rsidR="00D92CD7" w:rsidRDefault="00372DDF" w:rsidP="007A2BCB">
      <w:pPr>
        <w:widowControl w:val="0"/>
        <w:spacing w:after="0" w:line="240" w:lineRule="auto"/>
        <w:ind w:left="1080" w:hanging="360"/>
        <w:jc w:val="both"/>
        <w:rPr>
          <w:rFonts w:ascii="Times New Roman" w:hAnsi="Times New Roman" w:cs="Times New Roman"/>
          <w:b/>
          <w:bCs/>
          <w:u w:val="single"/>
        </w:rPr>
      </w:pPr>
      <w:r w:rsidRPr="007A2BCB">
        <w:rPr>
          <w:rFonts w:ascii="Times New Roman" w:hAnsi="Times New Roman" w:cs="Times New Roman"/>
        </w:rPr>
        <w:t xml:space="preserve">1. </w:t>
      </w:r>
      <w:r w:rsidR="007A2BCB" w:rsidRPr="007A2BCB">
        <w:rPr>
          <w:rFonts w:ascii="Times New Roman" w:hAnsi="Times New Roman" w:cs="Times New Roman"/>
        </w:rPr>
        <w:tab/>
      </w:r>
      <w:r w:rsidR="00634614" w:rsidRPr="006158FF">
        <w:rPr>
          <w:rFonts w:ascii="Times New Roman" w:hAnsi="Times New Roman" w:cs="Times New Roman"/>
          <w:u w:val="single"/>
        </w:rPr>
        <w:t xml:space="preserve">In </w:t>
      </w:r>
      <w:r w:rsidR="00D71A9C" w:rsidRPr="006158FF">
        <w:rPr>
          <w:rFonts w:ascii="Times New Roman" w:hAnsi="Times New Roman" w:cs="Times New Roman"/>
          <w:u w:val="single"/>
        </w:rPr>
        <w:t>Group B and REDI,</w:t>
      </w:r>
      <w:r w:rsidR="00D92CD7" w:rsidRPr="006158FF">
        <w:rPr>
          <w:rFonts w:ascii="Times New Roman" w:hAnsi="Times New Roman" w:cs="Times New Roman"/>
          <w:u w:val="single"/>
        </w:rPr>
        <w:t xml:space="preserve"> </w:t>
      </w:r>
      <w:r w:rsidR="00BB305A" w:rsidRPr="006158FF">
        <w:rPr>
          <w:rFonts w:ascii="Times New Roman" w:hAnsi="Times New Roman" w:cs="Times New Roman"/>
          <w:u w:val="single"/>
        </w:rPr>
        <w:t xml:space="preserve">a </w:t>
      </w:r>
      <w:r w:rsidR="00D92CD7" w:rsidRPr="006158FF">
        <w:rPr>
          <w:rFonts w:ascii="Times New Roman" w:hAnsi="Times New Roman" w:cs="Times New Roman"/>
          <w:u w:val="single"/>
        </w:rPr>
        <w:t>third</w:t>
      </w:r>
      <w:r w:rsidR="00BB305A" w:rsidRPr="006158FF">
        <w:rPr>
          <w:rFonts w:ascii="Times New Roman" w:hAnsi="Times New Roman" w:cs="Times New Roman"/>
          <w:u w:val="single"/>
        </w:rPr>
        <w:t>-</w:t>
      </w:r>
      <w:r w:rsidR="00D92CD7" w:rsidRPr="006158FF">
        <w:rPr>
          <w:rFonts w:ascii="Times New Roman" w:hAnsi="Times New Roman" w:cs="Times New Roman"/>
          <w:u w:val="single"/>
        </w:rPr>
        <w:t xml:space="preserve">party </w:t>
      </w:r>
      <w:r w:rsidRPr="006158FF">
        <w:rPr>
          <w:rFonts w:ascii="Times New Roman" w:hAnsi="Times New Roman" w:cs="Times New Roman"/>
          <w:u w:val="single"/>
        </w:rPr>
        <w:t>counterparty</w:t>
      </w:r>
      <w:r w:rsidR="00D92CD7" w:rsidRPr="006158FF">
        <w:rPr>
          <w:rFonts w:ascii="Times New Roman" w:hAnsi="Times New Roman" w:cs="Times New Roman"/>
          <w:u w:val="single"/>
        </w:rPr>
        <w:t xml:space="preserve"> </w:t>
      </w:r>
      <w:r w:rsidRPr="006158FF">
        <w:rPr>
          <w:rFonts w:ascii="Times New Roman" w:hAnsi="Times New Roman" w:cs="Times New Roman"/>
          <w:u w:val="single"/>
        </w:rPr>
        <w:t xml:space="preserve">was </w:t>
      </w:r>
      <w:r w:rsidR="00D92CD7" w:rsidRPr="006158FF">
        <w:rPr>
          <w:rFonts w:ascii="Times New Roman" w:hAnsi="Times New Roman" w:cs="Times New Roman"/>
          <w:u w:val="single"/>
        </w:rPr>
        <w:t xml:space="preserve">the </w:t>
      </w:r>
      <w:r w:rsidRPr="006158FF">
        <w:rPr>
          <w:rFonts w:ascii="Times New Roman" w:hAnsi="Times New Roman" w:cs="Times New Roman"/>
          <w:u w:val="single"/>
        </w:rPr>
        <w:t xml:space="preserve">“seller” under the </w:t>
      </w:r>
      <w:r w:rsidR="00D92CD7" w:rsidRPr="006158FF">
        <w:rPr>
          <w:rFonts w:ascii="Times New Roman" w:hAnsi="Times New Roman" w:cs="Times New Roman"/>
          <w:u w:val="single"/>
        </w:rPr>
        <w:t>PPA</w:t>
      </w:r>
      <w:r w:rsidR="00D92CD7" w:rsidRPr="006158FF">
        <w:rPr>
          <w:rFonts w:ascii="Times New Roman" w:hAnsi="Times New Roman" w:cs="Times New Roman"/>
          <w:b/>
          <w:bCs/>
          <w:u w:val="single"/>
        </w:rPr>
        <w:t>.</w:t>
      </w:r>
    </w:p>
    <w:p w14:paraId="03C5AB25" w14:textId="77777777" w:rsidR="00764397" w:rsidRPr="006158FF" w:rsidRDefault="00764397" w:rsidP="00764397">
      <w:pPr>
        <w:widowControl w:val="0"/>
        <w:spacing w:after="0" w:line="240" w:lineRule="auto"/>
        <w:ind w:left="720"/>
        <w:jc w:val="both"/>
        <w:rPr>
          <w:rFonts w:ascii="Times New Roman" w:hAnsi="Times New Roman" w:cs="Times New Roman"/>
          <w:b/>
          <w:bCs/>
          <w:u w:val="single"/>
        </w:rPr>
      </w:pPr>
    </w:p>
    <w:p w14:paraId="55AB9C8B" w14:textId="381449DD" w:rsidR="00E30159" w:rsidRDefault="00372DDF" w:rsidP="007A2BCB">
      <w:pPr>
        <w:pStyle w:val="BodyText"/>
        <w:widowControl w:val="0"/>
        <w:spacing w:after="0" w:line="480" w:lineRule="auto"/>
        <w:ind w:firstLine="720"/>
        <w:rPr>
          <w:szCs w:val="24"/>
        </w:rPr>
      </w:pPr>
      <w:r>
        <w:rPr>
          <w:szCs w:val="24"/>
        </w:rPr>
        <w:t xml:space="preserve">In ASI Prime Group B and REDI, a third-party, as counterparty to the PPA, was identified </w:t>
      </w:r>
      <w:r>
        <w:rPr>
          <w:szCs w:val="24"/>
        </w:rPr>
        <w:lastRenderedPageBreak/>
        <w:t>as the “seller” of electricity generat</w:t>
      </w:r>
      <w:r w:rsidR="006C28C5">
        <w:rPr>
          <w:szCs w:val="24"/>
        </w:rPr>
        <w:t>ed</w:t>
      </w:r>
      <w:r>
        <w:rPr>
          <w:szCs w:val="24"/>
        </w:rPr>
        <w:t xml:space="preserve"> by the solar facility, not the customer.   </w:t>
      </w:r>
      <w:r w:rsidR="00E30159">
        <w:rPr>
          <w:szCs w:val="24"/>
        </w:rPr>
        <w:t xml:space="preserve">  Group B </w:t>
      </w:r>
      <w:r w:rsidR="001979EB">
        <w:rPr>
          <w:szCs w:val="24"/>
        </w:rPr>
        <w:t xml:space="preserve">Guidelines </w:t>
      </w:r>
      <w:r w:rsidR="00E30159">
        <w:rPr>
          <w:szCs w:val="24"/>
        </w:rPr>
        <w:t>provided</w:t>
      </w:r>
      <w:r w:rsidR="00753DC1">
        <w:rPr>
          <w:szCs w:val="24"/>
        </w:rPr>
        <w:t xml:space="preserve"> (in pertinent part)</w:t>
      </w:r>
      <w:r w:rsidR="007F2BCA">
        <w:rPr>
          <w:szCs w:val="24"/>
        </w:rPr>
        <w:t>:</w:t>
      </w:r>
      <w:r w:rsidR="00753DC1">
        <w:rPr>
          <w:rStyle w:val="FootnoteReference"/>
          <w:szCs w:val="24"/>
        </w:rPr>
        <w:footnoteReference w:id="14"/>
      </w:r>
    </w:p>
    <w:p w14:paraId="38FBE629" w14:textId="471EDB42" w:rsidR="00E30159" w:rsidRPr="000823B0" w:rsidRDefault="00E30159" w:rsidP="00CF317D">
      <w:pPr>
        <w:pStyle w:val="BodyText"/>
        <w:keepNext/>
        <w:ind w:left="720"/>
        <w:rPr>
          <w:szCs w:val="24"/>
        </w:rPr>
      </w:pPr>
      <w:r w:rsidRPr="000823B0">
        <w:rPr>
          <w:szCs w:val="24"/>
        </w:rPr>
        <w:t xml:space="preserve">Group B Applicants must meet all of the following criteria, as further described herein: </w:t>
      </w:r>
      <w:r w:rsidR="00CF317D">
        <w:rPr>
          <w:szCs w:val="24"/>
        </w:rPr>
        <w:t>…</w:t>
      </w:r>
    </w:p>
    <w:p w14:paraId="59A3F11A" w14:textId="26B45D4C" w:rsidR="00E30159" w:rsidRPr="00CF317D" w:rsidRDefault="00E30159" w:rsidP="00CF317D">
      <w:pPr>
        <w:pStyle w:val="OutlineL3"/>
        <w:numPr>
          <w:ilvl w:val="2"/>
          <w:numId w:val="5"/>
        </w:numPr>
        <w:ind w:left="720"/>
        <w:jc w:val="both"/>
        <w:rPr>
          <w:b/>
          <w:bCs/>
        </w:rPr>
      </w:pPr>
      <w:r w:rsidRPr="00CF317D">
        <w:rPr>
          <w:b/>
          <w:bCs/>
        </w:rPr>
        <w:t xml:space="preserve">Customer-sited projects may be owned by the customer or a third party. </w:t>
      </w:r>
      <w:r w:rsidR="000C3D6E">
        <w:t>…</w:t>
      </w:r>
      <w:r w:rsidR="00764397">
        <w:t xml:space="preserve"> (Emphasis added)</w:t>
      </w:r>
    </w:p>
    <w:p w14:paraId="25E37A28" w14:textId="36830499" w:rsidR="001979EB" w:rsidRDefault="00875D73" w:rsidP="0095533D">
      <w:pPr>
        <w:spacing w:after="0" w:line="480" w:lineRule="auto"/>
        <w:jc w:val="both"/>
        <w:rPr>
          <w:rFonts w:ascii="Times New Roman" w:hAnsi="Times New Roman" w:cs="Times New Roman"/>
        </w:rPr>
      </w:pPr>
      <w:r>
        <w:rPr>
          <w:rFonts w:ascii="Times New Roman" w:hAnsi="Times New Roman" w:cs="Times New Roman"/>
        </w:rPr>
        <w:t>Group B g</w:t>
      </w:r>
      <w:r w:rsidR="00753DC1">
        <w:rPr>
          <w:rFonts w:ascii="Times New Roman" w:hAnsi="Times New Roman" w:cs="Times New Roman"/>
        </w:rPr>
        <w:t xml:space="preserve">uidelines </w:t>
      </w:r>
      <w:r w:rsidR="00372DDF">
        <w:rPr>
          <w:rFonts w:ascii="Times New Roman" w:hAnsi="Times New Roman" w:cs="Times New Roman"/>
        </w:rPr>
        <w:t xml:space="preserve">defined </w:t>
      </w:r>
      <w:r w:rsidR="001979EB">
        <w:rPr>
          <w:rFonts w:ascii="Times New Roman" w:hAnsi="Times New Roman" w:cs="Times New Roman"/>
        </w:rPr>
        <w:t>“seller</w:t>
      </w:r>
      <w:r w:rsidR="00AF78B1">
        <w:rPr>
          <w:rFonts w:ascii="Times New Roman" w:hAnsi="Times New Roman" w:cs="Times New Roman"/>
        </w:rPr>
        <w:t>,</w:t>
      </w:r>
      <w:r w:rsidR="001979EB">
        <w:rPr>
          <w:rFonts w:ascii="Times New Roman" w:hAnsi="Times New Roman" w:cs="Times New Roman"/>
        </w:rPr>
        <w:t>” as</w:t>
      </w:r>
      <w:r w:rsidR="00AF78B1">
        <w:rPr>
          <w:rFonts w:ascii="Times New Roman" w:hAnsi="Times New Roman" w:cs="Times New Roman"/>
        </w:rPr>
        <w:t xml:space="preserve"> follows</w:t>
      </w:r>
      <w:r w:rsidR="001979EB">
        <w:rPr>
          <w:rFonts w:ascii="Times New Roman" w:hAnsi="Times New Roman" w:cs="Times New Roman"/>
        </w:rPr>
        <w:t>:</w:t>
      </w:r>
    </w:p>
    <w:p w14:paraId="22D2226E" w14:textId="77777777" w:rsidR="001979EB" w:rsidRPr="0048024C" w:rsidRDefault="001979EB" w:rsidP="00290D30">
      <w:pPr>
        <w:pStyle w:val="StandardL2"/>
        <w:numPr>
          <w:ilvl w:val="0"/>
          <w:numId w:val="0"/>
        </w:numPr>
        <w:ind w:left="720"/>
      </w:pPr>
      <w:r w:rsidRPr="00FF758F">
        <w:t>“</w:t>
      </w:r>
      <w:r w:rsidRPr="00FF758F">
        <w:rPr>
          <w:b/>
        </w:rPr>
        <w:t>Seller</w:t>
      </w:r>
      <w:r w:rsidRPr="00FF758F">
        <w:t>”</w:t>
      </w:r>
      <w:r>
        <w:t xml:space="preserve"> </w:t>
      </w:r>
      <w:r w:rsidRPr="00FF758F">
        <w:rPr>
          <w:w w:val="0"/>
        </w:rPr>
        <w:t>–</w:t>
      </w:r>
      <w:r w:rsidRPr="00FF758F">
        <w:t>means the counterparty to this Agreement and system owner, and includes any entity or person controlling, controlled by or under common ownership or control with Seller, including any subsidiary, related member in a limited liability company or other pass-through entity, or spouse or family member of Selle</w:t>
      </w:r>
      <w:r>
        <w:t>r.</w:t>
      </w:r>
      <w:r>
        <w:rPr>
          <w:rStyle w:val="FootnoteReference"/>
        </w:rPr>
        <w:footnoteReference w:id="15"/>
      </w:r>
    </w:p>
    <w:p w14:paraId="5592113E" w14:textId="4B61E00F" w:rsidR="00C36949" w:rsidRDefault="00AF78B1" w:rsidP="006158FF">
      <w:pPr>
        <w:spacing w:after="0" w:line="240" w:lineRule="auto"/>
        <w:jc w:val="both"/>
        <w:rPr>
          <w:rFonts w:ascii="Times New Roman" w:hAnsi="Times New Roman" w:cs="Times New Roman"/>
        </w:rPr>
      </w:pPr>
      <w:r>
        <w:rPr>
          <w:rFonts w:ascii="Times New Roman" w:hAnsi="Times New Roman" w:cs="Times New Roman"/>
        </w:rPr>
        <w:t>The REDI guidelines</w:t>
      </w:r>
      <w:r w:rsidR="009D5DB3">
        <w:rPr>
          <w:rStyle w:val="FootnoteReference"/>
          <w:rFonts w:ascii="Times New Roman" w:hAnsi="Times New Roman" w:cs="Times New Roman"/>
        </w:rPr>
        <w:footnoteReference w:id="16"/>
      </w:r>
      <w:r w:rsidR="00C36949">
        <w:rPr>
          <w:rFonts w:ascii="Times New Roman" w:hAnsi="Times New Roman" w:cs="Times New Roman"/>
        </w:rPr>
        <w:t xml:space="preserve"> </w:t>
      </w:r>
      <w:r w:rsidR="00CF317D">
        <w:rPr>
          <w:rFonts w:ascii="Times New Roman" w:hAnsi="Times New Roman" w:cs="Times New Roman"/>
        </w:rPr>
        <w:t>were more express</w:t>
      </w:r>
      <w:r w:rsidR="00A610CC">
        <w:rPr>
          <w:rFonts w:ascii="Times New Roman" w:hAnsi="Times New Roman" w:cs="Times New Roman"/>
        </w:rPr>
        <w:t>, stating</w:t>
      </w:r>
      <w:r w:rsidR="003A4FD3">
        <w:rPr>
          <w:rFonts w:ascii="Times New Roman" w:hAnsi="Times New Roman" w:cs="Times New Roman"/>
        </w:rPr>
        <w:t>:</w:t>
      </w:r>
    </w:p>
    <w:p w14:paraId="2B232FA6" w14:textId="77777777" w:rsidR="00AB6C73" w:rsidRPr="00C36949" w:rsidRDefault="00AB6C73" w:rsidP="007B19CE">
      <w:pPr>
        <w:spacing w:after="0" w:line="240" w:lineRule="auto"/>
        <w:ind w:firstLine="720"/>
        <w:jc w:val="both"/>
        <w:rPr>
          <w:rFonts w:ascii="Times New Roman" w:hAnsi="Times New Roman" w:cs="Times New Roman"/>
        </w:rPr>
      </w:pPr>
    </w:p>
    <w:p w14:paraId="0F94A66E" w14:textId="75C3E1FC" w:rsidR="00FA05D0" w:rsidRDefault="003A4FD3" w:rsidP="00C36949">
      <w:pPr>
        <w:spacing w:after="0" w:line="240" w:lineRule="auto"/>
        <w:ind w:left="720"/>
        <w:jc w:val="both"/>
        <w:rPr>
          <w:rFonts w:ascii="Times New Roman" w:hAnsi="Times New Roman" w:cs="Times New Roman"/>
        </w:rPr>
      </w:pPr>
      <w:r w:rsidRPr="007B19CE">
        <w:rPr>
          <w:rFonts w:ascii="Times New Roman" w:hAnsi="Times New Roman" w:cs="Times New Roman"/>
        </w:rPr>
        <w:t xml:space="preserve">Customer-Sited Facilities </w:t>
      </w:r>
      <w:r w:rsidRPr="007B19CE">
        <w:rPr>
          <w:rFonts w:ascii="Times New Roman" w:hAnsi="Times New Roman" w:cs="Times New Roman"/>
          <w:b/>
          <w:bCs/>
        </w:rPr>
        <w:t>may be owned by the Customer or by a third party</w:t>
      </w:r>
      <w:r w:rsidRPr="007B19CE">
        <w:rPr>
          <w:rFonts w:ascii="Times New Roman" w:hAnsi="Times New Roman" w:cs="Times New Roman"/>
        </w:rPr>
        <w:t xml:space="preserve"> who will be the Seller under the PPA. If the Customer-Sited Facility will be owned by a third party who will be the Seller under the PPA, the Customer must provide written consent via the Customer Consent Form included in </w:t>
      </w:r>
      <w:r w:rsidRPr="007B19CE">
        <w:rPr>
          <w:rFonts w:ascii="Times New Roman" w:hAnsi="Times New Roman" w:cs="Times New Roman"/>
          <w:bCs/>
        </w:rPr>
        <w:t>Attachment F</w:t>
      </w:r>
      <w:r w:rsidRPr="007B19CE">
        <w:rPr>
          <w:rFonts w:ascii="Times New Roman" w:hAnsi="Times New Roman" w:cs="Times New Roman"/>
        </w:rPr>
        <w:t>. If applicable, the completed Customer Consent Form must be included in Part 2 of the Application, described in Section IV(B)(5).</w:t>
      </w:r>
      <w:r w:rsidRPr="007B19CE">
        <w:rPr>
          <w:rStyle w:val="FootnoteReference"/>
          <w:rFonts w:ascii="Times New Roman" w:hAnsi="Times New Roman" w:cs="Times New Roman"/>
        </w:rPr>
        <w:footnoteReference w:id="17"/>
      </w:r>
      <w:r w:rsidRPr="007B19CE">
        <w:rPr>
          <w:rFonts w:ascii="Times New Roman" w:hAnsi="Times New Roman" w:cs="Times New Roman"/>
        </w:rPr>
        <w:t xml:space="preserve"> </w:t>
      </w:r>
      <w:r w:rsidR="00CF317D" w:rsidRPr="007B19CE">
        <w:rPr>
          <w:rFonts w:ascii="Times New Roman" w:hAnsi="Times New Roman" w:cs="Times New Roman"/>
        </w:rPr>
        <w:t xml:space="preserve">(Emphasis </w:t>
      </w:r>
      <w:r w:rsidR="00AF78B1" w:rsidRPr="007B19CE">
        <w:rPr>
          <w:rFonts w:ascii="Times New Roman" w:hAnsi="Times New Roman" w:cs="Times New Roman"/>
        </w:rPr>
        <w:t>added</w:t>
      </w:r>
      <w:r w:rsidR="00CF317D" w:rsidRPr="007B19CE">
        <w:rPr>
          <w:rFonts w:ascii="Times New Roman" w:hAnsi="Times New Roman" w:cs="Times New Roman"/>
        </w:rPr>
        <w:t>)</w:t>
      </w:r>
    </w:p>
    <w:p w14:paraId="76C1701D" w14:textId="77777777" w:rsidR="00340879" w:rsidRPr="007B19CE" w:rsidRDefault="00340879" w:rsidP="007B19CE">
      <w:pPr>
        <w:spacing w:after="0" w:line="240" w:lineRule="auto"/>
        <w:ind w:left="720"/>
        <w:jc w:val="both"/>
        <w:rPr>
          <w:rFonts w:ascii="Times New Roman" w:hAnsi="Times New Roman" w:cs="Times New Roman"/>
        </w:rPr>
      </w:pPr>
    </w:p>
    <w:p w14:paraId="7B1E16D2" w14:textId="29AE5D6F" w:rsidR="00AE2D20" w:rsidRDefault="00290D30" w:rsidP="00AE2D20">
      <w:pPr>
        <w:spacing w:after="0" w:line="480" w:lineRule="auto"/>
        <w:jc w:val="both"/>
        <w:rPr>
          <w:rFonts w:ascii="Times New Roman" w:hAnsi="Times New Roman" w:cs="Times New Roman"/>
        </w:rPr>
      </w:pPr>
      <w:r w:rsidRPr="00FA05D0">
        <w:rPr>
          <w:rFonts w:ascii="Times New Roman" w:hAnsi="Times New Roman" w:cs="Times New Roman"/>
        </w:rPr>
        <w:t>In REDI, “seller” was defined as:</w:t>
      </w:r>
      <w:r w:rsidR="00AF78B1" w:rsidRPr="00FA05D0">
        <w:rPr>
          <w:rFonts w:ascii="Times New Roman" w:hAnsi="Times New Roman" w:cs="Times New Roman"/>
        </w:rPr>
        <w:t xml:space="preserve"> “</w:t>
      </w:r>
      <w:r w:rsidRPr="00FA05D0">
        <w:rPr>
          <w:rFonts w:ascii="Times New Roman" w:hAnsi="Times New Roman" w:cs="Times New Roman"/>
        </w:rPr>
        <w:t>the counterparty to Georgia Power in this PPA.</w:t>
      </w:r>
      <w:r w:rsidR="00AF78B1" w:rsidRPr="00FA05D0">
        <w:rPr>
          <w:rFonts w:ascii="Times New Roman" w:hAnsi="Times New Roman" w:cs="Times New Roman"/>
        </w:rPr>
        <w:t>”</w:t>
      </w:r>
      <w:r w:rsidRPr="00FA05D0">
        <w:rPr>
          <w:rStyle w:val="FootnoteReference"/>
          <w:rFonts w:ascii="Times New Roman" w:hAnsi="Times New Roman" w:cs="Times New Roman"/>
        </w:rPr>
        <w:footnoteReference w:id="18"/>
      </w:r>
      <w:r w:rsidR="001509F8" w:rsidRPr="00FA05D0">
        <w:rPr>
          <w:rFonts w:ascii="Times New Roman" w:hAnsi="Times New Roman" w:cs="Times New Roman"/>
        </w:rPr>
        <w:t xml:space="preserve"> </w:t>
      </w:r>
      <w:r w:rsidR="003B4D2B">
        <w:rPr>
          <w:rFonts w:ascii="Times New Roman" w:hAnsi="Times New Roman" w:cs="Times New Roman"/>
        </w:rPr>
        <w:t xml:space="preserve"> T</w:t>
      </w:r>
      <w:r w:rsidR="003B4D2B" w:rsidRPr="00BF5ED9">
        <w:rPr>
          <w:rFonts w:ascii="Times New Roman" w:hAnsi="Times New Roman" w:cs="Times New Roman"/>
        </w:rPr>
        <w:t xml:space="preserve">he </w:t>
      </w:r>
      <w:r w:rsidR="006C28C5">
        <w:rPr>
          <w:rFonts w:ascii="Times New Roman" w:hAnsi="Times New Roman" w:cs="Times New Roman"/>
        </w:rPr>
        <w:t>c</w:t>
      </w:r>
      <w:r w:rsidR="003B4D2B" w:rsidRPr="00BF5ED9">
        <w:rPr>
          <w:rFonts w:ascii="Times New Roman" w:hAnsi="Times New Roman" w:cs="Times New Roman"/>
        </w:rPr>
        <w:t xml:space="preserve">ustomer </w:t>
      </w:r>
      <w:r w:rsidR="003B4D2B">
        <w:rPr>
          <w:rFonts w:ascii="Times New Roman" w:hAnsi="Times New Roman" w:cs="Times New Roman"/>
        </w:rPr>
        <w:t xml:space="preserve">also had to </w:t>
      </w:r>
      <w:r w:rsidR="003B4D2B" w:rsidRPr="00BF5ED9">
        <w:rPr>
          <w:rFonts w:ascii="Times New Roman" w:hAnsi="Times New Roman" w:cs="Times New Roman"/>
        </w:rPr>
        <w:t xml:space="preserve">provide written consent </w:t>
      </w:r>
      <w:r w:rsidR="003B4D2B">
        <w:rPr>
          <w:rFonts w:ascii="Times New Roman" w:hAnsi="Times New Roman" w:cs="Times New Roman"/>
        </w:rPr>
        <w:t>allowing the third-party to apply into the program using the customer’s account.</w:t>
      </w:r>
      <w:r w:rsidR="006C28C5">
        <w:rPr>
          <w:rFonts w:ascii="Times New Roman" w:hAnsi="Times New Roman" w:cs="Times New Roman"/>
        </w:rPr>
        <w:t xml:space="preserve">  </w:t>
      </w:r>
      <w:r w:rsidR="003B4D2B">
        <w:rPr>
          <w:rFonts w:ascii="Times New Roman" w:hAnsi="Times New Roman" w:cs="Times New Roman"/>
        </w:rPr>
        <w:t xml:space="preserve">The </w:t>
      </w:r>
      <w:r w:rsidR="00372DDF">
        <w:rPr>
          <w:rFonts w:ascii="Times New Roman" w:hAnsi="Times New Roman" w:cs="Times New Roman"/>
        </w:rPr>
        <w:t xml:space="preserve">final report on Group B </w:t>
      </w:r>
      <w:r w:rsidR="006C28C5">
        <w:rPr>
          <w:rFonts w:ascii="Times New Roman" w:hAnsi="Times New Roman" w:cs="Times New Roman"/>
        </w:rPr>
        <w:t xml:space="preserve">identified </w:t>
      </w:r>
      <w:r w:rsidR="00372DDF">
        <w:rPr>
          <w:rFonts w:ascii="Times New Roman" w:hAnsi="Times New Roman" w:cs="Times New Roman"/>
        </w:rPr>
        <w:t xml:space="preserve">fifty (50) projects, only five (5) of which appear to have a customer </w:t>
      </w:r>
      <w:r w:rsidR="00AE2D20">
        <w:rPr>
          <w:rFonts w:ascii="Times New Roman" w:hAnsi="Times New Roman" w:cs="Times New Roman"/>
        </w:rPr>
        <w:t xml:space="preserve">PPA </w:t>
      </w:r>
      <w:r w:rsidR="00372DDF">
        <w:rPr>
          <w:rFonts w:ascii="Times New Roman" w:hAnsi="Times New Roman" w:cs="Times New Roman"/>
        </w:rPr>
        <w:t>counterparty</w:t>
      </w:r>
      <w:r w:rsidR="003B4D2B">
        <w:rPr>
          <w:rFonts w:ascii="Times New Roman" w:hAnsi="Times New Roman" w:cs="Times New Roman"/>
        </w:rPr>
        <w:t>,</w:t>
      </w:r>
      <w:r w:rsidR="00372DDF">
        <w:rPr>
          <w:rStyle w:val="FootnoteReference"/>
          <w:rFonts w:ascii="Times New Roman" w:hAnsi="Times New Roman" w:cs="Times New Roman"/>
        </w:rPr>
        <w:footnoteReference w:id="19"/>
      </w:r>
      <w:r w:rsidR="00AE2D20">
        <w:rPr>
          <w:rFonts w:ascii="Times New Roman" w:hAnsi="Times New Roman" w:cs="Times New Roman"/>
        </w:rPr>
        <w:t xml:space="preserve"> and </w:t>
      </w:r>
      <w:r w:rsidR="00D95A7D" w:rsidRPr="00FA05D0">
        <w:rPr>
          <w:rFonts w:ascii="Times New Roman" w:hAnsi="Times New Roman" w:cs="Times New Roman"/>
        </w:rPr>
        <w:t xml:space="preserve">thirty-three </w:t>
      </w:r>
      <w:r w:rsidRPr="00FA05D0">
        <w:rPr>
          <w:rFonts w:ascii="Times New Roman" w:hAnsi="Times New Roman" w:cs="Times New Roman"/>
        </w:rPr>
        <w:t>(</w:t>
      </w:r>
      <w:r w:rsidR="00D95A7D" w:rsidRPr="00FA05D0">
        <w:rPr>
          <w:rFonts w:ascii="Times New Roman" w:hAnsi="Times New Roman" w:cs="Times New Roman"/>
        </w:rPr>
        <w:t>33</w:t>
      </w:r>
      <w:r w:rsidRPr="00FA05D0">
        <w:rPr>
          <w:rFonts w:ascii="Times New Roman" w:hAnsi="Times New Roman" w:cs="Times New Roman"/>
        </w:rPr>
        <w:t>) projects</w:t>
      </w:r>
      <w:r w:rsidR="006C28C5">
        <w:rPr>
          <w:rFonts w:ascii="Times New Roman" w:hAnsi="Times New Roman" w:cs="Times New Roman"/>
        </w:rPr>
        <w:t xml:space="preserve"> in </w:t>
      </w:r>
      <w:r w:rsidR="006C28C5" w:rsidRPr="00FA05D0">
        <w:rPr>
          <w:rFonts w:ascii="Times New Roman" w:hAnsi="Times New Roman" w:cs="Times New Roman"/>
        </w:rPr>
        <w:t>REDI</w:t>
      </w:r>
      <w:r w:rsidRPr="00FA05D0">
        <w:rPr>
          <w:rFonts w:ascii="Times New Roman" w:hAnsi="Times New Roman" w:cs="Times New Roman"/>
        </w:rPr>
        <w:t xml:space="preserve">, </w:t>
      </w:r>
      <w:r w:rsidR="001509F8" w:rsidRPr="00FA05D0">
        <w:rPr>
          <w:rFonts w:ascii="Times New Roman" w:hAnsi="Times New Roman" w:cs="Times New Roman"/>
        </w:rPr>
        <w:lastRenderedPageBreak/>
        <w:t xml:space="preserve">of which </w:t>
      </w:r>
      <w:r w:rsidRPr="00FA05D0">
        <w:rPr>
          <w:rFonts w:ascii="Times New Roman" w:hAnsi="Times New Roman" w:cs="Times New Roman"/>
        </w:rPr>
        <w:t xml:space="preserve">only </w:t>
      </w:r>
      <w:r w:rsidR="00D95A7D" w:rsidRPr="00FA05D0">
        <w:rPr>
          <w:rFonts w:ascii="Times New Roman" w:hAnsi="Times New Roman" w:cs="Times New Roman"/>
        </w:rPr>
        <w:t>two</w:t>
      </w:r>
      <w:r w:rsidRPr="00FA05D0">
        <w:rPr>
          <w:rFonts w:ascii="Times New Roman" w:hAnsi="Times New Roman" w:cs="Times New Roman"/>
        </w:rPr>
        <w:t xml:space="preserve"> (</w:t>
      </w:r>
      <w:r w:rsidR="00D95A7D" w:rsidRPr="00FA05D0">
        <w:rPr>
          <w:rFonts w:ascii="Times New Roman" w:hAnsi="Times New Roman" w:cs="Times New Roman"/>
        </w:rPr>
        <w:t>2</w:t>
      </w:r>
      <w:r w:rsidRPr="00FA05D0">
        <w:rPr>
          <w:rFonts w:ascii="Times New Roman" w:hAnsi="Times New Roman" w:cs="Times New Roman"/>
        </w:rPr>
        <w:t>)</w:t>
      </w:r>
      <w:r w:rsidR="00D95A7D" w:rsidRPr="00FA05D0">
        <w:rPr>
          <w:rFonts w:ascii="Times New Roman" w:hAnsi="Times New Roman" w:cs="Times New Roman"/>
        </w:rPr>
        <w:t xml:space="preserve"> or three (3)</w:t>
      </w:r>
      <w:r w:rsidRPr="00FA05D0">
        <w:rPr>
          <w:rFonts w:ascii="Times New Roman" w:hAnsi="Times New Roman" w:cs="Times New Roman"/>
        </w:rPr>
        <w:t xml:space="preserve"> </w:t>
      </w:r>
      <w:r w:rsidR="00D95A7D" w:rsidRPr="00FA05D0">
        <w:rPr>
          <w:rFonts w:ascii="Times New Roman" w:hAnsi="Times New Roman" w:cs="Times New Roman"/>
        </w:rPr>
        <w:t>h</w:t>
      </w:r>
      <w:r w:rsidRPr="00FA05D0">
        <w:rPr>
          <w:rFonts w:ascii="Times New Roman" w:hAnsi="Times New Roman" w:cs="Times New Roman"/>
        </w:rPr>
        <w:t>ave a customer counterparty to the PPA.</w:t>
      </w:r>
      <w:r w:rsidRPr="00FA05D0">
        <w:rPr>
          <w:rStyle w:val="FootnoteReference"/>
          <w:rFonts w:ascii="Times New Roman" w:hAnsi="Times New Roman" w:cs="Times New Roman"/>
        </w:rPr>
        <w:footnoteReference w:id="20"/>
      </w:r>
      <w:r w:rsidRPr="00FA05D0">
        <w:rPr>
          <w:rFonts w:ascii="Times New Roman" w:hAnsi="Times New Roman" w:cs="Times New Roman"/>
        </w:rPr>
        <w:t xml:space="preserve">  </w:t>
      </w:r>
      <w:r w:rsidR="00340879">
        <w:rPr>
          <w:rFonts w:ascii="Times New Roman" w:hAnsi="Times New Roman" w:cs="Times New Roman"/>
        </w:rPr>
        <w:t>The</w:t>
      </w:r>
      <w:r w:rsidR="009351CA">
        <w:rPr>
          <w:rFonts w:ascii="Times New Roman" w:hAnsi="Times New Roman" w:cs="Times New Roman"/>
        </w:rPr>
        <w:t>re</w:t>
      </w:r>
      <w:r w:rsidR="00340879">
        <w:rPr>
          <w:rFonts w:ascii="Times New Roman" w:hAnsi="Times New Roman" w:cs="Times New Roman"/>
        </w:rPr>
        <w:t xml:space="preserve"> </w:t>
      </w:r>
      <w:r w:rsidR="009351CA">
        <w:rPr>
          <w:rFonts w:ascii="Times New Roman" w:hAnsi="Times New Roman" w:cs="Times New Roman"/>
        </w:rPr>
        <w:t xml:space="preserve">is </w:t>
      </w:r>
      <w:r w:rsidR="00340879">
        <w:rPr>
          <w:rFonts w:ascii="Times New Roman" w:hAnsi="Times New Roman" w:cs="Times New Roman"/>
        </w:rPr>
        <w:t>no evidence in the IRP that REDI Guidelines were violated.</w:t>
      </w:r>
      <w:r w:rsidR="00340879">
        <w:rPr>
          <w:rStyle w:val="FootnoteReference"/>
          <w:rFonts w:ascii="Times New Roman" w:hAnsi="Times New Roman" w:cs="Times New Roman"/>
        </w:rPr>
        <w:footnoteReference w:id="21"/>
      </w:r>
      <w:r w:rsidR="00AE2D20" w:rsidRPr="00AE2D20">
        <w:rPr>
          <w:rFonts w:ascii="Times New Roman" w:hAnsi="Times New Roman" w:cs="Times New Roman"/>
        </w:rPr>
        <w:t xml:space="preserve"> </w:t>
      </w:r>
      <w:r w:rsidR="00831364">
        <w:rPr>
          <w:rFonts w:ascii="Times New Roman" w:hAnsi="Times New Roman" w:cs="Times New Roman"/>
        </w:rPr>
        <w:t xml:space="preserve"> Obviously, most customers opted to allow a third-party to own the system and be the PPA counterparty, though nothing prevented them from owning the system or signing the PPA if they chose.  </w:t>
      </w:r>
      <w:r w:rsidR="00AE2D20">
        <w:rPr>
          <w:rFonts w:ascii="Times New Roman" w:hAnsi="Times New Roman" w:cs="Times New Roman"/>
        </w:rPr>
        <w:t xml:space="preserve">Having a third-party PPA signatory </w:t>
      </w:r>
      <w:r w:rsidR="00831364">
        <w:rPr>
          <w:rFonts w:ascii="Times New Roman" w:hAnsi="Times New Roman" w:cs="Times New Roman"/>
        </w:rPr>
        <w:t xml:space="preserve">in the customer-sited programs has always been </w:t>
      </w:r>
      <w:r w:rsidR="00AE2D20">
        <w:rPr>
          <w:rFonts w:ascii="Times New Roman" w:hAnsi="Times New Roman" w:cs="Times New Roman"/>
        </w:rPr>
        <w:t xml:space="preserve">the rule, not the exception. </w:t>
      </w:r>
    </w:p>
    <w:p w14:paraId="38D26EB8" w14:textId="20CB38A1" w:rsidR="00262ABA" w:rsidRDefault="00D71A9C" w:rsidP="00FA05D0">
      <w:pPr>
        <w:pStyle w:val="NoSpacing"/>
        <w:spacing w:line="480" w:lineRule="auto"/>
        <w:ind w:firstLine="720"/>
        <w:jc w:val="both"/>
        <w:rPr>
          <w:rFonts w:ascii="Times New Roman Bold" w:eastAsia="Times New Roman" w:hAnsi="Times New Roman Bold" w:cs="Times New Roman"/>
          <w:b/>
          <w:szCs w:val="20"/>
          <w:u w:val="single"/>
        </w:rPr>
      </w:pPr>
      <w:r w:rsidRPr="00FA05D0">
        <w:rPr>
          <w:rFonts w:ascii="Times New Roman" w:hAnsi="Times New Roman" w:cs="Times New Roman"/>
        </w:rPr>
        <w:t>In Customer Connected, the “</w:t>
      </w:r>
      <w:r w:rsidR="00764397">
        <w:rPr>
          <w:rFonts w:ascii="Times New Roman" w:hAnsi="Times New Roman" w:cs="Times New Roman"/>
        </w:rPr>
        <w:t>C</w:t>
      </w:r>
      <w:r w:rsidRPr="00FA05D0">
        <w:rPr>
          <w:rFonts w:ascii="Times New Roman" w:hAnsi="Times New Roman" w:cs="Times New Roman"/>
        </w:rPr>
        <w:t xml:space="preserve">ustomer” </w:t>
      </w:r>
      <w:r w:rsidR="002F5A63">
        <w:rPr>
          <w:rFonts w:ascii="Times New Roman" w:hAnsi="Times New Roman" w:cs="Times New Roman"/>
        </w:rPr>
        <w:t xml:space="preserve">must be </w:t>
      </w:r>
      <w:r w:rsidRPr="00FA05D0">
        <w:rPr>
          <w:rFonts w:ascii="Times New Roman" w:hAnsi="Times New Roman" w:cs="Times New Roman"/>
        </w:rPr>
        <w:t>the counterparty</w:t>
      </w:r>
      <w:r w:rsidR="002F5A63">
        <w:rPr>
          <w:rFonts w:ascii="Times New Roman" w:hAnsi="Times New Roman" w:cs="Times New Roman"/>
        </w:rPr>
        <w:t xml:space="preserve"> to </w:t>
      </w:r>
      <w:r w:rsidRPr="00FA05D0">
        <w:rPr>
          <w:rFonts w:ascii="Times New Roman" w:hAnsi="Times New Roman" w:cs="Times New Roman"/>
        </w:rPr>
        <w:t>the PPA</w:t>
      </w:r>
      <w:r w:rsidR="002F5A63">
        <w:rPr>
          <w:rFonts w:ascii="Times New Roman" w:hAnsi="Times New Roman" w:cs="Times New Roman"/>
        </w:rPr>
        <w:t>.</w:t>
      </w:r>
      <w:r w:rsidRPr="00FA05D0">
        <w:rPr>
          <w:rStyle w:val="FootnoteReference"/>
          <w:rFonts w:ascii="Times New Roman" w:hAnsi="Times New Roman" w:cs="Times New Roman"/>
        </w:rPr>
        <w:footnoteReference w:id="22"/>
      </w:r>
      <w:r w:rsidRPr="00FA05D0">
        <w:rPr>
          <w:rFonts w:ascii="Times New Roman" w:hAnsi="Times New Roman" w:cs="Times New Roman"/>
        </w:rPr>
        <w:t xml:space="preserve">  The customer must </w:t>
      </w:r>
      <w:r w:rsidR="002F5A63">
        <w:rPr>
          <w:rFonts w:ascii="Times New Roman" w:hAnsi="Times New Roman" w:cs="Times New Roman"/>
        </w:rPr>
        <w:t>remain the counterparty for the term of the PPA</w:t>
      </w:r>
      <w:r w:rsidR="00764397">
        <w:rPr>
          <w:rFonts w:ascii="Times New Roman" w:hAnsi="Times New Roman" w:cs="Times New Roman"/>
        </w:rPr>
        <w:t>.</w:t>
      </w:r>
      <w:r w:rsidRPr="00FA05D0">
        <w:rPr>
          <w:rStyle w:val="FootnoteReference"/>
          <w:rFonts w:ascii="Times New Roman" w:hAnsi="Times New Roman" w:cs="Times New Roman"/>
        </w:rPr>
        <w:footnoteReference w:id="23"/>
      </w:r>
      <w:r w:rsidRPr="00FA05D0">
        <w:rPr>
          <w:rFonts w:ascii="Times New Roman" w:hAnsi="Times New Roman" w:cs="Times New Roman"/>
        </w:rPr>
        <w:t xml:space="preserve">  If the customer form</w:t>
      </w:r>
      <w:r w:rsidR="00E34371">
        <w:rPr>
          <w:rFonts w:ascii="Times New Roman" w:hAnsi="Times New Roman" w:cs="Times New Roman"/>
        </w:rPr>
        <w:t>ed</w:t>
      </w:r>
      <w:r w:rsidRPr="00FA05D0">
        <w:rPr>
          <w:rFonts w:ascii="Times New Roman" w:hAnsi="Times New Roman" w:cs="Times New Roman"/>
        </w:rPr>
        <w:t xml:space="preserve"> a </w:t>
      </w:r>
      <w:r w:rsidR="002F5A63">
        <w:rPr>
          <w:rFonts w:ascii="Times New Roman" w:hAnsi="Times New Roman" w:cs="Times New Roman"/>
        </w:rPr>
        <w:t xml:space="preserve">limited </w:t>
      </w:r>
      <w:r w:rsidRPr="00FA05D0">
        <w:rPr>
          <w:rFonts w:ascii="Times New Roman" w:hAnsi="Times New Roman" w:cs="Times New Roman"/>
        </w:rPr>
        <w:t>liability company (“LLC”)</w:t>
      </w:r>
      <w:r w:rsidR="009D5DB3" w:rsidRPr="00FA05D0">
        <w:rPr>
          <w:rFonts w:ascii="Times New Roman" w:hAnsi="Times New Roman" w:cs="Times New Roman"/>
        </w:rPr>
        <w:t xml:space="preserve"> (with</w:t>
      </w:r>
      <w:r w:rsidR="00FA05D0">
        <w:rPr>
          <w:rFonts w:ascii="Times New Roman" w:hAnsi="Times New Roman" w:cs="Times New Roman"/>
        </w:rPr>
        <w:t xml:space="preserve"> </w:t>
      </w:r>
      <w:r w:rsidRPr="00FA05D0">
        <w:rPr>
          <w:rFonts w:ascii="Times New Roman" w:hAnsi="Times New Roman" w:cs="Times New Roman"/>
        </w:rPr>
        <w:t>the customer</w:t>
      </w:r>
      <w:r w:rsidR="009D5DB3" w:rsidRPr="00FA05D0">
        <w:rPr>
          <w:rFonts w:ascii="Times New Roman" w:hAnsi="Times New Roman" w:cs="Times New Roman"/>
        </w:rPr>
        <w:t xml:space="preserve"> as sole member)</w:t>
      </w:r>
      <w:r w:rsidR="006D31AE" w:rsidRPr="00FA05D0">
        <w:rPr>
          <w:rFonts w:ascii="Times New Roman" w:hAnsi="Times New Roman" w:cs="Times New Roman"/>
        </w:rPr>
        <w:t xml:space="preserve"> to own the solar facility, this provision is breached.  The </w:t>
      </w:r>
      <w:r w:rsidR="002F5A63">
        <w:rPr>
          <w:rFonts w:ascii="Times New Roman" w:hAnsi="Times New Roman" w:cs="Times New Roman"/>
        </w:rPr>
        <w:t>Company f</w:t>
      </w:r>
      <w:r w:rsidR="001A69EA">
        <w:rPr>
          <w:rFonts w:ascii="Times New Roman" w:hAnsi="Times New Roman" w:cs="Times New Roman"/>
        </w:rPr>
        <w:t>und</w:t>
      </w:r>
      <w:r w:rsidR="002F5A63">
        <w:rPr>
          <w:rFonts w:ascii="Times New Roman" w:hAnsi="Times New Roman" w:cs="Times New Roman"/>
        </w:rPr>
        <w:t xml:space="preserve">amentally </w:t>
      </w:r>
      <w:r w:rsidR="005A4C64">
        <w:rPr>
          <w:rFonts w:ascii="Times New Roman" w:hAnsi="Times New Roman" w:cs="Times New Roman"/>
        </w:rPr>
        <w:t xml:space="preserve">restricts </w:t>
      </w:r>
      <w:r w:rsidR="006D31AE" w:rsidRPr="00FA05D0">
        <w:rPr>
          <w:rFonts w:ascii="Times New Roman" w:hAnsi="Times New Roman" w:cs="Times New Roman"/>
        </w:rPr>
        <w:t>the customer’s ability to structure ownership of the solar facility as the customer sees fit</w:t>
      </w:r>
      <w:r w:rsidR="002F5A63">
        <w:rPr>
          <w:rFonts w:ascii="Times New Roman" w:hAnsi="Times New Roman" w:cs="Times New Roman"/>
        </w:rPr>
        <w:t xml:space="preserve"> which undermines the program</w:t>
      </w:r>
      <w:r w:rsidR="006D31AE" w:rsidRPr="00FA05D0">
        <w:rPr>
          <w:rFonts w:ascii="Times New Roman" w:hAnsi="Times New Roman" w:cs="Times New Roman"/>
        </w:rPr>
        <w:t xml:space="preserve">.  These restrictions were not imposed in Group B or </w:t>
      </w:r>
      <w:r w:rsidR="006D31AE" w:rsidRPr="005A4C64">
        <w:rPr>
          <w:rFonts w:ascii="Times New Roman" w:hAnsi="Times New Roman" w:cs="Times New Roman"/>
          <w:bCs/>
        </w:rPr>
        <w:t>RE</w:t>
      </w:r>
      <w:r w:rsidR="005A4C64">
        <w:rPr>
          <w:rFonts w:ascii="Times New Roman" w:hAnsi="Times New Roman" w:cs="Times New Roman"/>
          <w:bCs/>
        </w:rPr>
        <w:t>DI.</w:t>
      </w:r>
    </w:p>
    <w:p w14:paraId="3B85BA73" w14:textId="2748FB05" w:rsidR="007F2BCA" w:rsidRPr="00262ABA" w:rsidRDefault="00262ABA" w:rsidP="00764397">
      <w:pPr>
        <w:pStyle w:val="NoSpacing"/>
        <w:ind w:left="1080" w:hanging="360"/>
        <w:jc w:val="both"/>
      </w:pPr>
      <w:r w:rsidRPr="007A2BCB">
        <w:rPr>
          <w:rFonts w:ascii="Times New Roman" w:hAnsi="Times New Roman" w:cs="Times New Roman"/>
        </w:rPr>
        <w:t>2.</w:t>
      </w:r>
      <w:r w:rsidR="00764397" w:rsidRPr="007A2BCB">
        <w:rPr>
          <w:rFonts w:ascii="Times New Roman" w:hAnsi="Times New Roman" w:cs="Times New Roman"/>
        </w:rPr>
        <w:tab/>
      </w:r>
      <w:r w:rsidR="00D97670" w:rsidRPr="006158FF">
        <w:rPr>
          <w:rFonts w:ascii="Times New Roman" w:hAnsi="Times New Roman" w:cs="Times New Roman"/>
          <w:bCs/>
          <w:u w:val="single"/>
        </w:rPr>
        <w:t xml:space="preserve">The </w:t>
      </w:r>
      <w:r w:rsidR="00675189" w:rsidRPr="006158FF">
        <w:rPr>
          <w:rFonts w:ascii="Times New Roman" w:hAnsi="Times New Roman" w:cs="Times New Roman"/>
          <w:bCs/>
          <w:u w:val="single"/>
        </w:rPr>
        <w:t xml:space="preserve">Guidelines and PPA </w:t>
      </w:r>
      <w:r w:rsidR="008A02F7" w:rsidRPr="006158FF">
        <w:rPr>
          <w:rFonts w:ascii="Times New Roman" w:hAnsi="Times New Roman" w:cs="Times New Roman"/>
          <w:bCs/>
          <w:u w:val="single"/>
        </w:rPr>
        <w:t xml:space="preserve">impose </w:t>
      </w:r>
      <w:r w:rsidR="00150133" w:rsidRPr="006158FF">
        <w:rPr>
          <w:rFonts w:ascii="Times New Roman" w:hAnsi="Times New Roman" w:cs="Times New Roman"/>
          <w:bCs/>
          <w:u w:val="single"/>
        </w:rPr>
        <w:t xml:space="preserve">significant </w:t>
      </w:r>
      <w:r w:rsidR="00D97670" w:rsidRPr="006158FF">
        <w:rPr>
          <w:rFonts w:ascii="Times New Roman" w:hAnsi="Times New Roman" w:cs="Times New Roman"/>
          <w:bCs/>
          <w:u w:val="single"/>
        </w:rPr>
        <w:t>contractual performance risk</w:t>
      </w:r>
      <w:r w:rsidR="00675189" w:rsidRPr="006158FF">
        <w:rPr>
          <w:rFonts w:ascii="Times New Roman" w:hAnsi="Times New Roman" w:cs="Times New Roman"/>
          <w:bCs/>
          <w:u w:val="single"/>
        </w:rPr>
        <w:t>s</w:t>
      </w:r>
      <w:r w:rsidR="00D97670" w:rsidRPr="006158FF">
        <w:rPr>
          <w:rFonts w:ascii="Times New Roman" w:hAnsi="Times New Roman" w:cs="Times New Roman"/>
          <w:bCs/>
          <w:u w:val="single"/>
        </w:rPr>
        <w:t xml:space="preserve"> o</w:t>
      </w:r>
      <w:r w:rsidR="008A02F7" w:rsidRPr="006158FF">
        <w:rPr>
          <w:rFonts w:ascii="Times New Roman" w:hAnsi="Times New Roman" w:cs="Times New Roman"/>
          <w:bCs/>
          <w:u w:val="single"/>
        </w:rPr>
        <w:t>n</w:t>
      </w:r>
      <w:r w:rsidR="00D97670" w:rsidRPr="006158FF">
        <w:rPr>
          <w:rFonts w:ascii="Times New Roman" w:hAnsi="Times New Roman" w:cs="Times New Roman"/>
          <w:bCs/>
          <w:u w:val="single"/>
        </w:rPr>
        <w:t xml:space="preserve"> </w:t>
      </w:r>
      <w:r w:rsidR="00675189" w:rsidRPr="006158FF">
        <w:rPr>
          <w:rFonts w:ascii="Times New Roman" w:hAnsi="Times New Roman" w:cs="Times New Roman"/>
          <w:bCs/>
          <w:u w:val="single"/>
        </w:rPr>
        <w:t xml:space="preserve">the </w:t>
      </w:r>
      <w:r w:rsidR="00D97670" w:rsidRPr="006158FF">
        <w:rPr>
          <w:rFonts w:ascii="Times New Roman" w:hAnsi="Times New Roman" w:cs="Times New Roman"/>
          <w:bCs/>
          <w:u w:val="single"/>
        </w:rPr>
        <w:t>customer.</w:t>
      </w:r>
    </w:p>
    <w:p w14:paraId="28355BCA" w14:textId="3B84077D" w:rsidR="007F2BCA" w:rsidRDefault="007F2BCA" w:rsidP="007F2BCA">
      <w:pPr>
        <w:spacing w:after="0" w:line="240" w:lineRule="auto"/>
        <w:jc w:val="both"/>
        <w:rPr>
          <w:rFonts w:ascii="Times New Roman" w:hAnsi="Times New Roman" w:cs="Times New Roman"/>
        </w:rPr>
      </w:pPr>
    </w:p>
    <w:p w14:paraId="311CFAA9" w14:textId="261C6C99" w:rsidR="00D97670" w:rsidRDefault="00262ABA" w:rsidP="00764397">
      <w:pPr>
        <w:pStyle w:val="NoSpacing"/>
        <w:widowControl w:val="0"/>
        <w:spacing w:line="480" w:lineRule="auto"/>
        <w:ind w:firstLine="720"/>
        <w:jc w:val="both"/>
        <w:rPr>
          <w:rFonts w:ascii="Times New Roman" w:hAnsi="Times New Roman" w:cs="Times New Roman"/>
        </w:rPr>
      </w:pPr>
      <w:r>
        <w:rPr>
          <w:rFonts w:ascii="Times New Roman" w:hAnsi="Times New Roman" w:cs="Times New Roman"/>
        </w:rPr>
        <w:t>N</w:t>
      </w:r>
      <w:r w:rsidR="00A63666" w:rsidRPr="00743C9F">
        <w:rPr>
          <w:rFonts w:ascii="Times New Roman" w:hAnsi="Times New Roman" w:cs="Times New Roman"/>
        </w:rPr>
        <w:t xml:space="preserve">ow </w:t>
      </w:r>
      <w:r>
        <w:rPr>
          <w:rFonts w:ascii="Times New Roman" w:hAnsi="Times New Roman" w:cs="Times New Roman"/>
        </w:rPr>
        <w:t xml:space="preserve">as counterparty to both </w:t>
      </w:r>
      <w:r w:rsidR="00A63666" w:rsidRPr="00743C9F">
        <w:rPr>
          <w:rFonts w:ascii="Times New Roman" w:hAnsi="Times New Roman" w:cs="Times New Roman"/>
        </w:rPr>
        <w:t xml:space="preserve">the </w:t>
      </w:r>
      <w:r w:rsidR="00AB4424" w:rsidRPr="00743C9F">
        <w:rPr>
          <w:rFonts w:ascii="Times New Roman" w:hAnsi="Times New Roman" w:cs="Times New Roman"/>
        </w:rPr>
        <w:t xml:space="preserve">PPA </w:t>
      </w:r>
      <w:r>
        <w:rPr>
          <w:rFonts w:ascii="Times New Roman" w:hAnsi="Times New Roman" w:cs="Times New Roman"/>
        </w:rPr>
        <w:t xml:space="preserve">and IA, the customer finds itself burdened with </w:t>
      </w:r>
      <w:r w:rsidR="00D97670" w:rsidRPr="00743C9F">
        <w:rPr>
          <w:rFonts w:ascii="Times New Roman" w:hAnsi="Times New Roman" w:cs="Times New Roman"/>
        </w:rPr>
        <w:t>the following obligations</w:t>
      </w:r>
      <w:r w:rsidR="001B1015" w:rsidRPr="00743C9F">
        <w:rPr>
          <w:rFonts w:ascii="Times New Roman" w:hAnsi="Times New Roman" w:cs="Times New Roman"/>
        </w:rPr>
        <w:t>:</w:t>
      </w:r>
      <w:r w:rsidR="00DE0023" w:rsidRPr="00743C9F">
        <w:rPr>
          <w:rFonts w:ascii="Times New Roman" w:hAnsi="Times New Roman" w:cs="Times New Roman"/>
        </w:rPr>
        <w:t xml:space="preserve"> </w:t>
      </w:r>
    </w:p>
    <w:p w14:paraId="6CDCCD2B" w14:textId="7012FAC0" w:rsidR="00D97670" w:rsidRPr="00743C9F" w:rsidRDefault="00D97670" w:rsidP="00DA6672">
      <w:pPr>
        <w:pStyle w:val="OutlineL5"/>
        <w:numPr>
          <w:ilvl w:val="0"/>
          <w:numId w:val="23"/>
        </w:numPr>
      </w:pPr>
      <w:r w:rsidRPr="00743C9F">
        <w:t xml:space="preserve">If the </w:t>
      </w:r>
      <w:r w:rsidRPr="00743C9F">
        <w:rPr>
          <w:b/>
          <w:bCs/>
          <w:u w:val="single"/>
        </w:rPr>
        <w:t>customer</w:t>
      </w:r>
      <w:r w:rsidRPr="00743C9F">
        <w:t xml:space="preserve"> is not creditworthy, the “customer” must maintain performance security (PPA, § 5, p.1)</w:t>
      </w:r>
      <w:r w:rsidR="00184491" w:rsidRPr="00743C9F">
        <w:t>;</w:t>
      </w:r>
    </w:p>
    <w:p w14:paraId="0E0AFA7A" w14:textId="65C9B4AD" w:rsidR="00D97670" w:rsidRPr="00743C9F" w:rsidRDefault="00D97670"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execute the Interconnection Agreement (PPA, § 6(a), p. 2)</w:t>
      </w:r>
      <w:r w:rsidR="00184491" w:rsidRPr="00743C9F">
        <w:rPr>
          <w:rFonts w:ascii="Times New Roman" w:hAnsi="Times New Roman" w:cs="Times New Roman"/>
        </w:rPr>
        <w:t>;</w:t>
      </w:r>
    </w:p>
    <w:p w14:paraId="1334F262" w14:textId="77777777" w:rsidR="00184491" w:rsidRPr="00743C9F" w:rsidRDefault="00184491" w:rsidP="00E079E6">
      <w:pPr>
        <w:pStyle w:val="NoSpacing"/>
        <w:jc w:val="both"/>
        <w:rPr>
          <w:rFonts w:ascii="Times New Roman" w:hAnsi="Times New Roman" w:cs="Times New Roman"/>
        </w:rPr>
      </w:pPr>
    </w:p>
    <w:p w14:paraId="5301C3D4" w14:textId="1AD6F951" w:rsidR="00D97670" w:rsidRPr="00743C9F" w:rsidRDefault="00D97670"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pay for meter installation (PPA, § 7(a), p. 2)</w:t>
      </w:r>
      <w:r w:rsidR="00184491" w:rsidRPr="00743C9F">
        <w:rPr>
          <w:rFonts w:ascii="Times New Roman" w:hAnsi="Times New Roman" w:cs="Times New Roman"/>
        </w:rPr>
        <w:t>;</w:t>
      </w:r>
    </w:p>
    <w:p w14:paraId="1B9BC7FC" w14:textId="77777777" w:rsidR="00184491" w:rsidRPr="00743C9F" w:rsidRDefault="00184491" w:rsidP="00E079E6">
      <w:pPr>
        <w:pStyle w:val="NoSpacing"/>
        <w:jc w:val="both"/>
        <w:rPr>
          <w:rFonts w:ascii="Times New Roman" w:hAnsi="Times New Roman" w:cs="Times New Roman"/>
        </w:rPr>
      </w:pPr>
    </w:p>
    <w:p w14:paraId="446A9E91" w14:textId="65BF68AD" w:rsidR="00D97670" w:rsidRPr="00743C9F" w:rsidRDefault="00D97670"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pay for delay damages for failure to meet Required Mechanical Completion Date (“RMCD”)</w:t>
      </w:r>
      <w:r w:rsidR="00E82EB7" w:rsidRPr="00743C9F">
        <w:rPr>
          <w:rFonts w:ascii="Times New Roman" w:hAnsi="Times New Roman" w:cs="Times New Roman"/>
        </w:rPr>
        <w:t xml:space="preserve"> </w:t>
      </w:r>
      <w:r w:rsidRPr="00743C9F">
        <w:rPr>
          <w:rFonts w:ascii="Times New Roman" w:hAnsi="Times New Roman" w:cs="Times New Roman"/>
        </w:rPr>
        <w:t>(PPA, § 8(b), p. 2)</w:t>
      </w:r>
      <w:r w:rsidR="00184491" w:rsidRPr="00743C9F">
        <w:rPr>
          <w:rFonts w:ascii="Times New Roman" w:hAnsi="Times New Roman" w:cs="Times New Roman"/>
        </w:rPr>
        <w:t>;</w:t>
      </w:r>
    </w:p>
    <w:p w14:paraId="221D114A" w14:textId="77777777" w:rsidR="00184491" w:rsidRPr="00743C9F" w:rsidRDefault="00184491" w:rsidP="00E079E6">
      <w:pPr>
        <w:pStyle w:val="NoSpacing"/>
        <w:jc w:val="both"/>
        <w:rPr>
          <w:rFonts w:ascii="Times New Roman" w:hAnsi="Times New Roman" w:cs="Times New Roman"/>
        </w:rPr>
      </w:pPr>
    </w:p>
    <w:p w14:paraId="410BAEE0" w14:textId="1FA60977" w:rsidR="00D97670" w:rsidRPr="00743C9F" w:rsidRDefault="00326B70"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submit the Initial Synchronization Request (PPA, § 8(c), p. 2)</w:t>
      </w:r>
      <w:r w:rsidR="00184491" w:rsidRPr="00743C9F">
        <w:rPr>
          <w:rFonts w:ascii="Times New Roman" w:hAnsi="Times New Roman" w:cs="Times New Roman"/>
        </w:rPr>
        <w:t>;</w:t>
      </w:r>
    </w:p>
    <w:p w14:paraId="3B107509" w14:textId="77777777" w:rsidR="00184491" w:rsidRPr="00743C9F" w:rsidRDefault="00184491" w:rsidP="00E079E6">
      <w:pPr>
        <w:pStyle w:val="NoSpacing"/>
        <w:jc w:val="both"/>
        <w:rPr>
          <w:rFonts w:ascii="Times New Roman" w:hAnsi="Times New Roman" w:cs="Times New Roman"/>
        </w:rPr>
      </w:pPr>
    </w:p>
    <w:p w14:paraId="4322AE6F" w14:textId="457E21AF" w:rsidR="00326B70" w:rsidRPr="00743C9F" w:rsidRDefault="00326B70"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pay delay damages for failure to timely request Initial Synchronization (PPA, § 8(d)</w:t>
      </w:r>
      <w:r w:rsidR="00184491" w:rsidRPr="00743C9F">
        <w:rPr>
          <w:rFonts w:ascii="Times New Roman" w:hAnsi="Times New Roman" w:cs="Times New Roman"/>
        </w:rPr>
        <w:t>);</w:t>
      </w:r>
    </w:p>
    <w:p w14:paraId="278F851F" w14:textId="77777777" w:rsidR="00184491" w:rsidRPr="00743C9F" w:rsidRDefault="00184491" w:rsidP="00E079E6">
      <w:pPr>
        <w:pStyle w:val="NoSpacing"/>
        <w:jc w:val="both"/>
        <w:rPr>
          <w:rFonts w:ascii="Times New Roman" w:hAnsi="Times New Roman" w:cs="Times New Roman"/>
        </w:rPr>
      </w:pPr>
    </w:p>
    <w:p w14:paraId="3599AE71" w14:textId="68DC0490" w:rsidR="00326B70" w:rsidRPr="00743C9F" w:rsidRDefault="00326B70"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w:t>
      </w:r>
      <w:r w:rsidR="009D5DB3" w:rsidRPr="00743C9F">
        <w:rPr>
          <w:rFonts w:ascii="Times New Roman" w:hAnsi="Times New Roman" w:cs="Times New Roman"/>
        </w:rPr>
        <w:t xml:space="preserve">supply, </w:t>
      </w:r>
      <w:r w:rsidRPr="00743C9F">
        <w:rPr>
          <w:rFonts w:ascii="Times New Roman" w:hAnsi="Times New Roman" w:cs="Times New Roman"/>
        </w:rPr>
        <w:t xml:space="preserve">manage, control, operate and maintain the facility </w:t>
      </w:r>
      <w:r w:rsidR="009D5DB3" w:rsidRPr="00743C9F">
        <w:rPr>
          <w:rFonts w:ascii="Times New Roman" w:hAnsi="Times New Roman" w:cs="Times New Roman"/>
        </w:rPr>
        <w:t>and the Interconnection Ag</w:t>
      </w:r>
      <w:r w:rsidR="00487D39" w:rsidRPr="00743C9F">
        <w:rPr>
          <w:rFonts w:ascii="Times New Roman" w:hAnsi="Times New Roman" w:cs="Times New Roman"/>
        </w:rPr>
        <w:t>r</w:t>
      </w:r>
      <w:r w:rsidR="009D5DB3" w:rsidRPr="00743C9F">
        <w:rPr>
          <w:rFonts w:ascii="Times New Roman" w:hAnsi="Times New Roman" w:cs="Times New Roman"/>
        </w:rPr>
        <w:t xml:space="preserve">eement (“IA”) </w:t>
      </w:r>
      <w:r w:rsidRPr="00743C9F">
        <w:rPr>
          <w:rFonts w:ascii="Times New Roman" w:hAnsi="Times New Roman" w:cs="Times New Roman"/>
        </w:rPr>
        <w:t>(PPA, § 9(a), p. 4)</w:t>
      </w:r>
      <w:r w:rsidR="00184491" w:rsidRPr="00743C9F">
        <w:rPr>
          <w:rFonts w:ascii="Times New Roman" w:hAnsi="Times New Roman" w:cs="Times New Roman"/>
        </w:rPr>
        <w:t>;</w:t>
      </w:r>
    </w:p>
    <w:p w14:paraId="1B442FDC" w14:textId="77777777" w:rsidR="00184491" w:rsidRPr="00743C9F" w:rsidRDefault="00184491" w:rsidP="00E079E6">
      <w:pPr>
        <w:pStyle w:val="NoSpacing"/>
        <w:jc w:val="both"/>
        <w:rPr>
          <w:rFonts w:ascii="Times New Roman" w:hAnsi="Times New Roman" w:cs="Times New Roman"/>
        </w:rPr>
      </w:pPr>
    </w:p>
    <w:p w14:paraId="1A6A515B" w14:textId="6362337C" w:rsidR="00B278AE" w:rsidRPr="00743C9F" w:rsidRDefault="00B278AE"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adjust or repair the facility if the Annual Capacity Factor is less than the Minimum Capacity Factor. (PPA, § 10(a), p. 4)</w:t>
      </w:r>
      <w:r w:rsidR="00184491" w:rsidRPr="00743C9F">
        <w:rPr>
          <w:rFonts w:ascii="Times New Roman" w:hAnsi="Times New Roman" w:cs="Times New Roman"/>
        </w:rPr>
        <w:t>;</w:t>
      </w:r>
    </w:p>
    <w:p w14:paraId="0BCA9AF9" w14:textId="77777777" w:rsidR="00184491" w:rsidRPr="00743C9F" w:rsidRDefault="00184491" w:rsidP="00E079E6">
      <w:pPr>
        <w:pStyle w:val="NoSpacing"/>
        <w:jc w:val="both"/>
        <w:rPr>
          <w:rFonts w:ascii="Times New Roman" w:hAnsi="Times New Roman" w:cs="Times New Roman"/>
        </w:rPr>
      </w:pPr>
    </w:p>
    <w:p w14:paraId="09915B28" w14:textId="520ABD75" w:rsidR="00B278AE" w:rsidRPr="00743C9F" w:rsidRDefault="00B278AE"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If the </w:t>
      </w:r>
      <w:r w:rsidRPr="00743C9F">
        <w:rPr>
          <w:rFonts w:ascii="Times New Roman" w:hAnsi="Times New Roman" w:cs="Times New Roman"/>
          <w:b/>
          <w:bCs/>
          <w:u w:val="single"/>
        </w:rPr>
        <w:t>customer</w:t>
      </w:r>
      <w:r w:rsidRPr="00743C9F">
        <w:rPr>
          <w:rFonts w:ascii="Times New Roman" w:hAnsi="Times New Roman" w:cs="Times New Roman"/>
        </w:rPr>
        <w:t xml:space="preserve"> fails to manage the generation output of the facility such that the Annual Capacity Factor exceeds the Maximum Capacity Factor over a yearly period, the </w:t>
      </w:r>
      <w:r w:rsidRPr="00743C9F">
        <w:rPr>
          <w:rFonts w:ascii="Times New Roman" w:hAnsi="Times New Roman" w:cs="Times New Roman"/>
          <w:b/>
          <w:bCs/>
          <w:u w:val="single"/>
        </w:rPr>
        <w:t>customer</w:t>
      </w:r>
      <w:r w:rsidRPr="00743C9F">
        <w:rPr>
          <w:rFonts w:ascii="Times New Roman" w:hAnsi="Times New Roman" w:cs="Times New Roman"/>
        </w:rPr>
        <w:t xml:space="preserve"> must pay for the Company to conduct additional witness testing as required by the Interconnection Agreement (PPA, § 10(b), p 4)</w:t>
      </w:r>
      <w:r w:rsidR="00184491" w:rsidRPr="00743C9F">
        <w:rPr>
          <w:rFonts w:ascii="Times New Roman" w:hAnsi="Times New Roman" w:cs="Times New Roman"/>
        </w:rPr>
        <w:t>;</w:t>
      </w:r>
    </w:p>
    <w:p w14:paraId="659D153E" w14:textId="77777777" w:rsidR="00184491" w:rsidRPr="00743C9F" w:rsidRDefault="00184491" w:rsidP="00E079E6">
      <w:pPr>
        <w:pStyle w:val="NoSpacing"/>
        <w:jc w:val="both"/>
        <w:rPr>
          <w:rFonts w:ascii="Times New Roman" w:hAnsi="Times New Roman" w:cs="Times New Roman"/>
        </w:rPr>
      </w:pPr>
    </w:p>
    <w:p w14:paraId="0646AC39" w14:textId="0A45BC94" w:rsidR="00B278AE" w:rsidRPr="00743C9F" w:rsidRDefault="00B278AE"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maintain and provide the Company with sufficient information to allow it to substantiate, account for and track the quantity of environmental attribute</w:t>
      </w:r>
      <w:r w:rsidR="00A63666" w:rsidRPr="00743C9F">
        <w:rPr>
          <w:rFonts w:ascii="Times New Roman" w:hAnsi="Times New Roman" w:cs="Times New Roman"/>
        </w:rPr>
        <w:t>s</w:t>
      </w:r>
      <w:r w:rsidRPr="00743C9F">
        <w:rPr>
          <w:rFonts w:ascii="Times New Roman" w:hAnsi="Times New Roman" w:cs="Times New Roman"/>
        </w:rPr>
        <w:t>, including RECs (PPA, § 11(a), p. 5)</w:t>
      </w:r>
      <w:r w:rsidR="00184491" w:rsidRPr="00743C9F">
        <w:rPr>
          <w:rFonts w:ascii="Times New Roman" w:hAnsi="Times New Roman" w:cs="Times New Roman"/>
        </w:rPr>
        <w:t>;</w:t>
      </w:r>
    </w:p>
    <w:p w14:paraId="14D60CF1" w14:textId="77777777" w:rsidR="00184491" w:rsidRPr="00743C9F" w:rsidRDefault="00184491" w:rsidP="00E079E6">
      <w:pPr>
        <w:pStyle w:val="NoSpacing"/>
        <w:jc w:val="both"/>
        <w:rPr>
          <w:rFonts w:ascii="Times New Roman" w:hAnsi="Times New Roman" w:cs="Times New Roman"/>
        </w:rPr>
      </w:pPr>
    </w:p>
    <w:p w14:paraId="4DCE0F07" w14:textId="4F46C333" w:rsidR="0013540A" w:rsidRPr="00743C9F" w:rsidRDefault="0013540A" w:rsidP="00E079E6">
      <w:pPr>
        <w:pStyle w:val="NoSpacing"/>
        <w:numPr>
          <w:ilvl w:val="0"/>
          <w:numId w:val="23"/>
        </w:numPr>
        <w:jc w:val="both"/>
        <w:rPr>
          <w:rFonts w:ascii="Times New Roman" w:hAnsi="Times New Roman" w:cs="Times New Roman"/>
        </w:rPr>
      </w:pPr>
      <w:r w:rsidRPr="00743C9F">
        <w:rPr>
          <w:rFonts w:ascii="Times New Roman" w:hAnsi="Times New Roman" w:cs="Times New Roman"/>
        </w:rPr>
        <w:t xml:space="preserve">The </w:t>
      </w:r>
      <w:r w:rsidRPr="00743C9F">
        <w:rPr>
          <w:rFonts w:ascii="Times New Roman" w:hAnsi="Times New Roman" w:cs="Times New Roman"/>
          <w:b/>
          <w:bCs/>
          <w:u w:val="single"/>
        </w:rPr>
        <w:t>customer</w:t>
      </w:r>
      <w:r w:rsidRPr="00743C9F">
        <w:rPr>
          <w:rFonts w:ascii="Times New Roman" w:hAnsi="Times New Roman" w:cs="Times New Roman"/>
        </w:rPr>
        <w:t xml:space="preserve"> must monitor the monthly bills and raise a dispute, if required, in twelve (12) months (PPA § 12(</w:t>
      </w:r>
      <w:r w:rsidR="00DA6672">
        <w:rPr>
          <w:rFonts w:ascii="Times New Roman" w:hAnsi="Times New Roman" w:cs="Times New Roman"/>
        </w:rPr>
        <w:t>b</w:t>
      </w:r>
      <w:r w:rsidRPr="00743C9F">
        <w:rPr>
          <w:rFonts w:ascii="Times New Roman" w:hAnsi="Times New Roman" w:cs="Times New Roman"/>
        </w:rPr>
        <w:t>), p. 6)</w:t>
      </w:r>
      <w:r w:rsidR="00184491" w:rsidRPr="00743C9F">
        <w:rPr>
          <w:rFonts w:ascii="Times New Roman" w:hAnsi="Times New Roman" w:cs="Times New Roman"/>
        </w:rPr>
        <w:t>;</w:t>
      </w:r>
    </w:p>
    <w:p w14:paraId="4A43C608" w14:textId="77777777" w:rsidR="00184491" w:rsidRPr="00184491" w:rsidRDefault="00184491" w:rsidP="00E079E6">
      <w:pPr>
        <w:pStyle w:val="ListParagraph"/>
        <w:spacing w:after="0" w:line="240" w:lineRule="auto"/>
        <w:jc w:val="both"/>
        <w:rPr>
          <w:rFonts w:ascii="Times New Roman" w:hAnsi="Times New Roman" w:cs="Times New Roman"/>
        </w:rPr>
      </w:pPr>
    </w:p>
    <w:p w14:paraId="62863A3F" w14:textId="246A6DA0" w:rsidR="00867FCE" w:rsidRPr="00184491" w:rsidRDefault="00867FCE" w:rsidP="00DA6672">
      <w:pPr>
        <w:pStyle w:val="BodyText"/>
        <w:numPr>
          <w:ilvl w:val="0"/>
          <w:numId w:val="23"/>
        </w:numPr>
        <w:spacing w:after="0"/>
        <w:rPr>
          <w:szCs w:val="24"/>
        </w:rPr>
      </w:pPr>
      <w:r w:rsidRPr="00184491">
        <w:rPr>
          <w:szCs w:val="24"/>
        </w:rPr>
        <w:t xml:space="preserve">The </w:t>
      </w:r>
      <w:r w:rsidRPr="006226D7">
        <w:rPr>
          <w:b/>
          <w:bCs/>
          <w:szCs w:val="24"/>
          <w:u w:val="single"/>
        </w:rPr>
        <w:t>customer</w:t>
      </w:r>
      <w:r w:rsidRPr="00184491">
        <w:rPr>
          <w:szCs w:val="24"/>
        </w:rPr>
        <w:t xml:space="preserve"> must establish a separate Georgia Power Customer Account for billing and payment, and the customer “must be, and remain for the Term the same Person as the Customer” (PPA § 12(c), p. 6)</w:t>
      </w:r>
      <w:r w:rsidR="00184491" w:rsidRPr="00184491">
        <w:rPr>
          <w:szCs w:val="24"/>
        </w:rPr>
        <w:t>;</w:t>
      </w:r>
    </w:p>
    <w:p w14:paraId="447769F6" w14:textId="77777777" w:rsidR="00184491" w:rsidRPr="00184491" w:rsidRDefault="00184491" w:rsidP="00E079E6">
      <w:pPr>
        <w:pStyle w:val="ListParagraph"/>
        <w:spacing w:after="0" w:line="240" w:lineRule="auto"/>
        <w:jc w:val="both"/>
        <w:rPr>
          <w:rFonts w:ascii="Times New Roman" w:hAnsi="Times New Roman" w:cs="Times New Roman"/>
        </w:rPr>
      </w:pPr>
    </w:p>
    <w:p w14:paraId="16A007C7" w14:textId="681232D0" w:rsidR="0013540A" w:rsidRPr="00184491" w:rsidRDefault="0013540A" w:rsidP="00DA6672">
      <w:pPr>
        <w:pStyle w:val="BodyText"/>
        <w:numPr>
          <w:ilvl w:val="0"/>
          <w:numId w:val="23"/>
        </w:numPr>
        <w:spacing w:after="0"/>
        <w:rPr>
          <w:szCs w:val="24"/>
        </w:rPr>
      </w:pPr>
      <w:r w:rsidRPr="00184491">
        <w:rPr>
          <w:szCs w:val="24"/>
        </w:rPr>
        <w:t xml:space="preserve">The </w:t>
      </w:r>
      <w:r w:rsidRPr="006226D7">
        <w:rPr>
          <w:b/>
          <w:bCs/>
          <w:szCs w:val="24"/>
          <w:u w:val="single"/>
        </w:rPr>
        <w:t>customer</w:t>
      </w:r>
      <w:r w:rsidRPr="00184491">
        <w:rPr>
          <w:szCs w:val="24"/>
        </w:rPr>
        <w:t xml:space="preserve"> may not assign the PPA except to a proposed “</w:t>
      </w:r>
      <w:r w:rsidRPr="006226D7">
        <w:rPr>
          <w:b/>
          <w:bCs/>
          <w:szCs w:val="24"/>
          <w:u w:val="single"/>
        </w:rPr>
        <w:t>new Customer</w:t>
      </w:r>
      <w:r w:rsidRPr="00184491">
        <w:rPr>
          <w:szCs w:val="24"/>
        </w:rPr>
        <w:t>” without the Company’s written consent and a $5000 payment (PPA § 14(b), p. 7)</w:t>
      </w:r>
      <w:r w:rsidR="00184491" w:rsidRPr="00184491">
        <w:rPr>
          <w:szCs w:val="24"/>
        </w:rPr>
        <w:t>;</w:t>
      </w:r>
    </w:p>
    <w:p w14:paraId="78475A5A" w14:textId="77777777" w:rsidR="00184491" w:rsidRPr="00184491" w:rsidRDefault="00184491" w:rsidP="00E079E6">
      <w:pPr>
        <w:pStyle w:val="ListParagraph"/>
        <w:spacing w:after="0" w:line="240" w:lineRule="auto"/>
        <w:jc w:val="both"/>
        <w:rPr>
          <w:rFonts w:ascii="Times New Roman" w:hAnsi="Times New Roman" w:cs="Times New Roman"/>
        </w:rPr>
      </w:pPr>
    </w:p>
    <w:p w14:paraId="3A1FA59C" w14:textId="046DD861" w:rsidR="0013540A" w:rsidRPr="00184491" w:rsidRDefault="0013540A" w:rsidP="00DA6672">
      <w:pPr>
        <w:pStyle w:val="BodyText"/>
        <w:numPr>
          <w:ilvl w:val="0"/>
          <w:numId w:val="23"/>
        </w:numPr>
        <w:spacing w:after="0"/>
        <w:rPr>
          <w:szCs w:val="24"/>
        </w:rPr>
      </w:pPr>
      <w:r w:rsidRPr="00184491">
        <w:rPr>
          <w:szCs w:val="24"/>
        </w:rPr>
        <w:t xml:space="preserve">The </w:t>
      </w:r>
      <w:r w:rsidRPr="006226D7">
        <w:rPr>
          <w:b/>
          <w:bCs/>
          <w:szCs w:val="24"/>
          <w:u w:val="single"/>
        </w:rPr>
        <w:t>customer</w:t>
      </w:r>
      <w:r w:rsidRPr="00184491">
        <w:rPr>
          <w:szCs w:val="24"/>
        </w:rPr>
        <w:t xml:space="preserve"> is in default if it fails to meet RMCD and pay liquidated delay damages (PPA § 16(a)(</w:t>
      </w:r>
      <w:proofErr w:type="spellStart"/>
      <w:r w:rsidRPr="00184491">
        <w:rPr>
          <w:szCs w:val="24"/>
        </w:rPr>
        <w:t>i</w:t>
      </w:r>
      <w:proofErr w:type="spellEnd"/>
      <w:r w:rsidRPr="00184491">
        <w:rPr>
          <w:szCs w:val="24"/>
        </w:rPr>
        <w:t>), p. 9)</w:t>
      </w:r>
      <w:r w:rsidR="00184491" w:rsidRPr="00184491">
        <w:rPr>
          <w:szCs w:val="24"/>
        </w:rPr>
        <w:t>;</w:t>
      </w:r>
    </w:p>
    <w:p w14:paraId="37E85675" w14:textId="77777777" w:rsidR="00184491" w:rsidRPr="00184491" w:rsidRDefault="00184491" w:rsidP="00E079E6">
      <w:pPr>
        <w:pStyle w:val="ListParagraph"/>
        <w:spacing w:after="0" w:line="240" w:lineRule="auto"/>
        <w:jc w:val="both"/>
        <w:rPr>
          <w:rFonts w:ascii="Times New Roman" w:hAnsi="Times New Roman" w:cs="Times New Roman"/>
        </w:rPr>
      </w:pPr>
    </w:p>
    <w:p w14:paraId="0CC221B9" w14:textId="2C206C7E" w:rsidR="0013540A" w:rsidRPr="00184491" w:rsidRDefault="0013540A" w:rsidP="00DA6672">
      <w:pPr>
        <w:pStyle w:val="BodyText"/>
        <w:numPr>
          <w:ilvl w:val="0"/>
          <w:numId w:val="23"/>
        </w:numPr>
        <w:spacing w:after="0"/>
        <w:rPr>
          <w:szCs w:val="24"/>
        </w:rPr>
      </w:pPr>
      <w:r w:rsidRPr="00184491">
        <w:rPr>
          <w:szCs w:val="24"/>
        </w:rPr>
        <w:t xml:space="preserve">The </w:t>
      </w:r>
      <w:r w:rsidRPr="006226D7">
        <w:rPr>
          <w:b/>
          <w:bCs/>
          <w:szCs w:val="24"/>
          <w:u w:val="single"/>
        </w:rPr>
        <w:t>customer</w:t>
      </w:r>
      <w:r w:rsidRPr="00184491">
        <w:rPr>
          <w:szCs w:val="24"/>
        </w:rPr>
        <w:t xml:space="preserve"> is in default if it fails to submit the Initial Synchronization request by the required date and pay liquidated delay damages (PPA § 16(a)(ii), p 9)</w:t>
      </w:r>
      <w:r w:rsidR="00184491" w:rsidRPr="00184491">
        <w:rPr>
          <w:szCs w:val="24"/>
        </w:rPr>
        <w:t>;</w:t>
      </w:r>
    </w:p>
    <w:p w14:paraId="51DDD364" w14:textId="77777777" w:rsidR="00184491" w:rsidRPr="00184491" w:rsidRDefault="00184491" w:rsidP="00E079E6">
      <w:pPr>
        <w:pStyle w:val="ListParagraph"/>
        <w:spacing w:after="0" w:line="240" w:lineRule="auto"/>
        <w:jc w:val="both"/>
        <w:rPr>
          <w:rFonts w:ascii="Times New Roman" w:hAnsi="Times New Roman" w:cs="Times New Roman"/>
        </w:rPr>
      </w:pPr>
    </w:p>
    <w:p w14:paraId="7D544919" w14:textId="6BD9B507" w:rsidR="00F52F37" w:rsidRPr="00184491" w:rsidRDefault="0013540A" w:rsidP="00DA6672">
      <w:pPr>
        <w:pStyle w:val="BodyText"/>
        <w:numPr>
          <w:ilvl w:val="0"/>
          <w:numId w:val="23"/>
        </w:numPr>
        <w:spacing w:after="0"/>
        <w:rPr>
          <w:szCs w:val="24"/>
        </w:rPr>
      </w:pPr>
      <w:r w:rsidRPr="00184491">
        <w:rPr>
          <w:szCs w:val="24"/>
        </w:rPr>
        <w:t xml:space="preserve">The </w:t>
      </w:r>
      <w:r w:rsidRPr="006226D7">
        <w:rPr>
          <w:b/>
          <w:bCs/>
          <w:szCs w:val="24"/>
          <w:u w:val="single"/>
        </w:rPr>
        <w:t>customer</w:t>
      </w:r>
      <w:r w:rsidRPr="00184491">
        <w:rPr>
          <w:szCs w:val="24"/>
        </w:rPr>
        <w:t xml:space="preserve"> is in default if it fails to achieve Successful Witness Testing within 120 days of Initial Synchronization (PPA § </w:t>
      </w:r>
      <w:r w:rsidR="00F52F37" w:rsidRPr="00184491">
        <w:rPr>
          <w:szCs w:val="24"/>
        </w:rPr>
        <w:t>16(a)(iii), p. 10</w:t>
      </w:r>
      <w:r w:rsidR="00184491" w:rsidRPr="00184491">
        <w:rPr>
          <w:szCs w:val="24"/>
        </w:rPr>
        <w:t>;</w:t>
      </w:r>
    </w:p>
    <w:p w14:paraId="780670DB" w14:textId="77777777" w:rsidR="00184491" w:rsidRPr="00184491" w:rsidRDefault="00184491" w:rsidP="00E079E6">
      <w:pPr>
        <w:pStyle w:val="ListParagraph"/>
        <w:spacing w:after="0" w:line="240" w:lineRule="auto"/>
        <w:jc w:val="both"/>
        <w:rPr>
          <w:rFonts w:ascii="Times New Roman" w:hAnsi="Times New Roman" w:cs="Times New Roman"/>
        </w:rPr>
      </w:pPr>
    </w:p>
    <w:p w14:paraId="7D970C7E" w14:textId="38CBD6CC" w:rsidR="00F52F37" w:rsidRPr="00184491" w:rsidRDefault="00F52F37" w:rsidP="00DA6672">
      <w:pPr>
        <w:pStyle w:val="BodyText"/>
        <w:numPr>
          <w:ilvl w:val="0"/>
          <w:numId w:val="23"/>
        </w:numPr>
        <w:spacing w:after="0"/>
        <w:rPr>
          <w:szCs w:val="24"/>
        </w:rPr>
      </w:pPr>
      <w:r w:rsidRPr="00184491">
        <w:rPr>
          <w:szCs w:val="24"/>
        </w:rPr>
        <w:t xml:space="preserve">The </w:t>
      </w:r>
      <w:r w:rsidRPr="006226D7">
        <w:rPr>
          <w:b/>
          <w:bCs/>
          <w:szCs w:val="24"/>
          <w:u w:val="single"/>
        </w:rPr>
        <w:t>customer</w:t>
      </w:r>
      <w:r w:rsidRPr="00184491">
        <w:rPr>
          <w:szCs w:val="24"/>
        </w:rPr>
        <w:t xml:space="preserve"> is in breach if the Annual Capacity Factor is less than the Minimum Capacity Factor for two (2) consecutive years (PPA § 16(a)(v), p. 10)</w:t>
      </w:r>
      <w:r w:rsidR="00184491" w:rsidRPr="00184491">
        <w:rPr>
          <w:szCs w:val="24"/>
        </w:rPr>
        <w:t>;</w:t>
      </w:r>
    </w:p>
    <w:p w14:paraId="270B0D2E" w14:textId="77777777" w:rsidR="00184491" w:rsidRPr="00184491" w:rsidRDefault="00184491" w:rsidP="00E079E6">
      <w:pPr>
        <w:pStyle w:val="ListParagraph"/>
        <w:spacing w:after="0" w:line="240" w:lineRule="auto"/>
        <w:jc w:val="both"/>
        <w:rPr>
          <w:rFonts w:ascii="Times New Roman" w:hAnsi="Times New Roman" w:cs="Times New Roman"/>
        </w:rPr>
      </w:pPr>
    </w:p>
    <w:p w14:paraId="4B708FD3" w14:textId="31886328" w:rsidR="00F52F37" w:rsidRPr="00184491" w:rsidRDefault="00F52F37" w:rsidP="00DA6672">
      <w:pPr>
        <w:pStyle w:val="BodyText"/>
        <w:numPr>
          <w:ilvl w:val="0"/>
          <w:numId w:val="23"/>
        </w:numPr>
        <w:spacing w:after="0"/>
        <w:rPr>
          <w:szCs w:val="24"/>
        </w:rPr>
      </w:pPr>
      <w:r w:rsidRPr="00184491">
        <w:rPr>
          <w:szCs w:val="24"/>
        </w:rPr>
        <w:lastRenderedPageBreak/>
        <w:t xml:space="preserve">The </w:t>
      </w:r>
      <w:r w:rsidRPr="006226D7">
        <w:rPr>
          <w:b/>
          <w:bCs/>
          <w:szCs w:val="24"/>
          <w:u w:val="single"/>
        </w:rPr>
        <w:t>customer</w:t>
      </w:r>
      <w:r w:rsidRPr="00184491">
        <w:rPr>
          <w:szCs w:val="24"/>
        </w:rPr>
        <w:t xml:space="preserve"> is in default if the facility’s output exceeds the Interconnection Limit (PPA § 16(a)(vi), p. 10</w:t>
      </w:r>
      <w:r w:rsidR="00184491" w:rsidRPr="00184491">
        <w:rPr>
          <w:szCs w:val="24"/>
        </w:rPr>
        <w:t xml:space="preserve">); </w:t>
      </w:r>
    </w:p>
    <w:p w14:paraId="2F867D4E" w14:textId="77777777" w:rsidR="00184491" w:rsidRPr="00184491" w:rsidRDefault="00184491" w:rsidP="00E079E6">
      <w:pPr>
        <w:pStyle w:val="ListParagraph"/>
        <w:spacing w:after="0" w:line="240" w:lineRule="auto"/>
        <w:jc w:val="both"/>
        <w:rPr>
          <w:rFonts w:ascii="Times New Roman" w:hAnsi="Times New Roman" w:cs="Times New Roman"/>
        </w:rPr>
      </w:pPr>
    </w:p>
    <w:p w14:paraId="4D03A64E" w14:textId="4AAB43B9" w:rsidR="00763FFC" w:rsidRPr="00184491" w:rsidRDefault="00763FFC" w:rsidP="00DA6672">
      <w:pPr>
        <w:pStyle w:val="BodyText"/>
        <w:numPr>
          <w:ilvl w:val="0"/>
          <w:numId w:val="23"/>
        </w:numPr>
        <w:spacing w:after="0"/>
        <w:rPr>
          <w:szCs w:val="24"/>
        </w:rPr>
      </w:pPr>
      <w:r w:rsidRPr="00184491">
        <w:rPr>
          <w:szCs w:val="24"/>
        </w:rPr>
        <w:t xml:space="preserve">If the Company declares the PPA in default, the </w:t>
      </w:r>
      <w:r w:rsidRPr="006226D7">
        <w:rPr>
          <w:b/>
          <w:bCs/>
          <w:szCs w:val="24"/>
          <w:u w:val="single"/>
        </w:rPr>
        <w:t>customer</w:t>
      </w:r>
      <w:r w:rsidRPr="00184491">
        <w:rPr>
          <w:szCs w:val="24"/>
        </w:rPr>
        <w:t xml:space="preserve"> must pay Termination Liquidated Damages and the net present value of all monthly metering charges for the remainder of the contract term, even though a </w:t>
      </w:r>
      <w:r w:rsidRPr="006226D7">
        <w:rPr>
          <w:b/>
          <w:bCs/>
          <w:szCs w:val="24"/>
          <w:u w:val="single"/>
        </w:rPr>
        <w:t>successor customer</w:t>
      </w:r>
      <w:r w:rsidRPr="00184491">
        <w:rPr>
          <w:szCs w:val="24"/>
        </w:rPr>
        <w:t xml:space="preserve"> might acquire the facility with a similar electric load or the meter is shut down because the customer is no longer in business (PPA § 16(b)(ii), p. 11)</w:t>
      </w:r>
      <w:r w:rsidR="00184491" w:rsidRPr="00184491">
        <w:rPr>
          <w:szCs w:val="24"/>
        </w:rPr>
        <w:t>;</w:t>
      </w:r>
    </w:p>
    <w:p w14:paraId="0EA347FB" w14:textId="77777777" w:rsidR="00184491" w:rsidRPr="00184491" w:rsidRDefault="00184491" w:rsidP="00E079E6">
      <w:pPr>
        <w:pStyle w:val="ListParagraph"/>
        <w:spacing w:after="0" w:line="240" w:lineRule="auto"/>
        <w:jc w:val="both"/>
        <w:rPr>
          <w:rFonts w:ascii="Times New Roman" w:hAnsi="Times New Roman" w:cs="Times New Roman"/>
        </w:rPr>
      </w:pPr>
    </w:p>
    <w:p w14:paraId="40BE2975" w14:textId="0A51C05F" w:rsidR="00763FFC" w:rsidRPr="00184491" w:rsidRDefault="00763FFC" w:rsidP="00DA6672">
      <w:pPr>
        <w:pStyle w:val="BodyText"/>
        <w:numPr>
          <w:ilvl w:val="0"/>
          <w:numId w:val="23"/>
        </w:numPr>
        <w:spacing w:after="0"/>
        <w:rPr>
          <w:szCs w:val="24"/>
        </w:rPr>
      </w:pPr>
      <w:r w:rsidRPr="00184491">
        <w:rPr>
          <w:szCs w:val="24"/>
        </w:rPr>
        <w:t xml:space="preserve">If the Company declares the PPA in default, the </w:t>
      </w:r>
      <w:r w:rsidRPr="006226D7">
        <w:rPr>
          <w:b/>
          <w:bCs/>
          <w:szCs w:val="24"/>
          <w:u w:val="single"/>
        </w:rPr>
        <w:t>customer</w:t>
      </w:r>
      <w:r w:rsidRPr="00184491">
        <w:rPr>
          <w:szCs w:val="24"/>
        </w:rPr>
        <w:t xml:space="preserve"> must also pay the net present value of all monthly metering charges for the remainder of the contract term, even though a </w:t>
      </w:r>
      <w:r w:rsidRPr="006226D7">
        <w:rPr>
          <w:b/>
          <w:bCs/>
          <w:szCs w:val="24"/>
          <w:u w:val="single"/>
        </w:rPr>
        <w:t>successor customer</w:t>
      </w:r>
      <w:r w:rsidRPr="00184491">
        <w:rPr>
          <w:szCs w:val="24"/>
        </w:rPr>
        <w:t xml:space="preserve"> might acquire the facility with a similar electric load or the meter is shut down because the customer is no longer in business (PPA § 16(b)(iii), p. 11)</w:t>
      </w:r>
      <w:r w:rsidR="00184491" w:rsidRPr="00184491">
        <w:rPr>
          <w:szCs w:val="24"/>
        </w:rPr>
        <w:t>;</w:t>
      </w:r>
      <w:r w:rsidR="00A63666">
        <w:rPr>
          <w:szCs w:val="24"/>
        </w:rPr>
        <w:t xml:space="preserve"> and</w:t>
      </w:r>
    </w:p>
    <w:p w14:paraId="1C782041" w14:textId="77777777" w:rsidR="00184491" w:rsidRPr="00184491" w:rsidRDefault="00184491" w:rsidP="00E079E6">
      <w:pPr>
        <w:pStyle w:val="ListParagraph"/>
        <w:spacing w:after="0" w:line="240" w:lineRule="auto"/>
        <w:jc w:val="both"/>
        <w:rPr>
          <w:rFonts w:ascii="Times New Roman" w:hAnsi="Times New Roman" w:cs="Times New Roman"/>
        </w:rPr>
      </w:pPr>
    </w:p>
    <w:p w14:paraId="377829AA" w14:textId="2250CB51" w:rsidR="00184491" w:rsidRDefault="00184491" w:rsidP="00DA6672">
      <w:pPr>
        <w:pStyle w:val="BodyText"/>
        <w:numPr>
          <w:ilvl w:val="0"/>
          <w:numId w:val="23"/>
        </w:numPr>
        <w:spacing w:after="0"/>
        <w:rPr>
          <w:szCs w:val="24"/>
        </w:rPr>
      </w:pPr>
      <w:r w:rsidRPr="00A63666">
        <w:rPr>
          <w:szCs w:val="24"/>
        </w:rPr>
        <w:t>T</w:t>
      </w:r>
      <w:r w:rsidR="00763FFC" w:rsidRPr="00A63666">
        <w:rPr>
          <w:szCs w:val="24"/>
        </w:rPr>
        <w:t xml:space="preserve">he </w:t>
      </w:r>
      <w:r w:rsidR="00763FFC" w:rsidRPr="006226D7">
        <w:rPr>
          <w:b/>
          <w:bCs/>
          <w:szCs w:val="24"/>
          <w:u w:val="single"/>
        </w:rPr>
        <w:t>customer</w:t>
      </w:r>
      <w:r w:rsidR="00763FFC" w:rsidRPr="00A63666">
        <w:rPr>
          <w:szCs w:val="24"/>
        </w:rPr>
        <w:t xml:space="preserve"> </w:t>
      </w:r>
      <w:r w:rsidR="001917FB">
        <w:rPr>
          <w:szCs w:val="24"/>
        </w:rPr>
        <w:t xml:space="preserve">may </w:t>
      </w:r>
      <w:r w:rsidR="00763FFC" w:rsidRPr="00A63666">
        <w:rPr>
          <w:szCs w:val="24"/>
        </w:rPr>
        <w:t xml:space="preserve">not </w:t>
      </w:r>
      <w:r w:rsidR="001917FB">
        <w:rPr>
          <w:szCs w:val="24"/>
        </w:rPr>
        <w:t>make a public statement</w:t>
      </w:r>
      <w:r w:rsidR="00763FFC" w:rsidRPr="00A63666">
        <w:rPr>
          <w:szCs w:val="24"/>
        </w:rPr>
        <w:t xml:space="preserve"> about the solar facility without the Company’s permission (PPA § 17(b), p. 12)</w:t>
      </w:r>
      <w:r w:rsidR="00A63666" w:rsidRPr="00A63666">
        <w:rPr>
          <w:szCs w:val="24"/>
        </w:rPr>
        <w:t>.</w:t>
      </w:r>
      <w:r w:rsidR="001509F8">
        <w:rPr>
          <w:rStyle w:val="FootnoteReference"/>
          <w:szCs w:val="24"/>
        </w:rPr>
        <w:footnoteReference w:id="24"/>
      </w:r>
    </w:p>
    <w:p w14:paraId="74789F8F" w14:textId="77777777" w:rsidR="00743C9F" w:rsidRDefault="00743C9F" w:rsidP="00E079E6">
      <w:pPr>
        <w:pStyle w:val="BodyText"/>
        <w:spacing w:after="0"/>
        <w:rPr>
          <w:szCs w:val="24"/>
        </w:rPr>
      </w:pPr>
    </w:p>
    <w:p w14:paraId="4B72C00B" w14:textId="10AFF82B" w:rsidR="00A63666" w:rsidRPr="00743C9F" w:rsidRDefault="001509F8" w:rsidP="00E62543">
      <w:pPr>
        <w:spacing w:after="0" w:line="480" w:lineRule="auto"/>
        <w:jc w:val="both"/>
        <w:rPr>
          <w:rFonts w:ascii="Times New Roman" w:hAnsi="Times New Roman" w:cs="Times New Roman"/>
        </w:rPr>
      </w:pPr>
      <w:r w:rsidRPr="00743C9F">
        <w:rPr>
          <w:rFonts w:ascii="Times New Roman" w:hAnsi="Times New Roman" w:cs="Times New Roman"/>
        </w:rPr>
        <w:t>A</w:t>
      </w:r>
      <w:r w:rsidR="00A63666" w:rsidRPr="00743C9F">
        <w:rPr>
          <w:rFonts w:ascii="Times New Roman" w:hAnsi="Times New Roman" w:cs="Times New Roman"/>
        </w:rPr>
        <w:t xml:space="preserve">dditional obligations are imposed on the customer under the Guidelines (which are incorporated into the </w:t>
      </w:r>
      <w:r w:rsidR="00E62543">
        <w:rPr>
          <w:rFonts w:ascii="Times New Roman" w:hAnsi="Times New Roman" w:cs="Times New Roman"/>
        </w:rPr>
        <w:t>P</w:t>
      </w:r>
      <w:r w:rsidR="00A63666" w:rsidRPr="00743C9F">
        <w:rPr>
          <w:rFonts w:ascii="Times New Roman" w:hAnsi="Times New Roman" w:cs="Times New Roman"/>
        </w:rPr>
        <w:t>PA),</w:t>
      </w:r>
      <w:r w:rsidR="00A63666" w:rsidRPr="00743C9F">
        <w:rPr>
          <w:rStyle w:val="FootnoteReference"/>
          <w:rFonts w:ascii="Times New Roman" w:hAnsi="Times New Roman" w:cs="Times New Roman"/>
        </w:rPr>
        <w:footnoteReference w:id="25"/>
      </w:r>
      <w:r w:rsidR="00A63666" w:rsidRPr="00743C9F">
        <w:rPr>
          <w:rFonts w:ascii="Times New Roman" w:hAnsi="Times New Roman" w:cs="Times New Roman"/>
        </w:rPr>
        <w:t xml:space="preserve"> such as:</w:t>
      </w:r>
    </w:p>
    <w:p w14:paraId="5D810A6C" w14:textId="3247C6BF" w:rsidR="00373F87" w:rsidRDefault="00373F87" w:rsidP="00A63666">
      <w:pPr>
        <w:pStyle w:val="BodyText"/>
        <w:spacing w:after="0"/>
        <w:ind w:left="720"/>
        <w:rPr>
          <w:szCs w:val="24"/>
        </w:rPr>
      </w:pPr>
      <w:r w:rsidRPr="00184491">
        <w:rPr>
          <w:szCs w:val="24"/>
        </w:rPr>
        <w:t xml:space="preserve">The </w:t>
      </w:r>
      <w:r w:rsidRPr="006226D7">
        <w:rPr>
          <w:b/>
          <w:bCs/>
          <w:szCs w:val="24"/>
          <w:u w:val="single"/>
        </w:rPr>
        <w:t>customer</w:t>
      </w:r>
      <w:r w:rsidRPr="00184491">
        <w:rPr>
          <w:szCs w:val="24"/>
        </w:rPr>
        <w:t xml:space="preserve"> must certify the facility as a Qualifying Facility under </w:t>
      </w:r>
      <w:r w:rsidR="009D5DB3">
        <w:rPr>
          <w:szCs w:val="24"/>
        </w:rPr>
        <w:t>the Public Utilities Regulatory Policies Act of 1978</w:t>
      </w:r>
      <w:r w:rsidR="00950283">
        <w:rPr>
          <w:szCs w:val="24"/>
        </w:rPr>
        <w:t xml:space="preserve"> (“</w:t>
      </w:r>
      <w:r w:rsidRPr="00184491">
        <w:rPr>
          <w:szCs w:val="24"/>
        </w:rPr>
        <w:t>PURPA</w:t>
      </w:r>
      <w:r w:rsidR="00950283">
        <w:rPr>
          <w:szCs w:val="24"/>
        </w:rPr>
        <w:t>”)</w:t>
      </w:r>
      <w:r w:rsidR="00950283">
        <w:rPr>
          <w:rStyle w:val="FootnoteReference"/>
          <w:szCs w:val="24"/>
        </w:rPr>
        <w:footnoteReference w:id="26"/>
      </w:r>
      <w:r w:rsidRPr="00184491">
        <w:rPr>
          <w:szCs w:val="24"/>
        </w:rPr>
        <w:t xml:space="preserve"> before the Federal Energy Regulatory Commission (“FERC”) (Guidelines § V(L), p. 11)</w:t>
      </w:r>
      <w:r w:rsidR="00833DD2">
        <w:rPr>
          <w:szCs w:val="24"/>
        </w:rPr>
        <w:t>.</w:t>
      </w:r>
    </w:p>
    <w:p w14:paraId="2DDDF90C" w14:textId="37A8108F" w:rsidR="00294393" w:rsidRDefault="00294393" w:rsidP="00294393">
      <w:pPr>
        <w:pStyle w:val="BodyText"/>
        <w:spacing w:after="0"/>
        <w:rPr>
          <w:szCs w:val="24"/>
        </w:rPr>
      </w:pPr>
    </w:p>
    <w:p w14:paraId="43E4D271" w14:textId="7D581AA1" w:rsidR="00294393" w:rsidRDefault="00294393" w:rsidP="00294393">
      <w:pPr>
        <w:spacing w:after="0" w:line="480" w:lineRule="auto"/>
        <w:ind w:firstLine="720"/>
        <w:jc w:val="both"/>
        <w:rPr>
          <w:rFonts w:ascii="Times New Roman" w:hAnsi="Times New Roman" w:cs="Times New Roman"/>
        </w:rPr>
      </w:pPr>
      <w:r>
        <w:rPr>
          <w:rFonts w:ascii="Times New Roman" w:hAnsi="Times New Roman" w:cs="Times New Roman"/>
        </w:rPr>
        <w:t>The c</w:t>
      </w:r>
      <w:r w:rsidRPr="00E82EB7">
        <w:rPr>
          <w:rFonts w:ascii="Times New Roman" w:hAnsi="Times New Roman" w:cs="Times New Roman"/>
        </w:rPr>
        <w:t>omplex</w:t>
      </w:r>
      <w:r>
        <w:rPr>
          <w:rFonts w:ascii="Times New Roman" w:hAnsi="Times New Roman" w:cs="Times New Roman"/>
        </w:rPr>
        <w:t xml:space="preserve">ity of the contractual obligations imposed on the customer is evidenced in the following </w:t>
      </w:r>
      <w:r w:rsidR="00262ABA">
        <w:rPr>
          <w:rFonts w:ascii="Times New Roman" w:hAnsi="Times New Roman" w:cs="Times New Roman"/>
        </w:rPr>
        <w:t xml:space="preserve">PPA </w:t>
      </w:r>
      <w:r>
        <w:rPr>
          <w:rFonts w:ascii="Times New Roman" w:hAnsi="Times New Roman" w:cs="Times New Roman"/>
        </w:rPr>
        <w:t>terms that the customer must understand:</w:t>
      </w:r>
    </w:p>
    <w:p w14:paraId="3C6A1ECE" w14:textId="18FDC6EE" w:rsidR="00294393" w:rsidRPr="00957A40" w:rsidRDefault="00294393" w:rsidP="00123DDC">
      <w:pPr>
        <w:pStyle w:val="ListParagraph"/>
        <w:numPr>
          <w:ilvl w:val="0"/>
          <w:numId w:val="18"/>
        </w:numPr>
        <w:spacing w:after="0" w:line="240" w:lineRule="auto"/>
        <w:ind w:left="1080"/>
        <w:jc w:val="both"/>
        <w:rPr>
          <w:rFonts w:ascii="Times New Roman" w:hAnsi="Times New Roman" w:cs="Times New Roman"/>
        </w:rPr>
      </w:pPr>
      <w:r w:rsidRPr="00957A40">
        <w:rPr>
          <w:rFonts w:ascii="Times New Roman" w:hAnsi="Times New Roman" w:cs="Times New Roman"/>
        </w:rPr>
        <w:t>PPA, ¶ 10(a,</w:t>
      </w:r>
      <w:r w:rsidR="001917FB">
        <w:rPr>
          <w:rFonts w:ascii="Times New Roman" w:hAnsi="Times New Roman" w:cs="Times New Roman"/>
        </w:rPr>
        <w:t xml:space="preserve"> </w:t>
      </w:r>
      <w:r w:rsidRPr="00957A40">
        <w:rPr>
          <w:rFonts w:ascii="Times New Roman" w:hAnsi="Times New Roman" w:cs="Times New Roman"/>
        </w:rPr>
        <w:t xml:space="preserve">b), p 4 (the </w:t>
      </w:r>
      <w:r w:rsidRPr="00546ACE">
        <w:rPr>
          <w:rFonts w:ascii="Times New Roman" w:hAnsi="Times New Roman" w:cs="Times New Roman"/>
          <w:b/>
          <w:bCs/>
          <w:u w:val="single"/>
        </w:rPr>
        <w:t>customer</w:t>
      </w:r>
      <w:r w:rsidRPr="00957A40">
        <w:rPr>
          <w:rFonts w:ascii="Times New Roman" w:hAnsi="Times New Roman" w:cs="Times New Roman"/>
        </w:rPr>
        <w:t xml:space="preserve"> must understand the definitions of Annual Capacity Factor,</w:t>
      </w:r>
      <w:r>
        <w:rPr>
          <w:rStyle w:val="FootnoteReference"/>
          <w:rFonts w:ascii="Times New Roman" w:hAnsi="Times New Roman" w:cs="Times New Roman"/>
        </w:rPr>
        <w:footnoteReference w:id="27"/>
      </w:r>
      <w:r w:rsidRPr="00957A40">
        <w:rPr>
          <w:rFonts w:ascii="Times New Roman" w:hAnsi="Times New Roman" w:cs="Times New Roman"/>
        </w:rPr>
        <w:t xml:space="preserve"> Minimum Capacity Factor and Maximum Capacity Factor and the calculations thereof to avoid default under the PPA);</w:t>
      </w:r>
    </w:p>
    <w:p w14:paraId="4E2C91F0" w14:textId="77777777" w:rsidR="00294393" w:rsidRPr="00A02452" w:rsidRDefault="00294393" w:rsidP="00294393">
      <w:pPr>
        <w:spacing w:after="0" w:line="240" w:lineRule="auto"/>
        <w:ind w:left="360"/>
        <w:rPr>
          <w:rFonts w:ascii="Times New Roman" w:hAnsi="Times New Roman" w:cs="Times New Roman"/>
        </w:rPr>
      </w:pPr>
      <w:r>
        <w:rPr>
          <w:rFonts w:ascii="Times New Roman" w:hAnsi="Times New Roman" w:cs="Times New Roman"/>
        </w:rPr>
        <w:t xml:space="preserve"> </w:t>
      </w:r>
    </w:p>
    <w:p w14:paraId="1EE77A82" w14:textId="77777777" w:rsidR="00294393" w:rsidRPr="00957A40" w:rsidRDefault="00294393" w:rsidP="00123DDC">
      <w:pPr>
        <w:pStyle w:val="ListParagraph"/>
        <w:numPr>
          <w:ilvl w:val="0"/>
          <w:numId w:val="18"/>
        </w:numPr>
        <w:spacing w:after="0" w:line="240" w:lineRule="auto"/>
        <w:ind w:left="1080"/>
        <w:jc w:val="both"/>
        <w:rPr>
          <w:rFonts w:ascii="Times New Roman" w:hAnsi="Times New Roman" w:cs="Times New Roman"/>
        </w:rPr>
      </w:pPr>
      <w:r w:rsidRPr="00957A40">
        <w:rPr>
          <w:rFonts w:ascii="Times New Roman" w:hAnsi="Times New Roman" w:cs="Times New Roman"/>
        </w:rPr>
        <w:t>PPA, ¶ 15(</w:t>
      </w:r>
      <w:proofErr w:type="spellStart"/>
      <w:r w:rsidRPr="00957A40">
        <w:rPr>
          <w:rFonts w:ascii="Times New Roman" w:hAnsi="Times New Roman" w:cs="Times New Roman"/>
        </w:rPr>
        <w:t>i</w:t>
      </w:r>
      <w:proofErr w:type="spellEnd"/>
      <w:r w:rsidRPr="00957A40">
        <w:rPr>
          <w:rFonts w:ascii="Times New Roman" w:hAnsi="Times New Roman" w:cs="Times New Roman"/>
        </w:rPr>
        <w:t xml:space="preserve">) (the </w:t>
      </w:r>
      <w:r w:rsidRPr="00546ACE">
        <w:rPr>
          <w:rFonts w:ascii="Times New Roman" w:hAnsi="Times New Roman" w:cs="Times New Roman"/>
          <w:b/>
          <w:bCs/>
          <w:u w:val="single"/>
        </w:rPr>
        <w:t>customer</w:t>
      </w:r>
      <w:r w:rsidRPr="00957A40">
        <w:rPr>
          <w:rFonts w:ascii="Times New Roman" w:hAnsi="Times New Roman" w:cs="Times New Roman"/>
        </w:rPr>
        <w:t xml:space="preserve"> must understand and comprehend the impact of a possible assignment of the PPA to a Variable Interest Entity);</w:t>
      </w:r>
    </w:p>
    <w:p w14:paraId="31538A4B" w14:textId="77777777" w:rsidR="00294393" w:rsidRPr="00A02452" w:rsidRDefault="00294393" w:rsidP="00294393">
      <w:pPr>
        <w:spacing w:after="0" w:line="240" w:lineRule="auto"/>
        <w:ind w:left="360"/>
        <w:rPr>
          <w:rFonts w:ascii="Times New Roman" w:hAnsi="Times New Roman" w:cs="Times New Roman"/>
        </w:rPr>
      </w:pPr>
    </w:p>
    <w:p w14:paraId="6CED3A82" w14:textId="77777777" w:rsidR="00294393" w:rsidRPr="00957A40" w:rsidRDefault="00294393" w:rsidP="00123DDC">
      <w:pPr>
        <w:pStyle w:val="ListParagraph"/>
        <w:numPr>
          <w:ilvl w:val="0"/>
          <w:numId w:val="18"/>
        </w:numPr>
        <w:spacing w:after="0" w:line="240" w:lineRule="auto"/>
        <w:ind w:left="1080"/>
        <w:jc w:val="both"/>
        <w:rPr>
          <w:rFonts w:ascii="Times New Roman" w:hAnsi="Times New Roman" w:cs="Times New Roman"/>
        </w:rPr>
      </w:pPr>
      <w:r w:rsidRPr="00957A40">
        <w:rPr>
          <w:rFonts w:ascii="Times New Roman" w:hAnsi="Times New Roman" w:cs="Times New Roman"/>
        </w:rPr>
        <w:t xml:space="preserve">PPA, ¶ 15(g) (the </w:t>
      </w:r>
      <w:r w:rsidRPr="00546ACE">
        <w:rPr>
          <w:rFonts w:ascii="Times New Roman" w:hAnsi="Times New Roman" w:cs="Times New Roman"/>
          <w:b/>
          <w:bCs/>
          <w:u w:val="single"/>
        </w:rPr>
        <w:t>customer</w:t>
      </w:r>
      <w:r w:rsidRPr="00957A40">
        <w:rPr>
          <w:rFonts w:ascii="Times New Roman" w:hAnsi="Times New Roman" w:cs="Times New Roman"/>
        </w:rPr>
        <w:t xml:space="preserve"> must understand how environmental attributes under the PPA are governed and make express warranties of such understanding);</w:t>
      </w:r>
    </w:p>
    <w:p w14:paraId="63EA7034" w14:textId="77777777" w:rsidR="00294393" w:rsidRPr="00A02452" w:rsidRDefault="00294393" w:rsidP="00294393">
      <w:pPr>
        <w:spacing w:after="0" w:line="240" w:lineRule="auto"/>
        <w:ind w:left="360"/>
        <w:rPr>
          <w:rFonts w:ascii="Times New Roman" w:hAnsi="Times New Roman" w:cs="Times New Roman"/>
        </w:rPr>
      </w:pPr>
    </w:p>
    <w:p w14:paraId="33DF7925" w14:textId="10949DD9" w:rsidR="00294393" w:rsidRPr="00957A40" w:rsidRDefault="00294393" w:rsidP="00123DDC">
      <w:pPr>
        <w:pStyle w:val="ListParagraph"/>
        <w:numPr>
          <w:ilvl w:val="0"/>
          <w:numId w:val="18"/>
        </w:numPr>
        <w:spacing w:after="0" w:line="240" w:lineRule="auto"/>
        <w:ind w:left="1080"/>
        <w:jc w:val="both"/>
        <w:rPr>
          <w:rFonts w:ascii="Times New Roman" w:hAnsi="Times New Roman" w:cs="Times New Roman"/>
        </w:rPr>
      </w:pPr>
      <w:r w:rsidRPr="00957A40">
        <w:rPr>
          <w:rFonts w:ascii="Times New Roman" w:hAnsi="Times New Roman" w:cs="Times New Roman"/>
        </w:rPr>
        <w:lastRenderedPageBreak/>
        <w:t xml:space="preserve">PPA, ¶ 16(a)(v) (the </w:t>
      </w:r>
      <w:r w:rsidRPr="00546ACE">
        <w:rPr>
          <w:rFonts w:ascii="Times New Roman" w:hAnsi="Times New Roman" w:cs="Times New Roman"/>
          <w:b/>
          <w:bCs/>
          <w:u w:val="single"/>
        </w:rPr>
        <w:t>customer</w:t>
      </w:r>
      <w:r w:rsidRPr="00957A40">
        <w:rPr>
          <w:rFonts w:ascii="Times New Roman" w:hAnsi="Times New Roman" w:cs="Times New Roman"/>
        </w:rPr>
        <w:t xml:space="preserve"> is responsible for avoid</w:t>
      </w:r>
      <w:r w:rsidR="001917FB">
        <w:rPr>
          <w:rFonts w:ascii="Times New Roman" w:hAnsi="Times New Roman" w:cs="Times New Roman"/>
        </w:rPr>
        <w:t>ing</w:t>
      </w:r>
      <w:r w:rsidRPr="00957A40">
        <w:rPr>
          <w:rFonts w:ascii="Times New Roman" w:hAnsi="Times New Roman" w:cs="Times New Roman"/>
        </w:rPr>
        <w:t xml:space="preserve"> default under the PPA for capacity factor infractions)</w:t>
      </w:r>
    </w:p>
    <w:p w14:paraId="1F375CC1" w14:textId="77777777" w:rsidR="00294393" w:rsidRDefault="00294393" w:rsidP="00294393">
      <w:pPr>
        <w:spacing w:after="0" w:line="240" w:lineRule="auto"/>
        <w:ind w:left="360"/>
        <w:rPr>
          <w:rFonts w:ascii="Times New Roman" w:hAnsi="Times New Roman" w:cs="Times New Roman"/>
        </w:rPr>
      </w:pPr>
    </w:p>
    <w:p w14:paraId="736DB9A9" w14:textId="206849E2" w:rsidR="009351CA" w:rsidRDefault="00294393" w:rsidP="009351CA">
      <w:pPr>
        <w:pStyle w:val="BodyText"/>
        <w:spacing w:after="0" w:line="480" w:lineRule="auto"/>
        <w:rPr>
          <w:b/>
          <w:bCs/>
        </w:rPr>
      </w:pPr>
      <w:r>
        <w:rPr>
          <w:szCs w:val="24"/>
        </w:rPr>
        <w:t>Under the Customer Connected PPA, the customer must understand what these terms mean and the obligations they impose.</w:t>
      </w:r>
      <w:r>
        <w:rPr>
          <w:rStyle w:val="FootnoteReference"/>
          <w:szCs w:val="24"/>
        </w:rPr>
        <w:footnoteReference w:id="28"/>
      </w:r>
      <w:r w:rsidRPr="00A02452">
        <w:rPr>
          <w:szCs w:val="24"/>
        </w:rPr>
        <w:t xml:space="preserve"> </w:t>
      </w:r>
      <w:r>
        <w:rPr>
          <w:szCs w:val="24"/>
        </w:rPr>
        <w:t xml:space="preserve"> If the customer cannot, it risks default and incurs the obligation to pay liquidated damages to the Company.  Without assistance from engineering, operational and legal experts, the customer will likely falter.  </w:t>
      </w:r>
      <w:r w:rsidR="00364AA2">
        <w:t>T</w:t>
      </w:r>
      <w:r w:rsidR="00B3158E">
        <w:t xml:space="preserve">he </w:t>
      </w:r>
      <w:r>
        <w:t xml:space="preserve">Guidelines and PPA impose substantial </w:t>
      </w:r>
      <w:r w:rsidR="00B3158E">
        <w:t xml:space="preserve">contractual obligations on the customer </w:t>
      </w:r>
      <w:r>
        <w:t xml:space="preserve">that </w:t>
      </w:r>
      <w:r w:rsidR="00184491">
        <w:t xml:space="preserve">are </w:t>
      </w:r>
      <w:r>
        <w:t xml:space="preserve">so </w:t>
      </w:r>
      <w:r w:rsidR="00184491">
        <w:t>complex</w:t>
      </w:r>
      <w:r>
        <w:t xml:space="preserve"> that</w:t>
      </w:r>
      <w:r w:rsidR="00184491">
        <w:t xml:space="preserve"> </w:t>
      </w:r>
      <w:r w:rsidR="00F90001">
        <w:t xml:space="preserve">even </w:t>
      </w:r>
      <w:r w:rsidR="00B3158E">
        <w:t xml:space="preserve">sophisticated business </w:t>
      </w:r>
      <w:r w:rsidR="00184491">
        <w:t>customer</w:t>
      </w:r>
      <w:r w:rsidR="00F90001">
        <w:t>s</w:t>
      </w:r>
      <w:r w:rsidR="00184491">
        <w:t xml:space="preserve"> </w:t>
      </w:r>
      <w:r w:rsidR="00B3158E">
        <w:t xml:space="preserve">that monitor energy usage and </w:t>
      </w:r>
      <w:r w:rsidR="00F90001">
        <w:t xml:space="preserve">pursue </w:t>
      </w:r>
      <w:r w:rsidR="00B3158E">
        <w:t>sustainability goals</w:t>
      </w:r>
      <w:r>
        <w:t xml:space="preserve"> are likely to forego this program.</w:t>
      </w:r>
      <w:r w:rsidR="00262ABA">
        <w:t xml:space="preserve">  </w:t>
      </w:r>
      <w:r w:rsidR="00266CBB">
        <w:rPr>
          <w:szCs w:val="24"/>
        </w:rPr>
        <w:t xml:space="preserve">Obviously, </w:t>
      </w:r>
      <w:r w:rsidR="00530B18">
        <w:rPr>
          <w:szCs w:val="24"/>
        </w:rPr>
        <w:t>th</w:t>
      </w:r>
      <w:r w:rsidR="001509F8">
        <w:rPr>
          <w:szCs w:val="24"/>
        </w:rPr>
        <w:t>i</w:t>
      </w:r>
      <w:r w:rsidR="00530B18">
        <w:rPr>
          <w:szCs w:val="24"/>
        </w:rPr>
        <w:t>s</w:t>
      </w:r>
      <w:r w:rsidR="001509F8">
        <w:rPr>
          <w:szCs w:val="24"/>
        </w:rPr>
        <w:t xml:space="preserve"> shift </w:t>
      </w:r>
      <w:r w:rsidR="00A87061">
        <w:rPr>
          <w:szCs w:val="24"/>
        </w:rPr>
        <w:t>of</w:t>
      </w:r>
      <w:r w:rsidR="001509F8">
        <w:rPr>
          <w:szCs w:val="24"/>
        </w:rPr>
        <w:t xml:space="preserve"> contractual and economic risks will </w:t>
      </w:r>
      <w:r w:rsidR="00266CBB">
        <w:rPr>
          <w:szCs w:val="24"/>
        </w:rPr>
        <w:t>contribute</w:t>
      </w:r>
      <w:r w:rsidR="00D12B67">
        <w:rPr>
          <w:szCs w:val="24"/>
        </w:rPr>
        <w:t xml:space="preserve"> to </w:t>
      </w:r>
      <w:r w:rsidR="001509F8">
        <w:rPr>
          <w:szCs w:val="24"/>
        </w:rPr>
        <w:t xml:space="preserve">a </w:t>
      </w:r>
      <w:r w:rsidR="00D12B67">
        <w:rPr>
          <w:szCs w:val="24"/>
        </w:rPr>
        <w:t xml:space="preserve">customer’s reluctance to deploy </w:t>
      </w:r>
      <w:r w:rsidR="001509F8">
        <w:rPr>
          <w:szCs w:val="24"/>
        </w:rPr>
        <w:t>a</w:t>
      </w:r>
      <w:r w:rsidR="00D12B67">
        <w:rPr>
          <w:szCs w:val="24"/>
        </w:rPr>
        <w:t xml:space="preserve"> solar facility</w:t>
      </w:r>
      <w:r w:rsidR="001509F8">
        <w:rPr>
          <w:szCs w:val="24"/>
        </w:rPr>
        <w:t xml:space="preserve"> in Customer Connected</w:t>
      </w:r>
      <w:r w:rsidR="00D12B67">
        <w:rPr>
          <w:szCs w:val="24"/>
        </w:rPr>
        <w:t>.</w:t>
      </w:r>
      <w:r w:rsidR="00E76A7D">
        <w:rPr>
          <w:szCs w:val="24"/>
        </w:rPr>
        <w:t xml:space="preserve">  </w:t>
      </w:r>
      <w:r w:rsidR="00E76A7D">
        <w:t>That is the reason customers turned to developers and investors to assume these responsibilities and risks</w:t>
      </w:r>
      <w:r w:rsidR="001917FB">
        <w:t xml:space="preserve"> in the first place</w:t>
      </w:r>
      <w:r w:rsidR="00262ABA">
        <w:rPr>
          <w:b/>
          <w:bCs/>
        </w:rPr>
        <w:t>.</w:t>
      </w:r>
    </w:p>
    <w:p w14:paraId="579B326A" w14:textId="6979B0AD" w:rsidR="002B4190" w:rsidRPr="009351CA" w:rsidRDefault="009351CA" w:rsidP="00833DD2">
      <w:pPr>
        <w:pStyle w:val="BodyText"/>
        <w:spacing w:after="0"/>
        <w:ind w:left="1080" w:hanging="360"/>
        <w:rPr>
          <w:u w:val="single"/>
        </w:rPr>
      </w:pPr>
      <w:r w:rsidRPr="007A2BCB">
        <w:t xml:space="preserve">3. </w:t>
      </w:r>
      <w:r w:rsidR="002B4190" w:rsidRPr="007A2BCB">
        <w:t xml:space="preserve"> </w:t>
      </w:r>
      <w:r w:rsidR="008954D0">
        <w:tab/>
      </w:r>
      <w:r w:rsidRPr="009351CA">
        <w:rPr>
          <w:u w:val="single"/>
        </w:rPr>
        <w:t xml:space="preserve">The Guidelines </w:t>
      </w:r>
      <w:r w:rsidR="002B4190" w:rsidRPr="009351CA">
        <w:rPr>
          <w:u w:val="single"/>
        </w:rPr>
        <w:t xml:space="preserve">and PPA limit the customer’s ability to assign the PPA and transfer the property which risks stranding valuable electricity generation assets. </w:t>
      </w:r>
    </w:p>
    <w:p w14:paraId="3CD3AD18" w14:textId="77777777" w:rsidR="009351CA" w:rsidRPr="009351CA" w:rsidRDefault="009351CA" w:rsidP="009351CA">
      <w:pPr>
        <w:pStyle w:val="BodyText"/>
        <w:spacing w:after="0"/>
      </w:pPr>
    </w:p>
    <w:p w14:paraId="5183357C" w14:textId="3CFB1AF6" w:rsidR="003D7D32" w:rsidRDefault="003D7D32" w:rsidP="006158FF">
      <w:pPr>
        <w:pStyle w:val="BodyText"/>
        <w:spacing w:after="0" w:line="480" w:lineRule="auto"/>
        <w:ind w:firstLine="720"/>
      </w:pPr>
      <w:r>
        <w:t>In Group B and REDI, PPAs were assigned regularly and as a matter of course with the Company’s consent.  In IRP testimony, the Company acknowledged that once the project was generating, the customer could transfer the PPA, subject only to approval of the change in control by the Commission.</w:t>
      </w:r>
      <w:r>
        <w:rPr>
          <w:rStyle w:val="FootnoteReference"/>
        </w:rPr>
        <w:footnoteReference w:id="29"/>
      </w:r>
      <w:r>
        <w:t xml:space="preserve">  In Customer Connected, the customer’s right to assign the PPA is restricted.  PPA, Section 14(b) only allows the customer to assign the PPA to “an entity purchasing Customer or Customer’s business at the Premises that will remain a retail electric customer of Georgia Power at the Premises.”</w:t>
      </w:r>
      <w:r>
        <w:rPr>
          <w:rStyle w:val="FootnoteReference"/>
        </w:rPr>
        <w:footnoteReference w:id="30"/>
      </w:r>
      <w:r>
        <w:t xml:space="preserve">  The purchaser becomes the “new customer” that must continue the customer’s business and remain a Company customer.</w:t>
      </w:r>
      <w:r>
        <w:rPr>
          <w:rStyle w:val="FootnoteReference"/>
        </w:rPr>
        <w:footnoteReference w:id="31"/>
      </w:r>
      <w:r>
        <w:t xml:space="preserve"> Though not expressly enumerated as an event of </w:t>
      </w:r>
      <w:r>
        <w:lastRenderedPageBreak/>
        <w:t>default, the Company appears to have authority to declare default should the “customer” go out of business and cease being a retail customer of Georgia Power at the “Premises.”</w:t>
      </w:r>
      <w:r>
        <w:rPr>
          <w:rStyle w:val="FootnoteReference"/>
        </w:rPr>
        <w:footnoteReference w:id="32"/>
      </w:r>
      <w:r>
        <w:t xml:space="preserve">   Cessation of the original customer’s business at the Premises will likely terminate its customer relationship with Georgia Power -- the foundation of the Guidelines and PPA.  The PPA is silent on ownership of the solar generation facility or compensation for electric generation in that event. </w:t>
      </w:r>
      <w:r w:rsidR="002B4190">
        <w:t xml:space="preserve"> This alone renders financing unfeasible.</w:t>
      </w:r>
      <w:r>
        <w:t xml:space="preserve"> </w:t>
      </w:r>
    </w:p>
    <w:p w14:paraId="31A7BE0C" w14:textId="499A02B5" w:rsidR="003D7D32" w:rsidRPr="00957A40" w:rsidRDefault="003D7D32" w:rsidP="003D7D32">
      <w:pPr>
        <w:spacing w:after="0" w:line="480" w:lineRule="auto"/>
        <w:ind w:firstLine="720"/>
        <w:jc w:val="both"/>
        <w:rPr>
          <w:rFonts w:ascii="Times New Roman" w:hAnsi="Times New Roman" w:cs="Times New Roman"/>
        </w:rPr>
      </w:pPr>
      <w:r>
        <w:rPr>
          <w:rFonts w:ascii="Times New Roman" w:hAnsi="Times New Roman" w:cs="Times New Roman"/>
        </w:rPr>
        <w:t>The restrictions on the customer’s right to assign the PPA, in turn, limits the customer’s ability to sell its property.  Unless the customer can find a purchaser of the business or a similarly situated “new customer” with a comparable metered electric load, the solar facility and its PPA become a significant detriment in marketing the property.  The new customer must be willing to agree to the PPA terms and assume the contractual responsibilities.  Otherwise, the prospective new customer/purchaser will simply find another tract.  A</w:t>
      </w:r>
      <w:r w:rsidRPr="00957A40">
        <w:rPr>
          <w:rFonts w:ascii="Times New Roman" w:hAnsi="Times New Roman" w:cs="Times New Roman"/>
        </w:rPr>
        <w:t>s a result</w:t>
      </w:r>
      <w:r>
        <w:rPr>
          <w:rFonts w:ascii="Times New Roman" w:hAnsi="Times New Roman" w:cs="Times New Roman"/>
        </w:rPr>
        <w:t xml:space="preserve">, </w:t>
      </w:r>
      <w:r w:rsidRPr="00957A40">
        <w:rPr>
          <w:rFonts w:ascii="Times New Roman" w:hAnsi="Times New Roman" w:cs="Times New Roman"/>
        </w:rPr>
        <w:t xml:space="preserve">the customer’s </w:t>
      </w:r>
      <w:r>
        <w:rPr>
          <w:rFonts w:ascii="Times New Roman" w:hAnsi="Times New Roman" w:cs="Times New Roman"/>
        </w:rPr>
        <w:t xml:space="preserve">universe of prospective purchasers is severely limited, the </w:t>
      </w:r>
      <w:r w:rsidRPr="00957A40">
        <w:rPr>
          <w:rFonts w:ascii="Times New Roman" w:hAnsi="Times New Roman" w:cs="Times New Roman"/>
        </w:rPr>
        <w:t xml:space="preserve">resale </w:t>
      </w:r>
      <w:r>
        <w:rPr>
          <w:rFonts w:ascii="Times New Roman" w:hAnsi="Times New Roman" w:cs="Times New Roman"/>
        </w:rPr>
        <w:t>value of the property is reduced and the sales effort becomes prohibitively complex.  If a purchase</w:t>
      </w:r>
      <w:r w:rsidR="00364AA2">
        <w:rPr>
          <w:rFonts w:ascii="Times New Roman" w:hAnsi="Times New Roman" w:cs="Times New Roman"/>
        </w:rPr>
        <w:t>r</w:t>
      </w:r>
      <w:r>
        <w:rPr>
          <w:rFonts w:ascii="Times New Roman" w:hAnsi="Times New Roman" w:cs="Times New Roman"/>
        </w:rPr>
        <w:t xml:space="preserve"> is interested in the property, but not the solar facility, or if the customer just goes out of business, the economic asset of the </w:t>
      </w:r>
      <w:r w:rsidRPr="00957A40">
        <w:rPr>
          <w:rFonts w:ascii="Times New Roman" w:hAnsi="Times New Roman" w:cs="Times New Roman"/>
        </w:rPr>
        <w:t>solar generation facility</w:t>
      </w:r>
      <w:r>
        <w:rPr>
          <w:rFonts w:ascii="Times New Roman" w:hAnsi="Times New Roman" w:cs="Times New Roman"/>
        </w:rPr>
        <w:t xml:space="preserve"> may become stranded.  </w:t>
      </w:r>
    </w:p>
    <w:p w14:paraId="0B32B0B3" w14:textId="0846174D" w:rsidR="003D7D32" w:rsidRDefault="003D7D32" w:rsidP="003D7D32">
      <w:pPr>
        <w:spacing w:after="0" w:line="480" w:lineRule="auto"/>
        <w:ind w:firstLine="720"/>
        <w:jc w:val="both"/>
        <w:rPr>
          <w:rFonts w:ascii="Times New Roman" w:hAnsi="Times New Roman" w:cs="Times New Roman"/>
        </w:rPr>
      </w:pPr>
      <w:r>
        <w:rPr>
          <w:rFonts w:ascii="Times New Roman" w:hAnsi="Times New Roman" w:cs="Times New Roman"/>
        </w:rPr>
        <w:t xml:space="preserve">Because the “seller” was the PPA signatory in Group B and REDI, the customer could sell the property to anyone, without concerns about PPA assignment.  Irrespective of a change in ownership of the property, the solar facility continued to operate under the PPA without impact.  If the seller defaulted under the PPA, the customer’s electric service was not impacted.  If the </w:t>
      </w:r>
      <w:r>
        <w:rPr>
          <w:rFonts w:ascii="Times New Roman" w:hAnsi="Times New Roman" w:cs="Times New Roman"/>
        </w:rPr>
        <w:lastRenderedPageBreak/>
        <w:t>customer had a claim against the seller, the customer’s remedy was based on the contract between them, not the PPA between the seller and the Company.</w:t>
      </w:r>
    </w:p>
    <w:p w14:paraId="03F8A6D7" w14:textId="0F3CE281" w:rsidR="009351CA" w:rsidRPr="001A69EA" w:rsidRDefault="00D369E2" w:rsidP="003D7D32">
      <w:pPr>
        <w:spacing w:after="0" w:line="480" w:lineRule="auto"/>
        <w:ind w:firstLine="720"/>
        <w:jc w:val="both"/>
        <w:rPr>
          <w:rFonts w:ascii="Times New Roman" w:hAnsi="Times New Roman" w:cs="Times New Roman"/>
          <w:b/>
          <w:bCs/>
        </w:rPr>
      </w:pPr>
      <w:r>
        <w:rPr>
          <w:rFonts w:ascii="Times New Roman" w:hAnsi="Times New Roman" w:cs="Times New Roman"/>
          <w:b/>
          <w:bCs/>
        </w:rPr>
        <w:t>B</w:t>
      </w:r>
      <w:r w:rsidR="009351CA" w:rsidRPr="001A69EA">
        <w:rPr>
          <w:rFonts w:ascii="Times New Roman" w:hAnsi="Times New Roman" w:cs="Times New Roman"/>
          <w:b/>
          <w:bCs/>
        </w:rPr>
        <w:t>.  Third party ownership options will not work.</w:t>
      </w:r>
    </w:p>
    <w:p w14:paraId="5755AEAD" w14:textId="2C79AA00" w:rsidR="00A661E7" w:rsidRDefault="0058259E" w:rsidP="009351CA">
      <w:pPr>
        <w:spacing w:after="0" w:line="480" w:lineRule="auto"/>
        <w:ind w:firstLine="720"/>
        <w:jc w:val="both"/>
        <w:rPr>
          <w:rFonts w:ascii="Times New Roman" w:hAnsi="Times New Roman" w:cs="Times New Roman"/>
        </w:rPr>
      </w:pPr>
      <w:r>
        <w:rPr>
          <w:rFonts w:ascii="Times New Roman" w:hAnsi="Times New Roman" w:cs="Times New Roman"/>
        </w:rPr>
        <w:t xml:space="preserve">From the results of ASI Prime Group </w:t>
      </w:r>
      <w:r w:rsidR="00364AA2">
        <w:rPr>
          <w:rFonts w:ascii="Times New Roman" w:hAnsi="Times New Roman" w:cs="Times New Roman"/>
        </w:rPr>
        <w:t xml:space="preserve">B </w:t>
      </w:r>
      <w:r>
        <w:rPr>
          <w:rFonts w:ascii="Times New Roman" w:hAnsi="Times New Roman" w:cs="Times New Roman"/>
        </w:rPr>
        <w:t xml:space="preserve">and REDI, it is obvious that most </w:t>
      </w:r>
      <w:r w:rsidR="00364AA2">
        <w:rPr>
          <w:rFonts w:ascii="Times New Roman" w:hAnsi="Times New Roman" w:cs="Times New Roman"/>
        </w:rPr>
        <w:t>c</w:t>
      </w:r>
      <w:r w:rsidR="009351CA">
        <w:rPr>
          <w:rFonts w:ascii="Times New Roman" w:hAnsi="Times New Roman" w:cs="Times New Roman"/>
        </w:rPr>
        <w:t>ustomers</w:t>
      </w:r>
      <w:r>
        <w:rPr>
          <w:rFonts w:ascii="Times New Roman" w:hAnsi="Times New Roman" w:cs="Times New Roman"/>
        </w:rPr>
        <w:t xml:space="preserve"> prefer to contract with energy professionals who know and understand the technology and economics of a solar facility to participate in the program.  </w:t>
      </w:r>
      <w:r w:rsidR="00364AA2">
        <w:rPr>
          <w:rFonts w:ascii="Times New Roman" w:hAnsi="Times New Roman" w:cs="Times New Roman"/>
        </w:rPr>
        <w:t>But i</w:t>
      </w:r>
      <w:r>
        <w:rPr>
          <w:rFonts w:ascii="Times New Roman" w:hAnsi="Times New Roman" w:cs="Times New Roman"/>
        </w:rPr>
        <w:t>n Customer Connected, the Company precludes that option</w:t>
      </w:r>
      <w:r w:rsidR="00705A99">
        <w:rPr>
          <w:rFonts w:ascii="Times New Roman" w:hAnsi="Times New Roman" w:cs="Times New Roman"/>
        </w:rPr>
        <w:t>.</w:t>
      </w:r>
      <w:r w:rsidR="00364AA2">
        <w:rPr>
          <w:rFonts w:ascii="Times New Roman" w:hAnsi="Times New Roman" w:cs="Times New Roman"/>
        </w:rPr>
        <w:t xml:space="preserve">  Instead,</w:t>
      </w:r>
      <w:r w:rsidR="009351CA">
        <w:rPr>
          <w:rFonts w:ascii="Times New Roman" w:hAnsi="Times New Roman" w:cs="Times New Roman"/>
        </w:rPr>
        <w:t xml:space="preserve"> the Company </w:t>
      </w:r>
      <w:r>
        <w:rPr>
          <w:rFonts w:ascii="Times New Roman" w:hAnsi="Times New Roman" w:cs="Times New Roman"/>
        </w:rPr>
        <w:t>suggest</w:t>
      </w:r>
      <w:r w:rsidR="009351CA">
        <w:rPr>
          <w:rFonts w:ascii="Times New Roman" w:hAnsi="Times New Roman" w:cs="Times New Roman"/>
        </w:rPr>
        <w:t xml:space="preserve">s that </w:t>
      </w:r>
      <w:r>
        <w:rPr>
          <w:rFonts w:ascii="Times New Roman" w:hAnsi="Times New Roman" w:cs="Times New Roman"/>
        </w:rPr>
        <w:t xml:space="preserve">the </w:t>
      </w:r>
      <w:r w:rsidR="009351CA">
        <w:rPr>
          <w:rFonts w:ascii="Times New Roman" w:hAnsi="Times New Roman" w:cs="Times New Roman"/>
        </w:rPr>
        <w:t xml:space="preserve">customers can </w:t>
      </w:r>
      <w:r>
        <w:rPr>
          <w:rFonts w:ascii="Times New Roman" w:hAnsi="Times New Roman" w:cs="Times New Roman"/>
        </w:rPr>
        <w:t xml:space="preserve">contract with a third party through a SEPA or </w:t>
      </w:r>
      <w:r w:rsidR="009351CA">
        <w:rPr>
          <w:rFonts w:ascii="Times New Roman" w:hAnsi="Times New Roman" w:cs="Times New Roman"/>
        </w:rPr>
        <w:t xml:space="preserve">lease </w:t>
      </w:r>
      <w:r>
        <w:rPr>
          <w:rFonts w:ascii="Times New Roman" w:hAnsi="Times New Roman" w:cs="Times New Roman"/>
        </w:rPr>
        <w:t xml:space="preserve">to accomplish a similar arrangement to Group B </w:t>
      </w:r>
      <w:r w:rsidR="009351CA">
        <w:rPr>
          <w:rFonts w:ascii="Times New Roman" w:hAnsi="Times New Roman" w:cs="Times New Roman"/>
        </w:rPr>
        <w:t xml:space="preserve">or </w:t>
      </w:r>
      <w:r>
        <w:rPr>
          <w:rFonts w:ascii="Times New Roman" w:hAnsi="Times New Roman" w:cs="Times New Roman"/>
        </w:rPr>
        <w:t xml:space="preserve">REDI.  </w:t>
      </w:r>
      <w:r w:rsidR="009351CA">
        <w:rPr>
          <w:rFonts w:ascii="Times New Roman" w:hAnsi="Times New Roman" w:cs="Times New Roman"/>
        </w:rPr>
        <w:t xml:space="preserve">However, </w:t>
      </w:r>
      <w:r>
        <w:rPr>
          <w:rFonts w:ascii="Times New Roman" w:hAnsi="Times New Roman" w:cs="Times New Roman"/>
        </w:rPr>
        <w:t xml:space="preserve">neither </w:t>
      </w:r>
      <w:r w:rsidR="009351CA">
        <w:rPr>
          <w:rFonts w:ascii="Times New Roman" w:hAnsi="Times New Roman" w:cs="Times New Roman"/>
        </w:rPr>
        <w:t xml:space="preserve">option </w:t>
      </w:r>
      <w:r>
        <w:rPr>
          <w:rFonts w:ascii="Times New Roman" w:hAnsi="Times New Roman" w:cs="Times New Roman"/>
        </w:rPr>
        <w:t xml:space="preserve">is </w:t>
      </w:r>
      <w:r w:rsidR="009351CA">
        <w:rPr>
          <w:rFonts w:ascii="Times New Roman" w:hAnsi="Times New Roman" w:cs="Times New Roman"/>
        </w:rPr>
        <w:t>unworkable because</w:t>
      </w:r>
      <w:r>
        <w:rPr>
          <w:rFonts w:ascii="Times New Roman" w:hAnsi="Times New Roman" w:cs="Times New Roman"/>
        </w:rPr>
        <w:t xml:space="preserve"> the</w:t>
      </w:r>
      <w:r w:rsidR="009351CA">
        <w:rPr>
          <w:rFonts w:ascii="Times New Roman" w:hAnsi="Times New Roman" w:cs="Times New Roman"/>
        </w:rPr>
        <w:t xml:space="preserve"> customer </w:t>
      </w:r>
      <w:r>
        <w:rPr>
          <w:rFonts w:ascii="Times New Roman" w:hAnsi="Times New Roman" w:cs="Times New Roman"/>
        </w:rPr>
        <w:t xml:space="preserve">is subjected to yet another </w:t>
      </w:r>
      <w:r w:rsidR="009351CA">
        <w:rPr>
          <w:rFonts w:ascii="Times New Roman" w:hAnsi="Times New Roman" w:cs="Times New Roman"/>
        </w:rPr>
        <w:t>complicated long term SEPA or lease agreement to buy power</w:t>
      </w:r>
      <w:r w:rsidR="00A661E7">
        <w:rPr>
          <w:rFonts w:ascii="Times New Roman" w:hAnsi="Times New Roman" w:cs="Times New Roman"/>
        </w:rPr>
        <w:t>,</w:t>
      </w:r>
      <w:r w:rsidR="00364AA2">
        <w:rPr>
          <w:rFonts w:ascii="Times New Roman" w:hAnsi="Times New Roman" w:cs="Times New Roman"/>
        </w:rPr>
        <w:t xml:space="preserve"> and</w:t>
      </w:r>
      <w:r w:rsidR="00A661E7">
        <w:rPr>
          <w:rFonts w:ascii="Times New Roman" w:hAnsi="Times New Roman" w:cs="Times New Roman"/>
        </w:rPr>
        <w:t xml:space="preserve"> the customer</w:t>
      </w:r>
      <w:r w:rsidR="009351CA">
        <w:rPr>
          <w:rFonts w:ascii="Times New Roman" w:hAnsi="Times New Roman" w:cs="Times New Roman"/>
        </w:rPr>
        <w:t xml:space="preserve"> will </w:t>
      </w:r>
      <w:r w:rsidR="00A661E7">
        <w:rPr>
          <w:rFonts w:ascii="Times New Roman" w:hAnsi="Times New Roman" w:cs="Times New Roman"/>
        </w:rPr>
        <w:t xml:space="preserve">be compensated </w:t>
      </w:r>
      <w:r w:rsidR="00833DD2">
        <w:rPr>
          <w:rFonts w:ascii="Times New Roman" w:hAnsi="Times New Roman" w:cs="Times New Roman"/>
        </w:rPr>
        <w:t xml:space="preserve">for the sale of electricity generated </w:t>
      </w:r>
      <w:r w:rsidR="00A661E7">
        <w:rPr>
          <w:rFonts w:ascii="Times New Roman" w:hAnsi="Times New Roman" w:cs="Times New Roman"/>
        </w:rPr>
        <w:t xml:space="preserve">at only </w:t>
      </w:r>
      <w:r w:rsidR="009351CA">
        <w:rPr>
          <w:rFonts w:ascii="Times New Roman" w:hAnsi="Times New Roman" w:cs="Times New Roman"/>
        </w:rPr>
        <w:t xml:space="preserve">a fraction of </w:t>
      </w:r>
      <w:r w:rsidR="00A661E7">
        <w:rPr>
          <w:rFonts w:ascii="Times New Roman" w:hAnsi="Times New Roman" w:cs="Times New Roman"/>
        </w:rPr>
        <w:t>i</w:t>
      </w:r>
      <w:r w:rsidR="009351CA">
        <w:rPr>
          <w:rFonts w:ascii="Times New Roman" w:hAnsi="Times New Roman" w:cs="Times New Roman"/>
        </w:rPr>
        <w:t>t</w:t>
      </w:r>
      <w:r w:rsidR="00A661E7">
        <w:rPr>
          <w:rFonts w:ascii="Times New Roman" w:hAnsi="Times New Roman" w:cs="Times New Roman"/>
        </w:rPr>
        <w:t>s</w:t>
      </w:r>
      <w:r w:rsidR="009351CA">
        <w:rPr>
          <w:rFonts w:ascii="Times New Roman" w:hAnsi="Times New Roman" w:cs="Times New Roman"/>
        </w:rPr>
        <w:t xml:space="preserve"> retail rate</w:t>
      </w:r>
      <w:r w:rsidR="00A661E7">
        <w:rPr>
          <w:rFonts w:ascii="Times New Roman" w:hAnsi="Times New Roman" w:cs="Times New Roman"/>
        </w:rPr>
        <w:t>.  T</w:t>
      </w:r>
      <w:r w:rsidR="009351CA">
        <w:rPr>
          <w:rFonts w:ascii="Times New Roman" w:hAnsi="Times New Roman" w:cs="Times New Roman"/>
        </w:rPr>
        <w:t>hird</w:t>
      </w:r>
      <w:r w:rsidR="00DB7891">
        <w:rPr>
          <w:rFonts w:ascii="Times New Roman" w:hAnsi="Times New Roman" w:cs="Times New Roman"/>
        </w:rPr>
        <w:t xml:space="preserve"> </w:t>
      </w:r>
      <w:r w:rsidR="009351CA">
        <w:rPr>
          <w:rFonts w:ascii="Times New Roman" w:hAnsi="Times New Roman" w:cs="Times New Roman"/>
        </w:rPr>
        <w:t>part</w:t>
      </w:r>
      <w:r w:rsidR="00A661E7">
        <w:rPr>
          <w:rFonts w:ascii="Times New Roman" w:hAnsi="Times New Roman" w:cs="Times New Roman"/>
        </w:rPr>
        <w:t>ies will</w:t>
      </w:r>
      <w:r w:rsidR="009351CA">
        <w:rPr>
          <w:rFonts w:ascii="Times New Roman" w:hAnsi="Times New Roman" w:cs="Times New Roman"/>
        </w:rPr>
        <w:t xml:space="preserve"> not take the risk of constructing</w:t>
      </w:r>
      <w:r w:rsidR="00364AA2">
        <w:rPr>
          <w:rFonts w:ascii="Times New Roman" w:hAnsi="Times New Roman" w:cs="Times New Roman"/>
        </w:rPr>
        <w:t>, financing</w:t>
      </w:r>
      <w:r w:rsidR="009351CA">
        <w:rPr>
          <w:rFonts w:ascii="Times New Roman" w:hAnsi="Times New Roman" w:cs="Times New Roman"/>
        </w:rPr>
        <w:t xml:space="preserve"> and owning a multi-million solar facility </w:t>
      </w:r>
      <w:r w:rsidR="00A661E7">
        <w:rPr>
          <w:rFonts w:ascii="Times New Roman" w:hAnsi="Times New Roman" w:cs="Times New Roman"/>
        </w:rPr>
        <w:t xml:space="preserve">under these arrangements. </w:t>
      </w:r>
    </w:p>
    <w:p w14:paraId="3865BA26" w14:textId="505423DF" w:rsidR="00463D55" w:rsidRDefault="00A661E7" w:rsidP="00463D55">
      <w:pPr>
        <w:spacing w:after="0" w:line="480" w:lineRule="auto"/>
        <w:ind w:firstLine="720"/>
        <w:jc w:val="both"/>
        <w:rPr>
          <w:rFonts w:ascii="Times New Roman" w:hAnsi="Times New Roman" w:cs="Times New Roman"/>
        </w:rPr>
      </w:pPr>
      <w:r>
        <w:rPr>
          <w:rFonts w:ascii="Times New Roman" w:hAnsi="Times New Roman" w:cs="Times New Roman"/>
        </w:rPr>
        <w:t>In Georgia, SEPAs</w:t>
      </w:r>
      <w:r w:rsidR="00463D55">
        <w:rPr>
          <w:rStyle w:val="FootnoteReference"/>
          <w:rFonts w:ascii="Times New Roman" w:hAnsi="Times New Roman" w:cs="Times New Roman"/>
        </w:rPr>
        <w:footnoteReference w:id="33"/>
      </w:r>
      <w:r>
        <w:rPr>
          <w:rFonts w:ascii="Times New Roman" w:hAnsi="Times New Roman" w:cs="Times New Roman"/>
        </w:rPr>
        <w:t xml:space="preserve"> were authorized by the Solar Power Free Market Financing Act of 2015, O.C.G.A. § 46-3-60, </w:t>
      </w:r>
      <w:r>
        <w:rPr>
          <w:rFonts w:ascii="Times New Roman" w:hAnsi="Times New Roman" w:cs="Times New Roman"/>
          <w:u w:val="single"/>
        </w:rPr>
        <w:t>et</w:t>
      </w:r>
      <w:r>
        <w:rPr>
          <w:rFonts w:ascii="Times New Roman" w:hAnsi="Times New Roman" w:cs="Times New Roman"/>
        </w:rPr>
        <w:t xml:space="preserve"> </w:t>
      </w:r>
      <w:r>
        <w:rPr>
          <w:rFonts w:ascii="Times New Roman" w:hAnsi="Times New Roman" w:cs="Times New Roman"/>
          <w:u w:val="single"/>
        </w:rPr>
        <w:t>seq.</w:t>
      </w:r>
      <w:r>
        <w:rPr>
          <w:rFonts w:ascii="Times New Roman" w:hAnsi="Times New Roman" w:cs="Times New Roman"/>
        </w:rPr>
        <w:t xml:space="preserve"> (the “Solar Finance Act”) to </w:t>
      </w:r>
      <w:r w:rsidR="00833DD2">
        <w:rPr>
          <w:rFonts w:ascii="Times New Roman" w:hAnsi="Times New Roman" w:cs="Times New Roman"/>
        </w:rPr>
        <w:t xml:space="preserve">permit customers </w:t>
      </w:r>
      <w:r w:rsidR="001A69EA">
        <w:rPr>
          <w:rFonts w:ascii="Times New Roman" w:hAnsi="Times New Roman" w:cs="Times New Roman"/>
        </w:rPr>
        <w:t xml:space="preserve">to </w:t>
      </w:r>
      <w:r>
        <w:rPr>
          <w:rFonts w:ascii="Times New Roman" w:hAnsi="Times New Roman" w:cs="Times New Roman"/>
        </w:rPr>
        <w:t xml:space="preserve">contract with a third party to own, finance or lease a solar array tied to the customer’s meter without being in violation of the Georgia Territorial Electric Service Act, O.C.G.A. § 46-3-1, </w:t>
      </w:r>
      <w:r>
        <w:rPr>
          <w:rFonts w:ascii="Times New Roman" w:hAnsi="Times New Roman" w:cs="Times New Roman"/>
          <w:u w:val="single"/>
        </w:rPr>
        <w:t>et</w:t>
      </w:r>
      <w:r>
        <w:rPr>
          <w:rFonts w:ascii="Times New Roman" w:hAnsi="Times New Roman" w:cs="Times New Roman"/>
        </w:rPr>
        <w:t xml:space="preserve"> </w:t>
      </w:r>
      <w:r>
        <w:rPr>
          <w:rFonts w:ascii="Times New Roman" w:hAnsi="Times New Roman" w:cs="Times New Roman"/>
          <w:u w:val="single"/>
        </w:rPr>
        <w:t>seq.</w:t>
      </w:r>
      <w:r>
        <w:rPr>
          <w:rFonts w:ascii="Times New Roman" w:hAnsi="Times New Roman" w:cs="Times New Roman"/>
        </w:rPr>
        <w:t xml:space="preserve"> (the “Territorial Act”).  </w:t>
      </w:r>
      <w:r w:rsidR="00463D55">
        <w:rPr>
          <w:rFonts w:ascii="Times New Roman" w:hAnsi="Times New Roman" w:cs="Times New Roman"/>
        </w:rPr>
        <w:t xml:space="preserve">In a SEPA, </w:t>
      </w:r>
      <w:r>
        <w:rPr>
          <w:rFonts w:ascii="Times New Roman" w:hAnsi="Times New Roman" w:cs="Times New Roman"/>
        </w:rPr>
        <w:t>the customer use</w:t>
      </w:r>
      <w:r w:rsidR="00463D55">
        <w:rPr>
          <w:rFonts w:ascii="Times New Roman" w:hAnsi="Times New Roman" w:cs="Times New Roman"/>
        </w:rPr>
        <w:t>s</w:t>
      </w:r>
      <w:r>
        <w:rPr>
          <w:rFonts w:ascii="Times New Roman" w:hAnsi="Times New Roman" w:cs="Times New Roman"/>
        </w:rPr>
        <w:t xml:space="preserve"> the energy generated from the facility to directly </w:t>
      </w:r>
      <w:r>
        <w:rPr>
          <w:rFonts w:ascii="Times New Roman" w:hAnsi="Times New Roman" w:cs="Times New Roman"/>
        </w:rPr>
        <w:lastRenderedPageBreak/>
        <w:t xml:space="preserve">reduce the customer’s electric costs.  </w:t>
      </w:r>
      <w:r w:rsidR="00463D55">
        <w:rPr>
          <w:rFonts w:ascii="Times New Roman" w:hAnsi="Times New Roman" w:cs="Times New Roman"/>
        </w:rPr>
        <w:t>A</w:t>
      </w:r>
      <w:r>
        <w:t xml:space="preserve"> </w:t>
      </w:r>
      <w:r w:rsidRPr="00463D55">
        <w:rPr>
          <w:rFonts w:ascii="Times New Roman" w:hAnsi="Times New Roman" w:cs="Times New Roman"/>
        </w:rPr>
        <w:t>SEPA facilitates BTM solar deployment, allowing the customer to obtain cheaper electricity to reduce the amount of its electricity purchase</w:t>
      </w:r>
      <w:r w:rsidR="00833DD2">
        <w:rPr>
          <w:rFonts w:ascii="Times New Roman" w:hAnsi="Times New Roman" w:cs="Times New Roman"/>
        </w:rPr>
        <w:t>d</w:t>
      </w:r>
      <w:r w:rsidRPr="00463D55">
        <w:rPr>
          <w:rFonts w:ascii="Times New Roman" w:hAnsi="Times New Roman" w:cs="Times New Roman"/>
        </w:rPr>
        <w:t xml:space="preserve"> at retail from the Company.  Any excess generation can be sold to an electric service provider, like Georgia Power.  A diagram of a SEPA contractual arrangement consistent with the Solar Finance Act is shown on Exhibit “</w:t>
      </w:r>
      <w:r w:rsidR="000135CB">
        <w:rPr>
          <w:rFonts w:ascii="Times New Roman" w:hAnsi="Times New Roman" w:cs="Times New Roman"/>
        </w:rPr>
        <w:t>E</w:t>
      </w:r>
      <w:r w:rsidRPr="00463D55">
        <w:rPr>
          <w:rFonts w:ascii="Times New Roman" w:hAnsi="Times New Roman" w:cs="Times New Roman"/>
        </w:rPr>
        <w:t>,” attached hereto.</w:t>
      </w:r>
    </w:p>
    <w:p w14:paraId="034E9C07" w14:textId="0D68C161" w:rsidR="00A661E7" w:rsidRDefault="00A661E7" w:rsidP="00833DD2">
      <w:pPr>
        <w:spacing w:after="0" w:line="240" w:lineRule="auto"/>
        <w:ind w:left="1080" w:hanging="360"/>
        <w:jc w:val="both"/>
        <w:rPr>
          <w:u w:val="single"/>
        </w:rPr>
      </w:pPr>
      <w:r w:rsidRPr="00463D55">
        <w:rPr>
          <w:rFonts w:ascii="Times New Roman" w:hAnsi="Times New Roman" w:cs="Times New Roman"/>
        </w:rPr>
        <w:t xml:space="preserve">1.  </w:t>
      </w:r>
      <w:r w:rsidRPr="00463D55">
        <w:rPr>
          <w:rFonts w:ascii="Times New Roman" w:hAnsi="Times New Roman" w:cs="Times New Roman"/>
          <w:u w:val="single"/>
        </w:rPr>
        <w:t xml:space="preserve">A SEPA </w:t>
      </w:r>
      <w:r w:rsidR="00463D55">
        <w:rPr>
          <w:rFonts w:ascii="Times New Roman" w:hAnsi="Times New Roman" w:cs="Times New Roman"/>
          <w:u w:val="single"/>
        </w:rPr>
        <w:t>and third</w:t>
      </w:r>
      <w:r w:rsidR="0091240E">
        <w:rPr>
          <w:rFonts w:ascii="Times New Roman" w:hAnsi="Times New Roman" w:cs="Times New Roman"/>
          <w:u w:val="single"/>
        </w:rPr>
        <w:t>-</w:t>
      </w:r>
      <w:r w:rsidR="00463D55">
        <w:rPr>
          <w:rFonts w:ascii="Times New Roman" w:hAnsi="Times New Roman" w:cs="Times New Roman"/>
          <w:u w:val="single"/>
        </w:rPr>
        <w:t>party lease d</w:t>
      </w:r>
      <w:r w:rsidRPr="00463D55">
        <w:rPr>
          <w:rFonts w:ascii="Times New Roman" w:hAnsi="Times New Roman" w:cs="Times New Roman"/>
          <w:u w:val="single"/>
        </w:rPr>
        <w:t>en</w:t>
      </w:r>
      <w:r w:rsidR="00463D55">
        <w:rPr>
          <w:rFonts w:ascii="Times New Roman" w:hAnsi="Times New Roman" w:cs="Times New Roman"/>
          <w:u w:val="single"/>
        </w:rPr>
        <w:t>y</w:t>
      </w:r>
      <w:r w:rsidRPr="00463D55">
        <w:rPr>
          <w:rFonts w:ascii="Times New Roman" w:hAnsi="Times New Roman" w:cs="Times New Roman"/>
          <w:u w:val="single"/>
        </w:rPr>
        <w:t xml:space="preserve"> the customer the full market value of its solar generation</w:t>
      </w:r>
      <w:r w:rsidR="00463D55">
        <w:rPr>
          <w:rFonts w:ascii="Times New Roman" w:hAnsi="Times New Roman" w:cs="Times New Roman"/>
          <w:u w:val="single"/>
        </w:rPr>
        <w:t xml:space="preserve"> when used in conjunction with a </w:t>
      </w:r>
      <w:r w:rsidR="000135CB">
        <w:rPr>
          <w:rFonts w:ascii="Times New Roman" w:hAnsi="Times New Roman" w:cs="Times New Roman"/>
          <w:u w:val="single"/>
        </w:rPr>
        <w:t>buy all/sell all (“</w:t>
      </w:r>
      <w:r w:rsidR="00463D55">
        <w:rPr>
          <w:rFonts w:ascii="Times New Roman" w:hAnsi="Times New Roman" w:cs="Times New Roman"/>
          <w:u w:val="single"/>
        </w:rPr>
        <w:t>BA/SA</w:t>
      </w:r>
      <w:r w:rsidR="000135CB">
        <w:rPr>
          <w:rFonts w:ascii="Times New Roman" w:hAnsi="Times New Roman" w:cs="Times New Roman"/>
          <w:u w:val="single"/>
        </w:rPr>
        <w:t>”)</w:t>
      </w:r>
      <w:r w:rsidR="00463D55">
        <w:rPr>
          <w:rFonts w:ascii="Times New Roman" w:hAnsi="Times New Roman" w:cs="Times New Roman"/>
          <w:u w:val="single"/>
        </w:rPr>
        <w:t xml:space="preserve"> PPA</w:t>
      </w:r>
      <w:r w:rsidRPr="00463D55">
        <w:rPr>
          <w:rFonts w:ascii="Times New Roman" w:hAnsi="Times New Roman" w:cs="Times New Roman"/>
          <w:u w:val="single"/>
        </w:rPr>
        <w:t>.</w:t>
      </w:r>
    </w:p>
    <w:p w14:paraId="79C466C5" w14:textId="77777777" w:rsidR="00A661E7" w:rsidRDefault="00A661E7" w:rsidP="00A661E7">
      <w:pPr>
        <w:pStyle w:val="selectionshareable"/>
        <w:shd w:val="clear" w:color="auto" w:fill="FFFFFF" w:themeFill="background1"/>
        <w:spacing w:before="0" w:beforeAutospacing="0" w:after="0" w:afterAutospacing="0"/>
        <w:jc w:val="both"/>
        <w:textAlignment w:val="baseline"/>
      </w:pPr>
    </w:p>
    <w:p w14:paraId="6905E438" w14:textId="06CF6A6D" w:rsidR="00A661E7" w:rsidRDefault="00A661E7" w:rsidP="00A661E7">
      <w:pPr>
        <w:pStyle w:val="selectionshareable"/>
        <w:shd w:val="clear" w:color="auto" w:fill="FFFFFF" w:themeFill="background1"/>
        <w:spacing w:before="0" w:beforeAutospacing="0" w:after="0" w:afterAutospacing="0" w:line="480" w:lineRule="auto"/>
        <w:jc w:val="both"/>
        <w:textAlignment w:val="baseline"/>
      </w:pPr>
      <w:r>
        <w:tab/>
      </w:r>
      <w:r w:rsidR="00463D55">
        <w:t>Both a</w:t>
      </w:r>
      <w:r>
        <w:t xml:space="preserve"> SEPA </w:t>
      </w:r>
      <w:r w:rsidR="00463D55">
        <w:t xml:space="preserve">and lease </w:t>
      </w:r>
      <w:r>
        <w:t>den</w:t>
      </w:r>
      <w:r w:rsidR="00463D55">
        <w:t>y</w:t>
      </w:r>
      <w:r>
        <w:t xml:space="preserve"> the customer the full market value of its solar generation when used in conjunction with a </w:t>
      </w:r>
      <w:r w:rsidR="00506EA0">
        <w:t xml:space="preserve">BA/SA </w:t>
      </w:r>
      <w:r>
        <w:t>PPA.  The Customer Connected PPA</w:t>
      </w:r>
      <w:r w:rsidR="0091240E">
        <w:t xml:space="preserve"> (like those in Group B and REDI)</w:t>
      </w:r>
      <w:r>
        <w:t xml:space="preserve"> requires th</w:t>
      </w:r>
      <w:r w:rsidR="00506EA0">
        <w:t xml:space="preserve">e customer </w:t>
      </w:r>
      <w:r>
        <w:t xml:space="preserve">to sell 100% of the Solar Output generated and delivered from the </w:t>
      </w:r>
      <w:r w:rsidR="00506EA0">
        <w:t>solar f</w:t>
      </w:r>
      <w:r>
        <w:t>acility</w:t>
      </w:r>
      <w:r w:rsidR="00506EA0">
        <w:t>,</w:t>
      </w:r>
      <w:r>
        <w:rPr>
          <w:rStyle w:val="FootnoteReference"/>
        </w:rPr>
        <w:footnoteReference w:id="34"/>
      </w:r>
      <w:r w:rsidR="00506EA0">
        <w:t xml:space="preserve"> </w:t>
      </w:r>
      <w:r>
        <w:t>prevent</w:t>
      </w:r>
      <w:r w:rsidR="00506EA0">
        <w:t>ing</w:t>
      </w:r>
      <w:r>
        <w:t xml:space="preserve"> the customer</w:t>
      </w:r>
      <w:r w:rsidR="00506EA0">
        <w:t xml:space="preserve"> from </w:t>
      </w:r>
      <w:r>
        <w:t>us</w:t>
      </w:r>
      <w:r w:rsidR="00506EA0">
        <w:t>ing</w:t>
      </w:r>
      <w:r>
        <w:t xml:space="preserve"> the electricity generated to offset its retail electric bill</w:t>
      </w:r>
      <w:r w:rsidR="00506EA0">
        <w:t xml:space="preserve">.  Simultaneously, the </w:t>
      </w:r>
      <w:r>
        <w:t xml:space="preserve">customer </w:t>
      </w:r>
      <w:r w:rsidR="00506EA0">
        <w:t xml:space="preserve">must continue </w:t>
      </w:r>
      <w:r>
        <w:t>to purchase all of its electricity from the Company at the tariffed retail rate. A diagram of the SEPA contractual arrangement proposed by the Company is shown on Exhibit “</w:t>
      </w:r>
      <w:r w:rsidR="0091240E">
        <w:t>F</w:t>
      </w:r>
      <w:r>
        <w:t>,” attached hereto.</w:t>
      </w:r>
    </w:p>
    <w:p w14:paraId="22111E66" w14:textId="1DA08082" w:rsidR="00A661E7" w:rsidRDefault="00A661E7" w:rsidP="00A661E7">
      <w:pPr>
        <w:pStyle w:val="selectionshareable"/>
        <w:shd w:val="clear" w:color="auto" w:fill="FFFFFF" w:themeFill="background1"/>
        <w:spacing w:before="0" w:beforeAutospacing="0" w:after="0" w:afterAutospacing="0" w:line="480" w:lineRule="auto"/>
        <w:ind w:firstLine="720"/>
        <w:jc w:val="both"/>
        <w:textAlignment w:val="baseline"/>
      </w:pPr>
      <w:r>
        <w:t xml:space="preserve">In the PPA, the customer is compensated for the solar facility’s generation at RCB </w:t>
      </w:r>
      <w:r w:rsidR="00506EA0">
        <w:t xml:space="preserve">avoided cost </w:t>
      </w:r>
      <w:r>
        <w:t xml:space="preserve">which is substantially less than the customer’s retail rate.  If the customer’s tariffed retail rate is $.12 per kWh, a traditional SEPA would allow the customer to reduce its electric costs by the “cost” of electricity that it no longer has to purchase from the Company at the retail rate.  In Customer Connected, the customer is compensated for energy generation by the amount of electricity delivered to Georgia Power at RCB -- $.03 per kWh in the PPA.  Under the traditional </w:t>
      </w:r>
      <w:r>
        <w:lastRenderedPageBreak/>
        <w:t>SEPA, the customer saves $.12.  Under Customer Connect</w:t>
      </w:r>
      <w:r w:rsidR="00833DD2">
        <w:t>ed</w:t>
      </w:r>
      <w:r>
        <w:t>, the customer is only paid $.03</w:t>
      </w:r>
      <w:r w:rsidR="00506EA0">
        <w:t>136</w:t>
      </w:r>
      <w:r>
        <w:t xml:space="preserve">, reducing the customer’s economic benefit of solar deployment by nearly 75%. </w:t>
      </w:r>
    </w:p>
    <w:p w14:paraId="05C7F1AB" w14:textId="4A61564E" w:rsidR="00A661E7" w:rsidRDefault="00506EA0" w:rsidP="00506EA0">
      <w:pPr>
        <w:pStyle w:val="OutlineL2"/>
        <w:widowControl w:val="0"/>
        <w:numPr>
          <w:ilvl w:val="0"/>
          <w:numId w:val="0"/>
        </w:numPr>
        <w:ind w:left="734"/>
        <w:rPr>
          <w:rFonts w:ascii="Times New Roman" w:hAnsi="Times New Roman"/>
          <w:b w:val="0"/>
        </w:rPr>
      </w:pPr>
      <w:r w:rsidRPr="00833DD2">
        <w:rPr>
          <w:rFonts w:ascii="Times New Roman" w:hAnsi="Times New Roman"/>
          <w:b w:val="0"/>
          <w:u w:val="none"/>
        </w:rPr>
        <w:t xml:space="preserve">2.  </w:t>
      </w:r>
      <w:r w:rsidR="00FB3A84">
        <w:rPr>
          <w:rFonts w:ascii="Times New Roman" w:hAnsi="Times New Roman"/>
          <w:b w:val="0"/>
        </w:rPr>
        <w:t>A t</w:t>
      </w:r>
      <w:r w:rsidR="00A661E7">
        <w:rPr>
          <w:rFonts w:ascii="Times New Roman" w:hAnsi="Times New Roman"/>
          <w:b w:val="0"/>
        </w:rPr>
        <w:t>hird-part</w:t>
      </w:r>
      <w:r w:rsidR="00FB3A84">
        <w:rPr>
          <w:rFonts w:ascii="Times New Roman" w:hAnsi="Times New Roman"/>
          <w:b w:val="0"/>
        </w:rPr>
        <w:t>y</w:t>
      </w:r>
      <w:r>
        <w:rPr>
          <w:rFonts w:ascii="Times New Roman" w:hAnsi="Times New Roman"/>
          <w:b w:val="0"/>
        </w:rPr>
        <w:t xml:space="preserve"> will not accept this economic risk</w:t>
      </w:r>
      <w:r w:rsidR="00A661E7">
        <w:rPr>
          <w:rFonts w:ascii="Times New Roman" w:hAnsi="Times New Roman"/>
          <w:b w:val="0"/>
        </w:rPr>
        <w:t>.</w:t>
      </w:r>
    </w:p>
    <w:p w14:paraId="4286EE48" w14:textId="1425D336" w:rsidR="00D230EF" w:rsidRDefault="00506EA0" w:rsidP="00D230EF">
      <w:pPr>
        <w:spacing w:after="0" w:line="480" w:lineRule="auto"/>
        <w:ind w:firstLine="720"/>
        <w:jc w:val="both"/>
        <w:rPr>
          <w:rFonts w:ascii="Times New Roman" w:hAnsi="Times New Roman" w:cs="Times New Roman"/>
        </w:rPr>
      </w:pPr>
      <w:r>
        <w:rPr>
          <w:rFonts w:ascii="Times New Roman" w:hAnsi="Times New Roman" w:cs="Times New Roman"/>
        </w:rPr>
        <w:t xml:space="preserve">Third parties will not accept the economic risk from either a SEPA or lease arrangement used in conjunction with a BA/SA PPA.  </w:t>
      </w:r>
      <w:r w:rsidR="00FB3A84">
        <w:rPr>
          <w:rFonts w:ascii="Times New Roman" w:hAnsi="Times New Roman" w:cs="Times New Roman"/>
        </w:rPr>
        <w:t xml:space="preserve">Third parties will </w:t>
      </w:r>
      <w:r w:rsidR="00A661E7">
        <w:rPr>
          <w:rFonts w:ascii="Times New Roman" w:hAnsi="Times New Roman" w:cs="Times New Roman"/>
        </w:rPr>
        <w:t>receiv</w:t>
      </w:r>
      <w:r w:rsidR="00FB3A84">
        <w:rPr>
          <w:rFonts w:ascii="Times New Roman" w:hAnsi="Times New Roman" w:cs="Times New Roman"/>
        </w:rPr>
        <w:t>e</w:t>
      </w:r>
      <w:r w:rsidR="00A661E7">
        <w:rPr>
          <w:rFonts w:ascii="Times New Roman" w:hAnsi="Times New Roman" w:cs="Times New Roman"/>
        </w:rPr>
        <w:t xml:space="preserve"> a wholesale rate of return while taking the risk of contracting with </w:t>
      </w:r>
      <w:r w:rsidR="00FB3A84">
        <w:rPr>
          <w:rFonts w:ascii="Times New Roman" w:hAnsi="Times New Roman" w:cs="Times New Roman"/>
        </w:rPr>
        <w:t xml:space="preserve">the Company’s </w:t>
      </w:r>
      <w:r w:rsidR="00A661E7">
        <w:rPr>
          <w:rFonts w:ascii="Times New Roman" w:hAnsi="Times New Roman" w:cs="Times New Roman"/>
        </w:rPr>
        <w:t>retail customer</w:t>
      </w:r>
      <w:r w:rsidR="00FB3A84">
        <w:rPr>
          <w:rFonts w:ascii="Times New Roman" w:hAnsi="Times New Roman" w:cs="Times New Roman"/>
        </w:rPr>
        <w:t xml:space="preserve">.  The third party risks a </w:t>
      </w:r>
      <w:r w:rsidR="00A661E7">
        <w:rPr>
          <w:rFonts w:ascii="Times New Roman" w:hAnsi="Times New Roman" w:cs="Times New Roman"/>
        </w:rPr>
        <w:t>double</w:t>
      </w:r>
      <w:r w:rsidR="0091240E">
        <w:rPr>
          <w:rFonts w:ascii="Times New Roman" w:hAnsi="Times New Roman" w:cs="Times New Roman"/>
        </w:rPr>
        <w:t xml:space="preserve"> default</w:t>
      </w:r>
      <w:r w:rsidR="00A661E7">
        <w:rPr>
          <w:rFonts w:ascii="Times New Roman" w:hAnsi="Times New Roman" w:cs="Times New Roman"/>
        </w:rPr>
        <w:t xml:space="preserve"> </w:t>
      </w:r>
      <w:r w:rsidR="00FB3A84">
        <w:rPr>
          <w:rFonts w:ascii="Times New Roman" w:hAnsi="Times New Roman" w:cs="Times New Roman"/>
        </w:rPr>
        <w:t xml:space="preserve">because either the customer or Georgia Power may </w:t>
      </w:r>
      <w:r w:rsidR="00A661E7">
        <w:rPr>
          <w:rFonts w:ascii="Times New Roman" w:hAnsi="Times New Roman" w:cs="Times New Roman"/>
        </w:rPr>
        <w:t xml:space="preserve">default </w:t>
      </w:r>
      <w:r w:rsidR="00FB3A84">
        <w:rPr>
          <w:rFonts w:ascii="Times New Roman" w:hAnsi="Times New Roman" w:cs="Times New Roman"/>
        </w:rPr>
        <w:t xml:space="preserve">under the PPA, and the customer may </w:t>
      </w:r>
      <w:r w:rsidR="00A661E7">
        <w:rPr>
          <w:rFonts w:ascii="Times New Roman" w:hAnsi="Times New Roman" w:cs="Times New Roman"/>
        </w:rPr>
        <w:t>default</w:t>
      </w:r>
      <w:r w:rsidR="00FB3A84">
        <w:rPr>
          <w:rFonts w:ascii="Times New Roman" w:hAnsi="Times New Roman" w:cs="Times New Roman"/>
        </w:rPr>
        <w:t xml:space="preserve"> under the SEPA or lease.   The third party is </w:t>
      </w:r>
      <w:r w:rsidR="00A661E7">
        <w:rPr>
          <w:rFonts w:ascii="Times New Roman" w:hAnsi="Times New Roman" w:cs="Times New Roman"/>
        </w:rPr>
        <w:t xml:space="preserve">not </w:t>
      </w:r>
      <w:r w:rsidR="00FB3A84">
        <w:rPr>
          <w:rFonts w:ascii="Times New Roman" w:hAnsi="Times New Roman" w:cs="Times New Roman"/>
        </w:rPr>
        <w:t>a</w:t>
      </w:r>
      <w:r w:rsidR="00A661E7">
        <w:rPr>
          <w:rFonts w:ascii="Times New Roman" w:hAnsi="Times New Roman" w:cs="Times New Roman"/>
        </w:rPr>
        <w:t xml:space="preserve"> party to the PPA or IA and therefore </w:t>
      </w:r>
      <w:r w:rsidR="00FB3A84">
        <w:rPr>
          <w:rFonts w:ascii="Times New Roman" w:hAnsi="Times New Roman" w:cs="Times New Roman"/>
        </w:rPr>
        <w:t xml:space="preserve">could not </w:t>
      </w:r>
      <w:r w:rsidR="00A661E7">
        <w:rPr>
          <w:rFonts w:ascii="Times New Roman" w:hAnsi="Times New Roman" w:cs="Times New Roman"/>
        </w:rPr>
        <w:t xml:space="preserve">continue to operate the </w:t>
      </w:r>
      <w:r w:rsidR="00FB3A84">
        <w:rPr>
          <w:rFonts w:ascii="Times New Roman" w:hAnsi="Times New Roman" w:cs="Times New Roman"/>
        </w:rPr>
        <w:t xml:space="preserve">solar facility </w:t>
      </w:r>
      <w:r w:rsidR="00A661E7">
        <w:rPr>
          <w:rFonts w:ascii="Times New Roman" w:hAnsi="Times New Roman" w:cs="Times New Roman"/>
        </w:rPr>
        <w:t xml:space="preserve">if the customer defaulted. </w:t>
      </w:r>
      <w:r w:rsidR="00FB3A84">
        <w:rPr>
          <w:rFonts w:ascii="Times New Roman" w:hAnsi="Times New Roman" w:cs="Times New Roman"/>
        </w:rPr>
        <w:t xml:space="preserve">  Finally, the third party</w:t>
      </w:r>
      <w:r w:rsidR="00D230EF">
        <w:rPr>
          <w:rFonts w:ascii="Times New Roman" w:hAnsi="Times New Roman" w:cs="Times New Roman"/>
        </w:rPr>
        <w:t xml:space="preserve">’s risk </w:t>
      </w:r>
      <w:r w:rsidR="00FB3A84">
        <w:rPr>
          <w:rFonts w:ascii="Times New Roman" w:hAnsi="Times New Roman" w:cs="Times New Roman"/>
        </w:rPr>
        <w:t xml:space="preserve">is </w:t>
      </w:r>
      <w:r w:rsidR="00D230EF">
        <w:rPr>
          <w:rFonts w:ascii="Times New Roman" w:hAnsi="Times New Roman" w:cs="Times New Roman"/>
        </w:rPr>
        <w:t>impacted if the customer tries to assign the PPA or sell the property.</w:t>
      </w:r>
      <w:r w:rsidR="00833DD2">
        <w:rPr>
          <w:rFonts w:ascii="Times New Roman" w:hAnsi="Times New Roman" w:cs="Times New Roman"/>
        </w:rPr>
        <w:t xml:space="preserve">  The third-party has no incentive to execute a SEPA with the customer.</w:t>
      </w:r>
    </w:p>
    <w:p w14:paraId="0E0806C5" w14:textId="24991BC7" w:rsidR="00D230EF" w:rsidRPr="00D230EF" w:rsidRDefault="001A69EA" w:rsidP="00D230EF">
      <w:pPr>
        <w:spacing w:after="0" w:line="480" w:lineRule="auto"/>
        <w:ind w:firstLine="720"/>
        <w:jc w:val="both"/>
        <w:rPr>
          <w:rFonts w:ascii="Times New Roman" w:hAnsi="Times New Roman" w:cs="Times New Roman"/>
          <w:u w:val="single"/>
        </w:rPr>
      </w:pPr>
      <w:r>
        <w:rPr>
          <w:rFonts w:ascii="Times New Roman" w:hAnsi="Times New Roman" w:cs="Times New Roman"/>
        </w:rPr>
        <w:t>3</w:t>
      </w:r>
      <w:r w:rsidR="00D230EF" w:rsidRPr="00833DD2">
        <w:rPr>
          <w:rFonts w:ascii="Times New Roman" w:hAnsi="Times New Roman" w:cs="Times New Roman"/>
        </w:rPr>
        <w:t xml:space="preserve">.  </w:t>
      </w:r>
      <w:r w:rsidR="00D230EF" w:rsidRPr="00D230EF">
        <w:rPr>
          <w:rFonts w:ascii="Times New Roman" w:hAnsi="Times New Roman" w:cs="Times New Roman"/>
          <w:u w:val="single"/>
        </w:rPr>
        <w:t xml:space="preserve">A SEPA makes a complex transaction more complex.  </w:t>
      </w:r>
    </w:p>
    <w:p w14:paraId="01FD0C19" w14:textId="7C7BCF09" w:rsidR="00BE3351" w:rsidRDefault="001B0CCA" w:rsidP="00BE3351">
      <w:pPr>
        <w:spacing w:after="0" w:line="480" w:lineRule="auto"/>
        <w:ind w:firstLine="720"/>
        <w:jc w:val="both"/>
        <w:rPr>
          <w:rFonts w:ascii="Times New Roman" w:hAnsi="Times New Roman" w:cs="Times New Roman"/>
        </w:rPr>
      </w:pPr>
      <w:r>
        <w:rPr>
          <w:rFonts w:ascii="Times New Roman" w:hAnsi="Times New Roman" w:cs="Times New Roman"/>
        </w:rPr>
        <w:t>With both a PPA and SEPA</w:t>
      </w:r>
      <w:r w:rsidR="00976C39">
        <w:rPr>
          <w:rFonts w:ascii="Times New Roman" w:hAnsi="Times New Roman" w:cs="Times New Roman"/>
        </w:rPr>
        <w:t xml:space="preserve">, the project becomes </w:t>
      </w:r>
      <w:r>
        <w:rPr>
          <w:rFonts w:ascii="Times New Roman" w:hAnsi="Times New Roman" w:cs="Times New Roman"/>
        </w:rPr>
        <w:t xml:space="preserve">even </w:t>
      </w:r>
      <w:r w:rsidR="00976C39">
        <w:rPr>
          <w:rFonts w:ascii="Times New Roman" w:hAnsi="Times New Roman" w:cs="Times New Roman"/>
        </w:rPr>
        <w:t>more complex</w:t>
      </w:r>
      <w:r w:rsidR="0099679F">
        <w:rPr>
          <w:rFonts w:ascii="Times New Roman" w:hAnsi="Times New Roman" w:cs="Times New Roman"/>
        </w:rPr>
        <w:t xml:space="preserve"> for t</w:t>
      </w:r>
      <w:r w:rsidR="00976C39">
        <w:rPr>
          <w:rFonts w:ascii="Times New Roman" w:hAnsi="Times New Roman" w:cs="Times New Roman"/>
        </w:rPr>
        <w:t>he customer</w:t>
      </w:r>
      <w:r w:rsidR="00A21141">
        <w:rPr>
          <w:rFonts w:ascii="Times New Roman" w:hAnsi="Times New Roman" w:cs="Times New Roman"/>
        </w:rPr>
        <w:t xml:space="preserve"> who</w:t>
      </w:r>
      <w:r w:rsidR="00976C39">
        <w:rPr>
          <w:rFonts w:ascii="Times New Roman" w:hAnsi="Times New Roman" w:cs="Times New Roman"/>
        </w:rPr>
        <w:t xml:space="preserve"> must understand </w:t>
      </w:r>
      <w:r>
        <w:rPr>
          <w:rFonts w:ascii="Times New Roman" w:hAnsi="Times New Roman" w:cs="Times New Roman"/>
        </w:rPr>
        <w:t xml:space="preserve">and comply with </w:t>
      </w:r>
      <w:r w:rsidR="00976C39">
        <w:rPr>
          <w:rFonts w:ascii="Times New Roman" w:hAnsi="Times New Roman" w:cs="Times New Roman"/>
        </w:rPr>
        <w:t>both contract</w:t>
      </w:r>
      <w:r>
        <w:rPr>
          <w:rFonts w:ascii="Times New Roman" w:hAnsi="Times New Roman" w:cs="Times New Roman"/>
        </w:rPr>
        <w:t xml:space="preserve">s.  </w:t>
      </w:r>
      <w:r w:rsidR="00976C39">
        <w:rPr>
          <w:rFonts w:ascii="Times New Roman" w:hAnsi="Times New Roman" w:cs="Times New Roman"/>
        </w:rPr>
        <w:t xml:space="preserve">A properly drafted SEPA addresses the sale of energy from the third party to the customer in the same manner as the PPA governs the sale of energy to the Company.   </w:t>
      </w:r>
      <w:r w:rsidR="00976C39">
        <w:rPr>
          <w:rFonts w:ascii="Times New Roman" w:hAnsi="Times New Roman" w:cs="Times New Roman"/>
          <w:caps/>
        </w:rPr>
        <w:t xml:space="preserve">A </w:t>
      </w:r>
      <w:r w:rsidR="00976C39">
        <w:rPr>
          <w:rFonts w:ascii="Times New Roman" w:hAnsi="Times New Roman" w:cs="Times New Roman"/>
        </w:rPr>
        <w:t>SEPA is also highly technical, and it can be lengthy.</w:t>
      </w:r>
      <w:r w:rsidR="00FD3BB2">
        <w:rPr>
          <w:rStyle w:val="FootnoteReference"/>
          <w:rFonts w:ascii="Times New Roman" w:hAnsi="Times New Roman" w:cs="Times New Roman"/>
        </w:rPr>
        <w:footnoteReference w:id="35"/>
      </w:r>
      <w:r w:rsidR="00976C39">
        <w:rPr>
          <w:rFonts w:ascii="Times New Roman" w:hAnsi="Times New Roman" w:cs="Times New Roman"/>
        </w:rPr>
        <w:t xml:space="preserve">  The customer must </w:t>
      </w:r>
      <w:r>
        <w:rPr>
          <w:rFonts w:ascii="Times New Roman" w:hAnsi="Times New Roman" w:cs="Times New Roman"/>
        </w:rPr>
        <w:t xml:space="preserve">now navigate </w:t>
      </w:r>
      <w:r w:rsidR="00976C39">
        <w:rPr>
          <w:rFonts w:ascii="Times New Roman" w:hAnsi="Times New Roman" w:cs="Times New Roman"/>
        </w:rPr>
        <w:t>between two (2) complex contracts</w:t>
      </w:r>
      <w:r>
        <w:rPr>
          <w:rFonts w:ascii="Times New Roman" w:hAnsi="Times New Roman" w:cs="Times New Roman"/>
        </w:rPr>
        <w:t xml:space="preserve"> </w:t>
      </w:r>
      <w:r w:rsidR="00650DDF">
        <w:rPr>
          <w:rFonts w:ascii="Times New Roman" w:hAnsi="Times New Roman" w:cs="Times New Roman"/>
        </w:rPr>
        <w:t xml:space="preserve">and understand the terms of both, </w:t>
      </w:r>
      <w:r w:rsidR="0099679F">
        <w:rPr>
          <w:rFonts w:ascii="Times New Roman" w:hAnsi="Times New Roman" w:cs="Times New Roman"/>
        </w:rPr>
        <w:t>yet another deterrent to the customer</w:t>
      </w:r>
      <w:r w:rsidR="00650DDF">
        <w:rPr>
          <w:rFonts w:ascii="Times New Roman" w:hAnsi="Times New Roman" w:cs="Times New Roman"/>
        </w:rPr>
        <w:t>’s deployment</w:t>
      </w:r>
      <w:r w:rsidR="0099679F">
        <w:rPr>
          <w:rFonts w:ascii="Times New Roman" w:hAnsi="Times New Roman" w:cs="Times New Roman"/>
        </w:rPr>
        <w:t>.</w:t>
      </w:r>
    </w:p>
    <w:p w14:paraId="5C4FFB84" w14:textId="34A7EDEB" w:rsidR="00650DDF" w:rsidRPr="007B19CE" w:rsidRDefault="001A69EA" w:rsidP="008954D0">
      <w:pPr>
        <w:widowControl w:val="0"/>
        <w:spacing w:after="0" w:line="480" w:lineRule="auto"/>
        <w:ind w:firstLine="720"/>
        <w:jc w:val="both"/>
        <w:rPr>
          <w:rFonts w:ascii="Times New Roman" w:hAnsi="Times New Roman" w:cs="Times New Roman"/>
        </w:rPr>
      </w:pPr>
      <w:r>
        <w:rPr>
          <w:rFonts w:ascii="Times New Roman" w:hAnsi="Times New Roman" w:cs="Times New Roman"/>
        </w:rPr>
        <w:t>4</w:t>
      </w:r>
      <w:r w:rsidR="00D230EF">
        <w:rPr>
          <w:rFonts w:ascii="Times New Roman" w:hAnsi="Times New Roman" w:cs="Times New Roman"/>
        </w:rPr>
        <w:t xml:space="preserve">.  </w:t>
      </w:r>
      <w:r w:rsidR="00A21141" w:rsidRPr="007B19CE">
        <w:rPr>
          <w:rFonts w:ascii="Times New Roman" w:hAnsi="Times New Roman" w:cs="Times New Roman"/>
          <w:u w:val="single"/>
        </w:rPr>
        <w:t>A</w:t>
      </w:r>
      <w:r w:rsidR="00650DDF" w:rsidRPr="007B19CE">
        <w:rPr>
          <w:rFonts w:ascii="Times New Roman" w:hAnsi="Times New Roman" w:cs="Times New Roman"/>
          <w:u w:val="single"/>
        </w:rPr>
        <w:t xml:space="preserve"> SEPA will violate the PPA requirement that the IA be signed by the customer.</w:t>
      </w:r>
    </w:p>
    <w:p w14:paraId="2870FB23" w14:textId="17641CF2" w:rsidR="005B7EE5" w:rsidRDefault="00650DDF" w:rsidP="008954D0">
      <w:pPr>
        <w:widowControl w:val="0"/>
        <w:spacing w:after="0" w:line="480" w:lineRule="auto"/>
        <w:jc w:val="both"/>
        <w:rPr>
          <w:rFonts w:ascii="Times New Roman" w:hAnsi="Times New Roman" w:cs="Times New Roman"/>
        </w:rPr>
      </w:pPr>
      <w:r w:rsidRPr="005B7EE5">
        <w:rPr>
          <w:rFonts w:ascii="Times New Roman" w:hAnsi="Times New Roman" w:cs="Times New Roman"/>
        </w:rPr>
        <w:tab/>
        <w:t>Under the PPA, the customer must execute the IA</w:t>
      </w:r>
      <w:r w:rsidRPr="005B7EE5">
        <w:rPr>
          <w:rStyle w:val="FootnoteReference"/>
          <w:rFonts w:ascii="Times New Roman" w:hAnsi="Times New Roman" w:cs="Times New Roman"/>
        </w:rPr>
        <w:footnoteReference w:id="36"/>
      </w:r>
      <w:r w:rsidRPr="005B7EE5">
        <w:rPr>
          <w:rFonts w:ascii="Times New Roman" w:hAnsi="Times New Roman" w:cs="Times New Roman"/>
        </w:rPr>
        <w:t xml:space="preserve"> and remain the signatory for the term </w:t>
      </w:r>
      <w:r w:rsidRPr="005B7EE5">
        <w:rPr>
          <w:rFonts w:ascii="Times New Roman" w:hAnsi="Times New Roman" w:cs="Times New Roman"/>
        </w:rPr>
        <w:lastRenderedPageBreak/>
        <w:t>of the PPA.</w:t>
      </w:r>
      <w:r w:rsidRPr="005B7EE5">
        <w:rPr>
          <w:rStyle w:val="FootnoteReference"/>
          <w:rFonts w:ascii="Times New Roman" w:hAnsi="Times New Roman" w:cs="Times New Roman"/>
        </w:rPr>
        <w:footnoteReference w:id="37"/>
      </w:r>
      <w:r w:rsidRPr="005B7EE5">
        <w:rPr>
          <w:rFonts w:ascii="Times New Roman" w:hAnsi="Times New Roman" w:cs="Times New Roman"/>
        </w:rPr>
        <w:t xml:space="preserve">  Under a SEPA, the solar facility </w:t>
      </w:r>
      <w:r w:rsidR="00BE3351">
        <w:rPr>
          <w:rFonts w:ascii="Times New Roman" w:hAnsi="Times New Roman" w:cs="Times New Roman"/>
        </w:rPr>
        <w:t xml:space="preserve">is usually </w:t>
      </w:r>
      <w:r w:rsidRPr="005B7EE5">
        <w:rPr>
          <w:rFonts w:ascii="Times New Roman" w:hAnsi="Times New Roman" w:cs="Times New Roman"/>
        </w:rPr>
        <w:t>owned by a third-party.  As owner, the third-party is responsible for interconnection and execut</w:t>
      </w:r>
      <w:r w:rsidR="00A21141">
        <w:rPr>
          <w:rFonts w:ascii="Times New Roman" w:hAnsi="Times New Roman" w:cs="Times New Roman"/>
        </w:rPr>
        <w:t xml:space="preserve">ion of </w:t>
      </w:r>
      <w:r w:rsidRPr="005B7EE5">
        <w:rPr>
          <w:rFonts w:ascii="Times New Roman" w:hAnsi="Times New Roman" w:cs="Times New Roman"/>
        </w:rPr>
        <w:t xml:space="preserve">the IA.  Here, the customer is required to be </w:t>
      </w:r>
      <w:r w:rsidR="00833DD2">
        <w:rPr>
          <w:rFonts w:ascii="Times New Roman" w:hAnsi="Times New Roman" w:cs="Times New Roman"/>
        </w:rPr>
        <w:t>the</w:t>
      </w:r>
      <w:r w:rsidRPr="005B7EE5">
        <w:rPr>
          <w:rFonts w:ascii="Times New Roman" w:hAnsi="Times New Roman" w:cs="Times New Roman"/>
        </w:rPr>
        <w:t xml:space="preserve"> party to the IA to interconnect a solar facility </w:t>
      </w:r>
      <w:r w:rsidR="00A21141">
        <w:rPr>
          <w:rFonts w:ascii="Times New Roman" w:hAnsi="Times New Roman" w:cs="Times New Roman"/>
        </w:rPr>
        <w:t xml:space="preserve">which is subject of a SEPA </w:t>
      </w:r>
      <w:r w:rsidRPr="005B7EE5">
        <w:rPr>
          <w:rFonts w:ascii="Times New Roman" w:hAnsi="Times New Roman" w:cs="Times New Roman"/>
        </w:rPr>
        <w:t xml:space="preserve">that the customer </w:t>
      </w:r>
      <w:r w:rsidR="00BE3351">
        <w:rPr>
          <w:rFonts w:ascii="Times New Roman" w:hAnsi="Times New Roman" w:cs="Times New Roman"/>
        </w:rPr>
        <w:t>may</w:t>
      </w:r>
      <w:r w:rsidRPr="005B7EE5">
        <w:rPr>
          <w:rFonts w:ascii="Times New Roman" w:hAnsi="Times New Roman" w:cs="Times New Roman"/>
        </w:rPr>
        <w:t xml:space="preserve"> not own.  This is another reason that a SEPA </w:t>
      </w:r>
      <w:r w:rsidR="00BE3351">
        <w:rPr>
          <w:rFonts w:ascii="Times New Roman" w:hAnsi="Times New Roman" w:cs="Times New Roman"/>
        </w:rPr>
        <w:t xml:space="preserve">does </w:t>
      </w:r>
      <w:r w:rsidRPr="005B7EE5">
        <w:rPr>
          <w:rFonts w:ascii="Times New Roman" w:hAnsi="Times New Roman" w:cs="Times New Roman"/>
        </w:rPr>
        <w:t>not work in conjunction with a BA/SA PPA.  For all of these reasons, a SEPA will no</w:t>
      </w:r>
      <w:r w:rsidR="00A21141">
        <w:rPr>
          <w:rFonts w:ascii="Times New Roman" w:hAnsi="Times New Roman" w:cs="Times New Roman"/>
        </w:rPr>
        <w:t>t</w:t>
      </w:r>
      <w:r w:rsidRPr="005B7EE5">
        <w:rPr>
          <w:rFonts w:ascii="Times New Roman" w:hAnsi="Times New Roman" w:cs="Times New Roman"/>
        </w:rPr>
        <w:t xml:space="preserve"> benefit the customer in Customer Connected. </w:t>
      </w:r>
    </w:p>
    <w:p w14:paraId="71B92341" w14:textId="43C86384" w:rsidR="00967AD3" w:rsidRPr="00546ACE" w:rsidRDefault="004768D7" w:rsidP="00546ACE">
      <w:pPr>
        <w:spacing w:after="0" w:line="480" w:lineRule="auto"/>
        <w:jc w:val="center"/>
        <w:rPr>
          <w:rFonts w:ascii="Times New Roman" w:hAnsi="Times New Roman" w:cs="Times New Roman"/>
          <w:b/>
          <w:bCs/>
        </w:rPr>
      </w:pPr>
      <w:r>
        <w:rPr>
          <w:rFonts w:ascii="Times New Roman" w:hAnsi="Times New Roman" w:cs="Times New Roman"/>
          <w:b/>
          <w:bCs/>
        </w:rPr>
        <w:t>C</w:t>
      </w:r>
      <w:r w:rsidR="00D230EF">
        <w:rPr>
          <w:rFonts w:ascii="Times New Roman" w:hAnsi="Times New Roman" w:cs="Times New Roman"/>
          <w:b/>
          <w:bCs/>
        </w:rPr>
        <w:t xml:space="preserve">.  </w:t>
      </w:r>
      <w:r w:rsidR="00967AD3">
        <w:rPr>
          <w:rFonts w:ascii="Times New Roman" w:hAnsi="Times New Roman" w:cs="Times New Roman"/>
          <w:b/>
          <w:bCs/>
        </w:rPr>
        <w:t>T</w:t>
      </w:r>
      <w:r w:rsidR="00D230EF">
        <w:rPr>
          <w:rFonts w:ascii="Times New Roman" w:hAnsi="Times New Roman" w:cs="Times New Roman"/>
          <w:b/>
          <w:bCs/>
        </w:rPr>
        <w:t>he purchase price paid for generation is not supportable</w:t>
      </w:r>
      <w:r w:rsidR="00967AD3">
        <w:rPr>
          <w:rFonts w:ascii="Times New Roman" w:hAnsi="Times New Roman" w:cs="Times New Roman"/>
          <w:b/>
          <w:bCs/>
        </w:rPr>
        <w:t>.</w:t>
      </w:r>
    </w:p>
    <w:p w14:paraId="0CF2109B" w14:textId="41B3B778" w:rsidR="00146FA2" w:rsidRDefault="00CB5D7E" w:rsidP="00B84D49">
      <w:pPr>
        <w:spacing w:after="0" w:line="480" w:lineRule="auto"/>
        <w:ind w:firstLine="720"/>
        <w:jc w:val="both"/>
        <w:rPr>
          <w:rFonts w:ascii="Times New Roman" w:hAnsi="Times New Roman" w:cs="Times New Roman"/>
        </w:rPr>
      </w:pPr>
      <w:r w:rsidRPr="00EC1DDB">
        <w:rPr>
          <w:rFonts w:ascii="Times New Roman" w:hAnsi="Times New Roman" w:cs="Times New Roman"/>
        </w:rPr>
        <w:t>Given all of the contractual obligations that the Guidelines and PPA impose on the customer, nothing impacts the customer</w:t>
      </w:r>
      <w:r w:rsidRPr="005D11D9">
        <w:rPr>
          <w:rFonts w:ascii="Times New Roman" w:hAnsi="Times New Roman" w:cs="Times New Roman"/>
        </w:rPr>
        <w:t>’</w:t>
      </w:r>
      <w:r w:rsidRPr="00D24BCB">
        <w:rPr>
          <w:rFonts w:ascii="Times New Roman" w:hAnsi="Times New Roman" w:cs="Times New Roman"/>
        </w:rPr>
        <w:t xml:space="preserve">s interest </w:t>
      </w:r>
      <w:r w:rsidR="00C44674">
        <w:rPr>
          <w:rFonts w:ascii="Times New Roman" w:hAnsi="Times New Roman" w:cs="Times New Roman"/>
        </w:rPr>
        <w:t xml:space="preserve">and project feasibility </w:t>
      </w:r>
      <w:r w:rsidRPr="00D24BCB">
        <w:rPr>
          <w:rFonts w:ascii="Times New Roman" w:hAnsi="Times New Roman" w:cs="Times New Roman"/>
        </w:rPr>
        <w:t>more than the price paid by the C</w:t>
      </w:r>
      <w:r w:rsidRPr="006810E0">
        <w:rPr>
          <w:rFonts w:ascii="Times New Roman" w:hAnsi="Times New Roman" w:cs="Times New Roman"/>
        </w:rPr>
        <w:t>ompany</w:t>
      </w:r>
      <w:r w:rsidRPr="00957A40">
        <w:rPr>
          <w:rFonts w:ascii="Times New Roman" w:hAnsi="Times New Roman" w:cs="Times New Roman"/>
        </w:rPr>
        <w:t xml:space="preserve"> for generation from the solar facility.  </w:t>
      </w:r>
      <w:r>
        <w:rPr>
          <w:rFonts w:ascii="Times New Roman" w:hAnsi="Times New Roman" w:cs="Times New Roman"/>
        </w:rPr>
        <w:t xml:space="preserve"> </w:t>
      </w:r>
      <w:r w:rsidR="00C44674">
        <w:rPr>
          <w:rFonts w:ascii="Times New Roman" w:hAnsi="Times New Roman" w:cs="Times New Roman"/>
        </w:rPr>
        <w:t>C</w:t>
      </w:r>
      <w:r>
        <w:rPr>
          <w:rFonts w:ascii="Times New Roman" w:hAnsi="Times New Roman" w:cs="Times New Roman"/>
        </w:rPr>
        <w:t xml:space="preserve">ompensation </w:t>
      </w:r>
      <w:r w:rsidRPr="00CB5D7E">
        <w:rPr>
          <w:rFonts w:ascii="Times New Roman" w:hAnsi="Times New Roman" w:cs="Times New Roman"/>
        </w:rPr>
        <w:t xml:space="preserve">in Group B </w:t>
      </w:r>
      <w:r>
        <w:rPr>
          <w:rFonts w:ascii="Times New Roman" w:hAnsi="Times New Roman" w:cs="Times New Roman"/>
        </w:rPr>
        <w:t xml:space="preserve">started at </w:t>
      </w:r>
      <w:r w:rsidR="00C44674">
        <w:rPr>
          <w:rFonts w:ascii="Times New Roman" w:hAnsi="Times New Roman" w:cs="Times New Roman"/>
        </w:rPr>
        <w:t>$.0618 in 2016 and rose to $.2489</w:t>
      </w:r>
      <w:r w:rsidR="00C501CD">
        <w:rPr>
          <w:rStyle w:val="FootnoteReference"/>
          <w:rFonts w:ascii="Times New Roman" w:hAnsi="Times New Roman" w:cs="Times New Roman"/>
        </w:rPr>
        <w:footnoteReference w:id="38"/>
      </w:r>
      <w:r w:rsidR="00C44674">
        <w:rPr>
          <w:rFonts w:ascii="Times New Roman" w:hAnsi="Times New Roman" w:cs="Times New Roman"/>
        </w:rPr>
        <w:t xml:space="preserve"> in 2050</w:t>
      </w:r>
      <w:r>
        <w:rPr>
          <w:rFonts w:ascii="Times New Roman" w:hAnsi="Times New Roman" w:cs="Times New Roman"/>
        </w:rPr>
        <w:t>.  In Customer Connected, it will start at $.03</w:t>
      </w:r>
      <w:r w:rsidR="00833DD2">
        <w:rPr>
          <w:rFonts w:ascii="Times New Roman" w:hAnsi="Times New Roman" w:cs="Times New Roman"/>
        </w:rPr>
        <w:t>136</w:t>
      </w:r>
      <w:r w:rsidR="00C44674">
        <w:rPr>
          <w:rFonts w:ascii="Times New Roman" w:hAnsi="Times New Roman" w:cs="Times New Roman"/>
        </w:rPr>
        <w:t xml:space="preserve"> and rise to $0.10678 in 2050.</w:t>
      </w:r>
      <w:r w:rsidR="00146FA2">
        <w:rPr>
          <w:rStyle w:val="FootnoteReference"/>
          <w:rFonts w:ascii="Times New Roman" w:hAnsi="Times New Roman" w:cs="Times New Roman"/>
        </w:rPr>
        <w:footnoteReference w:id="39"/>
      </w:r>
      <w:r w:rsidR="00146FA2">
        <w:rPr>
          <w:rFonts w:ascii="Times New Roman" w:hAnsi="Times New Roman" w:cs="Times New Roman"/>
        </w:rPr>
        <w:t xml:space="preserve">  </w:t>
      </w:r>
      <w:r w:rsidR="00FF779D">
        <w:rPr>
          <w:rFonts w:ascii="Times New Roman" w:hAnsi="Times New Roman" w:cs="Times New Roman"/>
        </w:rPr>
        <w:t>P</w:t>
      </w:r>
      <w:r w:rsidR="00146FA2">
        <w:rPr>
          <w:rFonts w:ascii="Times New Roman" w:hAnsi="Times New Roman" w:cs="Times New Roman"/>
        </w:rPr>
        <w:t xml:space="preserve">ricing is </w:t>
      </w:r>
      <w:r w:rsidR="00AA15AE">
        <w:rPr>
          <w:rFonts w:ascii="Times New Roman" w:hAnsi="Times New Roman" w:cs="Times New Roman"/>
        </w:rPr>
        <w:t xml:space="preserve">based on </w:t>
      </w:r>
      <w:r w:rsidR="00146FA2">
        <w:rPr>
          <w:rFonts w:ascii="Times New Roman" w:hAnsi="Times New Roman" w:cs="Times New Roman"/>
        </w:rPr>
        <w:t xml:space="preserve">RCB which </w:t>
      </w:r>
      <w:r w:rsidR="00AA15AE">
        <w:rPr>
          <w:rFonts w:ascii="Times New Roman" w:hAnsi="Times New Roman" w:cs="Times New Roman"/>
        </w:rPr>
        <w:t>builds on</w:t>
      </w:r>
      <w:r w:rsidR="00146FA2">
        <w:rPr>
          <w:rFonts w:ascii="Times New Roman" w:hAnsi="Times New Roman" w:cs="Times New Roman"/>
        </w:rPr>
        <w:t xml:space="preserve"> PURPA avoided cost.  Pricing history in the Company’s programs is shown in </w:t>
      </w:r>
      <w:r w:rsidR="005B7EE5">
        <w:rPr>
          <w:rFonts w:ascii="Times New Roman" w:hAnsi="Times New Roman" w:cs="Times New Roman"/>
        </w:rPr>
        <w:t>the chart below:</w:t>
      </w:r>
    </w:p>
    <w:p w14:paraId="22DBECCE" w14:textId="77777777" w:rsidR="00C44674" w:rsidRDefault="00C44674" w:rsidP="00833DD2">
      <w:pPr>
        <w:widowControl w:val="0"/>
        <w:spacing w:after="0" w:line="480" w:lineRule="auto"/>
        <w:ind w:firstLine="720"/>
        <w:jc w:val="both"/>
        <w:rPr>
          <w:rFonts w:ascii="Times New Roman" w:hAnsi="Times New Roman" w:cs="Times New Roman"/>
        </w:rPr>
      </w:pPr>
    </w:p>
    <w:p w14:paraId="1A4A0C16" w14:textId="065268D9" w:rsidR="005B7EE5" w:rsidRDefault="00C44674" w:rsidP="00043E25">
      <w:pPr>
        <w:widowControl w:val="0"/>
        <w:spacing w:after="0" w:line="480" w:lineRule="auto"/>
        <w:jc w:val="both"/>
        <w:rPr>
          <w:rFonts w:ascii="Times New Roman" w:hAnsi="Times New Roman" w:cs="Times New Roman"/>
        </w:rPr>
      </w:pPr>
      <w:r>
        <w:rPr>
          <w:noProof/>
        </w:rPr>
        <w:lastRenderedPageBreak/>
        <w:drawing>
          <wp:inline distT="0" distB="0" distL="0" distR="0" wp14:anchorId="228CF66B" wp14:editId="338DB20A">
            <wp:extent cx="5867400" cy="3710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7400" cy="3710940"/>
                    </a:xfrm>
                    <a:prstGeom prst="rect">
                      <a:avLst/>
                    </a:prstGeom>
                  </pic:spPr>
                </pic:pic>
              </a:graphicData>
            </a:graphic>
          </wp:inline>
        </w:drawing>
      </w:r>
    </w:p>
    <w:p w14:paraId="11CE4FF6" w14:textId="6E983378" w:rsidR="00D24BCB" w:rsidRDefault="00146FA2" w:rsidP="00FA5CA7">
      <w:pPr>
        <w:spacing w:after="0" w:line="480" w:lineRule="auto"/>
        <w:jc w:val="both"/>
        <w:rPr>
          <w:rFonts w:ascii="Times New Roman" w:hAnsi="Times New Roman" w:cs="Times New Roman"/>
        </w:rPr>
      </w:pPr>
      <w:r>
        <w:rPr>
          <w:rFonts w:ascii="Times New Roman" w:hAnsi="Times New Roman" w:cs="Times New Roman"/>
        </w:rPr>
        <w:t xml:space="preserve">As shown, </w:t>
      </w:r>
      <w:r w:rsidR="00FA5CA7">
        <w:rPr>
          <w:rFonts w:ascii="Times New Roman" w:hAnsi="Times New Roman" w:cs="Times New Roman"/>
        </w:rPr>
        <w:t xml:space="preserve">the </w:t>
      </w:r>
      <w:r>
        <w:rPr>
          <w:rFonts w:ascii="Times New Roman" w:hAnsi="Times New Roman" w:cs="Times New Roman"/>
        </w:rPr>
        <w:t>pric</w:t>
      </w:r>
      <w:r w:rsidR="00FA5CA7">
        <w:rPr>
          <w:rFonts w:ascii="Times New Roman" w:hAnsi="Times New Roman" w:cs="Times New Roman"/>
        </w:rPr>
        <w:t>e</w:t>
      </w:r>
      <w:r>
        <w:rPr>
          <w:rFonts w:ascii="Times New Roman" w:hAnsi="Times New Roman" w:cs="Times New Roman"/>
        </w:rPr>
        <w:t xml:space="preserve"> </w:t>
      </w:r>
      <w:r w:rsidR="00FA5CA7">
        <w:rPr>
          <w:rFonts w:ascii="Times New Roman" w:hAnsi="Times New Roman" w:cs="Times New Roman"/>
        </w:rPr>
        <w:t xml:space="preserve">(which is based on declines in RCB avoided cost) </w:t>
      </w:r>
      <w:r>
        <w:rPr>
          <w:rFonts w:ascii="Times New Roman" w:hAnsi="Times New Roman" w:cs="Times New Roman"/>
        </w:rPr>
        <w:t xml:space="preserve">has declined </w:t>
      </w:r>
      <w:r w:rsidR="00C44674">
        <w:rPr>
          <w:rFonts w:ascii="Times New Roman" w:hAnsi="Times New Roman" w:cs="Times New Roman"/>
        </w:rPr>
        <w:t>an average of almost</w:t>
      </w:r>
      <w:r>
        <w:rPr>
          <w:rFonts w:ascii="Times New Roman" w:hAnsi="Times New Roman" w:cs="Times New Roman"/>
        </w:rPr>
        <w:t xml:space="preserve"> 40% just since projects were selected in REDI</w:t>
      </w:r>
      <w:r w:rsidR="00C44674">
        <w:rPr>
          <w:rFonts w:ascii="Times New Roman" w:hAnsi="Times New Roman" w:cs="Times New Roman"/>
        </w:rPr>
        <w:t>, much more since Group B</w:t>
      </w:r>
      <w:r>
        <w:rPr>
          <w:rFonts w:ascii="Times New Roman" w:hAnsi="Times New Roman" w:cs="Times New Roman"/>
        </w:rPr>
        <w:t>.</w:t>
      </w:r>
      <w:r w:rsidR="00C44674">
        <w:rPr>
          <w:rFonts w:ascii="Times New Roman" w:hAnsi="Times New Roman" w:cs="Times New Roman"/>
        </w:rPr>
        <w:t xml:space="preserve"> </w:t>
      </w:r>
      <w:r w:rsidR="00C501CD">
        <w:rPr>
          <w:rFonts w:ascii="Times New Roman" w:hAnsi="Times New Roman" w:cs="Times New Roman"/>
        </w:rPr>
        <w:t xml:space="preserve"> A price comparison is shown on Exhibit “G,” attached hereto. </w:t>
      </w:r>
      <w:r w:rsidR="00C44674">
        <w:rPr>
          <w:rFonts w:ascii="Times New Roman" w:hAnsi="Times New Roman" w:cs="Times New Roman"/>
        </w:rPr>
        <w:t xml:space="preserve"> This is troubling since the </w:t>
      </w:r>
      <w:r w:rsidR="00EC1DDB">
        <w:rPr>
          <w:rFonts w:ascii="Times New Roman" w:hAnsi="Times New Roman" w:cs="Times New Roman"/>
        </w:rPr>
        <w:t>Company’s rate</w:t>
      </w:r>
      <w:r w:rsidR="00C44674">
        <w:rPr>
          <w:rFonts w:ascii="Times New Roman" w:hAnsi="Times New Roman" w:cs="Times New Roman"/>
        </w:rPr>
        <w:t>s</w:t>
      </w:r>
      <w:r w:rsidR="00EC1DDB">
        <w:rPr>
          <w:rFonts w:ascii="Times New Roman" w:hAnsi="Times New Roman" w:cs="Times New Roman"/>
        </w:rPr>
        <w:t xml:space="preserve"> </w:t>
      </w:r>
      <w:r w:rsidR="00C44674">
        <w:rPr>
          <w:rFonts w:ascii="Times New Roman" w:hAnsi="Times New Roman" w:cs="Times New Roman"/>
        </w:rPr>
        <w:t xml:space="preserve">have not </w:t>
      </w:r>
      <w:r w:rsidR="00FA5CA7">
        <w:rPr>
          <w:rFonts w:ascii="Times New Roman" w:hAnsi="Times New Roman" w:cs="Times New Roman"/>
        </w:rPr>
        <w:t>similarly</w:t>
      </w:r>
      <w:r w:rsidR="00C44674">
        <w:rPr>
          <w:rFonts w:ascii="Times New Roman" w:hAnsi="Times New Roman" w:cs="Times New Roman"/>
        </w:rPr>
        <w:t xml:space="preserve"> </w:t>
      </w:r>
      <w:r w:rsidR="00EC1DDB">
        <w:rPr>
          <w:rFonts w:ascii="Times New Roman" w:hAnsi="Times New Roman" w:cs="Times New Roman"/>
        </w:rPr>
        <w:t>declin</w:t>
      </w:r>
      <w:r w:rsidR="00C44674">
        <w:rPr>
          <w:rFonts w:ascii="Times New Roman" w:hAnsi="Times New Roman" w:cs="Times New Roman"/>
        </w:rPr>
        <w:t>e</w:t>
      </w:r>
      <w:r w:rsidR="00FA5CA7">
        <w:rPr>
          <w:rFonts w:ascii="Times New Roman" w:hAnsi="Times New Roman" w:cs="Times New Roman"/>
        </w:rPr>
        <w:t xml:space="preserve">d, and the Company sought </w:t>
      </w:r>
      <w:r w:rsidR="005749D8">
        <w:rPr>
          <w:rFonts w:ascii="Times New Roman" w:hAnsi="Times New Roman" w:cs="Times New Roman"/>
        </w:rPr>
        <w:t xml:space="preserve">significant </w:t>
      </w:r>
      <w:r w:rsidR="00FA5CA7">
        <w:rPr>
          <w:rFonts w:ascii="Times New Roman" w:hAnsi="Times New Roman" w:cs="Times New Roman"/>
        </w:rPr>
        <w:t>rate increases requested in its 2019 Rate Case.</w:t>
      </w:r>
      <w:r w:rsidR="00FA5CA7">
        <w:rPr>
          <w:rStyle w:val="FootnoteReference"/>
          <w:rFonts w:ascii="Times New Roman" w:hAnsi="Times New Roman" w:cs="Times New Roman"/>
        </w:rPr>
        <w:footnoteReference w:id="40"/>
      </w:r>
      <w:r w:rsidR="00FA5CA7">
        <w:rPr>
          <w:rFonts w:ascii="Times New Roman" w:hAnsi="Times New Roman" w:cs="Times New Roman"/>
        </w:rPr>
        <w:t xml:space="preserve">  Also perplexing, t</w:t>
      </w:r>
      <w:r w:rsidR="00011D97" w:rsidRPr="0032567B">
        <w:rPr>
          <w:rFonts w:ascii="Times New Roman" w:hAnsi="Times New Roman" w:cs="Times New Roman"/>
        </w:rPr>
        <w:t>he Company</w:t>
      </w:r>
      <w:r w:rsidR="00FA5CA7">
        <w:rPr>
          <w:rFonts w:ascii="Times New Roman" w:hAnsi="Times New Roman" w:cs="Times New Roman"/>
        </w:rPr>
        <w:t xml:space="preserve"> recently </w:t>
      </w:r>
      <w:r w:rsidR="00356497">
        <w:rPr>
          <w:rFonts w:ascii="Times New Roman" w:hAnsi="Times New Roman" w:cs="Times New Roman"/>
        </w:rPr>
        <w:t xml:space="preserve">reported </w:t>
      </w:r>
      <w:r w:rsidR="00EC1DDB">
        <w:rPr>
          <w:rFonts w:ascii="Times New Roman" w:hAnsi="Times New Roman" w:cs="Times New Roman"/>
        </w:rPr>
        <w:t>th</w:t>
      </w:r>
      <w:r w:rsidR="00FA5CA7">
        <w:rPr>
          <w:rFonts w:ascii="Times New Roman" w:hAnsi="Times New Roman" w:cs="Times New Roman"/>
        </w:rPr>
        <w:t xml:space="preserve">at </w:t>
      </w:r>
      <w:r w:rsidR="00043E25">
        <w:rPr>
          <w:rFonts w:ascii="Times New Roman" w:hAnsi="Times New Roman" w:cs="Times New Roman"/>
        </w:rPr>
        <w:t>its</w:t>
      </w:r>
      <w:r w:rsidR="00FF779D">
        <w:rPr>
          <w:rFonts w:ascii="Times New Roman" w:hAnsi="Times New Roman" w:cs="Times New Roman"/>
        </w:rPr>
        <w:t xml:space="preserve"> </w:t>
      </w:r>
      <w:r w:rsidR="00011D97" w:rsidRPr="0032567B">
        <w:rPr>
          <w:rFonts w:ascii="Times New Roman" w:hAnsi="Times New Roman" w:cs="Times New Roman"/>
        </w:rPr>
        <w:t>solar avoided cost (</w:t>
      </w:r>
      <w:r w:rsidR="005D11D9">
        <w:rPr>
          <w:rFonts w:ascii="Times New Roman" w:hAnsi="Times New Roman" w:cs="Times New Roman"/>
        </w:rPr>
        <w:t>RC</w:t>
      </w:r>
      <w:r w:rsidR="00011D97" w:rsidRPr="0032567B">
        <w:rPr>
          <w:rFonts w:ascii="Times New Roman" w:hAnsi="Times New Roman" w:cs="Times New Roman"/>
        </w:rPr>
        <w:t xml:space="preserve">B-Modified) is $27.00/MWh </w:t>
      </w:r>
      <w:r w:rsidR="00011D97">
        <w:rPr>
          <w:rFonts w:ascii="Times New Roman" w:hAnsi="Times New Roman" w:cs="Times New Roman"/>
        </w:rPr>
        <w:t>(</w:t>
      </w:r>
      <w:r w:rsidR="00011D97" w:rsidRPr="0032567B">
        <w:rPr>
          <w:rFonts w:ascii="Times New Roman" w:hAnsi="Times New Roman" w:cs="Times New Roman"/>
        </w:rPr>
        <w:t>all hours/total system</w:t>
      </w:r>
      <w:r w:rsidR="00011D97">
        <w:rPr>
          <w:rFonts w:ascii="Times New Roman" w:hAnsi="Times New Roman" w:cs="Times New Roman"/>
        </w:rPr>
        <w:t>)</w:t>
      </w:r>
      <w:r w:rsidR="00FF779D">
        <w:rPr>
          <w:rFonts w:ascii="Times New Roman" w:hAnsi="Times New Roman" w:cs="Times New Roman"/>
        </w:rPr>
        <w:t xml:space="preserve">, </w:t>
      </w:r>
      <w:r w:rsidR="00D8148B">
        <w:rPr>
          <w:rFonts w:ascii="Times New Roman" w:hAnsi="Times New Roman" w:cs="Times New Roman"/>
        </w:rPr>
        <w:t xml:space="preserve">one-half </w:t>
      </w:r>
      <w:r w:rsidR="00BE3351">
        <w:rPr>
          <w:rFonts w:ascii="Times New Roman" w:hAnsi="Times New Roman" w:cs="Times New Roman"/>
        </w:rPr>
        <w:t>dollar</w:t>
      </w:r>
      <w:r w:rsidR="00011D97">
        <w:rPr>
          <w:rFonts w:ascii="Times New Roman" w:hAnsi="Times New Roman" w:cs="Times New Roman"/>
        </w:rPr>
        <w:t xml:space="preserve"> </w:t>
      </w:r>
      <w:r w:rsidR="005D11D9">
        <w:rPr>
          <w:rFonts w:ascii="Times New Roman" w:hAnsi="Times New Roman" w:cs="Times New Roman"/>
        </w:rPr>
        <w:t>less</w:t>
      </w:r>
      <w:r w:rsidR="00011D97" w:rsidRPr="0032567B">
        <w:rPr>
          <w:rFonts w:ascii="Times New Roman" w:hAnsi="Times New Roman" w:cs="Times New Roman"/>
        </w:rPr>
        <w:t xml:space="preserve"> than </w:t>
      </w:r>
      <w:r w:rsidR="005D11D9">
        <w:rPr>
          <w:rFonts w:ascii="Times New Roman" w:hAnsi="Times New Roman" w:cs="Times New Roman"/>
        </w:rPr>
        <w:t>its PURPA</w:t>
      </w:r>
      <w:r w:rsidR="00011D97">
        <w:rPr>
          <w:rFonts w:ascii="Times New Roman" w:hAnsi="Times New Roman" w:cs="Times New Roman"/>
        </w:rPr>
        <w:t xml:space="preserve"> avoided cost </w:t>
      </w:r>
      <w:r w:rsidR="005D11D9">
        <w:rPr>
          <w:rFonts w:ascii="Times New Roman" w:hAnsi="Times New Roman" w:cs="Times New Roman"/>
        </w:rPr>
        <w:t xml:space="preserve">at </w:t>
      </w:r>
      <w:r w:rsidR="00011D97" w:rsidRPr="0032567B">
        <w:rPr>
          <w:rFonts w:ascii="Times New Roman" w:hAnsi="Times New Roman" w:cs="Times New Roman"/>
        </w:rPr>
        <w:t>$27.56/MWh</w:t>
      </w:r>
      <w:r w:rsidR="00011D97">
        <w:rPr>
          <w:rFonts w:ascii="Times New Roman" w:hAnsi="Times New Roman" w:cs="Times New Roman"/>
        </w:rPr>
        <w:t>.</w:t>
      </w:r>
      <w:r w:rsidR="00FA5CA7" w:rsidRPr="00FA5CA7">
        <w:rPr>
          <w:rStyle w:val="FootnoteReference"/>
          <w:rFonts w:ascii="Times New Roman" w:hAnsi="Times New Roman" w:cs="Times New Roman"/>
        </w:rPr>
        <w:t xml:space="preserve"> </w:t>
      </w:r>
      <w:r w:rsidR="00FA5CA7">
        <w:rPr>
          <w:rStyle w:val="FootnoteReference"/>
          <w:rFonts w:ascii="Times New Roman" w:hAnsi="Times New Roman" w:cs="Times New Roman"/>
        </w:rPr>
        <w:footnoteReference w:id="41"/>
      </w:r>
      <w:r w:rsidR="00011D97">
        <w:rPr>
          <w:rFonts w:ascii="Times New Roman" w:hAnsi="Times New Roman" w:cs="Times New Roman"/>
        </w:rPr>
        <w:t xml:space="preserve"> </w:t>
      </w:r>
      <w:r w:rsidR="00043E25">
        <w:rPr>
          <w:rFonts w:ascii="Times New Roman" w:hAnsi="Times New Roman" w:cs="Times New Roman"/>
        </w:rPr>
        <w:t xml:space="preserve">  If nothing else, this contradicts the Company’s contention that it over pays for electricity at RCB avoided cost.</w:t>
      </w:r>
    </w:p>
    <w:p w14:paraId="1EA3C173" w14:textId="7D8A8B08" w:rsidR="00546ACE" w:rsidRDefault="00D24BCB" w:rsidP="00546ACE">
      <w:pPr>
        <w:spacing w:after="0" w:line="480" w:lineRule="auto"/>
        <w:jc w:val="both"/>
        <w:rPr>
          <w:rFonts w:ascii="Times New Roman" w:hAnsi="Times New Roman" w:cs="Times New Roman"/>
        </w:rPr>
      </w:pPr>
      <w:r>
        <w:rPr>
          <w:rFonts w:ascii="Times New Roman" w:hAnsi="Times New Roman" w:cs="Times New Roman"/>
        </w:rPr>
        <w:lastRenderedPageBreak/>
        <w:tab/>
      </w:r>
      <w:r w:rsidR="00FA5CA7">
        <w:rPr>
          <w:rFonts w:ascii="Times New Roman" w:hAnsi="Times New Roman" w:cs="Times New Roman"/>
        </w:rPr>
        <w:t xml:space="preserve">Because of these declines and inconsistencies, </w:t>
      </w:r>
      <w:r>
        <w:rPr>
          <w:rFonts w:ascii="Times New Roman" w:hAnsi="Times New Roman" w:cs="Times New Roman"/>
        </w:rPr>
        <w:t xml:space="preserve">RCB should also be reviewed </w:t>
      </w:r>
      <w:r w:rsidR="00FA5CA7">
        <w:rPr>
          <w:rFonts w:ascii="Times New Roman" w:hAnsi="Times New Roman" w:cs="Times New Roman"/>
        </w:rPr>
        <w:t>in the Commission’s upcoming docket on the Company’s avoided cost.</w:t>
      </w:r>
      <w:r>
        <w:rPr>
          <w:rFonts w:ascii="Times New Roman" w:hAnsi="Times New Roman" w:cs="Times New Roman"/>
        </w:rPr>
        <w:t xml:space="preserve">  IRP testimony showed that the Company considered no value for Renewable Energy Credits (RECs)</w:t>
      </w:r>
      <w:r w:rsidR="00272AEF">
        <w:rPr>
          <w:rFonts w:ascii="Times New Roman" w:hAnsi="Times New Roman" w:cs="Times New Roman"/>
        </w:rPr>
        <w:t xml:space="preserve"> in RCB</w:t>
      </w:r>
      <w:r>
        <w:rPr>
          <w:rStyle w:val="FootnoteReference"/>
          <w:rFonts w:ascii="Times New Roman" w:hAnsi="Times New Roman" w:cs="Times New Roman"/>
        </w:rPr>
        <w:footnoteReference w:id="42"/>
      </w:r>
      <w:r w:rsidR="00FA5CA7">
        <w:rPr>
          <w:rFonts w:ascii="Times New Roman" w:hAnsi="Times New Roman" w:cs="Times New Roman"/>
        </w:rPr>
        <w:t xml:space="preserve"> </w:t>
      </w:r>
      <w:r>
        <w:rPr>
          <w:rFonts w:ascii="Times New Roman" w:hAnsi="Times New Roman" w:cs="Times New Roman"/>
        </w:rPr>
        <w:t>even though it sells them for $.01 each</w:t>
      </w:r>
      <w:r w:rsidR="00FA5CA7">
        <w:rPr>
          <w:rFonts w:ascii="Times New Roman" w:hAnsi="Times New Roman" w:cs="Times New Roman"/>
        </w:rPr>
        <w:t>/kWh – a price 1/3 of the amount it proposes to pay per kWh for solar generation in Customer Connected</w:t>
      </w:r>
      <w:r w:rsidR="00E74C6E">
        <w:rPr>
          <w:rFonts w:ascii="Times New Roman" w:hAnsi="Times New Roman" w:cs="Times New Roman"/>
        </w:rPr>
        <w:t>.  A</w:t>
      </w:r>
      <w:r>
        <w:rPr>
          <w:rFonts w:ascii="Times New Roman" w:hAnsi="Times New Roman" w:cs="Times New Roman"/>
        </w:rPr>
        <w:t xml:space="preserve">nd </w:t>
      </w:r>
      <w:r w:rsidR="00A70934">
        <w:rPr>
          <w:rFonts w:ascii="Times New Roman" w:hAnsi="Times New Roman" w:cs="Times New Roman"/>
        </w:rPr>
        <w:t>again, the Company</w:t>
      </w:r>
      <w:r>
        <w:rPr>
          <w:rFonts w:ascii="Times New Roman" w:hAnsi="Times New Roman" w:cs="Times New Roman"/>
        </w:rPr>
        <w:t xml:space="preserve"> failed to calculate geographic value from the placement of DG resources to include in </w:t>
      </w:r>
      <w:r w:rsidR="00E74C6E">
        <w:rPr>
          <w:rFonts w:ascii="Times New Roman" w:hAnsi="Times New Roman" w:cs="Times New Roman"/>
        </w:rPr>
        <w:t xml:space="preserve">the </w:t>
      </w:r>
      <w:r>
        <w:rPr>
          <w:rFonts w:ascii="Times New Roman" w:hAnsi="Times New Roman" w:cs="Times New Roman"/>
        </w:rPr>
        <w:t>RCB</w:t>
      </w:r>
      <w:r w:rsidR="00E74C6E">
        <w:rPr>
          <w:rFonts w:ascii="Times New Roman" w:hAnsi="Times New Roman" w:cs="Times New Roman"/>
        </w:rPr>
        <w:t xml:space="preserve"> Framework</w:t>
      </w:r>
      <w:r w:rsidR="00043E25">
        <w:rPr>
          <w:rFonts w:ascii="Times New Roman" w:hAnsi="Times New Roman" w:cs="Times New Roman"/>
        </w:rPr>
        <w:t>,</w:t>
      </w:r>
      <w:r>
        <w:rPr>
          <w:rStyle w:val="FootnoteReference"/>
          <w:rFonts w:ascii="Times New Roman" w:hAnsi="Times New Roman" w:cs="Times New Roman"/>
        </w:rPr>
        <w:footnoteReference w:id="43"/>
      </w:r>
      <w:r>
        <w:rPr>
          <w:rFonts w:ascii="Times New Roman" w:hAnsi="Times New Roman" w:cs="Times New Roman"/>
        </w:rPr>
        <w:t xml:space="preserve"> </w:t>
      </w:r>
      <w:r w:rsidR="00E74C6E">
        <w:rPr>
          <w:rFonts w:ascii="Times New Roman" w:hAnsi="Times New Roman" w:cs="Times New Roman"/>
        </w:rPr>
        <w:t>while simultaneously acknowledging the tangible benefits of “locating a DG resource near the customer’s load.”</w:t>
      </w:r>
      <w:r w:rsidR="00E74C6E">
        <w:rPr>
          <w:rStyle w:val="FootnoteReference"/>
          <w:rFonts w:ascii="Times New Roman" w:hAnsi="Times New Roman" w:cs="Times New Roman"/>
        </w:rPr>
        <w:footnoteReference w:id="44"/>
      </w:r>
      <w:r>
        <w:rPr>
          <w:rFonts w:ascii="Times New Roman" w:hAnsi="Times New Roman" w:cs="Times New Roman"/>
        </w:rPr>
        <w:t xml:space="preserve"> </w:t>
      </w:r>
      <w:r w:rsidR="00E74C6E">
        <w:rPr>
          <w:rFonts w:ascii="Times New Roman" w:hAnsi="Times New Roman" w:cs="Times New Roman"/>
        </w:rPr>
        <w:t xml:space="preserve"> </w:t>
      </w:r>
      <w:r>
        <w:rPr>
          <w:rFonts w:ascii="Times New Roman" w:hAnsi="Times New Roman" w:cs="Times New Roman"/>
        </w:rPr>
        <w:t xml:space="preserve">However, the Company did not hesitate to propose review </w:t>
      </w:r>
      <w:r w:rsidR="00FF779D">
        <w:rPr>
          <w:rFonts w:ascii="Times New Roman" w:hAnsi="Times New Roman" w:cs="Times New Roman"/>
        </w:rPr>
        <w:t>of R</w:t>
      </w:r>
      <w:r>
        <w:rPr>
          <w:rFonts w:ascii="Times New Roman" w:hAnsi="Times New Roman" w:cs="Times New Roman"/>
        </w:rPr>
        <w:t>CB components of its choosing</w:t>
      </w:r>
      <w:r w:rsidR="00FF779D">
        <w:rPr>
          <w:rFonts w:ascii="Times New Roman" w:hAnsi="Times New Roman" w:cs="Times New Roman"/>
        </w:rPr>
        <w:t>,</w:t>
      </w:r>
      <w:r>
        <w:rPr>
          <w:rStyle w:val="FootnoteReference"/>
          <w:rFonts w:ascii="Times New Roman" w:hAnsi="Times New Roman" w:cs="Times New Roman"/>
        </w:rPr>
        <w:footnoteReference w:id="45"/>
      </w:r>
      <w:r w:rsidR="00FF779D">
        <w:rPr>
          <w:rFonts w:ascii="Times New Roman" w:hAnsi="Times New Roman" w:cs="Times New Roman"/>
        </w:rPr>
        <w:t xml:space="preserve"> but only with Staff.</w:t>
      </w:r>
      <w:r>
        <w:rPr>
          <w:rFonts w:ascii="Times New Roman" w:hAnsi="Times New Roman" w:cs="Times New Roman"/>
        </w:rPr>
        <w:t xml:space="preserve">  </w:t>
      </w:r>
      <w:r w:rsidR="006810E0">
        <w:rPr>
          <w:rFonts w:ascii="Times New Roman" w:hAnsi="Times New Roman" w:cs="Times New Roman"/>
        </w:rPr>
        <w:t xml:space="preserve">Excluded from those discussions, the industry had to wait to review the Company’s report </w:t>
      </w:r>
      <w:r w:rsidR="009E432F">
        <w:rPr>
          <w:rFonts w:ascii="Times New Roman" w:hAnsi="Times New Roman" w:cs="Times New Roman"/>
        </w:rPr>
        <w:t xml:space="preserve">on RCB modifications </w:t>
      </w:r>
      <w:r w:rsidR="006810E0">
        <w:rPr>
          <w:rFonts w:ascii="Times New Roman" w:hAnsi="Times New Roman" w:cs="Times New Roman"/>
        </w:rPr>
        <w:t xml:space="preserve">when </w:t>
      </w:r>
      <w:r w:rsidR="009E432F">
        <w:rPr>
          <w:rFonts w:ascii="Times New Roman" w:hAnsi="Times New Roman" w:cs="Times New Roman"/>
        </w:rPr>
        <w:t>discussion</w:t>
      </w:r>
      <w:r w:rsidR="006810E0">
        <w:rPr>
          <w:rFonts w:ascii="Times New Roman" w:hAnsi="Times New Roman" w:cs="Times New Roman"/>
        </w:rPr>
        <w:t>s with Staff concluded.</w:t>
      </w:r>
      <w:r w:rsidR="006810E0">
        <w:rPr>
          <w:rStyle w:val="FootnoteReference"/>
          <w:rFonts w:ascii="Times New Roman" w:hAnsi="Times New Roman" w:cs="Times New Roman"/>
        </w:rPr>
        <w:footnoteReference w:id="46"/>
      </w:r>
      <w:r w:rsidR="006810E0">
        <w:rPr>
          <w:rFonts w:ascii="Times New Roman" w:hAnsi="Times New Roman" w:cs="Times New Roman"/>
        </w:rPr>
        <w:t xml:space="preserve">  Based thereon, issues related to RCB remain unresolved.</w:t>
      </w:r>
      <w:r>
        <w:rPr>
          <w:rFonts w:ascii="Times New Roman" w:hAnsi="Times New Roman" w:cs="Times New Roman"/>
        </w:rPr>
        <w:t xml:space="preserve"> </w:t>
      </w:r>
      <w:r w:rsidR="006810E0">
        <w:rPr>
          <w:rFonts w:ascii="Times New Roman" w:hAnsi="Times New Roman" w:cs="Times New Roman"/>
        </w:rPr>
        <w:t xml:space="preserve"> To </w:t>
      </w:r>
      <w:r w:rsidR="00A70934">
        <w:rPr>
          <w:rFonts w:ascii="Times New Roman" w:hAnsi="Times New Roman" w:cs="Times New Roman"/>
        </w:rPr>
        <w:t>calculate</w:t>
      </w:r>
      <w:r w:rsidR="006810E0">
        <w:rPr>
          <w:rFonts w:ascii="Times New Roman" w:hAnsi="Times New Roman" w:cs="Times New Roman"/>
        </w:rPr>
        <w:t xml:space="preserve"> RCB</w:t>
      </w:r>
      <w:r w:rsidR="00A70934">
        <w:rPr>
          <w:rFonts w:ascii="Times New Roman" w:hAnsi="Times New Roman" w:cs="Times New Roman"/>
        </w:rPr>
        <w:t xml:space="preserve"> accurately</w:t>
      </w:r>
      <w:r w:rsidR="006810E0">
        <w:rPr>
          <w:rFonts w:ascii="Times New Roman" w:hAnsi="Times New Roman" w:cs="Times New Roman"/>
        </w:rPr>
        <w:t xml:space="preserve">, the Commission should include review </w:t>
      </w:r>
      <w:r w:rsidR="00043E25">
        <w:rPr>
          <w:rFonts w:ascii="Times New Roman" w:hAnsi="Times New Roman" w:cs="Times New Roman"/>
        </w:rPr>
        <w:t xml:space="preserve">of RCB </w:t>
      </w:r>
      <w:r w:rsidR="006810E0">
        <w:rPr>
          <w:rFonts w:ascii="Times New Roman" w:hAnsi="Times New Roman" w:cs="Times New Roman"/>
        </w:rPr>
        <w:t>in the upcoming avoided cost docket, rather than wait for the next IRP in which the</w:t>
      </w:r>
      <w:r w:rsidR="007F6243">
        <w:rPr>
          <w:rFonts w:ascii="Times New Roman" w:hAnsi="Times New Roman" w:cs="Times New Roman"/>
        </w:rPr>
        <w:t>se</w:t>
      </w:r>
      <w:r w:rsidR="006810E0">
        <w:rPr>
          <w:rFonts w:ascii="Times New Roman" w:hAnsi="Times New Roman" w:cs="Times New Roman"/>
        </w:rPr>
        <w:t xml:space="preserve"> issues </w:t>
      </w:r>
      <w:r w:rsidR="005749D8">
        <w:rPr>
          <w:rFonts w:ascii="Times New Roman" w:hAnsi="Times New Roman" w:cs="Times New Roman"/>
        </w:rPr>
        <w:t>will be</w:t>
      </w:r>
      <w:r w:rsidR="006810E0">
        <w:rPr>
          <w:rFonts w:ascii="Times New Roman" w:hAnsi="Times New Roman" w:cs="Times New Roman"/>
        </w:rPr>
        <w:t xml:space="preserve"> dwarfed </w:t>
      </w:r>
      <w:r w:rsidR="009E432F">
        <w:rPr>
          <w:rFonts w:ascii="Times New Roman" w:hAnsi="Times New Roman" w:cs="Times New Roman"/>
        </w:rPr>
        <w:t>in the context of a massive filing</w:t>
      </w:r>
      <w:r w:rsidR="006810E0">
        <w:rPr>
          <w:rFonts w:ascii="Times New Roman" w:hAnsi="Times New Roman" w:cs="Times New Roman"/>
        </w:rPr>
        <w:t>.</w:t>
      </w:r>
      <w:r>
        <w:rPr>
          <w:rFonts w:ascii="Times New Roman" w:hAnsi="Times New Roman" w:cs="Times New Roman"/>
        </w:rPr>
        <w:t xml:space="preserve"> </w:t>
      </w:r>
      <w:r w:rsidR="005D11D9">
        <w:rPr>
          <w:rFonts w:ascii="Times New Roman" w:hAnsi="Times New Roman" w:cs="Times New Roman"/>
        </w:rPr>
        <w:t xml:space="preserve">     </w:t>
      </w:r>
      <w:r w:rsidR="00011D97">
        <w:rPr>
          <w:rFonts w:ascii="Times New Roman" w:hAnsi="Times New Roman" w:cs="Times New Roman"/>
        </w:rPr>
        <w:t xml:space="preserve"> </w:t>
      </w:r>
    </w:p>
    <w:p w14:paraId="7FDA293B" w14:textId="54D9CF99" w:rsidR="00DD3AEF" w:rsidRPr="00546ACE" w:rsidRDefault="004768D7" w:rsidP="00AF78E0">
      <w:pPr>
        <w:spacing w:after="0" w:line="480" w:lineRule="auto"/>
        <w:ind w:firstLine="720"/>
        <w:rPr>
          <w:rFonts w:ascii="Times New Roman" w:hAnsi="Times New Roman" w:cs="Times New Roman"/>
          <w:b/>
          <w:bCs/>
        </w:rPr>
      </w:pPr>
      <w:r>
        <w:rPr>
          <w:rFonts w:ascii="Times New Roman" w:hAnsi="Times New Roman" w:cs="Times New Roman"/>
          <w:b/>
          <w:bCs/>
        </w:rPr>
        <w:t>D</w:t>
      </w:r>
      <w:r w:rsidR="00AF78E0">
        <w:rPr>
          <w:rFonts w:ascii="Times New Roman" w:hAnsi="Times New Roman" w:cs="Times New Roman"/>
          <w:b/>
          <w:bCs/>
        </w:rPr>
        <w:t xml:space="preserve">.  </w:t>
      </w:r>
      <w:r w:rsidR="004E2563">
        <w:rPr>
          <w:rFonts w:ascii="Times New Roman" w:hAnsi="Times New Roman" w:cs="Times New Roman"/>
          <w:b/>
          <w:bCs/>
        </w:rPr>
        <w:t xml:space="preserve">Additional </w:t>
      </w:r>
      <w:r w:rsidR="00AF78E0">
        <w:rPr>
          <w:rFonts w:ascii="Times New Roman" w:hAnsi="Times New Roman" w:cs="Times New Roman"/>
          <w:b/>
          <w:bCs/>
        </w:rPr>
        <w:t>Fees</w:t>
      </w:r>
    </w:p>
    <w:p w14:paraId="39E986D3" w14:textId="77777777" w:rsidR="00DD3AEF" w:rsidRPr="006226D7" w:rsidRDefault="00DD3AEF" w:rsidP="00DD3AEF">
      <w:pPr>
        <w:spacing w:after="0" w:line="240" w:lineRule="auto"/>
        <w:rPr>
          <w:rFonts w:ascii="Times New Roman" w:hAnsi="Times New Roman" w:cs="Times New Roman"/>
        </w:rPr>
      </w:pPr>
      <w:r w:rsidRPr="006226D7">
        <w:rPr>
          <w:rFonts w:ascii="Times New Roman" w:hAnsi="Times New Roman" w:cs="Times New Roman"/>
        </w:rPr>
        <w:t>Success Fee</w:t>
      </w:r>
    </w:p>
    <w:p w14:paraId="4EE61C4D" w14:textId="77777777" w:rsidR="00DD3AEF" w:rsidRPr="00546ACE" w:rsidRDefault="00DD3AEF" w:rsidP="00DD3AEF">
      <w:pPr>
        <w:spacing w:after="0" w:line="240" w:lineRule="auto"/>
        <w:rPr>
          <w:rFonts w:ascii="Times New Roman" w:hAnsi="Times New Roman" w:cs="Times New Roman"/>
          <w:i/>
          <w:iCs/>
        </w:rPr>
      </w:pPr>
      <w:r w:rsidRPr="00546ACE">
        <w:rPr>
          <w:rFonts w:ascii="Times New Roman" w:hAnsi="Times New Roman" w:cs="Times New Roman"/>
          <w:i/>
          <w:iCs/>
        </w:rPr>
        <w:t>Guidelines, III(C), p. 7 ($250 flat fee on residential; $5/kW non-residential)</w:t>
      </w:r>
    </w:p>
    <w:p w14:paraId="6CD89308" w14:textId="77777777" w:rsidR="00DD3AEF" w:rsidRPr="008C1A80" w:rsidRDefault="00DD3AEF" w:rsidP="00DD3AEF">
      <w:pPr>
        <w:spacing w:after="0" w:line="240" w:lineRule="auto"/>
        <w:ind w:left="360"/>
        <w:rPr>
          <w:rFonts w:ascii="Times New Roman" w:hAnsi="Times New Roman" w:cs="Times New Roman"/>
        </w:rPr>
      </w:pPr>
    </w:p>
    <w:p w14:paraId="4B8D8AAC" w14:textId="77777777" w:rsidR="00DD3AEF" w:rsidRPr="006226D7" w:rsidRDefault="00DD3AEF" w:rsidP="00DD3AEF">
      <w:pPr>
        <w:spacing w:after="0" w:line="240" w:lineRule="auto"/>
        <w:rPr>
          <w:rFonts w:ascii="Times New Roman" w:hAnsi="Times New Roman" w:cs="Times New Roman"/>
          <w:color w:val="FF0000"/>
        </w:rPr>
      </w:pPr>
      <w:r w:rsidRPr="006226D7">
        <w:rPr>
          <w:rFonts w:ascii="Times New Roman" w:hAnsi="Times New Roman" w:cs="Times New Roman"/>
        </w:rPr>
        <w:t>PPA Amendment</w:t>
      </w:r>
    </w:p>
    <w:p w14:paraId="100DD090" w14:textId="77777777" w:rsidR="00DD3AEF" w:rsidRPr="00B84D49" w:rsidRDefault="00DD3AEF" w:rsidP="00DD3AEF">
      <w:pPr>
        <w:spacing w:after="0" w:line="240" w:lineRule="auto"/>
        <w:rPr>
          <w:rFonts w:ascii="Times New Roman" w:hAnsi="Times New Roman" w:cs="Times New Roman"/>
          <w:i/>
          <w:iCs/>
        </w:rPr>
      </w:pPr>
      <w:r w:rsidRPr="00B84D49">
        <w:rPr>
          <w:rFonts w:ascii="Times New Roman" w:hAnsi="Times New Roman" w:cs="Times New Roman"/>
          <w:i/>
          <w:iCs/>
        </w:rPr>
        <w:t>PPA, § 14(a), p. 6-7 ($2500 fee)</w:t>
      </w:r>
    </w:p>
    <w:p w14:paraId="7D06E340" w14:textId="77777777" w:rsidR="00DD3AEF" w:rsidRPr="00546ACE" w:rsidRDefault="00DD3AEF" w:rsidP="00DD3AEF">
      <w:pPr>
        <w:spacing w:after="0" w:line="240" w:lineRule="auto"/>
        <w:rPr>
          <w:rFonts w:ascii="Times New Roman" w:hAnsi="Times New Roman" w:cs="Times New Roman"/>
          <w:i/>
          <w:iCs/>
        </w:rPr>
      </w:pPr>
      <w:r w:rsidRPr="00546ACE">
        <w:rPr>
          <w:rFonts w:ascii="Times New Roman" w:hAnsi="Times New Roman" w:cs="Times New Roman"/>
          <w:i/>
          <w:iCs/>
        </w:rPr>
        <w:t>Customer Name Change requires PPA Amendment, PPA § 14(c), p. 8</w:t>
      </w:r>
    </w:p>
    <w:p w14:paraId="0C48FE45" w14:textId="77777777" w:rsidR="00DD3AEF" w:rsidRPr="008C1A80" w:rsidRDefault="00DD3AEF" w:rsidP="00DD3AEF">
      <w:pPr>
        <w:spacing w:after="0" w:line="240" w:lineRule="auto"/>
        <w:ind w:left="360"/>
        <w:rPr>
          <w:rFonts w:ascii="Times New Roman" w:hAnsi="Times New Roman" w:cs="Times New Roman"/>
        </w:rPr>
      </w:pPr>
    </w:p>
    <w:p w14:paraId="674F65D2" w14:textId="77777777" w:rsidR="00DD3AEF" w:rsidRPr="008C1A80" w:rsidRDefault="00DD3AEF" w:rsidP="00DD3AEF">
      <w:pPr>
        <w:spacing w:after="0" w:line="240" w:lineRule="auto"/>
        <w:rPr>
          <w:rFonts w:ascii="Times New Roman" w:hAnsi="Times New Roman" w:cs="Times New Roman"/>
        </w:rPr>
      </w:pPr>
      <w:r w:rsidRPr="008C1A80">
        <w:rPr>
          <w:rFonts w:ascii="Times New Roman" w:hAnsi="Times New Roman" w:cs="Times New Roman"/>
        </w:rPr>
        <w:t>PPA Assignment</w:t>
      </w:r>
    </w:p>
    <w:p w14:paraId="6C021170" w14:textId="77777777" w:rsidR="00DD3AEF" w:rsidRPr="00546ACE" w:rsidRDefault="00DD3AEF" w:rsidP="00DD3AEF">
      <w:pPr>
        <w:spacing w:after="0" w:line="240" w:lineRule="auto"/>
        <w:rPr>
          <w:rFonts w:ascii="Times New Roman" w:hAnsi="Times New Roman" w:cs="Times New Roman"/>
          <w:i/>
          <w:iCs/>
        </w:rPr>
      </w:pPr>
      <w:r w:rsidRPr="00546ACE">
        <w:rPr>
          <w:rFonts w:ascii="Times New Roman" w:hAnsi="Times New Roman" w:cs="Times New Roman"/>
          <w:i/>
          <w:iCs/>
        </w:rPr>
        <w:t>PPA, § 14(b), p. 7 ($5000 fee)</w:t>
      </w:r>
    </w:p>
    <w:p w14:paraId="2663E1F6" w14:textId="77777777" w:rsidR="00DD3AEF" w:rsidRPr="008C1A80" w:rsidRDefault="00DD3AEF" w:rsidP="00DD3AEF">
      <w:pPr>
        <w:spacing w:after="0" w:line="240" w:lineRule="auto"/>
        <w:ind w:left="360"/>
        <w:rPr>
          <w:rFonts w:ascii="Times New Roman" w:hAnsi="Times New Roman" w:cs="Times New Roman"/>
        </w:rPr>
      </w:pPr>
    </w:p>
    <w:p w14:paraId="60E05FF9" w14:textId="77777777" w:rsidR="00DD3AEF" w:rsidRPr="008C1A80" w:rsidRDefault="00DD3AEF" w:rsidP="00DD3AEF">
      <w:pPr>
        <w:spacing w:after="0" w:line="240" w:lineRule="auto"/>
        <w:rPr>
          <w:rFonts w:ascii="Times New Roman" w:hAnsi="Times New Roman" w:cs="Times New Roman"/>
        </w:rPr>
      </w:pPr>
      <w:r w:rsidRPr="008C1A80">
        <w:rPr>
          <w:rFonts w:ascii="Times New Roman" w:hAnsi="Times New Roman" w:cs="Times New Roman"/>
        </w:rPr>
        <w:t>Eligible Collateral Change</w:t>
      </w:r>
    </w:p>
    <w:p w14:paraId="1ACEC9D9" w14:textId="4540D067" w:rsidR="00DD3AEF" w:rsidRPr="00546ACE" w:rsidRDefault="00DD3AEF" w:rsidP="00DD3AEF">
      <w:pPr>
        <w:spacing w:after="0" w:line="240" w:lineRule="auto"/>
        <w:rPr>
          <w:rFonts w:ascii="Times New Roman" w:hAnsi="Times New Roman" w:cs="Times New Roman"/>
          <w:i/>
          <w:iCs/>
        </w:rPr>
      </w:pPr>
      <w:r w:rsidRPr="00546ACE">
        <w:rPr>
          <w:rFonts w:ascii="Times New Roman" w:hAnsi="Times New Roman" w:cs="Times New Roman"/>
          <w:i/>
          <w:iCs/>
        </w:rPr>
        <w:lastRenderedPageBreak/>
        <w:t>Guidelines, V(G), p. 10 ($2500</w:t>
      </w:r>
      <w:r w:rsidR="003D1146">
        <w:rPr>
          <w:rFonts w:ascii="Times New Roman" w:hAnsi="Times New Roman" w:cs="Times New Roman"/>
          <w:i/>
          <w:iCs/>
        </w:rPr>
        <w:t xml:space="preserve"> fee</w:t>
      </w:r>
      <w:r w:rsidRPr="00546ACE">
        <w:rPr>
          <w:rFonts w:ascii="Times New Roman" w:hAnsi="Times New Roman" w:cs="Times New Roman"/>
          <w:i/>
          <w:iCs/>
        </w:rPr>
        <w:t>)</w:t>
      </w:r>
    </w:p>
    <w:p w14:paraId="0A223D03" w14:textId="77777777" w:rsidR="00DD3AEF" w:rsidRPr="008C1A80" w:rsidRDefault="00DD3AEF" w:rsidP="00DD3AEF">
      <w:pPr>
        <w:spacing w:after="0" w:line="240" w:lineRule="auto"/>
        <w:ind w:left="360"/>
        <w:rPr>
          <w:rFonts w:ascii="Times New Roman" w:hAnsi="Times New Roman" w:cs="Times New Roman"/>
        </w:rPr>
      </w:pPr>
    </w:p>
    <w:p w14:paraId="5E8B51E3" w14:textId="02AD1AFC" w:rsidR="00DD3AEF" w:rsidRDefault="00DD3AEF" w:rsidP="00DD3AEF">
      <w:pPr>
        <w:spacing w:after="0" w:line="480" w:lineRule="auto"/>
        <w:jc w:val="both"/>
        <w:rPr>
          <w:rFonts w:ascii="Times New Roman" w:hAnsi="Times New Roman" w:cs="Times New Roman"/>
        </w:rPr>
      </w:pPr>
      <w:r w:rsidRPr="008C1A80">
        <w:rPr>
          <w:rFonts w:ascii="Times New Roman" w:hAnsi="Times New Roman" w:cs="Times New Roman"/>
        </w:rPr>
        <w:tab/>
        <w:t>The Staff’s report included a list of fees and charges imposed on the customer in Customer Connected.  Staff included the Success Fee, identified above</w:t>
      </w:r>
      <w:r>
        <w:rPr>
          <w:rFonts w:ascii="Times New Roman" w:hAnsi="Times New Roman" w:cs="Times New Roman"/>
        </w:rPr>
        <w:t>, b</w:t>
      </w:r>
      <w:r w:rsidRPr="008C1A80">
        <w:rPr>
          <w:rFonts w:ascii="Times New Roman" w:hAnsi="Times New Roman" w:cs="Times New Roman"/>
        </w:rPr>
        <w:t>ut not the additional fees shown</w:t>
      </w:r>
      <w:r w:rsidR="00043E25">
        <w:rPr>
          <w:rFonts w:ascii="Times New Roman" w:hAnsi="Times New Roman" w:cs="Times New Roman"/>
        </w:rPr>
        <w:t xml:space="preserve"> below</w:t>
      </w:r>
      <w:r w:rsidRPr="008C1A80">
        <w:rPr>
          <w:rFonts w:ascii="Times New Roman" w:hAnsi="Times New Roman" w:cs="Times New Roman"/>
        </w:rPr>
        <w:t xml:space="preserve">.  </w:t>
      </w:r>
      <w:r>
        <w:rPr>
          <w:rFonts w:ascii="Times New Roman" w:hAnsi="Times New Roman" w:cs="Times New Roman"/>
        </w:rPr>
        <w:t>While t</w:t>
      </w:r>
      <w:r w:rsidRPr="008C1A80">
        <w:rPr>
          <w:rFonts w:ascii="Times New Roman" w:hAnsi="Times New Roman" w:cs="Times New Roman"/>
        </w:rPr>
        <w:t xml:space="preserve">he Company </w:t>
      </w:r>
      <w:r>
        <w:rPr>
          <w:rFonts w:ascii="Times New Roman" w:hAnsi="Times New Roman" w:cs="Times New Roman"/>
        </w:rPr>
        <w:t>states</w:t>
      </w:r>
      <w:r w:rsidRPr="008C1A80">
        <w:rPr>
          <w:rFonts w:ascii="Times New Roman" w:hAnsi="Times New Roman" w:cs="Times New Roman"/>
        </w:rPr>
        <w:t xml:space="preserve"> that </w:t>
      </w:r>
      <w:r>
        <w:rPr>
          <w:rFonts w:ascii="Times New Roman" w:hAnsi="Times New Roman" w:cs="Times New Roman"/>
        </w:rPr>
        <w:t>its</w:t>
      </w:r>
      <w:r w:rsidRPr="008C1A80">
        <w:rPr>
          <w:rFonts w:ascii="Times New Roman" w:hAnsi="Times New Roman" w:cs="Times New Roman"/>
        </w:rPr>
        <w:t xml:space="preserve"> fees cover its</w:t>
      </w:r>
      <w:r>
        <w:rPr>
          <w:rFonts w:ascii="Times New Roman" w:hAnsi="Times New Roman" w:cs="Times New Roman"/>
        </w:rPr>
        <w:t xml:space="preserve"> program administrative</w:t>
      </w:r>
      <w:r w:rsidRPr="008C1A80">
        <w:rPr>
          <w:rFonts w:ascii="Times New Roman" w:hAnsi="Times New Roman" w:cs="Times New Roman"/>
        </w:rPr>
        <w:t xml:space="preserve"> costs</w:t>
      </w:r>
      <w:r>
        <w:rPr>
          <w:rFonts w:ascii="Times New Roman" w:hAnsi="Times New Roman" w:cs="Times New Roman"/>
        </w:rPr>
        <w:t>, it doe</w:t>
      </w:r>
      <w:r w:rsidRPr="008C1A80">
        <w:rPr>
          <w:rFonts w:ascii="Times New Roman" w:hAnsi="Times New Roman" w:cs="Times New Roman"/>
        </w:rPr>
        <w:t xml:space="preserve">s not provide math or method </w:t>
      </w:r>
      <w:r>
        <w:rPr>
          <w:rFonts w:ascii="Times New Roman" w:hAnsi="Times New Roman" w:cs="Times New Roman"/>
        </w:rPr>
        <w:t xml:space="preserve">to </w:t>
      </w:r>
      <w:r w:rsidRPr="008C1A80">
        <w:rPr>
          <w:rFonts w:ascii="Times New Roman" w:hAnsi="Times New Roman" w:cs="Times New Roman"/>
        </w:rPr>
        <w:t>support the</w:t>
      </w:r>
      <w:r w:rsidR="00272AEF">
        <w:rPr>
          <w:rFonts w:ascii="Times New Roman" w:hAnsi="Times New Roman" w:cs="Times New Roman"/>
        </w:rPr>
        <w:t>m</w:t>
      </w:r>
      <w:r w:rsidRPr="008C1A80">
        <w:rPr>
          <w:rFonts w:ascii="Times New Roman" w:hAnsi="Times New Roman" w:cs="Times New Roman"/>
        </w:rPr>
        <w:t>.  At a minimum, this information should be provided</w:t>
      </w:r>
      <w:r>
        <w:rPr>
          <w:rFonts w:ascii="Times New Roman" w:hAnsi="Times New Roman" w:cs="Times New Roman"/>
        </w:rPr>
        <w:t xml:space="preserve"> and become part of Staff’s review</w:t>
      </w:r>
      <w:r w:rsidRPr="008C1A80">
        <w:rPr>
          <w:rFonts w:ascii="Times New Roman" w:hAnsi="Times New Roman" w:cs="Times New Roman"/>
        </w:rPr>
        <w:t>.</w:t>
      </w:r>
    </w:p>
    <w:p w14:paraId="4369FA57" w14:textId="5211D622" w:rsidR="007F6243" w:rsidRDefault="00DD3AEF" w:rsidP="007F6243">
      <w:pPr>
        <w:spacing w:after="0" w:line="480" w:lineRule="auto"/>
        <w:jc w:val="both"/>
        <w:rPr>
          <w:rFonts w:ascii="Times New Roman" w:hAnsi="Times New Roman" w:cs="Times New Roman"/>
        </w:rPr>
      </w:pPr>
      <w:r>
        <w:rPr>
          <w:rFonts w:ascii="Times New Roman" w:hAnsi="Times New Roman" w:cs="Times New Roman"/>
        </w:rPr>
        <w:tab/>
        <w:t>Below is an analysis of the costs and fees that standard 1</w:t>
      </w:r>
      <w:r w:rsidR="00272AEF">
        <w:rPr>
          <w:rFonts w:ascii="Times New Roman" w:hAnsi="Times New Roman" w:cs="Times New Roman"/>
        </w:rPr>
        <w:t xml:space="preserve"> and 3</w:t>
      </w:r>
      <w:r>
        <w:rPr>
          <w:rFonts w:ascii="Times New Roman" w:hAnsi="Times New Roman" w:cs="Times New Roman"/>
        </w:rPr>
        <w:t xml:space="preserve"> MW project</w:t>
      </w:r>
      <w:r w:rsidR="00272AEF">
        <w:rPr>
          <w:rFonts w:ascii="Times New Roman" w:hAnsi="Times New Roman" w:cs="Times New Roman"/>
        </w:rPr>
        <w:t>s</w:t>
      </w:r>
      <w:r>
        <w:rPr>
          <w:rFonts w:ascii="Times New Roman" w:hAnsi="Times New Roman" w:cs="Times New Roman"/>
        </w:rPr>
        <w:t xml:space="preserve"> will incur in Customer Connected</w:t>
      </w:r>
      <w:r w:rsidR="007F6243">
        <w:rPr>
          <w:rFonts w:ascii="Times New Roman" w:hAnsi="Times New Roman" w:cs="Times New Roman"/>
        </w:rPr>
        <w:t>:</w:t>
      </w:r>
    </w:p>
    <w:p w14:paraId="1229DB31" w14:textId="249695A5" w:rsidR="004138FD" w:rsidRDefault="00BB15C4" w:rsidP="007F6243">
      <w:pPr>
        <w:spacing w:after="0" w:line="480" w:lineRule="auto"/>
        <w:jc w:val="both"/>
        <w:rPr>
          <w:rFonts w:ascii="Times New Roman" w:hAnsi="Times New Roman" w:cs="Times New Roman"/>
        </w:rPr>
      </w:pPr>
      <w:r w:rsidRPr="00BB15C4">
        <w:rPr>
          <w:noProof/>
        </w:rPr>
        <w:drawing>
          <wp:inline distT="0" distB="0" distL="0" distR="0" wp14:anchorId="36BF78C6" wp14:editId="190C6A84">
            <wp:extent cx="5943600" cy="3780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780790"/>
                    </a:xfrm>
                    <a:prstGeom prst="rect">
                      <a:avLst/>
                    </a:prstGeom>
                  </pic:spPr>
                </pic:pic>
              </a:graphicData>
            </a:graphic>
          </wp:inline>
        </w:drawing>
      </w:r>
    </w:p>
    <w:p w14:paraId="5C751742" w14:textId="77777777" w:rsidR="008954D0" w:rsidRDefault="008954D0" w:rsidP="008954D0">
      <w:pPr>
        <w:widowControl w:val="0"/>
        <w:spacing w:after="0" w:line="480" w:lineRule="auto"/>
        <w:jc w:val="center"/>
        <w:rPr>
          <w:rFonts w:ascii="Times New Roman" w:hAnsi="Times New Roman" w:cs="Times New Roman"/>
          <w:b/>
          <w:bCs/>
        </w:rPr>
      </w:pPr>
    </w:p>
    <w:p w14:paraId="079A4241" w14:textId="77777777" w:rsidR="008954D0" w:rsidRDefault="008954D0" w:rsidP="008954D0">
      <w:pPr>
        <w:widowControl w:val="0"/>
        <w:spacing w:after="0" w:line="480" w:lineRule="auto"/>
        <w:jc w:val="center"/>
        <w:rPr>
          <w:rFonts w:ascii="Times New Roman" w:hAnsi="Times New Roman" w:cs="Times New Roman"/>
          <w:b/>
          <w:bCs/>
        </w:rPr>
      </w:pPr>
    </w:p>
    <w:p w14:paraId="5F73676C" w14:textId="77777777" w:rsidR="008954D0" w:rsidRDefault="008954D0" w:rsidP="008954D0">
      <w:pPr>
        <w:widowControl w:val="0"/>
        <w:spacing w:after="0" w:line="480" w:lineRule="auto"/>
        <w:jc w:val="center"/>
        <w:rPr>
          <w:rFonts w:ascii="Times New Roman" w:hAnsi="Times New Roman" w:cs="Times New Roman"/>
          <w:b/>
          <w:bCs/>
        </w:rPr>
      </w:pPr>
    </w:p>
    <w:p w14:paraId="1DF9766A" w14:textId="43EC688B" w:rsidR="007F6243" w:rsidRPr="00546ACE" w:rsidRDefault="004138FD" w:rsidP="008954D0">
      <w:pPr>
        <w:widowControl w:val="0"/>
        <w:spacing w:after="0" w:line="480" w:lineRule="auto"/>
        <w:jc w:val="center"/>
        <w:rPr>
          <w:rFonts w:ascii="Times New Roman" w:hAnsi="Times New Roman" w:cs="Times New Roman"/>
          <w:b/>
          <w:bCs/>
        </w:rPr>
      </w:pPr>
      <w:r>
        <w:rPr>
          <w:rFonts w:ascii="Times New Roman" w:hAnsi="Times New Roman" w:cs="Times New Roman"/>
          <w:b/>
          <w:bCs/>
        </w:rPr>
        <w:lastRenderedPageBreak/>
        <w:t>IV.</w:t>
      </w:r>
    </w:p>
    <w:p w14:paraId="5C8AE83D" w14:textId="0AF65565" w:rsidR="00546ACE" w:rsidRDefault="004138FD" w:rsidP="00546ACE">
      <w:pPr>
        <w:spacing w:after="0" w:line="240" w:lineRule="auto"/>
        <w:jc w:val="center"/>
        <w:rPr>
          <w:rFonts w:ascii="Times New Roman" w:hAnsi="Times New Roman" w:cs="Times New Roman"/>
          <w:b/>
          <w:bCs/>
        </w:rPr>
      </w:pPr>
      <w:r>
        <w:rPr>
          <w:rFonts w:ascii="Times New Roman" w:hAnsi="Times New Roman" w:cs="Times New Roman"/>
          <w:b/>
          <w:bCs/>
        </w:rPr>
        <w:t>CONTRACT ISSUES LIMITING THE CUSTOMER’S RIGHTS</w:t>
      </w:r>
    </w:p>
    <w:p w14:paraId="2736CC13" w14:textId="7C3FBA35" w:rsidR="004E2563" w:rsidRDefault="004E2563" w:rsidP="00546ACE">
      <w:pPr>
        <w:spacing w:after="0" w:line="240" w:lineRule="auto"/>
        <w:jc w:val="center"/>
        <w:rPr>
          <w:rFonts w:ascii="Times New Roman" w:hAnsi="Times New Roman" w:cs="Times New Roman"/>
          <w:b/>
          <w:bCs/>
        </w:rPr>
      </w:pPr>
    </w:p>
    <w:p w14:paraId="33D78422" w14:textId="2E4A2BE7" w:rsidR="004E2563" w:rsidRPr="004E2563" w:rsidRDefault="004E2563" w:rsidP="003B1DC7">
      <w:pPr>
        <w:spacing w:after="0" w:line="48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As with other programs, the Guidelines and PPA contain provisions that </w:t>
      </w:r>
      <w:r w:rsidR="003B1DC7">
        <w:rPr>
          <w:rFonts w:ascii="Times New Roman" w:hAnsi="Times New Roman" w:cs="Times New Roman"/>
        </w:rPr>
        <w:t xml:space="preserve">allow the Company to exercise unilateral discretion, </w:t>
      </w:r>
      <w:r>
        <w:rPr>
          <w:rFonts w:ascii="Times New Roman" w:hAnsi="Times New Roman" w:cs="Times New Roman"/>
        </w:rPr>
        <w:t xml:space="preserve">limit the customer’s rights and </w:t>
      </w:r>
      <w:r w:rsidR="003B1DC7">
        <w:rPr>
          <w:rFonts w:ascii="Times New Roman" w:hAnsi="Times New Roman" w:cs="Times New Roman"/>
        </w:rPr>
        <w:t>impose</w:t>
      </w:r>
      <w:r>
        <w:rPr>
          <w:rFonts w:ascii="Times New Roman" w:hAnsi="Times New Roman" w:cs="Times New Roman"/>
        </w:rPr>
        <w:t xml:space="preserve"> penal</w:t>
      </w:r>
      <w:r w:rsidR="003B1DC7">
        <w:rPr>
          <w:rFonts w:ascii="Times New Roman" w:hAnsi="Times New Roman" w:cs="Times New Roman"/>
        </w:rPr>
        <w:t>ties on</w:t>
      </w:r>
      <w:r>
        <w:rPr>
          <w:rFonts w:ascii="Times New Roman" w:hAnsi="Times New Roman" w:cs="Times New Roman"/>
        </w:rPr>
        <w:t xml:space="preserve"> the customer.  </w:t>
      </w:r>
      <w:r w:rsidR="003B1DC7">
        <w:rPr>
          <w:rFonts w:ascii="Times New Roman" w:hAnsi="Times New Roman" w:cs="Times New Roman"/>
        </w:rPr>
        <w:t>S</w:t>
      </w:r>
      <w:r>
        <w:rPr>
          <w:rFonts w:ascii="Times New Roman" w:hAnsi="Times New Roman" w:cs="Times New Roman"/>
        </w:rPr>
        <w:t xml:space="preserve">et forth here </w:t>
      </w:r>
      <w:r w:rsidR="003B1DC7">
        <w:rPr>
          <w:rFonts w:ascii="Times New Roman" w:hAnsi="Times New Roman" w:cs="Times New Roman"/>
        </w:rPr>
        <w:t xml:space="preserve">only </w:t>
      </w:r>
      <w:r>
        <w:rPr>
          <w:rFonts w:ascii="Times New Roman" w:hAnsi="Times New Roman" w:cs="Times New Roman"/>
        </w:rPr>
        <w:t>in bullet point format</w:t>
      </w:r>
      <w:r w:rsidR="003B1DC7">
        <w:rPr>
          <w:rFonts w:ascii="Times New Roman" w:hAnsi="Times New Roman" w:cs="Times New Roman"/>
        </w:rPr>
        <w:t>, o</w:t>
      </w:r>
      <w:r>
        <w:rPr>
          <w:rFonts w:ascii="Times New Roman" w:hAnsi="Times New Roman" w:cs="Times New Roman"/>
        </w:rPr>
        <w:t>bjections to these (or similar provisions) have been raised in comments, testimony or briefs</w:t>
      </w:r>
      <w:r w:rsidR="003B1DC7">
        <w:rPr>
          <w:rFonts w:ascii="Times New Roman" w:hAnsi="Times New Roman" w:cs="Times New Roman"/>
        </w:rPr>
        <w:t xml:space="preserve"> before</w:t>
      </w:r>
      <w:r>
        <w:rPr>
          <w:rFonts w:ascii="Times New Roman" w:hAnsi="Times New Roman" w:cs="Times New Roman"/>
        </w:rPr>
        <w:t xml:space="preserve">.  They are </w:t>
      </w:r>
      <w:r w:rsidR="003B1DC7">
        <w:rPr>
          <w:rFonts w:ascii="Times New Roman" w:hAnsi="Times New Roman" w:cs="Times New Roman"/>
        </w:rPr>
        <w:t>reasserted here to preclude a future argument that they were waived.</w:t>
      </w:r>
    </w:p>
    <w:p w14:paraId="54998FF0" w14:textId="3CAFC581" w:rsidR="00EB61C6" w:rsidRPr="00E079E6" w:rsidRDefault="005749D8" w:rsidP="003B1DC7">
      <w:pPr>
        <w:pStyle w:val="OutlineL5"/>
        <w:numPr>
          <w:ilvl w:val="0"/>
          <w:numId w:val="27"/>
        </w:numPr>
        <w:tabs>
          <w:tab w:val="clear" w:pos="720"/>
        </w:tabs>
        <w:rPr>
          <w:b/>
          <w:bCs/>
          <w:u w:val="single"/>
        </w:rPr>
      </w:pPr>
      <w:r>
        <w:rPr>
          <w:b/>
          <w:bCs/>
          <w:u w:val="single"/>
        </w:rPr>
        <w:t>Company’s unilateral discretion to reject projects/Company’s a</w:t>
      </w:r>
      <w:r w:rsidR="00EB61C6" w:rsidRPr="00E079E6">
        <w:rPr>
          <w:b/>
          <w:bCs/>
          <w:u w:val="single"/>
        </w:rPr>
        <w:t xml:space="preserve">uthority to </w:t>
      </w:r>
      <w:r>
        <w:rPr>
          <w:b/>
          <w:bCs/>
          <w:u w:val="single"/>
        </w:rPr>
        <w:t>r</w:t>
      </w:r>
      <w:r w:rsidR="00EB61C6" w:rsidRPr="00E079E6">
        <w:rPr>
          <w:b/>
          <w:bCs/>
          <w:u w:val="single"/>
        </w:rPr>
        <w:t>eject PPA in conflict with Company business policies</w:t>
      </w:r>
      <w:r w:rsidR="006A72DE" w:rsidRPr="00E079E6">
        <w:rPr>
          <w:b/>
          <w:bCs/>
          <w:u w:val="single"/>
        </w:rPr>
        <w:t>.</w:t>
      </w:r>
    </w:p>
    <w:p w14:paraId="7EDA18D8" w14:textId="670A07A4" w:rsidR="006A72DE" w:rsidRDefault="006A72DE" w:rsidP="006A72DE">
      <w:pPr>
        <w:pStyle w:val="BodyText"/>
      </w:pPr>
      <w:r>
        <w:t>Applicable Provisions:</w:t>
      </w:r>
    </w:p>
    <w:p w14:paraId="15F99AEB" w14:textId="1168DEF2" w:rsidR="00CB1D0E" w:rsidRPr="00546ACE" w:rsidRDefault="00CB1D0E" w:rsidP="006A72DE">
      <w:pPr>
        <w:spacing w:after="0" w:line="240" w:lineRule="auto"/>
        <w:jc w:val="both"/>
        <w:rPr>
          <w:rFonts w:ascii="Times New Roman" w:hAnsi="Times New Roman" w:cs="Times New Roman"/>
          <w:i/>
          <w:iCs/>
        </w:rPr>
      </w:pPr>
      <w:r w:rsidRPr="00546ACE">
        <w:rPr>
          <w:rFonts w:ascii="Times New Roman" w:hAnsi="Times New Roman" w:cs="Times New Roman"/>
          <w:i/>
          <w:iCs/>
        </w:rPr>
        <w:t>Guidelines, III(B)(5), p. 5</w:t>
      </w:r>
      <w:r w:rsidR="00EB61C6" w:rsidRPr="00546ACE">
        <w:rPr>
          <w:rFonts w:ascii="Times New Roman" w:hAnsi="Times New Roman" w:cs="Times New Roman"/>
          <w:i/>
          <w:iCs/>
        </w:rPr>
        <w:t xml:space="preserve">:   </w:t>
      </w:r>
      <w:r w:rsidRPr="00546ACE">
        <w:rPr>
          <w:rFonts w:ascii="Times New Roman" w:hAnsi="Times New Roman" w:cs="Times New Roman"/>
          <w:i/>
          <w:iCs/>
        </w:rPr>
        <w:t>the Company “may reject any Application if it</w:t>
      </w:r>
      <w:r w:rsidR="00EB61C6" w:rsidRPr="00546ACE">
        <w:rPr>
          <w:rFonts w:ascii="Times New Roman" w:hAnsi="Times New Roman" w:cs="Times New Roman"/>
          <w:i/>
          <w:iCs/>
        </w:rPr>
        <w:t xml:space="preserve"> fails to comply with the requirements of these Program Guidelines, and reserves the </w:t>
      </w:r>
      <w:r w:rsidRPr="00546ACE">
        <w:rPr>
          <w:rFonts w:ascii="Times New Roman" w:hAnsi="Times New Roman" w:cs="Times New Roman"/>
          <w:i/>
          <w:iCs/>
        </w:rPr>
        <w:t>right, without qualification and in its sole discretion, to decline to execute a PPA with any Person.</w:t>
      </w:r>
      <w:r w:rsidR="00EB61C6" w:rsidRPr="00546ACE">
        <w:rPr>
          <w:rFonts w:ascii="Times New Roman" w:hAnsi="Times New Roman" w:cs="Times New Roman"/>
          <w:i/>
          <w:iCs/>
        </w:rPr>
        <w:t>”</w:t>
      </w:r>
    </w:p>
    <w:p w14:paraId="2C0EBC49" w14:textId="7A86AE97" w:rsidR="00EB61C6" w:rsidRPr="00546ACE" w:rsidRDefault="00EB61C6" w:rsidP="006A72DE">
      <w:pPr>
        <w:spacing w:after="0" w:line="240" w:lineRule="auto"/>
        <w:jc w:val="both"/>
        <w:rPr>
          <w:rFonts w:ascii="Times New Roman" w:hAnsi="Times New Roman" w:cs="Times New Roman"/>
          <w:i/>
          <w:iCs/>
        </w:rPr>
      </w:pPr>
      <w:r w:rsidRPr="00546ACE">
        <w:rPr>
          <w:rFonts w:ascii="Times New Roman" w:hAnsi="Times New Roman" w:cs="Times New Roman"/>
          <w:i/>
          <w:iCs/>
        </w:rPr>
        <w:t>Guidelines, III(B)(5)(iv), p. 6: “An Application may be rejected if an Applicant requests that the Company take any action that would conflict with Georgia Power’s business policies and procedures.</w:t>
      </w:r>
    </w:p>
    <w:p w14:paraId="449062EB" w14:textId="722FA164" w:rsidR="00EB61C6" w:rsidRDefault="00EB61C6" w:rsidP="00EB61C6">
      <w:pPr>
        <w:spacing w:after="0" w:line="240" w:lineRule="auto"/>
        <w:ind w:firstLine="360"/>
        <w:jc w:val="both"/>
        <w:rPr>
          <w:rFonts w:ascii="Times New Roman" w:hAnsi="Times New Roman" w:cs="Times New Roman"/>
        </w:rPr>
      </w:pPr>
    </w:p>
    <w:p w14:paraId="356C1DE7" w14:textId="48539609" w:rsidR="00634D22" w:rsidRPr="003B1DC7" w:rsidRDefault="00634D22" w:rsidP="003B1DC7">
      <w:pPr>
        <w:pStyle w:val="ListParagraph"/>
        <w:numPr>
          <w:ilvl w:val="0"/>
          <w:numId w:val="27"/>
        </w:numPr>
        <w:spacing w:after="0" w:line="480" w:lineRule="auto"/>
        <w:jc w:val="both"/>
        <w:rPr>
          <w:u w:val="single"/>
        </w:rPr>
      </w:pPr>
      <w:r w:rsidRPr="003B1DC7">
        <w:rPr>
          <w:rFonts w:ascii="Times New Roman" w:hAnsi="Times New Roman" w:cs="Times New Roman"/>
          <w:b/>
          <w:bCs/>
          <w:u w:val="single"/>
        </w:rPr>
        <w:t>“Gag rule</w:t>
      </w:r>
      <w:r w:rsidR="002277EE" w:rsidRPr="003B1DC7">
        <w:rPr>
          <w:rFonts w:ascii="Times New Roman" w:hAnsi="Times New Roman" w:cs="Times New Roman"/>
          <w:b/>
          <w:bCs/>
          <w:u w:val="single"/>
        </w:rPr>
        <w:t>s</w:t>
      </w:r>
      <w:r w:rsidRPr="003B1DC7">
        <w:rPr>
          <w:rFonts w:ascii="Times New Roman" w:hAnsi="Times New Roman" w:cs="Times New Roman"/>
          <w:b/>
          <w:bCs/>
          <w:u w:val="single"/>
        </w:rPr>
        <w:t xml:space="preserve">” </w:t>
      </w:r>
      <w:r w:rsidR="00233921" w:rsidRPr="003B1DC7">
        <w:rPr>
          <w:rFonts w:ascii="Times New Roman" w:hAnsi="Times New Roman" w:cs="Times New Roman"/>
          <w:b/>
          <w:bCs/>
          <w:u w:val="single"/>
        </w:rPr>
        <w:t>prohibiting</w:t>
      </w:r>
      <w:r w:rsidRPr="003B1DC7">
        <w:rPr>
          <w:rFonts w:ascii="Times New Roman" w:hAnsi="Times New Roman" w:cs="Times New Roman"/>
          <w:b/>
          <w:bCs/>
          <w:u w:val="single"/>
        </w:rPr>
        <w:t xml:space="preserve"> customer comments</w:t>
      </w:r>
      <w:r w:rsidR="002277EE" w:rsidRPr="003B1DC7">
        <w:rPr>
          <w:rFonts w:ascii="Times New Roman" w:hAnsi="Times New Roman" w:cs="Times New Roman"/>
          <w:b/>
          <w:bCs/>
          <w:u w:val="single"/>
        </w:rPr>
        <w:t>.</w:t>
      </w:r>
    </w:p>
    <w:p w14:paraId="711377A5" w14:textId="1A94A70A" w:rsidR="00ED0E21" w:rsidRPr="00ED0E21" w:rsidRDefault="00ED0E21" w:rsidP="00ED0E21">
      <w:pPr>
        <w:pStyle w:val="BodyText"/>
      </w:pPr>
      <w:r>
        <w:t>Applicable Provisions:</w:t>
      </w:r>
    </w:p>
    <w:p w14:paraId="694D52F6" w14:textId="5890224F" w:rsidR="00634D22" w:rsidRPr="00546ACE" w:rsidRDefault="00634D22" w:rsidP="00ED0E21">
      <w:pPr>
        <w:spacing w:after="0" w:line="240" w:lineRule="auto"/>
        <w:rPr>
          <w:rFonts w:ascii="Times New Roman" w:hAnsi="Times New Roman" w:cs="Times New Roman"/>
          <w:i/>
          <w:iCs/>
        </w:rPr>
      </w:pPr>
      <w:r w:rsidRPr="00546ACE">
        <w:rPr>
          <w:rFonts w:ascii="Times New Roman" w:hAnsi="Times New Roman" w:cs="Times New Roman"/>
          <w:i/>
          <w:iCs/>
        </w:rPr>
        <w:t>Guidelines, III(B)(7), p. 6:  environmental qualities of facility</w:t>
      </w:r>
    </w:p>
    <w:p w14:paraId="5674A2C6" w14:textId="0DB407FB" w:rsidR="00634D22" w:rsidRPr="00546ACE" w:rsidRDefault="00634D22" w:rsidP="00ED0E21">
      <w:pPr>
        <w:spacing w:after="0" w:line="240" w:lineRule="auto"/>
        <w:rPr>
          <w:rFonts w:ascii="Times New Roman" w:hAnsi="Times New Roman" w:cs="Times New Roman"/>
          <w:i/>
          <w:iCs/>
        </w:rPr>
      </w:pPr>
      <w:r w:rsidRPr="00546ACE">
        <w:rPr>
          <w:rFonts w:ascii="Times New Roman" w:hAnsi="Times New Roman" w:cs="Times New Roman"/>
          <w:i/>
          <w:iCs/>
        </w:rPr>
        <w:t>Guidelines, V(B), p. 9</w:t>
      </w:r>
    </w:p>
    <w:p w14:paraId="4CBDB224" w14:textId="77777777" w:rsidR="00ED0E21" w:rsidRPr="00546ACE" w:rsidRDefault="00634D22" w:rsidP="00ED0E21">
      <w:pPr>
        <w:spacing w:after="0" w:line="240" w:lineRule="auto"/>
        <w:rPr>
          <w:rFonts w:ascii="Times New Roman" w:hAnsi="Times New Roman" w:cs="Times New Roman"/>
          <w:i/>
          <w:iCs/>
        </w:rPr>
      </w:pPr>
      <w:r w:rsidRPr="00546ACE">
        <w:rPr>
          <w:rFonts w:ascii="Times New Roman" w:hAnsi="Times New Roman" w:cs="Times New Roman"/>
          <w:i/>
          <w:iCs/>
        </w:rPr>
        <w:t>Guidelines, V(J), p. 11</w:t>
      </w:r>
    </w:p>
    <w:p w14:paraId="4BA08479" w14:textId="48698929" w:rsidR="00634D22" w:rsidRPr="00546ACE" w:rsidRDefault="00634D22" w:rsidP="00ED0E21">
      <w:pPr>
        <w:spacing w:after="0" w:line="240" w:lineRule="auto"/>
        <w:rPr>
          <w:rFonts w:ascii="Times New Roman" w:hAnsi="Times New Roman" w:cs="Times New Roman"/>
          <w:i/>
          <w:iCs/>
        </w:rPr>
      </w:pPr>
      <w:r w:rsidRPr="00546ACE">
        <w:rPr>
          <w:rFonts w:ascii="Times New Roman" w:hAnsi="Times New Roman" w:cs="Times New Roman"/>
          <w:i/>
          <w:iCs/>
        </w:rPr>
        <w:t>PPA, ¶ 11</w:t>
      </w:r>
      <w:r w:rsidR="00B76684">
        <w:rPr>
          <w:rFonts w:ascii="Times New Roman" w:hAnsi="Times New Roman" w:cs="Times New Roman"/>
          <w:i/>
          <w:iCs/>
        </w:rPr>
        <w:t xml:space="preserve">(a), p. </w:t>
      </w:r>
      <w:proofErr w:type="gramStart"/>
      <w:r w:rsidR="00B76684">
        <w:rPr>
          <w:rFonts w:ascii="Times New Roman" w:hAnsi="Times New Roman" w:cs="Times New Roman"/>
          <w:i/>
          <w:iCs/>
        </w:rPr>
        <w:t xml:space="preserve">5 </w:t>
      </w:r>
      <w:r w:rsidRPr="00546ACE">
        <w:rPr>
          <w:rFonts w:ascii="Times New Roman" w:hAnsi="Times New Roman" w:cs="Times New Roman"/>
          <w:i/>
          <w:iCs/>
        </w:rPr>
        <w:t xml:space="preserve"> –</w:t>
      </w:r>
      <w:proofErr w:type="gramEnd"/>
      <w:r w:rsidRPr="00546ACE">
        <w:rPr>
          <w:rFonts w:ascii="Times New Roman" w:hAnsi="Times New Roman" w:cs="Times New Roman"/>
          <w:i/>
          <w:iCs/>
        </w:rPr>
        <w:t xml:space="preserve"> environmental attributes, same as </w:t>
      </w:r>
      <w:r w:rsidR="00B76684">
        <w:rPr>
          <w:rFonts w:ascii="Times New Roman" w:hAnsi="Times New Roman" w:cs="Times New Roman"/>
          <w:i/>
          <w:iCs/>
        </w:rPr>
        <w:t xml:space="preserve"> Guidelines, III(B)(7)</w:t>
      </w:r>
    </w:p>
    <w:p w14:paraId="68070346" w14:textId="57A9C001" w:rsidR="00634D22" w:rsidRPr="00546ACE" w:rsidRDefault="00634D22" w:rsidP="00ED0E21">
      <w:pPr>
        <w:spacing w:after="0" w:line="240" w:lineRule="auto"/>
        <w:rPr>
          <w:rFonts w:ascii="Times New Roman" w:hAnsi="Times New Roman" w:cs="Times New Roman"/>
          <w:i/>
          <w:iCs/>
        </w:rPr>
      </w:pPr>
      <w:r w:rsidRPr="00546ACE">
        <w:rPr>
          <w:rFonts w:ascii="Times New Roman" w:hAnsi="Times New Roman" w:cs="Times New Roman"/>
          <w:i/>
          <w:iCs/>
        </w:rPr>
        <w:t>PPA, § 17(b, c)</w:t>
      </w:r>
      <w:r w:rsidR="0036645C">
        <w:rPr>
          <w:rFonts w:ascii="Times New Roman" w:hAnsi="Times New Roman" w:cs="Times New Roman"/>
          <w:i/>
          <w:iCs/>
        </w:rPr>
        <w:t>, p. 12-13.</w:t>
      </w:r>
    </w:p>
    <w:p w14:paraId="70159527" w14:textId="5F3EC046" w:rsidR="00634D22" w:rsidRPr="00634D22" w:rsidRDefault="00634D22" w:rsidP="00634D22">
      <w:pPr>
        <w:spacing w:after="0" w:line="240" w:lineRule="auto"/>
        <w:rPr>
          <w:rFonts w:ascii="Times New Roman" w:hAnsi="Times New Roman" w:cs="Times New Roman"/>
        </w:rPr>
      </w:pPr>
    </w:p>
    <w:p w14:paraId="37BEF8A8" w14:textId="61221706" w:rsidR="00874F31" w:rsidRPr="003B1DC7" w:rsidRDefault="00874F31" w:rsidP="003B1DC7">
      <w:pPr>
        <w:pStyle w:val="ListParagraph"/>
        <w:numPr>
          <w:ilvl w:val="0"/>
          <w:numId w:val="27"/>
        </w:numPr>
        <w:spacing w:after="0" w:line="480" w:lineRule="auto"/>
        <w:jc w:val="both"/>
        <w:rPr>
          <w:rFonts w:ascii="Times New Roman" w:hAnsi="Times New Roman" w:cs="Times New Roman"/>
          <w:b/>
          <w:bCs/>
          <w:u w:val="single"/>
        </w:rPr>
      </w:pPr>
      <w:r w:rsidRPr="003B1DC7">
        <w:rPr>
          <w:rFonts w:ascii="Times New Roman" w:hAnsi="Times New Roman" w:cs="Times New Roman"/>
          <w:b/>
          <w:bCs/>
          <w:u w:val="single"/>
        </w:rPr>
        <w:t>Liquidated Damages</w:t>
      </w:r>
      <w:r w:rsidR="001E2F40" w:rsidRPr="003B1DC7">
        <w:rPr>
          <w:rFonts w:ascii="Times New Roman" w:hAnsi="Times New Roman" w:cs="Times New Roman"/>
          <w:b/>
          <w:bCs/>
          <w:u w:val="single"/>
        </w:rPr>
        <w:t xml:space="preserve"> </w:t>
      </w:r>
      <w:r w:rsidRPr="003B1DC7">
        <w:rPr>
          <w:rFonts w:ascii="Times New Roman" w:hAnsi="Times New Roman" w:cs="Times New Roman"/>
          <w:b/>
          <w:bCs/>
          <w:u w:val="single"/>
        </w:rPr>
        <w:t>(Delay and Termination)</w:t>
      </w:r>
      <w:r w:rsidR="003B1DC7">
        <w:rPr>
          <w:rFonts w:ascii="Times New Roman" w:hAnsi="Times New Roman" w:cs="Times New Roman"/>
          <w:b/>
          <w:bCs/>
          <w:u w:val="single"/>
        </w:rPr>
        <w:t xml:space="preserve"> as a penalty under Georgia law.</w:t>
      </w:r>
    </w:p>
    <w:p w14:paraId="65989111" w14:textId="031471D5" w:rsidR="00874F31" w:rsidRDefault="00005BF4" w:rsidP="00934F03">
      <w:pPr>
        <w:spacing w:after="0" w:line="240" w:lineRule="auto"/>
        <w:rPr>
          <w:rFonts w:ascii="Times New Roman" w:hAnsi="Times New Roman" w:cs="Times New Roman"/>
        </w:rPr>
      </w:pPr>
      <w:r>
        <w:rPr>
          <w:rFonts w:ascii="Times New Roman" w:hAnsi="Times New Roman" w:cs="Times New Roman"/>
        </w:rPr>
        <w:t xml:space="preserve">Applicable </w:t>
      </w:r>
      <w:r w:rsidR="00ED0E21">
        <w:rPr>
          <w:rFonts w:ascii="Times New Roman" w:hAnsi="Times New Roman" w:cs="Times New Roman"/>
        </w:rPr>
        <w:t>P</w:t>
      </w:r>
      <w:r>
        <w:rPr>
          <w:rFonts w:ascii="Times New Roman" w:hAnsi="Times New Roman" w:cs="Times New Roman"/>
        </w:rPr>
        <w:t>rovisions:</w:t>
      </w:r>
    </w:p>
    <w:p w14:paraId="7E4D4092" w14:textId="77777777" w:rsidR="00005BF4" w:rsidRPr="00005BF4" w:rsidRDefault="00005BF4" w:rsidP="00005BF4">
      <w:pPr>
        <w:spacing w:after="0" w:line="240" w:lineRule="auto"/>
        <w:ind w:left="360"/>
        <w:rPr>
          <w:rFonts w:ascii="Times New Roman" w:hAnsi="Times New Roman" w:cs="Times New Roman"/>
        </w:rPr>
      </w:pPr>
    </w:p>
    <w:p w14:paraId="3456167B" w14:textId="2D408D7B" w:rsidR="00874F31" w:rsidRPr="00005BF4" w:rsidRDefault="00874F31" w:rsidP="00934F03">
      <w:pPr>
        <w:spacing w:after="0" w:line="240" w:lineRule="auto"/>
        <w:rPr>
          <w:rFonts w:ascii="Times New Roman" w:hAnsi="Times New Roman" w:cs="Times New Roman"/>
        </w:rPr>
      </w:pPr>
      <w:r w:rsidRPr="00005BF4">
        <w:rPr>
          <w:rFonts w:ascii="Times New Roman" w:hAnsi="Times New Roman" w:cs="Times New Roman"/>
          <w:b/>
          <w:bCs/>
        </w:rPr>
        <w:t>Delay</w:t>
      </w:r>
      <w:r w:rsidR="00DD3AEF">
        <w:rPr>
          <w:rFonts w:ascii="Times New Roman" w:hAnsi="Times New Roman" w:cs="Times New Roman"/>
          <w:b/>
          <w:bCs/>
        </w:rPr>
        <w:t xml:space="preserve"> </w:t>
      </w:r>
      <w:r w:rsidR="00005BF4">
        <w:rPr>
          <w:rFonts w:ascii="Times New Roman" w:hAnsi="Times New Roman" w:cs="Times New Roman"/>
          <w:b/>
          <w:bCs/>
        </w:rPr>
        <w:t>Damages</w:t>
      </w:r>
      <w:r w:rsidRPr="00005BF4">
        <w:rPr>
          <w:rFonts w:ascii="Times New Roman" w:hAnsi="Times New Roman" w:cs="Times New Roman"/>
          <w:b/>
          <w:bCs/>
        </w:rPr>
        <w:t>:</w:t>
      </w:r>
    </w:p>
    <w:p w14:paraId="44ADC2DD" w14:textId="042324AC" w:rsidR="00874F31" w:rsidRPr="00546ACE" w:rsidRDefault="00874F31" w:rsidP="00934F03">
      <w:pPr>
        <w:spacing w:after="0" w:line="240" w:lineRule="auto"/>
        <w:rPr>
          <w:rFonts w:ascii="Times New Roman" w:hAnsi="Times New Roman" w:cs="Times New Roman"/>
          <w:i/>
          <w:iCs/>
        </w:rPr>
      </w:pPr>
      <w:r w:rsidRPr="00546ACE">
        <w:rPr>
          <w:rFonts w:ascii="Times New Roman" w:hAnsi="Times New Roman" w:cs="Times New Roman"/>
          <w:i/>
          <w:iCs/>
        </w:rPr>
        <w:t>Guidelines, V(C), p. 9 (damages for failure to complete Interconnection facilities; customer failure to meet its own construction schedule</w:t>
      </w:r>
    </w:p>
    <w:p w14:paraId="4B3405DA" w14:textId="35EDCD3B" w:rsidR="00874F31" w:rsidRPr="00546ACE" w:rsidRDefault="00874F31" w:rsidP="00934F03">
      <w:pPr>
        <w:spacing w:after="0"/>
        <w:rPr>
          <w:rFonts w:ascii="Times New Roman" w:hAnsi="Times New Roman" w:cs="Times New Roman"/>
          <w:i/>
          <w:iCs/>
        </w:rPr>
      </w:pPr>
      <w:r w:rsidRPr="00546ACE">
        <w:rPr>
          <w:rFonts w:ascii="Times New Roman" w:hAnsi="Times New Roman" w:cs="Times New Roman"/>
          <w:i/>
          <w:iCs/>
        </w:rPr>
        <w:lastRenderedPageBreak/>
        <w:t>Guidelines, V(F), p. 10 (damages for failure to achieve RMCD, failure to request Initial Synchronization by Notice Date</w:t>
      </w:r>
    </w:p>
    <w:p w14:paraId="6D24E5E5" w14:textId="74F4CE7F" w:rsidR="00934F03" w:rsidRPr="00546ACE" w:rsidRDefault="00874F31" w:rsidP="00934F03">
      <w:pPr>
        <w:spacing w:after="0" w:line="240" w:lineRule="auto"/>
        <w:rPr>
          <w:rFonts w:ascii="Times New Roman" w:hAnsi="Times New Roman" w:cs="Times New Roman"/>
          <w:i/>
          <w:iCs/>
        </w:rPr>
      </w:pPr>
      <w:r w:rsidRPr="00546ACE">
        <w:rPr>
          <w:rFonts w:ascii="Times New Roman" w:hAnsi="Times New Roman" w:cs="Times New Roman"/>
          <w:i/>
          <w:iCs/>
        </w:rPr>
        <w:t>PPA, ¶ 8(</w:t>
      </w:r>
      <w:proofErr w:type="spellStart"/>
      <w:r w:rsidRPr="00546ACE">
        <w:rPr>
          <w:rFonts w:ascii="Times New Roman" w:hAnsi="Times New Roman" w:cs="Times New Roman"/>
          <w:i/>
          <w:iCs/>
        </w:rPr>
        <w:t>b,c</w:t>
      </w:r>
      <w:proofErr w:type="spellEnd"/>
      <w:r w:rsidRPr="00546ACE">
        <w:rPr>
          <w:rFonts w:ascii="Times New Roman" w:hAnsi="Times New Roman" w:cs="Times New Roman"/>
          <w:i/>
          <w:iCs/>
        </w:rPr>
        <w:t>), p. 2-3 (Grid sets damages for failure to meet RMCD; due in 5 days; if not paid Eligible Collateral increased $9/kW up to $90,000; synchronization tied to payment of delay damages</w:t>
      </w:r>
      <w:r w:rsidR="00934F03" w:rsidRPr="00546ACE">
        <w:rPr>
          <w:rFonts w:ascii="Times New Roman" w:hAnsi="Times New Roman" w:cs="Times New Roman"/>
          <w:i/>
          <w:iCs/>
        </w:rPr>
        <w:t>)</w:t>
      </w:r>
    </w:p>
    <w:p w14:paraId="2D9638C5" w14:textId="422F4FCE" w:rsidR="00874F31" w:rsidRPr="00546ACE" w:rsidRDefault="00874F31" w:rsidP="00934F03">
      <w:pPr>
        <w:spacing w:after="0" w:line="240" w:lineRule="auto"/>
        <w:rPr>
          <w:rFonts w:ascii="Times New Roman" w:hAnsi="Times New Roman" w:cs="Times New Roman"/>
          <w:i/>
          <w:iCs/>
        </w:rPr>
      </w:pPr>
      <w:r w:rsidRPr="00546ACE">
        <w:rPr>
          <w:rFonts w:ascii="Times New Roman" w:hAnsi="Times New Roman" w:cs="Times New Roman"/>
          <w:i/>
          <w:iCs/>
        </w:rPr>
        <w:t>PPA, § 16(a)(</w:t>
      </w:r>
      <w:proofErr w:type="spellStart"/>
      <w:r w:rsidRPr="00546ACE">
        <w:rPr>
          <w:rFonts w:ascii="Times New Roman" w:hAnsi="Times New Roman" w:cs="Times New Roman"/>
          <w:i/>
          <w:iCs/>
        </w:rPr>
        <w:t>i</w:t>
      </w:r>
      <w:proofErr w:type="spellEnd"/>
      <w:r w:rsidRPr="00546ACE">
        <w:rPr>
          <w:rFonts w:ascii="Times New Roman" w:hAnsi="Times New Roman" w:cs="Times New Roman"/>
          <w:i/>
          <w:iCs/>
        </w:rPr>
        <w:t>), p. 9 (Default kicks in delay damages)</w:t>
      </w:r>
    </w:p>
    <w:p w14:paraId="7D9707EE" w14:textId="551687CE" w:rsidR="00874F31" w:rsidRPr="00546ACE" w:rsidRDefault="00874F31" w:rsidP="00934F03">
      <w:pPr>
        <w:spacing w:after="0" w:line="240" w:lineRule="auto"/>
        <w:rPr>
          <w:rFonts w:ascii="Times New Roman" w:hAnsi="Times New Roman" w:cs="Times New Roman"/>
          <w:i/>
          <w:iCs/>
        </w:rPr>
      </w:pPr>
      <w:r w:rsidRPr="00546ACE">
        <w:rPr>
          <w:rFonts w:ascii="Times New Roman" w:hAnsi="Times New Roman" w:cs="Times New Roman"/>
          <w:i/>
          <w:iCs/>
        </w:rPr>
        <w:t>PPA, Attachment 2, definition of “delay damages”</w:t>
      </w:r>
    </w:p>
    <w:p w14:paraId="663AA313" w14:textId="77777777" w:rsidR="00874F31" w:rsidRPr="00874F31" w:rsidRDefault="00874F31" w:rsidP="00874F31">
      <w:pPr>
        <w:spacing w:after="0" w:line="240" w:lineRule="auto"/>
        <w:ind w:left="360"/>
        <w:rPr>
          <w:rFonts w:ascii="Times New Roman" w:hAnsi="Times New Roman" w:cs="Times New Roman"/>
        </w:rPr>
      </w:pPr>
    </w:p>
    <w:p w14:paraId="362669CD" w14:textId="0554C818" w:rsidR="00874F31" w:rsidRPr="00005BF4" w:rsidRDefault="00874F31" w:rsidP="00934F03">
      <w:pPr>
        <w:spacing w:after="0" w:line="240" w:lineRule="auto"/>
        <w:rPr>
          <w:rFonts w:ascii="Times New Roman" w:hAnsi="Times New Roman" w:cs="Times New Roman"/>
          <w:b/>
          <w:bCs/>
        </w:rPr>
      </w:pPr>
      <w:r w:rsidRPr="00005BF4">
        <w:rPr>
          <w:rFonts w:ascii="Times New Roman" w:hAnsi="Times New Roman" w:cs="Times New Roman"/>
          <w:b/>
          <w:bCs/>
        </w:rPr>
        <w:t>Termination</w:t>
      </w:r>
      <w:r w:rsidR="00005BF4">
        <w:rPr>
          <w:rFonts w:ascii="Times New Roman" w:hAnsi="Times New Roman" w:cs="Times New Roman"/>
          <w:b/>
          <w:bCs/>
        </w:rPr>
        <w:t xml:space="preserve"> Damages</w:t>
      </w:r>
      <w:r w:rsidRPr="00005BF4">
        <w:rPr>
          <w:rFonts w:ascii="Times New Roman" w:hAnsi="Times New Roman" w:cs="Times New Roman"/>
          <w:b/>
          <w:bCs/>
        </w:rPr>
        <w:t xml:space="preserve">: </w:t>
      </w:r>
    </w:p>
    <w:p w14:paraId="5D05A224" w14:textId="4109CD9C" w:rsidR="00874F31" w:rsidRPr="00546ACE" w:rsidRDefault="00874F31" w:rsidP="00934F03">
      <w:pPr>
        <w:spacing w:after="0" w:line="240" w:lineRule="auto"/>
        <w:rPr>
          <w:rFonts w:ascii="Times New Roman" w:hAnsi="Times New Roman" w:cs="Times New Roman"/>
          <w:i/>
          <w:iCs/>
        </w:rPr>
      </w:pPr>
      <w:r w:rsidRPr="00546ACE">
        <w:rPr>
          <w:rFonts w:ascii="Times New Roman" w:hAnsi="Times New Roman" w:cs="Times New Roman"/>
          <w:i/>
          <w:iCs/>
        </w:rPr>
        <w:t>Termination damages due to customer default, as shown in Appendix A, non-residential only</w:t>
      </w:r>
    </w:p>
    <w:p w14:paraId="3C2A3384" w14:textId="77777777" w:rsidR="00874F31" w:rsidRPr="00546ACE" w:rsidRDefault="00874F31" w:rsidP="00934F03">
      <w:pPr>
        <w:spacing w:after="0" w:line="240" w:lineRule="auto"/>
        <w:rPr>
          <w:rFonts w:ascii="Times New Roman" w:hAnsi="Times New Roman" w:cs="Times New Roman"/>
          <w:i/>
          <w:iCs/>
        </w:rPr>
      </w:pPr>
      <w:r w:rsidRPr="00546ACE">
        <w:rPr>
          <w:rFonts w:ascii="Times New Roman" w:hAnsi="Times New Roman" w:cs="Times New Roman"/>
          <w:i/>
          <w:iCs/>
        </w:rPr>
        <w:t>Guidelines, V(H)</w:t>
      </w:r>
    </w:p>
    <w:p w14:paraId="3A073322" w14:textId="3021C3D9" w:rsidR="00874F31" w:rsidRPr="00546ACE" w:rsidRDefault="00874F31" w:rsidP="00934F03">
      <w:pPr>
        <w:spacing w:after="0" w:line="240" w:lineRule="auto"/>
        <w:rPr>
          <w:rFonts w:ascii="Times New Roman" w:hAnsi="Times New Roman" w:cs="Times New Roman"/>
          <w:i/>
          <w:iCs/>
        </w:rPr>
      </w:pPr>
      <w:r w:rsidRPr="00546ACE">
        <w:rPr>
          <w:rFonts w:ascii="Times New Roman" w:hAnsi="Times New Roman" w:cs="Times New Roman"/>
          <w:i/>
          <w:iCs/>
        </w:rPr>
        <w:t>PPA, § 16(b)(ii)</w:t>
      </w:r>
    </w:p>
    <w:p w14:paraId="0309615E" w14:textId="19E8F817" w:rsidR="00874F31" w:rsidRDefault="00874F31" w:rsidP="00874F31">
      <w:pPr>
        <w:spacing w:after="0" w:line="240" w:lineRule="auto"/>
        <w:rPr>
          <w:rFonts w:ascii="Times New Roman" w:hAnsi="Times New Roman" w:cs="Times New Roman"/>
        </w:rPr>
      </w:pPr>
    </w:p>
    <w:p w14:paraId="18273B44" w14:textId="78EC915E" w:rsidR="000B4751" w:rsidRDefault="004138FD" w:rsidP="003B1DC7">
      <w:pPr>
        <w:spacing w:after="0" w:line="480" w:lineRule="auto"/>
        <w:jc w:val="center"/>
        <w:rPr>
          <w:rFonts w:ascii="Times New Roman" w:hAnsi="Times New Roman" w:cs="Times New Roman"/>
          <w:iCs/>
        </w:rPr>
      </w:pPr>
      <w:r>
        <w:rPr>
          <w:rFonts w:ascii="Times New Roman" w:hAnsi="Times New Roman" w:cs="Times New Roman"/>
          <w:iCs/>
        </w:rPr>
        <w:t>CONCLUSION</w:t>
      </w:r>
    </w:p>
    <w:p w14:paraId="53CC6B4A" w14:textId="555AB168" w:rsidR="00730F2E" w:rsidRDefault="00730F2E" w:rsidP="00730F2E">
      <w:pPr>
        <w:spacing w:after="0" w:line="480" w:lineRule="auto"/>
        <w:jc w:val="both"/>
        <w:rPr>
          <w:rFonts w:ascii="Times New Roman" w:hAnsi="Times New Roman" w:cs="Times New Roman"/>
          <w:iCs/>
        </w:rPr>
      </w:pPr>
      <w:r>
        <w:rPr>
          <w:rFonts w:ascii="Times New Roman" w:hAnsi="Times New Roman" w:cs="Times New Roman"/>
          <w:iCs/>
        </w:rPr>
        <w:tab/>
        <w:t>Based on the above and foregoing, GSEIA requests that the Commission:</w:t>
      </w:r>
    </w:p>
    <w:p w14:paraId="2690E80B" w14:textId="476E6ECF" w:rsidR="00730F2E" w:rsidRDefault="00730F2E" w:rsidP="00730F2E">
      <w:pPr>
        <w:pStyle w:val="ListParagraph"/>
        <w:numPr>
          <w:ilvl w:val="0"/>
          <w:numId w:val="24"/>
        </w:numPr>
        <w:spacing w:after="0" w:line="480" w:lineRule="auto"/>
        <w:jc w:val="both"/>
        <w:rPr>
          <w:rFonts w:ascii="Times New Roman" w:hAnsi="Times New Roman" w:cs="Times New Roman"/>
        </w:rPr>
      </w:pPr>
      <w:r>
        <w:rPr>
          <w:rFonts w:ascii="Times New Roman" w:hAnsi="Times New Roman" w:cs="Times New Roman"/>
        </w:rPr>
        <w:t>Reject the Company’s Program Guidelines and pro forma PPA, as filed;</w:t>
      </w:r>
    </w:p>
    <w:p w14:paraId="1D7BCCFF" w14:textId="729DE645" w:rsidR="00730F2E" w:rsidRDefault="00730F2E" w:rsidP="00730F2E">
      <w:pPr>
        <w:pStyle w:val="ListParagraph"/>
        <w:numPr>
          <w:ilvl w:val="0"/>
          <w:numId w:val="24"/>
        </w:numPr>
        <w:spacing w:after="0" w:line="480" w:lineRule="auto"/>
        <w:jc w:val="both"/>
        <w:rPr>
          <w:rFonts w:ascii="Times New Roman" w:hAnsi="Times New Roman" w:cs="Times New Roman"/>
        </w:rPr>
      </w:pPr>
      <w:r>
        <w:rPr>
          <w:rFonts w:ascii="Times New Roman" w:hAnsi="Times New Roman" w:cs="Times New Roman"/>
        </w:rPr>
        <w:t xml:space="preserve">Direct the Company to </w:t>
      </w:r>
      <w:r w:rsidR="00E001DB">
        <w:rPr>
          <w:rFonts w:ascii="Times New Roman" w:hAnsi="Times New Roman" w:cs="Times New Roman"/>
        </w:rPr>
        <w:t xml:space="preserve">implement </w:t>
      </w:r>
      <w:r>
        <w:rPr>
          <w:rFonts w:ascii="Times New Roman" w:hAnsi="Times New Roman" w:cs="Times New Roman"/>
        </w:rPr>
        <w:t>the Program Guidelines and pro forma PPA</w:t>
      </w:r>
      <w:r w:rsidR="00E001DB">
        <w:rPr>
          <w:rFonts w:ascii="Times New Roman" w:hAnsi="Times New Roman" w:cs="Times New Roman"/>
        </w:rPr>
        <w:t xml:space="preserve"> used in the REDI Customer Sited Distributed Generation program, with two exceptions:</w:t>
      </w:r>
    </w:p>
    <w:p w14:paraId="24728C7D" w14:textId="5E00996F" w:rsidR="00E001DB" w:rsidRDefault="00E001DB" w:rsidP="00E001DB">
      <w:pPr>
        <w:pStyle w:val="ListParagraph"/>
        <w:numPr>
          <w:ilvl w:val="0"/>
          <w:numId w:val="25"/>
        </w:numPr>
        <w:spacing w:after="0" w:line="480" w:lineRule="auto"/>
        <w:jc w:val="both"/>
        <w:rPr>
          <w:rFonts w:ascii="Times New Roman" w:hAnsi="Times New Roman" w:cs="Times New Roman"/>
        </w:rPr>
      </w:pPr>
      <w:r>
        <w:rPr>
          <w:rFonts w:ascii="Times New Roman" w:hAnsi="Times New Roman" w:cs="Times New Roman"/>
        </w:rPr>
        <w:t xml:space="preserve"> That Applications in the program be accepted as set forth in the Customer Connected Program Guidelines, Section </w:t>
      </w:r>
      <w:proofErr w:type="gramStart"/>
      <w:r>
        <w:rPr>
          <w:rFonts w:ascii="Times New Roman" w:hAnsi="Times New Roman" w:cs="Times New Roman"/>
        </w:rPr>
        <w:t>B(</w:t>
      </w:r>
      <w:proofErr w:type="gramEnd"/>
      <w:r>
        <w:rPr>
          <w:rFonts w:ascii="Times New Roman" w:hAnsi="Times New Roman" w:cs="Times New Roman"/>
        </w:rPr>
        <w:t>2); and</w:t>
      </w:r>
    </w:p>
    <w:p w14:paraId="580B3235" w14:textId="64B1C58B" w:rsidR="00E001DB" w:rsidRDefault="00E001DB" w:rsidP="00E001DB">
      <w:pPr>
        <w:pStyle w:val="ListParagraph"/>
        <w:numPr>
          <w:ilvl w:val="0"/>
          <w:numId w:val="25"/>
        </w:numPr>
        <w:spacing w:after="0" w:line="480" w:lineRule="auto"/>
        <w:jc w:val="both"/>
        <w:rPr>
          <w:rFonts w:ascii="Times New Roman" w:hAnsi="Times New Roman" w:cs="Times New Roman"/>
        </w:rPr>
      </w:pPr>
      <w:r>
        <w:rPr>
          <w:rFonts w:ascii="Times New Roman" w:hAnsi="Times New Roman" w:cs="Times New Roman"/>
        </w:rPr>
        <w:t xml:space="preserve"> </w:t>
      </w:r>
      <w:r w:rsidR="001404D2">
        <w:rPr>
          <w:rFonts w:ascii="Times New Roman" w:hAnsi="Times New Roman" w:cs="Times New Roman"/>
        </w:rPr>
        <w:t xml:space="preserve">That the Company will retire the Renewable Energy Credits associated with the Solar Output for the benefit of the Customer, </w:t>
      </w:r>
      <w:r w:rsidR="00043E25">
        <w:rPr>
          <w:rFonts w:ascii="Times New Roman" w:hAnsi="Times New Roman" w:cs="Times New Roman"/>
        </w:rPr>
        <w:t>as set forth in Cust</w:t>
      </w:r>
      <w:r w:rsidR="001A69EA">
        <w:rPr>
          <w:rFonts w:ascii="Times New Roman" w:hAnsi="Times New Roman" w:cs="Times New Roman"/>
        </w:rPr>
        <w:t>om</w:t>
      </w:r>
      <w:r w:rsidR="00043E25">
        <w:rPr>
          <w:rFonts w:ascii="Times New Roman" w:hAnsi="Times New Roman" w:cs="Times New Roman"/>
        </w:rPr>
        <w:t xml:space="preserve">er Connected Program </w:t>
      </w:r>
      <w:r w:rsidR="001404D2">
        <w:rPr>
          <w:rFonts w:ascii="Times New Roman" w:hAnsi="Times New Roman" w:cs="Times New Roman"/>
        </w:rPr>
        <w:t>Guidelines, Section V(B).</w:t>
      </w:r>
    </w:p>
    <w:p w14:paraId="4547A428" w14:textId="77777777" w:rsidR="008954D0" w:rsidRDefault="008954D0">
      <w:pPr>
        <w:rPr>
          <w:rFonts w:ascii="Times New Roman" w:eastAsia="Times New Roman" w:hAnsi="Times New Roman" w:cs="Times New Roman"/>
        </w:rPr>
      </w:pPr>
      <w:r>
        <w:rPr>
          <w:rFonts w:ascii="Times New Roman" w:eastAsia="Times New Roman" w:hAnsi="Times New Roman" w:cs="Times New Roman"/>
        </w:rPr>
        <w:br w:type="page"/>
      </w:r>
    </w:p>
    <w:p w14:paraId="3CC437F3" w14:textId="69538CA6"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firstLine="720"/>
        <w:jc w:val="both"/>
        <w:rPr>
          <w:rFonts w:ascii="Times New Roman" w:eastAsia="Times New Roman" w:hAnsi="Times New Roman" w:cs="Times New Roman"/>
        </w:rPr>
      </w:pPr>
      <w:r w:rsidRPr="00F44642">
        <w:rPr>
          <w:rFonts w:ascii="Times New Roman" w:eastAsia="Times New Roman" w:hAnsi="Times New Roman" w:cs="Times New Roman"/>
        </w:rPr>
        <w:lastRenderedPageBreak/>
        <w:t xml:space="preserve">This </w:t>
      </w:r>
      <w:r w:rsidR="00103B8C">
        <w:rPr>
          <w:rFonts w:ascii="Times New Roman" w:eastAsia="Times New Roman" w:hAnsi="Times New Roman" w:cs="Times New Roman"/>
        </w:rPr>
        <w:t>11</w:t>
      </w:r>
      <w:r w:rsidRPr="00F44642">
        <w:rPr>
          <w:rFonts w:ascii="Times New Roman" w:eastAsia="Times New Roman" w:hAnsi="Times New Roman" w:cs="Times New Roman"/>
          <w:vertAlign w:val="superscript"/>
        </w:rPr>
        <w:t>th</w:t>
      </w:r>
      <w:r w:rsidRPr="00F44642">
        <w:rPr>
          <w:rFonts w:ascii="Times New Roman" w:eastAsia="Times New Roman" w:hAnsi="Times New Roman" w:cs="Times New Roman"/>
        </w:rPr>
        <w:t xml:space="preserve"> day of </w:t>
      </w:r>
      <w:proofErr w:type="gramStart"/>
      <w:r>
        <w:rPr>
          <w:rFonts w:ascii="Times New Roman" w:eastAsia="Times New Roman" w:hAnsi="Times New Roman" w:cs="Times New Roman"/>
        </w:rPr>
        <w:t>May,</w:t>
      </w:r>
      <w:proofErr w:type="gramEnd"/>
      <w:r>
        <w:rPr>
          <w:rFonts w:ascii="Times New Roman" w:eastAsia="Times New Roman" w:hAnsi="Times New Roman" w:cs="Times New Roman"/>
        </w:rPr>
        <w:t xml:space="preserve"> 2020.</w:t>
      </w:r>
    </w:p>
    <w:p w14:paraId="4EA34722"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rPr>
      </w:pPr>
      <w:r w:rsidRPr="00F44642">
        <w:rPr>
          <w:rFonts w:ascii="Times New Roman" w:eastAsia="Times New Roman" w:hAnsi="Times New Roman" w:cs="Times New Roman"/>
        </w:rPr>
        <w:t>GALLOWAY &amp; LYNDALL, LLP</w:t>
      </w:r>
    </w:p>
    <w:p w14:paraId="22094836" w14:textId="0A1C55C5" w:rsidR="00214FA6"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F44642">
        <w:rPr>
          <w:rFonts w:ascii="Times New Roman" w:eastAsia="Times New Roman" w:hAnsi="Times New Roman" w:cs="Times New Roman"/>
        </w:rPr>
        <w:t xml:space="preserve">Counsel for </w:t>
      </w:r>
      <w:r w:rsidRPr="00123DDC">
        <w:rPr>
          <w:rFonts w:ascii="Times New Roman" w:hAnsi="Times New Roman" w:cs="Times New Roman"/>
        </w:rPr>
        <w:t>Georgia Solar</w:t>
      </w:r>
      <w:r>
        <w:rPr>
          <w:rFonts w:ascii="Times New Roman" w:hAnsi="Times New Roman" w:cs="Times New Roman"/>
        </w:rPr>
        <w:t xml:space="preserve"> </w:t>
      </w:r>
      <w:r w:rsidRPr="00123DDC">
        <w:rPr>
          <w:rFonts w:ascii="Times New Roman" w:hAnsi="Times New Roman" w:cs="Times New Roman"/>
        </w:rPr>
        <w:t xml:space="preserve">Energy </w:t>
      </w:r>
    </w:p>
    <w:p w14:paraId="59240826" w14:textId="3F792C52"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23DDC">
        <w:rPr>
          <w:rFonts w:ascii="Times New Roman" w:hAnsi="Times New Roman" w:cs="Times New Roman"/>
        </w:rPr>
        <w:t>Industries Association, Inc.</w:t>
      </w:r>
    </w:p>
    <w:p w14:paraId="68ECC5BB" w14:textId="56596D0D" w:rsidR="00214FA6"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rPr>
      </w:pPr>
    </w:p>
    <w:p w14:paraId="374C6CE2"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p>
    <w:p w14:paraId="09F9ECAD" w14:textId="2562C890"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p>
    <w:p w14:paraId="53F962C4"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rPr>
      </w:pPr>
      <w:r w:rsidRPr="00F44642">
        <w:rPr>
          <w:rFonts w:ascii="Times New Roman" w:eastAsia="Times New Roman" w:hAnsi="Times New Roman" w:cs="Times New Roman"/>
        </w:rPr>
        <w:t>__________________________________</w:t>
      </w:r>
    </w:p>
    <w:p w14:paraId="214EE2B4"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rPr>
      </w:pPr>
      <w:r w:rsidRPr="00F44642">
        <w:rPr>
          <w:rFonts w:ascii="Times New Roman" w:eastAsia="Times New Roman" w:hAnsi="Times New Roman" w:cs="Times New Roman"/>
        </w:rPr>
        <w:t>Newton M. Galloway</w:t>
      </w:r>
    </w:p>
    <w:p w14:paraId="6A5BE3A3"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rPr>
      </w:pPr>
      <w:r w:rsidRPr="00F44642">
        <w:rPr>
          <w:rFonts w:ascii="Times New Roman" w:eastAsia="Times New Roman" w:hAnsi="Times New Roman" w:cs="Times New Roman"/>
        </w:rPr>
        <w:t xml:space="preserve">Georgia Bar No.: </w:t>
      </w:r>
      <w:r>
        <w:rPr>
          <w:rFonts w:ascii="Times New Roman" w:eastAsia="Times New Roman" w:hAnsi="Times New Roman" w:cs="Times New Roman"/>
        </w:rPr>
        <w:t xml:space="preserve">  </w:t>
      </w:r>
      <w:r w:rsidRPr="00F44642">
        <w:rPr>
          <w:rFonts w:ascii="Times New Roman" w:eastAsia="Times New Roman" w:hAnsi="Times New Roman" w:cs="Times New Roman"/>
        </w:rPr>
        <w:t>283069</w:t>
      </w:r>
    </w:p>
    <w:p w14:paraId="6238D2A8"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rPr>
      </w:pPr>
      <w:r w:rsidRPr="00F44642">
        <w:rPr>
          <w:rFonts w:ascii="Times New Roman" w:eastAsia="Times New Roman" w:hAnsi="Times New Roman" w:cs="Times New Roman"/>
        </w:rPr>
        <w:t>Terri M. Lyndall</w:t>
      </w:r>
    </w:p>
    <w:p w14:paraId="38F66D32" w14:textId="77777777" w:rsidR="00214FA6"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4320"/>
        <w:jc w:val="both"/>
        <w:rPr>
          <w:rFonts w:ascii="Times New Roman" w:eastAsia="Times New Roman" w:hAnsi="Times New Roman" w:cs="Times New Roman"/>
        </w:rPr>
      </w:pPr>
      <w:r w:rsidRPr="00F44642">
        <w:rPr>
          <w:rFonts w:ascii="Times New Roman" w:eastAsia="Times New Roman" w:hAnsi="Times New Roman" w:cs="Times New Roman"/>
        </w:rPr>
        <w:t xml:space="preserve">Georgia Bar No.: </w:t>
      </w:r>
      <w:r>
        <w:rPr>
          <w:rFonts w:ascii="Times New Roman" w:eastAsia="Times New Roman" w:hAnsi="Times New Roman" w:cs="Times New Roman"/>
        </w:rPr>
        <w:t xml:space="preserve">  </w:t>
      </w:r>
      <w:r w:rsidRPr="00F44642">
        <w:rPr>
          <w:rFonts w:ascii="Times New Roman" w:eastAsia="Times New Roman" w:hAnsi="Times New Roman" w:cs="Times New Roman"/>
        </w:rPr>
        <w:t>462235</w:t>
      </w:r>
    </w:p>
    <w:p w14:paraId="60C7DBCC" w14:textId="77777777" w:rsidR="00214FA6"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p>
    <w:p w14:paraId="6E4809A2"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r w:rsidRPr="00F44642">
        <w:rPr>
          <w:rFonts w:ascii="Times New Roman" w:eastAsia="Times New Roman" w:hAnsi="Times New Roman" w:cs="Times New Roman"/>
        </w:rPr>
        <w:t>The Lewis Mills House</w:t>
      </w:r>
    </w:p>
    <w:p w14:paraId="5CA6749A"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r w:rsidRPr="00F44642">
        <w:rPr>
          <w:rFonts w:ascii="Times New Roman" w:eastAsia="Times New Roman" w:hAnsi="Times New Roman" w:cs="Times New Roman"/>
        </w:rPr>
        <w:t>406 North Hill Street</w:t>
      </w:r>
    </w:p>
    <w:p w14:paraId="78D40F62"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r w:rsidRPr="00F44642">
        <w:rPr>
          <w:rFonts w:ascii="Times New Roman" w:eastAsia="Times New Roman" w:hAnsi="Times New Roman" w:cs="Times New Roman"/>
        </w:rPr>
        <w:t>Griffin, GA 30223</w:t>
      </w:r>
    </w:p>
    <w:p w14:paraId="7A5F21D4"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r w:rsidRPr="00F44642">
        <w:rPr>
          <w:rFonts w:ascii="Times New Roman" w:eastAsia="Times New Roman" w:hAnsi="Times New Roman" w:cs="Times New Roman"/>
        </w:rPr>
        <w:t>(770) 233-6230 telephone</w:t>
      </w:r>
    </w:p>
    <w:p w14:paraId="2EA1AC57" w14:textId="77777777" w:rsidR="00214FA6"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r w:rsidRPr="00F44642">
        <w:rPr>
          <w:rFonts w:ascii="Times New Roman" w:eastAsia="Times New Roman" w:hAnsi="Times New Roman" w:cs="Times New Roman"/>
        </w:rPr>
        <w:t>(770) 233-6231 facsimile</w:t>
      </w:r>
    </w:p>
    <w:p w14:paraId="0B5D55DB" w14:textId="77777777" w:rsidR="00214FA6" w:rsidRDefault="0048251E"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hyperlink r:id="rId10" w:history="1">
        <w:r w:rsidR="00214FA6" w:rsidRPr="002354B8">
          <w:rPr>
            <w:rStyle w:val="Hyperlink"/>
            <w:rFonts w:ascii="Times New Roman" w:eastAsia="Times New Roman" w:hAnsi="Times New Roman" w:cs="Times New Roman"/>
          </w:rPr>
          <w:t>ngalloway@gallyn-law.com</w:t>
        </w:r>
      </w:hyperlink>
    </w:p>
    <w:p w14:paraId="16B37AA4" w14:textId="77777777" w:rsidR="00214FA6" w:rsidRDefault="0048251E"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hyperlink r:id="rId11" w:history="1">
        <w:r w:rsidR="00214FA6" w:rsidRPr="002354B8">
          <w:rPr>
            <w:rStyle w:val="Hyperlink"/>
            <w:rFonts w:ascii="Times New Roman" w:eastAsia="Times New Roman" w:hAnsi="Times New Roman" w:cs="Times New Roman"/>
          </w:rPr>
          <w:t>tlyndall@gallyn-law.com</w:t>
        </w:r>
      </w:hyperlink>
    </w:p>
    <w:p w14:paraId="7E74B560" w14:textId="77777777" w:rsidR="00214FA6" w:rsidRPr="00F44642" w:rsidRDefault="00214FA6" w:rsidP="00214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eastAsia="Times New Roman" w:hAnsi="Times New Roman" w:cs="Times New Roman"/>
        </w:rPr>
      </w:pPr>
    </w:p>
    <w:p w14:paraId="1E65D25E" w14:textId="6D7A451E" w:rsidR="00123DDC" w:rsidRDefault="00123DDC">
      <w:pPr>
        <w:rPr>
          <w:rFonts w:ascii="Times New Roman" w:hAnsi="Times New Roman" w:cs="Times New Roman"/>
        </w:rPr>
      </w:pPr>
      <w:r>
        <w:rPr>
          <w:rFonts w:ascii="Times New Roman" w:hAnsi="Times New Roman" w:cs="Times New Roman"/>
        </w:rPr>
        <w:br w:type="page"/>
      </w:r>
    </w:p>
    <w:p w14:paraId="37A6E384" w14:textId="77777777" w:rsidR="00123DDC" w:rsidRPr="00F44642" w:rsidRDefault="00123DDC" w:rsidP="00123DDC">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eastAsia="Times New Roman" w:hAnsi="Times New Roman" w:cs="Times New Roman"/>
          <w:u w:val="single"/>
        </w:rPr>
      </w:pPr>
      <w:r w:rsidRPr="00F44642">
        <w:rPr>
          <w:rFonts w:ascii="Times New Roman" w:eastAsia="Times New Roman" w:hAnsi="Times New Roman" w:cs="Times New Roman"/>
          <w:u w:val="single"/>
        </w:rPr>
        <w:lastRenderedPageBreak/>
        <w:t>CERTIFICATE OF SERVICE</w:t>
      </w:r>
    </w:p>
    <w:p w14:paraId="1873235C" w14:textId="77777777" w:rsidR="00123DDC" w:rsidRPr="00F44642" w:rsidRDefault="00123DDC" w:rsidP="0012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u w:val="single"/>
        </w:rPr>
      </w:pPr>
    </w:p>
    <w:p w14:paraId="14204330" w14:textId="5B39F745" w:rsidR="00123DDC" w:rsidRPr="00F44642" w:rsidRDefault="00123DDC" w:rsidP="00123DDC">
      <w:pPr>
        <w:spacing w:after="0" w:line="480" w:lineRule="auto"/>
        <w:ind w:firstLine="720"/>
        <w:jc w:val="both"/>
        <w:rPr>
          <w:rFonts w:ascii="Times New Roman" w:eastAsia="Calibri" w:hAnsi="Times New Roman" w:cs="Times New Roman"/>
        </w:rPr>
      </w:pPr>
      <w:r w:rsidRPr="00F44642">
        <w:rPr>
          <w:rFonts w:ascii="Times New Roman" w:eastAsia="Times New Roman" w:hAnsi="Times New Roman" w:cs="Times New Roman"/>
        </w:rPr>
        <w:t xml:space="preserve">I certify that I have this day served a copy of the foregoing </w:t>
      </w:r>
      <w:r w:rsidRPr="00123DDC">
        <w:rPr>
          <w:rFonts w:ascii="Times New Roman" w:hAnsi="Times New Roman" w:cs="Times New Roman"/>
        </w:rPr>
        <w:t>COMMENTS OF THE GEORGIA SOLAR</w:t>
      </w:r>
      <w:r>
        <w:rPr>
          <w:rFonts w:ascii="Times New Roman" w:hAnsi="Times New Roman" w:cs="Times New Roman"/>
        </w:rPr>
        <w:t xml:space="preserve"> </w:t>
      </w:r>
      <w:r w:rsidRPr="00123DDC">
        <w:rPr>
          <w:rFonts w:ascii="Times New Roman" w:hAnsi="Times New Roman" w:cs="Times New Roman"/>
        </w:rPr>
        <w:t>ENERGY INDUSTRIES ASSOCIATION, INC. ON THE</w:t>
      </w:r>
      <w:r>
        <w:rPr>
          <w:rFonts w:ascii="Times New Roman" w:hAnsi="Times New Roman" w:cs="Times New Roman"/>
        </w:rPr>
        <w:t xml:space="preserve"> </w:t>
      </w:r>
      <w:r w:rsidRPr="00123DDC">
        <w:rPr>
          <w:rFonts w:ascii="Times New Roman" w:hAnsi="Times New Roman" w:cs="Times New Roman"/>
        </w:rPr>
        <w:t>PROGRAM GUIDELINES AND PRO FORMA POWER PURCHASE AGREEMENT</w:t>
      </w:r>
      <w:r>
        <w:rPr>
          <w:rFonts w:ascii="Times New Roman" w:hAnsi="Times New Roman" w:cs="Times New Roman"/>
        </w:rPr>
        <w:t xml:space="preserve"> </w:t>
      </w:r>
      <w:r w:rsidRPr="00123DDC">
        <w:rPr>
          <w:rFonts w:ascii="Times New Roman" w:hAnsi="Times New Roman" w:cs="Times New Roman"/>
        </w:rPr>
        <w:t>IN GEORGIA POWER COMPANY’S DISTRIBUTED GENERATION</w:t>
      </w:r>
      <w:r>
        <w:rPr>
          <w:rFonts w:ascii="Times New Roman" w:hAnsi="Times New Roman" w:cs="Times New Roman"/>
        </w:rPr>
        <w:t xml:space="preserve"> </w:t>
      </w:r>
      <w:r w:rsidRPr="00123DDC">
        <w:rPr>
          <w:rFonts w:ascii="Times New Roman" w:hAnsi="Times New Roman" w:cs="Times New Roman"/>
        </w:rPr>
        <w:t>CUSTOMER-CONNECTED PROGRAM</w:t>
      </w:r>
      <w:r>
        <w:rPr>
          <w:rFonts w:ascii="Times New Roman" w:hAnsi="Times New Roman" w:cs="Times New Roman"/>
        </w:rPr>
        <w:t xml:space="preserve"> </w:t>
      </w:r>
      <w:r w:rsidRPr="00F44642">
        <w:rPr>
          <w:rFonts w:ascii="Times New Roman" w:eastAsia="Calibri" w:hAnsi="Times New Roman" w:cs="Times New Roman"/>
        </w:rPr>
        <w:t>upon the following persons by causing electronic copies of the same to be transmitted to each interested party that has supplied a valid email address, and all other parties to be served via first class mail with adequate postage affixed thereon and deposited in the United States Mail addressed as follows:</w:t>
      </w:r>
    </w:p>
    <w:p w14:paraId="34BE35D8" w14:textId="77777777" w:rsidR="00123DDC" w:rsidRDefault="00123DDC" w:rsidP="00123DDC">
      <w:pPr>
        <w:pStyle w:val="NoSpacing"/>
        <w:rPr>
          <w:rFonts w:ascii="Times New Roman" w:hAnsi="Times New Roman" w:cs="Times New Roman"/>
        </w:rPr>
        <w:sectPr w:rsidR="00123DDC" w:rsidSect="002B4190">
          <w:headerReference w:type="even" r:id="rId12"/>
          <w:footerReference w:type="even" r:id="rId13"/>
          <w:footerReference w:type="default" r:id="rId14"/>
          <w:endnotePr>
            <w:numFmt w:val="lowerLetter"/>
          </w:endnotePr>
          <w:pgSz w:w="12240" w:h="15840" w:code="1"/>
          <w:pgMar w:top="1440" w:right="1440" w:bottom="1440" w:left="1440" w:header="1440" w:footer="1440" w:gutter="0"/>
          <w:cols w:space="720"/>
        </w:sectPr>
      </w:pPr>
    </w:p>
    <w:p w14:paraId="00247C29" w14:textId="77777777" w:rsidR="00123DDC" w:rsidRPr="00F44642" w:rsidRDefault="00123DDC" w:rsidP="00123DDC">
      <w:pPr>
        <w:pStyle w:val="NoSpacing"/>
        <w:rPr>
          <w:rFonts w:ascii="Times New Roman" w:hAnsi="Times New Roman" w:cs="Times New Roman"/>
        </w:rPr>
      </w:pPr>
      <w:r w:rsidRPr="00F44642">
        <w:rPr>
          <w:rFonts w:ascii="Times New Roman" w:hAnsi="Times New Roman" w:cs="Times New Roman"/>
        </w:rPr>
        <w:t>Mr. Reece McAlister</w:t>
      </w:r>
    </w:p>
    <w:p w14:paraId="12BBD876" w14:textId="77777777" w:rsidR="00123DDC" w:rsidRPr="00F44642" w:rsidRDefault="00123DDC" w:rsidP="00123DDC">
      <w:pPr>
        <w:pStyle w:val="NoSpacing"/>
        <w:rPr>
          <w:rFonts w:ascii="Times New Roman" w:hAnsi="Times New Roman" w:cs="Times New Roman"/>
        </w:rPr>
      </w:pPr>
      <w:r w:rsidRPr="00F44642">
        <w:rPr>
          <w:rFonts w:ascii="Times New Roman" w:hAnsi="Times New Roman" w:cs="Times New Roman"/>
        </w:rPr>
        <w:t>Executive Secretary</w:t>
      </w:r>
    </w:p>
    <w:p w14:paraId="4B6BD6BF" w14:textId="77777777" w:rsidR="00123DDC" w:rsidRPr="00F44642" w:rsidRDefault="00123DDC" w:rsidP="00123DDC">
      <w:pPr>
        <w:pStyle w:val="NoSpacing"/>
        <w:rPr>
          <w:rFonts w:ascii="Times New Roman" w:hAnsi="Times New Roman" w:cs="Times New Roman"/>
        </w:rPr>
      </w:pPr>
      <w:r w:rsidRPr="00F44642">
        <w:rPr>
          <w:rFonts w:ascii="Times New Roman" w:hAnsi="Times New Roman" w:cs="Times New Roman"/>
        </w:rPr>
        <w:t>Georgia Public Service Commission</w:t>
      </w:r>
    </w:p>
    <w:p w14:paraId="031A4838" w14:textId="77777777" w:rsidR="00123DDC" w:rsidRPr="00F44642" w:rsidRDefault="00123DDC" w:rsidP="00123DDC">
      <w:pPr>
        <w:pStyle w:val="NoSpacing"/>
        <w:rPr>
          <w:rFonts w:ascii="Times New Roman" w:hAnsi="Times New Roman" w:cs="Times New Roman"/>
        </w:rPr>
      </w:pPr>
      <w:r w:rsidRPr="00F44642">
        <w:rPr>
          <w:rFonts w:ascii="Times New Roman" w:hAnsi="Times New Roman" w:cs="Times New Roman"/>
        </w:rPr>
        <w:t>244 Washington Street, SW</w:t>
      </w:r>
    </w:p>
    <w:p w14:paraId="22514870" w14:textId="77777777" w:rsidR="00123DDC" w:rsidRPr="00F44642" w:rsidRDefault="00123DDC" w:rsidP="00123DDC">
      <w:pPr>
        <w:pStyle w:val="NoSpacing"/>
        <w:rPr>
          <w:rFonts w:ascii="Times New Roman" w:hAnsi="Times New Roman" w:cs="Times New Roman"/>
        </w:rPr>
      </w:pPr>
      <w:r w:rsidRPr="00F44642">
        <w:rPr>
          <w:rFonts w:ascii="Times New Roman" w:hAnsi="Times New Roman" w:cs="Times New Roman"/>
        </w:rPr>
        <w:t>Atlanta, GA  30334</w:t>
      </w:r>
    </w:p>
    <w:p w14:paraId="2354BE18" w14:textId="77777777" w:rsidR="00123DDC" w:rsidRPr="00F44642" w:rsidRDefault="0048251E" w:rsidP="00123DDC">
      <w:pPr>
        <w:pStyle w:val="NoSpacing"/>
        <w:rPr>
          <w:rFonts w:ascii="Times New Roman" w:hAnsi="Times New Roman" w:cs="Times New Roman"/>
        </w:rPr>
      </w:pPr>
      <w:hyperlink r:id="rId15" w:history="1">
        <w:r w:rsidR="00123DDC" w:rsidRPr="00F44642">
          <w:rPr>
            <w:rStyle w:val="Hyperlink"/>
            <w:rFonts w:ascii="Times New Roman" w:hAnsi="Times New Roman" w:cs="Times New Roman"/>
          </w:rPr>
          <w:t>reecem@psc.state.ga.us</w:t>
        </w:r>
      </w:hyperlink>
    </w:p>
    <w:p w14:paraId="050D5B31" w14:textId="77777777" w:rsidR="00123DDC" w:rsidRPr="00F44642" w:rsidRDefault="00123DDC" w:rsidP="00123DDC">
      <w:pPr>
        <w:pStyle w:val="NoSpacing"/>
        <w:rPr>
          <w:rFonts w:ascii="Times New Roman" w:hAnsi="Times New Roman" w:cs="Times New Roman"/>
        </w:rPr>
      </w:pPr>
    </w:p>
    <w:p w14:paraId="6C700A50" w14:textId="77777777" w:rsidR="00123DDC" w:rsidRPr="00C50792" w:rsidRDefault="00123DDC" w:rsidP="00123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Cs w:val="20"/>
        </w:rPr>
      </w:pPr>
      <w:r w:rsidRPr="00C50792">
        <w:rPr>
          <w:rFonts w:ascii="Times New Roman" w:hAnsi="Times New Roman" w:cs="Times New Roman"/>
          <w:szCs w:val="20"/>
        </w:rPr>
        <w:t>Ms. Jamie Barber</w:t>
      </w:r>
    </w:p>
    <w:p w14:paraId="2148A303" w14:textId="77777777" w:rsidR="00123DDC" w:rsidRPr="00C50792" w:rsidRDefault="00123DDC" w:rsidP="00123DDC">
      <w:pPr>
        <w:pStyle w:val="NoSpacing"/>
        <w:rPr>
          <w:rFonts w:ascii="Times New Roman" w:hAnsi="Times New Roman" w:cs="Times New Roman"/>
        </w:rPr>
      </w:pPr>
      <w:r w:rsidRPr="00C50792">
        <w:rPr>
          <w:rFonts w:ascii="Times New Roman" w:hAnsi="Times New Roman" w:cs="Times New Roman"/>
        </w:rPr>
        <w:t>Georgia Public Service Commission</w:t>
      </w:r>
    </w:p>
    <w:p w14:paraId="7AA27EFB" w14:textId="77777777" w:rsidR="00123DDC" w:rsidRPr="00C50792" w:rsidRDefault="00123DDC" w:rsidP="00123DDC">
      <w:pPr>
        <w:pStyle w:val="NoSpacing"/>
        <w:rPr>
          <w:rFonts w:ascii="Times New Roman" w:hAnsi="Times New Roman" w:cs="Times New Roman"/>
        </w:rPr>
      </w:pPr>
      <w:r w:rsidRPr="00C50792">
        <w:rPr>
          <w:rFonts w:ascii="Times New Roman" w:hAnsi="Times New Roman" w:cs="Times New Roman"/>
        </w:rPr>
        <w:t>244 Washington Street, SW</w:t>
      </w:r>
    </w:p>
    <w:p w14:paraId="46EE5BAB" w14:textId="77777777" w:rsidR="00123DDC" w:rsidRPr="00C50792" w:rsidRDefault="00123DDC" w:rsidP="00123DDC">
      <w:pPr>
        <w:pStyle w:val="NoSpacing"/>
        <w:rPr>
          <w:rFonts w:ascii="Times New Roman" w:hAnsi="Times New Roman" w:cs="Times New Roman"/>
        </w:rPr>
      </w:pPr>
      <w:r w:rsidRPr="00C50792">
        <w:rPr>
          <w:rFonts w:ascii="Times New Roman" w:hAnsi="Times New Roman" w:cs="Times New Roman"/>
        </w:rPr>
        <w:t>Atlanta, GA  30334</w:t>
      </w:r>
    </w:p>
    <w:p w14:paraId="413F8BF5" w14:textId="77777777" w:rsidR="00123DDC" w:rsidRDefault="0048251E" w:rsidP="00123DDC">
      <w:pPr>
        <w:pStyle w:val="NoSpacing"/>
        <w:rPr>
          <w:rStyle w:val="Hyperlink"/>
          <w:rFonts w:ascii="Times New Roman" w:hAnsi="Times New Roman" w:cs="Times New Roman"/>
          <w:szCs w:val="20"/>
        </w:rPr>
      </w:pPr>
      <w:hyperlink r:id="rId16" w:history="1">
        <w:r w:rsidR="00123DDC" w:rsidRPr="00C50792">
          <w:rPr>
            <w:rStyle w:val="Hyperlink"/>
            <w:rFonts w:ascii="Times New Roman" w:hAnsi="Times New Roman" w:cs="Times New Roman"/>
            <w:szCs w:val="20"/>
          </w:rPr>
          <w:t>jamieb@psc.state.ga.us</w:t>
        </w:r>
      </w:hyperlink>
    </w:p>
    <w:p w14:paraId="3DE911DE" w14:textId="77777777" w:rsidR="00123DDC" w:rsidRDefault="00123DDC" w:rsidP="00123DDC">
      <w:pPr>
        <w:pStyle w:val="NoSpacing"/>
        <w:rPr>
          <w:rStyle w:val="Hyperlink"/>
          <w:rFonts w:ascii="Times New Roman" w:hAnsi="Times New Roman" w:cs="Times New Roman"/>
          <w:szCs w:val="20"/>
        </w:rPr>
      </w:pPr>
    </w:p>
    <w:p w14:paraId="315F3FA6" w14:textId="77777777" w:rsidR="00123DDC" w:rsidRDefault="00123DDC" w:rsidP="00123DDC">
      <w:pPr>
        <w:pStyle w:val="NoSpacing"/>
        <w:rPr>
          <w:rFonts w:ascii="Times New Roman" w:hAnsi="Times New Roman" w:cs="Times New Roman"/>
        </w:rPr>
      </w:pPr>
      <w:r>
        <w:rPr>
          <w:rFonts w:ascii="Times New Roman" w:hAnsi="Times New Roman" w:cs="Times New Roman"/>
        </w:rPr>
        <w:t>Mr. Blair Fink</w:t>
      </w:r>
    </w:p>
    <w:p w14:paraId="2E19A084" w14:textId="77777777" w:rsidR="00123DDC" w:rsidRPr="00291ED1"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Georgia Public Service Commission</w:t>
      </w:r>
    </w:p>
    <w:p w14:paraId="282FC04C" w14:textId="77777777" w:rsidR="00123DDC" w:rsidRPr="00291ED1"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244 Washington Street</w:t>
      </w:r>
    </w:p>
    <w:p w14:paraId="4AF0DD01" w14:textId="77777777" w:rsidR="00123DDC"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Atlanta, GA  30334</w:t>
      </w:r>
    </w:p>
    <w:p w14:paraId="155B4E73" w14:textId="77777777" w:rsidR="00123DDC" w:rsidRDefault="0048251E" w:rsidP="00123DDC">
      <w:pPr>
        <w:pStyle w:val="NoSpacing"/>
        <w:rPr>
          <w:rFonts w:ascii="Times New Roman" w:hAnsi="Times New Roman" w:cs="Times New Roman"/>
        </w:rPr>
      </w:pPr>
      <w:hyperlink r:id="rId17" w:history="1">
        <w:r w:rsidR="00123DDC" w:rsidRPr="009A29DB">
          <w:rPr>
            <w:rStyle w:val="Hyperlink"/>
            <w:rFonts w:ascii="Times New Roman" w:hAnsi="Times New Roman" w:cs="Times New Roman"/>
          </w:rPr>
          <w:t>bfink@psc.state.ga.us</w:t>
        </w:r>
      </w:hyperlink>
    </w:p>
    <w:p w14:paraId="6ADD5882" w14:textId="77777777" w:rsidR="00123DDC" w:rsidRDefault="00123DDC" w:rsidP="00123DDC">
      <w:pPr>
        <w:pStyle w:val="NoSpacing"/>
        <w:rPr>
          <w:rFonts w:ascii="Times New Roman" w:hAnsi="Times New Roman" w:cs="Times New Roman"/>
        </w:rPr>
      </w:pPr>
    </w:p>
    <w:p w14:paraId="48995F0C" w14:textId="77777777" w:rsidR="00123DDC" w:rsidRDefault="00123DDC" w:rsidP="00123DDC">
      <w:pPr>
        <w:pStyle w:val="NoSpacing"/>
        <w:rPr>
          <w:rFonts w:ascii="Times New Roman" w:hAnsi="Times New Roman" w:cs="Times New Roman"/>
        </w:rPr>
      </w:pPr>
      <w:r>
        <w:rPr>
          <w:rFonts w:ascii="Times New Roman" w:hAnsi="Times New Roman" w:cs="Times New Roman"/>
        </w:rPr>
        <w:t xml:space="preserve">Mr. Robert </w:t>
      </w:r>
      <w:proofErr w:type="spellStart"/>
      <w:r>
        <w:rPr>
          <w:rFonts w:ascii="Times New Roman" w:hAnsi="Times New Roman" w:cs="Times New Roman"/>
        </w:rPr>
        <w:t>Trokey</w:t>
      </w:r>
      <w:proofErr w:type="spellEnd"/>
    </w:p>
    <w:p w14:paraId="3EE037E2" w14:textId="77777777" w:rsidR="00123DDC" w:rsidRPr="00291ED1"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Georgia Public Service Commission</w:t>
      </w:r>
    </w:p>
    <w:p w14:paraId="3ACCC1DA" w14:textId="77777777" w:rsidR="00123DDC" w:rsidRPr="00291ED1"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244 Washington Street</w:t>
      </w:r>
    </w:p>
    <w:p w14:paraId="5C359F7C" w14:textId="77777777" w:rsidR="00123DDC"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Atlanta, GA  30334</w:t>
      </w:r>
    </w:p>
    <w:p w14:paraId="10344957" w14:textId="77777777" w:rsidR="00123DDC" w:rsidRDefault="0048251E" w:rsidP="00123DDC">
      <w:pPr>
        <w:pStyle w:val="NoSpacing"/>
        <w:rPr>
          <w:rFonts w:ascii="Times New Roman" w:hAnsi="Times New Roman" w:cs="Times New Roman"/>
        </w:rPr>
      </w:pPr>
      <w:hyperlink r:id="rId18" w:history="1">
        <w:r w:rsidR="00123DDC" w:rsidRPr="009A29DB">
          <w:rPr>
            <w:rStyle w:val="Hyperlink"/>
            <w:rFonts w:ascii="Times New Roman" w:hAnsi="Times New Roman" w:cs="Times New Roman"/>
          </w:rPr>
          <w:t>rtrokey@psc.state.ga.us</w:t>
        </w:r>
      </w:hyperlink>
    </w:p>
    <w:p w14:paraId="40EE5AA8" w14:textId="747C9112" w:rsidR="00123DDC" w:rsidRDefault="00123DDC" w:rsidP="00123DDC">
      <w:pPr>
        <w:pStyle w:val="NoSpacing"/>
        <w:rPr>
          <w:rFonts w:ascii="Times New Roman" w:hAnsi="Times New Roman" w:cs="Times New Roman"/>
        </w:rPr>
      </w:pPr>
    </w:p>
    <w:p w14:paraId="69D664FC" w14:textId="77777777" w:rsidR="00123DDC" w:rsidRDefault="00123DDC" w:rsidP="00123DDC">
      <w:pPr>
        <w:pStyle w:val="NoSpacing"/>
        <w:rPr>
          <w:rFonts w:ascii="Times New Roman" w:hAnsi="Times New Roman" w:cs="Times New Roman"/>
        </w:rPr>
      </w:pPr>
    </w:p>
    <w:p w14:paraId="1318C6E3" w14:textId="77777777" w:rsidR="00123DDC" w:rsidRDefault="00123DDC" w:rsidP="00123DDC">
      <w:pPr>
        <w:pStyle w:val="NoSpacing"/>
        <w:rPr>
          <w:rFonts w:ascii="Times New Roman" w:hAnsi="Times New Roman" w:cs="Times New Roman"/>
        </w:rPr>
      </w:pPr>
      <w:r>
        <w:rPr>
          <w:rFonts w:ascii="Times New Roman" w:hAnsi="Times New Roman" w:cs="Times New Roman"/>
        </w:rPr>
        <w:t>Mr. Tom Newsome</w:t>
      </w:r>
    </w:p>
    <w:p w14:paraId="38929C80" w14:textId="77777777" w:rsidR="00123DDC" w:rsidRPr="00291ED1"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Georgia Public Service Commission</w:t>
      </w:r>
    </w:p>
    <w:p w14:paraId="6B8AB084" w14:textId="77777777" w:rsidR="00123DDC" w:rsidRPr="00291ED1"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244 Washington Street</w:t>
      </w:r>
    </w:p>
    <w:p w14:paraId="42A2A5E0" w14:textId="77777777" w:rsidR="00123DDC" w:rsidRDefault="00123DDC"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r w:rsidRPr="00291ED1">
        <w:rPr>
          <w:rFonts w:ascii="Times New Roman" w:hAnsi="Times New Roman" w:cs="Times New Roman"/>
        </w:rPr>
        <w:t>Atlanta, GA  30334</w:t>
      </w:r>
    </w:p>
    <w:p w14:paraId="74C247D5" w14:textId="77777777" w:rsidR="00123DDC" w:rsidRDefault="0048251E" w:rsidP="00123D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rPr>
      </w:pPr>
      <w:hyperlink r:id="rId19" w:history="1">
        <w:r w:rsidR="00123DDC" w:rsidRPr="00C3579C">
          <w:rPr>
            <w:rStyle w:val="Hyperlink"/>
            <w:rFonts w:ascii="Times New Roman" w:hAnsi="Times New Roman" w:cs="Times New Roman"/>
          </w:rPr>
          <w:t>tnewsome@psc.state.ga.us</w:t>
        </w:r>
      </w:hyperlink>
    </w:p>
    <w:p w14:paraId="5C4A9ED4" w14:textId="77777777" w:rsidR="00123DDC" w:rsidRPr="00F44642" w:rsidRDefault="00123DDC" w:rsidP="00123DDC">
      <w:pPr>
        <w:pStyle w:val="NoSpacing"/>
        <w:rPr>
          <w:rFonts w:ascii="Times New Roman" w:hAnsi="Times New Roman" w:cs="Times New Roman"/>
        </w:rPr>
      </w:pPr>
    </w:p>
    <w:p w14:paraId="35BC0CF3" w14:textId="77777777" w:rsidR="00123DDC" w:rsidRDefault="00123DDC" w:rsidP="00123DDC">
      <w:pPr>
        <w:pStyle w:val="NoSpacing"/>
        <w:rPr>
          <w:rFonts w:ascii="Times New Roman" w:hAnsi="Times New Roman" w:cs="Times New Roman"/>
        </w:rPr>
      </w:pPr>
      <w:r>
        <w:rPr>
          <w:rFonts w:ascii="Times New Roman" w:hAnsi="Times New Roman" w:cs="Times New Roman"/>
        </w:rPr>
        <w:t xml:space="preserve">Mr. Brandon </w:t>
      </w:r>
      <w:proofErr w:type="spellStart"/>
      <w:r>
        <w:rPr>
          <w:rFonts w:ascii="Times New Roman" w:hAnsi="Times New Roman" w:cs="Times New Roman"/>
        </w:rPr>
        <w:t>Marzo</w:t>
      </w:r>
      <w:proofErr w:type="spellEnd"/>
    </w:p>
    <w:p w14:paraId="0A498944" w14:textId="77777777" w:rsidR="00123DDC" w:rsidRDefault="00123DDC" w:rsidP="00123DDC">
      <w:pPr>
        <w:pStyle w:val="NoSpacing"/>
        <w:rPr>
          <w:rFonts w:ascii="Times New Roman" w:hAnsi="Times New Roman" w:cs="Times New Roman"/>
        </w:rPr>
      </w:pPr>
      <w:r>
        <w:rPr>
          <w:rFonts w:ascii="Times New Roman" w:hAnsi="Times New Roman" w:cs="Times New Roman"/>
        </w:rPr>
        <w:t>Mr. Steve Hewitson</w:t>
      </w:r>
    </w:p>
    <w:p w14:paraId="47461AF0" w14:textId="1AFE9F65" w:rsidR="00103B8C" w:rsidRDefault="00123DDC" w:rsidP="00123DDC">
      <w:pPr>
        <w:pStyle w:val="NoSpacing"/>
        <w:rPr>
          <w:rFonts w:ascii="Times New Roman" w:hAnsi="Times New Roman" w:cs="Times New Roman"/>
        </w:rPr>
      </w:pPr>
      <w:r>
        <w:rPr>
          <w:rFonts w:ascii="Times New Roman" w:hAnsi="Times New Roman" w:cs="Times New Roman"/>
        </w:rPr>
        <w:t>Ms. Allison W. Pryor</w:t>
      </w:r>
    </w:p>
    <w:p w14:paraId="6F5741C6" w14:textId="77777777" w:rsidR="00123DDC" w:rsidRPr="00F44642" w:rsidRDefault="00123DDC" w:rsidP="00123DDC">
      <w:pPr>
        <w:pStyle w:val="NoSpacing"/>
        <w:rPr>
          <w:rFonts w:ascii="Times New Roman" w:hAnsi="Times New Roman" w:cs="Times New Roman"/>
        </w:rPr>
      </w:pPr>
      <w:r w:rsidRPr="00F44642">
        <w:rPr>
          <w:rFonts w:ascii="Times New Roman" w:hAnsi="Times New Roman" w:cs="Times New Roman"/>
        </w:rPr>
        <w:t>Troutman Sanders, LLP</w:t>
      </w:r>
    </w:p>
    <w:p w14:paraId="01833E59" w14:textId="77777777" w:rsidR="00123DDC" w:rsidRPr="00F44642" w:rsidRDefault="00123DDC" w:rsidP="00123DDC">
      <w:pPr>
        <w:pStyle w:val="NoSpacing"/>
        <w:rPr>
          <w:rFonts w:ascii="Times New Roman" w:hAnsi="Times New Roman" w:cs="Times New Roman"/>
        </w:rPr>
      </w:pPr>
      <w:r>
        <w:rPr>
          <w:rFonts w:ascii="Times New Roman" w:hAnsi="Times New Roman" w:cs="Times New Roman"/>
        </w:rPr>
        <w:t xml:space="preserve">Bank of America </w:t>
      </w:r>
      <w:r w:rsidRPr="00F44642">
        <w:rPr>
          <w:rFonts w:ascii="Times New Roman" w:hAnsi="Times New Roman" w:cs="Times New Roman"/>
        </w:rPr>
        <w:t>Plaza</w:t>
      </w:r>
    </w:p>
    <w:p w14:paraId="22FB81B9" w14:textId="77777777" w:rsidR="00123DDC" w:rsidRPr="00F44642" w:rsidRDefault="00123DDC" w:rsidP="00123DDC">
      <w:pPr>
        <w:pStyle w:val="NoSpacing"/>
        <w:rPr>
          <w:rFonts w:ascii="Times New Roman" w:hAnsi="Times New Roman" w:cs="Times New Roman"/>
        </w:rPr>
      </w:pPr>
      <w:r w:rsidRPr="00F44642">
        <w:rPr>
          <w:rFonts w:ascii="Times New Roman" w:hAnsi="Times New Roman" w:cs="Times New Roman"/>
        </w:rPr>
        <w:t xml:space="preserve">600 Peachtree St., N.E., Suite </w:t>
      </w:r>
      <w:r>
        <w:rPr>
          <w:rFonts w:ascii="Times New Roman" w:hAnsi="Times New Roman" w:cs="Times New Roman"/>
        </w:rPr>
        <w:t>3000</w:t>
      </w:r>
    </w:p>
    <w:p w14:paraId="25AC6230" w14:textId="77777777" w:rsidR="00123DDC" w:rsidRDefault="00123DDC" w:rsidP="00123DDC">
      <w:pPr>
        <w:pStyle w:val="NoSpacing"/>
        <w:rPr>
          <w:rFonts w:ascii="Times New Roman" w:hAnsi="Times New Roman" w:cs="Times New Roman"/>
        </w:rPr>
      </w:pPr>
      <w:r w:rsidRPr="00F44642">
        <w:rPr>
          <w:rFonts w:ascii="Times New Roman" w:hAnsi="Times New Roman" w:cs="Times New Roman"/>
        </w:rPr>
        <w:t xml:space="preserve">Atlanta, </w:t>
      </w:r>
      <w:proofErr w:type="gramStart"/>
      <w:r w:rsidRPr="00F44642">
        <w:rPr>
          <w:rFonts w:ascii="Times New Roman" w:hAnsi="Times New Roman" w:cs="Times New Roman"/>
        </w:rPr>
        <w:t>Georgia  30308</w:t>
      </w:r>
      <w:proofErr w:type="gramEnd"/>
      <w:r w:rsidRPr="00F44642">
        <w:rPr>
          <w:rFonts w:ascii="Times New Roman" w:hAnsi="Times New Roman" w:cs="Times New Roman"/>
        </w:rPr>
        <w:t>-2216</w:t>
      </w:r>
    </w:p>
    <w:p w14:paraId="613F9175" w14:textId="77777777" w:rsidR="00123DDC" w:rsidRDefault="0048251E" w:rsidP="00123DDC">
      <w:pPr>
        <w:pStyle w:val="NoSpacing"/>
        <w:rPr>
          <w:rFonts w:ascii="Times New Roman" w:hAnsi="Times New Roman" w:cs="Times New Roman"/>
        </w:rPr>
      </w:pPr>
      <w:hyperlink r:id="rId20" w:history="1">
        <w:r w:rsidR="00123DDC" w:rsidRPr="002354B8">
          <w:rPr>
            <w:rStyle w:val="Hyperlink"/>
            <w:rFonts w:ascii="Times New Roman" w:hAnsi="Times New Roman" w:cs="Times New Roman"/>
          </w:rPr>
          <w:t>brandon.marzo@troutman.com</w:t>
        </w:r>
      </w:hyperlink>
    </w:p>
    <w:p w14:paraId="5EBC18AC" w14:textId="77777777" w:rsidR="00123DDC" w:rsidRDefault="0048251E" w:rsidP="00123DDC">
      <w:pPr>
        <w:pStyle w:val="NoSpacing"/>
        <w:rPr>
          <w:rStyle w:val="Hyperlink"/>
          <w:rFonts w:ascii="Times New Roman" w:hAnsi="Times New Roman" w:cs="Times New Roman"/>
        </w:rPr>
      </w:pPr>
      <w:hyperlink r:id="rId21" w:history="1">
        <w:r w:rsidR="00123DDC" w:rsidRPr="002354B8">
          <w:rPr>
            <w:rStyle w:val="Hyperlink"/>
            <w:rFonts w:ascii="Times New Roman" w:hAnsi="Times New Roman" w:cs="Times New Roman"/>
          </w:rPr>
          <w:t>allison.pryor@troutman.com</w:t>
        </w:r>
      </w:hyperlink>
    </w:p>
    <w:p w14:paraId="710B5480" w14:textId="77777777" w:rsidR="00123DDC" w:rsidRPr="00DA1413" w:rsidRDefault="00123DDC" w:rsidP="00123DDC">
      <w:pPr>
        <w:pStyle w:val="NoSpacing"/>
        <w:rPr>
          <w:rStyle w:val="Hyperlink"/>
          <w:rFonts w:ascii="Times New Roman" w:hAnsi="Times New Roman" w:cs="Times New Roman"/>
        </w:rPr>
      </w:pPr>
      <w:r w:rsidRPr="00DA1413">
        <w:rPr>
          <w:rStyle w:val="Hyperlink"/>
          <w:rFonts w:ascii="Times New Roman" w:hAnsi="Times New Roman" w:cs="Times New Roman"/>
        </w:rPr>
        <w:t>Counsel for Georgia Power Company</w:t>
      </w:r>
    </w:p>
    <w:p w14:paraId="5AB5A06B" w14:textId="77777777" w:rsidR="00123DDC" w:rsidRDefault="00123DDC" w:rsidP="00123DDC">
      <w:pPr>
        <w:pStyle w:val="NoSpacing"/>
        <w:rPr>
          <w:rFonts w:ascii="Times New Roman" w:hAnsi="Times New Roman" w:cs="Times New Roman"/>
        </w:rPr>
      </w:pPr>
    </w:p>
    <w:p w14:paraId="04D814B2" w14:textId="77777777" w:rsidR="00123DDC" w:rsidRPr="00921071" w:rsidRDefault="00123DDC" w:rsidP="00123DDC">
      <w:pPr>
        <w:pStyle w:val="NoSpacing"/>
        <w:rPr>
          <w:rFonts w:ascii="Times New Roman" w:hAnsi="Times New Roman" w:cs="Times New Roman"/>
        </w:rPr>
      </w:pPr>
      <w:r>
        <w:rPr>
          <w:rFonts w:ascii="Times New Roman" w:hAnsi="Times New Roman" w:cs="Times New Roman"/>
        </w:rPr>
        <w:t>Mr. Marc Vinson</w:t>
      </w:r>
    </w:p>
    <w:p w14:paraId="709EB2C0" w14:textId="77777777" w:rsidR="00123DDC" w:rsidRPr="00921071" w:rsidRDefault="00123DDC" w:rsidP="00123DDC">
      <w:pPr>
        <w:pStyle w:val="NoSpacing"/>
        <w:rPr>
          <w:rFonts w:ascii="Times New Roman" w:hAnsi="Times New Roman" w:cs="Times New Roman"/>
        </w:rPr>
      </w:pPr>
      <w:r w:rsidRPr="00921071">
        <w:rPr>
          <w:rFonts w:ascii="Times New Roman" w:hAnsi="Times New Roman" w:cs="Times New Roman"/>
        </w:rPr>
        <w:t>Regulatory Affairs</w:t>
      </w:r>
      <w:r>
        <w:rPr>
          <w:rFonts w:ascii="Times New Roman" w:hAnsi="Times New Roman" w:cs="Times New Roman"/>
        </w:rPr>
        <w:t xml:space="preserve">, </w:t>
      </w:r>
      <w:r w:rsidRPr="00921071">
        <w:rPr>
          <w:rFonts w:ascii="Times New Roman" w:hAnsi="Times New Roman" w:cs="Times New Roman"/>
        </w:rPr>
        <w:t>Bin 10230</w:t>
      </w:r>
    </w:p>
    <w:p w14:paraId="133C5189" w14:textId="77777777" w:rsidR="00123DDC" w:rsidRPr="00921071" w:rsidRDefault="00123DDC" w:rsidP="00123DDC">
      <w:pPr>
        <w:pStyle w:val="NoSpacing"/>
        <w:rPr>
          <w:rFonts w:ascii="Times New Roman" w:hAnsi="Times New Roman" w:cs="Times New Roman"/>
        </w:rPr>
      </w:pPr>
      <w:r w:rsidRPr="00921071">
        <w:rPr>
          <w:rFonts w:ascii="Times New Roman" w:hAnsi="Times New Roman" w:cs="Times New Roman"/>
        </w:rPr>
        <w:t>Georgia Power Company</w:t>
      </w:r>
    </w:p>
    <w:p w14:paraId="0C10A9E6" w14:textId="77777777" w:rsidR="00123DDC" w:rsidRPr="00921071" w:rsidRDefault="00123DDC" w:rsidP="00123DDC">
      <w:pPr>
        <w:pStyle w:val="NoSpacing"/>
        <w:rPr>
          <w:rFonts w:ascii="Times New Roman" w:hAnsi="Times New Roman" w:cs="Times New Roman"/>
        </w:rPr>
      </w:pPr>
      <w:r w:rsidRPr="00921071">
        <w:rPr>
          <w:rFonts w:ascii="Times New Roman" w:hAnsi="Times New Roman" w:cs="Times New Roman"/>
        </w:rPr>
        <w:t>241 Ralph McGill Boulevard, NE</w:t>
      </w:r>
    </w:p>
    <w:p w14:paraId="765287B6" w14:textId="77777777" w:rsidR="00123DDC" w:rsidRDefault="00123DDC" w:rsidP="00123DDC">
      <w:pPr>
        <w:pStyle w:val="NoSpacing"/>
        <w:rPr>
          <w:rFonts w:ascii="Times New Roman" w:hAnsi="Times New Roman" w:cs="Times New Roman"/>
        </w:rPr>
      </w:pPr>
      <w:r w:rsidRPr="00921071">
        <w:rPr>
          <w:rFonts w:ascii="Times New Roman" w:hAnsi="Times New Roman" w:cs="Times New Roman"/>
        </w:rPr>
        <w:t>Atlanta, GA 30308-3374</w:t>
      </w:r>
    </w:p>
    <w:p w14:paraId="572D42EF" w14:textId="77777777" w:rsidR="00123DDC" w:rsidRPr="00921071" w:rsidRDefault="00123DDC" w:rsidP="00123DDC">
      <w:pPr>
        <w:pStyle w:val="NoSpacing"/>
        <w:rPr>
          <w:rFonts w:ascii="Times New Roman" w:hAnsi="Times New Roman" w:cs="Times New Roman"/>
        </w:rPr>
      </w:pPr>
      <w:r>
        <w:rPr>
          <w:rStyle w:val="Hyperlink"/>
          <w:rFonts w:ascii="Times New Roman" w:hAnsi="Times New Roman" w:cs="Times New Roman"/>
        </w:rPr>
        <w:t>mvinson</w:t>
      </w:r>
      <w:hyperlink r:id="rId22" w:history="1">
        <w:r w:rsidRPr="00921071">
          <w:rPr>
            <w:rStyle w:val="Hyperlink"/>
            <w:rFonts w:ascii="Times New Roman" w:hAnsi="Times New Roman" w:cs="Times New Roman"/>
          </w:rPr>
          <w:t>@southernco.com</w:t>
        </w:r>
      </w:hyperlink>
    </w:p>
    <w:p w14:paraId="7E6DA15D" w14:textId="77777777" w:rsidR="00123DDC" w:rsidRDefault="00123DDC" w:rsidP="00123DDC">
      <w:pPr>
        <w:pStyle w:val="NoSpacing"/>
        <w:rPr>
          <w:rStyle w:val="Hyperlink"/>
          <w:rFonts w:ascii="Times New Roman" w:hAnsi="Times New Roman" w:cs="Times New Roman"/>
        </w:rPr>
        <w:sectPr w:rsidR="00123DDC" w:rsidSect="003D1146">
          <w:endnotePr>
            <w:numFmt w:val="lowerLetter"/>
          </w:endnotePr>
          <w:type w:val="continuous"/>
          <w:pgSz w:w="12240" w:h="15840"/>
          <w:pgMar w:top="1960" w:right="1440" w:bottom="1440" w:left="1440" w:header="1440" w:footer="1440" w:gutter="0"/>
          <w:cols w:num="2" w:space="720"/>
        </w:sectPr>
      </w:pPr>
    </w:p>
    <w:p w14:paraId="008A0FE6" w14:textId="77777777" w:rsidR="008D25A0" w:rsidRDefault="008D25A0" w:rsidP="008D25A0">
      <w:pPr>
        <w:pStyle w:val="NoSpacing"/>
        <w:rPr>
          <w:rStyle w:val="Hyperlink"/>
          <w:rFonts w:ascii="Times New Roman" w:hAnsi="Times New Roman" w:cs="Times New Roman"/>
          <w:color w:val="auto"/>
          <w:u w:val="none"/>
        </w:rPr>
      </w:pPr>
      <w:r>
        <w:rPr>
          <w:rStyle w:val="Hyperlink"/>
          <w:rFonts w:ascii="Times New Roman" w:hAnsi="Times New Roman" w:cs="Times New Roman"/>
          <w:color w:val="auto"/>
          <w:u w:val="none"/>
        </w:rPr>
        <w:lastRenderedPageBreak/>
        <w:t>Mr. Dargan Scott Cole, Sr.</w:t>
      </w:r>
    </w:p>
    <w:p w14:paraId="4B90945D" w14:textId="77777777" w:rsidR="008D25A0" w:rsidRDefault="008D25A0" w:rsidP="008D25A0">
      <w:pPr>
        <w:pStyle w:val="NoSpacing"/>
        <w:rPr>
          <w:rStyle w:val="Hyperlink"/>
          <w:rFonts w:ascii="Times New Roman" w:hAnsi="Times New Roman" w:cs="Times New Roman"/>
          <w:color w:val="auto"/>
          <w:u w:val="none"/>
        </w:rPr>
      </w:pPr>
      <w:r>
        <w:rPr>
          <w:rStyle w:val="Hyperlink"/>
          <w:rFonts w:ascii="Times New Roman" w:hAnsi="Times New Roman" w:cs="Times New Roman"/>
          <w:color w:val="auto"/>
          <w:u w:val="none"/>
        </w:rPr>
        <w:t>Hall Booth Smith</w:t>
      </w:r>
    </w:p>
    <w:p w14:paraId="04989B44" w14:textId="77777777" w:rsidR="008D25A0" w:rsidRDefault="008D25A0" w:rsidP="008D25A0">
      <w:pPr>
        <w:pStyle w:val="NoSpacing"/>
        <w:rPr>
          <w:rStyle w:val="Hyperlink"/>
          <w:rFonts w:ascii="Times New Roman" w:hAnsi="Times New Roman" w:cs="Times New Roman"/>
          <w:color w:val="auto"/>
          <w:u w:val="none"/>
        </w:rPr>
      </w:pPr>
      <w:r>
        <w:rPr>
          <w:rStyle w:val="Hyperlink"/>
          <w:rFonts w:ascii="Times New Roman" w:hAnsi="Times New Roman" w:cs="Times New Roman"/>
          <w:color w:val="auto"/>
          <w:u w:val="none"/>
        </w:rPr>
        <w:t>191 Peachtree Street, NE</w:t>
      </w:r>
    </w:p>
    <w:p w14:paraId="6D8938B9" w14:textId="77777777" w:rsidR="008D25A0" w:rsidRDefault="008D25A0" w:rsidP="008D25A0">
      <w:pPr>
        <w:pStyle w:val="NoSpacing"/>
        <w:rPr>
          <w:rStyle w:val="Hyperlink"/>
          <w:rFonts w:ascii="Times New Roman" w:hAnsi="Times New Roman" w:cs="Times New Roman"/>
          <w:color w:val="auto"/>
          <w:u w:val="none"/>
        </w:rPr>
      </w:pPr>
      <w:r>
        <w:rPr>
          <w:rStyle w:val="Hyperlink"/>
          <w:rFonts w:ascii="Times New Roman" w:hAnsi="Times New Roman" w:cs="Times New Roman"/>
          <w:color w:val="auto"/>
          <w:u w:val="none"/>
        </w:rPr>
        <w:t>Suite 2900</w:t>
      </w:r>
    </w:p>
    <w:p w14:paraId="4451F3D0" w14:textId="77777777" w:rsidR="008D25A0" w:rsidRDefault="008D25A0" w:rsidP="008D25A0">
      <w:pPr>
        <w:pStyle w:val="NoSpacing"/>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Atlanta, </w:t>
      </w:r>
      <w:proofErr w:type="gramStart"/>
      <w:r>
        <w:rPr>
          <w:rStyle w:val="Hyperlink"/>
          <w:rFonts w:ascii="Times New Roman" w:hAnsi="Times New Roman" w:cs="Times New Roman"/>
          <w:color w:val="auto"/>
          <w:u w:val="none"/>
        </w:rPr>
        <w:t>Georgia  30303</w:t>
      </w:r>
      <w:proofErr w:type="gramEnd"/>
      <w:r>
        <w:rPr>
          <w:rStyle w:val="Hyperlink"/>
          <w:rFonts w:ascii="Times New Roman" w:hAnsi="Times New Roman" w:cs="Times New Roman"/>
          <w:color w:val="auto"/>
          <w:u w:val="none"/>
        </w:rPr>
        <w:t>-1775</w:t>
      </w:r>
    </w:p>
    <w:p w14:paraId="17034DE7" w14:textId="77777777" w:rsidR="008D25A0" w:rsidRDefault="0048251E" w:rsidP="008D25A0">
      <w:pPr>
        <w:pStyle w:val="NoSpacing"/>
        <w:rPr>
          <w:rStyle w:val="Hyperlink"/>
          <w:rFonts w:ascii="Times New Roman" w:hAnsi="Times New Roman" w:cs="Times New Roman"/>
          <w:color w:val="auto"/>
          <w:u w:val="none"/>
        </w:rPr>
      </w:pPr>
      <w:hyperlink r:id="rId23" w:history="1">
        <w:r w:rsidR="008D25A0" w:rsidRPr="00D0434C">
          <w:rPr>
            <w:rStyle w:val="Hyperlink"/>
            <w:rFonts w:ascii="Times New Roman" w:hAnsi="Times New Roman" w:cs="Times New Roman"/>
          </w:rPr>
          <w:t>scole@hallbothsmith.com</w:t>
        </w:r>
      </w:hyperlink>
    </w:p>
    <w:p w14:paraId="4ED4651F" w14:textId="77777777" w:rsidR="00123DDC" w:rsidRDefault="00123DDC" w:rsidP="00123DDC">
      <w:pPr>
        <w:pStyle w:val="NoSpacing"/>
        <w:rPr>
          <w:rStyle w:val="Hyperlink"/>
          <w:rFonts w:ascii="Times New Roman" w:hAnsi="Times New Roman" w:cs="Times New Roman"/>
        </w:rPr>
      </w:pPr>
    </w:p>
    <w:p w14:paraId="45382550" w14:textId="77777777" w:rsidR="00123DDC" w:rsidRPr="00921071" w:rsidRDefault="00123DDC" w:rsidP="00123DDC">
      <w:pPr>
        <w:pStyle w:val="NoSpacing"/>
        <w:ind w:left="2160"/>
        <w:rPr>
          <w:rStyle w:val="Hyperlink"/>
          <w:rFonts w:ascii="Times New Roman" w:hAnsi="Times New Roman" w:cs="Times New Roman"/>
        </w:rPr>
      </w:pPr>
    </w:p>
    <w:p w14:paraId="15FC39BE" w14:textId="0B523FA6" w:rsidR="00123DDC" w:rsidRPr="00F44642" w:rsidRDefault="00123DDC" w:rsidP="0012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rPr>
      </w:pPr>
      <w:r w:rsidRPr="00F44642">
        <w:rPr>
          <w:rFonts w:ascii="Times New Roman" w:eastAsia="Times New Roman" w:hAnsi="Times New Roman" w:cs="Times New Roman"/>
        </w:rPr>
        <w:tab/>
        <w:t xml:space="preserve">This </w:t>
      </w:r>
      <w:r w:rsidR="00103B8C">
        <w:rPr>
          <w:rFonts w:ascii="Times New Roman" w:eastAsia="Times New Roman" w:hAnsi="Times New Roman" w:cs="Times New Roman"/>
        </w:rPr>
        <w:t>11</w:t>
      </w:r>
      <w:r w:rsidRPr="00F44642">
        <w:rPr>
          <w:rFonts w:ascii="Times New Roman" w:eastAsia="Times New Roman" w:hAnsi="Times New Roman" w:cs="Times New Roman"/>
          <w:vertAlign w:val="superscript"/>
        </w:rPr>
        <w:t>th</w:t>
      </w:r>
      <w:r w:rsidRPr="00F44642">
        <w:rPr>
          <w:rFonts w:ascii="Times New Roman" w:eastAsia="Times New Roman" w:hAnsi="Times New Roman" w:cs="Times New Roman"/>
        </w:rPr>
        <w:t xml:space="preserve"> day of </w:t>
      </w:r>
      <w:r w:rsidR="00214FA6">
        <w:rPr>
          <w:rFonts w:ascii="Times New Roman" w:eastAsia="Times New Roman" w:hAnsi="Times New Roman" w:cs="Times New Roman"/>
        </w:rPr>
        <w:t>May</w:t>
      </w:r>
      <w:r>
        <w:rPr>
          <w:rFonts w:ascii="Times New Roman" w:eastAsia="Times New Roman" w:hAnsi="Times New Roman" w:cs="Times New Roman"/>
        </w:rPr>
        <w:t>, 2020</w:t>
      </w:r>
      <w:r w:rsidRPr="00F44642">
        <w:rPr>
          <w:rFonts w:ascii="Times New Roman" w:eastAsia="Times New Roman" w:hAnsi="Times New Roman" w:cs="Times New Roman"/>
        </w:rPr>
        <w:t>.</w:t>
      </w:r>
    </w:p>
    <w:p w14:paraId="083FF309" w14:textId="77777777" w:rsidR="00123DDC" w:rsidRPr="00F44642" w:rsidRDefault="00123DDC" w:rsidP="0012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rPr>
      </w:pPr>
    </w:p>
    <w:p w14:paraId="185B5EEA" w14:textId="77777777" w:rsidR="00123DDC" w:rsidRPr="00F44642" w:rsidRDefault="00123DDC" w:rsidP="0012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1440"/>
        <w:rPr>
          <w:rFonts w:ascii="Times New Roman" w:eastAsia="Times New Roman" w:hAnsi="Times New Roman" w:cs="Times New Roman"/>
        </w:rPr>
      </w:pPr>
    </w:p>
    <w:p w14:paraId="0454E4CB" w14:textId="77777777" w:rsidR="00123DDC" w:rsidRPr="00F44642" w:rsidRDefault="00123DDC" w:rsidP="0012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5040"/>
        <w:rPr>
          <w:rFonts w:ascii="Times New Roman" w:eastAsia="Times New Roman" w:hAnsi="Times New Roman" w:cs="Times New Roman"/>
        </w:rPr>
      </w:pPr>
      <w:r w:rsidRPr="00F44642">
        <w:rPr>
          <w:rFonts w:ascii="Times New Roman" w:eastAsia="Times New Roman" w:hAnsi="Times New Roman" w:cs="Times New Roman"/>
        </w:rPr>
        <w:t>_____________________________</w:t>
      </w:r>
    </w:p>
    <w:p w14:paraId="088F59A8" w14:textId="77777777" w:rsidR="00123DDC" w:rsidRDefault="00123DDC" w:rsidP="0012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5040"/>
        <w:rPr>
          <w:rFonts w:ascii="Times New Roman" w:hAnsi="Times New Roman" w:cs="Times New Roman"/>
        </w:rPr>
      </w:pPr>
      <w:r w:rsidRPr="00F44642">
        <w:rPr>
          <w:rFonts w:ascii="Times New Roman" w:eastAsia="Times New Roman" w:hAnsi="Times New Roman" w:cs="Times New Roman"/>
        </w:rPr>
        <w:t xml:space="preserve">Counsel for </w:t>
      </w:r>
      <w:r w:rsidRPr="00123DDC">
        <w:rPr>
          <w:rFonts w:ascii="Times New Roman" w:hAnsi="Times New Roman" w:cs="Times New Roman"/>
        </w:rPr>
        <w:t>Georgia Solar</w:t>
      </w:r>
      <w:r>
        <w:rPr>
          <w:rFonts w:ascii="Times New Roman" w:hAnsi="Times New Roman" w:cs="Times New Roman"/>
        </w:rPr>
        <w:t xml:space="preserve"> </w:t>
      </w:r>
      <w:r w:rsidRPr="00123DDC">
        <w:rPr>
          <w:rFonts w:ascii="Times New Roman" w:hAnsi="Times New Roman" w:cs="Times New Roman"/>
        </w:rPr>
        <w:t xml:space="preserve">Energy </w:t>
      </w:r>
    </w:p>
    <w:p w14:paraId="47D9F28C" w14:textId="0DBA7301" w:rsidR="00123DDC" w:rsidRPr="00F44642" w:rsidRDefault="00123DDC" w:rsidP="00123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5040"/>
        <w:rPr>
          <w:rFonts w:ascii="Times New Roman" w:hAnsi="Times New Roman" w:cs="Times New Roman"/>
        </w:rPr>
      </w:pPr>
      <w:r w:rsidRPr="00123DDC">
        <w:rPr>
          <w:rFonts w:ascii="Times New Roman" w:hAnsi="Times New Roman" w:cs="Times New Roman"/>
        </w:rPr>
        <w:t>Industries Association, Inc.</w:t>
      </w:r>
    </w:p>
    <w:p w14:paraId="48C7E4F2" w14:textId="77777777" w:rsidR="00A37477" w:rsidRDefault="00A37477" w:rsidP="008C1A80">
      <w:pPr>
        <w:spacing w:after="0" w:line="480" w:lineRule="auto"/>
        <w:jc w:val="both"/>
        <w:rPr>
          <w:rFonts w:ascii="Times New Roman" w:hAnsi="Times New Roman" w:cs="Times New Roman"/>
        </w:rPr>
      </w:pPr>
    </w:p>
    <w:sectPr w:rsidR="00A37477">
      <w:footerReference w:type="default" r:id="rId24"/>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FE70F" w14:textId="77777777" w:rsidR="001B3A6A" w:rsidRDefault="001B3A6A" w:rsidP="00B01D76">
      <w:pPr>
        <w:spacing w:after="0" w:line="240" w:lineRule="auto"/>
      </w:pPr>
      <w:r>
        <w:separator/>
      </w:r>
    </w:p>
  </w:endnote>
  <w:endnote w:type="continuationSeparator" w:id="0">
    <w:p w14:paraId="62F0E02D" w14:textId="77777777" w:rsidR="001B3A6A" w:rsidRDefault="001B3A6A" w:rsidP="00B0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3CEA" w14:textId="77777777" w:rsidR="000135CB" w:rsidRDefault="00013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562260"/>
      <w:docPartObj>
        <w:docPartGallery w:val="Page Numbers (Bottom of Page)"/>
        <w:docPartUnique/>
      </w:docPartObj>
    </w:sdtPr>
    <w:sdtEndPr>
      <w:rPr>
        <w:noProof/>
      </w:rPr>
    </w:sdtEndPr>
    <w:sdtContent>
      <w:p w14:paraId="3A9C576C" w14:textId="77777777" w:rsidR="000135CB" w:rsidRDefault="000135CB">
        <w:pPr>
          <w:pStyle w:val="Footer"/>
          <w:jc w:val="center"/>
        </w:pPr>
        <w:r w:rsidRPr="00833DD2">
          <w:rPr>
            <w:rFonts w:ascii="Times New Roman" w:hAnsi="Times New Roman" w:cs="Times New Roman"/>
            <w:sz w:val="22"/>
            <w:szCs w:val="22"/>
          </w:rPr>
          <w:fldChar w:fldCharType="begin"/>
        </w:r>
        <w:r w:rsidRPr="00833DD2">
          <w:rPr>
            <w:rFonts w:ascii="Times New Roman" w:hAnsi="Times New Roman" w:cs="Times New Roman"/>
            <w:sz w:val="22"/>
            <w:szCs w:val="22"/>
          </w:rPr>
          <w:instrText xml:space="preserve"> PAGE   \* MERGEFORMAT </w:instrText>
        </w:r>
        <w:r w:rsidRPr="00833DD2">
          <w:rPr>
            <w:rFonts w:ascii="Times New Roman" w:hAnsi="Times New Roman" w:cs="Times New Roman"/>
            <w:sz w:val="22"/>
            <w:szCs w:val="22"/>
          </w:rPr>
          <w:fldChar w:fldCharType="separate"/>
        </w:r>
        <w:r w:rsidRPr="00833DD2">
          <w:rPr>
            <w:rFonts w:ascii="Times New Roman" w:hAnsi="Times New Roman" w:cs="Times New Roman"/>
            <w:noProof/>
            <w:sz w:val="22"/>
            <w:szCs w:val="22"/>
          </w:rPr>
          <w:t>6</w:t>
        </w:r>
        <w:r w:rsidRPr="00833DD2">
          <w:rPr>
            <w:rFonts w:ascii="Times New Roman" w:hAnsi="Times New Roman" w:cs="Times New Roman"/>
            <w:noProof/>
            <w:sz w:val="22"/>
            <w:szCs w:val="22"/>
          </w:rPr>
          <w:fldChar w:fldCharType="end"/>
        </w:r>
      </w:p>
    </w:sdtContent>
  </w:sdt>
  <w:p w14:paraId="1AD2A3C7" w14:textId="77777777" w:rsidR="000135CB" w:rsidRDefault="00013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904846"/>
      <w:docPartObj>
        <w:docPartGallery w:val="Page Numbers (Bottom of Page)"/>
        <w:docPartUnique/>
      </w:docPartObj>
    </w:sdtPr>
    <w:sdtEndPr>
      <w:rPr>
        <w:noProof/>
      </w:rPr>
    </w:sdtEndPr>
    <w:sdtContent>
      <w:p w14:paraId="19E64305" w14:textId="41626481" w:rsidR="000135CB" w:rsidRDefault="00013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6C8AF" w14:textId="77777777" w:rsidR="000135CB" w:rsidRDefault="0001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04859" w14:textId="77777777" w:rsidR="001B3A6A" w:rsidRDefault="001B3A6A" w:rsidP="00B01D76">
      <w:pPr>
        <w:spacing w:after="0" w:line="240" w:lineRule="auto"/>
      </w:pPr>
      <w:r>
        <w:separator/>
      </w:r>
    </w:p>
  </w:footnote>
  <w:footnote w:type="continuationSeparator" w:id="0">
    <w:p w14:paraId="6FE69468" w14:textId="77777777" w:rsidR="001B3A6A" w:rsidRDefault="001B3A6A" w:rsidP="00B01D76">
      <w:pPr>
        <w:spacing w:after="0" w:line="240" w:lineRule="auto"/>
      </w:pPr>
      <w:r>
        <w:continuationSeparator/>
      </w:r>
    </w:p>
  </w:footnote>
  <w:footnote w:id="1">
    <w:p w14:paraId="328F9274" w14:textId="602534A8" w:rsidR="000135CB" w:rsidRDefault="000135CB" w:rsidP="006226D7">
      <w:pPr>
        <w:spacing w:after="0" w:line="240" w:lineRule="auto"/>
        <w:jc w:val="both"/>
        <w:rPr>
          <w:rFonts w:ascii="Times New Roman" w:hAnsi="Times New Roman" w:cs="Times New Roman"/>
        </w:rPr>
      </w:pPr>
      <w:r w:rsidRPr="006226D7">
        <w:rPr>
          <w:rStyle w:val="FootnoteReference"/>
          <w:rFonts w:ascii="Times New Roman" w:hAnsi="Times New Roman" w:cs="Times New Roman"/>
        </w:rPr>
        <w:footnoteRef/>
      </w:r>
      <w:r>
        <w:rPr>
          <w:rFonts w:ascii="Times New Roman" w:hAnsi="Times New Roman" w:cs="Times New Roman"/>
        </w:rPr>
        <w:t xml:space="preserve"> “</w:t>
      </w:r>
      <w:r w:rsidRPr="006226D7">
        <w:rPr>
          <w:rFonts w:ascii="Times New Roman" w:hAnsi="Times New Roman" w:cs="Times New Roman"/>
          <w:sz w:val="20"/>
          <w:szCs w:val="20"/>
        </w:rPr>
        <w:t>Application for Approval of Georgia Power Company’s Distributed Generation Customer-Connected Solar Program</w:t>
      </w:r>
      <w:r>
        <w:rPr>
          <w:rFonts w:ascii="Times New Roman" w:hAnsi="Times New Roman" w:cs="Times New Roman"/>
        </w:rPr>
        <w:t xml:space="preserve"> </w:t>
      </w:r>
      <w:r w:rsidRPr="006226D7">
        <w:rPr>
          <w:rFonts w:ascii="Times New Roman" w:hAnsi="Times New Roman" w:cs="Times New Roman"/>
          <w:sz w:val="20"/>
          <w:szCs w:val="20"/>
        </w:rPr>
        <w:t xml:space="preserve">(“Application”);” </w:t>
      </w:r>
      <w:r w:rsidRPr="006226D7">
        <w:rPr>
          <w:rFonts w:ascii="Times New Roman" w:hAnsi="Times New Roman" w:cs="Times New Roman"/>
          <w:i/>
          <w:iCs/>
          <w:sz w:val="20"/>
          <w:szCs w:val="20"/>
        </w:rPr>
        <w:t>In re:</w:t>
      </w:r>
      <w:r w:rsidRPr="008E1A4C">
        <w:rPr>
          <w:rFonts w:ascii="Times New Roman" w:hAnsi="Times New Roman" w:cs="Times New Roman"/>
          <w:i/>
          <w:iCs/>
          <w:sz w:val="20"/>
          <w:szCs w:val="20"/>
        </w:rPr>
        <w:t xml:space="preserve"> </w:t>
      </w:r>
      <w:r w:rsidRPr="00957A40">
        <w:rPr>
          <w:rFonts w:ascii="Times New Roman" w:hAnsi="Times New Roman" w:cs="Times New Roman"/>
          <w:i/>
          <w:iCs/>
          <w:sz w:val="20"/>
          <w:szCs w:val="20"/>
        </w:rPr>
        <w:t>Georgia Power Company’s Distributed Generation Customer-Connected Solar Program</w:t>
      </w:r>
      <w:r w:rsidRPr="006226D7">
        <w:rPr>
          <w:rFonts w:ascii="Times New Roman" w:hAnsi="Times New Roman" w:cs="Times New Roman"/>
          <w:sz w:val="20"/>
          <w:szCs w:val="20"/>
        </w:rPr>
        <w:t>; Docket 43107 (April 15, 2020).</w:t>
      </w:r>
    </w:p>
    <w:p w14:paraId="04FA9D9E" w14:textId="48F227EF" w:rsidR="000135CB" w:rsidRPr="006226D7" w:rsidRDefault="000135CB" w:rsidP="006226D7">
      <w:pPr>
        <w:pStyle w:val="FootnoteText"/>
        <w:jc w:val="both"/>
        <w:rPr>
          <w:rFonts w:ascii="Times New Roman" w:hAnsi="Times New Roman" w:cs="Times New Roman"/>
          <w:i/>
          <w:iCs/>
        </w:rPr>
      </w:pPr>
      <w:r>
        <w:rPr>
          <w:rFonts w:ascii="Times New Roman" w:hAnsi="Times New Roman" w:cs="Times New Roman"/>
          <w:i/>
          <w:iCs/>
        </w:rPr>
        <w:t xml:space="preserve"> </w:t>
      </w:r>
    </w:p>
  </w:footnote>
  <w:footnote w:id="2">
    <w:p w14:paraId="4156FB36" w14:textId="77777777" w:rsidR="000135CB" w:rsidRPr="00283FD2" w:rsidRDefault="000135CB" w:rsidP="00CE3AB4">
      <w:pPr>
        <w:pStyle w:val="FootnoteText"/>
        <w:jc w:val="both"/>
        <w:rPr>
          <w:rFonts w:ascii="Times New Roman" w:hAnsi="Times New Roman" w:cs="Times New Roman"/>
        </w:rPr>
      </w:pPr>
      <w:r w:rsidRPr="00C75708">
        <w:rPr>
          <w:rStyle w:val="FootnoteReference"/>
          <w:rFonts w:ascii="Times New Roman" w:hAnsi="Times New Roman" w:cs="Times New Roman"/>
        </w:rPr>
        <w:footnoteRef/>
      </w:r>
      <w:r w:rsidRPr="00C7570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iCs/>
        </w:rPr>
        <w:t xml:space="preserve">See:  </w:t>
      </w:r>
      <w:r>
        <w:rPr>
          <w:rFonts w:ascii="Times New Roman" w:hAnsi="Times New Roman" w:cs="Times New Roman"/>
        </w:rPr>
        <w:t xml:space="preserve">RNR-10 tariff.  (“Georgia Power Company’s 2019 Rate Case Compliance Filing;” </w:t>
      </w:r>
      <w:r>
        <w:rPr>
          <w:rFonts w:ascii="Times New Roman" w:hAnsi="Times New Roman" w:cs="Times New Roman"/>
          <w:i/>
          <w:iCs/>
        </w:rPr>
        <w:t>In re:  Georgia Power Company’s 2019 Rate Case</w:t>
      </w:r>
      <w:r>
        <w:rPr>
          <w:rFonts w:ascii="Times New Roman" w:hAnsi="Times New Roman" w:cs="Times New Roman"/>
        </w:rPr>
        <w:t>; Docket 42516 (February 14, 2020), adopted “Compliance Order;” (March 20, 2020)) (Subject to further revisions to implement monthly netting).</w:t>
      </w:r>
    </w:p>
  </w:footnote>
  <w:footnote w:id="3">
    <w:p w14:paraId="1832AC67" w14:textId="77777777" w:rsidR="000135CB" w:rsidRPr="006226D7" w:rsidRDefault="000135CB" w:rsidP="005E31C2">
      <w:pPr>
        <w:pStyle w:val="FootnoteText"/>
        <w:jc w:val="both"/>
        <w:rPr>
          <w:rFonts w:ascii="Times New Roman" w:hAnsi="Times New Roman" w:cs="Times New Roman"/>
        </w:rPr>
      </w:pPr>
      <w:r w:rsidRPr="006226D7">
        <w:rPr>
          <w:rStyle w:val="FootnoteReference"/>
          <w:rFonts w:ascii="Times New Roman" w:hAnsi="Times New Roman" w:cs="Times New Roman"/>
        </w:rPr>
        <w:footnoteRef/>
      </w:r>
      <w:r w:rsidRPr="006226D7">
        <w:rPr>
          <w:rFonts w:ascii="Times New Roman" w:hAnsi="Times New Roman" w:cs="Times New Roman"/>
        </w:rPr>
        <w:t xml:space="preserve"> </w:t>
      </w:r>
      <w:r>
        <w:rPr>
          <w:rFonts w:ascii="Times New Roman" w:hAnsi="Times New Roman" w:cs="Times New Roman"/>
        </w:rPr>
        <w:t xml:space="preserve"> The Company did not propose a customer sited program in its 2019 IRP.  “Georgia Power Company’s Integrated Resource Plan;” </w:t>
      </w:r>
      <w:r w:rsidRPr="00CD6D5A">
        <w:rPr>
          <w:rFonts w:ascii="Times New Roman" w:hAnsi="Times New Roman" w:cs="Times New Roman"/>
          <w:bCs/>
          <w:i/>
          <w:iCs/>
        </w:rPr>
        <w:t xml:space="preserve">In Re: Georgia Power Company's 2019 Integrated Resource Plan and Application for Certification of Capacity from Plant Scherer Unit 3 and Plant Goat Rock Units 9-12, Application for Decertification of Plant Hammond Units 1-4, Plant McIntosh Unit 1, Plant </w:t>
      </w:r>
      <w:proofErr w:type="spellStart"/>
      <w:r w:rsidRPr="00CD6D5A">
        <w:rPr>
          <w:rFonts w:ascii="Times New Roman" w:hAnsi="Times New Roman" w:cs="Times New Roman"/>
          <w:bCs/>
          <w:i/>
          <w:iCs/>
        </w:rPr>
        <w:t>Estatoah</w:t>
      </w:r>
      <w:proofErr w:type="spellEnd"/>
      <w:r w:rsidRPr="00CD6D5A">
        <w:rPr>
          <w:rFonts w:ascii="Times New Roman" w:hAnsi="Times New Roman" w:cs="Times New Roman"/>
          <w:bCs/>
          <w:i/>
          <w:iCs/>
        </w:rPr>
        <w:t xml:space="preserve"> Unit 1, Plant Langdale Units 5-6 and Plant Riverview Units 1-2</w:t>
      </w:r>
      <w:r>
        <w:rPr>
          <w:b/>
        </w:rPr>
        <w:t xml:space="preserve">; </w:t>
      </w:r>
      <w:r>
        <w:rPr>
          <w:rFonts w:ascii="Times New Roman" w:hAnsi="Times New Roman" w:cs="Times New Roman"/>
          <w:bCs/>
        </w:rPr>
        <w:t>Docket 42310 (</w:t>
      </w:r>
      <w:r>
        <w:rPr>
          <w:rFonts w:ascii="Times New Roman" w:hAnsi="Times New Roman" w:cs="Times New Roman"/>
          <w:bCs/>
          <w:i/>
          <w:iCs/>
        </w:rPr>
        <w:t>Generally</w:t>
      </w:r>
      <w:r>
        <w:rPr>
          <w:rFonts w:ascii="Times New Roman" w:hAnsi="Times New Roman" w:cs="Times New Roman"/>
          <w:bCs/>
        </w:rPr>
        <w:t>, pp. 8-50 thru 8-58) and “Testimony of Jeffrey R. Grubb, et al.;” Docket 42310 (January 31, 2019) (pp. 46-59).</w:t>
      </w:r>
    </w:p>
  </w:footnote>
  <w:footnote w:id="4">
    <w:p w14:paraId="6D233FD3" w14:textId="50709F1F" w:rsidR="000135CB" w:rsidRPr="00EA2C34" w:rsidRDefault="000135CB" w:rsidP="00EA2C34">
      <w:pPr>
        <w:pStyle w:val="FootnoteText"/>
        <w:jc w:val="both"/>
        <w:rPr>
          <w:rFonts w:ascii="Times New Roman" w:hAnsi="Times New Roman" w:cs="Times New Roman"/>
        </w:rPr>
      </w:pPr>
      <w:r w:rsidRPr="00EA2C34">
        <w:rPr>
          <w:rStyle w:val="FootnoteReference"/>
          <w:rFonts w:ascii="Times New Roman" w:hAnsi="Times New Roman" w:cs="Times New Roman"/>
        </w:rPr>
        <w:footnoteRef/>
      </w:r>
      <w:r w:rsidRPr="00EA2C34">
        <w:rPr>
          <w:rFonts w:ascii="Times New Roman" w:hAnsi="Times New Roman" w:cs="Times New Roman"/>
        </w:rPr>
        <w:t xml:space="preserve"> </w:t>
      </w:r>
      <w:r>
        <w:rPr>
          <w:rFonts w:ascii="Times New Roman" w:hAnsi="Times New Roman" w:cs="Times New Roman"/>
        </w:rPr>
        <w:t xml:space="preserve"> “Order Approving Final Program Guidelines and Power Purchase Agreements for the 2015/2016 Distributed Generation Program Solicitations;” </w:t>
      </w:r>
      <w:r>
        <w:rPr>
          <w:rFonts w:ascii="Times New Roman" w:hAnsi="Times New Roman" w:cs="Times New Roman"/>
          <w:i/>
          <w:iCs/>
        </w:rPr>
        <w:t xml:space="preserve">In re:  Georgia Power Company’s Advanced Solar Initiative; </w:t>
      </w:r>
      <w:r>
        <w:rPr>
          <w:rFonts w:ascii="Times New Roman" w:hAnsi="Times New Roman" w:cs="Times New Roman"/>
        </w:rPr>
        <w:t>Docket 36325 (July 20, 2015).</w:t>
      </w:r>
    </w:p>
  </w:footnote>
  <w:footnote w:id="5">
    <w:p w14:paraId="19E1FC33" w14:textId="4B9805D1" w:rsidR="000135CB" w:rsidRPr="00EA2C34" w:rsidRDefault="000135CB" w:rsidP="00EA2C34">
      <w:pPr>
        <w:pStyle w:val="FootnoteText"/>
        <w:jc w:val="both"/>
        <w:rPr>
          <w:rFonts w:ascii="Times New Roman" w:hAnsi="Times New Roman" w:cs="Times New Roman"/>
        </w:rPr>
      </w:pPr>
      <w:r w:rsidRPr="00EA2C34">
        <w:rPr>
          <w:rStyle w:val="FootnoteReference"/>
          <w:rFonts w:ascii="Times New Roman" w:hAnsi="Times New Roman" w:cs="Times New Roman"/>
        </w:rPr>
        <w:footnoteRef/>
      </w:r>
      <w:r w:rsidRPr="00EA2C34">
        <w:rPr>
          <w:rFonts w:ascii="Times New Roman" w:hAnsi="Times New Roman" w:cs="Times New Roman"/>
        </w:rPr>
        <w:t xml:space="preserve"> </w:t>
      </w:r>
      <w:r>
        <w:rPr>
          <w:rFonts w:ascii="Times New Roman" w:hAnsi="Times New Roman" w:cs="Times New Roman"/>
        </w:rPr>
        <w:t xml:space="preserve">  </w:t>
      </w:r>
      <w:r w:rsidRPr="00D97670">
        <w:rPr>
          <w:rFonts w:ascii="Times New Roman" w:hAnsi="Times New Roman" w:cs="Times New Roman"/>
          <w:b/>
          <w:bCs/>
        </w:rPr>
        <w:t>“</w:t>
      </w:r>
      <w:r w:rsidRPr="00D97670">
        <w:rPr>
          <w:rFonts w:ascii="Times New Roman" w:hAnsi="Times New Roman" w:cs="Times New Roman"/>
        </w:rPr>
        <w:t>Georgia</w:t>
      </w:r>
      <w:r w:rsidRPr="00D97670">
        <w:rPr>
          <w:rFonts w:ascii="Times New Roman" w:hAnsi="Times New Roman" w:cs="Times New Roman"/>
          <w:b/>
          <w:bCs/>
        </w:rPr>
        <w:t xml:space="preserve"> </w:t>
      </w:r>
      <w:r w:rsidRPr="00D97670">
        <w:rPr>
          <w:rFonts w:ascii="Times New Roman" w:hAnsi="Times New Roman" w:cs="Times New Roman"/>
        </w:rPr>
        <w:t>Power</w:t>
      </w:r>
      <w:r w:rsidRPr="00D97670">
        <w:rPr>
          <w:rFonts w:ascii="Times New Roman" w:hAnsi="Times New Roman" w:cs="Times New Roman"/>
          <w:b/>
          <w:bCs/>
        </w:rPr>
        <w:t xml:space="preserve"> </w:t>
      </w:r>
      <w:r w:rsidRPr="00D97670">
        <w:rPr>
          <w:rFonts w:ascii="Times New Roman" w:hAnsi="Times New Roman" w:cs="Times New Roman"/>
        </w:rPr>
        <w:t>Company’s</w:t>
      </w:r>
      <w:r w:rsidRPr="00D97670">
        <w:rPr>
          <w:rFonts w:ascii="Times New Roman" w:hAnsi="Times New Roman" w:cs="Times New Roman"/>
          <w:b/>
          <w:bCs/>
        </w:rPr>
        <w:t xml:space="preserve"> </w:t>
      </w:r>
      <w:r w:rsidRPr="00D97670">
        <w:rPr>
          <w:rFonts w:ascii="Times New Roman" w:hAnsi="Times New Roman" w:cs="Times New Roman"/>
        </w:rPr>
        <w:t>Renewable Energy Development Initiative</w:t>
      </w:r>
      <w:r w:rsidRPr="00D97670">
        <w:rPr>
          <w:rFonts w:ascii="Times New Roman" w:hAnsi="Times New Roman" w:cs="Times New Roman"/>
          <w:b/>
          <w:bCs/>
        </w:rPr>
        <w:t xml:space="preserve"> </w:t>
      </w:r>
      <w:r w:rsidRPr="00D97670">
        <w:rPr>
          <w:rFonts w:ascii="Times New Roman" w:hAnsi="Times New Roman" w:cs="Times New Roman"/>
        </w:rPr>
        <w:t>Customer-Sited Distributed Generation</w:t>
      </w:r>
      <w:r w:rsidRPr="00D97670">
        <w:rPr>
          <w:rFonts w:ascii="Times New Roman" w:hAnsi="Times New Roman" w:cs="Times New Roman"/>
          <w:b/>
          <w:bCs/>
        </w:rPr>
        <w:t xml:space="preserve"> </w:t>
      </w:r>
      <w:r w:rsidRPr="00D97670">
        <w:rPr>
          <w:rFonts w:ascii="Times New Roman" w:hAnsi="Times New Roman" w:cs="Times New Roman"/>
        </w:rPr>
        <w:t>Program Guidelines</w:t>
      </w:r>
      <w:r w:rsidRPr="00D97670">
        <w:rPr>
          <w:rFonts w:ascii="Times New Roman" w:hAnsi="Times New Roman" w:cs="Times New Roman"/>
          <w:b/>
          <w:bCs/>
        </w:rPr>
        <w:t xml:space="preserve"> </w:t>
      </w:r>
      <w:r w:rsidRPr="00D97670">
        <w:rPr>
          <w:rFonts w:ascii="Times New Roman" w:hAnsi="Times New Roman" w:cs="Times New Roman"/>
        </w:rPr>
        <w:t>and</w:t>
      </w:r>
      <w:r w:rsidRPr="00D97670">
        <w:rPr>
          <w:rFonts w:ascii="Times New Roman" w:hAnsi="Times New Roman" w:cs="Times New Roman"/>
          <w:b/>
          <w:bCs/>
        </w:rPr>
        <w:t xml:space="preserve"> </w:t>
      </w:r>
      <w:r w:rsidRPr="00D97670">
        <w:rPr>
          <w:rFonts w:ascii="Times New Roman" w:hAnsi="Times New Roman" w:cs="Times New Roman"/>
        </w:rPr>
        <w:t>Request for Applications</w:t>
      </w:r>
      <w:r w:rsidRPr="00D97670">
        <w:rPr>
          <w:rFonts w:ascii="Times New Roman" w:hAnsi="Times New Roman" w:cs="Times New Roman"/>
          <w:b/>
          <w:bCs/>
        </w:rPr>
        <w:t xml:space="preserve"> </w:t>
      </w:r>
      <w:r w:rsidRPr="00D97670">
        <w:rPr>
          <w:rFonts w:ascii="Times New Roman" w:hAnsi="Times New Roman" w:cs="Times New Roman"/>
        </w:rPr>
        <w:t>For Solar Photovoltaic Generation</w:t>
      </w:r>
      <w:r>
        <w:rPr>
          <w:rFonts w:ascii="Times New Roman" w:hAnsi="Times New Roman" w:cs="Times New Roman"/>
        </w:rPr>
        <w:t>;</w:t>
      </w:r>
      <w:r w:rsidRPr="00D97670">
        <w:rPr>
          <w:rFonts w:ascii="Times New Roman" w:hAnsi="Times New Roman" w:cs="Times New Roman"/>
          <w:b/>
          <w:bCs/>
        </w:rPr>
        <w:t xml:space="preserve">” </w:t>
      </w:r>
      <w:r w:rsidRPr="00D97670">
        <w:rPr>
          <w:rFonts w:ascii="Times New Roman" w:hAnsi="Times New Roman" w:cs="Times New Roman"/>
          <w:i/>
          <w:iCs/>
        </w:rPr>
        <w:t>In re:  Georgia Power Company’s Renewable Energy Development Initiative</w:t>
      </w:r>
      <w:r w:rsidRPr="00D97670">
        <w:rPr>
          <w:rFonts w:ascii="Times New Roman" w:hAnsi="Times New Roman" w:cs="Times New Roman"/>
        </w:rPr>
        <w:t>;</w:t>
      </w:r>
      <w:r>
        <w:rPr>
          <w:rFonts w:ascii="Times New Roman" w:hAnsi="Times New Roman" w:cs="Times New Roman"/>
        </w:rPr>
        <w:t xml:space="preserve"> </w:t>
      </w:r>
      <w:r w:rsidRPr="00D97670">
        <w:rPr>
          <w:rFonts w:ascii="Times New Roman" w:hAnsi="Times New Roman" w:cs="Times New Roman"/>
        </w:rPr>
        <w:t>Docket 40706 (October 5, 2017)</w:t>
      </w:r>
      <w:r>
        <w:rPr>
          <w:rFonts w:ascii="Times New Roman" w:hAnsi="Times New Roman" w:cs="Times New Roman"/>
        </w:rPr>
        <w:t xml:space="preserve"> and </w:t>
      </w:r>
      <w:r w:rsidRPr="00D97670">
        <w:rPr>
          <w:rFonts w:ascii="Times New Roman" w:hAnsi="Times New Roman" w:cs="Times New Roman"/>
        </w:rPr>
        <w:t>“Order Approving Final Documents with Modifications;” Docket 40706 (October 23, 2017).</w:t>
      </w:r>
    </w:p>
  </w:footnote>
  <w:footnote w:id="6">
    <w:p w14:paraId="2F953625" w14:textId="66AEFE10" w:rsidR="000135CB" w:rsidRPr="00DD1AB8" w:rsidRDefault="000135CB" w:rsidP="005D0F7F">
      <w:pPr>
        <w:pStyle w:val="FootnoteText"/>
        <w:jc w:val="both"/>
        <w:rPr>
          <w:rFonts w:ascii="Times New Roman" w:hAnsi="Times New Roman" w:cs="Times New Roman"/>
        </w:rPr>
      </w:pPr>
      <w:r w:rsidRPr="00DD1AB8">
        <w:rPr>
          <w:rStyle w:val="FootnoteReference"/>
          <w:rFonts w:ascii="Times New Roman" w:hAnsi="Times New Roman" w:cs="Times New Roman"/>
        </w:rPr>
        <w:footnoteRef/>
      </w:r>
      <w:r w:rsidRPr="00DD1AB8">
        <w:rPr>
          <w:rFonts w:ascii="Times New Roman" w:hAnsi="Times New Roman" w:cs="Times New Roman"/>
        </w:rPr>
        <w:t xml:space="preserve"> </w:t>
      </w:r>
      <w:r>
        <w:rPr>
          <w:rFonts w:ascii="Times New Roman" w:hAnsi="Times New Roman" w:cs="Times New Roman"/>
        </w:rPr>
        <w:t xml:space="preserve">  “Rebuttal Testimony of Jeffrey R. Grubb, et al.;” Docket 42310 (May 30, 2019) (pp. 54:29-55:1; 55:12-15; 55:18-20); “Application;” Docket 43107 (p. 3).</w:t>
      </w:r>
    </w:p>
  </w:footnote>
  <w:footnote w:id="7">
    <w:p w14:paraId="0A4AF233" w14:textId="77777777" w:rsidR="000135CB" w:rsidRPr="00DD1AB8" w:rsidRDefault="000135CB" w:rsidP="00FB2954">
      <w:pPr>
        <w:pStyle w:val="FootnoteText"/>
        <w:jc w:val="both"/>
        <w:rPr>
          <w:rFonts w:ascii="Times New Roman" w:hAnsi="Times New Roman" w:cs="Times New Roman"/>
        </w:rPr>
      </w:pPr>
      <w:r w:rsidRPr="00DD1AB8">
        <w:rPr>
          <w:rStyle w:val="FootnoteReference"/>
          <w:rFonts w:ascii="Times New Roman" w:hAnsi="Times New Roman" w:cs="Times New Roman"/>
        </w:rPr>
        <w:footnoteRef/>
      </w:r>
      <w:r w:rsidRPr="00DD1AB8">
        <w:rPr>
          <w:rFonts w:ascii="Times New Roman" w:hAnsi="Times New Roman" w:cs="Times New Roman"/>
        </w:rPr>
        <w:t xml:space="preserve"> </w:t>
      </w:r>
      <w:r>
        <w:rPr>
          <w:rFonts w:ascii="Times New Roman" w:hAnsi="Times New Roman" w:cs="Times New Roman"/>
        </w:rPr>
        <w:t xml:space="preserve"> “Rebuttal Testimony of Jeffrey R. Grubb, et al.;” Docket 42310 (May 30, 2019) (pp. 55:1-4, 56:1-4); “Application;” Docket 43107 (p. 3).</w:t>
      </w:r>
    </w:p>
  </w:footnote>
  <w:footnote w:id="8">
    <w:p w14:paraId="4D46BE97" w14:textId="3B1897A2" w:rsidR="000135CB" w:rsidRPr="00CD6D5A" w:rsidRDefault="000135CB" w:rsidP="002E2509">
      <w:pPr>
        <w:pStyle w:val="FootnoteText"/>
        <w:jc w:val="both"/>
        <w:rPr>
          <w:rFonts w:ascii="Times New Roman" w:hAnsi="Times New Roman" w:cs="Times New Roman"/>
          <w:bCs/>
        </w:rPr>
      </w:pPr>
      <w:r w:rsidRPr="008C1F19">
        <w:rPr>
          <w:rStyle w:val="FootnoteReference"/>
          <w:rFonts w:ascii="Times New Roman" w:hAnsi="Times New Roman" w:cs="Times New Roman"/>
        </w:rPr>
        <w:footnoteRef/>
      </w:r>
      <w:r w:rsidRPr="00C75708">
        <w:rPr>
          <w:rFonts w:ascii="Times New Roman" w:hAnsi="Times New Roman" w:cs="Times New Roman"/>
        </w:rPr>
        <w:t xml:space="preserve"> </w:t>
      </w:r>
      <w:r>
        <w:rPr>
          <w:rFonts w:ascii="Times New Roman" w:hAnsi="Times New Roman" w:cs="Times New Roman"/>
        </w:rPr>
        <w:t>“Order Adopting Stipulation as Amended;”</w:t>
      </w:r>
      <w:r>
        <w:rPr>
          <w:b/>
        </w:rPr>
        <w:t xml:space="preserve"> </w:t>
      </w:r>
      <w:r>
        <w:rPr>
          <w:rFonts w:ascii="Times New Roman" w:hAnsi="Times New Roman" w:cs="Times New Roman"/>
          <w:bCs/>
        </w:rPr>
        <w:t>Docket 42310 (July 29, 2019) (Paragraph 3, p. 11).</w:t>
      </w:r>
    </w:p>
  </w:footnote>
  <w:footnote w:id="9">
    <w:p w14:paraId="32A0FD9A" w14:textId="2082A154" w:rsidR="000135CB" w:rsidRPr="006158FF" w:rsidRDefault="000135CB" w:rsidP="006158FF">
      <w:pPr>
        <w:pStyle w:val="FootnoteText"/>
        <w:jc w:val="both"/>
        <w:rPr>
          <w:rFonts w:ascii="Times New Roman" w:hAnsi="Times New Roman" w:cs="Times New Roman"/>
        </w:rPr>
      </w:pPr>
      <w:r w:rsidRPr="006158FF">
        <w:rPr>
          <w:rStyle w:val="FootnoteReference"/>
          <w:rFonts w:ascii="Times New Roman" w:hAnsi="Times New Roman" w:cs="Times New Roman"/>
        </w:rPr>
        <w:footnoteRef/>
      </w:r>
      <w:r w:rsidRPr="006158FF">
        <w:rPr>
          <w:rFonts w:ascii="Times New Roman" w:hAnsi="Times New Roman" w:cs="Times New Roman"/>
        </w:rPr>
        <w:t xml:space="preserve"> </w:t>
      </w:r>
      <w:r w:rsidR="005D0F7F">
        <w:rPr>
          <w:rFonts w:ascii="Times New Roman" w:hAnsi="Times New Roman" w:cs="Times New Roman"/>
        </w:rPr>
        <w:t>“</w:t>
      </w:r>
      <w:r w:rsidRPr="006158FF">
        <w:rPr>
          <w:rFonts w:ascii="Times New Roman" w:hAnsi="Times New Roman" w:cs="Times New Roman"/>
        </w:rPr>
        <w:t xml:space="preserve">Georgia Power Company’s Renewable Energy Development Initiative Customer Sited Distributed Generation Program Guidelines and Request for Applications </w:t>
      </w:r>
      <w:proofErr w:type="gramStart"/>
      <w:r w:rsidRPr="006158FF">
        <w:rPr>
          <w:rFonts w:ascii="Times New Roman" w:hAnsi="Times New Roman" w:cs="Times New Roman"/>
        </w:rPr>
        <w:t>For</w:t>
      </w:r>
      <w:proofErr w:type="gramEnd"/>
      <w:r w:rsidRPr="006158FF">
        <w:rPr>
          <w:rFonts w:ascii="Times New Roman" w:hAnsi="Times New Roman" w:cs="Times New Roman"/>
        </w:rPr>
        <w:t xml:space="preserve"> Solar Photovoltaic Generation</w:t>
      </w:r>
      <w:r w:rsidR="005D0F7F">
        <w:rPr>
          <w:rFonts w:ascii="Times New Roman" w:hAnsi="Times New Roman" w:cs="Times New Roman"/>
        </w:rPr>
        <w:t>;” Docket 40706</w:t>
      </w:r>
      <w:r w:rsidRPr="006158FF">
        <w:rPr>
          <w:rFonts w:ascii="Times New Roman" w:hAnsi="Times New Roman" w:cs="Times New Roman"/>
        </w:rPr>
        <w:t xml:space="preserve"> November 1, 2017 (the “REDI CS DG Guidelines”), </w:t>
      </w:r>
      <w:r w:rsidR="005D0F7F">
        <w:rPr>
          <w:rFonts w:ascii="Times New Roman" w:hAnsi="Times New Roman" w:cs="Times New Roman"/>
        </w:rPr>
        <w:t>p.</w:t>
      </w:r>
      <w:r w:rsidRPr="006158FF">
        <w:rPr>
          <w:rFonts w:ascii="Times New Roman" w:hAnsi="Times New Roman" w:cs="Times New Roman"/>
        </w:rPr>
        <w:t xml:space="preserve"> 3.</w:t>
      </w:r>
    </w:p>
  </w:footnote>
  <w:footnote w:id="10">
    <w:p w14:paraId="6B8B0022" w14:textId="79EF22E1" w:rsidR="000135CB" w:rsidRDefault="000135CB" w:rsidP="006158FF">
      <w:pPr>
        <w:pStyle w:val="FootnoteText"/>
        <w:jc w:val="both"/>
      </w:pPr>
      <w:r w:rsidRPr="006158FF">
        <w:rPr>
          <w:rStyle w:val="FootnoteReference"/>
          <w:rFonts w:ascii="Times New Roman" w:hAnsi="Times New Roman" w:cs="Times New Roman"/>
        </w:rPr>
        <w:footnoteRef/>
      </w:r>
      <w:r w:rsidRPr="006158FF">
        <w:rPr>
          <w:rFonts w:ascii="Times New Roman" w:hAnsi="Times New Roman" w:cs="Times New Roman"/>
        </w:rPr>
        <w:t xml:space="preserve"> </w:t>
      </w:r>
      <w:r w:rsidRPr="0084425F">
        <w:rPr>
          <w:rFonts w:ascii="Times New Roman" w:hAnsi="Times New Roman" w:cs="Times New Roman"/>
        </w:rPr>
        <w:t xml:space="preserve"> </w:t>
      </w:r>
      <w:r>
        <w:rPr>
          <w:rFonts w:ascii="Times New Roman" w:hAnsi="Times New Roman" w:cs="Times New Roman"/>
        </w:rPr>
        <w:t>The Company’s response to a question posed to the Independent Monitor</w:t>
      </w:r>
      <w:proofErr w:type="gramStart"/>
      <w:r>
        <w:rPr>
          <w:rFonts w:ascii="Times New Roman" w:hAnsi="Times New Roman" w:cs="Times New Roman"/>
        </w:rPr>
        <w:t xml:space="preserve">:  </w:t>
      </w:r>
      <w:r w:rsidRPr="003B3EDB">
        <w:rPr>
          <w:rFonts w:ascii="Times New Roman" w:hAnsi="Times New Roman" w:cs="Times New Roman"/>
        </w:rPr>
        <w:t>“</w:t>
      </w:r>
      <w:proofErr w:type="gramEnd"/>
      <w:r w:rsidRPr="003B3EDB">
        <w:rPr>
          <w:rFonts w:ascii="Times New Roman" w:hAnsi="Times New Roman" w:cs="Times New Roman"/>
        </w:rPr>
        <w:t>What are the benefits that the customer receives?”</w:t>
      </w:r>
      <w:r>
        <w:rPr>
          <w:rFonts w:ascii="Times New Roman" w:hAnsi="Times New Roman" w:cs="Times New Roman"/>
        </w:rPr>
        <w:t xml:space="preserve">  </w:t>
      </w:r>
      <w:proofErr w:type="spellStart"/>
      <w:r w:rsidRPr="0084425F">
        <w:rPr>
          <w:rFonts w:ascii="Times New Roman" w:hAnsi="Times New Roman" w:cs="Times New Roman"/>
        </w:rPr>
        <w:t>Accion</w:t>
      </w:r>
      <w:proofErr w:type="spellEnd"/>
      <w:r w:rsidRPr="0084425F">
        <w:rPr>
          <w:rFonts w:ascii="Times New Roman" w:hAnsi="Times New Roman" w:cs="Times New Roman"/>
        </w:rPr>
        <w:t xml:space="preserve"> </w:t>
      </w:r>
      <w:r>
        <w:rPr>
          <w:rFonts w:ascii="Times New Roman" w:hAnsi="Times New Roman" w:cs="Times New Roman"/>
        </w:rPr>
        <w:t>Group, LLC (</w:t>
      </w:r>
      <w:hyperlink r:id="rId1" w:history="1">
        <w:r w:rsidRPr="00D232A0">
          <w:rPr>
            <w:rStyle w:val="Hyperlink"/>
            <w:rFonts w:ascii="Times New Roman" w:hAnsi="Times New Roman" w:cs="Times New Roman"/>
          </w:rPr>
          <w:t>https://www.accionpower.com/index.php</w:t>
        </w:r>
      </w:hyperlink>
      <w:r>
        <w:rPr>
          <w:rFonts w:ascii="Times New Roman" w:hAnsi="Times New Roman" w:cs="Times New Roman"/>
        </w:rPr>
        <w:t xml:space="preserve">); </w:t>
      </w:r>
      <w:r w:rsidRPr="0084425F">
        <w:rPr>
          <w:rFonts w:ascii="Times New Roman" w:hAnsi="Times New Roman" w:cs="Times New Roman"/>
        </w:rPr>
        <w:t>REDI CS DG Website, question posted September 25, 2017 at 12:09pm; answer posted September 27, 2017 at 8:19pm (no longer available online).</w:t>
      </w:r>
    </w:p>
  </w:footnote>
  <w:footnote w:id="11">
    <w:p w14:paraId="270EFC3A" w14:textId="5F121106" w:rsidR="000135CB" w:rsidRDefault="000135CB" w:rsidP="00EA2C34">
      <w:pPr>
        <w:pStyle w:val="FootnoteText"/>
        <w:jc w:val="both"/>
      </w:pPr>
      <w:r>
        <w:rPr>
          <w:rStyle w:val="FootnoteReference"/>
        </w:rPr>
        <w:footnoteRef/>
      </w:r>
      <w:r>
        <w:t xml:space="preserve"> “</w:t>
      </w:r>
      <w:r w:rsidRPr="006158FF">
        <w:rPr>
          <w:rFonts w:ascii="Times New Roman" w:hAnsi="Times New Roman" w:cs="Times New Roman"/>
        </w:rPr>
        <w:t>Application</w:t>
      </w:r>
      <w:r>
        <w:rPr>
          <w:rFonts w:ascii="Times New Roman" w:hAnsi="Times New Roman" w:cs="Times New Roman"/>
        </w:rPr>
        <w:t>;” Docket 43107 (April 15, 2020) (</w:t>
      </w:r>
      <w:r w:rsidRPr="006158FF">
        <w:rPr>
          <w:rFonts w:ascii="Times New Roman" w:hAnsi="Times New Roman" w:cs="Times New Roman"/>
        </w:rPr>
        <w:t>at</w:t>
      </w:r>
      <w:r>
        <w:rPr>
          <w:rFonts w:ascii="Times New Roman" w:hAnsi="Times New Roman" w:cs="Times New Roman"/>
        </w:rPr>
        <w:t xml:space="preserve"> p.</w:t>
      </w:r>
      <w:r w:rsidRPr="006158FF">
        <w:rPr>
          <w:rFonts w:ascii="Times New Roman" w:hAnsi="Times New Roman" w:cs="Times New Roman"/>
        </w:rPr>
        <w:t xml:space="preserve"> 3</w:t>
      </w:r>
      <w:r>
        <w:rPr>
          <w:rFonts w:ascii="Times New Roman" w:hAnsi="Times New Roman" w:cs="Times New Roman"/>
        </w:rPr>
        <w:t xml:space="preserve">, </w:t>
      </w:r>
      <w:r w:rsidRPr="006158FF">
        <w:rPr>
          <w:rFonts w:ascii="Times New Roman" w:hAnsi="Times New Roman" w:cs="Times New Roman"/>
        </w:rPr>
        <w:t>arguing that programmatic design changes were intended to “</w:t>
      </w:r>
      <w:proofErr w:type="spellStart"/>
      <w:r w:rsidRPr="006158FF">
        <w:rPr>
          <w:rFonts w:ascii="Times New Roman" w:hAnsi="Times New Roman" w:cs="Times New Roman"/>
        </w:rPr>
        <w:t>ensur</w:t>
      </w:r>
      <w:proofErr w:type="spellEnd"/>
      <w:r w:rsidRPr="006158FF">
        <w:rPr>
          <w:rFonts w:ascii="Times New Roman" w:hAnsi="Times New Roman" w:cs="Times New Roman"/>
        </w:rPr>
        <w:t>[e] the benefits appropriately and directly flow to participating customers.”)</w:t>
      </w:r>
    </w:p>
  </w:footnote>
  <w:footnote w:id="12">
    <w:p w14:paraId="1BD2C1C0" w14:textId="2BD1A09E" w:rsidR="000135CB" w:rsidRPr="00EA2C34" w:rsidRDefault="000135CB" w:rsidP="00EA2C34">
      <w:pPr>
        <w:pStyle w:val="FootnoteText"/>
        <w:jc w:val="both"/>
        <w:rPr>
          <w:rStyle w:val="FootnoteReference"/>
          <w:rFonts w:ascii="Times New Roman" w:hAnsi="Times New Roman" w:cs="Times New Roman"/>
        </w:rPr>
      </w:pPr>
      <w:r w:rsidRPr="00EA2C34">
        <w:rPr>
          <w:rStyle w:val="FootnoteReference"/>
          <w:rFonts w:ascii="Times New Roman" w:hAnsi="Times New Roman" w:cs="Times New Roman"/>
        </w:rPr>
        <w:footnoteRef/>
      </w:r>
      <w:r w:rsidRPr="00EA2C34">
        <w:rPr>
          <w:rFonts w:ascii="Times New Roman" w:hAnsi="Times New Roman" w:cs="Times New Roman"/>
        </w:rPr>
        <w:t xml:space="preserve"> </w:t>
      </w:r>
      <w:r>
        <w:t xml:space="preserve"> </w:t>
      </w:r>
      <w:r>
        <w:rPr>
          <w:rFonts w:ascii="Times New Roman" w:hAnsi="Times New Roman" w:cs="Times New Roman"/>
        </w:rPr>
        <w:t xml:space="preserve">Two local government entities, the Pierce County Development Authority and the Town of Trion documented their preference that third parties take the </w:t>
      </w:r>
      <w:r w:rsidR="00764397">
        <w:rPr>
          <w:rFonts w:ascii="Times New Roman" w:hAnsi="Times New Roman" w:cs="Times New Roman"/>
        </w:rPr>
        <w:t xml:space="preserve">contractual responsibilities and </w:t>
      </w:r>
      <w:r>
        <w:rPr>
          <w:rFonts w:ascii="Times New Roman" w:hAnsi="Times New Roman" w:cs="Times New Roman"/>
        </w:rPr>
        <w:t xml:space="preserve">economic risks in letters to the Commission.  (Letter from Mr. Matt Carter to Commissioner Shaw; Letter from Mayor Larry </w:t>
      </w:r>
      <w:proofErr w:type="spellStart"/>
      <w:r>
        <w:rPr>
          <w:rFonts w:ascii="Times New Roman" w:hAnsi="Times New Roman" w:cs="Times New Roman"/>
        </w:rPr>
        <w:t>Stansell</w:t>
      </w:r>
      <w:proofErr w:type="spellEnd"/>
      <w:r>
        <w:rPr>
          <w:rFonts w:ascii="Times New Roman" w:hAnsi="Times New Roman" w:cs="Times New Roman"/>
        </w:rPr>
        <w:t xml:space="preserve"> to Chairman Eaton (Exhibits “A” and “B,” respectively, attached hereto).</w:t>
      </w:r>
      <w:r w:rsidRPr="00EA2C34">
        <w:rPr>
          <w:rStyle w:val="FootnoteReference"/>
        </w:rPr>
        <w:t xml:space="preserve"> </w:t>
      </w:r>
      <w:r w:rsidRPr="00EA2C34">
        <w:rPr>
          <w:rStyle w:val="FootnoteReference"/>
          <w:rFonts w:ascii="Times New Roman" w:hAnsi="Times New Roman" w:cs="Times New Roman"/>
        </w:rPr>
        <w:t xml:space="preserve"> </w:t>
      </w:r>
    </w:p>
  </w:footnote>
  <w:footnote w:id="13">
    <w:p w14:paraId="70A0382A" w14:textId="08CBFFF4" w:rsidR="000135CB" w:rsidRPr="006158FF" w:rsidRDefault="000135CB">
      <w:pPr>
        <w:pStyle w:val="FootnoteText"/>
        <w:rPr>
          <w:rFonts w:ascii="Times New Roman" w:hAnsi="Times New Roman" w:cs="Times New Roman"/>
        </w:rPr>
      </w:pPr>
      <w:r w:rsidRPr="006158FF">
        <w:rPr>
          <w:rStyle w:val="FootnoteReference"/>
          <w:rFonts w:ascii="Times New Roman" w:hAnsi="Times New Roman" w:cs="Times New Roman"/>
        </w:rPr>
        <w:footnoteRef/>
      </w:r>
      <w:r w:rsidRPr="006158FF">
        <w:rPr>
          <w:rFonts w:ascii="Times New Roman" w:hAnsi="Times New Roman" w:cs="Times New Roman"/>
        </w:rPr>
        <w:t xml:space="preserve"> </w:t>
      </w:r>
      <w:r>
        <w:rPr>
          <w:rFonts w:ascii="Times New Roman" w:hAnsi="Times New Roman" w:cs="Times New Roman"/>
        </w:rPr>
        <w:t xml:space="preserve">  “</w:t>
      </w:r>
      <w:r w:rsidRPr="003B3EDB">
        <w:rPr>
          <w:rFonts w:ascii="Times New Roman" w:hAnsi="Times New Roman" w:cs="Times New Roman"/>
        </w:rPr>
        <w:t>Application</w:t>
      </w:r>
      <w:r>
        <w:rPr>
          <w:rFonts w:ascii="Times New Roman" w:hAnsi="Times New Roman" w:cs="Times New Roman"/>
        </w:rPr>
        <w:t xml:space="preserve">;” Docket 43107 (April 15, 2020) (p. </w:t>
      </w:r>
      <w:r w:rsidRPr="003B3EDB">
        <w:rPr>
          <w:rFonts w:ascii="Times New Roman" w:hAnsi="Times New Roman" w:cs="Times New Roman"/>
        </w:rPr>
        <w:t>2</w:t>
      </w:r>
      <w:r>
        <w:rPr>
          <w:rFonts w:ascii="Times New Roman" w:hAnsi="Times New Roman" w:cs="Times New Roman"/>
        </w:rPr>
        <w:t>)</w:t>
      </w:r>
      <w:r w:rsidR="00764397">
        <w:rPr>
          <w:rFonts w:ascii="Times New Roman" w:hAnsi="Times New Roman" w:cs="Times New Roman"/>
        </w:rPr>
        <w:t xml:space="preserve"> (Emphasis added)</w:t>
      </w:r>
      <w:r w:rsidRPr="003B3EDB">
        <w:rPr>
          <w:rFonts w:ascii="Times New Roman" w:hAnsi="Times New Roman" w:cs="Times New Roman"/>
        </w:rPr>
        <w:t>.</w:t>
      </w:r>
    </w:p>
  </w:footnote>
  <w:footnote w:id="14">
    <w:p w14:paraId="6E14D39F" w14:textId="741FA344" w:rsidR="000135CB" w:rsidRPr="00753DC1" w:rsidRDefault="000135CB" w:rsidP="00CE3A06">
      <w:pPr>
        <w:pStyle w:val="FootnoteText"/>
        <w:jc w:val="both"/>
        <w:rPr>
          <w:rFonts w:ascii="Times New Roman" w:hAnsi="Times New Roman" w:cs="Times New Roman"/>
        </w:rPr>
      </w:pPr>
      <w:r w:rsidRPr="00753DC1">
        <w:rPr>
          <w:rStyle w:val="FootnoteReference"/>
          <w:rFonts w:ascii="Times New Roman" w:hAnsi="Times New Roman" w:cs="Times New Roman"/>
        </w:rPr>
        <w:footnoteRef/>
      </w:r>
      <w:r>
        <w:rPr>
          <w:rFonts w:ascii="Times New Roman" w:hAnsi="Times New Roman" w:cs="Times New Roman"/>
        </w:rPr>
        <w:t xml:space="preserve">  “Georgia Power Company’s 2015-2016 Advanced Solar Initiative Distributed Generation Program/Request for Proposals and Applications for Solar Photovoltaic Generation;” Docket 36325 (July 20, 2015), pp. 26-27.</w:t>
      </w:r>
      <w:r w:rsidRPr="00753DC1">
        <w:rPr>
          <w:rFonts w:ascii="Times New Roman" w:hAnsi="Times New Roman" w:cs="Times New Roman"/>
        </w:rPr>
        <w:t xml:space="preserve">  </w:t>
      </w:r>
    </w:p>
  </w:footnote>
  <w:footnote w:id="15">
    <w:p w14:paraId="24D91C0E" w14:textId="08ECE0D4" w:rsidR="000135CB" w:rsidRPr="0048024C" w:rsidRDefault="000135CB" w:rsidP="001979EB">
      <w:pPr>
        <w:pStyle w:val="FootnoteText"/>
        <w:jc w:val="both"/>
        <w:rPr>
          <w:rFonts w:ascii="Times New Roman" w:hAnsi="Times New Roman" w:cs="Times New Roman"/>
        </w:rPr>
      </w:pPr>
      <w:r w:rsidRPr="0048024C">
        <w:rPr>
          <w:rStyle w:val="FootnoteReference"/>
          <w:rFonts w:ascii="Times New Roman" w:hAnsi="Times New Roman" w:cs="Times New Roman"/>
        </w:rPr>
        <w:footnoteRef/>
      </w:r>
      <w:r>
        <w:rPr>
          <w:rFonts w:ascii="Times New Roman" w:hAnsi="Times New Roman" w:cs="Times New Roman"/>
        </w:rPr>
        <w:t xml:space="preserve">  “Final Approved Group B Pro Forma Agreement;”</w:t>
      </w:r>
      <w:r w:rsidRPr="0048024C">
        <w:rPr>
          <w:rFonts w:ascii="Times New Roman" w:hAnsi="Times New Roman" w:cs="Times New Roman"/>
        </w:rPr>
        <w:t xml:space="preserve"> </w:t>
      </w:r>
      <w:r>
        <w:rPr>
          <w:rFonts w:ascii="Times New Roman" w:hAnsi="Times New Roman" w:cs="Times New Roman"/>
        </w:rPr>
        <w:t>Docket 36325 (July 20, 2015), Definitions § 14(q), p. 18.</w:t>
      </w:r>
    </w:p>
  </w:footnote>
  <w:footnote w:id="16">
    <w:p w14:paraId="709D92EC" w14:textId="77777777" w:rsidR="000135CB" w:rsidRPr="00D97670" w:rsidRDefault="000135CB" w:rsidP="009D5DB3">
      <w:pPr>
        <w:pStyle w:val="FootnoteText"/>
        <w:jc w:val="both"/>
        <w:rPr>
          <w:rFonts w:ascii="Times New Roman" w:hAnsi="Times New Roman" w:cs="Times New Roman"/>
        </w:rPr>
      </w:pPr>
      <w:r w:rsidRPr="00D97670">
        <w:rPr>
          <w:rStyle w:val="FootnoteReference"/>
          <w:rFonts w:ascii="Times New Roman" w:hAnsi="Times New Roman" w:cs="Times New Roman"/>
        </w:rPr>
        <w:footnoteRef/>
      </w:r>
      <w:r w:rsidRPr="00D97670">
        <w:rPr>
          <w:rFonts w:ascii="Times New Roman" w:hAnsi="Times New Roman" w:cs="Times New Roman"/>
        </w:rPr>
        <w:t xml:space="preserve">  “Order Approving Final Documents with Modifications;” </w:t>
      </w:r>
      <w:r w:rsidRPr="00D97670">
        <w:rPr>
          <w:rFonts w:ascii="Times New Roman" w:hAnsi="Times New Roman" w:cs="Times New Roman"/>
          <w:i/>
          <w:iCs/>
        </w:rPr>
        <w:t>In re:  Georgia Power Company’s Renewable Energy Development Initiative</w:t>
      </w:r>
      <w:r w:rsidRPr="00D97670">
        <w:rPr>
          <w:rFonts w:ascii="Times New Roman" w:hAnsi="Times New Roman" w:cs="Times New Roman"/>
        </w:rPr>
        <w:t xml:space="preserve">; Docket 40706 (October 23, 2017). </w:t>
      </w:r>
    </w:p>
  </w:footnote>
  <w:footnote w:id="17">
    <w:p w14:paraId="1D89C79E" w14:textId="79B5F35B" w:rsidR="000135CB" w:rsidRPr="00DE0023" w:rsidRDefault="000135CB" w:rsidP="00CE3A06">
      <w:pPr>
        <w:pStyle w:val="FootnoteText"/>
        <w:jc w:val="both"/>
        <w:rPr>
          <w:rFonts w:ascii="Times New Roman" w:hAnsi="Times New Roman" w:cs="Times New Roman"/>
        </w:rPr>
      </w:pPr>
      <w:r w:rsidRPr="00D97670">
        <w:rPr>
          <w:rStyle w:val="FootnoteReference"/>
          <w:rFonts w:ascii="Times New Roman" w:hAnsi="Times New Roman" w:cs="Times New Roman"/>
        </w:rPr>
        <w:footnoteRef/>
      </w:r>
      <w:r w:rsidRPr="00D97670">
        <w:rPr>
          <w:rFonts w:ascii="Times New Roman" w:hAnsi="Times New Roman" w:cs="Times New Roman"/>
          <w:b/>
          <w:bCs/>
        </w:rPr>
        <w:t xml:space="preserve"> “</w:t>
      </w:r>
      <w:r w:rsidRPr="00D97670">
        <w:rPr>
          <w:rFonts w:ascii="Times New Roman" w:hAnsi="Times New Roman" w:cs="Times New Roman"/>
        </w:rPr>
        <w:t>Georgia</w:t>
      </w:r>
      <w:r w:rsidRPr="00D97670">
        <w:rPr>
          <w:rFonts w:ascii="Times New Roman" w:hAnsi="Times New Roman" w:cs="Times New Roman"/>
          <w:b/>
          <w:bCs/>
        </w:rPr>
        <w:t xml:space="preserve"> </w:t>
      </w:r>
      <w:r w:rsidRPr="00D97670">
        <w:rPr>
          <w:rFonts w:ascii="Times New Roman" w:hAnsi="Times New Roman" w:cs="Times New Roman"/>
        </w:rPr>
        <w:t>Power</w:t>
      </w:r>
      <w:r w:rsidRPr="00D97670">
        <w:rPr>
          <w:rFonts w:ascii="Times New Roman" w:hAnsi="Times New Roman" w:cs="Times New Roman"/>
          <w:b/>
          <w:bCs/>
        </w:rPr>
        <w:t xml:space="preserve"> </w:t>
      </w:r>
      <w:r w:rsidRPr="00D97670">
        <w:rPr>
          <w:rFonts w:ascii="Times New Roman" w:hAnsi="Times New Roman" w:cs="Times New Roman"/>
        </w:rPr>
        <w:t>Company’s</w:t>
      </w:r>
      <w:r w:rsidRPr="00D97670">
        <w:rPr>
          <w:rFonts w:ascii="Times New Roman" w:hAnsi="Times New Roman" w:cs="Times New Roman"/>
          <w:b/>
          <w:bCs/>
        </w:rPr>
        <w:t xml:space="preserve"> </w:t>
      </w:r>
      <w:r w:rsidRPr="00D97670">
        <w:rPr>
          <w:rFonts w:ascii="Times New Roman" w:hAnsi="Times New Roman" w:cs="Times New Roman"/>
        </w:rPr>
        <w:t>Renewable Energy Development Initiative</w:t>
      </w:r>
      <w:r w:rsidRPr="00D97670">
        <w:rPr>
          <w:rFonts w:ascii="Times New Roman" w:hAnsi="Times New Roman" w:cs="Times New Roman"/>
          <w:b/>
          <w:bCs/>
        </w:rPr>
        <w:t xml:space="preserve"> </w:t>
      </w:r>
      <w:r w:rsidRPr="00D97670">
        <w:rPr>
          <w:rFonts w:ascii="Times New Roman" w:hAnsi="Times New Roman" w:cs="Times New Roman"/>
        </w:rPr>
        <w:t>Customer-Sited Distributed Generation</w:t>
      </w:r>
      <w:r w:rsidRPr="00D97670">
        <w:rPr>
          <w:rFonts w:ascii="Times New Roman" w:hAnsi="Times New Roman" w:cs="Times New Roman"/>
          <w:b/>
          <w:bCs/>
        </w:rPr>
        <w:t xml:space="preserve"> </w:t>
      </w:r>
      <w:r w:rsidRPr="00D97670">
        <w:rPr>
          <w:rFonts w:ascii="Times New Roman" w:hAnsi="Times New Roman" w:cs="Times New Roman"/>
        </w:rPr>
        <w:t>Program Guidelines</w:t>
      </w:r>
      <w:r w:rsidRPr="00D97670">
        <w:rPr>
          <w:rFonts w:ascii="Times New Roman" w:hAnsi="Times New Roman" w:cs="Times New Roman"/>
          <w:b/>
          <w:bCs/>
        </w:rPr>
        <w:t xml:space="preserve"> </w:t>
      </w:r>
      <w:r w:rsidRPr="00D97670">
        <w:rPr>
          <w:rFonts w:ascii="Times New Roman" w:hAnsi="Times New Roman" w:cs="Times New Roman"/>
        </w:rPr>
        <w:t>and</w:t>
      </w:r>
      <w:r w:rsidRPr="00D97670">
        <w:rPr>
          <w:rFonts w:ascii="Times New Roman" w:hAnsi="Times New Roman" w:cs="Times New Roman"/>
          <w:b/>
          <w:bCs/>
        </w:rPr>
        <w:t xml:space="preserve"> </w:t>
      </w:r>
      <w:r w:rsidRPr="00D97670">
        <w:rPr>
          <w:rFonts w:ascii="Times New Roman" w:hAnsi="Times New Roman" w:cs="Times New Roman"/>
        </w:rPr>
        <w:t>Request for Applications</w:t>
      </w:r>
      <w:r w:rsidRPr="00D97670">
        <w:rPr>
          <w:rFonts w:ascii="Times New Roman" w:hAnsi="Times New Roman" w:cs="Times New Roman"/>
          <w:b/>
          <w:bCs/>
        </w:rPr>
        <w:t xml:space="preserve"> </w:t>
      </w:r>
      <w:proofErr w:type="gramStart"/>
      <w:r w:rsidRPr="00D97670">
        <w:rPr>
          <w:rFonts w:ascii="Times New Roman" w:hAnsi="Times New Roman" w:cs="Times New Roman"/>
        </w:rPr>
        <w:t>For</w:t>
      </w:r>
      <w:proofErr w:type="gramEnd"/>
      <w:r w:rsidRPr="00D97670">
        <w:rPr>
          <w:rFonts w:ascii="Times New Roman" w:hAnsi="Times New Roman" w:cs="Times New Roman"/>
        </w:rPr>
        <w:t xml:space="preserve"> Solar Photovoltaic Generation</w:t>
      </w:r>
      <w:r>
        <w:rPr>
          <w:rFonts w:ascii="Times New Roman" w:hAnsi="Times New Roman" w:cs="Times New Roman"/>
        </w:rPr>
        <w:t>;</w:t>
      </w:r>
      <w:r w:rsidRPr="00D97670">
        <w:rPr>
          <w:rFonts w:ascii="Times New Roman" w:hAnsi="Times New Roman" w:cs="Times New Roman"/>
          <w:b/>
          <w:bCs/>
        </w:rPr>
        <w:t xml:space="preserve">” </w:t>
      </w:r>
      <w:r w:rsidRPr="00D97670">
        <w:rPr>
          <w:rFonts w:ascii="Times New Roman" w:hAnsi="Times New Roman" w:cs="Times New Roman"/>
        </w:rPr>
        <w:t xml:space="preserve">Docket 40706 (October 5, 2017). </w:t>
      </w:r>
    </w:p>
  </w:footnote>
  <w:footnote w:id="18">
    <w:p w14:paraId="7656B5B7" w14:textId="154DAB4D" w:rsidR="000135CB" w:rsidRPr="00593C87" w:rsidRDefault="000135CB" w:rsidP="00290D30">
      <w:pPr>
        <w:pStyle w:val="FootnoteText"/>
        <w:jc w:val="both"/>
        <w:rPr>
          <w:rFonts w:ascii="Times New Roman" w:hAnsi="Times New Roman" w:cs="Times New Roman"/>
        </w:rPr>
      </w:pPr>
      <w:r w:rsidRPr="0048024C">
        <w:rPr>
          <w:rStyle w:val="FootnoteReference"/>
          <w:rFonts w:ascii="Times New Roman" w:hAnsi="Times New Roman" w:cs="Times New Roman"/>
        </w:rPr>
        <w:footnoteRef/>
      </w:r>
      <w:r w:rsidRPr="0048024C">
        <w:rPr>
          <w:rFonts w:ascii="Times New Roman" w:hAnsi="Times New Roman" w:cs="Times New Roman"/>
        </w:rPr>
        <w:t xml:space="preserve"> </w:t>
      </w:r>
      <w:r>
        <w:rPr>
          <w:rFonts w:ascii="Times New Roman" w:hAnsi="Times New Roman" w:cs="Times New Roman"/>
        </w:rPr>
        <w:t xml:space="preserve">  “Pro Forma REDI CS DG PPA;” </w:t>
      </w:r>
      <w:r w:rsidRPr="00D97670">
        <w:rPr>
          <w:rFonts w:ascii="Times New Roman" w:hAnsi="Times New Roman" w:cs="Times New Roman"/>
        </w:rPr>
        <w:t>Docket 40706 (October 5, 2017)</w:t>
      </w:r>
      <w:r>
        <w:rPr>
          <w:rFonts w:ascii="Times New Roman" w:hAnsi="Times New Roman" w:cs="Times New Roman"/>
        </w:rPr>
        <w:t>, Definitions § 18(</w:t>
      </w:r>
      <w:proofErr w:type="spellStart"/>
      <w:r>
        <w:rPr>
          <w:rFonts w:ascii="Times New Roman" w:hAnsi="Times New Roman" w:cs="Times New Roman"/>
        </w:rPr>
        <w:t>lll</w:t>
      </w:r>
      <w:proofErr w:type="spellEnd"/>
      <w:r>
        <w:rPr>
          <w:rFonts w:ascii="Times New Roman" w:hAnsi="Times New Roman" w:cs="Times New Roman"/>
        </w:rPr>
        <w:t>), p. 19.</w:t>
      </w:r>
    </w:p>
  </w:footnote>
  <w:footnote w:id="19">
    <w:p w14:paraId="1442C046" w14:textId="740CDAE0" w:rsidR="000135CB" w:rsidRPr="00301A43" w:rsidRDefault="000135CB" w:rsidP="00372DDF">
      <w:pPr>
        <w:pStyle w:val="FootnoteText"/>
        <w:jc w:val="both"/>
        <w:rPr>
          <w:rFonts w:ascii="Times New Roman" w:hAnsi="Times New Roman" w:cs="Times New Roman"/>
        </w:rPr>
      </w:pPr>
      <w:r w:rsidRPr="00301A43">
        <w:rPr>
          <w:rStyle w:val="FootnoteReference"/>
          <w:rFonts w:ascii="Times New Roman" w:hAnsi="Times New Roman" w:cs="Times New Roman"/>
        </w:rPr>
        <w:footnoteRef/>
      </w:r>
      <w:r w:rsidRPr="00301A43">
        <w:rPr>
          <w:rFonts w:ascii="Times New Roman" w:hAnsi="Times New Roman" w:cs="Times New Roman"/>
        </w:rPr>
        <w:t xml:space="preserve"> </w:t>
      </w:r>
      <w:r>
        <w:rPr>
          <w:rFonts w:ascii="Times New Roman" w:hAnsi="Times New Roman" w:cs="Times New Roman"/>
        </w:rPr>
        <w:t xml:space="preserve"> “Letter from Judith H. Fuller, Attachment 1;” Docket 36325 (March 1, 2018) (Exhibit “C” attached hereto).  Two (2) Group B projects were terminated, one appears to have been customer-owned.  The identification of numerous projects was redacted.</w:t>
      </w:r>
    </w:p>
  </w:footnote>
  <w:footnote w:id="20">
    <w:p w14:paraId="3E7FEFC2" w14:textId="55E72DE9" w:rsidR="000135CB" w:rsidRPr="00301A43" w:rsidRDefault="000135CB" w:rsidP="00290D30">
      <w:pPr>
        <w:pStyle w:val="FootnoteText"/>
        <w:jc w:val="both"/>
        <w:rPr>
          <w:rFonts w:ascii="Times New Roman" w:hAnsi="Times New Roman" w:cs="Times New Roman"/>
        </w:rPr>
      </w:pPr>
      <w:r w:rsidRPr="00301A43">
        <w:rPr>
          <w:rStyle w:val="FootnoteReference"/>
          <w:rFonts w:ascii="Times New Roman" w:hAnsi="Times New Roman" w:cs="Times New Roman"/>
        </w:rPr>
        <w:footnoteRef/>
      </w:r>
      <w:r w:rsidRPr="00301A43">
        <w:rPr>
          <w:rFonts w:ascii="Times New Roman" w:hAnsi="Times New Roman" w:cs="Times New Roman"/>
        </w:rPr>
        <w:t xml:space="preserve"> </w:t>
      </w:r>
      <w:r>
        <w:rPr>
          <w:rFonts w:ascii="Times New Roman" w:hAnsi="Times New Roman" w:cs="Times New Roman"/>
        </w:rPr>
        <w:t xml:space="preserve"> “Letter from Judith H. Fuller, Attachment (unspecified);” </w:t>
      </w:r>
      <w:r>
        <w:rPr>
          <w:rFonts w:ascii="Times New Roman" w:hAnsi="Times New Roman" w:cs="Times New Roman"/>
          <w:i/>
          <w:iCs/>
        </w:rPr>
        <w:t>In re:   Georgia Power Company’s Renewable Energy Development Initiative Customer-Sited Distribution Generation Program</w:t>
      </w:r>
      <w:r>
        <w:rPr>
          <w:rFonts w:ascii="Times New Roman" w:hAnsi="Times New Roman" w:cs="Times New Roman"/>
        </w:rPr>
        <w:t>; Docket 41941 (October 8, 2019) (Exhibit “</w:t>
      </w:r>
      <w:r w:rsidR="001A69EA">
        <w:rPr>
          <w:rFonts w:ascii="Times New Roman" w:hAnsi="Times New Roman" w:cs="Times New Roman"/>
        </w:rPr>
        <w:t>D</w:t>
      </w:r>
      <w:r>
        <w:rPr>
          <w:rFonts w:ascii="Times New Roman" w:hAnsi="Times New Roman" w:cs="Times New Roman"/>
        </w:rPr>
        <w:t>” attached hereto).  Identification of numerous projects was redacted.</w:t>
      </w:r>
    </w:p>
  </w:footnote>
  <w:footnote w:id="21">
    <w:p w14:paraId="79EB1845" w14:textId="2B262408" w:rsidR="000135CB" w:rsidRPr="007B19CE" w:rsidRDefault="000135CB">
      <w:pPr>
        <w:pStyle w:val="FootnoteText"/>
        <w:rPr>
          <w:rFonts w:ascii="Times New Roman" w:hAnsi="Times New Roman" w:cs="Times New Roman"/>
        </w:rPr>
      </w:pPr>
      <w:r w:rsidRPr="007B19CE">
        <w:rPr>
          <w:rStyle w:val="FootnoteReference"/>
          <w:rFonts w:ascii="Times New Roman" w:hAnsi="Times New Roman" w:cs="Times New Roman"/>
        </w:rPr>
        <w:footnoteRef/>
      </w:r>
      <w:r w:rsidRPr="007B19CE">
        <w:rPr>
          <w:rFonts w:ascii="Times New Roman" w:hAnsi="Times New Roman" w:cs="Times New Roman"/>
        </w:rPr>
        <w:t xml:space="preserve"> </w:t>
      </w:r>
      <w:r>
        <w:rPr>
          <w:rFonts w:ascii="Times New Roman" w:hAnsi="Times New Roman" w:cs="Times New Roman"/>
        </w:rPr>
        <w:t xml:space="preserve">  “Hearing Testimony of Jeffrey R. Grubb, et al.;” Docket 42310 (May 13-15, 2019) (T. 3086:25-3088:12).</w:t>
      </w:r>
    </w:p>
  </w:footnote>
  <w:footnote w:id="22">
    <w:p w14:paraId="413B1983" w14:textId="57A9EF4E" w:rsidR="000135CB" w:rsidRPr="00957A40" w:rsidRDefault="000135CB" w:rsidP="00957A40">
      <w:pPr>
        <w:pStyle w:val="FootnoteText"/>
        <w:jc w:val="both"/>
        <w:rPr>
          <w:rFonts w:ascii="Times New Roman" w:hAnsi="Times New Roman" w:cs="Times New Roman"/>
        </w:rPr>
      </w:pPr>
      <w:r w:rsidRPr="00340879">
        <w:rPr>
          <w:rStyle w:val="FootnoteReference"/>
          <w:rFonts w:ascii="Times New Roman" w:hAnsi="Times New Roman" w:cs="Times New Roman"/>
        </w:rPr>
        <w:footnoteRef/>
      </w:r>
      <w:r>
        <w:rPr>
          <w:rFonts w:ascii="Times New Roman" w:hAnsi="Times New Roman" w:cs="Times New Roman"/>
        </w:rPr>
        <w:t xml:space="preserve">  “Pro Forma DG Customer-Connected Solar PPA;” Docket 43107 (April 15, 2020), Section 18(k), p. 16.</w:t>
      </w:r>
      <w:r w:rsidRPr="00957A40">
        <w:rPr>
          <w:rFonts w:ascii="Times New Roman" w:hAnsi="Times New Roman" w:cs="Times New Roman"/>
        </w:rPr>
        <w:t xml:space="preserve"> </w:t>
      </w:r>
      <w:r>
        <w:rPr>
          <w:rFonts w:ascii="Times New Roman" w:hAnsi="Times New Roman" w:cs="Times New Roman"/>
        </w:rPr>
        <w:t xml:space="preserve"> </w:t>
      </w:r>
    </w:p>
  </w:footnote>
  <w:footnote w:id="23">
    <w:p w14:paraId="790EB27D" w14:textId="079D2CFD" w:rsidR="000135CB" w:rsidRPr="00957A40" w:rsidRDefault="000135CB" w:rsidP="00957A40">
      <w:pPr>
        <w:pStyle w:val="FootnoteText"/>
        <w:jc w:val="both"/>
        <w:rPr>
          <w:rFonts w:ascii="Times New Roman" w:hAnsi="Times New Roman" w:cs="Times New Roman"/>
        </w:rPr>
      </w:pPr>
      <w:r w:rsidRPr="00957A40">
        <w:rPr>
          <w:rStyle w:val="FootnoteReference"/>
          <w:rFonts w:ascii="Times New Roman" w:hAnsi="Times New Roman" w:cs="Times New Roman"/>
        </w:rPr>
        <w:footnoteRef/>
      </w:r>
      <w:r w:rsidRPr="00957A40">
        <w:rPr>
          <w:rFonts w:ascii="Times New Roman" w:hAnsi="Times New Roman" w:cs="Times New Roman"/>
        </w:rPr>
        <w:t xml:space="preserve"> </w:t>
      </w:r>
      <w:r>
        <w:rPr>
          <w:rFonts w:ascii="Times New Roman" w:hAnsi="Times New Roman" w:cs="Times New Roman"/>
        </w:rPr>
        <w:t xml:space="preserve">  “Pro Forma DG Customer-Connected Solar PPA;” Docket 43107 (April 15, 2020), Section 12(c), p. 6.</w:t>
      </w:r>
    </w:p>
  </w:footnote>
  <w:footnote w:id="24">
    <w:p w14:paraId="391D0727" w14:textId="6DFACE24" w:rsidR="000135CB" w:rsidRPr="001509F8" w:rsidRDefault="000135CB" w:rsidP="00957A40">
      <w:pPr>
        <w:pStyle w:val="FootnoteText"/>
        <w:jc w:val="both"/>
        <w:rPr>
          <w:rFonts w:ascii="Times New Roman" w:hAnsi="Times New Roman" w:cs="Times New Roman"/>
        </w:rPr>
      </w:pPr>
      <w:r w:rsidRPr="001509F8">
        <w:rPr>
          <w:rStyle w:val="FootnoteReference"/>
          <w:rFonts w:ascii="Times New Roman" w:hAnsi="Times New Roman" w:cs="Times New Roman"/>
        </w:rPr>
        <w:footnoteRef/>
      </w:r>
      <w:r w:rsidRPr="001509F8">
        <w:rPr>
          <w:rFonts w:ascii="Times New Roman" w:hAnsi="Times New Roman" w:cs="Times New Roman"/>
        </w:rPr>
        <w:t xml:space="preserve"> </w:t>
      </w:r>
      <w:r>
        <w:rPr>
          <w:rFonts w:ascii="Times New Roman" w:hAnsi="Times New Roman" w:cs="Times New Roman"/>
        </w:rPr>
        <w:t xml:space="preserve"> This list is illustrative, not exhaustive.</w:t>
      </w:r>
    </w:p>
  </w:footnote>
  <w:footnote w:id="25">
    <w:p w14:paraId="14A03EB4" w14:textId="28C4C656" w:rsidR="000135CB" w:rsidRDefault="000135CB">
      <w:pPr>
        <w:pStyle w:val="FootnoteText"/>
      </w:pPr>
      <w:r w:rsidRPr="001509F8">
        <w:rPr>
          <w:rStyle w:val="FootnoteReference"/>
          <w:rFonts w:ascii="Times New Roman" w:hAnsi="Times New Roman" w:cs="Times New Roman"/>
        </w:rPr>
        <w:footnoteRef/>
      </w:r>
      <w:r w:rsidRPr="00A63666">
        <w:rPr>
          <w:rFonts w:ascii="Times New Roman" w:hAnsi="Times New Roman" w:cs="Times New Roman"/>
        </w:rPr>
        <w:t xml:space="preserve"> </w:t>
      </w:r>
      <w:r>
        <w:rPr>
          <w:rFonts w:ascii="Times New Roman" w:hAnsi="Times New Roman" w:cs="Times New Roman"/>
        </w:rPr>
        <w:t xml:space="preserve"> </w:t>
      </w:r>
      <w:r w:rsidRPr="00A13470">
        <w:rPr>
          <w:rFonts w:ascii="Times New Roman" w:hAnsi="Times New Roman" w:cs="Times New Roman"/>
        </w:rPr>
        <w:t>“Pro Forma DG Customer-Connected Solar PPA;” § 1</w:t>
      </w:r>
      <w:r>
        <w:rPr>
          <w:rFonts w:ascii="Times New Roman" w:hAnsi="Times New Roman" w:cs="Times New Roman"/>
        </w:rPr>
        <w:t>7(b)</w:t>
      </w:r>
      <w:r w:rsidRPr="00A13470">
        <w:rPr>
          <w:rFonts w:ascii="Times New Roman" w:hAnsi="Times New Roman" w:cs="Times New Roman"/>
        </w:rPr>
        <w:t xml:space="preserve">, p. </w:t>
      </w:r>
      <w:r>
        <w:rPr>
          <w:rFonts w:ascii="Times New Roman" w:hAnsi="Times New Roman" w:cs="Times New Roman"/>
        </w:rPr>
        <w:t>12</w:t>
      </w:r>
      <w:r w:rsidRPr="00A13470">
        <w:rPr>
          <w:rFonts w:ascii="Times New Roman" w:hAnsi="Times New Roman" w:cs="Times New Roman"/>
        </w:rPr>
        <w:t xml:space="preserve">, </w:t>
      </w:r>
      <w:r w:rsidRPr="00A13470">
        <w:rPr>
          <w:rFonts w:ascii="Times New Roman" w:hAnsi="Times New Roman" w:cs="Times New Roman"/>
          <w:i/>
          <w:iCs/>
        </w:rPr>
        <w:t>supra.</w:t>
      </w:r>
    </w:p>
  </w:footnote>
  <w:footnote w:id="26">
    <w:p w14:paraId="2C2BD2F9" w14:textId="77777777" w:rsidR="000135CB" w:rsidRPr="003145F9" w:rsidRDefault="000135CB" w:rsidP="00950283">
      <w:pPr>
        <w:pStyle w:val="FootnoteText"/>
        <w:rPr>
          <w:rFonts w:ascii="Times New Roman" w:hAnsi="Times New Roman" w:cs="Times New Roman"/>
        </w:rPr>
      </w:pPr>
      <w:r w:rsidRPr="003145F9">
        <w:rPr>
          <w:rStyle w:val="FootnoteReference"/>
          <w:rFonts w:ascii="Times New Roman" w:hAnsi="Times New Roman" w:cs="Times New Roman"/>
        </w:rPr>
        <w:footnoteRef/>
      </w:r>
      <w:r w:rsidRPr="003145F9">
        <w:rPr>
          <w:rFonts w:ascii="Times New Roman" w:hAnsi="Times New Roman" w:cs="Times New Roman"/>
        </w:rPr>
        <w:t xml:space="preserve"> </w:t>
      </w:r>
      <w:r>
        <w:rPr>
          <w:rFonts w:ascii="Times New Roman" w:hAnsi="Times New Roman" w:cs="Times New Roman"/>
        </w:rPr>
        <w:t xml:space="preserve"> </w:t>
      </w:r>
      <w:r w:rsidRPr="003145F9">
        <w:rPr>
          <w:rFonts w:ascii="Times New Roman" w:hAnsi="Times New Roman" w:cs="Times New Roman"/>
        </w:rPr>
        <w:t xml:space="preserve">16 U.S.C. § 2601, </w:t>
      </w:r>
      <w:r w:rsidRPr="003145F9">
        <w:rPr>
          <w:rFonts w:ascii="Times New Roman" w:hAnsi="Times New Roman" w:cs="Times New Roman"/>
          <w:u w:val="single"/>
        </w:rPr>
        <w:t>et</w:t>
      </w:r>
      <w:r w:rsidRPr="003E3DA6">
        <w:rPr>
          <w:rFonts w:ascii="Times New Roman" w:hAnsi="Times New Roman" w:cs="Times New Roman"/>
        </w:rPr>
        <w:t xml:space="preserve"> </w:t>
      </w:r>
      <w:r w:rsidRPr="003145F9">
        <w:rPr>
          <w:rFonts w:ascii="Times New Roman" w:hAnsi="Times New Roman" w:cs="Times New Roman"/>
          <w:u w:val="single"/>
        </w:rPr>
        <w:t>seq.</w:t>
      </w:r>
      <w:r>
        <w:rPr>
          <w:rFonts w:ascii="Times New Roman" w:hAnsi="Times New Roman" w:cs="Times New Roman"/>
        </w:rPr>
        <w:t xml:space="preserve"> (1978).</w:t>
      </w:r>
    </w:p>
  </w:footnote>
  <w:footnote w:id="27">
    <w:p w14:paraId="30BD3DCC" w14:textId="77777777" w:rsidR="000135CB" w:rsidRPr="00A02452" w:rsidRDefault="000135CB" w:rsidP="00294393">
      <w:pPr>
        <w:pStyle w:val="FootnoteText"/>
        <w:rPr>
          <w:rFonts w:ascii="Times New Roman" w:hAnsi="Times New Roman" w:cs="Times New Roman"/>
        </w:rPr>
      </w:pPr>
      <w:r w:rsidRPr="00A02452">
        <w:rPr>
          <w:rStyle w:val="FootnoteReference"/>
          <w:rFonts w:ascii="Times New Roman" w:hAnsi="Times New Roman" w:cs="Times New Roman"/>
        </w:rPr>
        <w:footnoteRef/>
      </w:r>
      <w:r w:rsidRPr="00A02452">
        <w:rPr>
          <w:rFonts w:ascii="Times New Roman" w:hAnsi="Times New Roman" w:cs="Times New Roman"/>
        </w:rPr>
        <w:t xml:space="preserve"> </w:t>
      </w:r>
      <w:r>
        <w:rPr>
          <w:rFonts w:ascii="Times New Roman" w:hAnsi="Times New Roman" w:cs="Times New Roman"/>
        </w:rPr>
        <w:t xml:space="preserve"> Annual Capacity Factor is not defined in the Guidelines or the PPA.</w:t>
      </w:r>
    </w:p>
  </w:footnote>
  <w:footnote w:id="28">
    <w:p w14:paraId="66F895B2" w14:textId="7361BC64" w:rsidR="000135CB" w:rsidRPr="003B2359" w:rsidRDefault="000135CB" w:rsidP="00294393">
      <w:pPr>
        <w:pStyle w:val="FootnoteText"/>
        <w:rPr>
          <w:rFonts w:ascii="Times New Roman" w:hAnsi="Times New Roman" w:cs="Times New Roman"/>
        </w:rPr>
      </w:pPr>
      <w:r w:rsidRPr="003B2359">
        <w:rPr>
          <w:rStyle w:val="FootnoteReference"/>
          <w:rFonts w:ascii="Times New Roman" w:hAnsi="Times New Roman" w:cs="Times New Roman"/>
        </w:rPr>
        <w:footnoteRef/>
      </w:r>
      <w:r w:rsidRPr="003B2359">
        <w:rPr>
          <w:rFonts w:ascii="Times New Roman" w:hAnsi="Times New Roman" w:cs="Times New Roman"/>
        </w:rPr>
        <w:t xml:space="preserve"> </w:t>
      </w:r>
      <w:r>
        <w:rPr>
          <w:rFonts w:ascii="Times New Roman" w:hAnsi="Times New Roman" w:cs="Times New Roman"/>
        </w:rPr>
        <w:t xml:space="preserve"> </w:t>
      </w:r>
      <w:r w:rsidRPr="00A13470">
        <w:rPr>
          <w:rFonts w:ascii="Times New Roman" w:hAnsi="Times New Roman" w:cs="Times New Roman"/>
        </w:rPr>
        <w:t xml:space="preserve">“Pro Forma DG Customer-Connected Solar PPA;” </w:t>
      </w:r>
      <w:r w:rsidRPr="00957A40">
        <w:rPr>
          <w:rFonts w:ascii="Times New Roman" w:hAnsi="Times New Roman" w:cs="Times New Roman"/>
          <w:i/>
          <w:iCs/>
        </w:rPr>
        <w:t>Generally:</w:t>
      </w:r>
      <w:r w:rsidRPr="00A13470">
        <w:rPr>
          <w:rFonts w:ascii="Times New Roman" w:hAnsi="Times New Roman" w:cs="Times New Roman"/>
        </w:rPr>
        <w:t xml:space="preserve"> § 18, p</w:t>
      </w:r>
      <w:r>
        <w:rPr>
          <w:rFonts w:ascii="Times New Roman" w:hAnsi="Times New Roman" w:cs="Times New Roman"/>
        </w:rPr>
        <w:t>p</w:t>
      </w:r>
      <w:r w:rsidRPr="00A13470">
        <w:rPr>
          <w:rFonts w:ascii="Times New Roman" w:hAnsi="Times New Roman" w:cs="Times New Roman"/>
        </w:rPr>
        <w:t>. 15</w:t>
      </w:r>
      <w:r>
        <w:rPr>
          <w:rFonts w:ascii="Times New Roman" w:hAnsi="Times New Roman" w:cs="Times New Roman"/>
        </w:rPr>
        <w:t>-19</w:t>
      </w:r>
      <w:r w:rsidRPr="00A13470">
        <w:rPr>
          <w:rFonts w:ascii="Times New Roman" w:hAnsi="Times New Roman" w:cs="Times New Roman"/>
        </w:rPr>
        <w:t xml:space="preserve">, </w:t>
      </w:r>
      <w:r w:rsidRPr="00A13470">
        <w:rPr>
          <w:rFonts w:ascii="Times New Roman" w:hAnsi="Times New Roman" w:cs="Times New Roman"/>
          <w:i/>
          <w:iCs/>
        </w:rPr>
        <w:t>supra.</w:t>
      </w:r>
    </w:p>
  </w:footnote>
  <w:footnote w:id="29">
    <w:p w14:paraId="5B4D395B" w14:textId="77777777" w:rsidR="000135CB" w:rsidRPr="00957A40" w:rsidRDefault="000135CB" w:rsidP="003D7D32">
      <w:pPr>
        <w:pStyle w:val="FootnoteText"/>
        <w:rPr>
          <w:rFonts w:ascii="Times New Roman" w:hAnsi="Times New Roman" w:cs="Times New Roman"/>
        </w:rPr>
      </w:pPr>
      <w:r w:rsidRPr="00957A40">
        <w:rPr>
          <w:rStyle w:val="FootnoteReference"/>
          <w:rFonts w:ascii="Times New Roman" w:hAnsi="Times New Roman" w:cs="Times New Roman"/>
        </w:rPr>
        <w:footnoteRef/>
      </w:r>
      <w:r w:rsidRPr="00957A40">
        <w:rPr>
          <w:rFonts w:ascii="Times New Roman" w:hAnsi="Times New Roman" w:cs="Times New Roman"/>
        </w:rPr>
        <w:t xml:space="preserve"> </w:t>
      </w:r>
      <w:r>
        <w:rPr>
          <w:rFonts w:ascii="Times New Roman" w:hAnsi="Times New Roman" w:cs="Times New Roman"/>
        </w:rPr>
        <w:t xml:space="preserve"> “Hearing Testimony of Jeffrey R. Grubb, et al.;” Docket 42310 (May 13-15, 2019) (T. 3090:16-3091:10).</w:t>
      </w:r>
    </w:p>
  </w:footnote>
  <w:footnote w:id="30">
    <w:p w14:paraId="3C9E3CC3" w14:textId="77777777" w:rsidR="000135CB" w:rsidRPr="00C04057" w:rsidRDefault="000135CB" w:rsidP="003D7D32">
      <w:pPr>
        <w:pStyle w:val="FootnoteText"/>
        <w:rPr>
          <w:rFonts w:ascii="Times New Roman" w:hAnsi="Times New Roman" w:cs="Times New Roman"/>
        </w:rPr>
      </w:pPr>
      <w:r w:rsidRPr="00566A28">
        <w:rPr>
          <w:rStyle w:val="FootnoteReference"/>
          <w:rFonts w:ascii="Times New Roman" w:hAnsi="Times New Roman" w:cs="Times New Roman"/>
        </w:rPr>
        <w:footnoteRef/>
      </w:r>
      <w:r w:rsidRPr="00C04057">
        <w:rPr>
          <w:rFonts w:ascii="Times New Roman" w:hAnsi="Times New Roman" w:cs="Times New Roman"/>
        </w:rPr>
        <w:t xml:space="preserve"> </w:t>
      </w:r>
      <w:r>
        <w:rPr>
          <w:rFonts w:ascii="Times New Roman" w:hAnsi="Times New Roman" w:cs="Times New Roman"/>
        </w:rPr>
        <w:t xml:space="preserve"> </w:t>
      </w:r>
      <w:r w:rsidRPr="00A13470">
        <w:rPr>
          <w:rFonts w:ascii="Times New Roman" w:hAnsi="Times New Roman" w:cs="Times New Roman"/>
        </w:rPr>
        <w:t>“Pro Forma DG Customer-Connected Solar PPA;” § 1</w:t>
      </w:r>
      <w:r>
        <w:rPr>
          <w:rFonts w:ascii="Times New Roman" w:hAnsi="Times New Roman" w:cs="Times New Roman"/>
        </w:rPr>
        <w:t>4(b)</w:t>
      </w:r>
      <w:r w:rsidRPr="00A13470">
        <w:rPr>
          <w:rFonts w:ascii="Times New Roman" w:hAnsi="Times New Roman" w:cs="Times New Roman"/>
        </w:rPr>
        <w:t xml:space="preserve">, p. </w:t>
      </w:r>
      <w:r>
        <w:rPr>
          <w:rFonts w:ascii="Times New Roman" w:hAnsi="Times New Roman" w:cs="Times New Roman"/>
        </w:rPr>
        <w:t>7</w:t>
      </w:r>
      <w:r w:rsidRPr="00A13470">
        <w:rPr>
          <w:rFonts w:ascii="Times New Roman" w:hAnsi="Times New Roman" w:cs="Times New Roman"/>
        </w:rPr>
        <w:t xml:space="preserve">, </w:t>
      </w:r>
      <w:r w:rsidRPr="00A13470">
        <w:rPr>
          <w:rFonts w:ascii="Times New Roman" w:hAnsi="Times New Roman" w:cs="Times New Roman"/>
          <w:i/>
          <w:iCs/>
        </w:rPr>
        <w:t>supra.</w:t>
      </w:r>
    </w:p>
  </w:footnote>
  <w:footnote w:id="31">
    <w:p w14:paraId="1D8DE37A" w14:textId="77777777" w:rsidR="000135CB" w:rsidRPr="006226D7" w:rsidRDefault="000135CB" w:rsidP="003D7D32">
      <w:pPr>
        <w:pStyle w:val="FootnoteText"/>
        <w:rPr>
          <w:rFonts w:ascii="Times New Roman" w:hAnsi="Times New Roman" w:cs="Times New Roman"/>
        </w:rPr>
      </w:pPr>
      <w:r w:rsidRPr="006226D7">
        <w:rPr>
          <w:rStyle w:val="FootnoteReference"/>
          <w:rFonts w:ascii="Times New Roman" w:hAnsi="Times New Roman" w:cs="Times New Roman"/>
        </w:rPr>
        <w:footnoteRef/>
      </w:r>
      <w:r w:rsidRPr="006226D7">
        <w:rPr>
          <w:rFonts w:ascii="Times New Roman" w:hAnsi="Times New Roman" w:cs="Times New Roman"/>
        </w:rPr>
        <w:t xml:space="preserve"> </w:t>
      </w:r>
      <w:r>
        <w:rPr>
          <w:rFonts w:ascii="Times New Roman" w:hAnsi="Times New Roman" w:cs="Times New Roman"/>
        </w:rPr>
        <w:t xml:space="preserve">  It is unclear whether the “new customer” must maintain a comparable electric demand to the original customer.</w:t>
      </w:r>
    </w:p>
  </w:footnote>
  <w:footnote w:id="32">
    <w:p w14:paraId="675C829B" w14:textId="77777777" w:rsidR="000135CB" w:rsidRPr="00D0256A" w:rsidRDefault="000135CB" w:rsidP="003D7D32">
      <w:pPr>
        <w:pStyle w:val="FootnoteText"/>
        <w:rPr>
          <w:rFonts w:ascii="Times New Roman" w:hAnsi="Times New Roman" w:cs="Times New Roman"/>
          <w:i/>
          <w:iCs/>
        </w:rPr>
      </w:pPr>
      <w:r w:rsidRPr="00D0256A">
        <w:rPr>
          <w:rStyle w:val="FootnoteReference"/>
          <w:rFonts w:ascii="Times New Roman" w:hAnsi="Times New Roman" w:cs="Times New Roman"/>
        </w:rPr>
        <w:footnoteRef/>
      </w:r>
      <w:r w:rsidRPr="00D0256A">
        <w:rPr>
          <w:rFonts w:ascii="Times New Roman" w:hAnsi="Times New Roman" w:cs="Times New Roman"/>
        </w:rPr>
        <w:t xml:space="preserve"> </w:t>
      </w:r>
      <w:r>
        <w:rPr>
          <w:rFonts w:ascii="Times New Roman" w:hAnsi="Times New Roman" w:cs="Times New Roman"/>
        </w:rPr>
        <w:t xml:space="preserve"> </w:t>
      </w:r>
      <w:r w:rsidRPr="00A13470">
        <w:rPr>
          <w:rFonts w:ascii="Times New Roman" w:hAnsi="Times New Roman" w:cs="Times New Roman"/>
        </w:rPr>
        <w:t>“Pro Forma DG Customer-Connected Solar PPA;” §</w:t>
      </w:r>
      <w:r>
        <w:rPr>
          <w:rFonts w:ascii="Times New Roman" w:hAnsi="Times New Roman" w:cs="Times New Roman"/>
        </w:rPr>
        <w:t xml:space="preserve"> </w:t>
      </w:r>
      <w:r w:rsidRPr="00D0256A">
        <w:rPr>
          <w:rFonts w:ascii="Times New Roman" w:hAnsi="Times New Roman" w:cs="Times New Roman"/>
        </w:rPr>
        <w:t>16(xviii)</w:t>
      </w:r>
      <w:r>
        <w:rPr>
          <w:rFonts w:ascii="Times New Roman" w:hAnsi="Times New Roman" w:cs="Times New Roman"/>
        </w:rPr>
        <w:t xml:space="preserve">, p.11, </w:t>
      </w:r>
      <w:r>
        <w:rPr>
          <w:rFonts w:ascii="Times New Roman" w:hAnsi="Times New Roman" w:cs="Times New Roman"/>
          <w:i/>
          <w:iCs/>
        </w:rPr>
        <w:t>supra.</w:t>
      </w:r>
    </w:p>
  </w:footnote>
  <w:footnote w:id="33">
    <w:p w14:paraId="4CAE0F5B" w14:textId="236B74AE" w:rsidR="000135CB" w:rsidRPr="00463D55" w:rsidRDefault="000135CB" w:rsidP="00463D55">
      <w:pPr>
        <w:spacing w:after="0" w:line="240" w:lineRule="auto"/>
        <w:jc w:val="both"/>
        <w:rPr>
          <w:rFonts w:ascii="Times New Roman" w:hAnsi="Times New Roman" w:cs="Times New Roman"/>
          <w:color w:val="212121"/>
          <w:sz w:val="20"/>
          <w:szCs w:val="20"/>
          <w:u w:val="single"/>
        </w:rPr>
      </w:pPr>
      <w:r w:rsidRPr="00463D55">
        <w:rPr>
          <w:rStyle w:val="FootnoteReference"/>
          <w:rFonts w:ascii="Times New Roman" w:hAnsi="Times New Roman" w:cs="Times New Roman"/>
        </w:rPr>
        <w:footnoteRef/>
      </w:r>
      <w:r>
        <w:rPr>
          <w:rFonts w:ascii="Times New Roman" w:hAnsi="Times New Roman" w:cs="Times New Roman"/>
        </w:rPr>
        <w:t xml:space="preserve"> T</w:t>
      </w:r>
      <w:r w:rsidRPr="00463D55">
        <w:rPr>
          <w:rFonts w:ascii="Times New Roman" w:hAnsi="Times New Roman" w:cs="Times New Roman"/>
          <w:sz w:val="20"/>
          <w:szCs w:val="20"/>
        </w:rPr>
        <w:t>he Environmental Protection Agency (“EPA”)</w:t>
      </w:r>
      <w:r>
        <w:rPr>
          <w:rFonts w:ascii="Times New Roman" w:hAnsi="Times New Roman" w:cs="Times New Roman"/>
          <w:sz w:val="20"/>
          <w:szCs w:val="20"/>
        </w:rPr>
        <w:t xml:space="preserve"> defines a SEPA as</w:t>
      </w:r>
      <w:r>
        <w:rPr>
          <w:rFonts w:ascii="Source Sans Pro" w:hAnsi="Source Sans Pro"/>
          <w:color w:val="212121"/>
          <w:sz w:val="20"/>
          <w:szCs w:val="20"/>
        </w:rPr>
        <w:t xml:space="preserve"> </w:t>
      </w:r>
      <w:r w:rsidRPr="00463D55">
        <w:rPr>
          <w:rFonts w:ascii="Times New Roman" w:hAnsi="Times New Roman" w:cs="Times New Roman"/>
          <w:color w:val="212121"/>
          <w:sz w:val="20"/>
          <w:szCs w:val="20"/>
        </w:rPr>
        <w:t xml:space="preserve"> financial arrangement in which a third-party developer owns, operates, and maintains the photovoltaic (PV) system, and a host customer agrees to site the system on its property and purchases the system's electric output from the solar services provider for a predetermined period. This financial arrangement allows the host customer to receive stable and often low-cost electricity, while the solar services provider or another party acquires valuable financial benefits, such as tax credits and income generated from the sale of electricity. With this business model, the host customer buys the services produced by the PV system rather than the PV system itself.</w:t>
      </w:r>
      <w:r>
        <w:rPr>
          <w:rFonts w:ascii="Times New Roman" w:hAnsi="Times New Roman" w:cs="Times New Roman"/>
          <w:color w:val="212121"/>
          <w:sz w:val="20"/>
          <w:szCs w:val="20"/>
        </w:rPr>
        <w:t xml:space="preserve"> </w:t>
      </w:r>
      <w:hyperlink r:id="rId2" w:history="1">
        <w:r w:rsidRPr="00D232A0">
          <w:rPr>
            <w:rStyle w:val="Hyperlink"/>
            <w:rFonts w:ascii="Times New Roman" w:hAnsi="Times New Roman" w:cs="Times New Roman"/>
            <w:sz w:val="20"/>
            <w:szCs w:val="20"/>
          </w:rPr>
          <w:t>https://www.epa.gov/greenpower/solar-power-purchase-agreements</w:t>
        </w:r>
      </w:hyperlink>
      <w:r w:rsidRPr="00463D55">
        <w:rPr>
          <w:rFonts w:ascii="Times New Roman" w:hAnsi="Times New Roman" w:cs="Times New Roman"/>
          <w:color w:val="212121"/>
          <w:sz w:val="20"/>
          <w:szCs w:val="20"/>
        </w:rPr>
        <w:t>.</w:t>
      </w:r>
      <w:r>
        <w:rPr>
          <w:rFonts w:ascii="Times New Roman" w:hAnsi="Times New Roman" w:cs="Times New Roman"/>
          <w:color w:val="212121"/>
          <w:sz w:val="20"/>
          <w:szCs w:val="20"/>
        </w:rPr>
        <w:t xml:space="preserve"> </w:t>
      </w:r>
      <w:r w:rsidRPr="00463D55">
        <w:rPr>
          <w:rFonts w:ascii="Times New Roman" w:hAnsi="Times New Roman" w:cs="Times New Roman"/>
          <w:sz w:val="20"/>
          <w:szCs w:val="20"/>
        </w:rPr>
        <w:t>S</w:t>
      </w:r>
      <w:r w:rsidRPr="00463D55">
        <w:rPr>
          <w:rFonts w:ascii="Times New Roman" w:hAnsi="Times New Roman" w:cs="Times New Roman"/>
          <w:color w:val="000000"/>
          <w:sz w:val="20"/>
          <w:szCs w:val="20"/>
        </w:rPr>
        <w:t>PPAs typically range from 10 to 25 years.  The developer remains responsible for the operation and maintenance of the system for the term.</w:t>
      </w:r>
      <w:r>
        <w:rPr>
          <w:rFonts w:ascii="Times New Roman" w:hAnsi="Times New Roman" w:cs="Times New Roman"/>
          <w:color w:val="212121"/>
          <w:sz w:val="20"/>
          <w:szCs w:val="20"/>
        </w:rPr>
        <w:t xml:space="preserve"> </w:t>
      </w:r>
      <w:r w:rsidRPr="00463D55">
        <w:rPr>
          <w:rFonts w:ascii="Times New Roman" w:hAnsi="Times New Roman" w:cs="Times New Roman"/>
          <w:i/>
          <w:iCs/>
          <w:color w:val="212121"/>
          <w:sz w:val="20"/>
          <w:szCs w:val="20"/>
        </w:rPr>
        <w:t>See also:</w:t>
      </w:r>
      <w:r w:rsidRPr="00463D55">
        <w:rPr>
          <w:rFonts w:ascii="Times New Roman" w:hAnsi="Times New Roman" w:cs="Times New Roman"/>
          <w:color w:val="212121"/>
          <w:sz w:val="20"/>
          <w:szCs w:val="20"/>
        </w:rPr>
        <w:t xml:space="preserve">  </w:t>
      </w:r>
      <w:hyperlink r:id="rId3" w:history="1">
        <w:r w:rsidRPr="00463D55">
          <w:rPr>
            <w:rStyle w:val="Hyperlink"/>
            <w:rFonts w:ascii="Times New Roman" w:hAnsi="Times New Roman" w:cs="Times New Roman"/>
            <w:sz w:val="20"/>
            <w:szCs w:val="20"/>
          </w:rPr>
          <w:t>https://www.seia.org/research-resources/solar-power-purchase-agreements</w:t>
        </w:r>
      </w:hyperlink>
      <w:r w:rsidRPr="00463D55">
        <w:rPr>
          <w:rFonts w:ascii="Times New Roman" w:hAnsi="Times New Roman" w:cs="Times New Roman"/>
          <w:sz w:val="20"/>
          <w:szCs w:val="20"/>
        </w:rPr>
        <w:t xml:space="preserve">. </w:t>
      </w:r>
    </w:p>
    <w:p w14:paraId="1FCBF839" w14:textId="4C900195" w:rsidR="000135CB" w:rsidRPr="00463D55" w:rsidRDefault="000135CB">
      <w:pPr>
        <w:pStyle w:val="FootnoteText"/>
        <w:rPr>
          <w:rFonts w:ascii="Times New Roman" w:hAnsi="Times New Roman" w:cs="Times New Roman"/>
        </w:rPr>
      </w:pPr>
      <w:r w:rsidRPr="00463D55">
        <w:rPr>
          <w:rFonts w:ascii="Times New Roman" w:hAnsi="Times New Roman" w:cs="Times New Roman"/>
        </w:rPr>
        <w:t xml:space="preserve"> </w:t>
      </w:r>
    </w:p>
  </w:footnote>
  <w:footnote w:id="34">
    <w:p w14:paraId="536E46BA" w14:textId="77777777" w:rsidR="000135CB" w:rsidRDefault="000135CB" w:rsidP="00A661E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“Pro Forma DG Customer-Connected Solar PPA;” § 3, p. 1, </w:t>
      </w:r>
      <w:r>
        <w:rPr>
          <w:rFonts w:ascii="Times New Roman" w:hAnsi="Times New Roman" w:cs="Times New Roman"/>
          <w:i/>
          <w:iCs/>
        </w:rPr>
        <w:t>supra.</w:t>
      </w:r>
      <w:r>
        <w:rPr>
          <w:rFonts w:ascii="Times New Roman" w:hAnsi="Times New Roman" w:cs="Times New Roman"/>
        </w:rPr>
        <w:t xml:space="preserve"> </w:t>
      </w:r>
    </w:p>
  </w:footnote>
  <w:footnote w:id="35">
    <w:p w14:paraId="5E794B3B" w14:textId="40B8BD4F" w:rsidR="000135CB" w:rsidRPr="006226D7" w:rsidRDefault="000135CB">
      <w:pPr>
        <w:pStyle w:val="FootnoteText"/>
        <w:rPr>
          <w:rFonts w:ascii="Times New Roman" w:hAnsi="Times New Roman" w:cs="Times New Roman"/>
        </w:rPr>
      </w:pPr>
      <w:r w:rsidRPr="006226D7">
        <w:rPr>
          <w:rStyle w:val="FootnoteReference"/>
          <w:rFonts w:ascii="Times New Roman" w:hAnsi="Times New Roman" w:cs="Times New Roman"/>
        </w:rPr>
        <w:footnoteRef/>
      </w:r>
      <w:r w:rsidRPr="006226D7">
        <w:rPr>
          <w:rFonts w:ascii="Times New Roman" w:hAnsi="Times New Roman" w:cs="Times New Roman"/>
        </w:rPr>
        <w:t xml:space="preserve"> </w:t>
      </w:r>
      <w:r>
        <w:rPr>
          <w:rFonts w:ascii="Times New Roman" w:hAnsi="Times New Roman" w:cs="Times New Roman"/>
        </w:rPr>
        <w:t xml:space="preserve"> An example of a SEPA used in a multi-family housing development can be reviewed at:</w:t>
      </w:r>
      <w:r w:rsidRPr="00FD3BB2">
        <w:rPr>
          <w:rFonts w:ascii="Times New Roman" w:hAnsi="Times New Roman" w:cs="Times New Roman"/>
        </w:rPr>
        <w:t xml:space="preserve">  </w:t>
      </w:r>
      <w:hyperlink r:id="rId4" w:history="1">
        <w:r w:rsidRPr="006226D7">
          <w:rPr>
            <w:rStyle w:val="Hyperlink"/>
            <w:rFonts w:ascii="Times New Roman" w:hAnsi="Times New Roman" w:cs="Times New Roman"/>
          </w:rPr>
          <w:t>https://www.southface.org/the-journal/georgias-housing-developers/</w:t>
        </w:r>
      </w:hyperlink>
    </w:p>
  </w:footnote>
  <w:footnote w:id="36">
    <w:p w14:paraId="4BBF092A" w14:textId="218B0C91" w:rsidR="000135CB" w:rsidRPr="00546ACE" w:rsidRDefault="000135CB">
      <w:pPr>
        <w:pStyle w:val="FootnoteText"/>
        <w:rPr>
          <w:rFonts w:ascii="Times New Roman" w:hAnsi="Times New Roman" w:cs="Times New Roman"/>
        </w:rPr>
      </w:pPr>
      <w:r w:rsidRPr="00546ACE">
        <w:rPr>
          <w:rStyle w:val="FootnoteReference"/>
          <w:rFonts w:ascii="Times New Roman" w:hAnsi="Times New Roman" w:cs="Times New Roman"/>
        </w:rPr>
        <w:footnoteRef/>
      </w:r>
      <w:r w:rsidRPr="00546ACE">
        <w:rPr>
          <w:rFonts w:ascii="Times New Roman" w:hAnsi="Times New Roman" w:cs="Times New Roman"/>
        </w:rPr>
        <w:t xml:space="preserve"> </w:t>
      </w:r>
      <w:r>
        <w:rPr>
          <w:rFonts w:ascii="Times New Roman" w:hAnsi="Times New Roman" w:cs="Times New Roman"/>
        </w:rPr>
        <w:t xml:space="preserve"> “Pro Forma DG Customer-Connected Solar PPA;” § 6(a), p. 2, </w:t>
      </w:r>
      <w:r>
        <w:rPr>
          <w:rFonts w:ascii="Times New Roman" w:hAnsi="Times New Roman" w:cs="Times New Roman"/>
          <w:i/>
          <w:iCs/>
        </w:rPr>
        <w:t>supra.</w:t>
      </w:r>
      <w:r w:rsidRPr="00546ACE">
        <w:rPr>
          <w:rFonts w:ascii="Times New Roman" w:hAnsi="Times New Roman" w:cs="Times New Roman"/>
        </w:rPr>
        <w:t xml:space="preserve"> </w:t>
      </w:r>
    </w:p>
  </w:footnote>
  <w:footnote w:id="37">
    <w:p w14:paraId="43FFBC79" w14:textId="5B1E48A0" w:rsidR="000135CB" w:rsidRPr="00546ACE" w:rsidRDefault="000135CB">
      <w:pPr>
        <w:pStyle w:val="FootnoteText"/>
        <w:rPr>
          <w:rFonts w:ascii="Times New Roman" w:hAnsi="Times New Roman" w:cs="Times New Roman"/>
        </w:rPr>
      </w:pPr>
      <w:r w:rsidRPr="00546ACE">
        <w:rPr>
          <w:rStyle w:val="FootnoteReference"/>
          <w:rFonts w:ascii="Times New Roman" w:hAnsi="Times New Roman" w:cs="Times New Roman"/>
        </w:rPr>
        <w:footnoteRef/>
      </w:r>
      <w:r w:rsidRPr="00546ACE">
        <w:rPr>
          <w:rFonts w:ascii="Times New Roman" w:hAnsi="Times New Roman" w:cs="Times New Roman"/>
        </w:rPr>
        <w:t xml:space="preserve"> </w:t>
      </w:r>
      <w:r>
        <w:rPr>
          <w:rFonts w:ascii="Times New Roman" w:hAnsi="Times New Roman" w:cs="Times New Roman"/>
        </w:rPr>
        <w:t xml:space="preserve"> </w:t>
      </w:r>
      <w:r w:rsidRPr="00AE6B08">
        <w:rPr>
          <w:rFonts w:ascii="Times New Roman" w:hAnsi="Times New Roman" w:cs="Times New Roman"/>
        </w:rPr>
        <w:t xml:space="preserve">“Georgia Power Company’s Distributed Generation Customer-Connected Solar Program Guidelines;” </w:t>
      </w:r>
      <w:r>
        <w:rPr>
          <w:rFonts w:ascii="Times New Roman" w:hAnsi="Times New Roman" w:cs="Times New Roman"/>
        </w:rPr>
        <w:t xml:space="preserve">Docket 43107 (April 15, 2020), Section II(d), p. </w:t>
      </w:r>
      <w:proofErr w:type="gramStart"/>
      <w:r>
        <w:rPr>
          <w:rFonts w:ascii="Times New Roman" w:hAnsi="Times New Roman" w:cs="Times New Roman"/>
        </w:rPr>
        <w:t>3.</w:t>
      </w:r>
      <w:r>
        <w:rPr>
          <w:rFonts w:ascii="Times New Roman" w:hAnsi="Times New Roman" w:cs="Times New Roman"/>
          <w:i/>
          <w:iCs/>
        </w:rPr>
        <w:t>.</w:t>
      </w:r>
      <w:proofErr w:type="gramEnd"/>
    </w:p>
  </w:footnote>
  <w:footnote w:id="38">
    <w:p w14:paraId="18C1B36A" w14:textId="08A9E766" w:rsidR="00C501CD" w:rsidRPr="00EA2C34" w:rsidRDefault="00C501CD">
      <w:pPr>
        <w:pStyle w:val="FootnoteText"/>
        <w:rPr>
          <w:rFonts w:ascii="Times New Roman" w:hAnsi="Times New Roman" w:cs="Times New Roman"/>
        </w:rPr>
      </w:pPr>
      <w:r w:rsidRPr="00EA2C34">
        <w:rPr>
          <w:rStyle w:val="FootnoteReference"/>
          <w:rFonts w:ascii="Times New Roman" w:hAnsi="Times New Roman" w:cs="Times New Roman"/>
        </w:rPr>
        <w:footnoteRef/>
      </w:r>
      <w:r w:rsidRPr="00EA2C34">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35 year</w:t>
      </w:r>
      <w:proofErr w:type="gramEnd"/>
      <w:r>
        <w:rPr>
          <w:rFonts w:ascii="Times New Roman" w:hAnsi="Times New Roman" w:cs="Times New Roman"/>
        </w:rPr>
        <w:t xml:space="preserve"> PPA.</w:t>
      </w:r>
    </w:p>
  </w:footnote>
  <w:footnote w:id="39">
    <w:p w14:paraId="4F3AA9EE" w14:textId="0E1CB4F5" w:rsidR="000135CB" w:rsidRPr="001A69EA" w:rsidRDefault="000135CB">
      <w:pPr>
        <w:pStyle w:val="FootnoteText"/>
        <w:rPr>
          <w:rFonts w:ascii="Times New Roman" w:hAnsi="Times New Roman" w:cs="Times New Roman"/>
        </w:rPr>
      </w:pPr>
      <w:r w:rsidRPr="00C501CD">
        <w:rPr>
          <w:rStyle w:val="FootnoteReference"/>
          <w:rFonts w:ascii="Times New Roman" w:hAnsi="Times New Roman" w:cs="Times New Roman"/>
        </w:rPr>
        <w:footnoteRef/>
      </w:r>
      <w:r w:rsidRPr="00546ACE">
        <w:rPr>
          <w:rFonts w:ascii="Times New Roman" w:hAnsi="Times New Roman" w:cs="Times New Roman"/>
        </w:rPr>
        <w:t xml:space="preserve"> </w:t>
      </w:r>
      <w:r>
        <w:rPr>
          <w:rFonts w:ascii="Times New Roman" w:hAnsi="Times New Roman" w:cs="Times New Roman"/>
        </w:rPr>
        <w:t xml:space="preserve"> “Pro Forma DG Customer-Connected Solar PPA;” Appendix B, </w:t>
      </w:r>
      <w:r>
        <w:rPr>
          <w:rFonts w:ascii="Times New Roman" w:hAnsi="Times New Roman" w:cs="Times New Roman"/>
          <w:i/>
          <w:iCs/>
        </w:rPr>
        <w:t>supra.</w:t>
      </w:r>
      <w:r w:rsidR="001A69EA">
        <w:rPr>
          <w:rFonts w:ascii="Times New Roman" w:hAnsi="Times New Roman" w:cs="Times New Roman"/>
          <w:i/>
          <w:iCs/>
        </w:rPr>
        <w:t xml:space="preserve"> </w:t>
      </w:r>
      <w:r w:rsidR="001A69EA">
        <w:rPr>
          <w:rFonts w:ascii="Times New Roman" w:hAnsi="Times New Roman" w:cs="Times New Roman"/>
        </w:rPr>
        <w:t xml:space="preserve"> (</w:t>
      </w:r>
      <w:proofErr w:type="gramStart"/>
      <w:r w:rsidR="001A69EA">
        <w:rPr>
          <w:rFonts w:ascii="Times New Roman" w:hAnsi="Times New Roman" w:cs="Times New Roman"/>
        </w:rPr>
        <w:t>30 year</w:t>
      </w:r>
      <w:proofErr w:type="gramEnd"/>
      <w:r w:rsidR="001A69EA">
        <w:rPr>
          <w:rFonts w:ascii="Times New Roman" w:hAnsi="Times New Roman" w:cs="Times New Roman"/>
        </w:rPr>
        <w:t xml:space="preserve"> PPA)</w:t>
      </w:r>
    </w:p>
  </w:footnote>
  <w:footnote w:id="40">
    <w:p w14:paraId="7B78064E" w14:textId="77777777" w:rsidR="000135CB" w:rsidRDefault="000135CB" w:rsidP="00FA5CA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See generally:  In re:  Georgia Power Company’s 2019 Base Rate Case</w:t>
      </w:r>
      <w:r>
        <w:rPr>
          <w:rFonts w:ascii="Times New Roman" w:hAnsi="Times New Roman" w:cs="Times New Roman"/>
        </w:rPr>
        <w:t>; Docket 42516 (June 28, 2019).</w:t>
      </w:r>
    </w:p>
  </w:footnote>
  <w:footnote w:id="41">
    <w:p w14:paraId="56201974" w14:textId="77777777" w:rsidR="000135CB" w:rsidRPr="00032533" w:rsidRDefault="000135CB" w:rsidP="00FA5CA7">
      <w:pPr>
        <w:pStyle w:val="FootnoteText"/>
        <w:jc w:val="both"/>
        <w:rPr>
          <w:rFonts w:ascii="Times New Roman" w:hAnsi="Times New Roman" w:cs="Times New Roman"/>
        </w:rPr>
      </w:pPr>
      <w:r w:rsidRPr="00356497">
        <w:rPr>
          <w:rStyle w:val="FootnoteReference"/>
          <w:rFonts w:ascii="Times New Roman" w:hAnsi="Times New Roman" w:cs="Times New Roman"/>
        </w:rPr>
        <w:footnoteRef/>
      </w:r>
      <w:r>
        <w:rPr>
          <w:rFonts w:ascii="Times New Roman" w:hAnsi="Times New Roman" w:cs="Times New Roman"/>
        </w:rPr>
        <w:t xml:space="preserve"> </w:t>
      </w:r>
      <w:r w:rsidRPr="00C75708">
        <w:rPr>
          <w:rFonts w:ascii="Times New Roman" w:hAnsi="Times New Roman" w:cs="Times New Roman"/>
        </w:rPr>
        <w:t xml:space="preserve"> </w:t>
      </w:r>
      <w:r>
        <w:rPr>
          <w:rFonts w:ascii="Times New Roman" w:hAnsi="Times New Roman" w:cs="Times New Roman"/>
        </w:rPr>
        <w:t xml:space="preserve">“Georgia Power’s 2019 Avoided Cost and Solar Avoided Cost Projections;” </w:t>
      </w:r>
      <w:r>
        <w:rPr>
          <w:rFonts w:ascii="Times New Roman" w:hAnsi="Times New Roman" w:cs="Times New Roman"/>
          <w:i/>
          <w:iCs/>
        </w:rPr>
        <w:t>Capacity and Energy Payments to Co-generators under PURPA</w:t>
      </w:r>
      <w:r>
        <w:rPr>
          <w:rFonts w:ascii="Times New Roman" w:hAnsi="Times New Roman" w:cs="Times New Roman"/>
        </w:rPr>
        <w:t>; Docket 4822 (December 19, 2019).</w:t>
      </w:r>
    </w:p>
  </w:footnote>
  <w:footnote w:id="42">
    <w:p w14:paraId="0C0B39E5" w14:textId="2630A6C9" w:rsidR="000135CB" w:rsidRPr="00957A40" w:rsidRDefault="000135CB">
      <w:pPr>
        <w:pStyle w:val="FootnoteText"/>
        <w:rPr>
          <w:rFonts w:ascii="Times New Roman" w:hAnsi="Times New Roman" w:cs="Times New Roman"/>
        </w:rPr>
      </w:pPr>
      <w:r w:rsidRPr="00957A40">
        <w:rPr>
          <w:rStyle w:val="FootnoteReference"/>
          <w:rFonts w:ascii="Times New Roman" w:hAnsi="Times New Roman" w:cs="Times New Roman"/>
        </w:rPr>
        <w:footnoteRef/>
      </w:r>
      <w:r w:rsidRPr="00957A4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iCs/>
        </w:rPr>
        <w:t>Id.</w:t>
      </w:r>
      <w:r>
        <w:rPr>
          <w:rFonts w:ascii="Times New Roman" w:hAnsi="Times New Roman" w:cs="Times New Roman"/>
        </w:rPr>
        <w:t xml:space="preserve"> (T. 3076:23-3078:9).</w:t>
      </w:r>
    </w:p>
  </w:footnote>
  <w:footnote w:id="43">
    <w:p w14:paraId="1D5D5937" w14:textId="56765D22" w:rsidR="000135CB" w:rsidRPr="00957A40" w:rsidRDefault="000135CB">
      <w:pPr>
        <w:pStyle w:val="FootnoteText"/>
        <w:rPr>
          <w:rFonts w:ascii="Times New Roman" w:hAnsi="Times New Roman" w:cs="Times New Roman"/>
        </w:rPr>
      </w:pPr>
      <w:r w:rsidRPr="00957A40">
        <w:rPr>
          <w:rStyle w:val="FootnoteReference"/>
          <w:rFonts w:ascii="Times New Roman" w:hAnsi="Times New Roman" w:cs="Times New Roman"/>
        </w:rPr>
        <w:footnoteRef/>
      </w:r>
      <w:r w:rsidRPr="00957A4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iCs/>
        </w:rPr>
        <w:t>Id.</w:t>
      </w:r>
      <w:r>
        <w:rPr>
          <w:rFonts w:ascii="Times New Roman" w:hAnsi="Times New Roman" w:cs="Times New Roman"/>
        </w:rPr>
        <w:t xml:space="preserve"> (T. 3079:10-3085:5).</w:t>
      </w:r>
    </w:p>
  </w:footnote>
  <w:footnote w:id="44">
    <w:p w14:paraId="3D5E3C66" w14:textId="745AFEF2" w:rsidR="000135CB" w:rsidRPr="00E74C6E" w:rsidRDefault="000135CB">
      <w:pPr>
        <w:pStyle w:val="FootnoteText"/>
        <w:rPr>
          <w:rFonts w:ascii="Times New Roman" w:hAnsi="Times New Roman" w:cs="Times New Roman"/>
        </w:rPr>
      </w:pPr>
      <w:r w:rsidRPr="00E74C6E">
        <w:rPr>
          <w:rStyle w:val="FootnoteReference"/>
          <w:rFonts w:ascii="Times New Roman" w:hAnsi="Times New Roman" w:cs="Times New Roman"/>
        </w:rPr>
        <w:footnoteRef/>
      </w:r>
      <w:r w:rsidRPr="00E74C6E">
        <w:rPr>
          <w:rFonts w:ascii="Times New Roman" w:hAnsi="Times New Roman" w:cs="Times New Roman"/>
        </w:rPr>
        <w:t xml:space="preserve"> </w:t>
      </w:r>
      <w:r>
        <w:rPr>
          <w:rFonts w:ascii="Times New Roman" w:hAnsi="Times New Roman" w:cs="Times New Roman"/>
        </w:rPr>
        <w:t xml:space="preserve"> “Application;” Docket 43107, p. 2.</w:t>
      </w:r>
    </w:p>
  </w:footnote>
  <w:footnote w:id="45">
    <w:p w14:paraId="32174E64" w14:textId="2D9EAF53" w:rsidR="000135CB" w:rsidRPr="007B19CE" w:rsidRDefault="000135CB">
      <w:pPr>
        <w:pStyle w:val="FootnoteText"/>
        <w:rPr>
          <w:rFonts w:ascii="Times New Roman" w:hAnsi="Times New Roman" w:cs="Times New Roman"/>
        </w:rPr>
      </w:pPr>
      <w:r w:rsidRPr="00E74C6E">
        <w:rPr>
          <w:rStyle w:val="FootnoteReference"/>
          <w:rFonts w:ascii="Times New Roman" w:hAnsi="Times New Roman" w:cs="Times New Roman"/>
        </w:rPr>
        <w:footnoteRef/>
      </w:r>
      <w:r>
        <w:rPr>
          <w:rFonts w:ascii="Times New Roman" w:hAnsi="Times New Roman" w:cs="Times New Roman"/>
        </w:rPr>
        <w:t xml:space="preserve">  “Stipulation;” Docket 42310 (June 6, 2019) (Stipulation, ¶ 6).</w:t>
      </w:r>
      <w:r w:rsidRPr="007B19CE">
        <w:rPr>
          <w:rFonts w:ascii="Times New Roman" w:hAnsi="Times New Roman" w:cs="Times New Roman"/>
        </w:rPr>
        <w:t xml:space="preserve"> </w:t>
      </w:r>
    </w:p>
  </w:footnote>
  <w:footnote w:id="46">
    <w:p w14:paraId="3221664E" w14:textId="6AAA0A8A" w:rsidR="000135CB" w:rsidRPr="007B19CE" w:rsidRDefault="000135CB">
      <w:pPr>
        <w:pStyle w:val="FootnoteText"/>
        <w:rPr>
          <w:rFonts w:ascii="Times New Roman" w:hAnsi="Times New Roman" w:cs="Times New Roman"/>
        </w:rPr>
      </w:pPr>
      <w:r w:rsidRPr="007B19CE">
        <w:rPr>
          <w:rStyle w:val="FootnoteReference"/>
          <w:rFonts w:ascii="Times New Roman" w:hAnsi="Times New Roman" w:cs="Times New Roman"/>
        </w:rPr>
        <w:footnoteRef/>
      </w:r>
      <w:r w:rsidRPr="007B19CE">
        <w:rPr>
          <w:rFonts w:ascii="Times New Roman" w:hAnsi="Times New Roman" w:cs="Times New Roman"/>
        </w:rPr>
        <w:t xml:space="preserve"> </w:t>
      </w:r>
      <w:r>
        <w:rPr>
          <w:rFonts w:ascii="Times New Roman" w:hAnsi="Times New Roman" w:cs="Times New Roman"/>
        </w:rPr>
        <w:t>“Compliance Filing;” Docket 42310 (January 21,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AC48C" w14:textId="77777777" w:rsidR="000135CB" w:rsidRDefault="00013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Shruti" w:hAnsi="Shruti"/>
      </w:rPr>
    </w:pPr>
  </w:p>
  <w:p w14:paraId="5C92E09C" w14:textId="77777777" w:rsidR="000135CB" w:rsidRDefault="00013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032E"/>
    <w:multiLevelType w:val="hybridMultilevel"/>
    <w:tmpl w:val="2AF8F0CC"/>
    <w:lvl w:ilvl="0" w:tplc="41A6C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0E713C"/>
    <w:multiLevelType w:val="hybridMultilevel"/>
    <w:tmpl w:val="CB10C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4061D"/>
    <w:multiLevelType w:val="hybridMultilevel"/>
    <w:tmpl w:val="5CF47384"/>
    <w:lvl w:ilvl="0" w:tplc="78AE1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13B58"/>
    <w:multiLevelType w:val="hybridMultilevel"/>
    <w:tmpl w:val="426C84A8"/>
    <w:lvl w:ilvl="0" w:tplc="F8CC72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8E773F"/>
    <w:multiLevelType w:val="hybridMultilevel"/>
    <w:tmpl w:val="A3163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A3167"/>
    <w:multiLevelType w:val="hybridMultilevel"/>
    <w:tmpl w:val="ED86C08A"/>
    <w:lvl w:ilvl="0" w:tplc="57024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4B56C3"/>
    <w:multiLevelType w:val="hybridMultilevel"/>
    <w:tmpl w:val="46221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77F3C"/>
    <w:multiLevelType w:val="hybridMultilevel"/>
    <w:tmpl w:val="8A404D22"/>
    <w:lvl w:ilvl="0" w:tplc="1F0448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722CDD"/>
    <w:multiLevelType w:val="hybridMultilevel"/>
    <w:tmpl w:val="615C7BBE"/>
    <w:lvl w:ilvl="0" w:tplc="19785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5D07C6"/>
    <w:multiLevelType w:val="hybridMultilevel"/>
    <w:tmpl w:val="FB547E96"/>
    <w:lvl w:ilvl="0" w:tplc="596CF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025123"/>
    <w:multiLevelType w:val="hybridMultilevel"/>
    <w:tmpl w:val="44AE25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1E72DF"/>
    <w:multiLevelType w:val="hybridMultilevel"/>
    <w:tmpl w:val="47D8BAE4"/>
    <w:lvl w:ilvl="0" w:tplc="FA2E4A86">
      <w:start w:val="1"/>
      <w:numFmt w:val="upperLetter"/>
      <w:lvlText w:val="%1."/>
      <w:lvlJc w:val="left"/>
      <w:pPr>
        <w:ind w:left="1140" w:hanging="360"/>
      </w:pPr>
      <w:rPr>
        <w:rFonts w:hint="default"/>
        <w:u w:val="non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9390D78"/>
    <w:multiLevelType w:val="hybridMultilevel"/>
    <w:tmpl w:val="05841BCC"/>
    <w:lvl w:ilvl="0" w:tplc="AAD2E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BF2650"/>
    <w:multiLevelType w:val="multilevel"/>
    <w:tmpl w:val="85B6F79E"/>
    <w:lvl w:ilvl="0">
      <w:start w:val="1"/>
      <w:numFmt w:val="decimal"/>
      <w:pStyle w:val="StandardL1"/>
      <w:lvlText w:val="%1."/>
      <w:lvlJc w:val="left"/>
      <w:pPr>
        <w:tabs>
          <w:tab w:val="num" w:pos="1170"/>
        </w:tabs>
        <w:ind w:left="450" w:firstLine="0"/>
      </w:pPr>
      <w:rPr>
        <w:b w:val="0"/>
        <w:i w:val="0"/>
        <w:caps w:val="0"/>
        <w:smallCaps w:val="0"/>
        <w:u w:val="none"/>
      </w:rPr>
    </w:lvl>
    <w:lvl w:ilvl="1">
      <w:start w:val="1"/>
      <w:numFmt w:val="lowerLetter"/>
      <w:pStyle w:val="StandardL2"/>
      <w:lvlText w:val="%2)"/>
      <w:lvlJc w:val="left"/>
      <w:pPr>
        <w:tabs>
          <w:tab w:val="num" w:pos="1440"/>
        </w:tabs>
        <w:ind w:left="1440" w:hanging="720"/>
      </w:pPr>
      <w:rPr>
        <w:b w:val="0"/>
        <w:i w:val="0"/>
        <w:caps w:val="0"/>
        <w:smallCaps w:val="0"/>
        <w:u w:val="none"/>
      </w:rPr>
    </w:lvl>
    <w:lvl w:ilvl="2">
      <w:start w:val="1"/>
      <w:numFmt w:val="lowerRoman"/>
      <w:pStyle w:val="StandardL3"/>
      <w:lvlText w:val="(%3)"/>
      <w:lvlJc w:val="left"/>
      <w:pPr>
        <w:tabs>
          <w:tab w:val="num" w:pos="2250"/>
        </w:tabs>
        <w:ind w:left="2250" w:hanging="720"/>
      </w:pPr>
      <w:rPr>
        <w:b w:val="0"/>
        <w:i w:val="0"/>
        <w:caps w:val="0"/>
        <w:smallCaps w:val="0"/>
        <w:u w:val="none"/>
      </w:rPr>
    </w:lvl>
    <w:lvl w:ilvl="3">
      <w:start w:val="1"/>
      <w:numFmt w:val="decimal"/>
      <w:pStyle w:val="StandardL4"/>
      <w:lvlText w:val="(%4)"/>
      <w:lvlJc w:val="left"/>
      <w:pPr>
        <w:tabs>
          <w:tab w:val="num" w:pos="2880"/>
        </w:tabs>
        <w:ind w:left="0" w:firstLine="2160"/>
      </w:pPr>
      <w:rPr>
        <w:b w:val="0"/>
        <w:i w:val="0"/>
        <w:caps w:val="0"/>
        <w:smallCaps w:val="0"/>
        <w:u w:val="none"/>
      </w:rPr>
    </w:lvl>
    <w:lvl w:ilvl="4">
      <w:start w:val="1"/>
      <w:numFmt w:val="lowerLetter"/>
      <w:pStyle w:val="StandardL5"/>
      <w:lvlText w:val="%5."/>
      <w:lvlJc w:val="left"/>
      <w:pPr>
        <w:tabs>
          <w:tab w:val="num" w:pos="3600"/>
        </w:tabs>
        <w:ind w:left="0" w:firstLine="2880"/>
      </w:pPr>
      <w:rPr>
        <w:b w:val="0"/>
        <w:i w:val="0"/>
        <w:caps w:val="0"/>
        <w:smallCaps w:val="0"/>
        <w:u w:val="none"/>
      </w:rPr>
    </w:lvl>
    <w:lvl w:ilvl="5">
      <w:start w:val="1"/>
      <w:numFmt w:val="lowerRoman"/>
      <w:pStyle w:val="StandardL6"/>
      <w:lvlText w:val="%6."/>
      <w:lvlJc w:val="left"/>
      <w:pPr>
        <w:tabs>
          <w:tab w:val="num" w:pos="4320"/>
        </w:tabs>
        <w:ind w:left="0" w:firstLine="3600"/>
      </w:pPr>
      <w:rPr>
        <w:b w:val="0"/>
        <w:i w:val="0"/>
        <w:caps w:val="0"/>
        <w:smallCaps w:val="0"/>
        <w:u w:val="none"/>
      </w:rPr>
    </w:lvl>
    <w:lvl w:ilvl="6">
      <w:start w:val="1"/>
      <w:numFmt w:val="decimal"/>
      <w:pStyle w:val="StandardL7"/>
      <w:lvlText w:val="%7)"/>
      <w:lvlJc w:val="left"/>
      <w:pPr>
        <w:tabs>
          <w:tab w:val="num" w:pos="5040"/>
        </w:tabs>
        <w:ind w:left="0" w:firstLine="4320"/>
      </w:pPr>
      <w:rPr>
        <w:b w:val="0"/>
        <w:i w:val="0"/>
        <w:caps w:val="0"/>
        <w:smallCaps w:val="0"/>
        <w:u w:val="none"/>
      </w:rPr>
    </w:lvl>
    <w:lvl w:ilvl="7">
      <w:start w:val="1"/>
      <w:numFmt w:val="lowerLetter"/>
      <w:pStyle w:val="StandardL8"/>
      <w:lvlText w:val="%8)"/>
      <w:lvlJc w:val="left"/>
      <w:pPr>
        <w:tabs>
          <w:tab w:val="num" w:pos="5760"/>
        </w:tabs>
        <w:ind w:left="0" w:firstLine="5040"/>
      </w:pPr>
      <w:rPr>
        <w:b w:val="0"/>
        <w:i w:val="0"/>
        <w:caps w:val="0"/>
        <w:smallCaps w:val="0"/>
        <w:u w:val="none"/>
      </w:rPr>
    </w:lvl>
    <w:lvl w:ilvl="8">
      <w:start w:val="1"/>
      <w:numFmt w:val="lowerRoman"/>
      <w:pStyle w:val="StandardL9"/>
      <w:lvlText w:val="%9)"/>
      <w:lvlJc w:val="left"/>
      <w:pPr>
        <w:tabs>
          <w:tab w:val="num" w:pos="6480"/>
        </w:tabs>
        <w:ind w:left="0" w:firstLine="5760"/>
      </w:pPr>
      <w:rPr>
        <w:b w:val="0"/>
        <w:i w:val="0"/>
        <w:caps w:val="0"/>
        <w:smallCaps w:val="0"/>
        <w:u w:val="none"/>
      </w:rPr>
    </w:lvl>
  </w:abstractNum>
  <w:abstractNum w:abstractNumId="14" w15:restartNumberingAfterBreak="0">
    <w:nsid w:val="518F11C6"/>
    <w:multiLevelType w:val="hybridMultilevel"/>
    <w:tmpl w:val="89003F9E"/>
    <w:lvl w:ilvl="0" w:tplc="94C82022">
      <w:start w:val="1"/>
      <w:numFmt w:val="upperLetter"/>
      <w:lvlText w:val="%1."/>
      <w:lvlJc w:val="left"/>
      <w:pPr>
        <w:ind w:left="810" w:hanging="360"/>
      </w:pPr>
    </w:lvl>
    <w:lvl w:ilvl="1" w:tplc="3AB6A680">
      <w:start w:val="1"/>
      <w:numFmt w:val="lowerLetter"/>
      <w:lvlText w:val="%2."/>
      <w:lvlJc w:val="left"/>
      <w:pPr>
        <w:ind w:left="1530" w:hanging="360"/>
      </w:pPr>
    </w:lvl>
    <w:lvl w:ilvl="2" w:tplc="1298C574">
      <w:start w:val="1"/>
      <w:numFmt w:val="lowerRoman"/>
      <w:lvlText w:val="%3."/>
      <w:lvlJc w:val="right"/>
      <w:pPr>
        <w:ind w:left="2250" w:hanging="180"/>
      </w:pPr>
    </w:lvl>
    <w:lvl w:ilvl="3" w:tplc="8BDE4A90" w:tentative="1">
      <w:start w:val="1"/>
      <w:numFmt w:val="decimal"/>
      <w:lvlText w:val="%4."/>
      <w:lvlJc w:val="left"/>
      <w:pPr>
        <w:ind w:left="2970" w:hanging="360"/>
      </w:pPr>
    </w:lvl>
    <w:lvl w:ilvl="4" w:tplc="F5AC7222" w:tentative="1">
      <w:start w:val="1"/>
      <w:numFmt w:val="lowerLetter"/>
      <w:lvlText w:val="%5."/>
      <w:lvlJc w:val="left"/>
      <w:pPr>
        <w:ind w:left="3690" w:hanging="360"/>
      </w:pPr>
    </w:lvl>
    <w:lvl w:ilvl="5" w:tplc="1520ACB8" w:tentative="1">
      <w:start w:val="1"/>
      <w:numFmt w:val="lowerRoman"/>
      <w:lvlText w:val="%6."/>
      <w:lvlJc w:val="right"/>
      <w:pPr>
        <w:ind w:left="4410" w:hanging="180"/>
      </w:pPr>
    </w:lvl>
    <w:lvl w:ilvl="6" w:tplc="9BC0A9C0" w:tentative="1">
      <w:start w:val="1"/>
      <w:numFmt w:val="decimal"/>
      <w:lvlText w:val="%7."/>
      <w:lvlJc w:val="left"/>
      <w:pPr>
        <w:ind w:left="5130" w:hanging="360"/>
      </w:pPr>
    </w:lvl>
    <w:lvl w:ilvl="7" w:tplc="BC741EB4" w:tentative="1">
      <w:start w:val="1"/>
      <w:numFmt w:val="lowerLetter"/>
      <w:lvlText w:val="%8."/>
      <w:lvlJc w:val="left"/>
      <w:pPr>
        <w:ind w:left="5850" w:hanging="360"/>
      </w:pPr>
    </w:lvl>
    <w:lvl w:ilvl="8" w:tplc="6268A9BE" w:tentative="1">
      <w:start w:val="1"/>
      <w:numFmt w:val="lowerRoman"/>
      <w:lvlText w:val="%9."/>
      <w:lvlJc w:val="right"/>
      <w:pPr>
        <w:ind w:left="6570" w:hanging="180"/>
      </w:pPr>
    </w:lvl>
  </w:abstractNum>
  <w:abstractNum w:abstractNumId="15" w15:restartNumberingAfterBreak="0">
    <w:nsid w:val="5C100AC2"/>
    <w:multiLevelType w:val="hybridMultilevel"/>
    <w:tmpl w:val="BA1A0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D0D93"/>
    <w:multiLevelType w:val="multilevel"/>
    <w:tmpl w:val="1880611C"/>
    <w:lvl w:ilvl="0">
      <w:start w:val="1"/>
      <w:numFmt w:val="upperRoman"/>
      <w:pStyle w:val="OutlineL1"/>
      <w:lvlText w:val="%1."/>
      <w:lvlJc w:val="right"/>
      <w:pPr>
        <w:tabs>
          <w:tab w:val="num" w:pos="1448"/>
        </w:tabs>
        <w:ind w:left="1448" w:hanging="720"/>
      </w:pPr>
      <w:rPr>
        <w:rFonts w:hint="default"/>
        <w:b w:val="0"/>
        <w:i w:val="0"/>
        <w:caps/>
        <w:smallCaps w:val="0"/>
        <w:u w:val="none"/>
      </w:rPr>
    </w:lvl>
    <w:lvl w:ilvl="1">
      <w:start w:val="1"/>
      <w:numFmt w:val="decimal"/>
      <w:pStyle w:val="OutlineL2"/>
      <w:lvlText w:val="%2."/>
      <w:lvlJc w:val="left"/>
      <w:pPr>
        <w:tabs>
          <w:tab w:val="num" w:pos="1448"/>
        </w:tabs>
        <w:ind w:left="8" w:firstLine="720"/>
      </w:pPr>
      <w:rPr>
        <w:rFonts w:hint="default"/>
        <w:b w:val="0"/>
        <w:bCs/>
        <w:i w:val="0"/>
        <w:caps w:val="0"/>
        <w:smallCaps w:val="0"/>
        <w:u w:val="none"/>
      </w:rPr>
    </w:lvl>
    <w:lvl w:ilvl="2">
      <w:start w:val="1"/>
      <w:numFmt w:val="bullet"/>
      <w:lvlText w:val=""/>
      <w:lvlJc w:val="left"/>
      <w:pPr>
        <w:tabs>
          <w:tab w:val="num" w:pos="728"/>
        </w:tabs>
        <w:ind w:left="728" w:hanging="720"/>
      </w:pPr>
      <w:rPr>
        <w:rFonts w:ascii="Wingdings" w:hAnsi="Wingdings" w:hint="default"/>
        <w:b w:val="0"/>
        <w:i w:val="0"/>
        <w:caps w:val="0"/>
        <w:smallCaps w:val="0"/>
        <w:u w:val="none"/>
      </w:rPr>
    </w:lvl>
    <w:lvl w:ilvl="3">
      <w:start w:val="1"/>
      <w:numFmt w:val="decimal"/>
      <w:pStyle w:val="OutlineL4"/>
      <w:lvlText w:val="%4."/>
      <w:lvlJc w:val="left"/>
      <w:pPr>
        <w:tabs>
          <w:tab w:val="num" w:pos="1440"/>
        </w:tabs>
        <w:ind w:left="1440" w:hanging="720"/>
      </w:pPr>
      <w:rPr>
        <w:rFonts w:hint="default"/>
        <w:b/>
        <w:bCs w:val="0"/>
        <w:i w:val="0"/>
        <w:caps w:val="0"/>
        <w:smallCaps w:val="0"/>
        <w:u w:val="none"/>
      </w:rPr>
    </w:lvl>
    <w:lvl w:ilvl="4">
      <w:start w:val="1"/>
      <w:numFmt w:val="upperLetter"/>
      <w:pStyle w:val="OutlineL5"/>
      <w:lvlText w:val="%5."/>
      <w:lvlJc w:val="left"/>
      <w:pPr>
        <w:tabs>
          <w:tab w:val="num" w:pos="1800"/>
        </w:tabs>
        <w:ind w:left="360" w:firstLine="720"/>
      </w:pPr>
      <w:rPr>
        <w:rFonts w:hint="default"/>
        <w:b w:val="0"/>
        <w:i w:val="0"/>
        <w:caps w:val="0"/>
        <w:smallCaps w:val="0"/>
        <w:u w:val="none"/>
      </w:rPr>
    </w:lvl>
    <w:lvl w:ilvl="5">
      <w:start w:val="1"/>
      <w:numFmt w:val="lowerLetter"/>
      <w:pStyle w:val="OutlineL6"/>
      <w:lvlText w:val="(%6)"/>
      <w:lvlJc w:val="left"/>
      <w:pPr>
        <w:tabs>
          <w:tab w:val="num" w:pos="4328"/>
        </w:tabs>
        <w:ind w:left="8" w:firstLine="3600"/>
      </w:pPr>
      <w:rPr>
        <w:rFonts w:hint="default"/>
        <w:b w:val="0"/>
        <w:i w:val="0"/>
        <w:caps w:val="0"/>
        <w:smallCaps w:val="0"/>
        <w:u w:val="none"/>
      </w:rPr>
    </w:lvl>
    <w:lvl w:ilvl="6">
      <w:start w:val="1"/>
      <w:numFmt w:val="decimal"/>
      <w:pStyle w:val="OutlineL7"/>
      <w:lvlText w:val="(%7)"/>
      <w:lvlJc w:val="left"/>
      <w:pPr>
        <w:tabs>
          <w:tab w:val="num" w:pos="5048"/>
        </w:tabs>
        <w:ind w:left="8" w:firstLine="4320"/>
      </w:pPr>
      <w:rPr>
        <w:rFonts w:hint="default"/>
        <w:b w:val="0"/>
        <w:i w:val="0"/>
        <w:caps w:val="0"/>
        <w:smallCaps w:val="0"/>
        <w:u w:val="none"/>
      </w:rPr>
    </w:lvl>
    <w:lvl w:ilvl="7">
      <w:start w:val="1"/>
      <w:numFmt w:val="lowerRoman"/>
      <w:pStyle w:val="OutlineL8"/>
      <w:lvlText w:val="%8)"/>
      <w:lvlJc w:val="left"/>
      <w:pPr>
        <w:tabs>
          <w:tab w:val="num" w:pos="5768"/>
        </w:tabs>
        <w:ind w:left="8" w:firstLine="5040"/>
      </w:pPr>
      <w:rPr>
        <w:rFonts w:hint="default"/>
        <w:b w:val="0"/>
        <w:i w:val="0"/>
        <w:caps w:val="0"/>
        <w:smallCaps w:val="0"/>
        <w:u w:val="none"/>
      </w:rPr>
    </w:lvl>
    <w:lvl w:ilvl="8">
      <w:start w:val="1"/>
      <w:numFmt w:val="lowerLetter"/>
      <w:pStyle w:val="OutlineL9"/>
      <w:lvlText w:val="%9)"/>
      <w:lvlJc w:val="left"/>
      <w:pPr>
        <w:tabs>
          <w:tab w:val="num" w:pos="6488"/>
        </w:tabs>
        <w:ind w:left="8" w:firstLine="5760"/>
      </w:pPr>
      <w:rPr>
        <w:rFonts w:hint="default"/>
        <w:b w:val="0"/>
        <w:i w:val="0"/>
        <w:caps w:val="0"/>
        <w:smallCaps w:val="0"/>
        <w:u w:val="none"/>
      </w:rPr>
    </w:lvl>
  </w:abstractNum>
  <w:abstractNum w:abstractNumId="17" w15:restartNumberingAfterBreak="0">
    <w:nsid w:val="6E823551"/>
    <w:multiLevelType w:val="hybridMultilevel"/>
    <w:tmpl w:val="3000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42D4C"/>
    <w:multiLevelType w:val="hybridMultilevel"/>
    <w:tmpl w:val="82403B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24B35"/>
    <w:multiLevelType w:val="hybridMultilevel"/>
    <w:tmpl w:val="1E0AEC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551FBE"/>
    <w:multiLevelType w:val="hybridMultilevel"/>
    <w:tmpl w:val="CB10C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F522B"/>
    <w:multiLevelType w:val="hybridMultilevel"/>
    <w:tmpl w:val="12E42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96C02"/>
    <w:multiLevelType w:val="hybridMultilevel"/>
    <w:tmpl w:val="B4780704"/>
    <w:lvl w:ilvl="0" w:tplc="44E43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0"/>
  </w:num>
  <w:num w:numId="3">
    <w:abstractNumId w:val="0"/>
  </w:num>
  <w:num w:numId="4">
    <w:abstractNumId w:val="2"/>
  </w:num>
  <w:num w:numId="5">
    <w:abstractNumId w:val="16"/>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9"/>
  </w:num>
  <w:num w:numId="11">
    <w:abstractNumId w:val="10"/>
  </w:num>
  <w:num w:numId="12">
    <w:abstractNumId w:val="8"/>
  </w:num>
  <w:num w:numId="13">
    <w:abstractNumId w:val="4"/>
  </w:num>
  <w:num w:numId="14">
    <w:abstractNumId w:val="21"/>
  </w:num>
  <w:num w:numId="15">
    <w:abstractNumId w:val="9"/>
  </w:num>
  <w:num w:numId="16">
    <w:abstractNumId w:val="22"/>
  </w:num>
  <w:num w:numId="17">
    <w:abstractNumId w:val="11"/>
  </w:num>
  <w:num w:numId="18">
    <w:abstractNumId w:val="15"/>
  </w:num>
  <w:num w:numId="19">
    <w:abstractNumId w:val="7"/>
  </w:num>
  <w:num w:numId="20">
    <w:abstractNumId w:val="16"/>
  </w:num>
  <w:num w:numId="21">
    <w:abstractNumId w:val="16"/>
    <w:lvlOverride w:ilvl="0">
      <w:startOverride w:val="500"/>
    </w:lvlOverride>
  </w:num>
  <w:num w:numId="22">
    <w:abstractNumId w:val="16"/>
    <w:lvlOverride w:ilvl="0">
      <w:startOverride w:val="100"/>
    </w:lvlOverride>
  </w:num>
  <w:num w:numId="23">
    <w:abstractNumId w:val="5"/>
  </w:num>
  <w:num w:numId="24">
    <w:abstractNumId w:val="18"/>
  </w:num>
  <w:num w:numId="25">
    <w:abstractNumId w:val="3"/>
  </w:num>
  <w:num w:numId="26">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75"/>
    <w:rsid w:val="00005BF4"/>
    <w:rsid w:val="00011D97"/>
    <w:rsid w:val="000135CB"/>
    <w:rsid w:val="00013605"/>
    <w:rsid w:val="00014344"/>
    <w:rsid w:val="000317B3"/>
    <w:rsid w:val="00031D9E"/>
    <w:rsid w:val="00032533"/>
    <w:rsid w:val="000437D4"/>
    <w:rsid w:val="00043E25"/>
    <w:rsid w:val="000524B7"/>
    <w:rsid w:val="000670C4"/>
    <w:rsid w:val="00071A34"/>
    <w:rsid w:val="00072930"/>
    <w:rsid w:val="00086692"/>
    <w:rsid w:val="00087022"/>
    <w:rsid w:val="0009216C"/>
    <w:rsid w:val="000B4751"/>
    <w:rsid w:val="000C3D6E"/>
    <w:rsid w:val="000E6BE0"/>
    <w:rsid w:val="000F03D1"/>
    <w:rsid w:val="001037FF"/>
    <w:rsid w:val="00103B8C"/>
    <w:rsid w:val="001237A0"/>
    <w:rsid w:val="00123DDC"/>
    <w:rsid w:val="00124591"/>
    <w:rsid w:val="00125D2C"/>
    <w:rsid w:val="0013540A"/>
    <w:rsid w:val="001372ED"/>
    <w:rsid w:val="001404D2"/>
    <w:rsid w:val="001424E4"/>
    <w:rsid w:val="00146FA2"/>
    <w:rsid w:val="001479AB"/>
    <w:rsid w:val="001479CA"/>
    <w:rsid w:val="00150133"/>
    <w:rsid w:val="001509F8"/>
    <w:rsid w:val="00154C7A"/>
    <w:rsid w:val="00181E83"/>
    <w:rsid w:val="00184491"/>
    <w:rsid w:val="001917FB"/>
    <w:rsid w:val="00192722"/>
    <w:rsid w:val="001979EB"/>
    <w:rsid w:val="001A3736"/>
    <w:rsid w:val="001A69EA"/>
    <w:rsid w:val="001B0CCA"/>
    <w:rsid w:val="001B1015"/>
    <w:rsid w:val="001B3A6A"/>
    <w:rsid w:val="001D5726"/>
    <w:rsid w:val="001D65F1"/>
    <w:rsid w:val="001E2F40"/>
    <w:rsid w:val="001E3226"/>
    <w:rsid w:val="001E4627"/>
    <w:rsid w:val="001E4808"/>
    <w:rsid w:val="001F2F9F"/>
    <w:rsid w:val="001F527A"/>
    <w:rsid w:val="00201D36"/>
    <w:rsid w:val="0020437B"/>
    <w:rsid w:val="00214FA6"/>
    <w:rsid w:val="00220C53"/>
    <w:rsid w:val="0022772F"/>
    <w:rsid w:val="002277EE"/>
    <w:rsid w:val="00233921"/>
    <w:rsid w:val="00245CD3"/>
    <w:rsid w:val="00254CC4"/>
    <w:rsid w:val="00262ABA"/>
    <w:rsid w:val="00266CBB"/>
    <w:rsid w:val="00272AEF"/>
    <w:rsid w:val="00275E3E"/>
    <w:rsid w:val="0027731D"/>
    <w:rsid w:val="0028331F"/>
    <w:rsid w:val="00283FD2"/>
    <w:rsid w:val="00290D30"/>
    <w:rsid w:val="00294393"/>
    <w:rsid w:val="002B2F4A"/>
    <w:rsid w:val="002B4190"/>
    <w:rsid w:val="002C41DE"/>
    <w:rsid w:val="002D6FEE"/>
    <w:rsid w:val="002E1A79"/>
    <w:rsid w:val="002E1C64"/>
    <w:rsid w:val="002E2509"/>
    <w:rsid w:val="002E5B3A"/>
    <w:rsid w:val="002F20F2"/>
    <w:rsid w:val="002F5A63"/>
    <w:rsid w:val="00301A43"/>
    <w:rsid w:val="00302412"/>
    <w:rsid w:val="00306C05"/>
    <w:rsid w:val="00310EC7"/>
    <w:rsid w:val="003120FE"/>
    <w:rsid w:val="003145F9"/>
    <w:rsid w:val="0032567B"/>
    <w:rsid w:val="00326B70"/>
    <w:rsid w:val="003315E2"/>
    <w:rsid w:val="00340879"/>
    <w:rsid w:val="00347B98"/>
    <w:rsid w:val="00347D89"/>
    <w:rsid w:val="00356497"/>
    <w:rsid w:val="00364AA2"/>
    <w:rsid w:val="0036645C"/>
    <w:rsid w:val="0036773C"/>
    <w:rsid w:val="00372ABD"/>
    <w:rsid w:val="00372DDF"/>
    <w:rsid w:val="00373F87"/>
    <w:rsid w:val="00374EE8"/>
    <w:rsid w:val="00387020"/>
    <w:rsid w:val="0039509A"/>
    <w:rsid w:val="003A4FD3"/>
    <w:rsid w:val="003B1DC7"/>
    <w:rsid w:val="003B2359"/>
    <w:rsid w:val="003B2F0B"/>
    <w:rsid w:val="003B4D2B"/>
    <w:rsid w:val="003D1146"/>
    <w:rsid w:val="003D2F19"/>
    <w:rsid w:val="003D7D32"/>
    <w:rsid w:val="003E3DA6"/>
    <w:rsid w:val="003F540B"/>
    <w:rsid w:val="003F6138"/>
    <w:rsid w:val="004024D5"/>
    <w:rsid w:val="0040594C"/>
    <w:rsid w:val="00406CB1"/>
    <w:rsid w:val="004138FD"/>
    <w:rsid w:val="004214E2"/>
    <w:rsid w:val="0045556D"/>
    <w:rsid w:val="004568C4"/>
    <w:rsid w:val="00461A28"/>
    <w:rsid w:val="00463D55"/>
    <w:rsid w:val="00474449"/>
    <w:rsid w:val="004768D7"/>
    <w:rsid w:val="0048024C"/>
    <w:rsid w:val="004859D2"/>
    <w:rsid w:val="00487D39"/>
    <w:rsid w:val="004A59E3"/>
    <w:rsid w:val="004A7628"/>
    <w:rsid w:val="004B0294"/>
    <w:rsid w:val="004B48DA"/>
    <w:rsid w:val="004C3BF6"/>
    <w:rsid w:val="004E2563"/>
    <w:rsid w:val="005029D4"/>
    <w:rsid w:val="00506EA0"/>
    <w:rsid w:val="00530B18"/>
    <w:rsid w:val="00546ACE"/>
    <w:rsid w:val="00546EFB"/>
    <w:rsid w:val="00550D28"/>
    <w:rsid w:val="00566A28"/>
    <w:rsid w:val="005730E5"/>
    <w:rsid w:val="005749D8"/>
    <w:rsid w:val="00581DD8"/>
    <w:rsid w:val="0058259E"/>
    <w:rsid w:val="00585C9C"/>
    <w:rsid w:val="00593C87"/>
    <w:rsid w:val="005A1FB4"/>
    <w:rsid w:val="005A2591"/>
    <w:rsid w:val="005A4C64"/>
    <w:rsid w:val="005B3280"/>
    <w:rsid w:val="005B5269"/>
    <w:rsid w:val="005B6D32"/>
    <w:rsid w:val="005B7EE5"/>
    <w:rsid w:val="005C6FE9"/>
    <w:rsid w:val="005D0F7F"/>
    <w:rsid w:val="005D11D9"/>
    <w:rsid w:val="005E1FEA"/>
    <w:rsid w:val="005E31C2"/>
    <w:rsid w:val="005E6235"/>
    <w:rsid w:val="005E6369"/>
    <w:rsid w:val="005F7C16"/>
    <w:rsid w:val="006005E3"/>
    <w:rsid w:val="006158FF"/>
    <w:rsid w:val="0062243C"/>
    <w:rsid w:val="006226D7"/>
    <w:rsid w:val="00623E51"/>
    <w:rsid w:val="006251C9"/>
    <w:rsid w:val="00630019"/>
    <w:rsid w:val="00632BD8"/>
    <w:rsid w:val="00633F5D"/>
    <w:rsid w:val="00634614"/>
    <w:rsid w:val="00634D22"/>
    <w:rsid w:val="00636951"/>
    <w:rsid w:val="00641CEC"/>
    <w:rsid w:val="00647DEA"/>
    <w:rsid w:val="00650DDF"/>
    <w:rsid w:val="006540A3"/>
    <w:rsid w:val="006548C6"/>
    <w:rsid w:val="00667FC6"/>
    <w:rsid w:val="00675189"/>
    <w:rsid w:val="00676D46"/>
    <w:rsid w:val="006810E0"/>
    <w:rsid w:val="00684CD1"/>
    <w:rsid w:val="00684E36"/>
    <w:rsid w:val="00692007"/>
    <w:rsid w:val="00693F19"/>
    <w:rsid w:val="006A1909"/>
    <w:rsid w:val="006A72DE"/>
    <w:rsid w:val="006C28C5"/>
    <w:rsid w:val="006C7D06"/>
    <w:rsid w:val="006D31AE"/>
    <w:rsid w:val="006F4042"/>
    <w:rsid w:val="00705A99"/>
    <w:rsid w:val="00710C69"/>
    <w:rsid w:val="00712E77"/>
    <w:rsid w:val="0072141D"/>
    <w:rsid w:val="0073090B"/>
    <w:rsid w:val="00730F2E"/>
    <w:rsid w:val="00743C9F"/>
    <w:rsid w:val="007504FD"/>
    <w:rsid w:val="00753DC1"/>
    <w:rsid w:val="00763FFC"/>
    <w:rsid w:val="00764397"/>
    <w:rsid w:val="00767141"/>
    <w:rsid w:val="007A2BCB"/>
    <w:rsid w:val="007A379F"/>
    <w:rsid w:val="007A5908"/>
    <w:rsid w:val="007B0B16"/>
    <w:rsid w:val="007B19CE"/>
    <w:rsid w:val="007C0FBC"/>
    <w:rsid w:val="007D43C2"/>
    <w:rsid w:val="007E05F3"/>
    <w:rsid w:val="007E07B1"/>
    <w:rsid w:val="007E0872"/>
    <w:rsid w:val="007E7FCC"/>
    <w:rsid w:val="007F2BCA"/>
    <w:rsid w:val="007F6243"/>
    <w:rsid w:val="0080194C"/>
    <w:rsid w:val="00807145"/>
    <w:rsid w:val="0081200D"/>
    <w:rsid w:val="00821BC8"/>
    <w:rsid w:val="00826274"/>
    <w:rsid w:val="0083107B"/>
    <w:rsid w:val="00831364"/>
    <w:rsid w:val="00833DD2"/>
    <w:rsid w:val="00837D9B"/>
    <w:rsid w:val="0084425F"/>
    <w:rsid w:val="00867FCE"/>
    <w:rsid w:val="008725B1"/>
    <w:rsid w:val="00874F31"/>
    <w:rsid w:val="00875D73"/>
    <w:rsid w:val="008932E1"/>
    <w:rsid w:val="00894EDA"/>
    <w:rsid w:val="008954D0"/>
    <w:rsid w:val="00897C48"/>
    <w:rsid w:val="008A02F7"/>
    <w:rsid w:val="008A3692"/>
    <w:rsid w:val="008B16AA"/>
    <w:rsid w:val="008C1A80"/>
    <w:rsid w:val="008C1F19"/>
    <w:rsid w:val="008C544B"/>
    <w:rsid w:val="008D0475"/>
    <w:rsid w:val="008D25A0"/>
    <w:rsid w:val="008D3B2C"/>
    <w:rsid w:val="008E15EA"/>
    <w:rsid w:val="008E1A4C"/>
    <w:rsid w:val="00901CA2"/>
    <w:rsid w:val="00903D8F"/>
    <w:rsid w:val="009052BD"/>
    <w:rsid w:val="0091114E"/>
    <w:rsid w:val="0091240E"/>
    <w:rsid w:val="00916EA9"/>
    <w:rsid w:val="00927BFB"/>
    <w:rsid w:val="00934F03"/>
    <w:rsid w:val="009351CA"/>
    <w:rsid w:val="00935C6A"/>
    <w:rsid w:val="00950283"/>
    <w:rsid w:val="0095533D"/>
    <w:rsid w:val="00955BBB"/>
    <w:rsid w:val="00957A40"/>
    <w:rsid w:val="009632BC"/>
    <w:rsid w:val="00967AD3"/>
    <w:rsid w:val="009703FB"/>
    <w:rsid w:val="00970E9C"/>
    <w:rsid w:val="0097586A"/>
    <w:rsid w:val="00976C39"/>
    <w:rsid w:val="00987E9E"/>
    <w:rsid w:val="00990C40"/>
    <w:rsid w:val="00994F76"/>
    <w:rsid w:val="0099552A"/>
    <w:rsid w:val="0099679F"/>
    <w:rsid w:val="009A0EBE"/>
    <w:rsid w:val="009D5DB3"/>
    <w:rsid w:val="009E432F"/>
    <w:rsid w:val="009F3513"/>
    <w:rsid w:val="00A02452"/>
    <w:rsid w:val="00A06180"/>
    <w:rsid w:val="00A13470"/>
    <w:rsid w:val="00A14C98"/>
    <w:rsid w:val="00A21141"/>
    <w:rsid w:val="00A2777B"/>
    <w:rsid w:val="00A31A81"/>
    <w:rsid w:val="00A37477"/>
    <w:rsid w:val="00A44173"/>
    <w:rsid w:val="00A44957"/>
    <w:rsid w:val="00A45175"/>
    <w:rsid w:val="00A610CC"/>
    <w:rsid w:val="00A634CE"/>
    <w:rsid w:val="00A63666"/>
    <w:rsid w:val="00A661E7"/>
    <w:rsid w:val="00A67F55"/>
    <w:rsid w:val="00A70934"/>
    <w:rsid w:val="00A77D5A"/>
    <w:rsid w:val="00A8122B"/>
    <w:rsid w:val="00A86719"/>
    <w:rsid w:val="00A87061"/>
    <w:rsid w:val="00AA15AE"/>
    <w:rsid w:val="00AB131D"/>
    <w:rsid w:val="00AB4424"/>
    <w:rsid w:val="00AB4FDF"/>
    <w:rsid w:val="00AB6C73"/>
    <w:rsid w:val="00AC57E4"/>
    <w:rsid w:val="00AC63E6"/>
    <w:rsid w:val="00AD4283"/>
    <w:rsid w:val="00AD60C3"/>
    <w:rsid w:val="00AE2D20"/>
    <w:rsid w:val="00AE6B08"/>
    <w:rsid w:val="00AF78B1"/>
    <w:rsid w:val="00AF78E0"/>
    <w:rsid w:val="00B01D76"/>
    <w:rsid w:val="00B17244"/>
    <w:rsid w:val="00B24B0F"/>
    <w:rsid w:val="00B26CDD"/>
    <w:rsid w:val="00B278AE"/>
    <w:rsid w:val="00B3158E"/>
    <w:rsid w:val="00B35A83"/>
    <w:rsid w:val="00B415AB"/>
    <w:rsid w:val="00B46034"/>
    <w:rsid w:val="00B53402"/>
    <w:rsid w:val="00B54556"/>
    <w:rsid w:val="00B55C89"/>
    <w:rsid w:val="00B64E5E"/>
    <w:rsid w:val="00B6506E"/>
    <w:rsid w:val="00B74E99"/>
    <w:rsid w:val="00B76684"/>
    <w:rsid w:val="00B81CC5"/>
    <w:rsid w:val="00B84D49"/>
    <w:rsid w:val="00BB15C4"/>
    <w:rsid w:val="00BB305A"/>
    <w:rsid w:val="00BB4885"/>
    <w:rsid w:val="00BB4BE0"/>
    <w:rsid w:val="00BC0942"/>
    <w:rsid w:val="00BC3209"/>
    <w:rsid w:val="00BC4CBF"/>
    <w:rsid w:val="00BD6E60"/>
    <w:rsid w:val="00BD79B4"/>
    <w:rsid w:val="00BE1B10"/>
    <w:rsid w:val="00BE3351"/>
    <w:rsid w:val="00BE7152"/>
    <w:rsid w:val="00BE74EC"/>
    <w:rsid w:val="00C04057"/>
    <w:rsid w:val="00C1748B"/>
    <w:rsid w:val="00C2036E"/>
    <w:rsid w:val="00C32EEA"/>
    <w:rsid w:val="00C36949"/>
    <w:rsid w:val="00C44674"/>
    <w:rsid w:val="00C501CD"/>
    <w:rsid w:val="00C55F73"/>
    <w:rsid w:val="00C609DC"/>
    <w:rsid w:val="00C75708"/>
    <w:rsid w:val="00C8162E"/>
    <w:rsid w:val="00C86074"/>
    <w:rsid w:val="00C87629"/>
    <w:rsid w:val="00C87D8B"/>
    <w:rsid w:val="00CA36B6"/>
    <w:rsid w:val="00CA7830"/>
    <w:rsid w:val="00CB080E"/>
    <w:rsid w:val="00CB1D0E"/>
    <w:rsid w:val="00CB5D7E"/>
    <w:rsid w:val="00CD31F8"/>
    <w:rsid w:val="00CD3613"/>
    <w:rsid w:val="00CD6D5A"/>
    <w:rsid w:val="00CD6DEF"/>
    <w:rsid w:val="00CE3A06"/>
    <w:rsid w:val="00CE3AB4"/>
    <w:rsid w:val="00CF317D"/>
    <w:rsid w:val="00D0256A"/>
    <w:rsid w:val="00D10066"/>
    <w:rsid w:val="00D12B67"/>
    <w:rsid w:val="00D230EF"/>
    <w:rsid w:val="00D24BCB"/>
    <w:rsid w:val="00D256BC"/>
    <w:rsid w:val="00D32EA4"/>
    <w:rsid w:val="00D34728"/>
    <w:rsid w:val="00D369E2"/>
    <w:rsid w:val="00D40B00"/>
    <w:rsid w:val="00D5750A"/>
    <w:rsid w:val="00D70825"/>
    <w:rsid w:val="00D71A9C"/>
    <w:rsid w:val="00D778BE"/>
    <w:rsid w:val="00D77E59"/>
    <w:rsid w:val="00D8148B"/>
    <w:rsid w:val="00D92CD7"/>
    <w:rsid w:val="00D95A7D"/>
    <w:rsid w:val="00D97670"/>
    <w:rsid w:val="00DA17B4"/>
    <w:rsid w:val="00DA6672"/>
    <w:rsid w:val="00DA6719"/>
    <w:rsid w:val="00DA78C3"/>
    <w:rsid w:val="00DB622B"/>
    <w:rsid w:val="00DB7891"/>
    <w:rsid w:val="00DD1AB8"/>
    <w:rsid w:val="00DD3AEF"/>
    <w:rsid w:val="00DE0023"/>
    <w:rsid w:val="00DE4733"/>
    <w:rsid w:val="00DE7191"/>
    <w:rsid w:val="00DF15C7"/>
    <w:rsid w:val="00E001DB"/>
    <w:rsid w:val="00E0349F"/>
    <w:rsid w:val="00E079E6"/>
    <w:rsid w:val="00E120F2"/>
    <w:rsid w:val="00E1587A"/>
    <w:rsid w:val="00E16148"/>
    <w:rsid w:val="00E30159"/>
    <w:rsid w:val="00E34080"/>
    <w:rsid w:val="00E34371"/>
    <w:rsid w:val="00E34596"/>
    <w:rsid w:val="00E37803"/>
    <w:rsid w:val="00E57F77"/>
    <w:rsid w:val="00E60F4A"/>
    <w:rsid w:val="00E62543"/>
    <w:rsid w:val="00E709D5"/>
    <w:rsid w:val="00E74C6E"/>
    <w:rsid w:val="00E76A7D"/>
    <w:rsid w:val="00E82EB7"/>
    <w:rsid w:val="00E84DB1"/>
    <w:rsid w:val="00EA021E"/>
    <w:rsid w:val="00EA29C3"/>
    <w:rsid w:val="00EA2C34"/>
    <w:rsid w:val="00EB61C6"/>
    <w:rsid w:val="00EC1DDB"/>
    <w:rsid w:val="00ED0E21"/>
    <w:rsid w:val="00ED3C36"/>
    <w:rsid w:val="00EE2A7B"/>
    <w:rsid w:val="00EE4E1E"/>
    <w:rsid w:val="00F11B4A"/>
    <w:rsid w:val="00F12ED3"/>
    <w:rsid w:val="00F16A68"/>
    <w:rsid w:val="00F3014B"/>
    <w:rsid w:val="00F33529"/>
    <w:rsid w:val="00F410CD"/>
    <w:rsid w:val="00F52235"/>
    <w:rsid w:val="00F52F37"/>
    <w:rsid w:val="00F55026"/>
    <w:rsid w:val="00F5582B"/>
    <w:rsid w:val="00F670CF"/>
    <w:rsid w:val="00F71EB0"/>
    <w:rsid w:val="00F836D8"/>
    <w:rsid w:val="00F86FBE"/>
    <w:rsid w:val="00F90001"/>
    <w:rsid w:val="00F911B4"/>
    <w:rsid w:val="00F95416"/>
    <w:rsid w:val="00FA05D0"/>
    <w:rsid w:val="00FA5CA7"/>
    <w:rsid w:val="00FB2954"/>
    <w:rsid w:val="00FB3A84"/>
    <w:rsid w:val="00FC4CB5"/>
    <w:rsid w:val="00FD154B"/>
    <w:rsid w:val="00FD3BB2"/>
    <w:rsid w:val="00FF25F3"/>
    <w:rsid w:val="00FF4F04"/>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58E7"/>
  <w15:chartTrackingRefBased/>
  <w15:docId w15:val="{7B2C5BB4-FC3A-4559-B4D3-879F8FB3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01D76"/>
    <w:pPr>
      <w:spacing w:after="0" w:line="240" w:lineRule="auto"/>
    </w:pPr>
    <w:rPr>
      <w:sz w:val="20"/>
      <w:szCs w:val="20"/>
    </w:rPr>
  </w:style>
  <w:style w:type="character" w:customStyle="1" w:styleId="FootnoteTextChar">
    <w:name w:val="Footnote Text Char"/>
    <w:basedOn w:val="DefaultParagraphFont"/>
    <w:link w:val="FootnoteText"/>
    <w:uiPriority w:val="99"/>
    <w:rsid w:val="00B01D76"/>
    <w:rPr>
      <w:sz w:val="20"/>
      <w:szCs w:val="20"/>
    </w:rPr>
  </w:style>
  <w:style w:type="character" w:styleId="FootnoteReference">
    <w:name w:val="footnote reference"/>
    <w:basedOn w:val="DefaultParagraphFont"/>
    <w:uiPriority w:val="99"/>
    <w:semiHidden/>
    <w:unhideWhenUsed/>
    <w:rsid w:val="00B01D76"/>
    <w:rPr>
      <w:vertAlign w:val="superscript"/>
    </w:rPr>
  </w:style>
  <w:style w:type="paragraph" w:styleId="ListParagraph">
    <w:name w:val="List Paragraph"/>
    <w:basedOn w:val="Normal"/>
    <w:uiPriority w:val="34"/>
    <w:qFormat/>
    <w:rsid w:val="00DF15C7"/>
    <w:pPr>
      <w:ind w:left="720"/>
      <w:contextualSpacing/>
    </w:pPr>
  </w:style>
  <w:style w:type="paragraph" w:styleId="Header">
    <w:name w:val="header"/>
    <w:basedOn w:val="Normal"/>
    <w:link w:val="HeaderChar"/>
    <w:uiPriority w:val="99"/>
    <w:unhideWhenUsed/>
    <w:rsid w:val="00201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D36"/>
  </w:style>
  <w:style w:type="paragraph" w:styleId="Footer">
    <w:name w:val="footer"/>
    <w:basedOn w:val="Normal"/>
    <w:link w:val="FooterChar"/>
    <w:uiPriority w:val="99"/>
    <w:unhideWhenUsed/>
    <w:rsid w:val="00201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D36"/>
  </w:style>
  <w:style w:type="paragraph" w:styleId="BodyText">
    <w:name w:val="Body Text"/>
    <w:basedOn w:val="Normal"/>
    <w:link w:val="BodyTextChar"/>
    <w:rsid w:val="00E30159"/>
    <w:pPr>
      <w:spacing w:after="24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30159"/>
    <w:rPr>
      <w:rFonts w:ascii="Times New Roman" w:eastAsia="Times New Roman" w:hAnsi="Times New Roman" w:cs="Times New Roman"/>
      <w:sz w:val="24"/>
      <w:szCs w:val="20"/>
    </w:rPr>
  </w:style>
  <w:style w:type="paragraph" w:customStyle="1" w:styleId="OutlineL1">
    <w:name w:val="Outline_L1"/>
    <w:basedOn w:val="Normal"/>
    <w:next w:val="BodyText"/>
    <w:rsid w:val="00E30159"/>
    <w:pPr>
      <w:numPr>
        <w:numId w:val="5"/>
      </w:numPr>
      <w:tabs>
        <w:tab w:val="left" w:pos="720"/>
      </w:tabs>
      <w:spacing w:after="240" w:line="240" w:lineRule="auto"/>
      <w:outlineLvl w:val="0"/>
    </w:pPr>
    <w:rPr>
      <w:rFonts w:ascii="Times New Roman Bold" w:eastAsia="Times New Roman" w:hAnsi="Times New Roman Bold" w:cs="Times New Roman"/>
      <w:b/>
      <w:szCs w:val="20"/>
      <w:u w:val="single"/>
    </w:rPr>
  </w:style>
  <w:style w:type="paragraph" w:customStyle="1" w:styleId="OutlineL2">
    <w:name w:val="Outline_L2"/>
    <w:basedOn w:val="OutlineL1"/>
    <w:next w:val="BodyText"/>
    <w:rsid w:val="00E30159"/>
    <w:pPr>
      <w:numPr>
        <w:ilvl w:val="1"/>
      </w:numPr>
      <w:outlineLvl w:val="1"/>
    </w:pPr>
  </w:style>
  <w:style w:type="paragraph" w:customStyle="1" w:styleId="OutlineL3">
    <w:name w:val="Outline_L3"/>
    <w:basedOn w:val="OutlineL2"/>
    <w:next w:val="BodyText"/>
    <w:link w:val="OutlineL3Char"/>
    <w:rsid w:val="00E30159"/>
    <w:pPr>
      <w:numPr>
        <w:ilvl w:val="0"/>
        <w:numId w:val="0"/>
      </w:numPr>
      <w:tabs>
        <w:tab w:val="clear" w:pos="720"/>
      </w:tabs>
      <w:outlineLvl w:val="2"/>
    </w:pPr>
    <w:rPr>
      <w:rFonts w:ascii="Times New Roman" w:hAnsi="Times New Roman"/>
      <w:b w:val="0"/>
      <w:u w:val="none"/>
    </w:rPr>
  </w:style>
  <w:style w:type="character" w:customStyle="1" w:styleId="OutlineL3Char">
    <w:name w:val="Outline_L3 Char"/>
    <w:basedOn w:val="DefaultParagraphFont"/>
    <w:link w:val="OutlineL3"/>
    <w:rsid w:val="00E30159"/>
    <w:rPr>
      <w:rFonts w:ascii="Times New Roman" w:eastAsia="Times New Roman" w:hAnsi="Times New Roman" w:cs="Times New Roman"/>
      <w:sz w:val="24"/>
      <w:szCs w:val="20"/>
    </w:rPr>
  </w:style>
  <w:style w:type="paragraph" w:customStyle="1" w:styleId="OutlineL4">
    <w:name w:val="Outline_L4"/>
    <w:basedOn w:val="OutlineL3"/>
    <w:next w:val="BodyText"/>
    <w:rsid w:val="00E30159"/>
    <w:pPr>
      <w:numPr>
        <w:ilvl w:val="3"/>
        <w:numId w:val="5"/>
      </w:numPr>
      <w:tabs>
        <w:tab w:val="clear" w:pos="1440"/>
        <w:tab w:val="num" w:pos="360"/>
      </w:tabs>
      <w:ind w:left="0" w:firstLine="0"/>
      <w:jc w:val="both"/>
      <w:outlineLvl w:val="3"/>
    </w:pPr>
  </w:style>
  <w:style w:type="paragraph" w:customStyle="1" w:styleId="OutlineL5">
    <w:name w:val="Outline_L5"/>
    <w:basedOn w:val="OutlineL4"/>
    <w:next w:val="BodyText"/>
    <w:rsid w:val="00E30159"/>
    <w:pPr>
      <w:numPr>
        <w:ilvl w:val="4"/>
      </w:numPr>
      <w:tabs>
        <w:tab w:val="clear" w:pos="1800"/>
        <w:tab w:val="num" w:pos="360"/>
        <w:tab w:val="left" w:pos="720"/>
      </w:tabs>
      <w:outlineLvl w:val="4"/>
    </w:pPr>
  </w:style>
  <w:style w:type="paragraph" w:customStyle="1" w:styleId="OutlineL6">
    <w:name w:val="Outline_L6"/>
    <w:basedOn w:val="OutlineL5"/>
    <w:next w:val="BodyText"/>
    <w:rsid w:val="00E30159"/>
    <w:pPr>
      <w:numPr>
        <w:ilvl w:val="5"/>
      </w:numPr>
      <w:tabs>
        <w:tab w:val="clear" w:pos="4328"/>
        <w:tab w:val="num" w:pos="360"/>
      </w:tabs>
      <w:outlineLvl w:val="5"/>
    </w:pPr>
  </w:style>
  <w:style w:type="paragraph" w:customStyle="1" w:styleId="OutlineL7">
    <w:name w:val="Outline_L7"/>
    <w:basedOn w:val="OutlineL6"/>
    <w:next w:val="BodyText"/>
    <w:rsid w:val="00E30159"/>
    <w:pPr>
      <w:numPr>
        <w:ilvl w:val="6"/>
      </w:numPr>
      <w:tabs>
        <w:tab w:val="clear" w:pos="5048"/>
        <w:tab w:val="num" w:pos="360"/>
      </w:tabs>
      <w:outlineLvl w:val="6"/>
    </w:pPr>
  </w:style>
  <w:style w:type="paragraph" w:customStyle="1" w:styleId="OutlineL8">
    <w:name w:val="Outline_L8"/>
    <w:basedOn w:val="OutlineL7"/>
    <w:next w:val="BodyText"/>
    <w:rsid w:val="00E30159"/>
    <w:pPr>
      <w:numPr>
        <w:ilvl w:val="7"/>
      </w:numPr>
      <w:tabs>
        <w:tab w:val="clear" w:pos="5768"/>
        <w:tab w:val="num" w:pos="360"/>
      </w:tabs>
      <w:outlineLvl w:val="7"/>
    </w:pPr>
  </w:style>
  <w:style w:type="paragraph" w:customStyle="1" w:styleId="OutlineL9">
    <w:name w:val="Outline_L9"/>
    <w:basedOn w:val="OutlineL8"/>
    <w:next w:val="BodyText"/>
    <w:rsid w:val="00E30159"/>
    <w:pPr>
      <w:numPr>
        <w:ilvl w:val="8"/>
      </w:numPr>
      <w:tabs>
        <w:tab w:val="clear" w:pos="6488"/>
        <w:tab w:val="num" w:pos="360"/>
      </w:tabs>
      <w:outlineLvl w:val="8"/>
    </w:pPr>
  </w:style>
  <w:style w:type="paragraph" w:styleId="Title">
    <w:name w:val="Title"/>
    <w:basedOn w:val="Normal"/>
    <w:next w:val="BodyText"/>
    <w:link w:val="TitleChar"/>
    <w:qFormat/>
    <w:rsid w:val="003A4FD3"/>
    <w:pPr>
      <w:spacing w:after="1680" w:line="240" w:lineRule="auto"/>
      <w:jc w:val="center"/>
      <w:outlineLvl w:val="0"/>
    </w:pPr>
    <w:rPr>
      <w:rFonts w:ascii="Times New Roman Bold" w:eastAsia="Times New Roman" w:hAnsi="Times New Roman Bold" w:cs="Arial"/>
      <w:b/>
      <w:bCs/>
      <w:kern w:val="28"/>
      <w:sz w:val="36"/>
    </w:rPr>
  </w:style>
  <w:style w:type="character" w:customStyle="1" w:styleId="TitleChar">
    <w:name w:val="Title Char"/>
    <w:basedOn w:val="DefaultParagraphFont"/>
    <w:link w:val="Title"/>
    <w:rsid w:val="003A4FD3"/>
    <w:rPr>
      <w:rFonts w:ascii="Times New Roman Bold" w:eastAsia="Times New Roman" w:hAnsi="Times New Roman Bold" w:cs="Arial"/>
      <w:b/>
      <w:bCs/>
      <w:kern w:val="28"/>
      <w:sz w:val="36"/>
      <w:szCs w:val="24"/>
    </w:rPr>
  </w:style>
  <w:style w:type="paragraph" w:customStyle="1" w:styleId="StandardL1">
    <w:name w:val="Standard_L1"/>
    <w:basedOn w:val="Normal"/>
    <w:next w:val="BodyText"/>
    <w:rsid w:val="0048024C"/>
    <w:pPr>
      <w:keepNext/>
      <w:numPr>
        <w:numId w:val="6"/>
      </w:numPr>
      <w:spacing w:after="240" w:line="240" w:lineRule="auto"/>
      <w:outlineLvl w:val="0"/>
    </w:pPr>
    <w:rPr>
      <w:rFonts w:ascii="Times New Roman" w:eastAsia="Times New Roman" w:hAnsi="Times New Roman" w:cs="Times New Roman"/>
      <w:szCs w:val="20"/>
    </w:rPr>
  </w:style>
  <w:style w:type="paragraph" w:customStyle="1" w:styleId="StandardL2">
    <w:name w:val="Standard_L2"/>
    <w:basedOn w:val="StandardL1"/>
    <w:next w:val="BodyText"/>
    <w:link w:val="StandardL2Char"/>
    <w:uiPriority w:val="99"/>
    <w:rsid w:val="0048024C"/>
    <w:pPr>
      <w:keepNext w:val="0"/>
      <w:numPr>
        <w:ilvl w:val="1"/>
      </w:numPr>
      <w:jc w:val="both"/>
      <w:outlineLvl w:val="1"/>
    </w:pPr>
  </w:style>
  <w:style w:type="character" w:customStyle="1" w:styleId="StandardL2Char">
    <w:name w:val="Standard_L2 Char"/>
    <w:basedOn w:val="DefaultParagraphFont"/>
    <w:link w:val="StandardL2"/>
    <w:uiPriority w:val="99"/>
    <w:rsid w:val="0048024C"/>
    <w:rPr>
      <w:rFonts w:ascii="Times New Roman" w:eastAsia="Times New Roman" w:hAnsi="Times New Roman" w:cs="Times New Roman"/>
      <w:sz w:val="24"/>
      <w:szCs w:val="20"/>
    </w:rPr>
  </w:style>
  <w:style w:type="paragraph" w:customStyle="1" w:styleId="StandardL3">
    <w:name w:val="Standard_L3"/>
    <w:basedOn w:val="StandardL2"/>
    <w:next w:val="BodyText"/>
    <w:uiPriority w:val="99"/>
    <w:rsid w:val="0048024C"/>
    <w:pPr>
      <w:numPr>
        <w:ilvl w:val="2"/>
      </w:numPr>
      <w:tabs>
        <w:tab w:val="clear" w:pos="2250"/>
        <w:tab w:val="num" w:pos="728"/>
      </w:tabs>
      <w:ind w:left="728"/>
      <w:outlineLvl w:val="2"/>
    </w:pPr>
  </w:style>
  <w:style w:type="paragraph" w:customStyle="1" w:styleId="StandardL4">
    <w:name w:val="Standard_L4"/>
    <w:basedOn w:val="StandardL3"/>
    <w:next w:val="BodyText"/>
    <w:uiPriority w:val="99"/>
    <w:rsid w:val="0048024C"/>
    <w:pPr>
      <w:numPr>
        <w:ilvl w:val="3"/>
      </w:numPr>
      <w:tabs>
        <w:tab w:val="clear" w:pos="2880"/>
        <w:tab w:val="num" w:pos="728"/>
      </w:tabs>
      <w:ind w:left="728" w:hanging="720"/>
      <w:jc w:val="left"/>
      <w:outlineLvl w:val="3"/>
    </w:pPr>
  </w:style>
  <w:style w:type="paragraph" w:customStyle="1" w:styleId="StandardL5">
    <w:name w:val="Standard_L5"/>
    <w:basedOn w:val="StandardL4"/>
    <w:next w:val="BodyText"/>
    <w:uiPriority w:val="99"/>
    <w:rsid w:val="0048024C"/>
    <w:pPr>
      <w:numPr>
        <w:ilvl w:val="4"/>
      </w:numPr>
      <w:tabs>
        <w:tab w:val="clear" w:pos="3600"/>
        <w:tab w:val="num" w:pos="1800"/>
      </w:tabs>
      <w:ind w:left="360" w:firstLine="720"/>
      <w:outlineLvl w:val="4"/>
    </w:pPr>
  </w:style>
  <w:style w:type="paragraph" w:customStyle="1" w:styleId="StandardL6">
    <w:name w:val="Standard_L6"/>
    <w:basedOn w:val="StandardL5"/>
    <w:next w:val="BodyText"/>
    <w:uiPriority w:val="99"/>
    <w:rsid w:val="0048024C"/>
    <w:pPr>
      <w:numPr>
        <w:ilvl w:val="5"/>
      </w:numPr>
      <w:tabs>
        <w:tab w:val="clear" w:pos="4320"/>
        <w:tab w:val="num" w:pos="4328"/>
      </w:tabs>
      <w:ind w:left="8"/>
      <w:outlineLvl w:val="5"/>
    </w:pPr>
  </w:style>
  <w:style w:type="paragraph" w:customStyle="1" w:styleId="StandardL7">
    <w:name w:val="Standard_L7"/>
    <w:basedOn w:val="StandardL6"/>
    <w:next w:val="BodyText"/>
    <w:uiPriority w:val="99"/>
    <w:rsid w:val="0048024C"/>
    <w:pPr>
      <w:numPr>
        <w:ilvl w:val="6"/>
      </w:numPr>
      <w:tabs>
        <w:tab w:val="clear" w:pos="5040"/>
        <w:tab w:val="num" w:pos="5048"/>
      </w:tabs>
      <w:ind w:left="8"/>
      <w:outlineLvl w:val="6"/>
    </w:pPr>
  </w:style>
  <w:style w:type="paragraph" w:customStyle="1" w:styleId="StandardL8">
    <w:name w:val="Standard_L8"/>
    <w:basedOn w:val="StandardL7"/>
    <w:next w:val="BodyText"/>
    <w:uiPriority w:val="99"/>
    <w:rsid w:val="0048024C"/>
    <w:pPr>
      <w:numPr>
        <w:ilvl w:val="7"/>
      </w:numPr>
      <w:tabs>
        <w:tab w:val="clear" w:pos="5760"/>
        <w:tab w:val="num" w:pos="5768"/>
      </w:tabs>
      <w:ind w:left="8"/>
      <w:outlineLvl w:val="7"/>
    </w:pPr>
  </w:style>
  <w:style w:type="paragraph" w:customStyle="1" w:styleId="StandardL9">
    <w:name w:val="Standard_L9"/>
    <w:basedOn w:val="StandardL8"/>
    <w:next w:val="BodyText"/>
    <w:uiPriority w:val="99"/>
    <w:rsid w:val="0048024C"/>
    <w:pPr>
      <w:numPr>
        <w:ilvl w:val="8"/>
      </w:numPr>
      <w:tabs>
        <w:tab w:val="clear" w:pos="6480"/>
        <w:tab w:val="num" w:pos="6488"/>
      </w:tabs>
      <w:ind w:left="8"/>
      <w:outlineLvl w:val="8"/>
    </w:pPr>
  </w:style>
  <w:style w:type="character" w:styleId="CommentReference">
    <w:name w:val="annotation reference"/>
    <w:basedOn w:val="DefaultParagraphFont"/>
    <w:uiPriority w:val="99"/>
    <w:semiHidden/>
    <w:unhideWhenUsed/>
    <w:rsid w:val="00B3158E"/>
    <w:rPr>
      <w:sz w:val="16"/>
      <w:szCs w:val="16"/>
    </w:rPr>
  </w:style>
  <w:style w:type="paragraph" w:styleId="CommentText">
    <w:name w:val="annotation text"/>
    <w:basedOn w:val="Normal"/>
    <w:link w:val="CommentTextChar"/>
    <w:uiPriority w:val="99"/>
    <w:semiHidden/>
    <w:unhideWhenUsed/>
    <w:rsid w:val="00B3158E"/>
    <w:pPr>
      <w:spacing w:line="240" w:lineRule="auto"/>
    </w:pPr>
    <w:rPr>
      <w:sz w:val="20"/>
      <w:szCs w:val="20"/>
    </w:rPr>
  </w:style>
  <w:style w:type="character" w:customStyle="1" w:styleId="CommentTextChar">
    <w:name w:val="Comment Text Char"/>
    <w:basedOn w:val="DefaultParagraphFont"/>
    <w:link w:val="CommentText"/>
    <w:uiPriority w:val="99"/>
    <w:semiHidden/>
    <w:rsid w:val="00B3158E"/>
    <w:rPr>
      <w:sz w:val="20"/>
      <w:szCs w:val="20"/>
    </w:rPr>
  </w:style>
  <w:style w:type="paragraph" w:styleId="CommentSubject">
    <w:name w:val="annotation subject"/>
    <w:basedOn w:val="CommentText"/>
    <w:next w:val="CommentText"/>
    <w:link w:val="CommentSubjectChar"/>
    <w:uiPriority w:val="99"/>
    <w:semiHidden/>
    <w:unhideWhenUsed/>
    <w:rsid w:val="00B3158E"/>
    <w:rPr>
      <w:b/>
      <w:bCs/>
    </w:rPr>
  </w:style>
  <w:style w:type="character" w:customStyle="1" w:styleId="CommentSubjectChar">
    <w:name w:val="Comment Subject Char"/>
    <w:basedOn w:val="CommentTextChar"/>
    <w:link w:val="CommentSubject"/>
    <w:uiPriority w:val="99"/>
    <w:semiHidden/>
    <w:rsid w:val="00B3158E"/>
    <w:rPr>
      <w:b/>
      <w:bCs/>
      <w:sz w:val="20"/>
      <w:szCs w:val="20"/>
    </w:rPr>
  </w:style>
  <w:style w:type="paragraph" w:styleId="BalloonText">
    <w:name w:val="Balloon Text"/>
    <w:basedOn w:val="Normal"/>
    <w:link w:val="BalloonTextChar"/>
    <w:uiPriority w:val="99"/>
    <w:semiHidden/>
    <w:unhideWhenUsed/>
    <w:rsid w:val="00B3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8E"/>
    <w:rPr>
      <w:rFonts w:ascii="Segoe UI" w:hAnsi="Segoe UI" w:cs="Segoe UI"/>
      <w:sz w:val="18"/>
      <w:szCs w:val="18"/>
    </w:rPr>
  </w:style>
  <w:style w:type="paragraph" w:styleId="NormalWeb">
    <w:name w:val="Normal (Web)"/>
    <w:basedOn w:val="Normal"/>
    <w:uiPriority w:val="99"/>
    <w:semiHidden/>
    <w:unhideWhenUsed/>
    <w:rsid w:val="00AD4283"/>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AD4283"/>
    <w:rPr>
      <w:color w:val="0563C1" w:themeColor="hyperlink"/>
      <w:u w:val="single"/>
    </w:rPr>
  </w:style>
  <w:style w:type="character" w:styleId="UnresolvedMention">
    <w:name w:val="Unresolved Mention"/>
    <w:basedOn w:val="DefaultParagraphFont"/>
    <w:uiPriority w:val="99"/>
    <w:semiHidden/>
    <w:unhideWhenUsed/>
    <w:rsid w:val="00AD4283"/>
    <w:rPr>
      <w:color w:val="605E5C"/>
      <w:shd w:val="clear" w:color="auto" w:fill="E1DFDD"/>
    </w:rPr>
  </w:style>
  <w:style w:type="paragraph" w:customStyle="1" w:styleId="selectionshareable">
    <w:name w:val="selectionshareable"/>
    <w:basedOn w:val="Normal"/>
    <w:rsid w:val="0009216C"/>
    <w:pPr>
      <w:spacing w:before="100" w:beforeAutospacing="1" w:after="100" w:afterAutospacing="1" w:line="240" w:lineRule="auto"/>
    </w:pPr>
    <w:rPr>
      <w:rFonts w:ascii="Times New Roman" w:eastAsia="Times New Roman" w:hAnsi="Times New Roman" w:cs="Times New Roman"/>
    </w:rPr>
  </w:style>
  <w:style w:type="character" w:customStyle="1" w:styleId="cosearchterm">
    <w:name w:val="co_searchterm"/>
    <w:basedOn w:val="DefaultParagraphFont"/>
    <w:rsid w:val="00A13470"/>
  </w:style>
  <w:style w:type="paragraph" w:styleId="EndnoteText">
    <w:name w:val="endnote text"/>
    <w:basedOn w:val="Normal"/>
    <w:link w:val="EndnoteTextChar"/>
    <w:uiPriority w:val="99"/>
    <w:semiHidden/>
    <w:unhideWhenUsed/>
    <w:rsid w:val="002773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31D"/>
    <w:rPr>
      <w:sz w:val="20"/>
      <w:szCs w:val="20"/>
    </w:rPr>
  </w:style>
  <w:style w:type="character" w:styleId="EndnoteReference">
    <w:name w:val="endnote reference"/>
    <w:basedOn w:val="DefaultParagraphFont"/>
    <w:uiPriority w:val="99"/>
    <w:semiHidden/>
    <w:unhideWhenUsed/>
    <w:rsid w:val="0027731D"/>
    <w:rPr>
      <w:vertAlign w:val="superscript"/>
    </w:rPr>
  </w:style>
  <w:style w:type="character" w:styleId="PlaceholderText">
    <w:name w:val="Placeholder Text"/>
    <w:basedOn w:val="DefaultParagraphFont"/>
    <w:uiPriority w:val="99"/>
    <w:semiHidden/>
    <w:rsid w:val="00875D73"/>
    <w:rPr>
      <w:color w:val="808080"/>
    </w:rPr>
  </w:style>
  <w:style w:type="paragraph" w:styleId="NoSpacing">
    <w:name w:val="No Spacing"/>
    <w:uiPriority w:val="1"/>
    <w:qFormat/>
    <w:rsid w:val="00FA0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9330">
      <w:bodyDiv w:val="1"/>
      <w:marLeft w:val="0"/>
      <w:marRight w:val="0"/>
      <w:marTop w:val="0"/>
      <w:marBottom w:val="0"/>
      <w:divBdr>
        <w:top w:val="none" w:sz="0" w:space="0" w:color="auto"/>
        <w:left w:val="none" w:sz="0" w:space="0" w:color="auto"/>
        <w:bottom w:val="none" w:sz="0" w:space="0" w:color="auto"/>
        <w:right w:val="none" w:sz="0" w:space="0" w:color="auto"/>
      </w:divBdr>
    </w:div>
    <w:div w:id="464272753">
      <w:bodyDiv w:val="1"/>
      <w:marLeft w:val="0"/>
      <w:marRight w:val="0"/>
      <w:marTop w:val="0"/>
      <w:marBottom w:val="0"/>
      <w:divBdr>
        <w:top w:val="none" w:sz="0" w:space="0" w:color="auto"/>
        <w:left w:val="none" w:sz="0" w:space="0" w:color="auto"/>
        <w:bottom w:val="none" w:sz="0" w:space="0" w:color="auto"/>
        <w:right w:val="none" w:sz="0" w:space="0" w:color="auto"/>
      </w:divBdr>
    </w:div>
    <w:div w:id="630014015">
      <w:bodyDiv w:val="1"/>
      <w:marLeft w:val="0"/>
      <w:marRight w:val="0"/>
      <w:marTop w:val="0"/>
      <w:marBottom w:val="0"/>
      <w:divBdr>
        <w:top w:val="none" w:sz="0" w:space="0" w:color="auto"/>
        <w:left w:val="none" w:sz="0" w:space="0" w:color="auto"/>
        <w:bottom w:val="none" w:sz="0" w:space="0" w:color="auto"/>
        <w:right w:val="none" w:sz="0" w:space="0" w:color="auto"/>
      </w:divBdr>
    </w:div>
    <w:div w:id="1269241691">
      <w:bodyDiv w:val="1"/>
      <w:marLeft w:val="0"/>
      <w:marRight w:val="0"/>
      <w:marTop w:val="0"/>
      <w:marBottom w:val="0"/>
      <w:divBdr>
        <w:top w:val="none" w:sz="0" w:space="0" w:color="auto"/>
        <w:left w:val="none" w:sz="0" w:space="0" w:color="auto"/>
        <w:bottom w:val="none" w:sz="0" w:space="0" w:color="auto"/>
        <w:right w:val="none" w:sz="0" w:space="0" w:color="auto"/>
      </w:divBdr>
    </w:div>
    <w:div w:id="1970431913">
      <w:bodyDiv w:val="1"/>
      <w:marLeft w:val="0"/>
      <w:marRight w:val="0"/>
      <w:marTop w:val="0"/>
      <w:marBottom w:val="0"/>
      <w:divBdr>
        <w:top w:val="none" w:sz="0" w:space="0" w:color="auto"/>
        <w:left w:val="none" w:sz="0" w:space="0" w:color="auto"/>
        <w:bottom w:val="none" w:sz="0" w:space="0" w:color="auto"/>
        <w:right w:val="none" w:sz="0" w:space="0" w:color="auto"/>
      </w:divBdr>
    </w:div>
    <w:div w:id="20701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rtrokey@psc.state.ga.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llison.pryor@troutman.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bfink@psc.state.ga.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ieb@psc.state.ga.us" TargetMode="External"/><Relationship Id="rId20" Type="http://schemas.openxmlformats.org/officeDocument/2006/relationships/hyperlink" Target="mailto:brandon.marzo@trout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lyndall@gallyn-law.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reecem@psc.state.ga.us" TargetMode="External"/><Relationship Id="rId23" Type="http://schemas.openxmlformats.org/officeDocument/2006/relationships/hyperlink" Target="mailto:scole@hallbothsmith.com" TargetMode="External"/><Relationship Id="rId10" Type="http://schemas.openxmlformats.org/officeDocument/2006/relationships/hyperlink" Target="mailto:ngalloway@gallyn-law.com" TargetMode="External"/><Relationship Id="rId19" Type="http://schemas.openxmlformats.org/officeDocument/2006/relationships/hyperlink" Target="mailto:tnewsome@psc.state.ga.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kcleach@southernco.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eia.org/research-resources/solar-power-purchase-agreements" TargetMode="External"/><Relationship Id="rId2" Type="http://schemas.openxmlformats.org/officeDocument/2006/relationships/hyperlink" Target="https://www.epa.gov/greenpower/solar-power-purchase-agreements" TargetMode="External"/><Relationship Id="rId1" Type="http://schemas.openxmlformats.org/officeDocument/2006/relationships/hyperlink" Target="https://www.accionpower.com/index.php" TargetMode="External"/><Relationship Id="rId4" Type="http://schemas.openxmlformats.org/officeDocument/2006/relationships/hyperlink" Target="https://www.southface.org/the-journal/georgias-housing-develo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04E2-E059-4A8B-BD89-65BBB3F7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5551</Words>
  <Characters>31642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dc:creator>
  <cp:keywords/>
  <dc:description/>
  <cp:lastModifiedBy>Margaret Shirley</cp:lastModifiedBy>
  <cp:revision>2</cp:revision>
  <cp:lastPrinted>2020-05-11T15:41:00Z</cp:lastPrinted>
  <dcterms:created xsi:type="dcterms:W3CDTF">2020-05-11T15:43:00Z</dcterms:created>
  <dcterms:modified xsi:type="dcterms:W3CDTF">2020-05-11T15:43:00Z</dcterms:modified>
</cp:coreProperties>
</file>