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229AF" w:rsidRPr="00D97634" w14:paraId="12B987C4" w14:textId="77777777" w:rsidTr="009D41D3">
        <w:trPr>
          <w:cantSplit/>
          <w:trHeight w:val="720"/>
        </w:trPr>
        <w:tc>
          <w:tcPr>
            <w:tcW w:w="9576" w:type="dxa"/>
            <w:gridSpan w:val="2"/>
            <w:tcBorders>
              <w:top w:val="nil"/>
              <w:left w:val="nil"/>
              <w:bottom w:val="nil"/>
              <w:right w:val="nil"/>
            </w:tcBorders>
          </w:tcPr>
          <w:p w14:paraId="296E26EF" w14:textId="77777777" w:rsidR="007F427D" w:rsidRPr="00D97634" w:rsidRDefault="00B154FA" w:rsidP="009D41D3">
            <w:pPr>
              <w:keepNext/>
              <w:spacing w:after="0"/>
              <w:jc w:val="center"/>
              <w:outlineLvl w:val="2"/>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BEFORE THE PUBLIC SERVICE COMMISSION</w:t>
            </w:r>
          </w:p>
          <w:p w14:paraId="01D86483" w14:textId="77777777" w:rsidR="007F427D" w:rsidRPr="00D97634" w:rsidRDefault="00B154FA" w:rsidP="009D41D3">
            <w:pPr>
              <w:spacing w:after="0"/>
              <w:jc w:val="center"/>
              <w:rPr>
                <w:rFonts w:ascii="Times New Roman" w:eastAsia="Times New Roman" w:hAnsi="Times New Roman" w:cs="Times New Roman"/>
                <w:i/>
                <w:iCs/>
                <w:color w:val="000000"/>
                <w:sz w:val="24"/>
                <w:szCs w:val="24"/>
              </w:rPr>
            </w:pPr>
            <w:r w:rsidRPr="00D97634">
              <w:rPr>
                <w:rFonts w:ascii="Times New Roman" w:eastAsia="Times New Roman" w:hAnsi="Times New Roman" w:cs="Times New Roman"/>
                <w:b/>
                <w:color w:val="000000"/>
                <w:sz w:val="24"/>
                <w:szCs w:val="24"/>
              </w:rPr>
              <w:t>STATE OF GEORGIA</w:t>
            </w:r>
            <w:r w:rsidRPr="00D97634">
              <w:rPr>
                <w:rFonts w:ascii="Times New Roman" w:eastAsia="Times New Roman" w:hAnsi="Times New Roman" w:cs="Times New Roman"/>
                <w:i/>
                <w:iCs/>
                <w:color w:val="000000"/>
                <w:sz w:val="24"/>
                <w:szCs w:val="24"/>
              </w:rPr>
              <w:t xml:space="preserve"> </w:t>
            </w:r>
          </w:p>
          <w:p w14:paraId="6594A637" w14:textId="77777777" w:rsidR="007F427D" w:rsidRPr="00D97634" w:rsidRDefault="007F427D" w:rsidP="009D41D3">
            <w:pPr>
              <w:spacing w:after="0"/>
              <w:jc w:val="center"/>
              <w:rPr>
                <w:rFonts w:ascii="Times New Roman" w:eastAsia="Times New Roman" w:hAnsi="Times New Roman" w:cs="Times New Roman"/>
                <w:color w:val="000000"/>
                <w:sz w:val="24"/>
                <w:szCs w:val="24"/>
              </w:rPr>
            </w:pPr>
          </w:p>
        </w:tc>
      </w:tr>
      <w:tr w:rsidR="00C229AF" w:rsidRPr="00D97634" w14:paraId="3ED9EAB4" w14:textId="77777777" w:rsidTr="009D41D3">
        <w:trPr>
          <w:trHeight w:val="2700"/>
        </w:trPr>
        <w:tc>
          <w:tcPr>
            <w:tcW w:w="4788" w:type="dxa"/>
            <w:tcBorders>
              <w:top w:val="nil"/>
              <w:left w:val="nil"/>
              <w:bottom w:val="nil"/>
              <w:right w:val="single" w:sz="4" w:space="0" w:color="auto"/>
            </w:tcBorders>
          </w:tcPr>
          <w:p w14:paraId="729A3760" w14:textId="77777777" w:rsidR="007F427D" w:rsidRPr="00D97634" w:rsidRDefault="00B154FA" w:rsidP="009D41D3">
            <w:pPr>
              <w:spacing w:after="0"/>
              <w:jc w:val="both"/>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GEORGIA POWER COMPANY,</w:t>
            </w:r>
          </w:p>
          <w:p w14:paraId="214B6187" w14:textId="77777777" w:rsidR="007F427D" w:rsidRPr="00D97634" w:rsidRDefault="007F427D" w:rsidP="009D41D3">
            <w:pPr>
              <w:spacing w:after="0"/>
              <w:jc w:val="both"/>
              <w:rPr>
                <w:rFonts w:ascii="Times New Roman" w:eastAsia="Times New Roman" w:hAnsi="Times New Roman" w:cs="Times New Roman"/>
                <w:b/>
                <w:color w:val="000000"/>
                <w:sz w:val="24"/>
                <w:szCs w:val="24"/>
              </w:rPr>
            </w:pPr>
          </w:p>
          <w:p w14:paraId="63E93110" w14:textId="77777777" w:rsidR="007F427D" w:rsidRPr="00D97634" w:rsidRDefault="00B154FA" w:rsidP="009D41D3">
            <w:pPr>
              <w:tabs>
                <w:tab w:val="left" w:pos="720"/>
              </w:tabs>
              <w:spacing w:after="0"/>
              <w:jc w:val="both"/>
              <w:rPr>
                <w:rFonts w:ascii="Times New Roman" w:eastAsia="Times New Roman" w:hAnsi="Times New Roman" w:cs="Times New Roman"/>
                <w:b/>
                <w:i/>
                <w:color w:val="000000"/>
                <w:sz w:val="24"/>
                <w:szCs w:val="24"/>
              </w:rPr>
            </w:pP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iCs/>
                <w:color w:val="000000"/>
                <w:sz w:val="24"/>
                <w:szCs w:val="24"/>
              </w:rPr>
              <w:t>Petitioner</w:t>
            </w:r>
            <w:r w:rsidRPr="00D97634">
              <w:rPr>
                <w:rFonts w:ascii="Times New Roman" w:eastAsia="Times New Roman" w:hAnsi="Times New Roman" w:cs="Times New Roman"/>
                <w:b/>
                <w:i/>
                <w:color w:val="000000"/>
                <w:sz w:val="24"/>
                <w:szCs w:val="24"/>
              </w:rPr>
              <w:t>,</w:t>
            </w:r>
          </w:p>
          <w:p w14:paraId="040C156C" w14:textId="77777777" w:rsidR="007F427D" w:rsidRPr="00D97634" w:rsidRDefault="007F427D" w:rsidP="009D41D3">
            <w:pPr>
              <w:spacing w:after="0"/>
              <w:jc w:val="both"/>
              <w:rPr>
                <w:rFonts w:ascii="Times New Roman" w:eastAsia="Times New Roman" w:hAnsi="Times New Roman" w:cs="Times New Roman"/>
                <w:b/>
                <w:color w:val="000000"/>
                <w:sz w:val="24"/>
                <w:szCs w:val="24"/>
              </w:rPr>
            </w:pPr>
          </w:p>
          <w:p w14:paraId="5E9E8535" w14:textId="77777777" w:rsidR="007F427D" w:rsidRPr="00D97634" w:rsidRDefault="00B154FA" w:rsidP="009D41D3">
            <w:pPr>
              <w:spacing w:after="0"/>
              <w:jc w:val="both"/>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v.</w:t>
            </w:r>
          </w:p>
          <w:p w14:paraId="02692C35" w14:textId="77777777" w:rsidR="007F427D" w:rsidRPr="00D97634" w:rsidRDefault="007F427D" w:rsidP="009D41D3">
            <w:pPr>
              <w:spacing w:after="0"/>
              <w:jc w:val="both"/>
              <w:rPr>
                <w:rFonts w:ascii="Times New Roman" w:eastAsia="Times New Roman" w:hAnsi="Times New Roman" w:cs="Times New Roman"/>
                <w:b/>
                <w:color w:val="000000"/>
                <w:sz w:val="24"/>
                <w:szCs w:val="24"/>
              </w:rPr>
            </w:pPr>
          </w:p>
          <w:p w14:paraId="17D19A97" w14:textId="77777777" w:rsidR="007F427D" w:rsidRPr="00D97634" w:rsidRDefault="00B154FA" w:rsidP="009D41D3">
            <w:pPr>
              <w:tabs>
                <w:tab w:val="left" w:pos="705"/>
              </w:tabs>
              <w:spacing w:after="0"/>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 xml:space="preserve">THE WALTON ELECTRIC MEMBERSHIP CORPORATION, </w:t>
            </w:r>
          </w:p>
          <w:p w14:paraId="5F244236" w14:textId="77777777" w:rsidR="007F427D" w:rsidRPr="00D97634" w:rsidRDefault="007F427D" w:rsidP="009D41D3">
            <w:pPr>
              <w:tabs>
                <w:tab w:val="left" w:pos="705"/>
              </w:tabs>
              <w:spacing w:after="0"/>
              <w:rPr>
                <w:rFonts w:ascii="Times New Roman" w:eastAsia="Times New Roman" w:hAnsi="Times New Roman" w:cs="Times New Roman"/>
                <w:b/>
                <w:color w:val="000000"/>
                <w:sz w:val="24"/>
                <w:szCs w:val="24"/>
              </w:rPr>
            </w:pPr>
          </w:p>
          <w:p w14:paraId="0D0CFAAC" w14:textId="77777777" w:rsidR="007F427D" w:rsidRPr="00D97634" w:rsidRDefault="00B154FA" w:rsidP="009D41D3">
            <w:pPr>
              <w:tabs>
                <w:tab w:val="left" w:pos="705"/>
              </w:tabs>
              <w:spacing w:after="0"/>
              <w:rPr>
                <w:rFonts w:ascii="Times New Roman" w:eastAsia="Times New Roman" w:hAnsi="Times New Roman" w:cs="Times New Roman"/>
                <w:b/>
                <w:iCs/>
                <w:color w:val="000000"/>
                <w:sz w:val="24"/>
                <w:szCs w:val="24"/>
              </w:rPr>
            </w:pP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iCs/>
                <w:color w:val="000000"/>
                <w:sz w:val="24"/>
                <w:szCs w:val="24"/>
              </w:rPr>
              <w:t xml:space="preserve">Respondent, </w:t>
            </w:r>
          </w:p>
          <w:p w14:paraId="45F93EEC" w14:textId="77777777" w:rsidR="007F427D" w:rsidRPr="00D97634" w:rsidRDefault="007F427D" w:rsidP="009D41D3">
            <w:pPr>
              <w:tabs>
                <w:tab w:val="left" w:pos="705"/>
              </w:tabs>
              <w:spacing w:after="0"/>
              <w:rPr>
                <w:rFonts w:ascii="Times New Roman" w:eastAsia="Times New Roman" w:hAnsi="Times New Roman" w:cs="Times New Roman"/>
                <w:b/>
                <w:iCs/>
                <w:color w:val="000000"/>
                <w:sz w:val="24"/>
                <w:szCs w:val="24"/>
              </w:rPr>
            </w:pPr>
          </w:p>
          <w:p w14:paraId="05EFC48C" w14:textId="77777777" w:rsidR="007F427D" w:rsidRPr="00D97634" w:rsidRDefault="00B154FA" w:rsidP="009D41D3">
            <w:pPr>
              <w:tabs>
                <w:tab w:val="left" w:pos="705"/>
              </w:tabs>
              <w:spacing w:after="0"/>
              <w:rPr>
                <w:rFonts w:ascii="Times New Roman" w:eastAsia="Times New Roman" w:hAnsi="Times New Roman" w:cs="Times New Roman"/>
                <w:b/>
                <w:iCs/>
                <w:color w:val="000000"/>
                <w:sz w:val="24"/>
                <w:szCs w:val="24"/>
              </w:rPr>
            </w:pPr>
            <w:r w:rsidRPr="00D97634">
              <w:rPr>
                <w:rFonts w:ascii="Times New Roman" w:eastAsia="Times New Roman" w:hAnsi="Times New Roman" w:cs="Times New Roman"/>
                <w:b/>
                <w:iCs/>
                <w:color w:val="000000"/>
                <w:sz w:val="24"/>
                <w:szCs w:val="24"/>
              </w:rPr>
              <w:t>NESTLÉ PURINA PETCARE COMPANY,</w:t>
            </w:r>
          </w:p>
          <w:p w14:paraId="5A53D60C" w14:textId="77777777" w:rsidR="007F427D" w:rsidRPr="00D97634" w:rsidRDefault="007F427D" w:rsidP="009D41D3">
            <w:pPr>
              <w:tabs>
                <w:tab w:val="left" w:pos="705"/>
              </w:tabs>
              <w:spacing w:after="0"/>
              <w:rPr>
                <w:rFonts w:ascii="Times New Roman" w:eastAsia="Times New Roman" w:hAnsi="Times New Roman" w:cs="Times New Roman"/>
                <w:b/>
                <w:iCs/>
                <w:color w:val="000000"/>
                <w:sz w:val="24"/>
                <w:szCs w:val="24"/>
              </w:rPr>
            </w:pPr>
          </w:p>
          <w:p w14:paraId="5D47641F" w14:textId="77777777" w:rsidR="007F427D" w:rsidRPr="00D97634" w:rsidRDefault="00B154FA" w:rsidP="009D41D3">
            <w:pPr>
              <w:tabs>
                <w:tab w:val="left" w:pos="705"/>
              </w:tabs>
              <w:spacing w:after="0"/>
              <w:rPr>
                <w:rFonts w:ascii="Times New Roman" w:eastAsia="Times New Roman" w:hAnsi="Times New Roman" w:cs="Times New Roman"/>
                <w:b/>
                <w:iCs/>
                <w:color w:val="000000"/>
                <w:sz w:val="24"/>
                <w:szCs w:val="24"/>
              </w:rPr>
            </w:pPr>
            <w:r w:rsidRPr="00D97634">
              <w:rPr>
                <w:rFonts w:ascii="Times New Roman" w:eastAsia="Times New Roman" w:hAnsi="Times New Roman" w:cs="Times New Roman"/>
                <w:b/>
                <w:iCs/>
                <w:color w:val="000000"/>
                <w:sz w:val="24"/>
                <w:szCs w:val="24"/>
              </w:rPr>
              <w:t xml:space="preserve">                        Intervenor.</w:t>
            </w:r>
          </w:p>
        </w:tc>
        <w:tc>
          <w:tcPr>
            <w:tcW w:w="4788" w:type="dxa"/>
            <w:tcBorders>
              <w:top w:val="nil"/>
              <w:left w:val="single" w:sz="4" w:space="0" w:color="auto"/>
              <w:bottom w:val="nil"/>
              <w:right w:val="nil"/>
            </w:tcBorders>
          </w:tcPr>
          <w:p w14:paraId="16D8EA55" w14:textId="77777777" w:rsidR="007F427D" w:rsidRPr="00D97634" w:rsidRDefault="007F427D" w:rsidP="009D41D3">
            <w:pPr>
              <w:tabs>
                <w:tab w:val="left" w:pos="705"/>
              </w:tabs>
              <w:spacing w:after="0"/>
              <w:rPr>
                <w:rFonts w:ascii="Times New Roman" w:eastAsia="Times New Roman" w:hAnsi="Times New Roman" w:cs="Times New Roman"/>
                <w:b/>
                <w:color w:val="000000"/>
                <w:sz w:val="24"/>
                <w:szCs w:val="24"/>
              </w:rPr>
            </w:pPr>
          </w:p>
          <w:p w14:paraId="1AA27607" w14:textId="77777777" w:rsidR="007F427D" w:rsidRPr="00D97634" w:rsidRDefault="007F427D" w:rsidP="009D41D3">
            <w:pPr>
              <w:spacing w:after="0"/>
              <w:rPr>
                <w:rFonts w:ascii="Times New Roman" w:eastAsia="Times New Roman" w:hAnsi="Times New Roman" w:cs="Times New Roman"/>
                <w:color w:val="000000"/>
                <w:sz w:val="24"/>
                <w:szCs w:val="24"/>
              </w:rPr>
            </w:pPr>
          </w:p>
          <w:p w14:paraId="6596B864" w14:textId="77777777" w:rsidR="007F427D" w:rsidRPr="00D97634" w:rsidRDefault="007F427D" w:rsidP="009D41D3">
            <w:pPr>
              <w:spacing w:after="0"/>
              <w:rPr>
                <w:rFonts w:ascii="Times New Roman" w:eastAsia="Times New Roman" w:hAnsi="Times New Roman" w:cs="Times New Roman"/>
                <w:color w:val="000000"/>
                <w:sz w:val="24"/>
                <w:szCs w:val="24"/>
              </w:rPr>
            </w:pPr>
          </w:p>
          <w:p w14:paraId="622CC9F7" w14:textId="77777777" w:rsidR="007F427D" w:rsidRPr="00D97634" w:rsidRDefault="007F427D" w:rsidP="009D41D3">
            <w:pPr>
              <w:spacing w:after="0"/>
              <w:rPr>
                <w:rFonts w:ascii="Times New Roman" w:eastAsia="Times New Roman" w:hAnsi="Times New Roman" w:cs="Times New Roman"/>
                <w:color w:val="000000"/>
                <w:sz w:val="24"/>
                <w:szCs w:val="24"/>
              </w:rPr>
            </w:pPr>
          </w:p>
          <w:p w14:paraId="6B4CE950" w14:textId="77777777" w:rsidR="007F427D" w:rsidRPr="00D97634" w:rsidRDefault="00B154FA" w:rsidP="009D41D3">
            <w:pPr>
              <w:spacing w:after="0"/>
              <w:jc w:val="center"/>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DOCKET NO. 42509</w:t>
            </w:r>
          </w:p>
          <w:p w14:paraId="009F8113" w14:textId="77777777" w:rsidR="007F427D" w:rsidRPr="00D97634" w:rsidRDefault="007F427D" w:rsidP="009D41D3">
            <w:pPr>
              <w:spacing w:after="0"/>
              <w:jc w:val="center"/>
              <w:rPr>
                <w:rFonts w:ascii="Times New Roman" w:eastAsia="Times New Roman" w:hAnsi="Times New Roman" w:cs="Times New Roman"/>
                <w:b/>
                <w:color w:val="000000"/>
                <w:sz w:val="24"/>
                <w:szCs w:val="24"/>
              </w:rPr>
            </w:pPr>
          </w:p>
          <w:p w14:paraId="022775AC" w14:textId="77777777" w:rsidR="007F427D" w:rsidRPr="00D97634" w:rsidRDefault="007F427D" w:rsidP="009D41D3">
            <w:pPr>
              <w:spacing w:after="0"/>
              <w:jc w:val="center"/>
              <w:rPr>
                <w:rFonts w:ascii="Times New Roman" w:eastAsia="Times New Roman" w:hAnsi="Times New Roman" w:cs="Times New Roman"/>
                <w:b/>
                <w:color w:val="000000"/>
                <w:sz w:val="24"/>
                <w:szCs w:val="24"/>
              </w:rPr>
            </w:pPr>
          </w:p>
        </w:tc>
      </w:tr>
    </w:tbl>
    <w:p w14:paraId="30D598EF" w14:textId="77777777" w:rsidR="00011CE6" w:rsidRPr="00D97634" w:rsidRDefault="00011CE6" w:rsidP="00011CE6">
      <w:pPr>
        <w:pBdr>
          <w:bottom w:val="single" w:sz="12" w:space="1" w:color="auto"/>
        </w:pBdr>
        <w:tabs>
          <w:tab w:val="right" w:pos="9270"/>
        </w:tabs>
        <w:jc w:val="both"/>
        <w:rPr>
          <w:rFonts w:ascii="Times New Roman" w:hAnsi="Times New Roman" w:cs="Times New Roman"/>
          <w:color w:val="000000"/>
          <w:sz w:val="24"/>
          <w:szCs w:val="24"/>
        </w:rPr>
      </w:pPr>
    </w:p>
    <w:p w14:paraId="0D58CC43" w14:textId="77777777" w:rsidR="00011CE6" w:rsidRPr="00D97634" w:rsidRDefault="00B154FA" w:rsidP="00011CE6">
      <w:pPr>
        <w:spacing w:after="0"/>
        <w:jc w:val="center"/>
        <w:rPr>
          <w:rFonts w:ascii="Times New Roman" w:eastAsia="Times New Roman" w:hAnsi="Times New Roman" w:cs="Times New Roman"/>
          <w:b/>
          <w:snapToGrid w:val="0"/>
          <w:sz w:val="24"/>
          <w:szCs w:val="24"/>
        </w:rPr>
      </w:pPr>
      <w:r w:rsidRPr="00D97634">
        <w:rPr>
          <w:rFonts w:ascii="Times New Roman" w:eastAsia="Times New Roman" w:hAnsi="Times New Roman" w:cs="Times New Roman"/>
          <w:b/>
          <w:snapToGrid w:val="0"/>
          <w:sz w:val="24"/>
          <w:szCs w:val="24"/>
        </w:rPr>
        <w:t>THE WALTON ELECTRIC MEMBERSHIP CORPORATION’S AND NESTLÉ PURINA PETCARE COMPANY’S RESPONSE</w:t>
      </w:r>
      <w:r w:rsidR="003E460E" w:rsidRPr="00D97634">
        <w:rPr>
          <w:rFonts w:ascii="Times New Roman" w:eastAsia="Times New Roman" w:hAnsi="Times New Roman" w:cs="Times New Roman"/>
          <w:b/>
          <w:snapToGrid w:val="0"/>
          <w:sz w:val="24"/>
          <w:szCs w:val="24"/>
        </w:rPr>
        <w:t xml:space="preserve"> </w:t>
      </w:r>
      <w:r w:rsidRPr="00D97634">
        <w:rPr>
          <w:rFonts w:ascii="Times New Roman" w:eastAsia="Times New Roman" w:hAnsi="Times New Roman" w:cs="Times New Roman"/>
          <w:b/>
          <w:snapToGrid w:val="0"/>
          <w:sz w:val="24"/>
          <w:szCs w:val="24"/>
        </w:rPr>
        <w:t>IN OPPOSITION TO GEORGIA POWER COMPANY’S APPLICATION FOR REVIEW OF INITIAL DECISION</w:t>
      </w:r>
    </w:p>
    <w:p w14:paraId="22A0EC1A" w14:textId="77777777" w:rsidR="00011CE6" w:rsidRPr="00D97634" w:rsidRDefault="00011CE6" w:rsidP="00011CE6">
      <w:pPr>
        <w:pBdr>
          <w:bottom w:val="single" w:sz="12" w:space="1" w:color="auto"/>
        </w:pBdr>
        <w:tabs>
          <w:tab w:val="right" w:pos="9270"/>
        </w:tabs>
        <w:spacing w:after="0"/>
        <w:jc w:val="both"/>
        <w:rPr>
          <w:rFonts w:ascii="Times New Roman" w:hAnsi="Times New Roman" w:cs="Times New Roman"/>
          <w:color w:val="000000"/>
          <w:sz w:val="24"/>
          <w:szCs w:val="24"/>
        </w:rPr>
      </w:pPr>
    </w:p>
    <w:p w14:paraId="128E590C" w14:textId="77777777" w:rsidR="0090352D" w:rsidRPr="00D97634" w:rsidRDefault="00B154FA" w:rsidP="00011CE6">
      <w:pPr>
        <w:pStyle w:val="BodyText"/>
        <w:spacing w:after="0"/>
        <w:rPr>
          <w:rFonts w:ascii="Times New Roman" w:hAnsi="Times New Roman" w:cs="Times New Roman"/>
          <w:sz w:val="24"/>
          <w:szCs w:val="24"/>
        </w:rPr>
      </w:pPr>
      <w:r w:rsidRPr="00D97634">
        <w:rPr>
          <w:rFonts w:ascii="Times New Roman" w:hAnsi="Times New Roman" w:cs="Times New Roman"/>
          <w:b/>
          <w:sz w:val="24"/>
          <w:szCs w:val="24"/>
        </w:rPr>
        <w:tab/>
      </w:r>
    </w:p>
    <w:p w14:paraId="79FACC4A" w14:textId="7DF784C3" w:rsidR="00A50076" w:rsidRPr="00D97634" w:rsidRDefault="00B154FA" w:rsidP="00780DC5">
      <w:pPr>
        <w:spacing w:after="0" w:line="480" w:lineRule="auto"/>
        <w:jc w:val="both"/>
        <w:rPr>
          <w:rFonts w:ascii="Times New Roman" w:eastAsia="Times New Roman" w:hAnsi="Times New Roman" w:cs="Times New Roman"/>
          <w:snapToGrid w:val="0"/>
          <w:sz w:val="24"/>
          <w:szCs w:val="24"/>
        </w:rPr>
      </w:pPr>
      <w:r w:rsidRPr="00D97634">
        <w:rPr>
          <w:rFonts w:ascii="Times New Roman" w:eastAsia="Times New Roman" w:hAnsi="Times New Roman" w:cs="Times New Roman"/>
          <w:snapToGrid w:val="0"/>
          <w:sz w:val="24"/>
          <w:szCs w:val="24"/>
        </w:rPr>
        <w:tab/>
        <w:t xml:space="preserve">COME NOW, </w:t>
      </w:r>
      <w:r w:rsidR="007923C5" w:rsidRPr="00D97634">
        <w:rPr>
          <w:rFonts w:ascii="Times New Roman" w:eastAsia="Times New Roman" w:hAnsi="Times New Roman" w:cs="Times New Roman"/>
          <w:snapToGrid w:val="0"/>
          <w:sz w:val="24"/>
          <w:szCs w:val="24"/>
        </w:rPr>
        <w:t xml:space="preserve">Respondent Walton Electric Membership Corporation (“Walton EMC”) and </w:t>
      </w:r>
      <w:r w:rsidRPr="00D97634">
        <w:rPr>
          <w:rFonts w:ascii="Times New Roman" w:eastAsia="Times New Roman" w:hAnsi="Times New Roman" w:cs="Times New Roman"/>
          <w:snapToGrid w:val="0"/>
          <w:sz w:val="24"/>
          <w:szCs w:val="24"/>
        </w:rPr>
        <w:t xml:space="preserve">Intervenor Nestlé Purina PetCare Company </w:t>
      </w:r>
      <w:r w:rsidR="007660C3" w:rsidRPr="00D97634">
        <w:rPr>
          <w:rFonts w:ascii="Times New Roman" w:eastAsia="Times New Roman" w:hAnsi="Times New Roman" w:cs="Times New Roman"/>
          <w:snapToGrid w:val="0"/>
          <w:sz w:val="24"/>
          <w:szCs w:val="24"/>
        </w:rPr>
        <w:t>(</w:t>
      </w:r>
      <w:r w:rsidR="00C76680" w:rsidRPr="00D97634">
        <w:rPr>
          <w:rFonts w:ascii="Times New Roman" w:eastAsia="Times New Roman" w:hAnsi="Times New Roman" w:cs="Times New Roman"/>
          <w:snapToGrid w:val="0"/>
          <w:sz w:val="24"/>
          <w:szCs w:val="24"/>
        </w:rPr>
        <w:t xml:space="preserve">“Nestlé Purina” or </w:t>
      </w:r>
      <w:r w:rsidR="007660C3" w:rsidRPr="00D97634">
        <w:rPr>
          <w:rFonts w:ascii="Times New Roman" w:eastAsia="Times New Roman" w:hAnsi="Times New Roman" w:cs="Times New Roman"/>
          <w:snapToGrid w:val="0"/>
          <w:sz w:val="24"/>
          <w:szCs w:val="24"/>
        </w:rPr>
        <w:t>“NPPC”</w:t>
      </w:r>
      <w:r w:rsidR="00307F6E"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and hereby submit</w:t>
      </w:r>
      <w:r w:rsidR="008044A6" w:rsidRPr="00D97634">
        <w:rPr>
          <w:rFonts w:ascii="Times New Roman" w:eastAsia="Times New Roman" w:hAnsi="Times New Roman" w:cs="Times New Roman"/>
          <w:snapToGrid w:val="0"/>
          <w:sz w:val="24"/>
          <w:szCs w:val="24"/>
        </w:rPr>
        <w:t xml:space="preserve"> their</w:t>
      </w:r>
      <w:r w:rsidRPr="00D97634">
        <w:rPr>
          <w:rFonts w:ascii="Times New Roman" w:eastAsia="Times New Roman" w:hAnsi="Times New Roman" w:cs="Times New Roman"/>
          <w:snapToGrid w:val="0"/>
          <w:sz w:val="24"/>
          <w:szCs w:val="24"/>
        </w:rPr>
        <w:t xml:space="preserve"> </w:t>
      </w:r>
      <w:r w:rsidR="0090352D" w:rsidRPr="00D97634">
        <w:rPr>
          <w:rFonts w:ascii="Times New Roman" w:eastAsia="Times New Roman" w:hAnsi="Times New Roman" w:cs="Times New Roman"/>
          <w:snapToGrid w:val="0"/>
          <w:sz w:val="24"/>
          <w:szCs w:val="24"/>
        </w:rPr>
        <w:t>Response in Opposition to Georgia Power Company’s Application for Review of Initial Decision</w:t>
      </w:r>
      <w:r w:rsidR="00CE6269" w:rsidRPr="00D97634">
        <w:rPr>
          <w:rFonts w:ascii="Times New Roman" w:eastAsia="Times New Roman" w:hAnsi="Times New Roman" w:cs="Times New Roman"/>
          <w:snapToGrid w:val="0"/>
          <w:sz w:val="24"/>
          <w:szCs w:val="24"/>
        </w:rPr>
        <w:t xml:space="preserve"> (“</w:t>
      </w:r>
      <w:r w:rsidR="00BE20FC" w:rsidRPr="00D97634">
        <w:rPr>
          <w:rFonts w:ascii="Times New Roman" w:eastAsia="Times New Roman" w:hAnsi="Times New Roman" w:cs="Times New Roman"/>
          <w:snapToGrid w:val="0"/>
          <w:sz w:val="24"/>
          <w:szCs w:val="24"/>
        </w:rPr>
        <w:t>Application</w:t>
      </w:r>
      <w:r w:rsidR="00CE6269" w:rsidRPr="00D97634">
        <w:rPr>
          <w:rFonts w:ascii="Times New Roman" w:eastAsia="Times New Roman" w:hAnsi="Times New Roman" w:cs="Times New Roman"/>
          <w:snapToGrid w:val="0"/>
          <w:sz w:val="24"/>
          <w:szCs w:val="24"/>
        </w:rPr>
        <w:t>”</w:t>
      </w:r>
      <w:r w:rsidR="00BE20FC" w:rsidRPr="00D97634">
        <w:rPr>
          <w:rFonts w:ascii="Times New Roman" w:eastAsia="Times New Roman" w:hAnsi="Times New Roman" w:cs="Times New Roman"/>
          <w:snapToGrid w:val="0"/>
          <w:sz w:val="24"/>
          <w:szCs w:val="24"/>
        </w:rPr>
        <w:t>)</w:t>
      </w:r>
      <w:r w:rsidR="0090352D" w:rsidRPr="00D97634">
        <w:rPr>
          <w:rFonts w:ascii="Times New Roman" w:eastAsia="Times New Roman" w:hAnsi="Times New Roman" w:cs="Times New Roman"/>
          <w:snapToGrid w:val="0"/>
          <w:sz w:val="24"/>
          <w:szCs w:val="24"/>
        </w:rPr>
        <w:t>.</w:t>
      </w:r>
      <w:r w:rsidR="00BE20FC" w:rsidRPr="00D97634">
        <w:rPr>
          <w:rFonts w:ascii="Times New Roman" w:eastAsia="Times New Roman" w:hAnsi="Times New Roman" w:cs="Times New Roman"/>
          <w:snapToGrid w:val="0"/>
          <w:sz w:val="24"/>
          <w:szCs w:val="24"/>
        </w:rPr>
        <w:t xml:space="preserve">  The In</w:t>
      </w:r>
      <w:r w:rsidR="00EC3ED3" w:rsidRPr="00D97634">
        <w:rPr>
          <w:rFonts w:ascii="Times New Roman" w:eastAsia="Times New Roman" w:hAnsi="Times New Roman" w:cs="Times New Roman"/>
          <w:snapToGrid w:val="0"/>
          <w:sz w:val="24"/>
          <w:szCs w:val="24"/>
        </w:rPr>
        <w:t>itial Decision correctly applies</w:t>
      </w:r>
      <w:r w:rsidR="00BE20FC" w:rsidRPr="00D97634">
        <w:rPr>
          <w:rFonts w:ascii="Times New Roman" w:eastAsia="Times New Roman" w:hAnsi="Times New Roman" w:cs="Times New Roman"/>
          <w:snapToGrid w:val="0"/>
          <w:sz w:val="24"/>
          <w:szCs w:val="24"/>
        </w:rPr>
        <w:t xml:space="preserve"> Georgia</w:t>
      </w:r>
      <w:r w:rsidR="00CE6269" w:rsidRPr="00D97634">
        <w:rPr>
          <w:rFonts w:ascii="Times New Roman" w:eastAsia="Times New Roman" w:hAnsi="Times New Roman" w:cs="Times New Roman"/>
          <w:snapToGrid w:val="0"/>
          <w:sz w:val="24"/>
          <w:szCs w:val="24"/>
        </w:rPr>
        <w:t>’</w:t>
      </w:r>
      <w:r w:rsidR="00BE20FC" w:rsidRPr="00D97634">
        <w:rPr>
          <w:rFonts w:ascii="Times New Roman" w:eastAsia="Times New Roman" w:hAnsi="Times New Roman" w:cs="Times New Roman"/>
          <w:snapToGrid w:val="0"/>
          <w:sz w:val="24"/>
          <w:szCs w:val="24"/>
        </w:rPr>
        <w:t>s Territorial Electric Service Act</w:t>
      </w:r>
      <w:r w:rsidR="003F6E7D" w:rsidRPr="00D97634">
        <w:rPr>
          <w:rFonts w:ascii="Times New Roman" w:eastAsia="Times New Roman" w:hAnsi="Times New Roman" w:cs="Times New Roman"/>
          <w:snapToGrid w:val="0"/>
          <w:sz w:val="24"/>
          <w:szCs w:val="24"/>
        </w:rPr>
        <w:t xml:space="preserve"> (“Territorial Act”)</w:t>
      </w:r>
      <w:r w:rsidR="00BE20FC" w:rsidRPr="00D97634">
        <w:rPr>
          <w:rFonts w:ascii="Times New Roman" w:eastAsia="Times New Roman" w:hAnsi="Times New Roman" w:cs="Times New Roman"/>
          <w:snapToGrid w:val="0"/>
          <w:sz w:val="24"/>
          <w:szCs w:val="24"/>
        </w:rPr>
        <w:t xml:space="preserve"> to the record evidence</w:t>
      </w:r>
      <w:r w:rsidR="00BB471A" w:rsidRPr="00D97634">
        <w:rPr>
          <w:rFonts w:ascii="Times New Roman" w:eastAsia="Times New Roman" w:hAnsi="Times New Roman" w:cs="Times New Roman"/>
          <w:snapToGrid w:val="0"/>
          <w:sz w:val="24"/>
          <w:szCs w:val="24"/>
        </w:rPr>
        <w:t>,</w:t>
      </w:r>
      <w:r w:rsidR="00BE20FC" w:rsidRPr="00D97634">
        <w:rPr>
          <w:rFonts w:ascii="Times New Roman" w:eastAsia="Times New Roman" w:hAnsi="Times New Roman" w:cs="Times New Roman"/>
          <w:snapToGrid w:val="0"/>
          <w:sz w:val="24"/>
          <w:szCs w:val="24"/>
        </w:rPr>
        <w:t xml:space="preserve"> and</w:t>
      </w:r>
      <w:r w:rsidR="00BB471A" w:rsidRPr="00D97634">
        <w:rPr>
          <w:rFonts w:ascii="Times New Roman" w:eastAsia="Times New Roman" w:hAnsi="Times New Roman" w:cs="Times New Roman"/>
          <w:snapToGrid w:val="0"/>
          <w:sz w:val="24"/>
          <w:szCs w:val="24"/>
        </w:rPr>
        <w:t>,</w:t>
      </w:r>
      <w:r w:rsidR="00BE20FC" w:rsidRPr="00D97634">
        <w:rPr>
          <w:rFonts w:ascii="Times New Roman" w:eastAsia="Times New Roman" w:hAnsi="Times New Roman" w:cs="Times New Roman"/>
          <w:snapToGrid w:val="0"/>
          <w:sz w:val="24"/>
          <w:szCs w:val="24"/>
        </w:rPr>
        <w:t xml:space="preserve"> thus</w:t>
      </w:r>
      <w:r w:rsidR="00BB471A" w:rsidRPr="00D97634">
        <w:rPr>
          <w:rFonts w:ascii="Times New Roman" w:eastAsia="Times New Roman" w:hAnsi="Times New Roman" w:cs="Times New Roman"/>
          <w:snapToGrid w:val="0"/>
          <w:sz w:val="24"/>
          <w:szCs w:val="24"/>
        </w:rPr>
        <w:t>,</w:t>
      </w:r>
      <w:r w:rsidR="00BE20FC" w:rsidRPr="00D97634">
        <w:rPr>
          <w:rFonts w:ascii="Times New Roman" w:eastAsia="Times New Roman" w:hAnsi="Times New Roman" w:cs="Times New Roman"/>
          <w:snapToGrid w:val="0"/>
          <w:sz w:val="24"/>
          <w:szCs w:val="24"/>
        </w:rPr>
        <w:t xml:space="preserve"> the Application should be denied.  </w:t>
      </w:r>
      <w:r w:rsidR="003F43FF" w:rsidRPr="00D97634">
        <w:rPr>
          <w:rFonts w:ascii="Times New Roman" w:eastAsia="Times New Roman" w:hAnsi="Times New Roman" w:cs="Times New Roman"/>
          <w:snapToGrid w:val="0"/>
          <w:sz w:val="24"/>
          <w:szCs w:val="24"/>
        </w:rPr>
        <w:t xml:space="preserve">Walton EMC and </w:t>
      </w:r>
      <w:r w:rsidR="00CE6269" w:rsidRPr="00D97634">
        <w:rPr>
          <w:rFonts w:ascii="Times New Roman" w:eastAsia="Times New Roman" w:hAnsi="Times New Roman" w:cs="Times New Roman"/>
          <w:snapToGrid w:val="0"/>
          <w:sz w:val="24"/>
          <w:szCs w:val="24"/>
        </w:rPr>
        <w:t>Nestlé Purina</w:t>
      </w:r>
      <w:r w:rsidR="003F6E7D" w:rsidRPr="00D97634">
        <w:rPr>
          <w:rFonts w:ascii="Times New Roman" w:eastAsia="Times New Roman" w:hAnsi="Times New Roman" w:cs="Times New Roman"/>
          <w:snapToGrid w:val="0"/>
          <w:sz w:val="24"/>
          <w:szCs w:val="24"/>
        </w:rPr>
        <w:t xml:space="preserve"> further state</w:t>
      </w:r>
      <w:r w:rsidR="00BE20FC" w:rsidRPr="00D97634">
        <w:rPr>
          <w:rFonts w:ascii="Times New Roman" w:eastAsia="Times New Roman" w:hAnsi="Times New Roman" w:cs="Times New Roman"/>
          <w:snapToGrid w:val="0"/>
          <w:sz w:val="24"/>
          <w:szCs w:val="24"/>
        </w:rPr>
        <w:t xml:space="preserve"> as follows: </w:t>
      </w:r>
    </w:p>
    <w:p w14:paraId="257C3629" w14:textId="77777777" w:rsidR="007F427D" w:rsidRPr="00D97634" w:rsidRDefault="00B154FA" w:rsidP="007F427D">
      <w:pPr>
        <w:jc w:val="center"/>
        <w:rPr>
          <w:rFonts w:ascii="Times New Roman" w:hAnsi="Times New Roman" w:cs="Times New Roman"/>
          <w:b/>
          <w:sz w:val="24"/>
          <w:szCs w:val="24"/>
          <w:u w:val="single"/>
        </w:rPr>
      </w:pPr>
      <w:r w:rsidRPr="00D97634">
        <w:rPr>
          <w:rFonts w:ascii="Times New Roman" w:eastAsia="Times New Roman" w:hAnsi="Times New Roman" w:cs="Times New Roman"/>
          <w:b/>
          <w:snapToGrid w:val="0"/>
          <w:sz w:val="24"/>
          <w:szCs w:val="24"/>
          <w:u w:val="single"/>
        </w:rPr>
        <w:t>INTRODUCTION</w:t>
      </w:r>
    </w:p>
    <w:p w14:paraId="29367F5D" w14:textId="7433B1E8" w:rsidR="00CB5CBC" w:rsidRPr="00D97634" w:rsidRDefault="00B154FA" w:rsidP="00780DC5">
      <w:pPr>
        <w:spacing w:after="0" w:line="480" w:lineRule="auto"/>
        <w:jc w:val="both"/>
        <w:rPr>
          <w:rFonts w:ascii="Times New Roman" w:eastAsia="Times New Roman" w:hAnsi="Times New Roman" w:cs="Times New Roman"/>
          <w:snapToGrid w:val="0"/>
          <w:sz w:val="24"/>
          <w:szCs w:val="24"/>
        </w:rPr>
      </w:pPr>
      <w:r w:rsidRPr="00D97634">
        <w:rPr>
          <w:rFonts w:ascii="Times New Roman" w:eastAsia="Times New Roman" w:hAnsi="Times New Roman" w:cs="Times New Roman"/>
          <w:snapToGrid w:val="0"/>
          <w:sz w:val="24"/>
          <w:szCs w:val="24"/>
        </w:rPr>
        <w:tab/>
        <w:t xml:space="preserve">Georgia Power Company (hereinafter “Georgia Power” or “GPC”) </w:t>
      </w:r>
      <w:r w:rsidR="00E97466" w:rsidRPr="00D97634">
        <w:rPr>
          <w:rFonts w:ascii="Times New Roman" w:eastAsia="Times New Roman" w:hAnsi="Times New Roman" w:cs="Times New Roman"/>
          <w:snapToGrid w:val="0"/>
          <w:sz w:val="24"/>
          <w:szCs w:val="24"/>
        </w:rPr>
        <w:t xml:space="preserve">initiated this proceeding when it </w:t>
      </w:r>
      <w:r w:rsidRPr="00D97634">
        <w:rPr>
          <w:rFonts w:ascii="Times New Roman" w:eastAsia="Times New Roman" w:hAnsi="Times New Roman" w:cs="Times New Roman"/>
          <w:snapToGrid w:val="0"/>
          <w:sz w:val="24"/>
          <w:szCs w:val="24"/>
        </w:rPr>
        <w:t>filed its Petition and Complaint (the “Complaint”) with the Georgia Public Service Commission (hereinafter the “Commission”) on April 26, 2019</w:t>
      </w:r>
      <w:r w:rsidR="00C66F84" w:rsidRPr="00D97634">
        <w:rPr>
          <w:rFonts w:ascii="Times New Roman" w:eastAsia="Times New Roman" w:hAnsi="Times New Roman" w:cs="Times New Roman"/>
          <w:snapToGrid w:val="0"/>
          <w:sz w:val="24"/>
          <w:szCs w:val="24"/>
        </w:rPr>
        <w:t>.  In filing its Complaint,</w:t>
      </w:r>
      <w:r w:rsidR="00BE20FC" w:rsidRPr="00D97634">
        <w:rPr>
          <w:rFonts w:ascii="Times New Roman" w:eastAsia="Times New Roman" w:hAnsi="Times New Roman" w:cs="Times New Roman"/>
          <w:snapToGrid w:val="0"/>
          <w:sz w:val="24"/>
          <w:szCs w:val="24"/>
        </w:rPr>
        <w:t xml:space="preserve"> </w:t>
      </w:r>
      <w:r w:rsidR="00C66F84" w:rsidRPr="00D97634">
        <w:rPr>
          <w:rFonts w:ascii="Times New Roman" w:eastAsia="Times New Roman" w:hAnsi="Times New Roman" w:cs="Times New Roman"/>
          <w:snapToGrid w:val="0"/>
          <w:sz w:val="24"/>
          <w:szCs w:val="24"/>
        </w:rPr>
        <w:t>Georgia Power attempted</w:t>
      </w:r>
      <w:r w:rsidR="00BE20FC" w:rsidRPr="00D97634">
        <w:rPr>
          <w:rFonts w:ascii="Times New Roman" w:eastAsia="Times New Roman" w:hAnsi="Times New Roman" w:cs="Times New Roman"/>
          <w:snapToGrid w:val="0"/>
          <w:sz w:val="24"/>
          <w:szCs w:val="24"/>
        </w:rPr>
        <w:t xml:space="preserve"> to prevent Walton EMC from serving </w:t>
      </w:r>
      <w:r w:rsidR="00BC0F18" w:rsidRPr="00D97634">
        <w:rPr>
          <w:rFonts w:ascii="Times New Roman" w:eastAsia="Times New Roman" w:hAnsi="Times New Roman" w:cs="Times New Roman"/>
          <w:snapToGrid w:val="0"/>
          <w:sz w:val="24"/>
          <w:szCs w:val="24"/>
        </w:rPr>
        <w:t>Nestlé Purina’s</w:t>
      </w:r>
      <w:r w:rsidR="00BE20FC" w:rsidRPr="00D97634">
        <w:rPr>
          <w:rFonts w:ascii="Times New Roman" w:eastAsia="Times New Roman" w:hAnsi="Times New Roman" w:cs="Times New Roman"/>
          <w:snapToGrid w:val="0"/>
          <w:sz w:val="24"/>
          <w:szCs w:val="24"/>
        </w:rPr>
        <w:t xml:space="preserve"> Hartwell facility </w:t>
      </w:r>
      <w:r w:rsidR="003F6E7D" w:rsidRPr="00D97634">
        <w:rPr>
          <w:rFonts w:ascii="Times New Roman" w:eastAsia="Times New Roman" w:hAnsi="Times New Roman" w:cs="Times New Roman"/>
          <w:snapToGrid w:val="0"/>
          <w:sz w:val="24"/>
          <w:szCs w:val="24"/>
        </w:rPr>
        <w:lastRenderedPageBreak/>
        <w:t xml:space="preserve">(the “Hartwell Pet Food Facility” or the “Premises”) </w:t>
      </w:r>
      <w:r w:rsidR="00BE20FC" w:rsidRPr="00D97634">
        <w:rPr>
          <w:rFonts w:ascii="Times New Roman" w:eastAsia="Times New Roman" w:hAnsi="Times New Roman" w:cs="Times New Roman"/>
          <w:snapToGrid w:val="0"/>
          <w:sz w:val="24"/>
          <w:szCs w:val="24"/>
        </w:rPr>
        <w:t>and</w:t>
      </w:r>
      <w:r w:rsidRPr="00D97634">
        <w:rPr>
          <w:rFonts w:ascii="Times New Roman" w:eastAsia="Times New Roman" w:hAnsi="Times New Roman" w:cs="Times New Roman"/>
          <w:snapToGrid w:val="0"/>
          <w:sz w:val="24"/>
          <w:szCs w:val="24"/>
        </w:rPr>
        <w:t xml:space="preserve"> request</w:t>
      </w:r>
      <w:r w:rsidR="003F43FF" w:rsidRPr="00D97634">
        <w:rPr>
          <w:rFonts w:ascii="Times New Roman" w:eastAsia="Times New Roman" w:hAnsi="Times New Roman" w:cs="Times New Roman"/>
          <w:snapToGrid w:val="0"/>
          <w:sz w:val="24"/>
          <w:szCs w:val="24"/>
        </w:rPr>
        <w:t>ed</w:t>
      </w:r>
      <w:r w:rsidRPr="00D97634">
        <w:rPr>
          <w:rFonts w:ascii="Times New Roman" w:eastAsia="Times New Roman" w:hAnsi="Times New Roman" w:cs="Times New Roman"/>
          <w:snapToGrid w:val="0"/>
          <w:sz w:val="24"/>
          <w:szCs w:val="24"/>
        </w:rPr>
        <w:t xml:space="preserve"> a ruling: (1) that the Commission find and determine that Walton EMC is in violation of the Territorial Act by attempting to provide retail electric service to the </w:t>
      </w:r>
      <w:r w:rsidR="003F6E7D" w:rsidRPr="00D97634">
        <w:rPr>
          <w:rFonts w:ascii="Times New Roman" w:eastAsia="Times New Roman" w:hAnsi="Times New Roman" w:cs="Times New Roman"/>
          <w:snapToGrid w:val="0"/>
          <w:sz w:val="24"/>
          <w:szCs w:val="24"/>
        </w:rPr>
        <w:t>Premises</w:t>
      </w:r>
      <w:r w:rsidRPr="00D97634">
        <w:rPr>
          <w:rFonts w:ascii="Times New Roman" w:eastAsia="Times New Roman" w:hAnsi="Times New Roman" w:cs="Times New Roman"/>
          <w:snapToGrid w:val="0"/>
          <w:sz w:val="24"/>
          <w:szCs w:val="24"/>
        </w:rPr>
        <w:t xml:space="preserve">; (2) that the Commission find and determine that Georgia Power is the lawful supplier of electricity to the </w:t>
      </w:r>
      <w:r w:rsidR="003F43FF" w:rsidRPr="00D97634">
        <w:rPr>
          <w:rFonts w:ascii="Times New Roman" w:eastAsia="Times New Roman" w:hAnsi="Times New Roman" w:cs="Times New Roman"/>
          <w:snapToGrid w:val="0"/>
          <w:sz w:val="24"/>
          <w:szCs w:val="24"/>
        </w:rPr>
        <w:t>P</w:t>
      </w:r>
      <w:r w:rsidRPr="00D97634">
        <w:rPr>
          <w:rFonts w:ascii="Times New Roman" w:eastAsia="Times New Roman" w:hAnsi="Times New Roman" w:cs="Times New Roman"/>
          <w:snapToGrid w:val="0"/>
          <w:sz w:val="24"/>
          <w:szCs w:val="24"/>
        </w:rPr>
        <w:t xml:space="preserve">remises; </w:t>
      </w:r>
      <w:r w:rsidR="003F43FF" w:rsidRPr="00D97634">
        <w:rPr>
          <w:rFonts w:ascii="Times New Roman" w:eastAsia="Times New Roman" w:hAnsi="Times New Roman" w:cs="Times New Roman"/>
          <w:snapToGrid w:val="0"/>
          <w:sz w:val="24"/>
          <w:szCs w:val="24"/>
        </w:rPr>
        <w:t xml:space="preserve">and, </w:t>
      </w:r>
      <w:r w:rsidRPr="00D97634">
        <w:rPr>
          <w:rFonts w:ascii="Times New Roman" w:eastAsia="Times New Roman" w:hAnsi="Times New Roman" w:cs="Times New Roman"/>
          <w:snapToGrid w:val="0"/>
          <w:sz w:val="24"/>
          <w:szCs w:val="24"/>
        </w:rPr>
        <w:t xml:space="preserve">(3) that the Commission order Walton EMC to cease its efforts to serve the </w:t>
      </w:r>
      <w:r w:rsidR="003F43FF" w:rsidRPr="00D97634">
        <w:rPr>
          <w:rFonts w:ascii="Times New Roman" w:eastAsia="Times New Roman" w:hAnsi="Times New Roman" w:cs="Times New Roman"/>
          <w:snapToGrid w:val="0"/>
          <w:sz w:val="24"/>
          <w:szCs w:val="24"/>
        </w:rPr>
        <w:t>P</w:t>
      </w:r>
      <w:r w:rsidRPr="00D97634">
        <w:rPr>
          <w:rFonts w:ascii="Times New Roman" w:eastAsia="Times New Roman" w:hAnsi="Times New Roman" w:cs="Times New Roman"/>
          <w:snapToGrid w:val="0"/>
          <w:sz w:val="24"/>
          <w:szCs w:val="24"/>
        </w:rPr>
        <w:t xml:space="preserve">remises or, if Walton EMC has established service, then to order Walton EMC to disconnect service to the </w:t>
      </w:r>
      <w:r w:rsidR="003F43FF" w:rsidRPr="00D97634">
        <w:rPr>
          <w:rFonts w:ascii="Times New Roman" w:eastAsia="Times New Roman" w:hAnsi="Times New Roman" w:cs="Times New Roman"/>
          <w:snapToGrid w:val="0"/>
          <w:sz w:val="24"/>
          <w:szCs w:val="24"/>
        </w:rPr>
        <w:t>P</w:t>
      </w:r>
      <w:r w:rsidRPr="00D97634">
        <w:rPr>
          <w:rFonts w:ascii="Times New Roman" w:eastAsia="Times New Roman" w:hAnsi="Times New Roman" w:cs="Times New Roman"/>
          <w:snapToGrid w:val="0"/>
          <w:sz w:val="24"/>
          <w:szCs w:val="24"/>
        </w:rPr>
        <w:t>remises and transfer such service to Georgia Power</w:t>
      </w:r>
      <w:r w:rsidR="003F43FF"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w:t>
      </w:r>
      <w:r w:rsidR="00C76680" w:rsidRPr="00D97634">
        <w:rPr>
          <w:rFonts w:ascii="Times New Roman" w:eastAsia="Times New Roman" w:hAnsi="Times New Roman" w:cs="Times New Roman"/>
          <w:snapToGrid w:val="0"/>
          <w:sz w:val="24"/>
          <w:szCs w:val="24"/>
        </w:rPr>
        <w:t xml:space="preserve">Walton </w:t>
      </w:r>
      <w:r w:rsidR="003F43FF" w:rsidRPr="00D97634">
        <w:rPr>
          <w:rFonts w:ascii="Times New Roman" w:eastAsia="Times New Roman" w:hAnsi="Times New Roman" w:cs="Times New Roman"/>
          <w:snapToGrid w:val="0"/>
          <w:sz w:val="24"/>
          <w:szCs w:val="24"/>
        </w:rPr>
        <w:t xml:space="preserve">EMC responded </w:t>
      </w:r>
      <w:r w:rsidR="00C76680" w:rsidRPr="00D97634">
        <w:rPr>
          <w:rFonts w:ascii="Times New Roman" w:eastAsia="Times New Roman" w:hAnsi="Times New Roman" w:cs="Times New Roman"/>
          <w:snapToGrid w:val="0"/>
          <w:sz w:val="24"/>
          <w:szCs w:val="24"/>
        </w:rPr>
        <w:t>and Nestlé</w:t>
      </w:r>
      <w:r w:rsidR="00CE5525" w:rsidRPr="00D97634">
        <w:rPr>
          <w:rFonts w:ascii="Times New Roman" w:eastAsia="Times New Roman" w:hAnsi="Times New Roman" w:cs="Times New Roman"/>
          <w:snapToGrid w:val="0"/>
          <w:sz w:val="24"/>
          <w:szCs w:val="24"/>
        </w:rPr>
        <w:t xml:space="preserve"> Purina </w:t>
      </w:r>
      <w:r w:rsidR="003F43FF" w:rsidRPr="00D97634">
        <w:rPr>
          <w:rFonts w:ascii="Times New Roman" w:eastAsia="Times New Roman" w:hAnsi="Times New Roman" w:cs="Times New Roman"/>
          <w:snapToGrid w:val="0"/>
          <w:sz w:val="24"/>
          <w:szCs w:val="24"/>
        </w:rPr>
        <w:t xml:space="preserve">intervened, both </w:t>
      </w:r>
      <w:r w:rsidR="00CE5525" w:rsidRPr="00D97634">
        <w:rPr>
          <w:rFonts w:ascii="Times New Roman" w:eastAsia="Times New Roman" w:hAnsi="Times New Roman" w:cs="Times New Roman"/>
          <w:snapToGrid w:val="0"/>
          <w:sz w:val="24"/>
          <w:szCs w:val="24"/>
        </w:rPr>
        <w:t>contend</w:t>
      </w:r>
      <w:r w:rsidR="003F43FF" w:rsidRPr="00D97634">
        <w:rPr>
          <w:rFonts w:ascii="Times New Roman" w:eastAsia="Times New Roman" w:hAnsi="Times New Roman" w:cs="Times New Roman"/>
          <w:snapToGrid w:val="0"/>
          <w:sz w:val="24"/>
          <w:szCs w:val="24"/>
        </w:rPr>
        <w:t>ing</w:t>
      </w:r>
      <w:r w:rsidR="00C76680" w:rsidRPr="00D97634">
        <w:rPr>
          <w:rFonts w:ascii="Times New Roman" w:eastAsia="Times New Roman" w:hAnsi="Times New Roman" w:cs="Times New Roman"/>
          <w:snapToGrid w:val="0"/>
          <w:sz w:val="24"/>
          <w:szCs w:val="24"/>
        </w:rPr>
        <w:t xml:space="preserve"> that Walton </w:t>
      </w:r>
      <w:r w:rsidR="003F43FF" w:rsidRPr="00D97634">
        <w:rPr>
          <w:rFonts w:ascii="Times New Roman" w:eastAsia="Times New Roman" w:hAnsi="Times New Roman" w:cs="Times New Roman"/>
          <w:snapToGrid w:val="0"/>
          <w:sz w:val="24"/>
          <w:szCs w:val="24"/>
        </w:rPr>
        <w:t xml:space="preserve">EMC </w:t>
      </w:r>
      <w:r w:rsidR="00C76680" w:rsidRPr="00D97634">
        <w:rPr>
          <w:rFonts w:ascii="Times New Roman" w:eastAsia="Times New Roman" w:hAnsi="Times New Roman" w:cs="Times New Roman"/>
          <w:snapToGrid w:val="0"/>
          <w:sz w:val="24"/>
          <w:szCs w:val="24"/>
        </w:rPr>
        <w:t>has the right to service the Hartwell Pet Food Facility because the old Premises was “destroyed or dismantled” within the meaning of the Territorial Act</w:t>
      </w:r>
      <w:r w:rsidR="00BC0F18" w:rsidRPr="00D97634">
        <w:rPr>
          <w:rFonts w:ascii="Times New Roman" w:eastAsia="Times New Roman" w:hAnsi="Times New Roman" w:cs="Times New Roman"/>
          <w:snapToGrid w:val="0"/>
          <w:sz w:val="24"/>
          <w:szCs w:val="24"/>
        </w:rPr>
        <w:t>.  Furthermore, the Hartwell Pet Food Facility</w:t>
      </w:r>
      <w:r w:rsidR="00CD7AB0" w:rsidRPr="00D97634">
        <w:rPr>
          <w:rFonts w:ascii="Times New Roman" w:eastAsia="Times New Roman" w:hAnsi="Times New Roman" w:cs="Times New Roman"/>
          <w:snapToGrid w:val="0"/>
          <w:sz w:val="24"/>
          <w:szCs w:val="24"/>
        </w:rPr>
        <w:t xml:space="preserve"> </w:t>
      </w:r>
      <w:r w:rsidR="00C76680" w:rsidRPr="00D97634">
        <w:rPr>
          <w:rFonts w:ascii="Times New Roman" w:eastAsia="Times New Roman" w:hAnsi="Times New Roman" w:cs="Times New Roman"/>
          <w:snapToGrid w:val="0"/>
          <w:sz w:val="24"/>
          <w:szCs w:val="24"/>
        </w:rPr>
        <w:t xml:space="preserve">was </w:t>
      </w:r>
      <w:r w:rsidR="00CD7AB0" w:rsidRPr="00D97634">
        <w:rPr>
          <w:rFonts w:ascii="Times New Roman" w:eastAsia="Times New Roman" w:hAnsi="Times New Roman" w:cs="Times New Roman"/>
          <w:snapToGrid w:val="0"/>
          <w:sz w:val="24"/>
          <w:szCs w:val="24"/>
        </w:rPr>
        <w:t xml:space="preserve">not </w:t>
      </w:r>
      <w:r w:rsidR="00C76680" w:rsidRPr="00D97634">
        <w:rPr>
          <w:rFonts w:ascii="Times New Roman" w:eastAsia="Times New Roman" w:hAnsi="Times New Roman" w:cs="Times New Roman"/>
          <w:snapToGrid w:val="0"/>
          <w:sz w:val="24"/>
          <w:szCs w:val="24"/>
        </w:rPr>
        <w:t xml:space="preserve">reconstructed </w:t>
      </w:r>
      <w:r w:rsidR="00CD7AB0" w:rsidRPr="00D97634">
        <w:rPr>
          <w:rFonts w:ascii="Times New Roman" w:eastAsia="Times New Roman" w:hAnsi="Times New Roman" w:cs="Times New Roman"/>
          <w:snapToGrid w:val="0"/>
          <w:sz w:val="24"/>
          <w:szCs w:val="24"/>
        </w:rPr>
        <w:t>i</w:t>
      </w:r>
      <w:r w:rsidR="00C76680" w:rsidRPr="00D97634">
        <w:rPr>
          <w:rFonts w:ascii="Times New Roman" w:eastAsia="Times New Roman" w:hAnsi="Times New Roman" w:cs="Times New Roman"/>
          <w:snapToGrid w:val="0"/>
          <w:sz w:val="24"/>
          <w:szCs w:val="24"/>
        </w:rPr>
        <w:t xml:space="preserve">n substantial kind </w:t>
      </w:r>
      <w:r w:rsidR="0056360D" w:rsidRPr="00D97634">
        <w:rPr>
          <w:rFonts w:ascii="Times New Roman" w:eastAsia="Times New Roman" w:hAnsi="Times New Roman" w:cs="Times New Roman"/>
          <w:snapToGrid w:val="0"/>
          <w:sz w:val="24"/>
          <w:szCs w:val="24"/>
        </w:rPr>
        <w:t xml:space="preserve">as to the </w:t>
      </w:r>
      <w:r w:rsidR="000802A4" w:rsidRPr="00D97634">
        <w:rPr>
          <w:rFonts w:ascii="Times New Roman" w:eastAsia="Times New Roman" w:hAnsi="Times New Roman" w:cs="Times New Roman"/>
          <w:snapToGrid w:val="0"/>
          <w:sz w:val="24"/>
          <w:szCs w:val="24"/>
        </w:rPr>
        <w:t>prior</w:t>
      </w:r>
      <w:r w:rsidR="00BB471A" w:rsidRPr="00D97634">
        <w:rPr>
          <w:rFonts w:ascii="Times New Roman" w:eastAsia="Times New Roman" w:hAnsi="Times New Roman" w:cs="Times New Roman"/>
          <w:snapToGrid w:val="0"/>
          <w:sz w:val="24"/>
          <w:szCs w:val="24"/>
        </w:rPr>
        <w:t xml:space="preserve"> P</w:t>
      </w:r>
      <w:r w:rsidR="0056360D" w:rsidRPr="00D97634">
        <w:rPr>
          <w:rFonts w:ascii="Times New Roman" w:eastAsia="Times New Roman" w:hAnsi="Times New Roman" w:cs="Times New Roman"/>
          <w:snapToGrid w:val="0"/>
          <w:sz w:val="24"/>
          <w:szCs w:val="24"/>
        </w:rPr>
        <w:t xml:space="preserve">remises </w:t>
      </w:r>
      <w:r w:rsidR="00CD7AB0" w:rsidRPr="00D97634">
        <w:rPr>
          <w:rFonts w:ascii="Times New Roman" w:eastAsia="Times New Roman" w:hAnsi="Times New Roman" w:cs="Times New Roman"/>
          <w:snapToGrid w:val="0"/>
          <w:sz w:val="24"/>
          <w:szCs w:val="24"/>
        </w:rPr>
        <w:t>bec</w:t>
      </w:r>
      <w:r w:rsidR="00C76680" w:rsidRPr="00D97634">
        <w:rPr>
          <w:rFonts w:ascii="Times New Roman" w:eastAsia="Times New Roman" w:hAnsi="Times New Roman" w:cs="Times New Roman"/>
          <w:snapToGrid w:val="0"/>
          <w:sz w:val="24"/>
          <w:szCs w:val="24"/>
        </w:rPr>
        <w:t>a</w:t>
      </w:r>
      <w:r w:rsidR="00CD7AB0" w:rsidRPr="00D97634">
        <w:rPr>
          <w:rFonts w:ascii="Times New Roman" w:eastAsia="Times New Roman" w:hAnsi="Times New Roman" w:cs="Times New Roman"/>
          <w:snapToGrid w:val="0"/>
          <w:sz w:val="24"/>
          <w:szCs w:val="24"/>
        </w:rPr>
        <w:t>u</w:t>
      </w:r>
      <w:r w:rsidR="00C76680" w:rsidRPr="00D97634">
        <w:rPr>
          <w:rFonts w:ascii="Times New Roman" w:eastAsia="Times New Roman" w:hAnsi="Times New Roman" w:cs="Times New Roman"/>
          <w:snapToGrid w:val="0"/>
          <w:sz w:val="24"/>
          <w:szCs w:val="24"/>
        </w:rPr>
        <w:t>s</w:t>
      </w:r>
      <w:r w:rsidR="00CD7AB0" w:rsidRPr="00D97634">
        <w:rPr>
          <w:rFonts w:ascii="Times New Roman" w:eastAsia="Times New Roman" w:hAnsi="Times New Roman" w:cs="Times New Roman"/>
          <w:snapToGrid w:val="0"/>
          <w:sz w:val="24"/>
          <w:szCs w:val="24"/>
        </w:rPr>
        <w:t>e</w:t>
      </w:r>
      <w:r w:rsidR="00C76680" w:rsidRPr="00D97634">
        <w:rPr>
          <w:rFonts w:ascii="Times New Roman" w:eastAsia="Times New Roman" w:hAnsi="Times New Roman" w:cs="Times New Roman"/>
          <w:snapToGrid w:val="0"/>
          <w:sz w:val="24"/>
          <w:szCs w:val="24"/>
        </w:rPr>
        <w:t xml:space="preserve"> the Hartwell Pet Food Facility is a </w:t>
      </w:r>
      <w:r w:rsidR="00CD7AB0" w:rsidRPr="00D97634">
        <w:rPr>
          <w:rFonts w:ascii="Times New Roman" w:eastAsia="Times New Roman" w:hAnsi="Times New Roman" w:cs="Times New Roman"/>
          <w:snapToGrid w:val="0"/>
          <w:sz w:val="24"/>
          <w:szCs w:val="24"/>
        </w:rPr>
        <w:t xml:space="preserve">hygienic </w:t>
      </w:r>
      <w:r w:rsidR="00C76680" w:rsidRPr="00D97634">
        <w:rPr>
          <w:rFonts w:ascii="Times New Roman" w:eastAsia="Times New Roman" w:hAnsi="Times New Roman" w:cs="Times New Roman"/>
          <w:snapToGrid w:val="0"/>
          <w:sz w:val="24"/>
          <w:szCs w:val="24"/>
        </w:rPr>
        <w:t>wet pet food manufacturing plant</w:t>
      </w:r>
      <w:r w:rsidR="00CD7AB0" w:rsidRPr="00D97634">
        <w:rPr>
          <w:rFonts w:ascii="Times New Roman" w:eastAsia="Times New Roman" w:hAnsi="Times New Roman" w:cs="Times New Roman"/>
          <w:snapToGrid w:val="0"/>
          <w:sz w:val="24"/>
          <w:szCs w:val="24"/>
        </w:rPr>
        <w:t xml:space="preserve"> whereas the old </w:t>
      </w:r>
      <w:r w:rsidR="00CD2BCA" w:rsidRPr="00D97634">
        <w:rPr>
          <w:rFonts w:ascii="Times New Roman" w:eastAsia="Times New Roman" w:hAnsi="Times New Roman" w:cs="Times New Roman"/>
          <w:snapToGrid w:val="0"/>
          <w:sz w:val="24"/>
          <w:szCs w:val="24"/>
        </w:rPr>
        <w:t>P</w:t>
      </w:r>
      <w:r w:rsidR="00CD7AB0" w:rsidRPr="00D97634">
        <w:rPr>
          <w:rFonts w:ascii="Times New Roman" w:eastAsia="Times New Roman" w:hAnsi="Times New Roman" w:cs="Times New Roman"/>
          <w:snapToGrid w:val="0"/>
          <w:sz w:val="24"/>
          <w:szCs w:val="24"/>
        </w:rPr>
        <w:t xml:space="preserve">remises was a </w:t>
      </w:r>
      <w:r w:rsidR="007323A7" w:rsidRPr="00D97634">
        <w:rPr>
          <w:rFonts w:ascii="Times New Roman" w:eastAsia="Times New Roman" w:hAnsi="Times New Roman" w:cs="Times New Roman"/>
          <w:snapToGrid w:val="0"/>
          <w:sz w:val="24"/>
          <w:szCs w:val="24"/>
        </w:rPr>
        <w:t>n</w:t>
      </w:r>
      <w:r w:rsidR="00AC3212" w:rsidRPr="00D97634">
        <w:rPr>
          <w:rFonts w:ascii="Times New Roman" w:eastAsia="Times New Roman" w:hAnsi="Times New Roman" w:cs="Times New Roman"/>
          <w:snapToGrid w:val="0"/>
          <w:sz w:val="24"/>
          <w:szCs w:val="24"/>
        </w:rPr>
        <w:t>on-</w:t>
      </w:r>
      <w:r w:rsidR="00BB471A" w:rsidRPr="00D97634">
        <w:rPr>
          <w:rFonts w:ascii="Times New Roman" w:eastAsia="Times New Roman" w:hAnsi="Times New Roman" w:cs="Times New Roman"/>
          <w:snapToGrid w:val="0"/>
          <w:sz w:val="24"/>
          <w:szCs w:val="24"/>
        </w:rPr>
        <w:t>hygienic</w:t>
      </w:r>
      <w:r w:rsidR="00CD7AB0" w:rsidRPr="00D97634">
        <w:rPr>
          <w:rFonts w:ascii="Times New Roman" w:eastAsia="Times New Roman" w:hAnsi="Times New Roman" w:cs="Times New Roman"/>
          <w:snapToGrid w:val="0"/>
          <w:sz w:val="24"/>
          <w:szCs w:val="24"/>
        </w:rPr>
        <w:t xml:space="preserve"> textile mill.</w:t>
      </w:r>
    </w:p>
    <w:p w14:paraId="2AC0DCAB" w14:textId="7E3CF828" w:rsidR="007F427D" w:rsidRPr="00D97634" w:rsidRDefault="00B154FA" w:rsidP="00780DC5">
      <w:pPr>
        <w:spacing w:after="0" w:line="480" w:lineRule="auto"/>
        <w:jc w:val="both"/>
        <w:rPr>
          <w:rFonts w:ascii="Times New Roman" w:eastAsia="Times New Roman" w:hAnsi="Times New Roman" w:cs="Times New Roman"/>
          <w:snapToGrid w:val="0"/>
          <w:sz w:val="24"/>
          <w:szCs w:val="24"/>
        </w:rPr>
      </w:pPr>
      <w:r w:rsidRPr="00D97634">
        <w:rPr>
          <w:rFonts w:ascii="Times New Roman" w:eastAsia="Times New Roman" w:hAnsi="Times New Roman" w:cs="Times New Roman"/>
          <w:snapToGrid w:val="0"/>
          <w:sz w:val="24"/>
          <w:szCs w:val="24"/>
        </w:rPr>
        <w:tab/>
      </w:r>
      <w:r w:rsidR="00963CB4" w:rsidRPr="00D97634">
        <w:rPr>
          <w:rFonts w:ascii="Times New Roman" w:eastAsia="Times New Roman" w:hAnsi="Times New Roman" w:cs="Times New Roman"/>
          <w:snapToGrid w:val="0"/>
          <w:sz w:val="24"/>
          <w:szCs w:val="24"/>
        </w:rPr>
        <w:t xml:space="preserve">After undertaking discovery </w:t>
      </w:r>
      <w:r w:rsidR="00C231AB" w:rsidRPr="00D97634">
        <w:rPr>
          <w:rFonts w:ascii="Times New Roman" w:eastAsia="Times New Roman" w:hAnsi="Times New Roman" w:cs="Times New Roman"/>
          <w:snapToGrid w:val="0"/>
          <w:sz w:val="24"/>
          <w:szCs w:val="24"/>
        </w:rPr>
        <w:t>and pre-filing testimony</w:t>
      </w:r>
      <w:r w:rsidR="00044758" w:rsidRPr="00D97634">
        <w:rPr>
          <w:rFonts w:ascii="Times New Roman" w:eastAsia="Times New Roman" w:hAnsi="Times New Roman" w:cs="Times New Roman"/>
          <w:snapToGrid w:val="0"/>
          <w:sz w:val="24"/>
          <w:szCs w:val="24"/>
        </w:rPr>
        <w:t>, t</w:t>
      </w:r>
      <w:r w:rsidR="00E97466" w:rsidRPr="00D97634">
        <w:rPr>
          <w:rFonts w:ascii="Times New Roman" w:eastAsia="Times New Roman" w:hAnsi="Times New Roman" w:cs="Times New Roman"/>
          <w:snapToGrid w:val="0"/>
          <w:sz w:val="24"/>
          <w:szCs w:val="24"/>
        </w:rPr>
        <w:t>he Parties presented evidence before Hearing Officer Nancy Gibson (the “Hearing Officer”) on September 4-5, 20</w:t>
      </w:r>
      <w:r w:rsidR="00F27236" w:rsidRPr="00D97634">
        <w:rPr>
          <w:rFonts w:ascii="Times New Roman" w:eastAsia="Times New Roman" w:hAnsi="Times New Roman" w:cs="Times New Roman"/>
          <w:snapToGrid w:val="0"/>
          <w:sz w:val="24"/>
          <w:szCs w:val="24"/>
        </w:rPr>
        <w:t>19</w:t>
      </w:r>
      <w:r w:rsidR="00CB595A" w:rsidRPr="00D97634">
        <w:rPr>
          <w:rFonts w:ascii="Times New Roman" w:eastAsia="Times New Roman" w:hAnsi="Times New Roman" w:cs="Times New Roman"/>
          <w:snapToGrid w:val="0"/>
          <w:sz w:val="24"/>
          <w:szCs w:val="24"/>
        </w:rPr>
        <w:t xml:space="preserve"> (the “Hearing”)</w:t>
      </w:r>
      <w:r w:rsidR="00E97466" w:rsidRPr="00D97634">
        <w:rPr>
          <w:rFonts w:ascii="Times New Roman" w:eastAsia="Times New Roman" w:hAnsi="Times New Roman" w:cs="Times New Roman"/>
          <w:snapToGrid w:val="0"/>
          <w:sz w:val="24"/>
          <w:szCs w:val="24"/>
        </w:rPr>
        <w:t xml:space="preserve">.  </w:t>
      </w:r>
      <w:r w:rsidRPr="00D97634">
        <w:rPr>
          <w:rFonts w:ascii="Times New Roman" w:eastAsia="Times New Roman" w:hAnsi="Times New Roman" w:cs="Times New Roman"/>
          <w:snapToGrid w:val="0"/>
          <w:sz w:val="24"/>
          <w:szCs w:val="24"/>
        </w:rPr>
        <w:t xml:space="preserve">On January 24, 2020, </w:t>
      </w:r>
      <w:r w:rsidR="00E97466" w:rsidRPr="00D97634">
        <w:rPr>
          <w:rFonts w:ascii="Times New Roman" w:eastAsia="Times New Roman" w:hAnsi="Times New Roman" w:cs="Times New Roman"/>
          <w:snapToGrid w:val="0"/>
          <w:sz w:val="24"/>
          <w:szCs w:val="24"/>
        </w:rPr>
        <w:t xml:space="preserve">the </w:t>
      </w:r>
      <w:r w:rsidR="007D68C4" w:rsidRPr="00D97634">
        <w:rPr>
          <w:rFonts w:ascii="Times New Roman" w:eastAsia="Times New Roman" w:hAnsi="Times New Roman" w:cs="Times New Roman"/>
          <w:snapToGrid w:val="0"/>
          <w:sz w:val="24"/>
          <w:szCs w:val="24"/>
        </w:rPr>
        <w:t xml:space="preserve">Hearing Officer issued the Initial Decision denying </w:t>
      </w:r>
      <w:r w:rsidR="00F6464B" w:rsidRPr="00D97634">
        <w:rPr>
          <w:rFonts w:ascii="Times New Roman" w:eastAsia="Times New Roman" w:hAnsi="Times New Roman" w:cs="Times New Roman"/>
          <w:snapToGrid w:val="0"/>
          <w:sz w:val="24"/>
          <w:szCs w:val="24"/>
        </w:rPr>
        <w:t xml:space="preserve">the relief sought in </w:t>
      </w:r>
      <w:r w:rsidR="007D68C4" w:rsidRPr="00D97634">
        <w:rPr>
          <w:rFonts w:ascii="Times New Roman" w:eastAsia="Times New Roman" w:hAnsi="Times New Roman" w:cs="Times New Roman"/>
          <w:snapToGrid w:val="0"/>
          <w:sz w:val="24"/>
          <w:szCs w:val="24"/>
        </w:rPr>
        <w:t xml:space="preserve">Georgia Power’s Complaint.  The </w:t>
      </w:r>
      <w:r w:rsidR="003F43FF" w:rsidRPr="00D97634">
        <w:rPr>
          <w:rFonts w:ascii="Times New Roman" w:eastAsia="Times New Roman" w:hAnsi="Times New Roman" w:cs="Times New Roman"/>
          <w:snapToGrid w:val="0"/>
          <w:sz w:val="24"/>
          <w:szCs w:val="24"/>
        </w:rPr>
        <w:t>O</w:t>
      </w:r>
      <w:r w:rsidR="007D68C4" w:rsidRPr="00D97634">
        <w:rPr>
          <w:rFonts w:ascii="Times New Roman" w:eastAsia="Times New Roman" w:hAnsi="Times New Roman" w:cs="Times New Roman"/>
          <w:snapToGrid w:val="0"/>
          <w:sz w:val="24"/>
          <w:szCs w:val="24"/>
        </w:rPr>
        <w:t>rdering paragraphs state, in pertinent part:</w:t>
      </w:r>
    </w:p>
    <w:p w14:paraId="43DE4358" w14:textId="77777777" w:rsidR="007D68C4" w:rsidRPr="00D97634" w:rsidRDefault="00B154FA" w:rsidP="00780DC5">
      <w:pPr>
        <w:ind w:left="720" w:right="720"/>
        <w:jc w:val="both"/>
        <w:rPr>
          <w:rFonts w:ascii="Times New Roman" w:eastAsia="Times New Roman" w:hAnsi="Times New Roman" w:cs="Times New Roman"/>
          <w:snapToGrid w:val="0"/>
          <w:sz w:val="24"/>
          <w:szCs w:val="24"/>
        </w:rPr>
      </w:pPr>
      <w:r w:rsidRPr="00D97634">
        <w:rPr>
          <w:rFonts w:ascii="Times New Roman" w:eastAsia="Times New Roman" w:hAnsi="Times New Roman" w:cs="Times New Roman"/>
          <w:sz w:val="24"/>
          <w:szCs w:val="24"/>
        </w:rPr>
        <w:t xml:space="preserve">[T]he Petition of Georgia Power Company claiming that Walton Electric Corporation is in violation of the Georgia Territorial Act is DENIED as the Hearing Officer finds that </w:t>
      </w:r>
      <w:r w:rsidRPr="00D97634">
        <w:rPr>
          <w:rFonts w:ascii="Times New Roman" w:eastAsia="Times New Roman" w:hAnsi="Times New Roman" w:cs="Times New Roman"/>
          <w:sz w:val="24"/>
          <w:szCs w:val="24"/>
          <w:u w:val="single"/>
        </w:rPr>
        <w:t>the Premises was destroyed or dismantled</w:t>
      </w:r>
      <w:r w:rsidRPr="00D97634">
        <w:rPr>
          <w:rFonts w:ascii="Times New Roman" w:eastAsia="Times New Roman" w:hAnsi="Times New Roman" w:cs="Times New Roman"/>
          <w:sz w:val="24"/>
          <w:szCs w:val="24"/>
        </w:rPr>
        <w:t xml:space="preserve">, that </w:t>
      </w:r>
      <w:r w:rsidRPr="00D97634">
        <w:rPr>
          <w:rFonts w:ascii="Times New Roman" w:eastAsia="Times New Roman" w:hAnsi="Times New Roman" w:cs="Times New Roman"/>
          <w:sz w:val="24"/>
          <w:szCs w:val="24"/>
          <w:u w:val="single"/>
        </w:rPr>
        <w:t>a new Premises exists</w:t>
      </w:r>
      <w:r w:rsidRPr="00D97634">
        <w:rPr>
          <w:rFonts w:ascii="Times New Roman" w:eastAsia="Times New Roman" w:hAnsi="Times New Roman" w:cs="Times New Roman"/>
          <w:sz w:val="24"/>
          <w:szCs w:val="24"/>
        </w:rPr>
        <w:t xml:space="preserve"> and there has </w:t>
      </w:r>
      <w:r w:rsidRPr="00D97634">
        <w:rPr>
          <w:rFonts w:ascii="Times New Roman" w:eastAsia="Times New Roman" w:hAnsi="Times New Roman" w:cs="Times New Roman"/>
          <w:spacing w:val="4"/>
          <w:sz w:val="24"/>
          <w:szCs w:val="24"/>
          <w:u w:val="single"/>
        </w:rPr>
        <w:t>been no reconstruction in kind</w:t>
      </w:r>
      <w:r w:rsidRPr="00D97634">
        <w:rPr>
          <w:rFonts w:ascii="Times New Roman" w:eastAsia="Times New Roman" w:hAnsi="Times New Roman" w:cs="Times New Roman"/>
          <w:spacing w:val="4"/>
          <w:sz w:val="24"/>
          <w:szCs w:val="24"/>
        </w:rPr>
        <w:t xml:space="preserve"> so as to afford Georgia Power any grandfather rights at the Premises.</w:t>
      </w:r>
    </w:p>
    <w:p w14:paraId="40CA5BCA" w14:textId="77777777" w:rsidR="00AA2558" w:rsidRPr="00D97634" w:rsidRDefault="00B154FA" w:rsidP="00780DC5">
      <w:pPr>
        <w:spacing w:after="0" w:line="480" w:lineRule="auto"/>
        <w:jc w:val="both"/>
        <w:rPr>
          <w:rFonts w:ascii="Times New Roman" w:eastAsia="Times New Roman" w:hAnsi="Times New Roman" w:cs="Times New Roman"/>
          <w:snapToGrid w:val="0"/>
          <w:sz w:val="24"/>
          <w:szCs w:val="24"/>
        </w:rPr>
      </w:pPr>
      <w:r w:rsidRPr="00D97634">
        <w:rPr>
          <w:rFonts w:ascii="Times New Roman" w:eastAsia="Times New Roman" w:hAnsi="Times New Roman" w:cs="Times New Roman"/>
          <w:snapToGrid w:val="0"/>
          <w:sz w:val="24"/>
          <w:szCs w:val="24"/>
        </w:rPr>
        <w:t xml:space="preserve">(Initial Decision, at 12 </w:t>
      </w:r>
      <w:r w:rsidR="003900DF" w:rsidRPr="00D97634">
        <w:rPr>
          <w:rFonts w:ascii="Times New Roman" w:eastAsia="Times New Roman" w:hAnsi="Times New Roman" w:cs="Times New Roman"/>
          <w:snapToGrid w:val="0"/>
          <w:sz w:val="24"/>
          <w:szCs w:val="24"/>
        </w:rPr>
        <w:t>(emphasis added).</w:t>
      </w:r>
      <w:r w:rsidRPr="00D97634">
        <w:rPr>
          <w:rFonts w:ascii="Times New Roman" w:eastAsia="Times New Roman" w:hAnsi="Times New Roman" w:cs="Times New Roman"/>
          <w:snapToGrid w:val="0"/>
          <w:sz w:val="24"/>
          <w:szCs w:val="24"/>
        </w:rPr>
        <w:t>)</w:t>
      </w:r>
      <w:r w:rsidR="003900DF" w:rsidRPr="00D97634">
        <w:rPr>
          <w:rFonts w:ascii="Times New Roman" w:eastAsia="Times New Roman" w:hAnsi="Times New Roman" w:cs="Times New Roman"/>
          <w:snapToGrid w:val="0"/>
          <w:sz w:val="24"/>
          <w:szCs w:val="24"/>
        </w:rPr>
        <w:t xml:space="preserve"> </w:t>
      </w:r>
    </w:p>
    <w:p w14:paraId="2E301F8A" w14:textId="648828B1" w:rsidR="007F427D" w:rsidRPr="00D97634" w:rsidRDefault="00B154FA" w:rsidP="00780DC5">
      <w:pPr>
        <w:spacing w:after="0" w:line="480" w:lineRule="auto"/>
        <w:jc w:val="both"/>
        <w:rPr>
          <w:rFonts w:ascii="Times New Roman" w:eastAsia="Times New Roman" w:hAnsi="Times New Roman" w:cs="Times New Roman"/>
          <w:snapToGrid w:val="0"/>
          <w:sz w:val="24"/>
          <w:szCs w:val="24"/>
        </w:rPr>
      </w:pPr>
      <w:r w:rsidRPr="00D97634">
        <w:rPr>
          <w:rFonts w:ascii="Times New Roman" w:eastAsia="Times New Roman" w:hAnsi="Times New Roman" w:cs="Times New Roman"/>
          <w:snapToGrid w:val="0"/>
          <w:sz w:val="24"/>
          <w:szCs w:val="24"/>
        </w:rPr>
        <w:tab/>
      </w:r>
      <w:r w:rsidR="007D68C4" w:rsidRPr="00D97634">
        <w:rPr>
          <w:rFonts w:ascii="Times New Roman" w:eastAsia="Times New Roman" w:hAnsi="Times New Roman" w:cs="Times New Roman"/>
          <w:snapToGrid w:val="0"/>
          <w:sz w:val="24"/>
          <w:szCs w:val="24"/>
        </w:rPr>
        <w:t xml:space="preserve">Georgia Power has now filed </w:t>
      </w:r>
      <w:r w:rsidR="00280DF2" w:rsidRPr="00D97634">
        <w:rPr>
          <w:rFonts w:ascii="Times New Roman" w:eastAsia="Times New Roman" w:hAnsi="Times New Roman" w:cs="Times New Roman"/>
          <w:snapToGrid w:val="0"/>
          <w:sz w:val="24"/>
          <w:szCs w:val="24"/>
        </w:rPr>
        <w:t>its</w:t>
      </w:r>
      <w:r w:rsidR="007D68C4" w:rsidRPr="00D97634">
        <w:rPr>
          <w:rFonts w:ascii="Times New Roman" w:eastAsia="Times New Roman" w:hAnsi="Times New Roman" w:cs="Times New Roman"/>
          <w:snapToGrid w:val="0"/>
          <w:sz w:val="24"/>
          <w:szCs w:val="24"/>
        </w:rPr>
        <w:t xml:space="preserve"> Application requesting the Initial Decision be reversed. </w:t>
      </w:r>
      <w:r w:rsidR="00CD7AB0" w:rsidRPr="00D97634">
        <w:rPr>
          <w:rFonts w:ascii="Times New Roman" w:eastAsia="Times New Roman" w:hAnsi="Times New Roman" w:cs="Times New Roman"/>
          <w:snapToGrid w:val="0"/>
          <w:sz w:val="24"/>
          <w:szCs w:val="24"/>
        </w:rPr>
        <w:t xml:space="preserve"> </w:t>
      </w:r>
      <w:r w:rsidR="007D68C4" w:rsidRPr="00D97634">
        <w:rPr>
          <w:rFonts w:ascii="Times New Roman" w:eastAsia="Times New Roman" w:hAnsi="Times New Roman" w:cs="Times New Roman"/>
          <w:snapToGrid w:val="0"/>
          <w:sz w:val="24"/>
          <w:szCs w:val="24"/>
        </w:rPr>
        <w:t>Georgia Power</w:t>
      </w:r>
      <w:r w:rsidR="00F6464B" w:rsidRPr="00D97634">
        <w:rPr>
          <w:rFonts w:ascii="Times New Roman" w:eastAsia="Times New Roman" w:hAnsi="Times New Roman" w:cs="Times New Roman"/>
          <w:snapToGrid w:val="0"/>
          <w:sz w:val="24"/>
          <w:szCs w:val="24"/>
        </w:rPr>
        <w:t>’</w:t>
      </w:r>
      <w:r w:rsidR="00CD7AB0" w:rsidRPr="00D97634">
        <w:rPr>
          <w:rFonts w:ascii="Times New Roman" w:eastAsia="Times New Roman" w:hAnsi="Times New Roman" w:cs="Times New Roman"/>
          <w:snapToGrid w:val="0"/>
          <w:sz w:val="24"/>
          <w:szCs w:val="24"/>
        </w:rPr>
        <w:t>s Application</w:t>
      </w:r>
      <w:r w:rsidR="007D68C4" w:rsidRPr="00D97634">
        <w:rPr>
          <w:rFonts w:ascii="Times New Roman" w:eastAsia="Times New Roman" w:hAnsi="Times New Roman" w:cs="Times New Roman"/>
          <w:snapToGrid w:val="0"/>
          <w:sz w:val="24"/>
          <w:szCs w:val="24"/>
        </w:rPr>
        <w:t xml:space="preserve"> </w:t>
      </w:r>
      <w:r w:rsidR="00CD7AB0" w:rsidRPr="00D97634">
        <w:rPr>
          <w:rFonts w:ascii="Times New Roman" w:eastAsia="Times New Roman" w:hAnsi="Times New Roman" w:cs="Times New Roman"/>
          <w:snapToGrid w:val="0"/>
          <w:sz w:val="24"/>
          <w:szCs w:val="24"/>
        </w:rPr>
        <w:t>contends</w:t>
      </w:r>
      <w:r w:rsidR="007D68C4" w:rsidRPr="00D97634">
        <w:rPr>
          <w:rFonts w:ascii="Times New Roman" w:eastAsia="Times New Roman" w:hAnsi="Times New Roman" w:cs="Times New Roman"/>
          <w:snapToGrid w:val="0"/>
          <w:sz w:val="24"/>
          <w:szCs w:val="24"/>
        </w:rPr>
        <w:t xml:space="preserve"> </w:t>
      </w:r>
      <w:r w:rsidR="00CD7AB0" w:rsidRPr="00D97634">
        <w:rPr>
          <w:rFonts w:ascii="Times New Roman" w:eastAsia="Times New Roman" w:hAnsi="Times New Roman" w:cs="Times New Roman"/>
          <w:snapToGrid w:val="0"/>
          <w:sz w:val="24"/>
          <w:szCs w:val="24"/>
        </w:rPr>
        <w:t xml:space="preserve">that </w:t>
      </w:r>
      <w:r w:rsidR="007D68C4" w:rsidRPr="00D97634">
        <w:rPr>
          <w:rFonts w:ascii="Times New Roman" w:eastAsia="Times New Roman" w:hAnsi="Times New Roman" w:cs="Times New Roman"/>
          <w:snapToGrid w:val="0"/>
          <w:sz w:val="24"/>
          <w:szCs w:val="24"/>
        </w:rPr>
        <w:t>the Hearing Officer failed to adhere to the plain language of the Territorial Act.</w:t>
      </w:r>
      <w:r w:rsidR="00D55A9A" w:rsidRPr="00D97634">
        <w:rPr>
          <w:rFonts w:ascii="Times New Roman" w:eastAsia="Times New Roman" w:hAnsi="Times New Roman" w:cs="Times New Roman"/>
          <w:snapToGrid w:val="0"/>
          <w:sz w:val="24"/>
          <w:szCs w:val="24"/>
        </w:rPr>
        <w:t xml:space="preserve">  Georgia </w:t>
      </w:r>
      <w:r w:rsidR="00CD7AB0" w:rsidRPr="00D97634">
        <w:rPr>
          <w:rFonts w:ascii="Times New Roman" w:eastAsia="Times New Roman" w:hAnsi="Times New Roman" w:cs="Times New Roman"/>
          <w:snapToGrid w:val="0"/>
          <w:sz w:val="24"/>
          <w:szCs w:val="24"/>
        </w:rPr>
        <w:t>P</w:t>
      </w:r>
      <w:r w:rsidR="00D55A9A" w:rsidRPr="00D97634">
        <w:rPr>
          <w:rFonts w:ascii="Times New Roman" w:eastAsia="Times New Roman" w:hAnsi="Times New Roman" w:cs="Times New Roman"/>
          <w:snapToGrid w:val="0"/>
          <w:sz w:val="24"/>
          <w:szCs w:val="24"/>
        </w:rPr>
        <w:t>ower is wrong</w:t>
      </w:r>
      <w:r w:rsidR="00CD7AB0" w:rsidRPr="00D97634">
        <w:rPr>
          <w:rFonts w:ascii="Times New Roman" w:eastAsia="Times New Roman" w:hAnsi="Times New Roman" w:cs="Times New Roman"/>
          <w:snapToGrid w:val="0"/>
          <w:sz w:val="24"/>
          <w:szCs w:val="24"/>
        </w:rPr>
        <w:t xml:space="preserve"> and </w:t>
      </w:r>
      <w:r w:rsidR="007A0242" w:rsidRPr="00D97634">
        <w:rPr>
          <w:rFonts w:ascii="Times New Roman" w:eastAsia="Times New Roman" w:hAnsi="Times New Roman" w:cs="Times New Roman"/>
          <w:snapToGrid w:val="0"/>
          <w:sz w:val="24"/>
          <w:szCs w:val="24"/>
        </w:rPr>
        <w:t xml:space="preserve">ignores </w:t>
      </w:r>
      <w:r w:rsidR="00CD7AB0" w:rsidRPr="00D97634">
        <w:rPr>
          <w:rFonts w:ascii="Times New Roman" w:eastAsia="Times New Roman" w:hAnsi="Times New Roman" w:cs="Times New Roman"/>
          <w:snapToGrid w:val="0"/>
          <w:sz w:val="24"/>
          <w:szCs w:val="24"/>
        </w:rPr>
        <w:t xml:space="preserve">both </w:t>
      </w:r>
      <w:r w:rsidR="007A0242" w:rsidRPr="00D97634">
        <w:rPr>
          <w:rFonts w:ascii="Times New Roman" w:eastAsia="Times New Roman" w:hAnsi="Times New Roman" w:cs="Times New Roman"/>
          <w:snapToGrid w:val="0"/>
          <w:sz w:val="24"/>
          <w:szCs w:val="24"/>
        </w:rPr>
        <w:t xml:space="preserve">the evidence presented </w:t>
      </w:r>
      <w:r w:rsidR="00924B0F" w:rsidRPr="00D97634">
        <w:rPr>
          <w:rFonts w:ascii="Times New Roman" w:eastAsia="Times New Roman" w:hAnsi="Times New Roman" w:cs="Times New Roman"/>
          <w:snapToGrid w:val="0"/>
          <w:sz w:val="24"/>
          <w:szCs w:val="24"/>
        </w:rPr>
        <w:t xml:space="preserve">regarding the </w:t>
      </w:r>
      <w:r w:rsidR="00F6464B" w:rsidRPr="00D97634">
        <w:rPr>
          <w:rFonts w:ascii="Times New Roman" w:eastAsia="Times New Roman" w:hAnsi="Times New Roman" w:cs="Times New Roman"/>
          <w:snapToGrid w:val="0"/>
          <w:sz w:val="24"/>
          <w:szCs w:val="24"/>
        </w:rPr>
        <w:t xml:space="preserve">extensive </w:t>
      </w:r>
      <w:r w:rsidR="00924B0F" w:rsidRPr="00D97634">
        <w:rPr>
          <w:rFonts w:ascii="Times New Roman" w:eastAsia="Times New Roman" w:hAnsi="Times New Roman" w:cs="Times New Roman"/>
          <w:snapToGrid w:val="0"/>
          <w:sz w:val="24"/>
          <w:szCs w:val="24"/>
        </w:rPr>
        <w:t xml:space="preserve">work done </w:t>
      </w:r>
      <w:r w:rsidR="00307F6E" w:rsidRPr="00D97634">
        <w:rPr>
          <w:rFonts w:ascii="Times New Roman" w:eastAsia="Times New Roman" w:hAnsi="Times New Roman" w:cs="Times New Roman"/>
          <w:snapToGrid w:val="0"/>
          <w:sz w:val="24"/>
          <w:szCs w:val="24"/>
        </w:rPr>
        <w:t xml:space="preserve">by </w:t>
      </w:r>
      <w:r w:rsidR="00F6464B" w:rsidRPr="00D97634">
        <w:rPr>
          <w:rFonts w:ascii="Times New Roman" w:eastAsia="Times New Roman" w:hAnsi="Times New Roman" w:cs="Times New Roman"/>
          <w:snapToGrid w:val="0"/>
          <w:sz w:val="24"/>
          <w:szCs w:val="24"/>
        </w:rPr>
        <w:t xml:space="preserve">Nestlé Purina </w:t>
      </w:r>
      <w:r w:rsidR="00924B0F" w:rsidRPr="00D97634">
        <w:rPr>
          <w:rFonts w:ascii="Times New Roman" w:eastAsia="Times New Roman" w:hAnsi="Times New Roman" w:cs="Times New Roman"/>
          <w:snapToGrid w:val="0"/>
          <w:sz w:val="24"/>
          <w:szCs w:val="24"/>
        </w:rPr>
        <w:t>at the Hartwell Pet Food Facility</w:t>
      </w:r>
      <w:r w:rsidR="00CD7AB0" w:rsidRPr="00D97634">
        <w:rPr>
          <w:rFonts w:ascii="Times New Roman" w:eastAsia="Times New Roman" w:hAnsi="Times New Roman" w:cs="Times New Roman"/>
          <w:snapToGrid w:val="0"/>
          <w:sz w:val="24"/>
          <w:szCs w:val="24"/>
        </w:rPr>
        <w:t xml:space="preserve"> </w:t>
      </w:r>
      <w:r w:rsidR="007A0242" w:rsidRPr="00D97634">
        <w:rPr>
          <w:rFonts w:ascii="Times New Roman" w:eastAsia="Times New Roman" w:hAnsi="Times New Roman" w:cs="Times New Roman"/>
          <w:snapToGrid w:val="0"/>
          <w:sz w:val="24"/>
          <w:szCs w:val="24"/>
        </w:rPr>
        <w:t xml:space="preserve">and </w:t>
      </w:r>
      <w:r w:rsidR="00924B0F" w:rsidRPr="00D97634">
        <w:rPr>
          <w:rFonts w:ascii="Times New Roman" w:eastAsia="Times New Roman" w:hAnsi="Times New Roman" w:cs="Times New Roman"/>
          <w:snapToGrid w:val="0"/>
          <w:sz w:val="24"/>
          <w:szCs w:val="24"/>
        </w:rPr>
        <w:t xml:space="preserve">the </w:t>
      </w:r>
      <w:r w:rsidR="00924B0F" w:rsidRPr="00D97634">
        <w:rPr>
          <w:rFonts w:ascii="Times New Roman" w:eastAsia="Times New Roman" w:hAnsi="Times New Roman" w:cs="Times New Roman"/>
          <w:snapToGrid w:val="0"/>
          <w:sz w:val="24"/>
          <w:szCs w:val="24"/>
        </w:rPr>
        <w:lastRenderedPageBreak/>
        <w:t>controlling legal authority applied in the Initial Decision.  The Application should be denied</w:t>
      </w:r>
      <w:r w:rsidR="007D68C4" w:rsidRPr="00D97634">
        <w:rPr>
          <w:rFonts w:ascii="Times New Roman" w:eastAsia="Times New Roman" w:hAnsi="Times New Roman" w:cs="Times New Roman"/>
          <w:snapToGrid w:val="0"/>
          <w:sz w:val="24"/>
          <w:szCs w:val="24"/>
        </w:rPr>
        <w:t>.</w:t>
      </w:r>
      <w:r w:rsidR="000802A4" w:rsidRPr="00D97634">
        <w:rPr>
          <w:rFonts w:ascii="Times New Roman" w:eastAsia="Times New Roman" w:hAnsi="Times New Roman" w:cs="Times New Roman"/>
          <w:snapToGrid w:val="0"/>
          <w:sz w:val="24"/>
          <w:szCs w:val="24"/>
        </w:rPr>
        <w:t xml:space="preserve">  </w:t>
      </w:r>
      <w:r w:rsidR="000802A4" w:rsidRPr="00D97634">
        <w:rPr>
          <w:rFonts w:ascii="Times New Roman" w:hAnsi="Times New Roman" w:cs="Times New Roman"/>
          <w:sz w:val="24"/>
          <w:szCs w:val="24"/>
        </w:rPr>
        <w:t>Upon conclusion of these proceedings, Walton EMC and Nestlé Purina are prepared to commit to a new solar energy project that will serve the Hartwell Pet Food Facility.</w:t>
      </w:r>
    </w:p>
    <w:p w14:paraId="0736ABBB" w14:textId="77777777" w:rsidR="003546AB" w:rsidRPr="00D97634" w:rsidRDefault="00B154FA" w:rsidP="00A47E3F">
      <w:pPr>
        <w:keepNext/>
        <w:jc w:val="center"/>
        <w:rPr>
          <w:rFonts w:ascii="Times New Roman" w:eastAsia="Times New Roman" w:hAnsi="Times New Roman" w:cs="Times New Roman"/>
          <w:b/>
          <w:snapToGrid w:val="0"/>
          <w:sz w:val="24"/>
          <w:szCs w:val="24"/>
          <w:u w:val="single"/>
        </w:rPr>
      </w:pPr>
      <w:r w:rsidRPr="00D97634">
        <w:rPr>
          <w:rFonts w:ascii="Times New Roman" w:eastAsia="Times New Roman" w:hAnsi="Times New Roman" w:cs="Times New Roman"/>
          <w:b/>
          <w:snapToGrid w:val="0"/>
          <w:sz w:val="24"/>
          <w:szCs w:val="24"/>
          <w:u w:val="single"/>
        </w:rPr>
        <w:t>ARG</w:t>
      </w:r>
      <w:r w:rsidR="00A47E3F" w:rsidRPr="00D97634">
        <w:rPr>
          <w:rFonts w:ascii="Times New Roman" w:eastAsia="Times New Roman" w:hAnsi="Times New Roman" w:cs="Times New Roman"/>
          <w:b/>
          <w:snapToGrid w:val="0"/>
          <w:sz w:val="24"/>
          <w:szCs w:val="24"/>
          <w:u w:val="single"/>
        </w:rPr>
        <w:t>UMENT AND CITATION OF AUTHORITY</w:t>
      </w:r>
    </w:p>
    <w:p w14:paraId="5766DA0F" w14:textId="77777777" w:rsidR="000F039F" w:rsidRPr="00D97634" w:rsidRDefault="00B154FA" w:rsidP="00A47E3F">
      <w:pPr>
        <w:pStyle w:val="ListParagraph"/>
        <w:keepNext/>
        <w:numPr>
          <w:ilvl w:val="0"/>
          <w:numId w:val="1"/>
        </w:numPr>
        <w:rPr>
          <w:rFonts w:ascii="Times New Roman" w:eastAsia="Times New Roman" w:hAnsi="Times New Roman" w:cs="Times New Roman"/>
          <w:sz w:val="24"/>
          <w:szCs w:val="24"/>
        </w:rPr>
      </w:pPr>
      <w:r w:rsidRPr="00D97634">
        <w:rPr>
          <w:rFonts w:ascii="Times New Roman" w:hAnsi="Times New Roman" w:cs="Times New Roman"/>
          <w:b/>
          <w:sz w:val="24"/>
          <w:szCs w:val="24"/>
          <w:u w:val="single"/>
        </w:rPr>
        <w:t>The Initial Decision</w:t>
      </w:r>
      <w:r w:rsidR="00A816BD" w:rsidRPr="00D97634">
        <w:rPr>
          <w:rFonts w:ascii="Times New Roman" w:hAnsi="Times New Roman" w:cs="Times New Roman"/>
          <w:b/>
          <w:sz w:val="24"/>
          <w:szCs w:val="24"/>
          <w:u w:val="single"/>
        </w:rPr>
        <w:t>’</w:t>
      </w:r>
      <w:r w:rsidRPr="00D97634">
        <w:rPr>
          <w:rFonts w:ascii="Times New Roman" w:hAnsi="Times New Roman" w:cs="Times New Roman"/>
          <w:b/>
          <w:sz w:val="24"/>
          <w:szCs w:val="24"/>
          <w:u w:val="single"/>
        </w:rPr>
        <w:t xml:space="preserve">s Holding </w:t>
      </w:r>
      <w:r w:rsidR="00EC3ED3" w:rsidRPr="00D97634">
        <w:rPr>
          <w:rFonts w:ascii="Times New Roman" w:hAnsi="Times New Roman" w:cs="Times New Roman"/>
          <w:b/>
          <w:sz w:val="24"/>
          <w:szCs w:val="24"/>
          <w:u w:val="single"/>
        </w:rPr>
        <w:t>is</w:t>
      </w:r>
      <w:r w:rsidRPr="00D97634">
        <w:rPr>
          <w:rFonts w:ascii="Times New Roman" w:hAnsi="Times New Roman" w:cs="Times New Roman"/>
          <w:b/>
          <w:sz w:val="24"/>
          <w:szCs w:val="24"/>
          <w:u w:val="single"/>
        </w:rPr>
        <w:t xml:space="preserve"> Correctly Decided.</w:t>
      </w:r>
    </w:p>
    <w:p w14:paraId="1FC842F9" w14:textId="109E78E3" w:rsidR="007D2F0C" w:rsidRPr="00D97634" w:rsidRDefault="00B154FA" w:rsidP="00BC0F18">
      <w:pPr>
        <w:spacing w:after="0" w:line="480" w:lineRule="auto"/>
        <w:jc w:val="both"/>
        <w:rPr>
          <w:rFonts w:ascii="Times New Roman" w:eastAsia="Times New Roman" w:hAnsi="Times New Roman" w:cs="Times New Roman"/>
          <w:sz w:val="24"/>
          <w:szCs w:val="24"/>
        </w:rPr>
      </w:pPr>
      <w:r w:rsidRPr="00D97634">
        <w:rPr>
          <w:rFonts w:ascii="Times New Roman" w:eastAsia="Times New Roman" w:hAnsi="Times New Roman" w:cs="Times New Roman"/>
          <w:snapToGrid w:val="0"/>
          <w:sz w:val="24"/>
          <w:szCs w:val="24"/>
        </w:rPr>
        <w:tab/>
        <w:t xml:space="preserve">Georgia Power’s central argument is that the Hartwell Pet Food Facility is not a “new premises” as </w:t>
      </w:r>
      <w:r w:rsidR="005A6CD4" w:rsidRPr="00D97634">
        <w:rPr>
          <w:rFonts w:ascii="Times New Roman" w:eastAsia="Times New Roman" w:hAnsi="Times New Roman" w:cs="Times New Roman"/>
          <w:snapToGrid w:val="0"/>
          <w:sz w:val="24"/>
          <w:szCs w:val="24"/>
        </w:rPr>
        <w:t>applied to the Territorial Act</w:t>
      </w:r>
      <w:r w:rsidR="00C72D94" w:rsidRPr="00D97634">
        <w:rPr>
          <w:rFonts w:ascii="Times New Roman" w:eastAsia="Times New Roman" w:hAnsi="Times New Roman" w:cs="Times New Roman"/>
          <w:snapToGrid w:val="0"/>
          <w:sz w:val="24"/>
          <w:szCs w:val="24"/>
        </w:rPr>
        <w:t xml:space="preserve">.  </w:t>
      </w:r>
      <w:r w:rsidR="00AC6600" w:rsidRPr="00D97634">
        <w:rPr>
          <w:rFonts w:ascii="Times New Roman" w:eastAsia="Times New Roman" w:hAnsi="Times New Roman" w:cs="Times New Roman"/>
          <w:snapToGrid w:val="0"/>
          <w:sz w:val="24"/>
          <w:szCs w:val="24"/>
        </w:rPr>
        <w:t>Therefore</w:t>
      </w:r>
      <w:r w:rsidR="00C72D94" w:rsidRPr="00D97634">
        <w:rPr>
          <w:rFonts w:ascii="Times New Roman" w:eastAsia="Times New Roman" w:hAnsi="Times New Roman" w:cs="Times New Roman"/>
          <w:snapToGrid w:val="0"/>
          <w:sz w:val="24"/>
          <w:szCs w:val="24"/>
        </w:rPr>
        <w:t xml:space="preserve">, </w:t>
      </w:r>
      <w:r w:rsidR="005A6CD4" w:rsidRPr="00D97634">
        <w:rPr>
          <w:rFonts w:ascii="Times New Roman" w:eastAsia="Times New Roman" w:hAnsi="Times New Roman" w:cs="Times New Roman"/>
          <w:snapToGrid w:val="0"/>
          <w:sz w:val="24"/>
          <w:szCs w:val="24"/>
        </w:rPr>
        <w:t xml:space="preserve">Georgia Power contends </w:t>
      </w:r>
      <w:r w:rsidR="0056360D" w:rsidRPr="00D97634">
        <w:rPr>
          <w:rFonts w:ascii="Times New Roman" w:eastAsia="Times New Roman" w:hAnsi="Times New Roman" w:cs="Times New Roman"/>
          <w:snapToGrid w:val="0"/>
          <w:sz w:val="24"/>
          <w:szCs w:val="24"/>
        </w:rPr>
        <w:t>that</w:t>
      </w:r>
      <w:r w:rsidR="00BB471A" w:rsidRPr="00D97634">
        <w:rPr>
          <w:rFonts w:ascii="Times New Roman" w:eastAsia="Times New Roman" w:hAnsi="Times New Roman" w:cs="Times New Roman"/>
          <w:snapToGrid w:val="0"/>
          <w:sz w:val="24"/>
          <w:szCs w:val="24"/>
        </w:rPr>
        <w:t>,</w:t>
      </w:r>
      <w:r w:rsidR="0056360D" w:rsidRPr="00D97634">
        <w:rPr>
          <w:rFonts w:ascii="Times New Roman" w:eastAsia="Times New Roman" w:hAnsi="Times New Roman" w:cs="Times New Roman"/>
          <w:snapToGrid w:val="0"/>
          <w:sz w:val="24"/>
          <w:szCs w:val="24"/>
        </w:rPr>
        <w:t xml:space="preserve"> </w:t>
      </w:r>
      <w:r w:rsidR="003D3DE2" w:rsidRPr="00D97634">
        <w:rPr>
          <w:rFonts w:ascii="Times New Roman" w:eastAsia="Times New Roman" w:hAnsi="Times New Roman" w:cs="Times New Roman"/>
          <w:snapToGrid w:val="0"/>
          <w:sz w:val="24"/>
          <w:szCs w:val="24"/>
        </w:rPr>
        <w:t>because</w:t>
      </w:r>
      <w:r w:rsidRPr="00D97634">
        <w:rPr>
          <w:rFonts w:ascii="Times New Roman" w:eastAsia="Times New Roman" w:hAnsi="Times New Roman" w:cs="Times New Roman"/>
          <w:snapToGrid w:val="0"/>
          <w:sz w:val="24"/>
          <w:szCs w:val="24"/>
        </w:rPr>
        <w:t xml:space="preserve"> the Hartwell Pet Food Facility is not a “new premises</w:t>
      </w:r>
      <w:r w:rsidR="00BB471A"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the large load customer choice exception in Section 8(b) of the Territorial Act does not apply</w:t>
      </w:r>
      <w:r w:rsidR="007649DD"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w:t>
      </w:r>
      <w:r w:rsidR="005A6CD4" w:rsidRPr="00D97634">
        <w:rPr>
          <w:rFonts w:ascii="Times New Roman" w:eastAsia="Times New Roman" w:hAnsi="Times New Roman" w:cs="Times New Roman"/>
          <w:snapToGrid w:val="0"/>
          <w:sz w:val="24"/>
          <w:szCs w:val="24"/>
        </w:rPr>
        <w:t xml:space="preserve">and </w:t>
      </w:r>
      <w:r w:rsidRPr="00D97634">
        <w:rPr>
          <w:rFonts w:ascii="Times New Roman" w:eastAsia="Times New Roman" w:hAnsi="Times New Roman" w:cs="Times New Roman"/>
          <w:snapToGrid w:val="0"/>
          <w:sz w:val="24"/>
          <w:szCs w:val="24"/>
        </w:rPr>
        <w:t xml:space="preserve">Georgia Power’s “grandfather rights” </w:t>
      </w:r>
      <w:r w:rsidR="005A6CD4" w:rsidRPr="00D97634">
        <w:rPr>
          <w:rFonts w:ascii="Times New Roman" w:eastAsia="Times New Roman" w:hAnsi="Times New Roman" w:cs="Times New Roman"/>
          <w:snapToGrid w:val="0"/>
          <w:sz w:val="24"/>
          <w:szCs w:val="24"/>
        </w:rPr>
        <w:t xml:space="preserve">allow it </w:t>
      </w:r>
      <w:r w:rsidRPr="00D97634">
        <w:rPr>
          <w:rFonts w:ascii="Times New Roman" w:eastAsia="Times New Roman" w:hAnsi="Times New Roman" w:cs="Times New Roman"/>
          <w:snapToGrid w:val="0"/>
          <w:sz w:val="24"/>
          <w:szCs w:val="24"/>
        </w:rPr>
        <w:t xml:space="preserve">to serve the Hartwell Pet Food Facility. </w:t>
      </w:r>
      <w:r w:rsidR="00CD2BCA" w:rsidRPr="00D97634">
        <w:rPr>
          <w:rFonts w:ascii="Times New Roman" w:eastAsia="Times New Roman" w:hAnsi="Times New Roman" w:cs="Times New Roman"/>
          <w:snapToGrid w:val="0"/>
          <w:sz w:val="24"/>
          <w:szCs w:val="24"/>
        </w:rPr>
        <w:t xml:space="preserve"> </w:t>
      </w:r>
      <w:r w:rsidR="00665657" w:rsidRPr="00D97634">
        <w:rPr>
          <w:rFonts w:ascii="Times New Roman" w:eastAsia="Times New Roman" w:hAnsi="Times New Roman" w:cs="Times New Roman"/>
          <w:snapToGrid w:val="0"/>
          <w:sz w:val="24"/>
          <w:szCs w:val="24"/>
        </w:rPr>
        <w:t xml:space="preserve">Georgia Power’s arguments contradict the record evidence and are contrary to Commission precedent and Georgia law.  </w:t>
      </w:r>
      <w:r w:rsidR="003D3DE2" w:rsidRPr="00D97634">
        <w:rPr>
          <w:rFonts w:ascii="Times New Roman" w:eastAsia="Times New Roman" w:hAnsi="Times New Roman" w:cs="Times New Roman"/>
          <w:snapToGrid w:val="0"/>
          <w:sz w:val="24"/>
          <w:szCs w:val="24"/>
        </w:rPr>
        <w:t>In ruling against Georgia Power, the</w:t>
      </w:r>
      <w:r w:rsidRPr="00D97634">
        <w:rPr>
          <w:rFonts w:ascii="Times New Roman" w:eastAsia="Times New Roman" w:hAnsi="Times New Roman" w:cs="Times New Roman"/>
          <w:snapToGrid w:val="0"/>
          <w:sz w:val="24"/>
          <w:szCs w:val="24"/>
        </w:rPr>
        <w:t xml:space="preserve"> </w:t>
      </w:r>
      <w:r w:rsidR="00ED3B8F" w:rsidRPr="00D97634">
        <w:rPr>
          <w:rFonts w:ascii="Times New Roman" w:eastAsia="Times New Roman" w:hAnsi="Times New Roman" w:cs="Times New Roman"/>
          <w:snapToGrid w:val="0"/>
          <w:sz w:val="24"/>
          <w:szCs w:val="24"/>
        </w:rPr>
        <w:t>Initial Decision</w:t>
      </w:r>
      <w:r w:rsidRPr="00D97634">
        <w:rPr>
          <w:rFonts w:ascii="Times New Roman" w:eastAsia="Times New Roman" w:hAnsi="Times New Roman" w:cs="Times New Roman"/>
          <w:snapToGrid w:val="0"/>
          <w:sz w:val="24"/>
          <w:szCs w:val="24"/>
        </w:rPr>
        <w:t xml:space="preserve"> correctly f</w:t>
      </w:r>
      <w:r w:rsidR="00EC3ED3" w:rsidRPr="00D97634">
        <w:rPr>
          <w:rFonts w:ascii="Times New Roman" w:eastAsia="Times New Roman" w:hAnsi="Times New Roman" w:cs="Times New Roman"/>
          <w:snapToGrid w:val="0"/>
          <w:sz w:val="24"/>
          <w:szCs w:val="24"/>
        </w:rPr>
        <w:t>inds</w:t>
      </w:r>
      <w:r w:rsidRPr="00D97634">
        <w:rPr>
          <w:rFonts w:ascii="Times New Roman" w:eastAsia="Times New Roman" w:hAnsi="Times New Roman" w:cs="Times New Roman"/>
          <w:snapToGrid w:val="0"/>
          <w:sz w:val="24"/>
          <w:szCs w:val="24"/>
        </w:rPr>
        <w:t>: (1) the Hartwell Pet Food Facility is a “new premises” under the Territorial Act</w:t>
      </w:r>
      <w:r w:rsidR="00BB471A"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(2) Nestlé Purina “destr</w:t>
      </w:r>
      <w:r w:rsidR="003A6179" w:rsidRPr="00D97634">
        <w:rPr>
          <w:rFonts w:ascii="Times New Roman" w:eastAsia="Times New Roman" w:hAnsi="Times New Roman" w:cs="Times New Roman"/>
          <w:snapToGrid w:val="0"/>
          <w:sz w:val="24"/>
          <w:szCs w:val="24"/>
        </w:rPr>
        <w:t xml:space="preserve">oyed” and “dismantled” the old </w:t>
      </w:r>
      <w:r w:rsidR="000C4872" w:rsidRPr="00D97634">
        <w:rPr>
          <w:rFonts w:ascii="Times New Roman" w:eastAsia="Times New Roman" w:hAnsi="Times New Roman" w:cs="Times New Roman"/>
          <w:snapToGrid w:val="0"/>
          <w:sz w:val="24"/>
          <w:szCs w:val="24"/>
        </w:rPr>
        <w:t xml:space="preserve">textile mill </w:t>
      </w:r>
      <w:r w:rsidR="003A6179" w:rsidRPr="00D97634">
        <w:rPr>
          <w:rFonts w:ascii="Times New Roman" w:eastAsia="Times New Roman" w:hAnsi="Times New Roman" w:cs="Times New Roman"/>
          <w:snapToGrid w:val="0"/>
          <w:sz w:val="24"/>
          <w:szCs w:val="24"/>
        </w:rPr>
        <w:t>P</w:t>
      </w:r>
      <w:r w:rsidRPr="00D97634">
        <w:rPr>
          <w:rFonts w:ascii="Times New Roman" w:eastAsia="Times New Roman" w:hAnsi="Times New Roman" w:cs="Times New Roman"/>
          <w:snapToGrid w:val="0"/>
          <w:sz w:val="24"/>
          <w:szCs w:val="24"/>
        </w:rPr>
        <w:t>remises in constructing the Hartwell Pet Food Facility</w:t>
      </w:r>
      <w:r w:rsidR="00BB471A"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and (3) Nestlé Purina reconstructed the</w:t>
      </w:r>
      <w:r w:rsidR="00BB471A" w:rsidRPr="00D97634">
        <w:rPr>
          <w:rFonts w:ascii="Times New Roman" w:eastAsia="Times New Roman" w:hAnsi="Times New Roman" w:cs="Times New Roman"/>
          <w:snapToGrid w:val="0"/>
          <w:sz w:val="24"/>
          <w:szCs w:val="24"/>
        </w:rPr>
        <w:t xml:space="preserve"> hygienic, food-</w:t>
      </w:r>
      <w:r w:rsidR="000C4872" w:rsidRPr="00D97634">
        <w:rPr>
          <w:rFonts w:ascii="Times New Roman" w:eastAsia="Times New Roman" w:hAnsi="Times New Roman" w:cs="Times New Roman"/>
          <w:snapToGrid w:val="0"/>
          <w:sz w:val="24"/>
          <w:szCs w:val="24"/>
        </w:rPr>
        <w:t>safe</w:t>
      </w:r>
      <w:r w:rsidRPr="00D97634">
        <w:rPr>
          <w:rFonts w:ascii="Times New Roman" w:eastAsia="Times New Roman" w:hAnsi="Times New Roman" w:cs="Times New Roman"/>
          <w:snapToGrid w:val="0"/>
          <w:sz w:val="24"/>
          <w:szCs w:val="24"/>
        </w:rPr>
        <w:t xml:space="preserve"> Hartwell Pet Food Facility not in substantial kind to the old </w:t>
      </w:r>
      <w:r w:rsidR="003A6179" w:rsidRPr="00D97634">
        <w:rPr>
          <w:rFonts w:ascii="Times New Roman" w:eastAsia="Times New Roman" w:hAnsi="Times New Roman" w:cs="Times New Roman"/>
          <w:snapToGrid w:val="0"/>
          <w:sz w:val="24"/>
          <w:szCs w:val="24"/>
        </w:rPr>
        <w:t>P</w:t>
      </w:r>
      <w:r w:rsidRPr="00D97634">
        <w:rPr>
          <w:rFonts w:ascii="Times New Roman" w:eastAsia="Times New Roman" w:hAnsi="Times New Roman" w:cs="Times New Roman"/>
          <w:snapToGrid w:val="0"/>
          <w:sz w:val="24"/>
          <w:szCs w:val="24"/>
        </w:rPr>
        <w:t>remises.</w:t>
      </w:r>
      <w:r w:rsidR="003D3DE2" w:rsidRPr="00D97634">
        <w:rPr>
          <w:rFonts w:ascii="Times New Roman" w:eastAsia="Times New Roman" w:hAnsi="Times New Roman" w:cs="Times New Roman"/>
          <w:snapToGrid w:val="0"/>
          <w:sz w:val="24"/>
          <w:szCs w:val="24"/>
        </w:rPr>
        <w:t xml:space="preserve">  Georgia Power’s Application should be denied</w:t>
      </w:r>
      <w:r w:rsidR="0056360D" w:rsidRPr="00D97634">
        <w:rPr>
          <w:rFonts w:ascii="Times New Roman" w:eastAsia="Times New Roman" w:hAnsi="Times New Roman" w:cs="Times New Roman"/>
          <w:snapToGrid w:val="0"/>
          <w:sz w:val="24"/>
          <w:szCs w:val="24"/>
        </w:rPr>
        <w:t>.</w:t>
      </w:r>
    </w:p>
    <w:p w14:paraId="60BE15E8" w14:textId="77777777" w:rsidR="00A816BD" w:rsidRPr="00D97634" w:rsidRDefault="00B154FA" w:rsidP="00BC0F18">
      <w:pPr>
        <w:pStyle w:val="ListParagraph"/>
        <w:keepNext/>
        <w:numPr>
          <w:ilvl w:val="1"/>
          <w:numId w:val="1"/>
        </w:numPr>
        <w:rPr>
          <w:rFonts w:ascii="Times New Roman" w:eastAsia="Times New Roman" w:hAnsi="Times New Roman" w:cs="Times New Roman"/>
          <w:b/>
          <w:sz w:val="24"/>
          <w:szCs w:val="24"/>
        </w:rPr>
      </w:pPr>
      <w:r w:rsidRPr="00D97634">
        <w:rPr>
          <w:rFonts w:ascii="Times New Roman" w:eastAsia="Times New Roman" w:hAnsi="Times New Roman" w:cs="Times New Roman"/>
          <w:b/>
          <w:i/>
          <w:sz w:val="24"/>
          <w:szCs w:val="24"/>
        </w:rPr>
        <w:t xml:space="preserve">The </w:t>
      </w:r>
      <w:r w:rsidR="00ED3B8F" w:rsidRPr="00D97634">
        <w:rPr>
          <w:rFonts w:ascii="Times New Roman" w:eastAsia="Times New Roman" w:hAnsi="Times New Roman" w:cs="Times New Roman"/>
          <w:b/>
          <w:i/>
          <w:sz w:val="24"/>
          <w:szCs w:val="24"/>
        </w:rPr>
        <w:t>Initial Decision</w:t>
      </w:r>
      <w:r w:rsidR="00EC3ED3" w:rsidRPr="00D97634">
        <w:rPr>
          <w:rFonts w:ascii="Times New Roman" w:eastAsia="Times New Roman" w:hAnsi="Times New Roman" w:cs="Times New Roman"/>
          <w:b/>
          <w:i/>
          <w:sz w:val="24"/>
          <w:szCs w:val="24"/>
        </w:rPr>
        <w:t xml:space="preserve"> Correctly Finds </w:t>
      </w:r>
      <w:r w:rsidR="00CD7FEC" w:rsidRPr="00D97634">
        <w:rPr>
          <w:rFonts w:ascii="Times New Roman" w:eastAsia="Times New Roman" w:hAnsi="Times New Roman" w:cs="Times New Roman"/>
          <w:b/>
          <w:i/>
          <w:sz w:val="24"/>
          <w:szCs w:val="24"/>
        </w:rPr>
        <w:t>the Hartwell Pet Food Facility to be a</w:t>
      </w:r>
      <w:r w:rsidRPr="00D97634">
        <w:rPr>
          <w:rFonts w:ascii="Times New Roman" w:eastAsia="Times New Roman" w:hAnsi="Times New Roman" w:cs="Times New Roman"/>
          <w:b/>
          <w:i/>
          <w:sz w:val="24"/>
          <w:szCs w:val="24"/>
        </w:rPr>
        <w:t xml:space="preserve"> New Premises</w:t>
      </w:r>
      <w:r w:rsidR="00CD7FEC" w:rsidRPr="00D97634">
        <w:rPr>
          <w:rFonts w:ascii="Times New Roman" w:eastAsia="Times New Roman" w:hAnsi="Times New Roman" w:cs="Times New Roman"/>
          <w:b/>
          <w:i/>
          <w:sz w:val="24"/>
          <w:szCs w:val="24"/>
        </w:rPr>
        <w:t xml:space="preserve"> under the Territorial Act</w:t>
      </w:r>
      <w:r w:rsidRPr="00D97634">
        <w:rPr>
          <w:rFonts w:ascii="Times New Roman" w:eastAsia="Times New Roman" w:hAnsi="Times New Roman" w:cs="Times New Roman"/>
          <w:b/>
          <w:i/>
          <w:sz w:val="24"/>
          <w:szCs w:val="24"/>
        </w:rPr>
        <w:t>.</w:t>
      </w:r>
      <w:r w:rsidR="009D5824" w:rsidRPr="00D97634">
        <w:rPr>
          <w:rFonts w:ascii="Times New Roman" w:eastAsia="Times New Roman" w:hAnsi="Times New Roman" w:cs="Times New Roman"/>
          <w:snapToGrid w:val="0"/>
          <w:sz w:val="24"/>
          <w:szCs w:val="24"/>
        </w:rPr>
        <w:t xml:space="preserve"> </w:t>
      </w:r>
    </w:p>
    <w:p w14:paraId="775B621C" w14:textId="59218B1B" w:rsidR="00904DE7" w:rsidRPr="00D97634" w:rsidRDefault="00B154FA" w:rsidP="00904DE7">
      <w:pPr>
        <w:spacing w:after="0" w:line="480" w:lineRule="auto"/>
        <w:ind w:firstLine="720"/>
        <w:jc w:val="both"/>
        <w:rPr>
          <w:rFonts w:ascii="Times New Roman" w:hAnsi="Times New Roman" w:cs="Times New Roman"/>
          <w:i/>
          <w:sz w:val="24"/>
          <w:szCs w:val="24"/>
        </w:rPr>
      </w:pPr>
      <w:r w:rsidRPr="00D97634">
        <w:rPr>
          <w:rFonts w:ascii="Times New Roman" w:eastAsia="Times New Roman" w:hAnsi="Times New Roman" w:cs="Times New Roman"/>
          <w:snapToGrid w:val="0"/>
          <w:sz w:val="24"/>
          <w:szCs w:val="24"/>
        </w:rPr>
        <w:t xml:space="preserve">Georgia Power argues the Hartwell Pet Food Facility </w:t>
      </w:r>
      <w:r w:rsidR="00E35C80" w:rsidRPr="00D97634">
        <w:rPr>
          <w:rFonts w:ascii="Times New Roman" w:eastAsia="Times New Roman" w:hAnsi="Times New Roman" w:cs="Times New Roman"/>
          <w:snapToGrid w:val="0"/>
          <w:sz w:val="24"/>
          <w:szCs w:val="24"/>
        </w:rPr>
        <w:t>is not “</w:t>
      </w:r>
      <w:r w:rsidRPr="00D97634">
        <w:rPr>
          <w:rFonts w:ascii="Times New Roman" w:eastAsia="Times New Roman" w:hAnsi="Times New Roman" w:cs="Times New Roman"/>
          <w:snapToGrid w:val="0"/>
          <w:sz w:val="24"/>
          <w:szCs w:val="24"/>
        </w:rPr>
        <w:t>new</w:t>
      </w:r>
      <w:r w:rsidR="00FD03EA" w:rsidRPr="00D97634">
        <w:rPr>
          <w:rFonts w:ascii="Times New Roman" w:eastAsia="Times New Roman" w:hAnsi="Times New Roman" w:cs="Times New Roman"/>
          <w:snapToGrid w:val="0"/>
          <w:sz w:val="24"/>
          <w:szCs w:val="24"/>
        </w:rPr>
        <w:t>,</w:t>
      </w:r>
      <w:r w:rsidR="00E35C80"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but pre-existing because the </w:t>
      </w:r>
      <w:r w:rsidR="00515246" w:rsidRPr="00D97634">
        <w:rPr>
          <w:rFonts w:ascii="Times New Roman" w:eastAsia="Times New Roman" w:hAnsi="Times New Roman" w:cs="Times New Roman"/>
          <w:snapToGrid w:val="0"/>
          <w:sz w:val="24"/>
          <w:szCs w:val="24"/>
        </w:rPr>
        <w:t>Hartwell Pet Food Facility did not “recently come into</w:t>
      </w:r>
      <w:r w:rsidRPr="00D97634">
        <w:rPr>
          <w:rFonts w:ascii="Times New Roman" w:eastAsia="Times New Roman" w:hAnsi="Times New Roman" w:cs="Times New Roman"/>
          <w:snapToGrid w:val="0"/>
          <w:sz w:val="24"/>
          <w:szCs w:val="24"/>
        </w:rPr>
        <w:t xml:space="preserve"> existence</w:t>
      </w:r>
      <w:r w:rsidR="00065F6C"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(GPC </w:t>
      </w:r>
      <w:r w:rsidR="007923C5" w:rsidRPr="00D97634">
        <w:rPr>
          <w:rFonts w:ascii="Times New Roman" w:eastAsia="Times New Roman" w:hAnsi="Times New Roman" w:cs="Times New Roman"/>
          <w:snapToGrid w:val="0"/>
          <w:sz w:val="24"/>
          <w:szCs w:val="24"/>
        </w:rPr>
        <w:t>Application</w:t>
      </w:r>
      <w:r w:rsidRPr="00D97634">
        <w:rPr>
          <w:rFonts w:ascii="Times New Roman" w:eastAsia="Times New Roman" w:hAnsi="Times New Roman" w:cs="Times New Roman"/>
          <w:snapToGrid w:val="0"/>
          <w:sz w:val="24"/>
          <w:szCs w:val="24"/>
        </w:rPr>
        <w:t xml:space="preserve">, at </w:t>
      </w:r>
      <w:r w:rsidR="00515246" w:rsidRPr="00D97634">
        <w:rPr>
          <w:rFonts w:ascii="Times New Roman" w:eastAsia="Times New Roman" w:hAnsi="Times New Roman" w:cs="Times New Roman"/>
          <w:snapToGrid w:val="0"/>
          <w:sz w:val="24"/>
          <w:szCs w:val="24"/>
        </w:rPr>
        <w:t>11-</w:t>
      </w:r>
      <w:r w:rsidRPr="00D97634">
        <w:rPr>
          <w:rFonts w:ascii="Times New Roman" w:eastAsia="Times New Roman" w:hAnsi="Times New Roman" w:cs="Times New Roman"/>
          <w:snapToGrid w:val="0"/>
          <w:sz w:val="24"/>
          <w:szCs w:val="24"/>
        </w:rPr>
        <w:t>12</w:t>
      </w:r>
      <w:r w:rsidR="00065F6C" w:rsidRPr="00D97634">
        <w:rPr>
          <w:rFonts w:ascii="Times New Roman" w:eastAsia="Times New Roman" w:hAnsi="Times New Roman" w:cs="Times New Roman"/>
          <w:snapToGrid w:val="0"/>
          <w:sz w:val="24"/>
          <w:szCs w:val="24"/>
        </w:rPr>
        <w:t>.)  A</w:t>
      </w:r>
      <w:r w:rsidRPr="00D97634">
        <w:rPr>
          <w:rFonts w:ascii="Times New Roman" w:eastAsia="Times New Roman" w:hAnsi="Times New Roman" w:cs="Times New Roman"/>
          <w:snapToGrid w:val="0"/>
          <w:sz w:val="24"/>
          <w:szCs w:val="24"/>
        </w:rPr>
        <w:t>s a result, customer choice</w:t>
      </w:r>
      <w:r w:rsidR="00065F6C" w:rsidRPr="00D97634">
        <w:rPr>
          <w:rFonts w:ascii="Times New Roman" w:eastAsia="Times New Roman" w:hAnsi="Times New Roman" w:cs="Times New Roman"/>
          <w:snapToGrid w:val="0"/>
          <w:sz w:val="24"/>
          <w:szCs w:val="24"/>
        </w:rPr>
        <w:t xml:space="preserve"> under O.C.G.A. § 46-3-8(a) </w:t>
      </w:r>
      <w:r w:rsidRPr="00D97634">
        <w:rPr>
          <w:rFonts w:ascii="Times New Roman" w:eastAsia="Times New Roman" w:hAnsi="Times New Roman" w:cs="Times New Roman"/>
          <w:snapToGrid w:val="0"/>
          <w:sz w:val="24"/>
          <w:szCs w:val="24"/>
        </w:rPr>
        <w:t xml:space="preserve">is not </w:t>
      </w:r>
      <w:r w:rsidR="0056360D" w:rsidRPr="00D97634">
        <w:rPr>
          <w:rFonts w:ascii="Times New Roman" w:eastAsia="Times New Roman" w:hAnsi="Times New Roman" w:cs="Times New Roman"/>
          <w:snapToGrid w:val="0"/>
          <w:sz w:val="24"/>
          <w:szCs w:val="24"/>
        </w:rPr>
        <w:t>available to Nestlé Purina</w:t>
      </w:r>
      <w:r w:rsidR="0082358D" w:rsidRPr="00D97634">
        <w:rPr>
          <w:rFonts w:ascii="Times New Roman" w:eastAsia="Times New Roman" w:hAnsi="Times New Roman" w:cs="Times New Roman"/>
          <w:snapToGrid w:val="0"/>
          <w:sz w:val="24"/>
          <w:szCs w:val="24"/>
        </w:rPr>
        <w:t xml:space="preserve">. </w:t>
      </w:r>
      <w:r w:rsidRPr="00D97634">
        <w:rPr>
          <w:rFonts w:ascii="Times New Roman" w:eastAsia="Times New Roman" w:hAnsi="Times New Roman" w:cs="Times New Roman"/>
          <w:snapToGrid w:val="0"/>
          <w:sz w:val="24"/>
          <w:szCs w:val="24"/>
        </w:rPr>
        <w:t xml:space="preserve">(GPC </w:t>
      </w:r>
      <w:r w:rsidR="007923C5" w:rsidRPr="00D97634">
        <w:rPr>
          <w:rFonts w:ascii="Times New Roman" w:eastAsia="Times New Roman" w:hAnsi="Times New Roman" w:cs="Times New Roman"/>
          <w:snapToGrid w:val="0"/>
          <w:sz w:val="24"/>
          <w:szCs w:val="24"/>
        </w:rPr>
        <w:t>Application</w:t>
      </w:r>
      <w:r w:rsidRPr="00D97634">
        <w:rPr>
          <w:rFonts w:ascii="Times New Roman" w:eastAsia="Times New Roman" w:hAnsi="Times New Roman" w:cs="Times New Roman"/>
          <w:snapToGrid w:val="0"/>
          <w:sz w:val="24"/>
          <w:szCs w:val="24"/>
        </w:rPr>
        <w:t xml:space="preserve">, at 6.) </w:t>
      </w:r>
      <w:r w:rsidR="003105ED" w:rsidRPr="00D97634">
        <w:rPr>
          <w:rFonts w:ascii="Times New Roman" w:eastAsia="Times New Roman" w:hAnsi="Times New Roman" w:cs="Times New Roman"/>
          <w:snapToGrid w:val="0"/>
          <w:sz w:val="24"/>
          <w:szCs w:val="24"/>
        </w:rPr>
        <w:t xml:space="preserve"> </w:t>
      </w:r>
      <w:r w:rsidR="00417002" w:rsidRPr="00D97634">
        <w:rPr>
          <w:rFonts w:ascii="Times New Roman" w:eastAsia="Times New Roman" w:hAnsi="Times New Roman" w:cs="Times New Roman"/>
          <w:snapToGrid w:val="0"/>
          <w:sz w:val="24"/>
          <w:szCs w:val="24"/>
        </w:rPr>
        <w:t>Georgia Power’s con</w:t>
      </w:r>
      <w:r w:rsidR="003A6179" w:rsidRPr="00D97634">
        <w:rPr>
          <w:rFonts w:ascii="Times New Roman" w:eastAsia="Times New Roman" w:hAnsi="Times New Roman" w:cs="Times New Roman"/>
          <w:snapToGrid w:val="0"/>
          <w:sz w:val="24"/>
          <w:szCs w:val="24"/>
        </w:rPr>
        <w:t>t</w:t>
      </w:r>
      <w:r w:rsidR="00417002" w:rsidRPr="00D97634">
        <w:rPr>
          <w:rFonts w:ascii="Times New Roman" w:eastAsia="Times New Roman" w:hAnsi="Times New Roman" w:cs="Times New Roman"/>
          <w:snapToGrid w:val="0"/>
          <w:sz w:val="24"/>
          <w:szCs w:val="24"/>
        </w:rPr>
        <w:t>ention</w:t>
      </w:r>
      <w:r w:rsidR="0050672F" w:rsidRPr="00D97634">
        <w:rPr>
          <w:rFonts w:ascii="Times New Roman" w:eastAsia="Times New Roman" w:hAnsi="Times New Roman" w:cs="Times New Roman"/>
          <w:snapToGrid w:val="0"/>
          <w:sz w:val="24"/>
          <w:szCs w:val="24"/>
        </w:rPr>
        <w:t xml:space="preserve"> is contrary to the long line of Commission precedent</w:t>
      </w:r>
      <w:r w:rsidR="00F03707" w:rsidRPr="00D97634">
        <w:rPr>
          <w:rFonts w:ascii="Times New Roman" w:eastAsia="Times New Roman" w:hAnsi="Times New Roman" w:cs="Times New Roman"/>
          <w:snapToGrid w:val="0"/>
          <w:sz w:val="24"/>
          <w:szCs w:val="24"/>
        </w:rPr>
        <w:t>, which the Initial Decision correctly applie</w:t>
      </w:r>
      <w:r w:rsidR="00EC3ED3" w:rsidRPr="00D97634">
        <w:rPr>
          <w:rFonts w:ascii="Times New Roman" w:eastAsia="Times New Roman" w:hAnsi="Times New Roman" w:cs="Times New Roman"/>
          <w:snapToGrid w:val="0"/>
          <w:sz w:val="24"/>
          <w:szCs w:val="24"/>
        </w:rPr>
        <w:t>s</w:t>
      </w:r>
      <w:r w:rsidR="00F03707" w:rsidRPr="00D97634">
        <w:rPr>
          <w:rFonts w:ascii="Times New Roman" w:eastAsia="Times New Roman" w:hAnsi="Times New Roman" w:cs="Times New Roman"/>
          <w:snapToGrid w:val="0"/>
          <w:sz w:val="24"/>
          <w:szCs w:val="24"/>
        </w:rPr>
        <w:t xml:space="preserve"> to the record evidence</w:t>
      </w:r>
      <w:r w:rsidR="0050672F" w:rsidRPr="00D97634">
        <w:rPr>
          <w:rFonts w:ascii="Times New Roman" w:eastAsia="Times New Roman" w:hAnsi="Times New Roman" w:cs="Times New Roman"/>
          <w:snapToGrid w:val="0"/>
          <w:sz w:val="24"/>
          <w:szCs w:val="24"/>
        </w:rPr>
        <w:t>.</w:t>
      </w:r>
      <w:r w:rsidR="00A648ED" w:rsidRPr="00D97634">
        <w:rPr>
          <w:rFonts w:ascii="Times New Roman" w:eastAsia="Times New Roman" w:hAnsi="Times New Roman" w:cs="Times New Roman"/>
          <w:snapToGrid w:val="0"/>
          <w:sz w:val="24"/>
          <w:szCs w:val="24"/>
        </w:rPr>
        <w:t xml:space="preserve"> </w:t>
      </w:r>
      <w:r w:rsidR="0050672F" w:rsidRPr="00D97634">
        <w:rPr>
          <w:rFonts w:ascii="Times New Roman" w:eastAsia="Times New Roman" w:hAnsi="Times New Roman" w:cs="Times New Roman"/>
          <w:snapToGrid w:val="0"/>
          <w:sz w:val="24"/>
          <w:szCs w:val="24"/>
        </w:rPr>
        <w:t xml:space="preserve"> </w:t>
      </w:r>
      <w:r w:rsidR="00F03707" w:rsidRPr="00D97634">
        <w:rPr>
          <w:rFonts w:ascii="Times New Roman" w:eastAsia="Times New Roman" w:hAnsi="Times New Roman" w:cs="Times New Roman"/>
          <w:snapToGrid w:val="0"/>
          <w:sz w:val="24"/>
          <w:szCs w:val="24"/>
        </w:rPr>
        <w:t xml:space="preserve">Specifically, </w:t>
      </w:r>
      <w:r w:rsidR="00E35C80" w:rsidRPr="00D97634">
        <w:rPr>
          <w:rFonts w:ascii="Times New Roman" w:eastAsia="Times New Roman" w:hAnsi="Times New Roman" w:cs="Times New Roman"/>
          <w:snapToGrid w:val="0"/>
          <w:sz w:val="24"/>
          <w:szCs w:val="24"/>
        </w:rPr>
        <w:t xml:space="preserve">the Initial Decision </w:t>
      </w:r>
      <w:r w:rsidR="00F03707" w:rsidRPr="00D97634">
        <w:rPr>
          <w:rFonts w:ascii="Times New Roman" w:eastAsia="Times New Roman" w:hAnsi="Times New Roman" w:cs="Times New Roman"/>
          <w:snapToGrid w:val="0"/>
          <w:sz w:val="24"/>
          <w:szCs w:val="24"/>
        </w:rPr>
        <w:t>reads that</w:t>
      </w:r>
      <w:r w:rsidR="003A6179" w:rsidRPr="00D97634">
        <w:rPr>
          <w:rFonts w:ascii="Times New Roman" w:eastAsia="Times New Roman" w:hAnsi="Times New Roman" w:cs="Times New Roman"/>
          <w:snapToGrid w:val="0"/>
          <w:sz w:val="24"/>
          <w:szCs w:val="24"/>
        </w:rPr>
        <w:t xml:space="preserve"> “</w:t>
      </w:r>
      <w:r w:rsidR="00F03707" w:rsidRPr="00D97634">
        <w:rPr>
          <w:rFonts w:ascii="Times New Roman" w:eastAsia="Times New Roman" w:hAnsi="Times New Roman" w:cs="Times New Roman"/>
          <w:sz w:val="24"/>
          <w:szCs w:val="24"/>
        </w:rPr>
        <w:t>[i]</w:t>
      </w:r>
      <w:r w:rsidR="003A6179" w:rsidRPr="00D97634">
        <w:rPr>
          <w:rFonts w:ascii="Times New Roman" w:eastAsia="Times New Roman" w:hAnsi="Times New Roman" w:cs="Times New Roman"/>
          <w:sz w:val="24"/>
          <w:szCs w:val="24"/>
        </w:rPr>
        <w:t xml:space="preserve">n the context of existing Premises, </w:t>
      </w:r>
      <w:r w:rsidR="003A6179" w:rsidRPr="00D97634">
        <w:rPr>
          <w:rFonts w:ascii="Times New Roman" w:eastAsia="Times New Roman" w:hAnsi="Times New Roman" w:cs="Times New Roman"/>
          <w:sz w:val="24"/>
          <w:szCs w:val="24"/>
        </w:rPr>
        <w:lastRenderedPageBreak/>
        <w:t>rather than greenfield lots, the Territorial Act deems a Premises as new when it has been (i) destroyed or dismantled and (ii) reconstructed not in substantial kind.</w:t>
      </w:r>
      <w:r w:rsidR="00E35C80" w:rsidRPr="00D97634">
        <w:rPr>
          <w:rFonts w:ascii="Times New Roman" w:eastAsia="Times New Roman" w:hAnsi="Times New Roman" w:cs="Times New Roman"/>
          <w:sz w:val="24"/>
          <w:szCs w:val="24"/>
        </w:rPr>
        <w:t>”</w:t>
      </w:r>
      <w:r w:rsidR="003A6179" w:rsidRPr="00D97634">
        <w:rPr>
          <w:rFonts w:ascii="Times New Roman" w:eastAsia="Times New Roman" w:hAnsi="Times New Roman" w:cs="Times New Roman"/>
          <w:sz w:val="24"/>
          <w:szCs w:val="24"/>
        </w:rPr>
        <w:t xml:space="preserve"> </w:t>
      </w:r>
      <w:r w:rsidR="00E35C80" w:rsidRPr="00D97634">
        <w:rPr>
          <w:rFonts w:ascii="Times New Roman" w:eastAsia="Times New Roman" w:hAnsi="Times New Roman" w:cs="Times New Roman"/>
          <w:sz w:val="24"/>
          <w:szCs w:val="24"/>
        </w:rPr>
        <w:t xml:space="preserve"> </w:t>
      </w:r>
      <w:r w:rsidR="003A6179" w:rsidRPr="00D97634">
        <w:rPr>
          <w:rFonts w:ascii="Times New Roman" w:eastAsia="Times New Roman" w:hAnsi="Times New Roman" w:cs="Times New Roman"/>
          <w:sz w:val="24"/>
          <w:szCs w:val="24"/>
        </w:rPr>
        <w:t>(Initial Decision, at 9</w:t>
      </w:r>
      <w:r w:rsidR="00E35C80" w:rsidRPr="00D97634">
        <w:rPr>
          <w:rFonts w:ascii="Times New Roman" w:eastAsia="Times New Roman" w:hAnsi="Times New Roman" w:cs="Times New Roman"/>
          <w:sz w:val="24"/>
          <w:szCs w:val="24"/>
        </w:rPr>
        <w:t>.</w:t>
      </w:r>
      <w:r w:rsidR="003A6179" w:rsidRPr="00D97634">
        <w:rPr>
          <w:rFonts w:ascii="Times New Roman" w:eastAsia="Times New Roman" w:hAnsi="Times New Roman" w:cs="Times New Roman"/>
          <w:sz w:val="24"/>
          <w:szCs w:val="24"/>
        </w:rPr>
        <w:t>)</w:t>
      </w:r>
      <w:r w:rsidR="003A6179" w:rsidRPr="00D97634">
        <w:rPr>
          <w:rFonts w:ascii="Times New Roman" w:eastAsia="Times New Roman" w:hAnsi="Times New Roman" w:cs="Times New Roman"/>
          <w:snapToGrid w:val="0"/>
          <w:sz w:val="24"/>
          <w:szCs w:val="24"/>
        </w:rPr>
        <w:t xml:space="preserve">  </w:t>
      </w:r>
      <w:r w:rsidR="008D7B62" w:rsidRPr="00D97634">
        <w:rPr>
          <w:rFonts w:ascii="Times New Roman" w:hAnsi="Times New Roman" w:cs="Times New Roman"/>
          <w:bCs/>
          <w:sz w:val="24"/>
          <w:szCs w:val="24"/>
        </w:rPr>
        <w:t xml:space="preserve">The </w:t>
      </w:r>
      <w:r w:rsidRPr="00D97634">
        <w:rPr>
          <w:rFonts w:ascii="Times New Roman" w:hAnsi="Times New Roman" w:cs="Times New Roman"/>
          <w:bCs/>
          <w:sz w:val="24"/>
          <w:szCs w:val="24"/>
        </w:rPr>
        <w:t xml:space="preserve">Commission </w:t>
      </w:r>
      <w:r w:rsidR="008D7B62" w:rsidRPr="00D97634">
        <w:rPr>
          <w:rFonts w:ascii="Times New Roman" w:hAnsi="Times New Roman" w:cs="Times New Roman"/>
          <w:bCs/>
          <w:sz w:val="24"/>
          <w:szCs w:val="24"/>
        </w:rPr>
        <w:t xml:space="preserve">has </w:t>
      </w:r>
      <w:r w:rsidRPr="00D97634">
        <w:rPr>
          <w:rFonts w:ascii="Times New Roman" w:hAnsi="Times New Roman" w:cs="Times New Roman"/>
          <w:bCs/>
          <w:sz w:val="24"/>
          <w:szCs w:val="24"/>
        </w:rPr>
        <w:t>recognized that a premises can be deemed “new” if it is destroyed or dismantled and reconstructed not in substantial kind.</w:t>
      </w:r>
    </w:p>
    <w:p w14:paraId="07CFBD8B" w14:textId="77777777" w:rsidR="00904DE7" w:rsidRPr="00D97634" w:rsidRDefault="00B154FA" w:rsidP="00904DE7">
      <w:pPr>
        <w:ind w:left="1440" w:right="1440"/>
        <w:jc w:val="both"/>
        <w:rPr>
          <w:rFonts w:ascii="Times New Roman" w:hAnsi="Times New Roman" w:cs="Times New Roman"/>
          <w:bCs/>
          <w:sz w:val="24"/>
          <w:szCs w:val="24"/>
        </w:rPr>
      </w:pPr>
      <w:r w:rsidRPr="00D97634">
        <w:rPr>
          <w:rFonts w:ascii="Times New Roman" w:hAnsi="Times New Roman" w:cs="Times New Roman"/>
          <w:bCs/>
          <w:sz w:val="24"/>
          <w:szCs w:val="24"/>
        </w:rPr>
        <w:t>In this case, the above-quoted so-called “grandfather clause” of the Territorial Act gives [the existing utility] preeminent right to continue serving the disputed Premises, unless [the new utility] can show the [new] facility constructed thereon to be a new premises substantially different in kind from the [old premises]. . . .</w:t>
      </w:r>
      <w:r w:rsidRPr="00D97634">
        <w:rPr>
          <w:rStyle w:val="FootnoteReference"/>
          <w:rFonts w:ascii="Times New Roman" w:hAnsi="Times New Roman" w:cs="Times New Roman"/>
          <w:bCs/>
          <w:sz w:val="24"/>
          <w:szCs w:val="24"/>
        </w:rPr>
        <w:t xml:space="preserve"> </w:t>
      </w:r>
    </w:p>
    <w:p w14:paraId="47A72A3A" w14:textId="77777777" w:rsidR="00AA2558" w:rsidRPr="00D97634" w:rsidRDefault="00B154FA" w:rsidP="00A648ED">
      <w:pPr>
        <w:spacing w:after="0" w:line="480" w:lineRule="auto"/>
        <w:jc w:val="both"/>
        <w:rPr>
          <w:rFonts w:ascii="Times New Roman" w:eastAsia="Times New Roman" w:hAnsi="Times New Roman" w:cs="Times New Roman"/>
          <w:bCs/>
          <w:sz w:val="24"/>
          <w:szCs w:val="24"/>
        </w:rPr>
      </w:pPr>
      <w:r w:rsidRPr="00D97634">
        <w:rPr>
          <w:rFonts w:ascii="Times New Roman" w:eastAsia="Times New Roman" w:hAnsi="Times New Roman" w:cs="Times New Roman"/>
          <w:bCs/>
          <w:i/>
          <w:iCs/>
          <w:sz w:val="24"/>
          <w:szCs w:val="24"/>
        </w:rPr>
        <w:t>Georgia Power Company v. Habersham Electric Corporation</w:t>
      </w:r>
      <w:r w:rsidRPr="00D97634">
        <w:rPr>
          <w:rFonts w:ascii="Times New Roman" w:eastAsia="Times New Roman" w:hAnsi="Times New Roman" w:cs="Times New Roman"/>
          <w:bCs/>
          <w:sz w:val="24"/>
          <w:szCs w:val="24"/>
        </w:rPr>
        <w:t>, Docket No. 23781-U, at *14 (Initial Decision March 26, 2007, Order Adopting and Modifying Initial Decision September 18, 2007)</w:t>
      </w:r>
      <w:r w:rsidR="00F211F0" w:rsidRPr="00D97634">
        <w:rPr>
          <w:rFonts w:ascii="Times New Roman" w:eastAsia="Times New Roman" w:hAnsi="Times New Roman" w:cs="Times New Roman"/>
          <w:bCs/>
          <w:sz w:val="24"/>
          <w:szCs w:val="24"/>
        </w:rPr>
        <w:t>, (“</w:t>
      </w:r>
      <w:r w:rsidR="00F211F0" w:rsidRPr="00D97634">
        <w:rPr>
          <w:rFonts w:ascii="Times New Roman" w:eastAsia="Times New Roman" w:hAnsi="Times New Roman" w:cs="Times New Roman"/>
          <w:bCs/>
          <w:i/>
          <w:sz w:val="24"/>
          <w:szCs w:val="24"/>
        </w:rPr>
        <w:t>Habersham</w:t>
      </w:r>
      <w:r w:rsidR="00F211F0" w:rsidRPr="00D97634">
        <w:rPr>
          <w:rFonts w:ascii="Times New Roman" w:eastAsia="Times New Roman" w:hAnsi="Times New Roman" w:cs="Times New Roman"/>
          <w:bCs/>
          <w:sz w:val="24"/>
          <w:szCs w:val="24"/>
        </w:rPr>
        <w:t>”)</w:t>
      </w:r>
      <w:r w:rsidRPr="00D97634">
        <w:rPr>
          <w:rFonts w:ascii="Times New Roman" w:eastAsia="Times New Roman" w:hAnsi="Times New Roman" w:cs="Times New Roman"/>
          <w:bCs/>
          <w:sz w:val="24"/>
          <w:szCs w:val="24"/>
        </w:rPr>
        <w:t xml:space="preserve">. </w:t>
      </w:r>
    </w:p>
    <w:p w14:paraId="730BDDC4" w14:textId="010B6605" w:rsidR="00A648ED" w:rsidRPr="00D97634" w:rsidRDefault="00B154FA" w:rsidP="00A648ED">
      <w:pPr>
        <w:spacing w:after="0" w:line="480" w:lineRule="auto"/>
        <w:jc w:val="both"/>
        <w:rPr>
          <w:rFonts w:ascii="Times New Roman" w:hAnsi="Times New Roman" w:cs="Times New Roman"/>
          <w:bCs/>
          <w:sz w:val="24"/>
          <w:szCs w:val="24"/>
        </w:rPr>
      </w:pPr>
      <w:r w:rsidRPr="00D97634">
        <w:rPr>
          <w:rFonts w:ascii="Times New Roman" w:eastAsia="Times New Roman" w:hAnsi="Times New Roman" w:cs="Times New Roman"/>
          <w:bCs/>
          <w:sz w:val="24"/>
          <w:szCs w:val="24"/>
        </w:rPr>
        <w:tab/>
      </w:r>
      <w:r w:rsidR="007220C8" w:rsidRPr="00D97634">
        <w:rPr>
          <w:rFonts w:ascii="Times New Roman" w:hAnsi="Times New Roman" w:cs="Times New Roman"/>
          <w:bCs/>
          <w:sz w:val="24"/>
          <w:szCs w:val="24"/>
        </w:rPr>
        <w:t>The</w:t>
      </w:r>
      <w:r w:rsidR="00F211F0" w:rsidRPr="00D97634">
        <w:rPr>
          <w:rFonts w:ascii="Times New Roman" w:hAnsi="Times New Roman" w:cs="Times New Roman"/>
          <w:bCs/>
          <w:sz w:val="24"/>
          <w:szCs w:val="24"/>
        </w:rPr>
        <w:t xml:space="preserve"> </w:t>
      </w:r>
      <w:r w:rsidR="007220C8" w:rsidRPr="00D97634">
        <w:rPr>
          <w:rFonts w:ascii="Times New Roman" w:hAnsi="Times New Roman" w:cs="Times New Roman"/>
          <w:bCs/>
          <w:sz w:val="24"/>
          <w:szCs w:val="24"/>
        </w:rPr>
        <w:t>Commission ruled</w:t>
      </w:r>
      <w:r w:rsidR="00F211F0" w:rsidRPr="00D97634">
        <w:rPr>
          <w:rFonts w:ascii="Times New Roman" w:hAnsi="Times New Roman" w:cs="Times New Roman"/>
          <w:bCs/>
          <w:sz w:val="24"/>
          <w:szCs w:val="24"/>
        </w:rPr>
        <w:t xml:space="preserve"> in </w:t>
      </w:r>
      <w:r w:rsidR="00F211F0" w:rsidRPr="00D97634">
        <w:rPr>
          <w:rFonts w:ascii="Times New Roman" w:hAnsi="Times New Roman" w:cs="Times New Roman"/>
          <w:bCs/>
          <w:i/>
          <w:sz w:val="24"/>
          <w:szCs w:val="24"/>
        </w:rPr>
        <w:t>Habersham</w:t>
      </w:r>
      <w:r w:rsidR="007220C8" w:rsidRPr="00D97634">
        <w:rPr>
          <w:rFonts w:ascii="Times New Roman" w:hAnsi="Times New Roman" w:cs="Times New Roman"/>
          <w:bCs/>
          <w:sz w:val="24"/>
          <w:szCs w:val="24"/>
        </w:rPr>
        <w:t>,</w:t>
      </w:r>
      <w:r w:rsidR="007220C8" w:rsidRPr="00D97634">
        <w:rPr>
          <w:rFonts w:ascii="Times New Roman" w:hAnsi="Times New Roman" w:cs="Times New Roman"/>
          <w:sz w:val="24"/>
          <w:szCs w:val="24"/>
        </w:rPr>
        <w:t xml:space="preserve"> </w:t>
      </w:r>
      <w:r w:rsidR="007220C8" w:rsidRPr="00D97634">
        <w:rPr>
          <w:rFonts w:ascii="Times New Roman" w:hAnsi="Times New Roman" w:cs="Times New Roman"/>
          <w:bCs/>
          <w:sz w:val="24"/>
          <w:szCs w:val="24"/>
        </w:rPr>
        <w:t>“</w:t>
      </w:r>
      <w:r w:rsidR="007220C8" w:rsidRPr="00D97634">
        <w:rPr>
          <w:rFonts w:ascii="Times New Roman" w:hAnsi="Times New Roman" w:cs="Times New Roman"/>
          <w:sz w:val="24"/>
          <w:szCs w:val="24"/>
        </w:rPr>
        <w:t xml:space="preserve">In these cases, the new, expanded or reconstructed facility is fundamentally different </w:t>
      </w:r>
      <w:r w:rsidR="007220C8" w:rsidRPr="00D97634">
        <w:rPr>
          <w:rFonts w:ascii="Times New Roman" w:hAnsi="Times New Roman" w:cs="Times New Roman"/>
          <w:bCs/>
          <w:sz w:val="24"/>
          <w:szCs w:val="24"/>
        </w:rPr>
        <w:t>from</w:t>
      </w:r>
      <w:r w:rsidR="007220C8" w:rsidRPr="00D97634">
        <w:rPr>
          <w:rFonts w:ascii="Times New Roman" w:hAnsi="Times New Roman" w:cs="Times New Roman"/>
          <w:sz w:val="24"/>
          <w:szCs w:val="24"/>
        </w:rPr>
        <w:t xml:space="preserve"> the previous facility served on the premises in nature and</w:t>
      </w:r>
      <w:r w:rsidR="001F1E46" w:rsidRPr="00D97634">
        <w:rPr>
          <w:rFonts w:ascii="Times New Roman" w:hAnsi="Times New Roman" w:cs="Times New Roman"/>
          <w:sz w:val="24"/>
          <w:szCs w:val="24"/>
        </w:rPr>
        <w:t xml:space="preserve"> function so as to constitute </w:t>
      </w:r>
      <w:r w:rsidR="001F1E46" w:rsidRPr="00D97634">
        <w:rPr>
          <w:rFonts w:ascii="Times New Roman" w:hAnsi="Times New Roman" w:cs="Times New Roman"/>
          <w:sz w:val="24"/>
          <w:szCs w:val="24"/>
          <w:u w:val="single"/>
        </w:rPr>
        <w:t xml:space="preserve">a </w:t>
      </w:r>
      <w:r w:rsidR="007220C8" w:rsidRPr="00D97634">
        <w:rPr>
          <w:rFonts w:ascii="Times New Roman" w:hAnsi="Times New Roman" w:cs="Times New Roman"/>
          <w:sz w:val="24"/>
          <w:szCs w:val="24"/>
          <w:u w:val="single"/>
        </w:rPr>
        <w:t>new premises</w:t>
      </w:r>
      <w:r w:rsidR="007220C8" w:rsidRPr="00D97634">
        <w:rPr>
          <w:rFonts w:ascii="Times New Roman" w:hAnsi="Times New Roman" w:cs="Times New Roman"/>
          <w:sz w:val="24"/>
          <w:szCs w:val="24"/>
        </w:rPr>
        <w:t xml:space="preserve"> and not to qualify under the “grandfather clause” as a “reconstruction</w:t>
      </w:r>
      <w:r w:rsidR="007220C8" w:rsidRPr="00D97634">
        <w:rPr>
          <w:rFonts w:ascii="Times New Roman" w:hAnsi="Times New Roman" w:cs="Times New Roman"/>
          <w:bCs/>
          <w:sz w:val="24"/>
          <w:szCs w:val="24"/>
        </w:rPr>
        <w:t xml:space="preserve"> . . . </w:t>
      </w:r>
      <w:r w:rsidR="007220C8" w:rsidRPr="00D97634">
        <w:rPr>
          <w:rFonts w:ascii="Times New Roman" w:hAnsi="Times New Roman" w:cs="Times New Roman"/>
          <w:sz w:val="24"/>
          <w:szCs w:val="24"/>
        </w:rPr>
        <w:t>in substantial kind</w:t>
      </w:r>
      <w:r w:rsidR="007220C8" w:rsidRPr="00D97634">
        <w:rPr>
          <w:rFonts w:ascii="Times New Roman" w:hAnsi="Times New Roman" w:cs="Times New Roman"/>
          <w:bCs/>
          <w:sz w:val="24"/>
          <w:szCs w:val="24"/>
        </w:rPr>
        <w:t xml:space="preserve">.” </w:t>
      </w:r>
      <w:r w:rsidR="007220C8" w:rsidRPr="00D97634">
        <w:rPr>
          <w:rFonts w:ascii="Times New Roman" w:hAnsi="Times New Roman" w:cs="Times New Roman"/>
          <w:bCs/>
          <w:i/>
          <w:iCs/>
          <w:sz w:val="24"/>
          <w:szCs w:val="24"/>
        </w:rPr>
        <w:t>Id.</w:t>
      </w:r>
      <w:r w:rsidR="007220C8" w:rsidRPr="00D97634">
        <w:rPr>
          <w:rFonts w:ascii="Times New Roman" w:hAnsi="Times New Roman" w:cs="Times New Roman"/>
          <w:bCs/>
          <w:sz w:val="24"/>
          <w:szCs w:val="24"/>
        </w:rPr>
        <w:t xml:space="preserve"> at 16</w:t>
      </w:r>
      <w:r w:rsidR="00F211F0" w:rsidRPr="00D97634">
        <w:rPr>
          <w:rFonts w:ascii="Times New Roman" w:hAnsi="Times New Roman" w:cs="Times New Roman"/>
          <w:bCs/>
          <w:sz w:val="24"/>
          <w:szCs w:val="24"/>
        </w:rPr>
        <w:t xml:space="preserve"> (emphasis added)</w:t>
      </w:r>
      <w:r w:rsidR="007220C8" w:rsidRPr="00D97634">
        <w:rPr>
          <w:rFonts w:ascii="Times New Roman" w:hAnsi="Times New Roman" w:cs="Times New Roman"/>
          <w:bCs/>
          <w:sz w:val="24"/>
          <w:szCs w:val="24"/>
        </w:rPr>
        <w:t>.</w:t>
      </w:r>
      <w:r w:rsidRPr="00D97634">
        <w:rPr>
          <w:rFonts w:ascii="Times New Roman" w:eastAsia="Times New Roman" w:hAnsi="Times New Roman" w:cs="Times New Roman"/>
          <w:snapToGrid w:val="0"/>
          <w:sz w:val="24"/>
          <w:szCs w:val="24"/>
        </w:rPr>
        <w:t xml:space="preserve">  </w:t>
      </w:r>
      <w:r w:rsidRPr="00D97634">
        <w:rPr>
          <w:rFonts w:ascii="Times New Roman" w:hAnsi="Times New Roman" w:cs="Times New Roman"/>
          <w:bCs/>
          <w:sz w:val="24"/>
          <w:szCs w:val="24"/>
        </w:rPr>
        <w:t xml:space="preserve">The Commission has never recognized or endorsed the extreme position Georgia Power now urges the Commission to adopt.  Instead, the Commission has long interpreted </w:t>
      </w:r>
      <w:r w:rsidRPr="00D97634">
        <w:rPr>
          <w:rFonts w:ascii="Times New Roman" w:eastAsia="Times New Roman" w:hAnsi="Times New Roman" w:cs="Times New Roman"/>
          <w:sz w:val="24"/>
          <w:szCs w:val="24"/>
        </w:rPr>
        <w:t xml:space="preserve">O.C.G.A. § 46-3-8(b) </w:t>
      </w:r>
      <w:r w:rsidRPr="00D97634">
        <w:rPr>
          <w:rFonts w:ascii="Times New Roman" w:hAnsi="Times New Roman" w:cs="Times New Roman"/>
          <w:bCs/>
          <w:sz w:val="24"/>
          <w:szCs w:val="24"/>
        </w:rPr>
        <w:t>to permit a customer to establish a “new premises” by destroying or dismantling an old premises and reconstructing the new premises not in substantial kind</w:t>
      </w:r>
      <w:r w:rsidR="001F1E46" w:rsidRPr="00D97634">
        <w:rPr>
          <w:rFonts w:ascii="Times New Roman" w:hAnsi="Times New Roman" w:cs="Times New Roman"/>
          <w:bCs/>
          <w:sz w:val="24"/>
          <w:szCs w:val="24"/>
        </w:rPr>
        <w:t xml:space="preserve">.  The </w:t>
      </w:r>
      <w:r w:rsidR="00ED3B8F" w:rsidRPr="00D97634">
        <w:rPr>
          <w:rFonts w:ascii="Times New Roman" w:hAnsi="Times New Roman" w:cs="Times New Roman"/>
          <w:bCs/>
          <w:sz w:val="24"/>
          <w:szCs w:val="24"/>
        </w:rPr>
        <w:t>Initial Decision</w:t>
      </w:r>
      <w:r w:rsidR="00EC3ED3" w:rsidRPr="00D97634">
        <w:rPr>
          <w:rFonts w:ascii="Times New Roman" w:hAnsi="Times New Roman" w:cs="Times New Roman"/>
          <w:bCs/>
          <w:sz w:val="24"/>
          <w:szCs w:val="24"/>
        </w:rPr>
        <w:t xml:space="preserve"> correctly relies on, and </w:t>
      </w:r>
      <w:r w:rsidR="00DB5191" w:rsidRPr="00D97634">
        <w:rPr>
          <w:rFonts w:ascii="Times New Roman" w:hAnsi="Times New Roman" w:cs="Times New Roman"/>
          <w:bCs/>
          <w:sz w:val="24"/>
          <w:szCs w:val="24"/>
        </w:rPr>
        <w:t>applies</w:t>
      </w:r>
      <w:r w:rsidR="001F1E46" w:rsidRPr="00D97634">
        <w:rPr>
          <w:rFonts w:ascii="Times New Roman" w:hAnsi="Times New Roman" w:cs="Times New Roman"/>
          <w:bCs/>
          <w:sz w:val="24"/>
          <w:szCs w:val="24"/>
        </w:rPr>
        <w:t>, the Commission’s interpretation of O.C.G.A. § 46-3-8(b) in finding the Hartwell Pet Food Facility to be a “new premises.”</w:t>
      </w:r>
    </w:p>
    <w:p w14:paraId="29479B38" w14:textId="77777777" w:rsidR="003A6179" w:rsidRPr="00D97634" w:rsidRDefault="00B154FA" w:rsidP="00A648ED">
      <w:pPr>
        <w:spacing w:after="0" w:line="480" w:lineRule="auto"/>
        <w:jc w:val="both"/>
        <w:rPr>
          <w:rFonts w:ascii="Times New Roman" w:eastAsia="Times New Roman" w:hAnsi="Times New Roman" w:cs="Times New Roman"/>
          <w:snapToGrid w:val="0"/>
          <w:sz w:val="24"/>
          <w:szCs w:val="24"/>
        </w:rPr>
      </w:pPr>
      <w:r w:rsidRPr="00D97634">
        <w:rPr>
          <w:rFonts w:ascii="Times New Roman" w:hAnsi="Times New Roman" w:cs="Times New Roman"/>
          <w:bCs/>
          <w:sz w:val="24"/>
          <w:szCs w:val="24"/>
        </w:rPr>
        <w:tab/>
      </w:r>
      <w:r w:rsidR="004E2B18" w:rsidRPr="00D97634">
        <w:rPr>
          <w:rFonts w:ascii="Times New Roman" w:hAnsi="Times New Roman" w:cs="Times New Roman"/>
          <w:sz w:val="24"/>
          <w:szCs w:val="24"/>
        </w:rPr>
        <w:t xml:space="preserve">The </w:t>
      </w:r>
      <w:r w:rsidR="00ED3B8F" w:rsidRPr="00D97634">
        <w:rPr>
          <w:rFonts w:ascii="Times New Roman" w:hAnsi="Times New Roman" w:cs="Times New Roman"/>
          <w:sz w:val="24"/>
          <w:szCs w:val="24"/>
        </w:rPr>
        <w:t>Initial Decision</w:t>
      </w:r>
      <w:r w:rsidR="00EC3ED3" w:rsidRPr="00D97634">
        <w:rPr>
          <w:rFonts w:ascii="Times New Roman" w:hAnsi="Times New Roman" w:cs="Times New Roman"/>
          <w:sz w:val="24"/>
          <w:szCs w:val="24"/>
        </w:rPr>
        <w:t xml:space="preserve"> considers and applies</w:t>
      </w:r>
      <w:r w:rsidR="004E2B18" w:rsidRPr="00D97634">
        <w:rPr>
          <w:rFonts w:ascii="Times New Roman" w:hAnsi="Times New Roman" w:cs="Times New Roman"/>
          <w:sz w:val="24"/>
          <w:szCs w:val="24"/>
        </w:rPr>
        <w:t xml:space="preserve"> the following Commission decisions while </w:t>
      </w:r>
      <w:r w:rsidRPr="00D97634">
        <w:rPr>
          <w:rFonts w:ascii="Times New Roman" w:hAnsi="Times New Roman" w:cs="Times New Roman"/>
          <w:sz w:val="24"/>
          <w:szCs w:val="24"/>
        </w:rPr>
        <w:t>finding Nestlé Purina “de</w:t>
      </w:r>
      <w:r w:rsidR="001F1E46" w:rsidRPr="00D97634">
        <w:rPr>
          <w:rFonts w:ascii="Times New Roman" w:hAnsi="Times New Roman" w:cs="Times New Roman"/>
          <w:sz w:val="24"/>
          <w:szCs w:val="24"/>
        </w:rPr>
        <w:t>stroyed or dismantled” the old P</w:t>
      </w:r>
      <w:r w:rsidRPr="00D97634">
        <w:rPr>
          <w:rFonts w:ascii="Times New Roman" w:hAnsi="Times New Roman" w:cs="Times New Roman"/>
          <w:sz w:val="24"/>
          <w:szCs w:val="24"/>
        </w:rPr>
        <w:t xml:space="preserve">remises </w:t>
      </w:r>
      <w:r w:rsidR="004E2B18" w:rsidRPr="00D97634">
        <w:rPr>
          <w:rFonts w:ascii="Times New Roman" w:hAnsi="Times New Roman" w:cs="Times New Roman"/>
          <w:sz w:val="24"/>
          <w:szCs w:val="24"/>
        </w:rPr>
        <w:t>under</w:t>
      </w:r>
      <w:r w:rsidRPr="00D97634">
        <w:rPr>
          <w:rFonts w:ascii="Times New Roman" w:hAnsi="Times New Roman" w:cs="Times New Roman"/>
          <w:sz w:val="24"/>
          <w:szCs w:val="24"/>
        </w:rPr>
        <w:t xml:space="preserve"> the Commission’s prior application of the plain mean</w:t>
      </w:r>
      <w:r w:rsidR="004E2B18" w:rsidRPr="00D97634">
        <w:rPr>
          <w:rFonts w:ascii="Times New Roman" w:hAnsi="Times New Roman" w:cs="Times New Roman"/>
          <w:sz w:val="24"/>
          <w:szCs w:val="24"/>
        </w:rPr>
        <w:t>ing of “destroy” and “dismantle</w:t>
      </w:r>
      <w:r w:rsidRPr="00D97634">
        <w:rPr>
          <w:rFonts w:ascii="Times New Roman" w:hAnsi="Times New Roman" w:cs="Times New Roman"/>
          <w:sz w:val="24"/>
          <w:szCs w:val="24"/>
        </w:rPr>
        <w:t xml:space="preserve">”: </w:t>
      </w:r>
      <w:r w:rsidRPr="00D97634">
        <w:rPr>
          <w:rFonts w:ascii="Times New Roman" w:hAnsi="Times New Roman" w:cs="Times New Roman"/>
          <w:i/>
          <w:iCs/>
          <w:noProof/>
          <w:sz w:val="24"/>
          <w:szCs w:val="24"/>
        </w:rPr>
        <w:t>Ga. Power Co. v. Jackson Elec. Membership Corp.</w:t>
      </w:r>
      <w:r w:rsidRPr="00D97634">
        <w:rPr>
          <w:rFonts w:ascii="Times New Roman" w:hAnsi="Times New Roman" w:cs="Times New Roman"/>
          <w:noProof/>
          <w:sz w:val="24"/>
          <w:szCs w:val="24"/>
        </w:rPr>
        <w:t>,</w:t>
      </w:r>
      <w:r w:rsidR="008B7FDB" w:rsidRPr="00D97634">
        <w:rPr>
          <w:rFonts w:ascii="Times New Roman" w:hAnsi="Times New Roman" w:cs="Times New Roman"/>
          <w:noProof/>
          <w:sz w:val="24"/>
          <w:szCs w:val="24"/>
        </w:rPr>
        <w:t xml:space="preserve"> </w:t>
      </w:r>
      <w:r w:rsidR="004E3483" w:rsidRPr="00D97634">
        <w:rPr>
          <w:rFonts w:ascii="Times New Roman" w:hAnsi="Times New Roman" w:cs="Times New Roman"/>
          <w:noProof/>
          <w:sz w:val="24"/>
          <w:szCs w:val="24"/>
        </w:rPr>
        <w:t xml:space="preserve">Docket No. 38658, (Order Adopting the Hearing Officer’s Initial Decision, </w:t>
      </w:r>
      <w:r w:rsidR="004E3483" w:rsidRPr="00D97634">
        <w:rPr>
          <w:rFonts w:ascii="Times New Roman" w:hAnsi="Times New Roman" w:cs="Times New Roman"/>
          <w:noProof/>
          <w:sz w:val="24"/>
          <w:szCs w:val="24"/>
        </w:rPr>
        <w:lastRenderedPageBreak/>
        <w:t>November 11, 2015), (“</w:t>
      </w:r>
      <w:r w:rsidR="004E3483" w:rsidRPr="00D97634">
        <w:rPr>
          <w:rFonts w:ascii="Times New Roman" w:hAnsi="Times New Roman" w:cs="Times New Roman"/>
          <w:i/>
          <w:noProof/>
          <w:sz w:val="24"/>
          <w:szCs w:val="24"/>
        </w:rPr>
        <w:t>Jackson EMC</w:t>
      </w:r>
      <w:r w:rsidR="004E3483" w:rsidRPr="00D97634">
        <w:rPr>
          <w:rFonts w:ascii="Times New Roman" w:hAnsi="Times New Roman" w:cs="Times New Roman"/>
          <w:noProof/>
          <w:sz w:val="24"/>
          <w:szCs w:val="24"/>
        </w:rPr>
        <w:t>”)</w:t>
      </w:r>
      <w:r w:rsidRPr="00D97634">
        <w:rPr>
          <w:rFonts w:ascii="Times New Roman" w:hAnsi="Times New Roman" w:cs="Times New Roman"/>
          <w:sz w:val="24"/>
          <w:szCs w:val="24"/>
        </w:rPr>
        <w:t xml:space="preserve">; </w:t>
      </w:r>
      <w:r w:rsidRPr="00D97634">
        <w:rPr>
          <w:rFonts w:ascii="Times New Roman" w:hAnsi="Times New Roman" w:cs="Times New Roman"/>
          <w:i/>
          <w:sz w:val="24"/>
          <w:szCs w:val="24"/>
        </w:rPr>
        <w:t>Georgia Power Company v. Marietta Board of Lights and Water</w:t>
      </w:r>
      <w:r w:rsidRPr="00D97634">
        <w:rPr>
          <w:rFonts w:ascii="Times New Roman" w:hAnsi="Times New Roman" w:cs="Times New Roman"/>
          <w:sz w:val="24"/>
          <w:szCs w:val="24"/>
        </w:rPr>
        <w:t>, Docket No. 7545-U</w:t>
      </w:r>
      <w:r w:rsidR="004E3483" w:rsidRPr="00D97634">
        <w:rPr>
          <w:rFonts w:ascii="Times New Roman" w:hAnsi="Times New Roman" w:cs="Times New Roman"/>
          <w:sz w:val="24"/>
          <w:szCs w:val="24"/>
        </w:rPr>
        <w:t>, at</w:t>
      </w:r>
      <w:r w:rsidRPr="00D97634">
        <w:rPr>
          <w:rFonts w:ascii="Times New Roman" w:hAnsi="Times New Roman" w:cs="Times New Roman"/>
          <w:sz w:val="24"/>
          <w:szCs w:val="24"/>
        </w:rPr>
        <w:t xml:space="preserve"> *8-9</w:t>
      </w:r>
      <w:r w:rsidR="004E3483" w:rsidRPr="00D97634">
        <w:rPr>
          <w:rFonts w:ascii="Times New Roman" w:hAnsi="Times New Roman" w:cs="Times New Roman"/>
          <w:sz w:val="24"/>
          <w:szCs w:val="24"/>
        </w:rPr>
        <w:t>,</w:t>
      </w:r>
      <w:r w:rsidRPr="00D97634">
        <w:rPr>
          <w:rFonts w:ascii="Times New Roman" w:hAnsi="Times New Roman" w:cs="Times New Roman"/>
          <w:sz w:val="24"/>
          <w:szCs w:val="24"/>
        </w:rPr>
        <w:t xml:space="preserve"> (Initial Decision, January 12, 1998), (“</w:t>
      </w:r>
      <w:r w:rsidRPr="00D97634">
        <w:rPr>
          <w:rFonts w:ascii="Times New Roman" w:hAnsi="Times New Roman" w:cs="Times New Roman"/>
          <w:i/>
          <w:sz w:val="24"/>
          <w:szCs w:val="24"/>
        </w:rPr>
        <w:t>MBLW</w:t>
      </w:r>
      <w:r w:rsidRPr="00D97634">
        <w:rPr>
          <w:rFonts w:ascii="Times New Roman" w:hAnsi="Times New Roman" w:cs="Times New Roman"/>
          <w:sz w:val="24"/>
          <w:szCs w:val="24"/>
        </w:rPr>
        <w:t xml:space="preserve">”); </w:t>
      </w:r>
      <w:r w:rsidRPr="00D97634">
        <w:rPr>
          <w:rFonts w:ascii="Times New Roman" w:eastAsia="Times New Roman" w:hAnsi="Times New Roman" w:cs="Times New Roman"/>
          <w:i/>
          <w:snapToGrid w:val="0"/>
          <w:sz w:val="24"/>
          <w:szCs w:val="24"/>
        </w:rPr>
        <w:t>Georgia Power Co. and Southwire Co., LLC v. Carroll Electric Membership Corp.</w:t>
      </w:r>
      <w:r w:rsidRPr="00D97634">
        <w:rPr>
          <w:rFonts w:ascii="Times New Roman" w:eastAsia="Times New Roman" w:hAnsi="Times New Roman" w:cs="Times New Roman"/>
          <w:snapToGrid w:val="0"/>
          <w:sz w:val="24"/>
          <w:szCs w:val="24"/>
        </w:rPr>
        <w:t>, Docket No. 38275</w:t>
      </w:r>
      <w:r w:rsidR="004E3483"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(Order Adopting the Hearing Officer’s Initial Decision, March 30, 2015), (“</w:t>
      </w:r>
      <w:r w:rsidRPr="00D97634">
        <w:rPr>
          <w:rFonts w:ascii="Times New Roman" w:eastAsia="Times New Roman" w:hAnsi="Times New Roman" w:cs="Times New Roman"/>
          <w:i/>
          <w:snapToGrid w:val="0"/>
          <w:sz w:val="24"/>
          <w:szCs w:val="24"/>
        </w:rPr>
        <w:t>Southwire</w:t>
      </w:r>
      <w:r w:rsidRPr="00D97634">
        <w:rPr>
          <w:rFonts w:ascii="Times New Roman" w:eastAsia="Times New Roman" w:hAnsi="Times New Roman" w:cs="Times New Roman"/>
          <w:snapToGrid w:val="0"/>
          <w:sz w:val="24"/>
          <w:szCs w:val="24"/>
        </w:rPr>
        <w:t xml:space="preserve">”); </w:t>
      </w:r>
      <w:r w:rsidRPr="00D97634">
        <w:rPr>
          <w:rFonts w:ascii="Times New Roman" w:hAnsi="Times New Roman" w:cs="Times New Roman"/>
          <w:i/>
          <w:sz w:val="24"/>
          <w:szCs w:val="24"/>
        </w:rPr>
        <w:t>Greystone Power Corporation v. Georgia Power Company</w:t>
      </w:r>
      <w:r w:rsidRPr="00D97634">
        <w:rPr>
          <w:rFonts w:ascii="Times New Roman" w:hAnsi="Times New Roman" w:cs="Times New Roman"/>
          <w:sz w:val="24"/>
          <w:szCs w:val="24"/>
        </w:rPr>
        <w:t>, Docket No. 40803 (Initial Decision, March 23, 2018)</w:t>
      </w:r>
      <w:r w:rsidR="004E3483" w:rsidRPr="00D97634">
        <w:rPr>
          <w:rFonts w:ascii="Times New Roman" w:hAnsi="Times New Roman" w:cs="Times New Roman"/>
          <w:sz w:val="24"/>
          <w:szCs w:val="24"/>
        </w:rPr>
        <w:t>, (“</w:t>
      </w:r>
      <w:r w:rsidR="004E3483" w:rsidRPr="00D97634">
        <w:rPr>
          <w:rFonts w:ascii="Times New Roman" w:hAnsi="Times New Roman" w:cs="Times New Roman"/>
          <w:i/>
          <w:sz w:val="24"/>
          <w:szCs w:val="24"/>
        </w:rPr>
        <w:t>Greystone</w:t>
      </w:r>
      <w:r w:rsidR="004E3483" w:rsidRPr="00D97634">
        <w:rPr>
          <w:rFonts w:ascii="Times New Roman" w:hAnsi="Times New Roman" w:cs="Times New Roman"/>
          <w:sz w:val="24"/>
          <w:szCs w:val="24"/>
        </w:rPr>
        <w:t>”)</w:t>
      </w:r>
      <w:r w:rsidRPr="00D97634">
        <w:rPr>
          <w:rFonts w:ascii="Times New Roman" w:hAnsi="Times New Roman" w:cs="Times New Roman"/>
          <w:sz w:val="24"/>
          <w:szCs w:val="24"/>
        </w:rPr>
        <w:t xml:space="preserve">; </w:t>
      </w:r>
      <w:r w:rsidRPr="00D97634">
        <w:rPr>
          <w:rFonts w:ascii="Times New Roman" w:hAnsi="Times New Roman" w:cs="Times New Roman"/>
          <w:i/>
          <w:sz w:val="24"/>
          <w:szCs w:val="24"/>
        </w:rPr>
        <w:t>In re Diverse Power v. City of Lagrange</w:t>
      </w:r>
      <w:r w:rsidRPr="00D97634">
        <w:rPr>
          <w:rFonts w:ascii="Times New Roman" w:hAnsi="Times New Roman" w:cs="Times New Roman"/>
          <w:sz w:val="24"/>
          <w:szCs w:val="24"/>
        </w:rPr>
        <w:t>, Docket No. 13392, at 7 (Final Commission Order, Dec. 4, 2003)</w:t>
      </w:r>
      <w:r w:rsidRPr="00D97634">
        <w:rPr>
          <w:rFonts w:ascii="Times New Roman" w:hAnsi="Times New Roman" w:cs="Times New Roman"/>
          <w:i/>
          <w:sz w:val="24"/>
          <w:szCs w:val="24"/>
        </w:rPr>
        <w:t xml:space="preserve"> </w:t>
      </w:r>
      <w:r w:rsidRPr="00D97634">
        <w:rPr>
          <w:rFonts w:ascii="Times New Roman" w:hAnsi="Times New Roman" w:cs="Times New Roman"/>
          <w:sz w:val="24"/>
          <w:szCs w:val="24"/>
        </w:rPr>
        <w:t>(discussing the application of “in substantial kind”)</w:t>
      </w:r>
      <w:r w:rsidR="00255E84" w:rsidRPr="00D97634">
        <w:rPr>
          <w:rFonts w:ascii="Times New Roman" w:hAnsi="Times New Roman" w:cs="Times New Roman"/>
          <w:sz w:val="24"/>
          <w:szCs w:val="24"/>
        </w:rPr>
        <w:t>, (</w:t>
      </w:r>
      <w:r w:rsidR="000C5C7D" w:rsidRPr="00D97634">
        <w:rPr>
          <w:rFonts w:ascii="Times New Roman" w:hAnsi="Times New Roman" w:cs="Times New Roman"/>
          <w:sz w:val="24"/>
          <w:szCs w:val="24"/>
        </w:rPr>
        <w:t>“</w:t>
      </w:r>
      <w:r w:rsidR="00255E84" w:rsidRPr="00D97634">
        <w:rPr>
          <w:rFonts w:ascii="Times New Roman" w:hAnsi="Times New Roman" w:cs="Times New Roman"/>
          <w:i/>
          <w:sz w:val="24"/>
          <w:szCs w:val="24"/>
        </w:rPr>
        <w:t>Diverse Power</w:t>
      </w:r>
      <w:r w:rsidR="00255E84" w:rsidRPr="00D97634">
        <w:rPr>
          <w:rFonts w:ascii="Times New Roman" w:hAnsi="Times New Roman" w:cs="Times New Roman"/>
          <w:sz w:val="24"/>
          <w:szCs w:val="24"/>
        </w:rPr>
        <w:t>”)</w:t>
      </w:r>
      <w:r w:rsidRPr="00D97634">
        <w:rPr>
          <w:rFonts w:ascii="Times New Roman" w:hAnsi="Times New Roman" w:cs="Times New Roman"/>
          <w:sz w:val="24"/>
          <w:szCs w:val="24"/>
        </w:rPr>
        <w:t>;</w:t>
      </w:r>
      <w:r w:rsidRPr="00D97634">
        <w:rPr>
          <w:rFonts w:ascii="Times New Roman" w:hAnsi="Times New Roman" w:cs="Times New Roman"/>
          <w:i/>
          <w:sz w:val="24"/>
          <w:szCs w:val="24"/>
        </w:rPr>
        <w:t xml:space="preserve"> Colquitt EMC v. Georgia Power Co.</w:t>
      </w:r>
      <w:r w:rsidRPr="00D97634">
        <w:rPr>
          <w:rFonts w:ascii="Times New Roman" w:hAnsi="Times New Roman" w:cs="Times New Roman"/>
          <w:sz w:val="24"/>
          <w:szCs w:val="24"/>
        </w:rPr>
        <w:t xml:space="preserve">, Docket No. 12528, at 12-13 (Initial Decision, Jan. 18, 2002). </w:t>
      </w:r>
    </w:p>
    <w:p w14:paraId="3B1A864A" w14:textId="6B21B751" w:rsidR="00F81A4E" w:rsidRPr="00D97634" w:rsidRDefault="00B154FA" w:rsidP="003A6179">
      <w:pPr>
        <w:spacing w:after="0" w:line="480" w:lineRule="auto"/>
        <w:ind w:right="-10" w:firstLine="720"/>
        <w:jc w:val="both"/>
        <w:rPr>
          <w:rFonts w:ascii="Times New Roman" w:hAnsi="Times New Roman" w:cs="Times New Roman"/>
          <w:iCs/>
          <w:sz w:val="24"/>
          <w:szCs w:val="24"/>
        </w:rPr>
      </w:pPr>
      <w:r w:rsidRPr="00D97634">
        <w:rPr>
          <w:rFonts w:ascii="Times New Roman" w:hAnsi="Times New Roman" w:cs="Times New Roman"/>
          <w:sz w:val="24"/>
          <w:szCs w:val="24"/>
        </w:rPr>
        <w:t>Similarly,</w:t>
      </w:r>
      <w:r w:rsidR="00E86B0C" w:rsidRPr="00D97634">
        <w:rPr>
          <w:rFonts w:ascii="Times New Roman" w:hAnsi="Times New Roman" w:cs="Times New Roman"/>
          <w:sz w:val="24"/>
          <w:szCs w:val="24"/>
        </w:rPr>
        <w:t xml:space="preserve"> t</w:t>
      </w:r>
      <w:r w:rsidR="00E86B0C" w:rsidRPr="00D97634">
        <w:rPr>
          <w:rFonts w:ascii="Times New Roman" w:eastAsia="Times New Roman" w:hAnsi="Times New Roman" w:cs="Times New Roman"/>
          <w:sz w:val="24"/>
          <w:szCs w:val="24"/>
        </w:rPr>
        <w:t xml:space="preserve">he </w:t>
      </w:r>
      <w:r w:rsidR="00EC3ED3" w:rsidRPr="00D97634">
        <w:rPr>
          <w:rFonts w:ascii="Times New Roman" w:eastAsia="Times New Roman" w:hAnsi="Times New Roman" w:cs="Times New Roman"/>
          <w:sz w:val="24"/>
          <w:szCs w:val="24"/>
        </w:rPr>
        <w:t>Initial Decision discusses and applies</w:t>
      </w:r>
      <w:r w:rsidR="00E86B0C" w:rsidRPr="00D97634">
        <w:rPr>
          <w:rFonts w:ascii="Times New Roman" w:eastAsia="Times New Roman" w:hAnsi="Times New Roman" w:cs="Times New Roman"/>
          <w:sz w:val="24"/>
          <w:szCs w:val="24"/>
        </w:rPr>
        <w:t xml:space="preserve"> the following Commission decisions</w:t>
      </w:r>
      <w:r w:rsidR="00BB471A" w:rsidRPr="00D97634">
        <w:rPr>
          <w:rFonts w:ascii="Times New Roman" w:eastAsia="Times New Roman" w:hAnsi="Times New Roman" w:cs="Times New Roman"/>
          <w:sz w:val="24"/>
          <w:szCs w:val="24"/>
        </w:rPr>
        <w:t>,</w:t>
      </w:r>
      <w:r w:rsidR="00E86B0C" w:rsidRPr="00D97634">
        <w:rPr>
          <w:rFonts w:ascii="Times New Roman" w:hAnsi="Times New Roman" w:cs="Times New Roman"/>
          <w:sz w:val="24"/>
          <w:szCs w:val="24"/>
        </w:rPr>
        <w:t xml:space="preserve"> while</w:t>
      </w:r>
      <w:r w:rsidRPr="00D97634">
        <w:rPr>
          <w:rFonts w:ascii="Times New Roman" w:eastAsia="Times New Roman" w:hAnsi="Times New Roman" w:cs="Times New Roman"/>
          <w:sz w:val="24"/>
          <w:szCs w:val="24"/>
        </w:rPr>
        <w:t xml:space="preserve"> finding Nestlé Purina </w:t>
      </w:r>
      <w:r w:rsidR="00DB5191" w:rsidRPr="00D97634">
        <w:rPr>
          <w:rFonts w:ascii="Times New Roman" w:eastAsia="Times New Roman" w:hAnsi="Times New Roman" w:cs="Times New Roman"/>
          <w:sz w:val="24"/>
          <w:szCs w:val="24"/>
        </w:rPr>
        <w:t xml:space="preserve">did </w:t>
      </w:r>
      <w:r w:rsidR="00DB5191" w:rsidRPr="00D97634">
        <w:rPr>
          <w:rFonts w:ascii="Times New Roman" w:eastAsia="Times New Roman" w:hAnsi="Times New Roman" w:cs="Times New Roman"/>
          <w:i/>
          <w:sz w:val="24"/>
          <w:szCs w:val="24"/>
        </w:rPr>
        <w:t xml:space="preserve">not </w:t>
      </w:r>
      <w:r w:rsidR="00EC3ED3" w:rsidRPr="00D97634">
        <w:rPr>
          <w:rFonts w:ascii="Times New Roman" w:eastAsia="Times New Roman" w:hAnsi="Times New Roman" w:cs="Times New Roman"/>
          <w:sz w:val="24"/>
          <w:szCs w:val="24"/>
        </w:rPr>
        <w:t>re</w:t>
      </w:r>
      <w:r w:rsidR="00DB5191" w:rsidRPr="00D97634">
        <w:rPr>
          <w:rFonts w:ascii="Times New Roman" w:eastAsia="Times New Roman" w:hAnsi="Times New Roman" w:cs="Times New Roman"/>
          <w:sz w:val="24"/>
          <w:szCs w:val="24"/>
        </w:rPr>
        <w:t xml:space="preserve">construct </w:t>
      </w:r>
      <w:r w:rsidRPr="00D97634">
        <w:rPr>
          <w:rFonts w:ascii="Times New Roman" w:eastAsia="Times New Roman" w:hAnsi="Times New Roman" w:cs="Times New Roman"/>
          <w:sz w:val="24"/>
          <w:szCs w:val="24"/>
        </w:rPr>
        <w:t xml:space="preserve">the Hartwell Pet Food Facility </w:t>
      </w:r>
      <w:r w:rsidR="00E86B0C" w:rsidRPr="00D97634">
        <w:rPr>
          <w:rFonts w:ascii="Times New Roman" w:eastAsia="Times New Roman" w:hAnsi="Times New Roman" w:cs="Times New Roman"/>
          <w:sz w:val="24"/>
          <w:szCs w:val="24"/>
        </w:rPr>
        <w:t xml:space="preserve">in substantial kind to the old Premises </w:t>
      </w:r>
      <w:r w:rsidR="002C672D" w:rsidRPr="00D97634">
        <w:rPr>
          <w:rFonts w:ascii="Times New Roman" w:eastAsia="Times New Roman" w:hAnsi="Times New Roman" w:cs="Times New Roman"/>
          <w:sz w:val="24"/>
          <w:szCs w:val="24"/>
        </w:rPr>
        <w:t>under the Commission’s prior application of</w:t>
      </w:r>
      <w:r w:rsidRPr="00D97634">
        <w:rPr>
          <w:rFonts w:ascii="Times New Roman" w:eastAsia="Times New Roman" w:hAnsi="Times New Roman" w:cs="Times New Roman"/>
          <w:sz w:val="24"/>
          <w:szCs w:val="24"/>
        </w:rPr>
        <w:t xml:space="preserve"> the term “in substantial kind” </w:t>
      </w:r>
      <w:r w:rsidR="00FB7AA8" w:rsidRPr="00D97634">
        <w:rPr>
          <w:rFonts w:ascii="Times New Roman" w:eastAsia="Times New Roman" w:hAnsi="Times New Roman" w:cs="Times New Roman"/>
          <w:sz w:val="24"/>
          <w:szCs w:val="24"/>
        </w:rPr>
        <w:t xml:space="preserve">— </w:t>
      </w:r>
      <w:r w:rsidR="00FB2F4B" w:rsidRPr="00D97634">
        <w:rPr>
          <w:rFonts w:ascii="Times New Roman" w:eastAsia="Times New Roman" w:hAnsi="Times New Roman" w:cs="Times New Roman"/>
          <w:sz w:val="24"/>
          <w:szCs w:val="24"/>
        </w:rPr>
        <w:t>a</w:t>
      </w:r>
      <w:r w:rsidRPr="00D97634">
        <w:rPr>
          <w:rFonts w:ascii="Times New Roman" w:eastAsia="Times New Roman" w:hAnsi="Times New Roman" w:cs="Times New Roman"/>
          <w:sz w:val="24"/>
          <w:szCs w:val="24"/>
        </w:rPr>
        <w:t xml:space="preserve"> facility which is largely, but not wholly, of the same fundamental nature or quality as the previous facility: </w:t>
      </w:r>
      <w:r w:rsidRPr="00D97634">
        <w:rPr>
          <w:rFonts w:ascii="Times New Roman" w:eastAsia="Times New Roman" w:hAnsi="Times New Roman" w:cs="Times New Roman"/>
          <w:i/>
          <w:sz w:val="24"/>
          <w:szCs w:val="24"/>
        </w:rPr>
        <w:t>North Georgia Electric Membership Corporation v. City of Dalton</w:t>
      </w:r>
      <w:r w:rsidRPr="00D97634">
        <w:rPr>
          <w:rFonts w:ascii="Times New Roman" w:eastAsia="Times New Roman" w:hAnsi="Times New Roman" w:cs="Times New Roman"/>
          <w:sz w:val="24"/>
          <w:szCs w:val="24"/>
        </w:rPr>
        <w:t>, Docket No. 3941-U</w:t>
      </w:r>
      <w:r w:rsidR="004E3483" w:rsidRPr="00D97634">
        <w:rPr>
          <w:rFonts w:ascii="Times New Roman" w:eastAsia="Times New Roman" w:hAnsi="Times New Roman" w:cs="Times New Roman"/>
          <w:sz w:val="24"/>
          <w:szCs w:val="24"/>
        </w:rPr>
        <w:t>,</w:t>
      </w:r>
      <w:r w:rsidRPr="00D97634">
        <w:rPr>
          <w:rFonts w:ascii="Times New Roman" w:eastAsia="Times New Roman" w:hAnsi="Times New Roman" w:cs="Times New Roman"/>
          <w:sz w:val="24"/>
          <w:szCs w:val="24"/>
        </w:rPr>
        <w:t xml:space="preserve"> (Initial Decision, June 21, 1991), </w:t>
      </w:r>
      <w:r w:rsidRPr="00D97634">
        <w:rPr>
          <w:rFonts w:ascii="Times New Roman" w:eastAsia="Times New Roman" w:hAnsi="Times New Roman" w:cs="Times New Roman"/>
          <w:i/>
          <w:sz w:val="24"/>
          <w:szCs w:val="24"/>
        </w:rPr>
        <w:t>Georgia Power Company v.  Middle Georgia Electric Membership Corporation</w:t>
      </w:r>
      <w:r w:rsidRPr="00D97634">
        <w:rPr>
          <w:rFonts w:ascii="Times New Roman" w:eastAsia="Times New Roman" w:hAnsi="Times New Roman" w:cs="Times New Roman"/>
          <w:sz w:val="24"/>
          <w:szCs w:val="24"/>
        </w:rPr>
        <w:t>, Docket No. 3826-U</w:t>
      </w:r>
      <w:r w:rsidR="004E3483" w:rsidRPr="00D97634">
        <w:rPr>
          <w:rFonts w:ascii="Times New Roman" w:eastAsia="Times New Roman" w:hAnsi="Times New Roman" w:cs="Times New Roman"/>
          <w:sz w:val="24"/>
          <w:szCs w:val="24"/>
        </w:rPr>
        <w:t>,</w:t>
      </w:r>
      <w:r w:rsidRPr="00D97634">
        <w:rPr>
          <w:rFonts w:ascii="Times New Roman" w:eastAsia="Times New Roman" w:hAnsi="Times New Roman" w:cs="Times New Roman"/>
          <w:sz w:val="24"/>
          <w:szCs w:val="24"/>
        </w:rPr>
        <w:t xml:space="preserve"> (Initial Decision, May 16, 1989); </w:t>
      </w:r>
      <w:r w:rsidRPr="00D97634">
        <w:rPr>
          <w:rFonts w:ascii="Times New Roman" w:eastAsia="Times New Roman" w:hAnsi="Times New Roman" w:cs="Times New Roman"/>
          <w:i/>
          <w:sz w:val="24"/>
          <w:szCs w:val="24"/>
        </w:rPr>
        <w:t>Central Georgia Electric Membership Company v. Georgia Power Company</w:t>
      </w:r>
      <w:r w:rsidRPr="00D97634">
        <w:rPr>
          <w:rFonts w:ascii="Times New Roman" w:eastAsia="Times New Roman" w:hAnsi="Times New Roman" w:cs="Times New Roman"/>
          <w:sz w:val="24"/>
          <w:szCs w:val="24"/>
        </w:rPr>
        <w:t>, Docket No. 3692-U</w:t>
      </w:r>
      <w:r w:rsidR="004E3483" w:rsidRPr="00D97634">
        <w:rPr>
          <w:rFonts w:ascii="Times New Roman" w:eastAsia="Times New Roman" w:hAnsi="Times New Roman" w:cs="Times New Roman"/>
          <w:sz w:val="24"/>
          <w:szCs w:val="24"/>
        </w:rPr>
        <w:t>,</w:t>
      </w:r>
      <w:r w:rsidRPr="00D97634">
        <w:rPr>
          <w:rFonts w:ascii="Times New Roman" w:eastAsia="Times New Roman" w:hAnsi="Times New Roman" w:cs="Times New Roman"/>
          <w:sz w:val="24"/>
          <w:szCs w:val="24"/>
        </w:rPr>
        <w:t xml:space="preserve"> </w:t>
      </w:r>
      <w:r w:rsidR="00255E84" w:rsidRPr="00D97634">
        <w:rPr>
          <w:rFonts w:ascii="Times New Roman" w:eastAsia="Times New Roman" w:hAnsi="Times New Roman" w:cs="Times New Roman"/>
          <w:sz w:val="24"/>
          <w:szCs w:val="24"/>
        </w:rPr>
        <w:t xml:space="preserve">(Initial Decision, May 9, 1988); </w:t>
      </w:r>
      <w:r w:rsidRPr="00D97634">
        <w:rPr>
          <w:rFonts w:ascii="Times New Roman" w:eastAsia="Times New Roman" w:hAnsi="Times New Roman" w:cs="Times New Roman"/>
          <w:i/>
          <w:sz w:val="24"/>
          <w:szCs w:val="24"/>
        </w:rPr>
        <w:t>M</w:t>
      </w:r>
      <w:r w:rsidR="00255E84" w:rsidRPr="00D97634">
        <w:rPr>
          <w:rFonts w:ascii="Times New Roman" w:eastAsia="Times New Roman" w:hAnsi="Times New Roman" w:cs="Times New Roman"/>
          <w:i/>
          <w:sz w:val="24"/>
          <w:szCs w:val="24"/>
        </w:rPr>
        <w:t>BLW</w:t>
      </w:r>
      <w:r w:rsidR="00255E84" w:rsidRPr="00D97634">
        <w:rPr>
          <w:rFonts w:ascii="Times New Roman" w:eastAsia="Times New Roman" w:hAnsi="Times New Roman" w:cs="Times New Roman"/>
          <w:sz w:val="24"/>
          <w:szCs w:val="24"/>
        </w:rPr>
        <w:t>, at</w:t>
      </w:r>
      <w:r w:rsidRPr="00D97634">
        <w:rPr>
          <w:rFonts w:ascii="Times New Roman" w:eastAsia="Times New Roman" w:hAnsi="Times New Roman" w:cs="Times New Roman"/>
          <w:sz w:val="24"/>
          <w:szCs w:val="24"/>
        </w:rPr>
        <w:t xml:space="preserve"> </w:t>
      </w:r>
      <w:r w:rsidR="00255E84" w:rsidRPr="00D97634">
        <w:rPr>
          <w:rFonts w:ascii="Times New Roman" w:eastAsia="Times New Roman" w:hAnsi="Times New Roman" w:cs="Times New Roman"/>
          <w:sz w:val="24"/>
          <w:szCs w:val="24"/>
        </w:rPr>
        <w:t>*</w:t>
      </w:r>
      <w:r w:rsidRPr="00D97634">
        <w:rPr>
          <w:rFonts w:ascii="Times New Roman" w:eastAsia="Times New Roman" w:hAnsi="Times New Roman" w:cs="Times New Roman"/>
          <w:sz w:val="24"/>
          <w:szCs w:val="24"/>
        </w:rPr>
        <w:t xml:space="preserve">8; </w:t>
      </w:r>
      <w:r w:rsidRPr="00D97634">
        <w:rPr>
          <w:rFonts w:ascii="Times New Roman" w:eastAsia="Times New Roman" w:hAnsi="Times New Roman" w:cs="Times New Roman"/>
          <w:i/>
          <w:sz w:val="24"/>
          <w:szCs w:val="24"/>
        </w:rPr>
        <w:t>Colqui</w:t>
      </w:r>
      <w:r w:rsidR="00BF03DC" w:rsidRPr="00D97634">
        <w:rPr>
          <w:rFonts w:ascii="Times New Roman" w:eastAsia="Times New Roman" w:hAnsi="Times New Roman" w:cs="Times New Roman"/>
          <w:i/>
          <w:sz w:val="24"/>
          <w:szCs w:val="24"/>
        </w:rPr>
        <w:t>t</w:t>
      </w:r>
      <w:r w:rsidRPr="00D97634">
        <w:rPr>
          <w:rFonts w:ascii="Times New Roman" w:eastAsia="Times New Roman" w:hAnsi="Times New Roman" w:cs="Times New Roman"/>
          <w:i/>
          <w:sz w:val="24"/>
          <w:szCs w:val="24"/>
        </w:rPr>
        <w:t xml:space="preserve">t EMC v. Georgia Power Company, </w:t>
      </w:r>
      <w:r w:rsidRPr="00D97634">
        <w:rPr>
          <w:rFonts w:ascii="Times New Roman" w:eastAsia="Times New Roman" w:hAnsi="Times New Roman" w:cs="Times New Roman"/>
          <w:sz w:val="24"/>
          <w:szCs w:val="24"/>
        </w:rPr>
        <w:t xml:space="preserve">Docket No. 12528 (Initial Decision, January 16, 2002); and, </w:t>
      </w:r>
      <w:r w:rsidRPr="00D97634">
        <w:rPr>
          <w:rFonts w:ascii="Times New Roman" w:eastAsia="Times New Roman" w:hAnsi="Times New Roman" w:cs="Times New Roman"/>
          <w:i/>
          <w:sz w:val="24"/>
          <w:szCs w:val="24"/>
        </w:rPr>
        <w:t>Diverse Power</w:t>
      </w:r>
      <w:r w:rsidR="00255E84" w:rsidRPr="00D97634">
        <w:rPr>
          <w:rFonts w:ascii="Times New Roman" w:eastAsia="Times New Roman" w:hAnsi="Times New Roman" w:cs="Times New Roman"/>
          <w:sz w:val="24"/>
          <w:szCs w:val="24"/>
        </w:rPr>
        <w:t>.</w:t>
      </w:r>
      <w:r w:rsidRPr="00D97634">
        <w:rPr>
          <w:rFonts w:ascii="Times New Roman" w:eastAsia="Times New Roman" w:hAnsi="Times New Roman" w:cs="Times New Roman"/>
          <w:i/>
          <w:sz w:val="24"/>
          <w:szCs w:val="24"/>
        </w:rPr>
        <w:t xml:space="preserve"> </w:t>
      </w:r>
      <w:r w:rsidRPr="00D97634">
        <w:rPr>
          <w:rFonts w:ascii="Times New Roman" w:eastAsia="Times New Roman" w:hAnsi="Times New Roman" w:cs="Times New Roman"/>
          <w:sz w:val="24"/>
          <w:szCs w:val="24"/>
        </w:rPr>
        <w:t xml:space="preserve"> </w:t>
      </w:r>
      <w:r w:rsidRPr="00D97634">
        <w:rPr>
          <w:rFonts w:ascii="Times New Roman" w:hAnsi="Times New Roman" w:cs="Times New Roman"/>
          <w:iCs/>
          <w:sz w:val="24"/>
          <w:szCs w:val="24"/>
        </w:rPr>
        <w:t>Georgia Power</w:t>
      </w:r>
      <w:r w:rsidR="00D05565" w:rsidRPr="00D97634">
        <w:rPr>
          <w:rFonts w:ascii="Times New Roman" w:hAnsi="Times New Roman" w:cs="Times New Roman"/>
          <w:iCs/>
          <w:sz w:val="24"/>
          <w:szCs w:val="24"/>
        </w:rPr>
        <w:t>'s Application</w:t>
      </w:r>
      <w:r w:rsidRPr="00D97634">
        <w:rPr>
          <w:rFonts w:ascii="Times New Roman" w:hAnsi="Times New Roman" w:cs="Times New Roman"/>
          <w:iCs/>
          <w:sz w:val="24"/>
          <w:szCs w:val="24"/>
        </w:rPr>
        <w:t xml:space="preserve"> </w:t>
      </w:r>
      <w:r w:rsidR="009C1808" w:rsidRPr="00D97634">
        <w:rPr>
          <w:rFonts w:ascii="Times New Roman" w:hAnsi="Times New Roman" w:cs="Times New Roman"/>
          <w:iCs/>
          <w:sz w:val="24"/>
          <w:szCs w:val="24"/>
        </w:rPr>
        <w:t xml:space="preserve">simply </w:t>
      </w:r>
      <w:r w:rsidR="00FB7AA8" w:rsidRPr="00D97634">
        <w:rPr>
          <w:rFonts w:ascii="Times New Roman" w:hAnsi="Times New Roman" w:cs="Times New Roman"/>
          <w:iCs/>
          <w:sz w:val="24"/>
          <w:szCs w:val="24"/>
        </w:rPr>
        <w:t>ignores</w:t>
      </w:r>
      <w:r w:rsidRPr="00D97634">
        <w:rPr>
          <w:rFonts w:ascii="Times New Roman" w:hAnsi="Times New Roman" w:cs="Times New Roman"/>
          <w:iCs/>
          <w:sz w:val="24"/>
          <w:szCs w:val="24"/>
        </w:rPr>
        <w:t xml:space="preserve"> the long line of decisions the Hearing Officer cited in the Initial Decision.</w:t>
      </w:r>
    </w:p>
    <w:p w14:paraId="039EA1A6" w14:textId="12BDC265" w:rsidR="003A6179" w:rsidRPr="00D97634" w:rsidRDefault="00B154FA" w:rsidP="003A6179">
      <w:pPr>
        <w:spacing w:after="0" w:line="480" w:lineRule="auto"/>
        <w:ind w:right="-10" w:firstLine="720"/>
        <w:jc w:val="both"/>
        <w:rPr>
          <w:rFonts w:ascii="Times New Roman" w:hAnsi="Times New Roman" w:cs="Times New Roman"/>
          <w:iCs/>
          <w:sz w:val="24"/>
          <w:szCs w:val="24"/>
        </w:rPr>
      </w:pPr>
      <w:r w:rsidRPr="00D97634">
        <w:rPr>
          <w:rFonts w:ascii="Times New Roman" w:hAnsi="Times New Roman" w:cs="Times New Roman"/>
          <w:iCs/>
          <w:sz w:val="24"/>
          <w:szCs w:val="24"/>
        </w:rPr>
        <w:t xml:space="preserve"> </w:t>
      </w:r>
      <w:r w:rsidR="00F81A4E" w:rsidRPr="00D97634">
        <w:rPr>
          <w:rFonts w:ascii="Times New Roman" w:hAnsi="Times New Roman" w:cs="Times New Roman"/>
          <w:iCs/>
          <w:sz w:val="24"/>
          <w:szCs w:val="24"/>
        </w:rPr>
        <w:t xml:space="preserve">Georgia Power </w:t>
      </w:r>
      <w:r w:rsidRPr="00D97634">
        <w:rPr>
          <w:rFonts w:ascii="Times New Roman" w:hAnsi="Times New Roman" w:cs="Times New Roman"/>
          <w:iCs/>
          <w:sz w:val="24"/>
          <w:szCs w:val="24"/>
        </w:rPr>
        <w:t>c</w:t>
      </w:r>
      <w:r w:rsidR="00E60834" w:rsidRPr="00D97634">
        <w:rPr>
          <w:rFonts w:ascii="Times New Roman" w:hAnsi="Times New Roman" w:cs="Times New Roman"/>
          <w:iCs/>
          <w:sz w:val="24"/>
          <w:szCs w:val="24"/>
        </w:rPr>
        <w:t>ontends</w:t>
      </w:r>
      <w:r w:rsidRPr="00D97634">
        <w:rPr>
          <w:rFonts w:ascii="Times New Roman" w:hAnsi="Times New Roman" w:cs="Times New Roman"/>
          <w:iCs/>
          <w:sz w:val="24"/>
          <w:szCs w:val="24"/>
        </w:rPr>
        <w:t xml:space="preserve"> the Hearing Officer erroneously based the Initial Decision on </w:t>
      </w:r>
      <w:r w:rsidRPr="00D97634">
        <w:rPr>
          <w:rFonts w:ascii="Times New Roman" w:hAnsi="Times New Roman" w:cs="Times New Roman"/>
          <w:i/>
          <w:iCs/>
          <w:sz w:val="24"/>
          <w:szCs w:val="24"/>
        </w:rPr>
        <w:t>MBLW</w:t>
      </w:r>
      <w:r w:rsidR="00793991" w:rsidRPr="00D97634">
        <w:rPr>
          <w:rFonts w:ascii="Times New Roman" w:hAnsi="Times New Roman" w:cs="Times New Roman"/>
          <w:i/>
          <w:iCs/>
          <w:sz w:val="24"/>
          <w:szCs w:val="24"/>
        </w:rPr>
        <w:t xml:space="preserve"> </w:t>
      </w:r>
      <w:r w:rsidR="00793991" w:rsidRPr="00D97634">
        <w:rPr>
          <w:rFonts w:ascii="Times New Roman" w:hAnsi="Times New Roman" w:cs="Times New Roman"/>
          <w:iCs/>
          <w:sz w:val="24"/>
          <w:szCs w:val="24"/>
        </w:rPr>
        <w:t>a</w:t>
      </w:r>
      <w:r w:rsidR="00E60834" w:rsidRPr="00D97634">
        <w:rPr>
          <w:rFonts w:ascii="Times New Roman" w:hAnsi="Times New Roman" w:cs="Times New Roman"/>
          <w:iCs/>
          <w:sz w:val="24"/>
          <w:szCs w:val="24"/>
        </w:rPr>
        <w:t>nd not</w:t>
      </w:r>
      <w:r w:rsidR="00793991" w:rsidRPr="00D97634">
        <w:rPr>
          <w:rFonts w:ascii="Times New Roman" w:hAnsi="Times New Roman" w:cs="Times New Roman"/>
          <w:iCs/>
          <w:sz w:val="24"/>
          <w:szCs w:val="24"/>
        </w:rPr>
        <w:t xml:space="preserve"> </w:t>
      </w:r>
      <w:r w:rsidR="00793991" w:rsidRPr="00D97634">
        <w:rPr>
          <w:rFonts w:ascii="Times New Roman" w:hAnsi="Times New Roman" w:cs="Times New Roman"/>
          <w:i/>
          <w:iCs/>
          <w:sz w:val="24"/>
          <w:szCs w:val="24"/>
        </w:rPr>
        <w:t>Jackson EMC</w:t>
      </w:r>
      <w:r w:rsidR="00FB7AA8" w:rsidRPr="00D97634">
        <w:rPr>
          <w:rFonts w:ascii="Times New Roman" w:hAnsi="Times New Roman" w:cs="Times New Roman"/>
          <w:iCs/>
          <w:sz w:val="24"/>
          <w:szCs w:val="24"/>
        </w:rPr>
        <w:t xml:space="preserve">; however, Georgia Power cannot cite to a Commission decision </w:t>
      </w:r>
      <w:r w:rsidR="00FB7AA8" w:rsidRPr="00D97634">
        <w:rPr>
          <w:rFonts w:ascii="Times New Roman" w:hAnsi="Times New Roman" w:cs="Times New Roman"/>
          <w:iCs/>
          <w:sz w:val="24"/>
          <w:szCs w:val="24"/>
        </w:rPr>
        <w:lastRenderedPageBreak/>
        <w:t xml:space="preserve">stating </w:t>
      </w:r>
      <w:r w:rsidR="00FB7AA8" w:rsidRPr="00D97634">
        <w:rPr>
          <w:rFonts w:ascii="Times New Roman" w:hAnsi="Times New Roman" w:cs="Times New Roman"/>
          <w:i/>
          <w:iCs/>
          <w:sz w:val="24"/>
          <w:szCs w:val="24"/>
        </w:rPr>
        <w:t xml:space="preserve">MBLW </w:t>
      </w:r>
      <w:r w:rsidR="00FB7AA8" w:rsidRPr="00D97634">
        <w:rPr>
          <w:rFonts w:ascii="Times New Roman" w:hAnsi="Times New Roman" w:cs="Times New Roman"/>
          <w:iCs/>
          <w:sz w:val="24"/>
          <w:szCs w:val="24"/>
        </w:rPr>
        <w:t xml:space="preserve">and its progeny have been overruled or should not be considered. </w:t>
      </w:r>
      <w:r w:rsidR="003B72B2" w:rsidRPr="00D97634">
        <w:rPr>
          <w:rFonts w:ascii="Times New Roman" w:hAnsi="Times New Roman" w:cs="Times New Roman"/>
          <w:iCs/>
          <w:sz w:val="24"/>
          <w:szCs w:val="24"/>
        </w:rPr>
        <w:t xml:space="preserve">(GPC Application, at 5.)  </w:t>
      </w:r>
      <w:r w:rsidR="00DB5191" w:rsidRPr="00D97634">
        <w:rPr>
          <w:rFonts w:ascii="Times New Roman" w:hAnsi="Times New Roman" w:cs="Times New Roman"/>
          <w:iCs/>
          <w:sz w:val="24"/>
          <w:szCs w:val="24"/>
        </w:rPr>
        <w:t xml:space="preserve">In addition to </w:t>
      </w:r>
      <w:r w:rsidR="00DB5191" w:rsidRPr="00D97634">
        <w:rPr>
          <w:rFonts w:ascii="Times New Roman" w:hAnsi="Times New Roman" w:cs="Times New Roman"/>
          <w:i/>
          <w:iCs/>
          <w:sz w:val="24"/>
          <w:szCs w:val="24"/>
        </w:rPr>
        <w:t>MBLW</w:t>
      </w:r>
      <w:r w:rsidR="00DB5191" w:rsidRPr="00D97634">
        <w:rPr>
          <w:rFonts w:ascii="Times New Roman" w:hAnsi="Times New Roman" w:cs="Times New Roman"/>
          <w:iCs/>
          <w:sz w:val="24"/>
          <w:szCs w:val="24"/>
        </w:rPr>
        <w:t>,</w:t>
      </w:r>
      <w:r w:rsidR="00DB5191" w:rsidRPr="00D97634">
        <w:rPr>
          <w:rFonts w:ascii="Times New Roman" w:hAnsi="Times New Roman" w:cs="Times New Roman"/>
          <w:i/>
          <w:iCs/>
          <w:sz w:val="24"/>
          <w:szCs w:val="24"/>
        </w:rPr>
        <w:t xml:space="preserve"> </w:t>
      </w:r>
      <w:r w:rsidR="00DB5191" w:rsidRPr="00D97634">
        <w:rPr>
          <w:rFonts w:ascii="Times New Roman" w:hAnsi="Times New Roman" w:cs="Times New Roman"/>
          <w:iCs/>
          <w:sz w:val="24"/>
          <w:szCs w:val="24"/>
        </w:rPr>
        <w:t>t</w:t>
      </w:r>
      <w:r w:rsidR="00E35C80" w:rsidRPr="00D97634">
        <w:rPr>
          <w:rFonts w:ascii="Times New Roman" w:hAnsi="Times New Roman" w:cs="Times New Roman"/>
          <w:iCs/>
          <w:sz w:val="24"/>
          <w:szCs w:val="24"/>
        </w:rPr>
        <w:t>he Initial Decision</w:t>
      </w:r>
      <w:r w:rsidR="00D05565" w:rsidRPr="00D97634">
        <w:rPr>
          <w:rFonts w:ascii="Times New Roman" w:hAnsi="Times New Roman" w:cs="Times New Roman"/>
          <w:iCs/>
          <w:sz w:val="24"/>
          <w:szCs w:val="24"/>
        </w:rPr>
        <w:t xml:space="preserve"> </w:t>
      </w:r>
      <w:r w:rsidR="00DB5191" w:rsidRPr="00D97634">
        <w:rPr>
          <w:rFonts w:ascii="Times New Roman" w:hAnsi="Times New Roman" w:cs="Times New Roman"/>
          <w:iCs/>
          <w:sz w:val="24"/>
          <w:szCs w:val="24"/>
        </w:rPr>
        <w:t>directly cites to and quotes</w:t>
      </w:r>
      <w:r w:rsidRPr="00D97634">
        <w:rPr>
          <w:rFonts w:ascii="Times New Roman" w:hAnsi="Times New Roman" w:cs="Times New Roman"/>
          <w:iCs/>
          <w:sz w:val="24"/>
          <w:szCs w:val="24"/>
        </w:rPr>
        <w:t xml:space="preserve"> </w:t>
      </w:r>
      <w:r w:rsidRPr="00D97634">
        <w:rPr>
          <w:rFonts w:ascii="Times New Roman" w:hAnsi="Times New Roman" w:cs="Times New Roman"/>
          <w:i/>
          <w:iCs/>
          <w:sz w:val="24"/>
          <w:szCs w:val="24"/>
        </w:rPr>
        <w:t>Southwire</w:t>
      </w:r>
      <w:r w:rsidR="00BF03DC" w:rsidRPr="00D97634">
        <w:rPr>
          <w:rFonts w:ascii="Times New Roman" w:hAnsi="Times New Roman" w:cs="Times New Roman"/>
          <w:iCs/>
          <w:sz w:val="24"/>
          <w:szCs w:val="24"/>
        </w:rPr>
        <w:t>.</w:t>
      </w:r>
      <w:r w:rsidRPr="00D97634">
        <w:rPr>
          <w:rFonts w:ascii="Times New Roman" w:hAnsi="Times New Roman" w:cs="Times New Roman"/>
          <w:iCs/>
          <w:sz w:val="24"/>
          <w:szCs w:val="24"/>
        </w:rPr>
        <w:t xml:space="preserve"> </w:t>
      </w:r>
      <w:r w:rsidR="00EC3ED3" w:rsidRPr="00D97634">
        <w:rPr>
          <w:rFonts w:ascii="Times New Roman" w:hAnsi="Times New Roman" w:cs="Times New Roman"/>
          <w:iCs/>
          <w:sz w:val="24"/>
          <w:szCs w:val="24"/>
        </w:rPr>
        <w:t xml:space="preserve"> </w:t>
      </w:r>
      <w:r w:rsidR="00BF03DC" w:rsidRPr="00D97634">
        <w:rPr>
          <w:rFonts w:ascii="Times New Roman" w:hAnsi="Times New Roman" w:cs="Times New Roman"/>
          <w:iCs/>
          <w:sz w:val="24"/>
          <w:szCs w:val="24"/>
        </w:rPr>
        <w:t>(</w:t>
      </w:r>
      <w:r w:rsidRPr="00D97634">
        <w:rPr>
          <w:rFonts w:ascii="Times New Roman" w:hAnsi="Times New Roman" w:cs="Times New Roman"/>
          <w:iCs/>
          <w:sz w:val="24"/>
          <w:szCs w:val="24"/>
        </w:rPr>
        <w:t>Initial D</w:t>
      </w:r>
      <w:r w:rsidR="007B5F0B" w:rsidRPr="00D97634">
        <w:rPr>
          <w:rFonts w:ascii="Times New Roman" w:hAnsi="Times New Roman" w:cs="Times New Roman"/>
          <w:iCs/>
          <w:sz w:val="24"/>
          <w:szCs w:val="24"/>
        </w:rPr>
        <w:t>ecision, at 10 (</w:t>
      </w:r>
      <w:r w:rsidRPr="00D97634">
        <w:rPr>
          <w:rFonts w:ascii="Times New Roman" w:hAnsi="Times New Roman" w:cs="Times New Roman"/>
          <w:iCs/>
          <w:sz w:val="24"/>
          <w:szCs w:val="24"/>
        </w:rPr>
        <w:t xml:space="preserve">quoting </w:t>
      </w:r>
      <w:r w:rsidRPr="00D97634">
        <w:rPr>
          <w:rFonts w:ascii="Times New Roman" w:hAnsi="Times New Roman" w:cs="Times New Roman"/>
          <w:i/>
          <w:iCs/>
          <w:sz w:val="24"/>
          <w:szCs w:val="24"/>
        </w:rPr>
        <w:t>Southwire</w:t>
      </w:r>
      <w:r w:rsidRPr="00D97634">
        <w:rPr>
          <w:rFonts w:ascii="Times New Roman" w:hAnsi="Times New Roman" w:cs="Times New Roman"/>
          <w:iCs/>
          <w:sz w:val="24"/>
          <w:szCs w:val="24"/>
        </w:rPr>
        <w:t>: “As a comparison between [the exhibits] and as the photographs of the interior show, the Old Sony Plant has been taken apart and stri</w:t>
      </w:r>
      <w:bookmarkStart w:id="0" w:name="_GoBack"/>
      <w:bookmarkEnd w:id="0"/>
      <w:r w:rsidRPr="00D97634">
        <w:rPr>
          <w:rFonts w:ascii="Times New Roman" w:hAnsi="Times New Roman" w:cs="Times New Roman"/>
          <w:iCs/>
          <w:sz w:val="24"/>
          <w:szCs w:val="24"/>
        </w:rPr>
        <w:t>pped of its furnishings and equipment, much of the floor broken up, walls and partitions removed, openings made – all actions that satisfy the plain meaning of ‘dismantled.’”</w:t>
      </w:r>
      <w:r w:rsidR="00BF03DC" w:rsidRPr="00D97634">
        <w:rPr>
          <w:rFonts w:ascii="Times New Roman" w:hAnsi="Times New Roman" w:cs="Times New Roman"/>
          <w:iCs/>
          <w:sz w:val="24"/>
          <w:szCs w:val="24"/>
        </w:rPr>
        <w:t>)</w:t>
      </w:r>
      <w:r w:rsidR="00F31E16" w:rsidRPr="00D97634">
        <w:rPr>
          <w:rFonts w:ascii="Times New Roman" w:hAnsi="Times New Roman" w:cs="Times New Roman"/>
          <w:iCs/>
          <w:sz w:val="24"/>
          <w:szCs w:val="24"/>
        </w:rPr>
        <w:t>.)</w:t>
      </w:r>
      <w:r w:rsidRPr="00D97634">
        <w:rPr>
          <w:rFonts w:ascii="Times New Roman" w:eastAsia="Times New Roman" w:hAnsi="Times New Roman" w:cs="Times New Roman"/>
          <w:snapToGrid w:val="0"/>
          <w:sz w:val="24"/>
          <w:szCs w:val="24"/>
        </w:rPr>
        <w:t xml:space="preserve">  </w:t>
      </w:r>
      <w:r w:rsidR="00E60834" w:rsidRPr="00D97634">
        <w:rPr>
          <w:rFonts w:ascii="Times New Roman" w:hAnsi="Times New Roman" w:cs="Times New Roman"/>
          <w:iCs/>
          <w:sz w:val="24"/>
          <w:szCs w:val="24"/>
        </w:rPr>
        <w:t>T</w:t>
      </w:r>
      <w:r w:rsidR="007E70D6" w:rsidRPr="00D97634">
        <w:rPr>
          <w:rFonts w:ascii="Times New Roman" w:hAnsi="Times New Roman" w:cs="Times New Roman"/>
          <w:iCs/>
          <w:sz w:val="24"/>
          <w:szCs w:val="24"/>
        </w:rPr>
        <w:t>he Initial Decision</w:t>
      </w:r>
      <w:r w:rsidR="00E60834" w:rsidRPr="00D97634">
        <w:rPr>
          <w:rFonts w:ascii="Times New Roman" w:hAnsi="Times New Roman" w:cs="Times New Roman"/>
          <w:iCs/>
          <w:sz w:val="24"/>
          <w:szCs w:val="24"/>
        </w:rPr>
        <w:t xml:space="preserve"> also </w:t>
      </w:r>
      <w:r w:rsidR="007E70D6" w:rsidRPr="00D97634">
        <w:rPr>
          <w:rFonts w:ascii="Times New Roman" w:hAnsi="Times New Roman" w:cs="Times New Roman"/>
          <w:iCs/>
          <w:sz w:val="24"/>
          <w:szCs w:val="24"/>
        </w:rPr>
        <w:t xml:space="preserve">cites to </w:t>
      </w:r>
      <w:r w:rsidR="007E70D6" w:rsidRPr="00D97634">
        <w:rPr>
          <w:rFonts w:ascii="Times New Roman" w:hAnsi="Times New Roman" w:cs="Times New Roman"/>
          <w:i/>
          <w:iCs/>
          <w:sz w:val="24"/>
          <w:szCs w:val="24"/>
        </w:rPr>
        <w:t>Diverse Power, Inc. v. City of LaGrange</w:t>
      </w:r>
      <w:r w:rsidR="007E70D6" w:rsidRPr="00D97634">
        <w:rPr>
          <w:rFonts w:ascii="Times New Roman" w:hAnsi="Times New Roman" w:cs="Times New Roman"/>
          <w:iCs/>
          <w:sz w:val="24"/>
          <w:szCs w:val="24"/>
        </w:rPr>
        <w:t xml:space="preserve">, Docket No. 40642, (Initial Decision, March 23, 2018), in support of </w:t>
      </w:r>
      <w:r w:rsidR="002C672D" w:rsidRPr="00D97634">
        <w:rPr>
          <w:rFonts w:ascii="Times New Roman" w:hAnsi="Times New Roman" w:cs="Times New Roman"/>
          <w:iCs/>
          <w:sz w:val="24"/>
          <w:szCs w:val="24"/>
        </w:rPr>
        <w:t>its</w:t>
      </w:r>
      <w:r w:rsidR="007E70D6" w:rsidRPr="00D97634">
        <w:rPr>
          <w:rFonts w:ascii="Times New Roman" w:hAnsi="Times New Roman" w:cs="Times New Roman"/>
          <w:iCs/>
          <w:sz w:val="24"/>
          <w:szCs w:val="24"/>
        </w:rPr>
        <w:t xml:space="preserve"> reliance on </w:t>
      </w:r>
      <w:r w:rsidR="007E70D6" w:rsidRPr="00D97634">
        <w:rPr>
          <w:rFonts w:ascii="Times New Roman" w:hAnsi="Times New Roman" w:cs="Times New Roman"/>
          <w:i/>
          <w:iCs/>
          <w:sz w:val="24"/>
          <w:szCs w:val="24"/>
        </w:rPr>
        <w:t>MBLW</w:t>
      </w:r>
      <w:r w:rsidR="007E70D6" w:rsidRPr="00D97634">
        <w:rPr>
          <w:rFonts w:ascii="Times New Roman" w:hAnsi="Times New Roman" w:cs="Times New Roman"/>
          <w:iCs/>
          <w:sz w:val="24"/>
          <w:szCs w:val="24"/>
        </w:rPr>
        <w:t xml:space="preserve"> and </w:t>
      </w:r>
      <w:r w:rsidR="007E70D6" w:rsidRPr="00D97634">
        <w:rPr>
          <w:rFonts w:ascii="Times New Roman" w:hAnsi="Times New Roman" w:cs="Times New Roman"/>
          <w:i/>
          <w:iCs/>
          <w:sz w:val="24"/>
          <w:szCs w:val="24"/>
        </w:rPr>
        <w:t>Southwire</w:t>
      </w:r>
      <w:r w:rsidR="007E70D6" w:rsidRPr="00D97634">
        <w:rPr>
          <w:rFonts w:ascii="Times New Roman" w:hAnsi="Times New Roman" w:cs="Times New Roman"/>
          <w:iCs/>
          <w:sz w:val="24"/>
          <w:szCs w:val="24"/>
        </w:rPr>
        <w:t xml:space="preserve">. (Initial Decision, at 11-12.)  </w:t>
      </w:r>
      <w:r w:rsidRPr="00D97634">
        <w:rPr>
          <w:rFonts w:ascii="Times New Roman" w:hAnsi="Times New Roman" w:cs="Times New Roman"/>
          <w:iCs/>
          <w:sz w:val="24"/>
          <w:szCs w:val="24"/>
        </w:rPr>
        <w:t>Therefore, Georgia Power’s cont</w:t>
      </w:r>
      <w:r w:rsidR="00CE5525" w:rsidRPr="00D97634">
        <w:rPr>
          <w:rFonts w:ascii="Times New Roman" w:hAnsi="Times New Roman" w:cs="Times New Roman"/>
          <w:iCs/>
          <w:sz w:val="24"/>
          <w:szCs w:val="24"/>
        </w:rPr>
        <w:t xml:space="preserve">ention the </w:t>
      </w:r>
      <w:r w:rsidR="002E516F" w:rsidRPr="00D97634">
        <w:rPr>
          <w:rFonts w:ascii="Times New Roman" w:hAnsi="Times New Roman" w:cs="Times New Roman"/>
          <w:iCs/>
          <w:sz w:val="24"/>
          <w:szCs w:val="24"/>
        </w:rPr>
        <w:t>initial Decision</w:t>
      </w:r>
      <w:r w:rsidR="00CE5525" w:rsidRPr="00D97634">
        <w:rPr>
          <w:rFonts w:ascii="Times New Roman" w:hAnsi="Times New Roman" w:cs="Times New Roman"/>
          <w:iCs/>
          <w:sz w:val="24"/>
          <w:szCs w:val="24"/>
        </w:rPr>
        <w:t xml:space="preserve"> err</w:t>
      </w:r>
      <w:r w:rsidRPr="00D97634">
        <w:rPr>
          <w:rFonts w:ascii="Times New Roman" w:hAnsi="Times New Roman" w:cs="Times New Roman"/>
          <w:iCs/>
          <w:sz w:val="24"/>
          <w:szCs w:val="24"/>
        </w:rPr>
        <w:t xml:space="preserve">ed in relying on </w:t>
      </w:r>
      <w:r w:rsidRPr="00D97634">
        <w:rPr>
          <w:rFonts w:ascii="Times New Roman" w:hAnsi="Times New Roman" w:cs="Times New Roman"/>
          <w:i/>
          <w:iCs/>
          <w:sz w:val="24"/>
          <w:szCs w:val="24"/>
        </w:rPr>
        <w:t>MBLW</w:t>
      </w:r>
      <w:r w:rsidRPr="00D97634">
        <w:rPr>
          <w:rFonts w:ascii="Times New Roman" w:hAnsi="Times New Roman" w:cs="Times New Roman"/>
          <w:iCs/>
          <w:sz w:val="24"/>
          <w:szCs w:val="24"/>
        </w:rPr>
        <w:t xml:space="preserve"> is </w:t>
      </w:r>
      <w:r w:rsidR="002E516F" w:rsidRPr="00D97634">
        <w:rPr>
          <w:rFonts w:ascii="Times New Roman" w:hAnsi="Times New Roman" w:cs="Times New Roman"/>
          <w:iCs/>
          <w:sz w:val="24"/>
          <w:szCs w:val="24"/>
        </w:rPr>
        <w:t>incorrect</w:t>
      </w:r>
      <w:r w:rsidR="00AB70D5" w:rsidRPr="00D97634">
        <w:rPr>
          <w:rFonts w:ascii="Times New Roman" w:hAnsi="Times New Roman" w:cs="Times New Roman"/>
          <w:iCs/>
          <w:sz w:val="24"/>
          <w:szCs w:val="24"/>
        </w:rPr>
        <w:t xml:space="preserve"> and t</w:t>
      </w:r>
      <w:r w:rsidR="002E516F" w:rsidRPr="00D97634">
        <w:rPr>
          <w:rFonts w:ascii="Times New Roman" w:hAnsi="Times New Roman" w:cs="Times New Roman"/>
          <w:iCs/>
          <w:sz w:val="24"/>
          <w:szCs w:val="24"/>
        </w:rPr>
        <w:t xml:space="preserve">he Initial </w:t>
      </w:r>
      <w:r w:rsidR="00EC3ED3" w:rsidRPr="00D97634">
        <w:rPr>
          <w:rFonts w:ascii="Times New Roman" w:hAnsi="Times New Roman" w:cs="Times New Roman"/>
          <w:iCs/>
          <w:sz w:val="24"/>
          <w:szCs w:val="24"/>
        </w:rPr>
        <w:t>Decision correctly applies</w:t>
      </w:r>
      <w:r w:rsidR="002E516F" w:rsidRPr="00D97634">
        <w:rPr>
          <w:rFonts w:ascii="Times New Roman" w:hAnsi="Times New Roman" w:cs="Times New Roman"/>
          <w:iCs/>
          <w:sz w:val="24"/>
          <w:szCs w:val="24"/>
        </w:rPr>
        <w:t xml:space="preserve"> Commission precedent</w:t>
      </w:r>
      <w:r w:rsidR="00AB70D5" w:rsidRPr="00D97634">
        <w:rPr>
          <w:rFonts w:ascii="Times New Roman" w:hAnsi="Times New Roman" w:cs="Times New Roman"/>
          <w:iCs/>
          <w:sz w:val="24"/>
          <w:szCs w:val="24"/>
        </w:rPr>
        <w:t>.</w:t>
      </w:r>
      <w:r w:rsidR="007E70D6" w:rsidRPr="00D97634">
        <w:rPr>
          <w:rFonts w:ascii="Times New Roman" w:hAnsi="Times New Roman" w:cs="Times New Roman"/>
          <w:iCs/>
          <w:sz w:val="24"/>
          <w:szCs w:val="24"/>
        </w:rPr>
        <w:t xml:space="preserve">  </w:t>
      </w:r>
    </w:p>
    <w:p w14:paraId="011CDC4D" w14:textId="7F42F958" w:rsidR="009C32EC" w:rsidRPr="00D97634" w:rsidRDefault="00793991" w:rsidP="00043514">
      <w:pPr>
        <w:spacing w:after="0" w:line="480" w:lineRule="auto"/>
        <w:jc w:val="both"/>
        <w:rPr>
          <w:rFonts w:ascii="Times New Roman" w:hAnsi="Times New Roman" w:cs="Times New Roman"/>
          <w:sz w:val="24"/>
          <w:szCs w:val="24"/>
        </w:rPr>
      </w:pPr>
      <w:r w:rsidRPr="00D97634">
        <w:rPr>
          <w:rFonts w:ascii="Times New Roman" w:hAnsi="Times New Roman" w:cs="Times New Roman"/>
          <w:sz w:val="24"/>
          <w:szCs w:val="24"/>
        </w:rPr>
        <w:tab/>
      </w:r>
      <w:r w:rsidR="00E60834" w:rsidRPr="00D97634">
        <w:rPr>
          <w:rFonts w:ascii="Times New Roman" w:hAnsi="Times New Roman" w:cs="Times New Roman"/>
          <w:sz w:val="24"/>
          <w:szCs w:val="24"/>
        </w:rPr>
        <w:t>W</w:t>
      </w:r>
      <w:r w:rsidR="00CF21C9" w:rsidRPr="00D97634">
        <w:rPr>
          <w:rFonts w:ascii="Times New Roman" w:hAnsi="Times New Roman" w:cs="Times New Roman"/>
          <w:sz w:val="24"/>
          <w:szCs w:val="24"/>
        </w:rPr>
        <w:t xml:space="preserve">hile Georgia Power urges the Commission to rely exclusively on the analysis in </w:t>
      </w:r>
      <w:r w:rsidRPr="00D97634">
        <w:rPr>
          <w:rFonts w:ascii="Times New Roman" w:hAnsi="Times New Roman" w:cs="Times New Roman"/>
          <w:i/>
          <w:sz w:val="24"/>
          <w:szCs w:val="24"/>
        </w:rPr>
        <w:t>Jackson EMC</w:t>
      </w:r>
      <w:r w:rsidRPr="00D97634">
        <w:rPr>
          <w:rFonts w:ascii="Times New Roman" w:hAnsi="Times New Roman" w:cs="Times New Roman"/>
          <w:sz w:val="24"/>
          <w:szCs w:val="24"/>
        </w:rPr>
        <w:t xml:space="preserve">, </w:t>
      </w:r>
      <w:r w:rsidR="00CF21C9" w:rsidRPr="00D97634">
        <w:rPr>
          <w:rFonts w:ascii="Times New Roman" w:hAnsi="Times New Roman" w:cs="Times New Roman"/>
          <w:sz w:val="24"/>
          <w:szCs w:val="24"/>
        </w:rPr>
        <w:t xml:space="preserve">Georgia Power refuses to acknowledge </w:t>
      </w:r>
      <w:r w:rsidR="00BE1C6C" w:rsidRPr="00D97634">
        <w:rPr>
          <w:rFonts w:ascii="Times New Roman" w:hAnsi="Times New Roman" w:cs="Times New Roman"/>
          <w:sz w:val="24"/>
          <w:szCs w:val="24"/>
        </w:rPr>
        <w:t xml:space="preserve">the </w:t>
      </w:r>
      <w:r w:rsidR="00BE1C6C" w:rsidRPr="00D97634">
        <w:rPr>
          <w:rFonts w:ascii="Times New Roman" w:hAnsi="Times New Roman" w:cs="Times New Roman"/>
          <w:i/>
          <w:sz w:val="24"/>
          <w:szCs w:val="24"/>
        </w:rPr>
        <w:t xml:space="preserve">Jackson EMC </w:t>
      </w:r>
      <w:r w:rsidR="00BE1C6C" w:rsidRPr="00D97634">
        <w:rPr>
          <w:rFonts w:ascii="Times New Roman" w:hAnsi="Times New Roman" w:cs="Times New Roman"/>
          <w:sz w:val="24"/>
          <w:szCs w:val="24"/>
        </w:rPr>
        <w:t xml:space="preserve">decision rests on a set of facts bearing no similarity to Walton EMC’s and </w:t>
      </w:r>
      <w:r w:rsidR="00BE1C6C" w:rsidRPr="00D97634">
        <w:rPr>
          <w:rFonts w:ascii="Times New Roman" w:eastAsia="Times New Roman" w:hAnsi="Times New Roman" w:cs="Times New Roman"/>
          <w:snapToGrid w:val="0"/>
          <w:sz w:val="24"/>
          <w:szCs w:val="24"/>
        </w:rPr>
        <w:t>Nestlé</w:t>
      </w:r>
      <w:r w:rsidR="00BE1C6C" w:rsidRPr="00D97634">
        <w:rPr>
          <w:rFonts w:ascii="Times New Roman" w:eastAsia="Times New Roman" w:hAnsi="Times New Roman" w:cs="Times New Roman"/>
          <w:sz w:val="24"/>
          <w:szCs w:val="24"/>
        </w:rPr>
        <w:t xml:space="preserve"> Purina’s</w:t>
      </w:r>
      <w:r w:rsidR="00BE1C6C" w:rsidRPr="00D97634">
        <w:rPr>
          <w:rFonts w:ascii="Times New Roman" w:hAnsi="Times New Roman" w:cs="Times New Roman"/>
          <w:sz w:val="24"/>
          <w:szCs w:val="24"/>
        </w:rPr>
        <w:t xml:space="preserve"> circumstances in this case</w:t>
      </w:r>
      <w:r w:rsidR="00906E4E" w:rsidRPr="00D97634">
        <w:rPr>
          <w:rFonts w:ascii="Times New Roman" w:hAnsi="Times New Roman" w:cs="Times New Roman"/>
          <w:sz w:val="24"/>
          <w:szCs w:val="24"/>
        </w:rPr>
        <w:t xml:space="preserve">. Material to the decision in </w:t>
      </w:r>
      <w:r w:rsidR="00906E4E" w:rsidRPr="00D97634">
        <w:rPr>
          <w:rFonts w:ascii="Times New Roman" w:hAnsi="Times New Roman" w:cs="Times New Roman"/>
          <w:i/>
          <w:sz w:val="24"/>
          <w:szCs w:val="24"/>
        </w:rPr>
        <w:t>Jackson EMC</w:t>
      </w:r>
      <w:r w:rsidR="00906E4E" w:rsidRPr="00D97634">
        <w:rPr>
          <w:rFonts w:ascii="Times New Roman" w:hAnsi="Times New Roman" w:cs="Times New Roman"/>
          <w:sz w:val="24"/>
          <w:szCs w:val="24"/>
        </w:rPr>
        <w:t xml:space="preserve">, </w:t>
      </w:r>
      <w:r w:rsidR="00D17E7E" w:rsidRPr="00D97634">
        <w:rPr>
          <w:rFonts w:ascii="Times New Roman" w:hAnsi="Times New Roman" w:cs="Times New Roman"/>
          <w:sz w:val="24"/>
          <w:szCs w:val="24"/>
        </w:rPr>
        <w:t>the Commission recognized there was very little difference</w:t>
      </w:r>
      <w:r w:rsidR="00FB7AA8" w:rsidRPr="00D97634">
        <w:rPr>
          <w:rFonts w:ascii="Times New Roman" w:hAnsi="Times New Roman" w:cs="Times New Roman"/>
          <w:sz w:val="24"/>
          <w:szCs w:val="24"/>
        </w:rPr>
        <w:t xml:space="preserve"> in fundamental use of the old P</w:t>
      </w:r>
      <w:r w:rsidR="00D17E7E" w:rsidRPr="00D97634">
        <w:rPr>
          <w:rFonts w:ascii="Times New Roman" w:hAnsi="Times New Roman" w:cs="Times New Roman"/>
          <w:sz w:val="24"/>
          <w:szCs w:val="24"/>
        </w:rPr>
        <w:t xml:space="preserve">remises as </w:t>
      </w:r>
      <w:r w:rsidR="00FB7AA8" w:rsidRPr="00D97634">
        <w:rPr>
          <w:rFonts w:ascii="Times New Roman" w:hAnsi="Times New Roman" w:cs="Times New Roman"/>
          <w:sz w:val="24"/>
          <w:szCs w:val="24"/>
        </w:rPr>
        <w:t>compared to the use of the new P</w:t>
      </w:r>
      <w:r w:rsidR="00D17E7E" w:rsidRPr="00D97634">
        <w:rPr>
          <w:rFonts w:ascii="Times New Roman" w:hAnsi="Times New Roman" w:cs="Times New Roman"/>
          <w:sz w:val="24"/>
          <w:szCs w:val="24"/>
        </w:rPr>
        <w:t>remises</w:t>
      </w:r>
      <w:r w:rsidR="00BE1C6C" w:rsidRPr="00D97634">
        <w:rPr>
          <w:rFonts w:ascii="Times New Roman" w:hAnsi="Times New Roman" w:cs="Times New Roman"/>
          <w:sz w:val="24"/>
          <w:szCs w:val="24"/>
        </w:rPr>
        <w:t xml:space="preserve">. </w:t>
      </w:r>
      <w:r w:rsidR="00906E4E" w:rsidRPr="00D97634">
        <w:rPr>
          <w:rFonts w:ascii="Times New Roman" w:hAnsi="Times New Roman" w:cs="Times New Roman"/>
          <w:i/>
          <w:sz w:val="24"/>
          <w:szCs w:val="24"/>
        </w:rPr>
        <w:t>Jackson EMC</w:t>
      </w:r>
      <w:r w:rsidR="00906E4E" w:rsidRPr="00D97634">
        <w:rPr>
          <w:rFonts w:ascii="Times New Roman" w:hAnsi="Times New Roman" w:cs="Times New Roman"/>
          <w:sz w:val="24"/>
          <w:szCs w:val="24"/>
        </w:rPr>
        <w:t>, at 6</w:t>
      </w:r>
      <w:r w:rsidR="00D17E7E" w:rsidRPr="00D97634">
        <w:rPr>
          <w:rFonts w:ascii="Times New Roman" w:hAnsi="Times New Roman" w:cs="Times New Roman"/>
          <w:sz w:val="24"/>
          <w:szCs w:val="24"/>
        </w:rPr>
        <w:t xml:space="preserve">.  The proposed use of the </w:t>
      </w:r>
      <w:r w:rsidR="00FB7AA8" w:rsidRPr="00D97634">
        <w:rPr>
          <w:rFonts w:ascii="Times New Roman" w:hAnsi="Times New Roman" w:cs="Times New Roman"/>
          <w:sz w:val="24"/>
          <w:szCs w:val="24"/>
        </w:rPr>
        <w:t>new P</w:t>
      </w:r>
      <w:r w:rsidR="00D17E7E" w:rsidRPr="00D97634">
        <w:rPr>
          <w:rFonts w:ascii="Times New Roman" w:hAnsi="Times New Roman" w:cs="Times New Roman"/>
          <w:sz w:val="24"/>
          <w:szCs w:val="24"/>
        </w:rPr>
        <w:t>remises was a wood pellet manufacturing operation</w:t>
      </w:r>
      <w:r w:rsidR="00FB7AA8" w:rsidRPr="00D97634">
        <w:rPr>
          <w:rFonts w:ascii="Times New Roman" w:hAnsi="Times New Roman" w:cs="Times New Roman"/>
          <w:sz w:val="24"/>
          <w:szCs w:val="24"/>
        </w:rPr>
        <w:t>,</w:t>
      </w:r>
      <w:r w:rsidR="00D17E7E" w:rsidRPr="00D97634">
        <w:rPr>
          <w:rFonts w:ascii="Times New Roman" w:hAnsi="Times New Roman" w:cs="Times New Roman"/>
          <w:sz w:val="24"/>
          <w:szCs w:val="24"/>
        </w:rPr>
        <w:t xml:space="preserve"> compared </w:t>
      </w:r>
      <w:r w:rsidR="00FB7AA8" w:rsidRPr="00D97634">
        <w:rPr>
          <w:rFonts w:ascii="Times New Roman" w:hAnsi="Times New Roman" w:cs="Times New Roman"/>
          <w:sz w:val="24"/>
          <w:szCs w:val="24"/>
        </w:rPr>
        <w:t>with</w:t>
      </w:r>
      <w:r w:rsidR="00D17E7E" w:rsidRPr="00D97634">
        <w:rPr>
          <w:rFonts w:ascii="Times New Roman" w:hAnsi="Times New Roman" w:cs="Times New Roman"/>
          <w:sz w:val="24"/>
          <w:szCs w:val="24"/>
        </w:rPr>
        <w:t xml:space="preserve"> the existing </w:t>
      </w:r>
      <w:r w:rsidR="00FB7AA8" w:rsidRPr="00D97634">
        <w:rPr>
          <w:rFonts w:ascii="Times New Roman" w:hAnsi="Times New Roman" w:cs="Times New Roman"/>
          <w:sz w:val="24"/>
          <w:szCs w:val="24"/>
        </w:rPr>
        <w:t>P</w:t>
      </w:r>
      <w:r w:rsidR="00D17E7E" w:rsidRPr="00D97634">
        <w:rPr>
          <w:rFonts w:ascii="Times New Roman" w:hAnsi="Times New Roman" w:cs="Times New Roman"/>
          <w:sz w:val="24"/>
          <w:szCs w:val="24"/>
        </w:rPr>
        <w:t>remises’ use as a wood manufacturing operation.</w:t>
      </w:r>
      <w:r w:rsidR="00906E4E" w:rsidRPr="00D97634">
        <w:rPr>
          <w:rFonts w:ascii="Times New Roman" w:hAnsi="Times New Roman" w:cs="Times New Roman"/>
          <w:sz w:val="24"/>
          <w:szCs w:val="24"/>
        </w:rPr>
        <w:t xml:space="preserve"> </w:t>
      </w:r>
      <w:r w:rsidR="001204E7" w:rsidRPr="00D97634">
        <w:rPr>
          <w:rFonts w:ascii="Times New Roman" w:hAnsi="Times New Roman" w:cs="Times New Roman"/>
          <w:sz w:val="24"/>
          <w:szCs w:val="24"/>
        </w:rPr>
        <w:t xml:space="preserve"> </w:t>
      </w:r>
      <w:r w:rsidR="001204E7" w:rsidRPr="00D97634">
        <w:rPr>
          <w:rFonts w:ascii="Times New Roman" w:hAnsi="Times New Roman" w:cs="Times New Roman"/>
          <w:i/>
          <w:sz w:val="24"/>
          <w:szCs w:val="24"/>
        </w:rPr>
        <w:t>Id.</w:t>
      </w:r>
      <w:r w:rsidR="001204E7" w:rsidRPr="00D97634">
        <w:rPr>
          <w:rFonts w:ascii="Times New Roman" w:hAnsi="Times New Roman" w:cs="Times New Roman"/>
          <w:sz w:val="24"/>
          <w:szCs w:val="24"/>
        </w:rPr>
        <w:t xml:space="preserve"> </w:t>
      </w:r>
      <w:r w:rsidR="00906E4E" w:rsidRPr="00D97634">
        <w:rPr>
          <w:rFonts w:ascii="Times New Roman" w:hAnsi="Times New Roman" w:cs="Times New Roman"/>
          <w:sz w:val="24"/>
          <w:szCs w:val="24"/>
        </w:rPr>
        <w:t>(noting</w:t>
      </w:r>
      <w:r w:rsidRPr="00D97634">
        <w:rPr>
          <w:rFonts w:ascii="Times New Roman" w:hAnsi="Times New Roman" w:cs="Times New Roman"/>
          <w:sz w:val="24"/>
          <w:szCs w:val="24"/>
        </w:rPr>
        <w:t xml:space="preserve"> that the old </w:t>
      </w:r>
      <w:r w:rsidR="00FB7AA8" w:rsidRPr="00D97634">
        <w:rPr>
          <w:rFonts w:ascii="Times New Roman" w:hAnsi="Times New Roman" w:cs="Times New Roman"/>
          <w:sz w:val="24"/>
          <w:szCs w:val="24"/>
        </w:rPr>
        <w:t>P</w:t>
      </w:r>
      <w:r w:rsidRPr="00D97634">
        <w:rPr>
          <w:rFonts w:ascii="Times New Roman" w:hAnsi="Times New Roman" w:cs="Times New Roman"/>
          <w:sz w:val="24"/>
          <w:szCs w:val="24"/>
        </w:rPr>
        <w:t xml:space="preserve">remises and the new </w:t>
      </w:r>
      <w:r w:rsidR="00FB7AA8" w:rsidRPr="00D97634">
        <w:rPr>
          <w:rFonts w:ascii="Times New Roman" w:hAnsi="Times New Roman" w:cs="Times New Roman"/>
          <w:sz w:val="24"/>
          <w:szCs w:val="24"/>
        </w:rPr>
        <w:t>P</w:t>
      </w:r>
      <w:r w:rsidRPr="00D97634">
        <w:rPr>
          <w:rFonts w:ascii="Times New Roman" w:hAnsi="Times New Roman" w:cs="Times New Roman"/>
          <w:sz w:val="24"/>
          <w:szCs w:val="24"/>
        </w:rPr>
        <w:t>remises “would use the same primary raw material (wood), store the wood, debark the wood, reduce the size of the wood, dry the wood, press and re-form the wood into a final product, and then ship the wood product by rail or truck.”</w:t>
      </w:r>
      <w:r w:rsidR="00906E4E" w:rsidRPr="00D97634">
        <w:rPr>
          <w:rFonts w:ascii="Times New Roman" w:hAnsi="Times New Roman" w:cs="Times New Roman"/>
          <w:sz w:val="24"/>
          <w:szCs w:val="24"/>
        </w:rPr>
        <w:t>).</w:t>
      </w:r>
      <w:r w:rsidRPr="00D97634">
        <w:rPr>
          <w:rFonts w:ascii="Times New Roman" w:hAnsi="Times New Roman" w:cs="Times New Roman"/>
          <w:sz w:val="24"/>
          <w:szCs w:val="24"/>
        </w:rPr>
        <w:t xml:space="preserve"> </w:t>
      </w:r>
      <w:r w:rsidR="00906E4E" w:rsidRPr="00D97634">
        <w:rPr>
          <w:rFonts w:ascii="Times New Roman" w:hAnsi="Times New Roman" w:cs="Times New Roman"/>
          <w:sz w:val="24"/>
          <w:szCs w:val="24"/>
        </w:rPr>
        <w:t xml:space="preserve"> Additionally,</w:t>
      </w:r>
      <w:r w:rsidRPr="00D97634">
        <w:rPr>
          <w:rFonts w:ascii="Times New Roman" w:hAnsi="Times New Roman" w:cs="Times New Roman"/>
          <w:sz w:val="24"/>
          <w:szCs w:val="24"/>
        </w:rPr>
        <w:t xml:space="preserve"> “[t]he processes are so similar that AWP plans to use some of the very equipment used in LP’s operations, including in-feed chutes; debarking equipment; four of five dryers; regenerative thermal oxidizers (“RTOs”); and bark conveyors.” </w:t>
      </w:r>
      <w:r w:rsidRPr="00D97634">
        <w:rPr>
          <w:rFonts w:ascii="Times New Roman" w:hAnsi="Times New Roman" w:cs="Times New Roman"/>
          <w:i/>
          <w:sz w:val="24"/>
          <w:szCs w:val="24"/>
        </w:rPr>
        <w:t>Id.</w:t>
      </w:r>
      <w:r w:rsidRPr="00D97634">
        <w:rPr>
          <w:rFonts w:ascii="Times New Roman" w:hAnsi="Times New Roman" w:cs="Times New Roman"/>
          <w:sz w:val="24"/>
          <w:szCs w:val="24"/>
        </w:rPr>
        <w:t xml:space="preserve"> </w:t>
      </w:r>
      <w:r w:rsidR="00043514" w:rsidRPr="00D97634">
        <w:rPr>
          <w:rFonts w:ascii="Times New Roman" w:hAnsi="Times New Roman" w:cs="Times New Roman"/>
          <w:sz w:val="24"/>
          <w:szCs w:val="24"/>
        </w:rPr>
        <w:t>The</w:t>
      </w:r>
      <w:r w:rsidRPr="00D97634">
        <w:rPr>
          <w:rFonts w:ascii="Times New Roman" w:hAnsi="Times New Roman" w:cs="Times New Roman"/>
          <w:sz w:val="24"/>
          <w:szCs w:val="24"/>
        </w:rPr>
        <w:t xml:space="preserve"> facts and circumstances </w:t>
      </w:r>
      <w:r w:rsidR="00906E4E" w:rsidRPr="00D97634">
        <w:rPr>
          <w:rFonts w:ascii="Times New Roman" w:hAnsi="Times New Roman" w:cs="Times New Roman"/>
          <w:sz w:val="24"/>
          <w:szCs w:val="24"/>
        </w:rPr>
        <w:lastRenderedPageBreak/>
        <w:t>resulted in a simple analysis for the Commission</w:t>
      </w:r>
      <w:r w:rsidRPr="00D97634">
        <w:rPr>
          <w:rFonts w:ascii="Times New Roman" w:hAnsi="Times New Roman" w:cs="Times New Roman"/>
          <w:sz w:val="24"/>
          <w:szCs w:val="24"/>
        </w:rPr>
        <w:t xml:space="preserve">: There were no functional or infrastructure changes that would be similar to </w:t>
      </w:r>
      <w:r w:rsidR="00906E4E" w:rsidRPr="00D97634">
        <w:rPr>
          <w:rFonts w:ascii="Times New Roman" w:hAnsi="Times New Roman" w:cs="Times New Roman"/>
          <w:i/>
          <w:sz w:val="24"/>
          <w:szCs w:val="24"/>
        </w:rPr>
        <w:t>MBLW</w:t>
      </w:r>
      <w:r w:rsidRPr="00D97634">
        <w:rPr>
          <w:rFonts w:ascii="Times New Roman" w:hAnsi="Times New Roman" w:cs="Times New Roman"/>
          <w:sz w:val="24"/>
          <w:szCs w:val="24"/>
        </w:rPr>
        <w:t xml:space="preserve">, </w:t>
      </w:r>
      <w:r w:rsidRPr="00D97634">
        <w:rPr>
          <w:rFonts w:ascii="Times New Roman" w:hAnsi="Times New Roman" w:cs="Times New Roman"/>
          <w:i/>
          <w:sz w:val="24"/>
          <w:szCs w:val="24"/>
        </w:rPr>
        <w:t>Southwire</w:t>
      </w:r>
      <w:r w:rsidRPr="00D97634">
        <w:rPr>
          <w:rFonts w:ascii="Times New Roman" w:hAnsi="Times New Roman" w:cs="Times New Roman"/>
          <w:sz w:val="24"/>
          <w:szCs w:val="24"/>
        </w:rPr>
        <w:t>, and the present case.</w:t>
      </w:r>
      <w:r w:rsidR="009C32EC" w:rsidRPr="00D97634">
        <w:rPr>
          <w:rFonts w:ascii="Times New Roman" w:hAnsi="Times New Roman" w:cs="Times New Roman"/>
          <w:sz w:val="24"/>
          <w:szCs w:val="24"/>
        </w:rPr>
        <w:t xml:space="preserve">  </w:t>
      </w:r>
      <w:r w:rsidR="002E1256" w:rsidRPr="00D97634">
        <w:rPr>
          <w:rFonts w:ascii="Times New Roman" w:hAnsi="Times New Roman" w:cs="Times New Roman"/>
          <w:sz w:val="24"/>
          <w:szCs w:val="24"/>
        </w:rPr>
        <w:t>T</w:t>
      </w:r>
      <w:r w:rsidR="001204E7" w:rsidRPr="00D97634">
        <w:rPr>
          <w:rFonts w:ascii="Times New Roman" w:eastAsia="Times New Roman" w:hAnsi="Times New Roman" w:cs="Times New Roman"/>
          <w:snapToGrid w:val="0"/>
          <w:sz w:val="24"/>
          <w:szCs w:val="24"/>
        </w:rPr>
        <w:t>he</w:t>
      </w:r>
      <w:r w:rsidR="00D645FB" w:rsidRPr="00D97634">
        <w:rPr>
          <w:rFonts w:ascii="Times New Roman" w:eastAsia="Times New Roman" w:hAnsi="Times New Roman" w:cs="Times New Roman"/>
          <w:snapToGrid w:val="0"/>
          <w:sz w:val="24"/>
          <w:szCs w:val="24"/>
        </w:rPr>
        <w:t xml:space="preserve"> fundamental differences in the</w:t>
      </w:r>
      <w:r w:rsidR="001204E7" w:rsidRPr="00D97634">
        <w:rPr>
          <w:rFonts w:ascii="Times New Roman" w:eastAsia="Times New Roman" w:hAnsi="Times New Roman" w:cs="Times New Roman"/>
          <w:snapToGrid w:val="0"/>
          <w:sz w:val="24"/>
          <w:szCs w:val="24"/>
        </w:rPr>
        <w:t xml:space="preserve"> newly constructed Hartwell Pet Food Facility </w:t>
      </w:r>
      <w:r w:rsidR="00D645FB" w:rsidRPr="00D97634">
        <w:rPr>
          <w:rFonts w:ascii="Times New Roman" w:eastAsia="Times New Roman" w:hAnsi="Times New Roman" w:cs="Times New Roman"/>
          <w:snapToGrid w:val="0"/>
          <w:sz w:val="24"/>
          <w:szCs w:val="24"/>
        </w:rPr>
        <w:t xml:space="preserve">and the </w:t>
      </w:r>
      <w:r w:rsidR="002E1256" w:rsidRPr="00D97634">
        <w:rPr>
          <w:rFonts w:ascii="Times New Roman" w:eastAsia="Times New Roman" w:hAnsi="Times New Roman" w:cs="Times New Roman"/>
          <w:snapToGrid w:val="0"/>
          <w:sz w:val="24"/>
          <w:szCs w:val="24"/>
        </w:rPr>
        <w:t>prior</w:t>
      </w:r>
      <w:r w:rsidR="00D645FB" w:rsidRPr="00D97634">
        <w:rPr>
          <w:rFonts w:ascii="Times New Roman" w:eastAsia="Times New Roman" w:hAnsi="Times New Roman" w:cs="Times New Roman"/>
          <w:snapToGrid w:val="0"/>
          <w:sz w:val="24"/>
          <w:szCs w:val="24"/>
        </w:rPr>
        <w:t xml:space="preserve"> Premises are readily apparent – the Hartwell Pet Food Facility </w:t>
      </w:r>
      <w:r w:rsidR="001204E7" w:rsidRPr="00D97634">
        <w:rPr>
          <w:rFonts w:ascii="Times New Roman" w:eastAsia="Times New Roman" w:hAnsi="Times New Roman" w:cs="Times New Roman"/>
          <w:snapToGrid w:val="0"/>
          <w:sz w:val="24"/>
          <w:szCs w:val="24"/>
        </w:rPr>
        <w:t>is not suitable for the previous use of textile manufacturing.  As a result, t</w:t>
      </w:r>
      <w:r w:rsidR="001204E7" w:rsidRPr="00D97634">
        <w:rPr>
          <w:rFonts w:ascii="Times New Roman" w:hAnsi="Times New Roman" w:cs="Times New Roman"/>
          <w:sz w:val="24"/>
          <w:szCs w:val="24"/>
        </w:rPr>
        <w:t xml:space="preserve">he Initial Decision’s Ordering paragraphs correctly find the old Premises was destroyed and dismantled, “that a new Premises exists and there has been no reconstruction in kind so as to afford Georgia Power any grandfather rights at the Premises.” </w:t>
      </w:r>
      <w:r w:rsidR="001204E7" w:rsidRPr="00D97634">
        <w:rPr>
          <w:rFonts w:ascii="Times New Roman" w:eastAsia="Times New Roman" w:hAnsi="Times New Roman" w:cs="Times New Roman"/>
          <w:snapToGrid w:val="0"/>
          <w:sz w:val="24"/>
          <w:szCs w:val="24"/>
        </w:rPr>
        <w:t xml:space="preserve">(Initial Decision, at 12.)  </w:t>
      </w:r>
    </w:p>
    <w:p w14:paraId="77AC0BD5" w14:textId="14B7C780" w:rsidR="006262FE" w:rsidRPr="00D97634" w:rsidRDefault="00B154FA" w:rsidP="00BB4ED5">
      <w:pPr>
        <w:spacing w:after="0" w:line="480" w:lineRule="auto"/>
        <w:jc w:val="both"/>
        <w:rPr>
          <w:rFonts w:ascii="Times New Roman" w:eastAsia="Times New Roman" w:hAnsi="Times New Roman" w:cs="Times New Roman"/>
          <w:snapToGrid w:val="0"/>
          <w:sz w:val="24"/>
          <w:szCs w:val="24"/>
        </w:rPr>
      </w:pPr>
      <w:r w:rsidRPr="00D97634">
        <w:rPr>
          <w:rFonts w:ascii="Times New Roman" w:eastAsia="Times New Roman" w:hAnsi="Times New Roman" w:cs="Times New Roman"/>
          <w:snapToGrid w:val="0"/>
          <w:sz w:val="24"/>
          <w:szCs w:val="24"/>
        </w:rPr>
        <w:tab/>
      </w:r>
      <w:r w:rsidR="003105ED" w:rsidRPr="00D97634">
        <w:rPr>
          <w:rFonts w:ascii="Times New Roman" w:eastAsia="Times New Roman" w:hAnsi="Times New Roman" w:cs="Times New Roman"/>
          <w:snapToGrid w:val="0"/>
          <w:sz w:val="24"/>
          <w:szCs w:val="24"/>
        </w:rPr>
        <w:t>Georgia Power further argues a facility cannot be both “existin</w:t>
      </w:r>
      <w:r w:rsidR="007E70D6" w:rsidRPr="00D97634">
        <w:rPr>
          <w:rFonts w:ascii="Times New Roman" w:eastAsia="Times New Roman" w:hAnsi="Times New Roman" w:cs="Times New Roman"/>
          <w:snapToGrid w:val="0"/>
          <w:sz w:val="24"/>
          <w:szCs w:val="24"/>
        </w:rPr>
        <w:t xml:space="preserve">g” and “new” at the same time.  </w:t>
      </w:r>
      <w:r w:rsidR="003105ED" w:rsidRPr="00D97634">
        <w:rPr>
          <w:rFonts w:ascii="Times New Roman" w:eastAsia="Times New Roman" w:hAnsi="Times New Roman" w:cs="Times New Roman"/>
          <w:snapToGrid w:val="0"/>
          <w:sz w:val="24"/>
          <w:szCs w:val="24"/>
        </w:rPr>
        <w:t xml:space="preserve">(GPC </w:t>
      </w:r>
      <w:r w:rsidR="007923C5" w:rsidRPr="00D97634">
        <w:rPr>
          <w:rFonts w:ascii="Times New Roman" w:eastAsia="Times New Roman" w:hAnsi="Times New Roman" w:cs="Times New Roman"/>
          <w:snapToGrid w:val="0"/>
          <w:sz w:val="24"/>
          <w:szCs w:val="24"/>
        </w:rPr>
        <w:t>Application</w:t>
      </w:r>
      <w:r w:rsidR="003105ED" w:rsidRPr="00D97634">
        <w:rPr>
          <w:rFonts w:ascii="Times New Roman" w:eastAsia="Times New Roman" w:hAnsi="Times New Roman" w:cs="Times New Roman"/>
          <w:snapToGrid w:val="0"/>
          <w:sz w:val="24"/>
          <w:szCs w:val="24"/>
        </w:rPr>
        <w:t xml:space="preserve">, at 10.) </w:t>
      </w:r>
      <w:r w:rsidRPr="00D97634">
        <w:rPr>
          <w:rFonts w:ascii="Times New Roman" w:eastAsia="Times New Roman" w:hAnsi="Times New Roman" w:cs="Times New Roman"/>
          <w:snapToGrid w:val="0"/>
          <w:sz w:val="24"/>
          <w:szCs w:val="24"/>
        </w:rPr>
        <w:t xml:space="preserve"> </w:t>
      </w:r>
      <w:r w:rsidR="003105ED" w:rsidRPr="00D97634">
        <w:rPr>
          <w:rFonts w:ascii="Times New Roman" w:eastAsia="Times New Roman" w:hAnsi="Times New Roman" w:cs="Times New Roman"/>
          <w:snapToGrid w:val="0"/>
          <w:sz w:val="24"/>
          <w:szCs w:val="24"/>
        </w:rPr>
        <w:t xml:space="preserve">Georgia Power is </w:t>
      </w:r>
      <w:r w:rsidRPr="00D97634">
        <w:rPr>
          <w:rFonts w:ascii="Times New Roman" w:eastAsia="Times New Roman" w:hAnsi="Times New Roman" w:cs="Times New Roman"/>
          <w:snapToGrid w:val="0"/>
          <w:sz w:val="24"/>
          <w:szCs w:val="24"/>
        </w:rPr>
        <w:t>mistaken</w:t>
      </w:r>
      <w:r w:rsidR="00AB70D5" w:rsidRPr="00D97634">
        <w:rPr>
          <w:rFonts w:ascii="Times New Roman" w:eastAsia="Times New Roman" w:hAnsi="Times New Roman" w:cs="Times New Roman"/>
          <w:snapToGrid w:val="0"/>
          <w:sz w:val="24"/>
          <w:szCs w:val="24"/>
        </w:rPr>
        <w:t>.</w:t>
      </w:r>
      <w:r w:rsidRPr="00D97634">
        <w:rPr>
          <w:rFonts w:ascii="Times New Roman" w:eastAsia="Times New Roman" w:hAnsi="Times New Roman" w:cs="Times New Roman"/>
          <w:snapToGrid w:val="0"/>
          <w:sz w:val="24"/>
          <w:szCs w:val="24"/>
        </w:rPr>
        <w:t xml:space="preserve"> </w:t>
      </w:r>
      <w:r w:rsidR="003105ED" w:rsidRPr="00D97634">
        <w:rPr>
          <w:rFonts w:ascii="Times New Roman" w:eastAsia="Times New Roman" w:hAnsi="Times New Roman" w:cs="Times New Roman"/>
          <w:snapToGrid w:val="0"/>
          <w:sz w:val="24"/>
          <w:szCs w:val="24"/>
        </w:rPr>
        <w:t xml:space="preserve"> Merriam-Webster defines “new” – in addition to “having recently come into existence” – as “being other than the former or old.”  </w:t>
      </w:r>
      <w:r w:rsidR="003105ED" w:rsidRPr="00D97634">
        <w:rPr>
          <w:rFonts w:ascii="Times New Roman" w:hAnsi="Times New Roman" w:cs="Times New Roman"/>
          <w:i/>
          <w:sz w:val="24"/>
          <w:szCs w:val="24"/>
        </w:rPr>
        <w:t>See</w:t>
      </w:r>
      <w:r w:rsidR="003105ED" w:rsidRPr="00D97634">
        <w:rPr>
          <w:rFonts w:ascii="Times New Roman" w:hAnsi="Times New Roman" w:cs="Times New Roman"/>
          <w:sz w:val="24"/>
          <w:szCs w:val="24"/>
        </w:rPr>
        <w:t xml:space="preserve"> </w:t>
      </w:r>
      <w:r w:rsidR="003105ED" w:rsidRPr="00D97634">
        <w:rPr>
          <w:rFonts w:ascii="Times New Roman" w:hAnsi="Times New Roman" w:cs="Times New Roman"/>
          <w:bCs/>
          <w:sz w:val="24"/>
          <w:szCs w:val="24"/>
        </w:rPr>
        <w:t>Merriam-webster.</w:t>
      </w:r>
      <w:r w:rsidR="003105ED" w:rsidRPr="00D97634">
        <w:rPr>
          <w:rFonts w:ascii="Times New Roman" w:hAnsi="Times New Roman" w:cs="Times New Roman"/>
          <w:sz w:val="24"/>
          <w:szCs w:val="24"/>
        </w:rPr>
        <w:t xml:space="preserve">com, </w:t>
      </w:r>
      <w:r w:rsidR="00440145" w:rsidRPr="00D97634">
        <w:rPr>
          <w:rFonts w:ascii="Times New Roman" w:hAnsi="Times New Roman" w:cs="Times New Roman"/>
          <w:sz w:val="24"/>
          <w:szCs w:val="24"/>
        </w:rPr>
        <w:t>http://www.merriamwebster.com/dictionary/new</w:t>
      </w:r>
      <w:r w:rsidR="00440145" w:rsidRPr="00D97634">
        <w:rPr>
          <w:rStyle w:val="Hyperlink"/>
          <w:rFonts w:ascii="Times New Roman" w:hAnsi="Times New Roman" w:cs="Times New Roman"/>
          <w:sz w:val="24"/>
          <w:szCs w:val="24"/>
        </w:rPr>
        <w:t xml:space="preserve">. </w:t>
      </w:r>
      <w:r w:rsidR="00440145" w:rsidRPr="00D97634">
        <w:rPr>
          <w:rFonts w:ascii="Times New Roman" w:eastAsia="Times New Roman" w:hAnsi="Times New Roman" w:cs="Times New Roman"/>
          <w:snapToGrid w:val="0"/>
          <w:sz w:val="24"/>
          <w:szCs w:val="24"/>
        </w:rPr>
        <w:t xml:space="preserve">Therefore, </w:t>
      </w:r>
      <w:r w:rsidR="00AB2CDB" w:rsidRPr="00D97634">
        <w:rPr>
          <w:rFonts w:ascii="Times New Roman" w:eastAsia="Times New Roman" w:hAnsi="Times New Roman" w:cs="Times New Roman"/>
          <w:snapToGrid w:val="0"/>
          <w:sz w:val="24"/>
          <w:szCs w:val="24"/>
        </w:rPr>
        <w:t xml:space="preserve">as is the case </w:t>
      </w:r>
      <w:r w:rsidR="00851813" w:rsidRPr="00D97634">
        <w:rPr>
          <w:rFonts w:ascii="Times New Roman" w:eastAsia="Times New Roman" w:hAnsi="Times New Roman" w:cs="Times New Roman"/>
          <w:snapToGrid w:val="0"/>
          <w:sz w:val="24"/>
          <w:szCs w:val="24"/>
        </w:rPr>
        <w:t xml:space="preserve">here </w:t>
      </w:r>
      <w:r w:rsidR="003105ED" w:rsidRPr="00D97634">
        <w:rPr>
          <w:rFonts w:ascii="Times New Roman" w:eastAsia="Times New Roman" w:hAnsi="Times New Roman" w:cs="Times New Roman"/>
          <w:snapToGrid w:val="0"/>
          <w:sz w:val="24"/>
          <w:szCs w:val="24"/>
        </w:rPr>
        <w:t xml:space="preserve">and as </w:t>
      </w:r>
      <w:r w:rsidR="00EC3ED3" w:rsidRPr="00D97634">
        <w:rPr>
          <w:rFonts w:ascii="Times New Roman" w:eastAsia="Times New Roman" w:hAnsi="Times New Roman" w:cs="Times New Roman"/>
          <w:snapToGrid w:val="0"/>
          <w:sz w:val="24"/>
          <w:szCs w:val="24"/>
        </w:rPr>
        <w:t>detailed in the Initial Decision</w:t>
      </w:r>
      <w:r w:rsidR="003105ED" w:rsidRPr="00D97634">
        <w:rPr>
          <w:rFonts w:ascii="Times New Roman" w:eastAsia="Times New Roman" w:hAnsi="Times New Roman" w:cs="Times New Roman"/>
          <w:snapToGrid w:val="0"/>
          <w:sz w:val="24"/>
          <w:szCs w:val="24"/>
        </w:rPr>
        <w:t xml:space="preserve">, </w:t>
      </w:r>
      <w:r w:rsidR="00851813" w:rsidRPr="00D97634">
        <w:rPr>
          <w:rFonts w:ascii="Times New Roman" w:eastAsia="Times New Roman" w:hAnsi="Times New Roman" w:cs="Times New Roman"/>
          <w:snapToGrid w:val="0"/>
          <w:sz w:val="24"/>
          <w:szCs w:val="24"/>
        </w:rPr>
        <w:t xml:space="preserve">under the plain language of “new,” if a </w:t>
      </w:r>
      <w:r w:rsidR="003105ED" w:rsidRPr="00D97634">
        <w:rPr>
          <w:rFonts w:ascii="Times New Roman" w:eastAsia="Times New Roman" w:hAnsi="Times New Roman" w:cs="Times New Roman"/>
          <w:snapToGrid w:val="0"/>
          <w:sz w:val="24"/>
          <w:szCs w:val="24"/>
        </w:rPr>
        <w:t>premises is under construction to create a “new premises” the facility can be both “existing” and “new.”</w:t>
      </w:r>
      <w:r w:rsidRPr="00D97634">
        <w:rPr>
          <w:rFonts w:ascii="Times New Roman" w:eastAsia="Times New Roman" w:hAnsi="Times New Roman" w:cs="Times New Roman"/>
          <w:snapToGrid w:val="0"/>
          <w:sz w:val="24"/>
          <w:szCs w:val="24"/>
        </w:rPr>
        <w:t xml:space="preserve">  </w:t>
      </w:r>
      <w:r w:rsidR="00011CE6" w:rsidRPr="00D97634">
        <w:rPr>
          <w:rFonts w:ascii="Times New Roman" w:eastAsia="Times New Roman" w:hAnsi="Times New Roman" w:cs="Times New Roman"/>
          <w:snapToGrid w:val="0"/>
          <w:sz w:val="24"/>
          <w:szCs w:val="24"/>
        </w:rPr>
        <w:t xml:space="preserve">By arguing a facility cannot be both “existing” and “new” at the same time, Georgia Power is not only </w:t>
      </w:r>
      <w:r w:rsidR="00AB70D5" w:rsidRPr="00D97634">
        <w:rPr>
          <w:rFonts w:ascii="Times New Roman" w:eastAsia="Times New Roman" w:hAnsi="Times New Roman" w:cs="Times New Roman"/>
          <w:snapToGrid w:val="0"/>
          <w:sz w:val="24"/>
          <w:szCs w:val="24"/>
        </w:rPr>
        <w:t>trying to create a new legal standard</w:t>
      </w:r>
      <w:r w:rsidRPr="00D97634">
        <w:rPr>
          <w:rFonts w:ascii="Times New Roman" w:eastAsia="Times New Roman" w:hAnsi="Times New Roman" w:cs="Times New Roman"/>
          <w:snapToGrid w:val="0"/>
          <w:sz w:val="24"/>
          <w:szCs w:val="24"/>
        </w:rPr>
        <w:t xml:space="preserve">, </w:t>
      </w:r>
      <w:r w:rsidR="002E516F" w:rsidRPr="00D97634">
        <w:rPr>
          <w:rFonts w:ascii="Times New Roman" w:eastAsia="Times New Roman" w:hAnsi="Times New Roman" w:cs="Times New Roman"/>
          <w:snapToGrid w:val="0"/>
          <w:sz w:val="24"/>
          <w:szCs w:val="24"/>
        </w:rPr>
        <w:t xml:space="preserve">it is </w:t>
      </w:r>
      <w:r w:rsidR="00011CE6" w:rsidRPr="00D97634">
        <w:rPr>
          <w:rFonts w:ascii="Times New Roman" w:eastAsia="Times New Roman" w:hAnsi="Times New Roman" w:cs="Times New Roman"/>
          <w:snapToGrid w:val="0"/>
          <w:sz w:val="24"/>
          <w:szCs w:val="24"/>
        </w:rPr>
        <w:t xml:space="preserve">also </w:t>
      </w:r>
      <w:r w:rsidR="002E516F" w:rsidRPr="00D97634">
        <w:rPr>
          <w:rFonts w:ascii="Times New Roman" w:eastAsia="Times New Roman" w:hAnsi="Times New Roman" w:cs="Times New Roman"/>
          <w:snapToGrid w:val="0"/>
          <w:sz w:val="24"/>
          <w:szCs w:val="24"/>
        </w:rPr>
        <w:t>asking</w:t>
      </w:r>
      <w:r w:rsidR="00011CE6" w:rsidRPr="00D97634">
        <w:rPr>
          <w:rFonts w:ascii="Times New Roman" w:eastAsia="Times New Roman" w:hAnsi="Times New Roman" w:cs="Times New Roman"/>
          <w:snapToGrid w:val="0"/>
          <w:sz w:val="24"/>
          <w:szCs w:val="24"/>
        </w:rPr>
        <w:t xml:space="preserve"> the Commission to overrule</w:t>
      </w:r>
      <w:r w:rsidR="002E516F" w:rsidRPr="00D97634">
        <w:rPr>
          <w:rFonts w:ascii="Times New Roman" w:eastAsia="Times New Roman" w:hAnsi="Times New Roman" w:cs="Times New Roman"/>
          <w:snapToGrid w:val="0"/>
          <w:sz w:val="24"/>
          <w:szCs w:val="24"/>
        </w:rPr>
        <w:t xml:space="preserve"> </w:t>
      </w:r>
      <w:r w:rsidR="00011CE6" w:rsidRPr="00D97634">
        <w:rPr>
          <w:rFonts w:ascii="Times New Roman" w:eastAsia="Times New Roman" w:hAnsi="Times New Roman" w:cs="Times New Roman"/>
          <w:snapToGrid w:val="0"/>
          <w:sz w:val="24"/>
          <w:szCs w:val="24"/>
        </w:rPr>
        <w:t>longstanding Commission precedent</w:t>
      </w:r>
      <w:r w:rsidR="00AB70D5" w:rsidRPr="00D97634">
        <w:rPr>
          <w:rFonts w:ascii="Times New Roman" w:eastAsia="Times New Roman" w:hAnsi="Times New Roman" w:cs="Times New Roman"/>
          <w:snapToGrid w:val="0"/>
          <w:sz w:val="24"/>
          <w:szCs w:val="24"/>
        </w:rPr>
        <w:t>.</w:t>
      </w:r>
      <w:r w:rsidR="007D0C21" w:rsidRPr="00D97634">
        <w:rPr>
          <w:rStyle w:val="FootnoteReference"/>
          <w:rFonts w:ascii="Times New Roman" w:eastAsia="Times New Roman" w:hAnsi="Times New Roman" w:cs="Times New Roman"/>
          <w:snapToGrid w:val="0"/>
          <w:sz w:val="24"/>
          <w:szCs w:val="24"/>
        </w:rPr>
        <w:footnoteReference w:id="1"/>
      </w:r>
      <w:r w:rsidR="002E516F" w:rsidRPr="00D97634">
        <w:rPr>
          <w:rFonts w:ascii="Times New Roman" w:eastAsia="Times New Roman" w:hAnsi="Times New Roman" w:cs="Times New Roman"/>
          <w:snapToGrid w:val="0"/>
          <w:sz w:val="24"/>
          <w:szCs w:val="24"/>
        </w:rPr>
        <w:t xml:space="preserve"> </w:t>
      </w:r>
    </w:p>
    <w:p w14:paraId="1E4EE2DE" w14:textId="2E51D472" w:rsidR="00FA0A06" w:rsidRPr="00D97634" w:rsidRDefault="00B154FA" w:rsidP="00BB4ED5">
      <w:pPr>
        <w:spacing w:after="0" w:line="480" w:lineRule="auto"/>
        <w:jc w:val="both"/>
        <w:rPr>
          <w:rFonts w:ascii="Times New Roman" w:eastAsia="Times New Roman" w:hAnsi="Times New Roman" w:cs="Times New Roman"/>
          <w:snapToGrid w:val="0"/>
          <w:sz w:val="24"/>
          <w:szCs w:val="24"/>
        </w:rPr>
      </w:pPr>
      <w:r w:rsidRPr="00D97634">
        <w:rPr>
          <w:rFonts w:ascii="Times New Roman" w:hAnsi="Times New Roman" w:cs="Times New Roman"/>
          <w:iCs/>
          <w:sz w:val="24"/>
          <w:szCs w:val="24"/>
        </w:rPr>
        <w:tab/>
        <w:t xml:space="preserve">Moreover, </w:t>
      </w:r>
      <w:r w:rsidR="000871E1" w:rsidRPr="00D97634">
        <w:rPr>
          <w:rFonts w:ascii="Times New Roman" w:hAnsi="Times New Roman" w:cs="Times New Roman"/>
          <w:iCs/>
          <w:sz w:val="24"/>
          <w:szCs w:val="24"/>
        </w:rPr>
        <w:t xml:space="preserve">just </w:t>
      </w:r>
      <w:r w:rsidRPr="00D97634">
        <w:rPr>
          <w:rFonts w:ascii="Times New Roman" w:hAnsi="Times New Roman" w:cs="Times New Roman"/>
          <w:iCs/>
          <w:sz w:val="24"/>
          <w:szCs w:val="24"/>
        </w:rPr>
        <w:t xml:space="preserve">like any prior Commission decision, </w:t>
      </w:r>
      <w:r w:rsidR="00EC3ED3" w:rsidRPr="00D97634">
        <w:rPr>
          <w:rFonts w:ascii="Times New Roman" w:hAnsi="Times New Roman" w:cs="Times New Roman"/>
          <w:iCs/>
          <w:sz w:val="24"/>
          <w:szCs w:val="24"/>
        </w:rPr>
        <w:t>the Initial Decision highlights</w:t>
      </w:r>
      <w:r w:rsidRPr="00D97634">
        <w:rPr>
          <w:rFonts w:ascii="Times New Roman" w:hAnsi="Times New Roman" w:cs="Times New Roman"/>
          <w:iCs/>
          <w:sz w:val="24"/>
          <w:szCs w:val="24"/>
        </w:rPr>
        <w:t xml:space="preserve"> and emphasize</w:t>
      </w:r>
      <w:r w:rsidR="00EC3ED3" w:rsidRPr="00D97634">
        <w:rPr>
          <w:rFonts w:ascii="Times New Roman" w:hAnsi="Times New Roman" w:cs="Times New Roman"/>
          <w:iCs/>
          <w:sz w:val="24"/>
          <w:szCs w:val="24"/>
        </w:rPr>
        <w:t>s</w:t>
      </w:r>
      <w:r w:rsidRPr="00D97634">
        <w:rPr>
          <w:rFonts w:ascii="Times New Roman" w:hAnsi="Times New Roman" w:cs="Times New Roman"/>
          <w:iCs/>
          <w:sz w:val="24"/>
          <w:szCs w:val="24"/>
        </w:rPr>
        <w:t xml:space="preserve"> certain Commission decisions based on the unique material facts present here. </w:t>
      </w:r>
      <w:r w:rsidR="000E26ED" w:rsidRPr="00D97634">
        <w:rPr>
          <w:rFonts w:ascii="Times New Roman" w:hAnsi="Times New Roman" w:cs="Times New Roman"/>
          <w:iCs/>
          <w:sz w:val="24"/>
          <w:szCs w:val="24"/>
        </w:rPr>
        <w:t xml:space="preserve"> </w:t>
      </w:r>
      <w:r w:rsidR="007B5F0B" w:rsidRPr="00D97634">
        <w:rPr>
          <w:rFonts w:ascii="Times New Roman" w:hAnsi="Times New Roman" w:cs="Times New Roman"/>
          <w:iCs/>
          <w:sz w:val="24"/>
          <w:szCs w:val="24"/>
        </w:rPr>
        <w:t>(</w:t>
      </w:r>
      <w:r w:rsidRPr="00D97634">
        <w:rPr>
          <w:rFonts w:ascii="Times New Roman" w:hAnsi="Times New Roman" w:cs="Times New Roman"/>
          <w:i/>
          <w:iCs/>
          <w:sz w:val="24"/>
          <w:szCs w:val="24"/>
        </w:rPr>
        <w:t xml:space="preserve">See </w:t>
      </w:r>
      <w:r w:rsidRPr="00D97634">
        <w:rPr>
          <w:rFonts w:ascii="Times New Roman" w:hAnsi="Times New Roman" w:cs="Times New Roman"/>
          <w:iCs/>
          <w:sz w:val="24"/>
          <w:szCs w:val="24"/>
        </w:rPr>
        <w:t>Initial Decision, at *9 (“The Commission has applied the plain meaning of ‘destroy’ and ‘dismantle’ differently based upon the specific factual situations presented in each case.”)</w:t>
      </w:r>
      <w:r w:rsidR="00F31E16" w:rsidRPr="00D97634">
        <w:rPr>
          <w:rFonts w:ascii="Times New Roman" w:hAnsi="Times New Roman" w:cs="Times New Roman"/>
          <w:iCs/>
          <w:sz w:val="24"/>
          <w:szCs w:val="24"/>
        </w:rPr>
        <w:t>.</w:t>
      </w:r>
      <w:r w:rsidR="007B5F0B" w:rsidRPr="00D97634">
        <w:rPr>
          <w:rFonts w:ascii="Times New Roman" w:hAnsi="Times New Roman" w:cs="Times New Roman"/>
          <w:iCs/>
          <w:sz w:val="24"/>
          <w:szCs w:val="24"/>
        </w:rPr>
        <w:t>)</w:t>
      </w:r>
      <w:r w:rsidRPr="00D97634">
        <w:rPr>
          <w:rFonts w:ascii="Times New Roman" w:hAnsi="Times New Roman" w:cs="Times New Roman"/>
          <w:iCs/>
          <w:sz w:val="24"/>
          <w:szCs w:val="24"/>
        </w:rPr>
        <w:t xml:space="preserve"> </w:t>
      </w:r>
      <w:r w:rsidR="000E26ED" w:rsidRPr="00D97634">
        <w:rPr>
          <w:rFonts w:ascii="Times New Roman" w:hAnsi="Times New Roman" w:cs="Times New Roman"/>
          <w:iCs/>
          <w:sz w:val="24"/>
          <w:szCs w:val="24"/>
        </w:rPr>
        <w:t xml:space="preserve"> </w:t>
      </w:r>
      <w:r w:rsidR="002E516F" w:rsidRPr="00D97634">
        <w:rPr>
          <w:rFonts w:ascii="Times New Roman" w:hAnsi="Times New Roman" w:cs="Times New Roman"/>
          <w:iCs/>
          <w:sz w:val="24"/>
          <w:szCs w:val="24"/>
        </w:rPr>
        <w:t>T</w:t>
      </w:r>
      <w:r w:rsidRPr="00D97634">
        <w:rPr>
          <w:rFonts w:ascii="Times New Roman" w:hAnsi="Times New Roman" w:cs="Times New Roman"/>
          <w:iCs/>
          <w:sz w:val="24"/>
          <w:szCs w:val="24"/>
        </w:rPr>
        <w:t xml:space="preserve">he </w:t>
      </w:r>
      <w:r w:rsidRPr="00D97634">
        <w:rPr>
          <w:rFonts w:ascii="Times New Roman" w:hAnsi="Times New Roman" w:cs="Times New Roman"/>
          <w:iCs/>
          <w:sz w:val="24"/>
          <w:szCs w:val="24"/>
        </w:rPr>
        <w:lastRenderedPageBreak/>
        <w:t xml:space="preserve">Initial Decision does not “read out” the </w:t>
      </w:r>
      <w:r w:rsidR="001B7632" w:rsidRPr="00D97634">
        <w:rPr>
          <w:rFonts w:ascii="Times New Roman" w:hAnsi="Times New Roman" w:cs="Times New Roman"/>
          <w:iCs/>
          <w:sz w:val="24"/>
          <w:szCs w:val="24"/>
        </w:rPr>
        <w:t>Territorial Act’</w:t>
      </w:r>
      <w:r w:rsidR="003D23D1" w:rsidRPr="00D97634">
        <w:rPr>
          <w:rFonts w:ascii="Times New Roman" w:hAnsi="Times New Roman" w:cs="Times New Roman"/>
          <w:iCs/>
          <w:sz w:val="24"/>
          <w:szCs w:val="24"/>
        </w:rPr>
        <w:t xml:space="preserve">s </w:t>
      </w:r>
      <w:r w:rsidRPr="00D97634">
        <w:rPr>
          <w:rFonts w:ascii="Times New Roman" w:hAnsi="Times New Roman" w:cs="Times New Roman"/>
          <w:iCs/>
          <w:sz w:val="24"/>
          <w:szCs w:val="24"/>
        </w:rPr>
        <w:t xml:space="preserve">requirement of a “new premises,” </w:t>
      </w:r>
      <w:r w:rsidR="00AB70D5" w:rsidRPr="00D97634">
        <w:rPr>
          <w:rFonts w:ascii="Times New Roman" w:hAnsi="Times New Roman" w:cs="Times New Roman"/>
          <w:iCs/>
          <w:sz w:val="24"/>
          <w:szCs w:val="24"/>
        </w:rPr>
        <w:t>instead it</w:t>
      </w:r>
      <w:r w:rsidR="003D23D1" w:rsidRPr="00D97634">
        <w:rPr>
          <w:rFonts w:ascii="Times New Roman" w:hAnsi="Times New Roman" w:cs="Times New Roman"/>
          <w:iCs/>
          <w:sz w:val="24"/>
          <w:szCs w:val="24"/>
        </w:rPr>
        <w:t xml:space="preserve"> </w:t>
      </w:r>
      <w:r w:rsidRPr="00D97634">
        <w:rPr>
          <w:rFonts w:ascii="Times New Roman" w:hAnsi="Times New Roman" w:cs="Times New Roman"/>
          <w:iCs/>
          <w:sz w:val="24"/>
          <w:szCs w:val="24"/>
        </w:rPr>
        <w:t xml:space="preserve">highlights the factual </w:t>
      </w:r>
      <w:r w:rsidR="003D23D1" w:rsidRPr="00D97634">
        <w:rPr>
          <w:rFonts w:ascii="Times New Roman" w:hAnsi="Times New Roman" w:cs="Times New Roman"/>
          <w:iCs/>
          <w:sz w:val="24"/>
          <w:szCs w:val="24"/>
        </w:rPr>
        <w:t xml:space="preserve">variations </w:t>
      </w:r>
      <w:r w:rsidRPr="00D97634">
        <w:rPr>
          <w:rFonts w:ascii="Times New Roman" w:hAnsi="Times New Roman" w:cs="Times New Roman"/>
          <w:iCs/>
          <w:sz w:val="24"/>
          <w:szCs w:val="24"/>
        </w:rPr>
        <w:t xml:space="preserve">of </w:t>
      </w:r>
      <w:r w:rsidR="003D23D1" w:rsidRPr="00D97634">
        <w:rPr>
          <w:rFonts w:ascii="Times New Roman" w:hAnsi="Times New Roman" w:cs="Times New Roman"/>
          <w:iCs/>
          <w:sz w:val="24"/>
          <w:szCs w:val="24"/>
        </w:rPr>
        <w:t xml:space="preserve">applicable </w:t>
      </w:r>
      <w:r w:rsidRPr="00D97634">
        <w:rPr>
          <w:rFonts w:ascii="Times New Roman" w:hAnsi="Times New Roman" w:cs="Times New Roman"/>
          <w:iCs/>
          <w:sz w:val="24"/>
          <w:szCs w:val="24"/>
        </w:rPr>
        <w:t xml:space="preserve">prior Commission precedent </w:t>
      </w:r>
      <w:r w:rsidR="003D23D1" w:rsidRPr="00D97634">
        <w:rPr>
          <w:rFonts w:ascii="Times New Roman" w:hAnsi="Times New Roman" w:cs="Times New Roman"/>
          <w:iCs/>
          <w:sz w:val="24"/>
          <w:szCs w:val="24"/>
        </w:rPr>
        <w:t>and how those variations</w:t>
      </w:r>
      <w:r w:rsidRPr="00D97634">
        <w:rPr>
          <w:rFonts w:ascii="Times New Roman" w:hAnsi="Times New Roman" w:cs="Times New Roman"/>
          <w:iCs/>
          <w:sz w:val="24"/>
          <w:szCs w:val="24"/>
        </w:rPr>
        <w:t xml:space="preserve"> relate to the </w:t>
      </w:r>
      <w:r w:rsidR="003D23D1" w:rsidRPr="00D97634">
        <w:rPr>
          <w:rFonts w:ascii="Times New Roman" w:hAnsi="Times New Roman" w:cs="Times New Roman"/>
          <w:iCs/>
          <w:sz w:val="24"/>
          <w:szCs w:val="24"/>
        </w:rPr>
        <w:t>record evidence</w:t>
      </w:r>
      <w:r w:rsidR="00AB70D5" w:rsidRPr="00D97634">
        <w:rPr>
          <w:rFonts w:ascii="Times New Roman" w:hAnsi="Times New Roman" w:cs="Times New Roman"/>
          <w:iCs/>
          <w:sz w:val="24"/>
          <w:szCs w:val="24"/>
        </w:rPr>
        <w:t>.</w:t>
      </w:r>
      <w:r w:rsidR="00CD7FEC" w:rsidRPr="00D97634">
        <w:rPr>
          <w:rFonts w:ascii="Times New Roman" w:hAnsi="Times New Roman" w:cs="Times New Roman"/>
          <w:iCs/>
          <w:sz w:val="24"/>
          <w:szCs w:val="24"/>
        </w:rPr>
        <w:t xml:space="preserve"> </w:t>
      </w:r>
      <w:r w:rsidR="003C64B6" w:rsidRPr="00D97634">
        <w:rPr>
          <w:rFonts w:ascii="Times New Roman" w:hAnsi="Times New Roman" w:cs="Times New Roman"/>
          <w:iCs/>
          <w:sz w:val="24"/>
          <w:szCs w:val="24"/>
        </w:rPr>
        <w:t xml:space="preserve"> </w:t>
      </w:r>
      <w:r w:rsidR="00AB70D5" w:rsidRPr="00D97634">
        <w:rPr>
          <w:rFonts w:ascii="Times New Roman" w:hAnsi="Times New Roman" w:cs="Times New Roman"/>
          <w:iCs/>
          <w:sz w:val="24"/>
          <w:szCs w:val="24"/>
        </w:rPr>
        <w:t>The</w:t>
      </w:r>
      <w:r w:rsidR="00EC3ED3" w:rsidRPr="00D97634">
        <w:rPr>
          <w:rFonts w:ascii="Times New Roman" w:hAnsi="Times New Roman" w:cs="Times New Roman"/>
          <w:iCs/>
          <w:sz w:val="24"/>
          <w:szCs w:val="24"/>
        </w:rPr>
        <w:t xml:space="preserve"> Initial Decision correctly finds</w:t>
      </w:r>
      <w:r w:rsidR="00CD7FEC" w:rsidRPr="00D97634">
        <w:rPr>
          <w:rFonts w:ascii="Times New Roman" w:hAnsi="Times New Roman" w:cs="Times New Roman"/>
          <w:iCs/>
          <w:sz w:val="24"/>
          <w:szCs w:val="24"/>
        </w:rPr>
        <w:t xml:space="preserve"> the Hartwell Pet Food Facility to be a “new premises” as interpreted by Commission precedent.</w:t>
      </w:r>
    </w:p>
    <w:p w14:paraId="5362151F" w14:textId="77777777" w:rsidR="007D2F0C" w:rsidRPr="00D97634" w:rsidRDefault="00B154FA" w:rsidP="00043514">
      <w:pPr>
        <w:pStyle w:val="ListParagraph"/>
        <w:keepNext/>
        <w:numPr>
          <w:ilvl w:val="1"/>
          <w:numId w:val="1"/>
        </w:numPr>
        <w:rPr>
          <w:rFonts w:ascii="Times New Roman" w:eastAsia="Times New Roman" w:hAnsi="Times New Roman" w:cs="Times New Roman"/>
          <w:b/>
          <w:sz w:val="24"/>
          <w:szCs w:val="24"/>
        </w:rPr>
      </w:pPr>
      <w:r w:rsidRPr="00D97634">
        <w:rPr>
          <w:rFonts w:ascii="Times New Roman" w:eastAsia="Times New Roman" w:hAnsi="Times New Roman" w:cs="Times New Roman"/>
          <w:b/>
          <w:i/>
          <w:sz w:val="24"/>
          <w:szCs w:val="24"/>
        </w:rPr>
        <w:t xml:space="preserve">The </w:t>
      </w:r>
      <w:r w:rsidR="00DA3902" w:rsidRPr="00D97634">
        <w:rPr>
          <w:rFonts w:ascii="Times New Roman" w:eastAsia="Times New Roman" w:hAnsi="Times New Roman" w:cs="Times New Roman"/>
          <w:b/>
          <w:i/>
          <w:sz w:val="24"/>
          <w:szCs w:val="24"/>
        </w:rPr>
        <w:t>Initial Decision</w:t>
      </w:r>
      <w:r w:rsidR="00EC3ED3" w:rsidRPr="00D97634">
        <w:rPr>
          <w:rFonts w:ascii="Times New Roman" w:eastAsia="Times New Roman" w:hAnsi="Times New Roman" w:cs="Times New Roman"/>
          <w:b/>
          <w:i/>
          <w:sz w:val="24"/>
          <w:szCs w:val="24"/>
        </w:rPr>
        <w:t xml:space="preserve"> Correctly Applies</w:t>
      </w:r>
      <w:r w:rsidRPr="00D97634">
        <w:rPr>
          <w:rFonts w:ascii="Times New Roman" w:eastAsia="Times New Roman" w:hAnsi="Times New Roman" w:cs="Times New Roman"/>
          <w:b/>
          <w:i/>
          <w:sz w:val="24"/>
          <w:szCs w:val="24"/>
        </w:rPr>
        <w:t xml:space="preserve"> the Destroyed or Dismantled Standard.</w:t>
      </w:r>
    </w:p>
    <w:p w14:paraId="74D1221F" w14:textId="77777777" w:rsidR="00A95B11" w:rsidRPr="00D97634" w:rsidRDefault="00B154FA" w:rsidP="00A47E3F">
      <w:pPr>
        <w:spacing w:after="0" w:line="480" w:lineRule="auto"/>
        <w:ind w:firstLine="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Georgia Power asserts the Initial Decision “fails to follow the Commission’s construction of ‘destroyed or dismantled’ to require taking something to pieces or destroying it in an orderly way.” (GPC </w:t>
      </w:r>
      <w:r w:rsidR="007923C5" w:rsidRPr="00D97634">
        <w:rPr>
          <w:rFonts w:ascii="Times New Roman" w:eastAsia="Times New Roman" w:hAnsi="Times New Roman" w:cs="Times New Roman"/>
          <w:sz w:val="24"/>
          <w:szCs w:val="24"/>
        </w:rPr>
        <w:t>Application</w:t>
      </w:r>
      <w:r w:rsidRPr="00D97634">
        <w:rPr>
          <w:rFonts w:ascii="Times New Roman" w:eastAsia="Times New Roman" w:hAnsi="Times New Roman" w:cs="Times New Roman"/>
          <w:sz w:val="24"/>
          <w:szCs w:val="24"/>
        </w:rPr>
        <w:t>, at 13.)</w:t>
      </w:r>
      <w:r w:rsidR="006759C2" w:rsidRPr="00D97634">
        <w:rPr>
          <w:rFonts w:ascii="Times New Roman" w:eastAsia="Times New Roman" w:hAnsi="Times New Roman" w:cs="Times New Roman"/>
          <w:sz w:val="24"/>
          <w:szCs w:val="24"/>
        </w:rPr>
        <w:t xml:space="preserve">  Georgia Power attempts to create a new standard, found nowhere in Commission precedent, by stating “</w:t>
      </w:r>
      <w:r w:rsidR="000E26ED" w:rsidRPr="00D97634">
        <w:rPr>
          <w:rFonts w:ascii="Times New Roman" w:eastAsia="Times New Roman" w:hAnsi="Times New Roman" w:cs="Times New Roman"/>
          <w:sz w:val="24"/>
          <w:szCs w:val="24"/>
        </w:rPr>
        <w:t>[t]</w:t>
      </w:r>
      <w:r w:rsidR="009D41D3" w:rsidRPr="00D97634">
        <w:rPr>
          <w:rFonts w:ascii="Times New Roman" w:eastAsia="Times New Roman" w:hAnsi="Times New Roman" w:cs="Times New Roman"/>
          <w:sz w:val="24"/>
          <w:szCs w:val="24"/>
        </w:rPr>
        <w:t xml:space="preserve">he principle of </w:t>
      </w:r>
      <w:r w:rsidR="009D41D3" w:rsidRPr="00D97634">
        <w:rPr>
          <w:rFonts w:ascii="Times New Roman" w:eastAsia="Times New Roman" w:hAnsi="Times New Roman" w:cs="Times New Roman"/>
          <w:i/>
          <w:sz w:val="24"/>
          <w:szCs w:val="24"/>
        </w:rPr>
        <w:t xml:space="preserve">in pari materia </w:t>
      </w:r>
      <w:r w:rsidR="009D41D3" w:rsidRPr="00D97634">
        <w:rPr>
          <w:rFonts w:ascii="Times New Roman" w:eastAsia="Times New Roman" w:hAnsi="Times New Roman" w:cs="Times New Roman"/>
          <w:sz w:val="24"/>
          <w:szCs w:val="24"/>
        </w:rPr>
        <w:t xml:space="preserve">and the grammar of the sentence require . . . that a building must be taken apart and destroyed before it may be considered ‘dismantled.’” (GPC </w:t>
      </w:r>
      <w:r w:rsidR="007923C5" w:rsidRPr="00D97634">
        <w:rPr>
          <w:rFonts w:ascii="Times New Roman" w:eastAsia="Times New Roman" w:hAnsi="Times New Roman" w:cs="Times New Roman"/>
          <w:sz w:val="24"/>
          <w:szCs w:val="24"/>
        </w:rPr>
        <w:t>Application</w:t>
      </w:r>
      <w:r w:rsidR="009D41D3" w:rsidRPr="00D97634">
        <w:rPr>
          <w:rFonts w:ascii="Times New Roman" w:eastAsia="Times New Roman" w:hAnsi="Times New Roman" w:cs="Times New Roman"/>
          <w:sz w:val="24"/>
          <w:szCs w:val="24"/>
        </w:rPr>
        <w:t xml:space="preserve">, at 14.) </w:t>
      </w:r>
      <w:r w:rsidR="000871E1" w:rsidRPr="00D97634">
        <w:rPr>
          <w:rFonts w:ascii="Times New Roman" w:eastAsia="Times New Roman" w:hAnsi="Times New Roman" w:cs="Times New Roman"/>
          <w:sz w:val="24"/>
          <w:szCs w:val="24"/>
        </w:rPr>
        <w:t xml:space="preserve"> </w:t>
      </w:r>
      <w:r w:rsidR="009D41D3" w:rsidRPr="00D97634">
        <w:rPr>
          <w:rFonts w:ascii="Times New Roman" w:eastAsia="Times New Roman" w:hAnsi="Times New Roman" w:cs="Times New Roman"/>
          <w:sz w:val="24"/>
          <w:szCs w:val="24"/>
        </w:rPr>
        <w:t>As noted in the Initial Decision, this is not the standard the</w:t>
      </w:r>
      <w:r w:rsidRPr="00D97634">
        <w:rPr>
          <w:rFonts w:ascii="Times New Roman" w:eastAsia="Times New Roman" w:hAnsi="Times New Roman" w:cs="Times New Roman"/>
          <w:sz w:val="24"/>
          <w:szCs w:val="24"/>
        </w:rPr>
        <w:t xml:space="preserve"> Commission has applied:</w:t>
      </w:r>
    </w:p>
    <w:p w14:paraId="1616F3A1" w14:textId="77777777" w:rsidR="00A95B11" w:rsidRPr="00D97634" w:rsidRDefault="00B154FA" w:rsidP="00A95B11">
      <w:pPr>
        <w:spacing w:line="276" w:lineRule="auto"/>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bCs/>
          <w:sz w:val="24"/>
          <w:szCs w:val="24"/>
        </w:rPr>
        <w:t xml:space="preserve">Because the Territorial Act does not define “destroy” or “dismantle,” the Commission has previously turned to the word’s </w:t>
      </w:r>
      <w:r w:rsidRPr="00D97634">
        <w:rPr>
          <w:rFonts w:ascii="Times New Roman" w:eastAsia="Times New Roman" w:hAnsi="Times New Roman" w:cs="Times New Roman"/>
          <w:bCs/>
          <w:sz w:val="24"/>
          <w:szCs w:val="24"/>
          <w:u w:val="single"/>
        </w:rPr>
        <w:t>plain meaning</w:t>
      </w:r>
      <w:r w:rsidRPr="00D97634">
        <w:rPr>
          <w:rFonts w:ascii="Times New Roman" w:eastAsia="Times New Roman" w:hAnsi="Times New Roman" w:cs="Times New Roman"/>
          <w:bCs/>
          <w:sz w:val="24"/>
          <w:szCs w:val="24"/>
        </w:rPr>
        <w:t xml:space="preserve"> derived from dictionary definitions: </w:t>
      </w:r>
    </w:p>
    <w:p w14:paraId="098D1E6A" w14:textId="77777777" w:rsidR="00A95B11" w:rsidRPr="00D97634" w:rsidRDefault="00B154FA" w:rsidP="00A95B11">
      <w:pPr>
        <w:spacing w:line="276" w:lineRule="auto"/>
        <w:ind w:left="1440" w:right="1440"/>
        <w:jc w:val="both"/>
        <w:rPr>
          <w:rFonts w:ascii="Times New Roman" w:eastAsia="Times New Roman" w:hAnsi="Times New Roman" w:cs="Times New Roman"/>
          <w:bCs/>
          <w:sz w:val="24"/>
          <w:szCs w:val="24"/>
        </w:rPr>
      </w:pPr>
      <w:r w:rsidRPr="00D97634">
        <w:rPr>
          <w:rFonts w:ascii="Times New Roman" w:eastAsia="Times New Roman" w:hAnsi="Times New Roman" w:cs="Times New Roman"/>
          <w:bCs/>
          <w:sz w:val="24"/>
          <w:szCs w:val="24"/>
        </w:rPr>
        <w:t>[T]he term “destroyed” is, of course, the past tense of the verb “destroy” which means “to ruin completely; spoil; 2. To tear down or break up; demolish . . .</w:t>
      </w:r>
      <w:r w:rsidR="00FC6BF2" w:rsidRPr="00D97634">
        <w:rPr>
          <w:rFonts w:ascii="Times New Roman" w:eastAsia="Times New Roman" w:hAnsi="Times New Roman" w:cs="Times New Roman"/>
          <w:bCs/>
          <w:sz w:val="24"/>
          <w:szCs w:val="24"/>
        </w:rPr>
        <w:t xml:space="preserve"> </w:t>
      </w:r>
      <w:r w:rsidRPr="00D97634">
        <w:rPr>
          <w:rFonts w:ascii="Times New Roman" w:eastAsia="Times New Roman" w:hAnsi="Times New Roman" w:cs="Times New Roman"/>
          <w:bCs/>
          <w:sz w:val="24"/>
          <w:szCs w:val="24"/>
        </w:rPr>
        <w:t>.”; and</w:t>
      </w:r>
    </w:p>
    <w:p w14:paraId="05D48175" w14:textId="77777777" w:rsidR="00A95B11" w:rsidRPr="00D97634" w:rsidRDefault="00B154FA" w:rsidP="00A95B11">
      <w:pPr>
        <w:spacing w:line="276" w:lineRule="auto"/>
        <w:ind w:left="1440" w:right="1440"/>
        <w:jc w:val="both"/>
        <w:rPr>
          <w:rFonts w:ascii="Times New Roman" w:eastAsia="Times New Roman" w:hAnsi="Times New Roman" w:cs="Times New Roman"/>
          <w:bCs/>
          <w:sz w:val="24"/>
          <w:szCs w:val="24"/>
        </w:rPr>
      </w:pPr>
      <w:r w:rsidRPr="00D97634">
        <w:rPr>
          <w:rFonts w:ascii="Times New Roman" w:eastAsia="Times New Roman" w:hAnsi="Times New Roman" w:cs="Times New Roman"/>
          <w:bCs/>
          <w:sz w:val="24"/>
          <w:szCs w:val="24"/>
        </w:rPr>
        <w:t xml:space="preserve">[T]he word “dismantled” is the past tense of the verb “dismantle” which means “a. To take apart; disassemble, b. to put an end to in a gradual, systematic way, 2. To strip of furnishings or equipment. </w:t>
      </w:r>
    </w:p>
    <w:p w14:paraId="44771AC7" w14:textId="77777777" w:rsidR="00AA2558" w:rsidRPr="00D97634" w:rsidRDefault="00B154FA" w:rsidP="000871E1">
      <w:pPr>
        <w:spacing w:after="0" w:line="480" w:lineRule="auto"/>
        <w:jc w:val="both"/>
        <w:rPr>
          <w:rFonts w:ascii="Times New Roman" w:eastAsia="Times New Roman" w:hAnsi="Times New Roman" w:cs="Times New Roman"/>
          <w:bCs/>
          <w:sz w:val="24"/>
          <w:szCs w:val="24"/>
        </w:rPr>
      </w:pPr>
      <w:r w:rsidRPr="00D97634">
        <w:rPr>
          <w:rFonts w:ascii="Times New Roman" w:eastAsia="Times New Roman" w:hAnsi="Times New Roman" w:cs="Times New Roman"/>
          <w:bCs/>
          <w:iCs/>
          <w:sz w:val="24"/>
          <w:szCs w:val="24"/>
        </w:rPr>
        <w:t>(Initial Decision, at 9</w:t>
      </w:r>
      <w:r w:rsidR="000E26ED" w:rsidRPr="00D97634">
        <w:rPr>
          <w:rFonts w:ascii="Times New Roman" w:eastAsia="Times New Roman" w:hAnsi="Times New Roman" w:cs="Times New Roman"/>
          <w:bCs/>
          <w:iCs/>
          <w:sz w:val="24"/>
          <w:szCs w:val="24"/>
        </w:rPr>
        <w:t xml:space="preserve"> (emphasis added)</w:t>
      </w:r>
      <w:r w:rsidRPr="00D97634">
        <w:rPr>
          <w:rFonts w:ascii="Times New Roman" w:eastAsia="Times New Roman" w:hAnsi="Times New Roman" w:cs="Times New Roman"/>
          <w:bCs/>
          <w:iCs/>
          <w:sz w:val="24"/>
          <w:szCs w:val="24"/>
        </w:rPr>
        <w:t xml:space="preserve"> (citing </w:t>
      </w:r>
      <w:r w:rsidRPr="00D97634">
        <w:rPr>
          <w:rFonts w:ascii="Times New Roman" w:eastAsia="Times New Roman" w:hAnsi="Times New Roman" w:cs="Times New Roman"/>
          <w:bCs/>
          <w:i/>
          <w:iCs/>
          <w:sz w:val="24"/>
          <w:szCs w:val="24"/>
        </w:rPr>
        <w:t>Habersham</w:t>
      </w:r>
      <w:r w:rsidRPr="00D97634">
        <w:rPr>
          <w:rFonts w:ascii="Times New Roman" w:eastAsia="Times New Roman" w:hAnsi="Times New Roman" w:cs="Times New Roman"/>
          <w:bCs/>
          <w:iCs/>
          <w:sz w:val="24"/>
          <w:szCs w:val="24"/>
        </w:rPr>
        <w:t xml:space="preserve">, at </w:t>
      </w:r>
      <w:r w:rsidRPr="00D97634">
        <w:rPr>
          <w:rFonts w:ascii="Times New Roman" w:eastAsia="Times New Roman" w:hAnsi="Times New Roman" w:cs="Times New Roman"/>
          <w:bCs/>
          <w:sz w:val="24"/>
          <w:szCs w:val="24"/>
        </w:rPr>
        <w:t xml:space="preserve">*22).) </w:t>
      </w:r>
    </w:p>
    <w:p w14:paraId="284B23C1" w14:textId="0FE9D2C2" w:rsidR="007D2F0C" w:rsidRPr="00D97634" w:rsidRDefault="00B154FA" w:rsidP="000871E1">
      <w:pPr>
        <w:spacing w:after="0" w:line="480" w:lineRule="auto"/>
        <w:jc w:val="both"/>
        <w:rPr>
          <w:rFonts w:ascii="Times New Roman" w:eastAsia="Times New Roman" w:hAnsi="Times New Roman" w:cs="Times New Roman"/>
          <w:bCs/>
          <w:sz w:val="24"/>
          <w:szCs w:val="24"/>
        </w:rPr>
      </w:pPr>
      <w:r w:rsidRPr="00D97634">
        <w:rPr>
          <w:rFonts w:ascii="Times New Roman" w:eastAsia="Times New Roman" w:hAnsi="Times New Roman" w:cs="Times New Roman"/>
          <w:bCs/>
          <w:sz w:val="24"/>
          <w:szCs w:val="24"/>
        </w:rPr>
        <w:tab/>
      </w:r>
      <w:r w:rsidR="00AB70D5" w:rsidRPr="00D97634">
        <w:rPr>
          <w:rFonts w:ascii="Times New Roman" w:eastAsia="Times New Roman" w:hAnsi="Times New Roman" w:cs="Times New Roman"/>
          <w:bCs/>
          <w:sz w:val="24"/>
          <w:szCs w:val="24"/>
        </w:rPr>
        <w:t>When it applies this standard</w:t>
      </w:r>
      <w:r w:rsidR="00A95B11" w:rsidRPr="00D97634">
        <w:rPr>
          <w:rFonts w:ascii="Times New Roman" w:eastAsia="Times New Roman" w:hAnsi="Times New Roman" w:cs="Times New Roman"/>
          <w:bCs/>
          <w:sz w:val="24"/>
          <w:szCs w:val="24"/>
        </w:rPr>
        <w:t xml:space="preserve">, the Commission </w:t>
      </w:r>
      <w:r w:rsidR="003D23D1" w:rsidRPr="00D97634">
        <w:rPr>
          <w:rFonts w:ascii="Times New Roman" w:eastAsia="Times New Roman" w:hAnsi="Times New Roman" w:cs="Times New Roman"/>
          <w:bCs/>
          <w:sz w:val="24"/>
          <w:szCs w:val="24"/>
        </w:rPr>
        <w:t xml:space="preserve">has used </w:t>
      </w:r>
      <w:r w:rsidR="00A95B11" w:rsidRPr="00D97634">
        <w:rPr>
          <w:rFonts w:ascii="Times New Roman" w:eastAsia="Times New Roman" w:hAnsi="Times New Roman" w:cs="Times New Roman"/>
          <w:bCs/>
          <w:sz w:val="24"/>
          <w:szCs w:val="24"/>
        </w:rPr>
        <w:t xml:space="preserve">the plain meaning of “destroy” and “dismantle.” </w:t>
      </w:r>
      <w:r w:rsidR="002D4D82" w:rsidRPr="00D97634">
        <w:rPr>
          <w:rFonts w:ascii="Times New Roman" w:eastAsia="Times New Roman" w:hAnsi="Times New Roman" w:cs="Times New Roman"/>
          <w:bCs/>
          <w:sz w:val="24"/>
          <w:szCs w:val="24"/>
        </w:rPr>
        <w:t xml:space="preserve"> </w:t>
      </w:r>
      <w:r w:rsidR="00A95B11" w:rsidRPr="00D97634">
        <w:rPr>
          <w:rFonts w:ascii="Times New Roman" w:eastAsia="Times New Roman" w:hAnsi="Times New Roman" w:cs="Times New Roman"/>
          <w:bCs/>
          <w:sz w:val="24"/>
          <w:szCs w:val="24"/>
        </w:rPr>
        <w:t>The Initial Decision similarl</w:t>
      </w:r>
      <w:r w:rsidR="000E26ED" w:rsidRPr="00D97634">
        <w:rPr>
          <w:rFonts w:ascii="Times New Roman" w:eastAsia="Times New Roman" w:hAnsi="Times New Roman" w:cs="Times New Roman"/>
          <w:bCs/>
          <w:sz w:val="24"/>
          <w:szCs w:val="24"/>
        </w:rPr>
        <w:t xml:space="preserve">y applies the plain meaning of </w:t>
      </w:r>
      <w:r w:rsidR="003D23D1" w:rsidRPr="00D97634">
        <w:rPr>
          <w:rFonts w:ascii="Times New Roman" w:eastAsia="Times New Roman" w:hAnsi="Times New Roman" w:cs="Times New Roman"/>
          <w:bCs/>
          <w:sz w:val="24"/>
          <w:szCs w:val="24"/>
        </w:rPr>
        <w:t>those terms</w:t>
      </w:r>
      <w:r w:rsidR="000E26ED" w:rsidRPr="00D97634">
        <w:rPr>
          <w:rFonts w:ascii="Times New Roman" w:eastAsia="Times New Roman" w:hAnsi="Times New Roman" w:cs="Times New Roman"/>
          <w:bCs/>
          <w:sz w:val="24"/>
          <w:szCs w:val="24"/>
        </w:rPr>
        <w:t>:</w:t>
      </w:r>
      <w:r w:rsidR="00A95B11" w:rsidRPr="00D97634">
        <w:rPr>
          <w:rFonts w:ascii="Times New Roman" w:eastAsia="Times New Roman" w:hAnsi="Times New Roman" w:cs="Times New Roman"/>
          <w:bCs/>
          <w:sz w:val="24"/>
          <w:szCs w:val="24"/>
        </w:rPr>
        <w:t xml:space="preserve"> “</w:t>
      </w:r>
      <w:r w:rsidR="00A95B11" w:rsidRPr="00D97634">
        <w:rPr>
          <w:rFonts w:ascii="Times New Roman" w:eastAsia="Times New Roman" w:hAnsi="Times New Roman" w:cs="Times New Roman"/>
          <w:sz w:val="24"/>
          <w:szCs w:val="24"/>
        </w:rPr>
        <w:t xml:space="preserve">The Hearing Officer finds Walton and </w:t>
      </w:r>
      <w:r w:rsidR="00EC24F8" w:rsidRPr="00D97634">
        <w:rPr>
          <w:rFonts w:ascii="Times New Roman" w:eastAsia="Times New Roman" w:hAnsi="Times New Roman" w:cs="Times New Roman"/>
          <w:sz w:val="24"/>
          <w:szCs w:val="24"/>
        </w:rPr>
        <w:t>[</w:t>
      </w:r>
      <w:r w:rsidR="00EC24F8" w:rsidRPr="00D97634">
        <w:rPr>
          <w:rFonts w:ascii="Times New Roman" w:eastAsia="Times New Roman" w:hAnsi="Times New Roman" w:cs="Times New Roman"/>
          <w:snapToGrid w:val="0"/>
          <w:sz w:val="24"/>
          <w:szCs w:val="24"/>
        </w:rPr>
        <w:t>Nestlé</w:t>
      </w:r>
      <w:r w:rsidR="00EC24F8" w:rsidRPr="00D97634">
        <w:rPr>
          <w:rFonts w:ascii="Times New Roman" w:eastAsia="Times New Roman" w:hAnsi="Times New Roman" w:cs="Times New Roman"/>
          <w:sz w:val="24"/>
          <w:szCs w:val="24"/>
        </w:rPr>
        <w:t xml:space="preserve"> Purina’s] </w:t>
      </w:r>
      <w:r w:rsidR="00A95B11" w:rsidRPr="00D97634">
        <w:rPr>
          <w:rFonts w:ascii="Times New Roman" w:eastAsia="Times New Roman" w:hAnsi="Times New Roman" w:cs="Times New Roman"/>
          <w:sz w:val="24"/>
          <w:szCs w:val="24"/>
        </w:rPr>
        <w:t xml:space="preserve">argument compelling. The </w:t>
      </w:r>
      <w:r w:rsidR="00A95B11" w:rsidRPr="00D97634">
        <w:rPr>
          <w:rFonts w:ascii="Times New Roman" w:hAnsi="Times New Roman" w:cs="Times New Roman"/>
          <w:sz w:val="24"/>
          <w:szCs w:val="24"/>
        </w:rPr>
        <w:t xml:space="preserve">Commission’s </w:t>
      </w:r>
      <w:r w:rsidR="00A95B11" w:rsidRPr="00D97634">
        <w:rPr>
          <w:rFonts w:ascii="Times New Roman" w:hAnsi="Times New Roman" w:cs="Times New Roman"/>
          <w:sz w:val="24"/>
          <w:szCs w:val="24"/>
        </w:rPr>
        <w:lastRenderedPageBreak/>
        <w:t xml:space="preserve">previous rulings and the facts of this case clearly point to a conclusion that the Premises have been destroyed or </w:t>
      </w:r>
      <w:r w:rsidR="00757009" w:rsidRPr="00D97634">
        <w:rPr>
          <w:rFonts w:ascii="Times New Roman" w:hAnsi="Times New Roman" w:cs="Times New Roman"/>
          <w:sz w:val="24"/>
          <w:szCs w:val="24"/>
        </w:rPr>
        <w:t>dismantled</w:t>
      </w:r>
      <w:r w:rsidR="00A95B11" w:rsidRPr="00D97634">
        <w:rPr>
          <w:rFonts w:ascii="Times New Roman" w:hAnsi="Times New Roman" w:cs="Times New Roman"/>
          <w:sz w:val="24"/>
          <w:szCs w:val="24"/>
        </w:rPr>
        <w:t>.” (Initial Decision, at 10.)</w:t>
      </w:r>
    </w:p>
    <w:p w14:paraId="65A76652" w14:textId="77777777" w:rsidR="007D2F0C" w:rsidRPr="00D97634" w:rsidRDefault="00B154FA" w:rsidP="001665FD">
      <w:pPr>
        <w:pStyle w:val="ListParagraph"/>
        <w:keepNext/>
        <w:numPr>
          <w:ilvl w:val="1"/>
          <w:numId w:val="1"/>
        </w:numPr>
        <w:rPr>
          <w:rFonts w:ascii="Times New Roman" w:eastAsia="Times New Roman" w:hAnsi="Times New Roman" w:cs="Times New Roman"/>
          <w:sz w:val="24"/>
          <w:szCs w:val="24"/>
        </w:rPr>
      </w:pPr>
      <w:r w:rsidRPr="00D97634">
        <w:rPr>
          <w:rFonts w:ascii="Times New Roman" w:eastAsia="Times New Roman" w:hAnsi="Times New Roman" w:cs="Times New Roman"/>
          <w:b/>
          <w:i/>
          <w:sz w:val="24"/>
          <w:szCs w:val="24"/>
        </w:rPr>
        <w:t xml:space="preserve">The </w:t>
      </w:r>
      <w:r w:rsidR="00DA3902" w:rsidRPr="00D97634">
        <w:rPr>
          <w:rFonts w:ascii="Times New Roman" w:eastAsia="Times New Roman" w:hAnsi="Times New Roman" w:cs="Times New Roman"/>
          <w:b/>
          <w:i/>
          <w:sz w:val="24"/>
          <w:szCs w:val="24"/>
        </w:rPr>
        <w:t>Initial Decision</w:t>
      </w:r>
      <w:r w:rsidRPr="00D97634">
        <w:rPr>
          <w:rFonts w:ascii="Times New Roman" w:eastAsia="Times New Roman" w:hAnsi="Times New Roman" w:cs="Times New Roman"/>
          <w:b/>
          <w:i/>
          <w:sz w:val="24"/>
          <w:szCs w:val="24"/>
        </w:rPr>
        <w:t xml:space="preserve"> Correctly </w:t>
      </w:r>
      <w:r w:rsidR="00EC3ED3" w:rsidRPr="00D97634">
        <w:rPr>
          <w:rFonts w:ascii="Times New Roman" w:eastAsia="Times New Roman" w:hAnsi="Times New Roman" w:cs="Times New Roman"/>
          <w:b/>
          <w:i/>
          <w:sz w:val="24"/>
          <w:szCs w:val="24"/>
        </w:rPr>
        <w:t xml:space="preserve">Finds </w:t>
      </w:r>
      <w:r w:rsidRPr="00D97634">
        <w:rPr>
          <w:rFonts w:ascii="Times New Roman" w:eastAsia="Times New Roman" w:hAnsi="Times New Roman" w:cs="Times New Roman"/>
          <w:b/>
          <w:i/>
          <w:sz w:val="24"/>
          <w:szCs w:val="24"/>
        </w:rPr>
        <w:t>the</w:t>
      </w:r>
      <w:r w:rsidR="00EC3ED3" w:rsidRPr="00D97634">
        <w:rPr>
          <w:rFonts w:ascii="Times New Roman" w:eastAsia="Times New Roman" w:hAnsi="Times New Roman" w:cs="Times New Roman"/>
          <w:b/>
          <w:i/>
          <w:sz w:val="24"/>
          <w:szCs w:val="24"/>
        </w:rPr>
        <w:t xml:space="preserve"> Hartwell Pet Food Facility was </w:t>
      </w:r>
      <w:r w:rsidRPr="00D97634">
        <w:rPr>
          <w:rFonts w:ascii="Times New Roman" w:eastAsia="Times New Roman" w:hAnsi="Times New Roman" w:cs="Times New Roman"/>
          <w:b/>
          <w:i/>
          <w:sz w:val="24"/>
          <w:szCs w:val="24"/>
        </w:rPr>
        <w:t xml:space="preserve">Reconstructed </w:t>
      </w:r>
      <w:r w:rsidR="00EC3ED3" w:rsidRPr="00D97634">
        <w:rPr>
          <w:rFonts w:ascii="Times New Roman" w:eastAsia="Times New Roman" w:hAnsi="Times New Roman" w:cs="Times New Roman"/>
          <w:b/>
          <w:i/>
          <w:sz w:val="24"/>
          <w:szCs w:val="24"/>
        </w:rPr>
        <w:t xml:space="preserve">Not </w:t>
      </w:r>
      <w:r w:rsidRPr="00D97634">
        <w:rPr>
          <w:rFonts w:ascii="Times New Roman" w:eastAsia="Times New Roman" w:hAnsi="Times New Roman" w:cs="Times New Roman"/>
          <w:b/>
          <w:i/>
          <w:sz w:val="24"/>
          <w:szCs w:val="24"/>
        </w:rPr>
        <w:t xml:space="preserve">in Substantial Kind to the </w:t>
      </w:r>
      <w:r w:rsidR="00EC3ED3" w:rsidRPr="00D97634">
        <w:rPr>
          <w:rFonts w:ascii="Times New Roman" w:eastAsia="Times New Roman" w:hAnsi="Times New Roman" w:cs="Times New Roman"/>
          <w:b/>
          <w:i/>
          <w:sz w:val="24"/>
          <w:szCs w:val="24"/>
        </w:rPr>
        <w:t xml:space="preserve">Old </w:t>
      </w:r>
      <w:r w:rsidRPr="00D97634">
        <w:rPr>
          <w:rFonts w:ascii="Times New Roman" w:eastAsia="Times New Roman" w:hAnsi="Times New Roman" w:cs="Times New Roman"/>
          <w:b/>
          <w:i/>
          <w:sz w:val="24"/>
          <w:szCs w:val="24"/>
        </w:rPr>
        <w:t>Premises.</w:t>
      </w:r>
    </w:p>
    <w:p w14:paraId="620D555E" w14:textId="0DDD74AF" w:rsidR="008044A6" w:rsidRPr="00D97634" w:rsidRDefault="00B154FA" w:rsidP="00BB4ED5">
      <w:pPr>
        <w:spacing w:after="0" w:line="480" w:lineRule="auto"/>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ab/>
        <w:t xml:space="preserve">Georgia Power </w:t>
      </w:r>
      <w:r w:rsidR="003D23D1" w:rsidRPr="00D97634">
        <w:rPr>
          <w:rFonts w:ascii="Times New Roman" w:eastAsia="Times New Roman" w:hAnsi="Times New Roman" w:cs="Times New Roman"/>
          <w:sz w:val="24"/>
          <w:szCs w:val="24"/>
        </w:rPr>
        <w:t>attempts to argue</w:t>
      </w:r>
      <w:r w:rsidRPr="00D97634">
        <w:rPr>
          <w:rFonts w:ascii="Times New Roman" w:eastAsia="Times New Roman" w:hAnsi="Times New Roman" w:cs="Times New Roman"/>
          <w:sz w:val="24"/>
          <w:szCs w:val="24"/>
        </w:rPr>
        <w:t xml:space="preserve"> </w:t>
      </w:r>
      <w:r w:rsidR="003D23D1" w:rsidRPr="00D97634">
        <w:rPr>
          <w:rFonts w:ascii="Times New Roman" w:eastAsia="Times New Roman" w:hAnsi="Times New Roman" w:cs="Times New Roman"/>
          <w:sz w:val="24"/>
          <w:szCs w:val="24"/>
        </w:rPr>
        <w:t xml:space="preserve">that </w:t>
      </w:r>
      <w:r w:rsidRPr="00D97634">
        <w:rPr>
          <w:rFonts w:ascii="Times New Roman" w:eastAsia="Times New Roman" w:hAnsi="Times New Roman" w:cs="Times New Roman"/>
          <w:sz w:val="24"/>
          <w:szCs w:val="24"/>
        </w:rPr>
        <w:t xml:space="preserve">the Hearing Officer wrongly concluded the Hartwell Pet Food Facility </w:t>
      </w:r>
      <w:r w:rsidR="0046230C" w:rsidRPr="00D97634">
        <w:rPr>
          <w:rFonts w:ascii="Times New Roman" w:eastAsia="Times New Roman" w:hAnsi="Times New Roman" w:cs="Times New Roman"/>
          <w:sz w:val="24"/>
          <w:szCs w:val="24"/>
        </w:rPr>
        <w:t>was not reconstructed</w:t>
      </w:r>
      <w:r w:rsidRPr="00D97634">
        <w:rPr>
          <w:rFonts w:ascii="Times New Roman" w:eastAsia="Times New Roman" w:hAnsi="Times New Roman" w:cs="Times New Roman"/>
          <w:sz w:val="24"/>
          <w:szCs w:val="24"/>
        </w:rPr>
        <w:t xml:space="preserve"> “in substantial kind” to the old </w:t>
      </w:r>
      <w:r w:rsidR="00790948" w:rsidRPr="00D97634">
        <w:rPr>
          <w:rFonts w:ascii="Times New Roman" w:eastAsia="Times New Roman" w:hAnsi="Times New Roman" w:cs="Times New Roman"/>
          <w:sz w:val="24"/>
          <w:szCs w:val="24"/>
        </w:rPr>
        <w:t>P</w:t>
      </w:r>
      <w:r w:rsidRPr="00D97634">
        <w:rPr>
          <w:rFonts w:ascii="Times New Roman" w:eastAsia="Times New Roman" w:hAnsi="Times New Roman" w:cs="Times New Roman"/>
          <w:sz w:val="24"/>
          <w:szCs w:val="24"/>
        </w:rPr>
        <w:t xml:space="preserve">remises.  In doing so, Georgia Power states “the undisputed evidence showed that the existing building is now and always has been classified for building code purposes as manufacturing and storage (warehouse).”  </w:t>
      </w:r>
      <w:r w:rsidR="007B5F0B" w:rsidRPr="00D97634">
        <w:rPr>
          <w:rFonts w:ascii="Times New Roman" w:eastAsia="Times New Roman" w:hAnsi="Times New Roman" w:cs="Times New Roman"/>
          <w:sz w:val="24"/>
          <w:szCs w:val="24"/>
        </w:rPr>
        <w:t xml:space="preserve">(GPC Application, at 17.)  </w:t>
      </w:r>
      <w:r w:rsidRPr="00D97634">
        <w:rPr>
          <w:rFonts w:ascii="Times New Roman" w:eastAsia="Times New Roman" w:hAnsi="Times New Roman" w:cs="Times New Roman"/>
          <w:sz w:val="24"/>
          <w:szCs w:val="24"/>
        </w:rPr>
        <w:t>Georgia Power does not</w:t>
      </w:r>
      <w:r w:rsidR="002E1256" w:rsidRPr="00D97634">
        <w:rPr>
          <w:rFonts w:ascii="Times New Roman" w:eastAsia="Times New Roman" w:hAnsi="Times New Roman" w:cs="Times New Roman"/>
          <w:sz w:val="24"/>
          <w:szCs w:val="24"/>
        </w:rPr>
        <w:t>, however,</w:t>
      </w:r>
      <w:r w:rsidRPr="00D97634">
        <w:rPr>
          <w:rFonts w:ascii="Times New Roman" w:eastAsia="Times New Roman" w:hAnsi="Times New Roman" w:cs="Times New Roman"/>
          <w:sz w:val="24"/>
          <w:szCs w:val="24"/>
        </w:rPr>
        <w:t xml:space="preserve"> cite to any record evidence in support</w:t>
      </w:r>
      <w:r w:rsidR="003D23D1" w:rsidRPr="00D97634">
        <w:rPr>
          <w:rFonts w:ascii="Times New Roman" w:eastAsia="Times New Roman" w:hAnsi="Times New Roman" w:cs="Times New Roman"/>
          <w:sz w:val="24"/>
          <w:szCs w:val="24"/>
        </w:rPr>
        <w:t xml:space="preserve"> of this contention</w:t>
      </w:r>
      <w:r w:rsidR="009260F6" w:rsidRPr="00D97634">
        <w:rPr>
          <w:rFonts w:ascii="Times New Roman" w:eastAsia="Times New Roman" w:hAnsi="Times New Roman" w:cs="Times New Roman"/>
          <w:sz w:val="24"/>
          <w:szCs w:val="24"/>
        </w:rPr>
        <w:t>,</w:t>
      </w:r>
      <w:r w:rsidR="0046230C" w:rsidRPr="00D97634">
        <w:rPr>
          <w:rFonts w:ascii="Times New Roman" w:eastAsia="Times New Roman" w:hAnsi="Times New Roman" w:cs="Times New Roman"/>
          <w:sz w:val="24"/>
          <w:szCs w:val="24"/>
        </w:rPr>
        <w:t xml:space="preserve"> nor does it</w:t>
      </w:r>
      <w:r w:rsidRPr="00D97634">
        <w:rPr>
          <w:rFonts w:ascii="Times New Roman" w:eastAsia="Times New Roman" w:hAnsi="Times New Roman" w:cs="Times New Roman"/>
          <w:sz w:val="24"/>
          <w:szCs w:val="24"/>
        </w:rPr>
        <w:t xml:space="preserve"> cite to any Commission decision finding </w:t>
      </w:r>
      <w:r w:rsidR="003D23D1" w:rsidRPr="00D97634">
        <w:rPr>
          <w:rFonts w:ascii="Times New Roman" w:eastAsia="Times New Roman" w:hAnsi="Times New Roman" w:cs="Times New Roman"/>
          <w:sz w:val="24"/>
          <w:szCs w:val="24"/>
        </w:rPr>
        <w:t xml:space="preserve">the </w:t>
      </w:r>
      <w:r w:rsidR="00B74281" w:rsidRPr="00D97634">
        <w:rPr>
          <w:rFonts w:ascii="Times New Roman" w:eastAsia="Times New Roman" w:hAnsi="Times New Roman" w:cs="Times New Roman"/>
          <w:sz w:val="24"/>
          <w:szCs w:val="24"/>
        </w:rPr>
        <w:t xml:space="preserve">“building code” </w:t>
      </w:r>
      <w:r w:rsidR="003D23D1" w:rsidRPr="00D97634">
        <w:rPr>
          <w:rFonts w:ascii="Times New Roman" w:eastAsia="Times New Roman" w:hAnsi="Times New Roman" w:cs="Times New Roman"/>
          <w:sz w:val="24"/>
          <w:szCs w:val="24"/>
        </w:rPr>
        <w:t xml:space="preserve">designation </w:t>
      </w:r>
      <w:r w:rsidR="00B74281" w:rsidRPr="00D97634">
        <w:rPr>
          <w:rFonts w:ascii="Times New Roman" w:eastAsia="Times New Roman" w:hAnsi="Times New Roman" w:cs="Times New Roman"/>
          <w:sz w:val="24"/>
          <w:szCs w:val="24"/>
        </w:rPr>
        <w:t xml:space="preserve">as dispositive </w:t>
      </w:r>
      <w:r w:rsidR="003D23D1" w:rsidRPr="00D97634">
        <w:rPr>
          <w:rFonts w:ascii="Times New Roman" w:eastAsia="Times New Roman" w:hAnsi="Times New Roman" w:cs="Times New Roman"/>
          <w:sz w:val="24"/>
          <w:szCs w:val="24"/>
        </w:rPr>
        <w:t xml:space="preserve">(or even relevant) </w:t>
      </w:r>
      <w:r w:rsidR="00B74281" w:rsidRPr="00D97634">
        <w:rPr>
          <w:rFonts w:ascii="Times New Roman" w:eastAsia="Times New Roman" w:hAnsi="Times New Roman" w:cs="Times New Roman"/>
          <w:sz w:val="24"/>
          <w:szCs w:val="24"/>
        </w:rPr>
        <w:t xml:space="preserve">to whether a new premises is </w:t>
      </w:r>
      <w:r w:rsidR="0046230C" w:rsidRPr="00D97634">
        <w:rPr>
          <w:rFonts w:ascii="Times New Roman" w:eastAsia="Times New Roman" w:hAnsi="Times New Roman" w:cs="Times New Roman"/>
          <w:sz w:val="24"/>
          <w:szCs w:val="24"/>
        </w:rPr>
        <w:t xml:space="preserve">reconstructed </w:t>
      </w:r>
      <w:r w:rsidR="00B74281" w:rsidRPr="00D97634">
        <w:rPr>
          <w:rFonts w:ascii="Times New Roman" w:eastAsia="Times New Roman" w:hAnsi="Times New Roman" w:cs="Times New Roman"/>
          <w:sz w:val="24"/>
          <w:szCs w:val="24"/>
        </w:rPr>
        <w:t xml:space="preserve">“in substantial kind” </w:t>
      </w:r>
      <w:r w:rsidR="003D23D1" w:rsidRPr="00D97634">
        <w:rPr>
          <w:rFonts w:ascii="Times New Roman" w:eastAsia="Times New Roman" w:hAnsi="Times New Roman" w:cs="Times New Roman"/>
          <w:sz w:val="24"/>
          <w:szCs w:val="24"/>
        </w:rPr>
        <w:t>to</w:t>
      </w:r>
      <w:r w:rsidR="00B74281" w:rsidRPr="00D97634">
        <w:rPr>
          <w:rFonts w:ascii="Times New Roman" w:eastAsia="Times New Roman" w:hAnsi="Times New Roman" w:cs="Times New Roman"/>
          <w:sz w:val="24"/>
          <w:szCs w:val="24"/>
        </w:rPr>
        <w:t xml:space="preserve"> the old premises.  The </w:t>
      </w:r>
      <w:r w:rsidR="003D23D1" w:rsidRPr="00D97634">
        <w:rPr>
          <w:rFonts w:ascii="Times New Roman" w:eastAsia="Times New Roman" w:hAnsi="Times New Roman" w:cs="Times New Roman"/>
          <w:sz w:val="24"/>
          <w:szCs w:val="24"/>
        </w:rPr>
        <w:t>Initial Decision</w:t>
      </w:r>
      <w:r w:rsidR="00B74281" w:rsidRPr="00D97634">
        <w:rPr>
          <w:rFonts w:ascii="Times New Roman" w:eastAsia="Times New Roman" w:hAnsi="Times New Roman" w:cs="Times New Roman"/>
          <w:sz w:val="24"/>
          <w:szCs w:val="24"/>
        </w:rPr>
        <w:t xml:space="preserve"> properly analyze</w:t>
      </w:r>
      <w:r w:rsidR="003D23D1" w:rsidRPr="00D97634">
        <w:rPr>
          <w:rFonts w:ascii="Times New Roman" w:eastAsia="Times New Roman" w:hAnsi="Times New Roman" w:cs="Times New Roman"/>
          <w:sz w:val="24"/>
          <w:szCs w:val="24"/>
        </w:rPr>
        <w:t>s</w:t>
      </w:r>
      <w:r w:rsidR="00B74281" w:rsidRPr="00D97634">
        <w:rPr>
          <w:rFonts w:ascii="Times New Roman" w:eastAsia="Times New Roman" w:hAnsi="Times New Roman" w:cs="Times New Roman"/>
          <w:sz w:val="24"/>
          <w:szCs w:val="24"/>
        </w:rPr>
        <w:t xml:space="preserve"> Commission precedent</w:t>
      </w:r>
      <w:r w:rsidR="009260F6" w:rsidRPr="00D97634">
        <w:rPr>
          <w:rFonts w:ascii="Times New Roman" w:eastAsia="Times New Roman" w:hAnsi="Times New Roman" w:cs="Times New Roman"/>
          <w:sz w:val="24"/>
          <w:szCs w:val="24"/>
        </w:rPr>
        <w:t>,</w:t>
      </w:r>
      <w:r w:rsidR="00B74281" w:rsidRPr="00D97634">
        <w:rPr>
          <w:rFonts w:ascii="Times New Roman" w:eastAsia="Times New Roman" w:hAnsi="Times New Roman" w:cs="Times New Roman"/>
          <w:sz w:val="24"/>
          <w:szCs w:val="24"/>
        </w:rPr>
        <w:t xml:space="preserve"> </w:t>
      </w:r>
      <w:r w:rsidR="003D23D1" w:rsidRPr="00D97634">
        <w:rPr>
          <w:rFonts w:ascii="Times New Roman" w:eastAsia="Times New Roman" w:hAnsi="Times New Roman" w:cs="Times New Roman"/>
          <w:sz w:val="24"/>
          <w:szCs w:val="24"/>
        </w:rPr>
        <w:t xml:space="preserve">which </w:t>
      </w:r>
      <w:r w:rsidR="00B74281" w:rsidRPr="00D97634">
        <w:rPr>
          <w:rFonts w:ascii="Times New Roman" w:eastAsia="Times New Roman" w:hAnsi="Times New Roman" w:cs="Times New Roman"/>
          <w:sz w:val="24"/>
          <w:szCs w:val="24"/>
        </w:rPr>
        <w:t>establish</w:t>
      </w:r>
      <w:r w:rsidR="003D23D1" w:rsidRPr="00D97634">
        <w:rPr>
          <w:rFonts w:ascii="Times New Roman" w:eastAsia="Times New Roman" w:hAnsi="Times New Roman" w:cs="Times New Roman"/>
          <w:sz w:val="24"/>
          <w:szCs w:val="24"/>
        </w:rPr>
        <w:t>es</w:t>
      </w:r>
      <w:r w:rsidR="00B74281" w:rsidRPr="00D97634">
        <w:rPr>
          <w:rFonts w:ascii="Times New Roman" w:eastAsia="Times New Roman" w:hAnsi="Times New Roman" w:cs="Times New Roman"/>
          <w:sz w:val="24"/>
          <w:szCs w:val="24"/>
        </w:rPr>
        <w:t xml:space="preserve"> that the term </w:t>
      </w:r>
      <w:r w:rsidR="00A03B93" w:rsidRPr="00D97634">
        <w:rPr>
          <w:rFonts w:ascii="Times New Roman" w:eastAsia="Times New Roman" w:hAnsi="Times New Roman" w:cs="Times New Roman"/>
          <w:sz w:val="24"/>
          <w:szCs w:val="24"/>
        </w:rPr>
        <w:t xml:space="preserve">reconstructed </w:t>
      </w:r>
      <w:r w:rsidR="00B74281" w:rsidRPr="00D97634">
        <w:rPr>
          <w:rFonts w:ascii="Times New Roman" w:eastAsia="Times New Roman" w:hAnsi="Times New Roman" w:cs="Times New Roman"/>
          <w:sz w:val="24"/>
          <w:szCs w:val="24"/>
        </w:rPr>
        <w:t xml:space="preserve">“in substantial kind” means a facility is largely, but not wholly, of the same fundamental nature or quality as the previous facility. (Initial Decision, at 11.)  Furthermore, </w:t>
      </w:r>
      <w:r w:rsidR="00790948" w:rsidRPr="00D97634">
        <w:rPr>
          <w:rFonts w:ascii="Times New Roman" w:eastAsia="Times New Roman" w:hAnsi="Times New Roman" w:cs="Times New Roman"/>
          <w:sz w:val="24"/>
          <w:szCs w:val="24"/>
        </w:rPr>
        <w:t>the Initial Decision explains</w:t>
      </w:r>
      <w:r w:rsidR="00FD33F0" w:rsidRPr="00D97634">
        <w:rPr>
          <w:rFonts w:ascii="Times New Roman" w:eastAsia="Times New Roman" w:hAnsi="Times New Roman" w:cs="Times New Roman"/>
          <w:sz w:val="24"/>
          <w:szCs w:val="24"/>
        </w:rPr>
        <w:t xml:space="preserve"> </w:t>
      </w:r>
      <w:r w:rsidR="005F0322" w:rsidRPr="00D97634">
        <w:rPr>
          <w:rFonts w:ascii="Times New Roman" w:eastAsia="Times New Roman" w:hAnsi="Times New Roman" w:cs="Times New Roman"/>
          <w:sz w:val="24"/>
          <w:szCs w:val="24"/>
        </w:rPr>
        <w:t>“it</w:t>
      </w:r>
      <w:r w:rsidR="00B74281" w:rsidRPr="00D97634">
        <w:rPr>
          <w:rFonts w:ascii="Times New Roman" w:eastAsia="Times New Roman" w:hAnsi="Times New Roman" w:cs="Times New Roman"/>
          <w:sz w:val="24"/>
          <w:szCs w:val="24"/>
        </w:rPr>
        <w:t xml:space="preserve"> is not simply of measure of physical structure but includes ‘change</w:t>
      </w:r>
      <w:r w:rsidR="005F0322" w:rsidRPr="00D97634">
        <w:rPr>
          <w:rFonts w:ascii="Times New Roman" w:eastAsia="Times New Roman" w:hAnsi="Times New Roman" w:cs="Times New Roman"/>
          <w:sz w:val="24"/>
          <w:szCs w:val="24"/>
        </w:rPr>
        <w:t>[]</w:t>
      </w:r>
      <w:r w:rsidR="00B74281" w:rsidRPr="00D97634">
        <w:rPr>
          <w:rFonts w:ascii="Times New Roman" w:eastAsia="Times New Roman" w:hAnsi="Times New Roman" w:cs="Times New Roman"/>
          <w:sz w:val="24"/>
          <w:szCs w:val="24"/>
        </w:rPr>
        <w:t xml:space="preserve"> or that the use of such Disputed Premises change, but the size, configuration, appearance, and value of such Disputed Premises has changed substantially in quality and nature.’” (Initial Decision, at 11 (citing </w:t>
      </w:r>
      <w:r w:rsidR="00B74281" w:rsidRPr="00D97634">
        <w:rPr>
          <w:rFonts w:ascii="Times New Roman" w:eastAsia="Times New Roman" w:hAnsi="Times New Roman" w:cs="Times New Roman"/>
          <w:i/>
          <w:sz w:val="24"/>
          <w:szCs w:val="24"/>
        </w:rPr>
        <w:t>MBLW</w:t>
      </w:r>
      <w:r w:rsidR="00B74281" w:rsidRPr="00D97634">
        <w:rPr>
          <w:rFonts w:ascii="Times New Roman" w:eastAsia="Times New Roman" w:hAnsi="Times New Roman" w:cs="Times New Roman"/>
          <w:sz w:val="24"/>
          <w:szCs w:val="24"/>
        </w:rPr>
        <w:t>, at 9)</w:t>
      </w:r>
      <w:r w:rsidR="00F31E16" w:rsidRPr="00D97634">
        <w:rPr>
          <w:rFonts w:ascii="Times New Roman" w:eastAsia="Times New Roman" w:hAnsi="Times New Roman" w:cs="Times New Roman"/>
          <w:sz w:val="24"/>
          <w:szCs w:val="24"/>
        </w:rPr>
        <w:t>.)</w:t>
      </w:r>
      <w:r w:rsidR="005F0322" w:rsidRPr="00D97634">
        <w:rPr>
          <w:rFonts w:ascii="Times New Roman" w:eastAsia="Times New Roman" w:hAnsi="Times New Roman" w:cs="Times New Roman"/>
          <w:sz w:val="24"/>
          <w:szCs w:val="24"/>
        </w:rPr>
        <w:t xml:space="preserve"> </w:t>
      </w:r>
      <w:r w:rsidR="0011304A" w:rsidRPr="00D97634">
        <w:rPr>
          <w:rFonts w:ascii="Times New Roman" w:eastAsia="Times New Roman" w:hAnsi="Times New Roman" w:cs="Times New Roman"/>
          <w:sz w:val="24"/>
          <w:szCs w:val="24"/>
        </w:rPr>
        <w:t xml:space="preserve">The </w:t>
      </w:r>
      <w:r w:rsidR="00A03B93" w:rsidRPr="00D97634">
        <w:rPr>
          <w:rFonts w:ascii="Times New Roman" w:eastAsia="Times New Roman" w:hAnsi="Times New Roman" w:cs="Times New Roman"/>
          <w:sz w:val="24"/>
          <w:szCs w:val="24"/>
        </w:rPr>
        <w:t>Initial Decision</w:t>
      </w:r>
      <w:r w:rsidR="0011304A" w:rsidRPr="00D97634">
        <w:rPr>
          <w:rFonts w:ascii="Times New Roman" w:eastAsia="Times New Roman" w:hAnsi="Times New Roman" w:cs="Times New Roman"/>
          <w:sz w:val="24"/>
          <w:szCs w:val="24"/>
        </w:rPr>
        <w:t xml:space="preserve"> correctly applie</w:t>
      </w:r>
      <w:r w:rsidR="00A03B93" w:rsidRPr="00D97634">
        <w:rPr>
          <w:rFonts w:ascii="Times New Roman" w:eastAsia="Times New Roman" w:hAnsi="Times New Roman" w:cs="Times New Roman"/>
          <w:sz w:val="24"/>
          <w:szCs w:val="24"/>
        </w:rPr>
        <w:t>s this</w:t>
      </w:r>
      <w:r w:rsidR="0011304A" w:rsidRPr="00D97634">
        <w:rPr>
          <w:rFonts w:ascii="Times New Roman" w:eastAsia="Times New Roman" w:hAnsi="Times New Roman" w:cs="Times New Roman"/>
          <w:sz w:val="24"/>
          <w:szCs w:val="24"/>
        </w:rPr>
        <w:t xml:space="preserve"> </w:t>
      </w:r>
      <w:r w:rsidR="00C754DC" w:rsidRPr="00D97634">
        <w:rPr>
          <w:rFonts w:ascii="Times New Roman" w:eastAsia="Times New Roman" w:hAnsi="Times New Roman" w:cs="Times New Roman"/>
          <w:sz w:val="24"/>
          <w:szCs w:val="24"/>
        </w:rPr>
        <w:t>standard to the record evidence</w:t>
      </w:r>
      <w:r w:rsidR="00A03B93" w:rsidRPr="00D97634">
        <w:rPr>
          <w:rFonts w:ascii="Times New Roman" w:eastAsia="Times New Roman" w:hAnsi="Times New Roman" w:cs="Times New Roman"/>
          <w:sz w:val="24"/>
          <w:szCs w:val="24"/>
        </w:rPr>
        <w:t>.</w:t>
      </w:r>
      <w:r w:rsidR="00C754DC" w:rsidRPr="00D97634">
        <w:rPr>
          <w:rFonts w:ascii="Times New Roman" w:eastAsia="Times New Roman" w:hAnsi="Times New Roman" w:cs="Times New Roman"/>
          <w:sz w:val="24"/>
          <w:szCs w:val="24"/>
        </w:rPr>
        <w:t xml:space="preserve"> </w:t>
      </w:r>
    </w:p>
    <w:p w14:paraId="3490E179" w14:textId="77777777" w:rsidR="00B06BE8" w:rsidRPr="00D97634" w:rsidRDefault="00B154FA" w:rsidP="00AA2558">
      <w:pPr>
        <w:pStyle w:val="ListParagraph"/>
        <w:keepNext/>
        <w:numPr>
          <w:ilvl w:val="0"/>
          <w:numId w:val="1"/>
        </w:numPr>
        <w:rPr>
          <w:rFonts w:ascii="Times New Roman" w:hAnsi="Times New Roman" w:cs="Times New Roman"/>
          <w:sz w:val="24"/>
          <w:szCs w:val="24"/>
          <w:u w:val="single"/>
        </w:rPr>
      </w:pPr>
      <w:r w:rsidRPr="00D97634">
        <w:rPr>
          <w:rFonts w:ascii="Times New Roman" w:hAnsi="Times New Roman" w:cs="Times New Roman"/>
          <w:b/>
          <w:sz w:val="24"/>
          <w:szCs w:val="24"/>
          <w:u w:val="single"/>
        </w:rPr>
        <w:t>T</w:t>
      </w:r>
      <w:r w:rsidR="00CA5509" w:rsidRPr="00D97634">
        <w:rPr>
          <w:rFonts w:ascii="Times New Roman" w:hAnsi="Times New Roman" w:cs="Times New Roman"/>
          <w:b/>
          <w:sz w:val="24"/>
          <w:szCs w:val="24"/>
          <w:u w:val="single"/>
        </w:rPr>
        <w:t xml:space="preserve">he Facts </w:t>
      </w:r>
      <w:r w:rsidR="00B32D74" w:rsidRPr="00D97634">
        <w:rPr>
          <w:rFonts w:ascii="Times New Roman" w:hAnsi="Times New Roman" w:cs="Times New Roman"/>
          <w:b/>
          <w:sz w:val="24"/>
          <w:szCs w:val="24"/>
          <w:u w:val="single"/>
        </w:rPr>
        <w:t>Relied Upon by the Hearing Officer in the</w:t>
      </w:r>
      <w:r w:rsidR="00CA5509" w:rsidRPr="00D97634">
        <w:rPr>
          <w:rFonts w:ascii="Times New Roman" w:hAnsi="Times New Roman" w:cs="Times New Roman"/>
          <w:b/>
          <w:sz w:val="24"/>
          <w:szCs w:val="24"/>
          <w:u w:val="single"/>
        </w:rPr>
        <w:t xml:space="preserve"> Initial Decision </w:t>
      </w:r>
      <w:r w:rsidR="00C468EC" w:rsidRPr="00D97634">
        <w:rPr>
          <w:rFonts w:ascii="Times New Roman" w:hAnsi="Times New Roman" w:cs="Times New Roman"/>
          <w:b/>
          <w:sz w:val="24"/>
          <w:szCs w:val="24"/>
          <w:u w:val="single"/>
        </w:rPr>
        <w:t>a</w:t>
      </w:r>
      <w:r w:rsidRPr="00D97634">
        <w:rPr>
          <w:rFonts w:ascii="Times New Roman" w:hAnsi="Times New Roman" w:cs="Times New Roman"/>
          <w:b/>
          <w:sz w:val="24"/>
          <w:szCs w:val="24"/>
          <w:u w:val="single"/>
        </w:rPr>
        <w:t xml:space="preserve">re Supported </w:t>
      </w:r>
      <w:r w:rsidR="00CA5509" w:rsidRPr="00D97634">
        <w:rPr>
          <w:rFonts w:ascii="Times New Roman" w:hAnsi="Times New Roman" w:cs="Times New Roman"/>
          <w:b/>
          <w:sz w:val="24"/>
          <w:szCs w:val="24"/>
          <w:u w:val="single"/>
        </w:rPr>
        <w:t>by</w:t>
      </w:r>
      <w:r w:rsidRPr="00D97634">
        <w:rPr>
          <w:rFonts w:ascii="Times New Roman" w:hAnsi="Times New Roman" w:cs="Times New Roman"/>
          <w:b/>
          <w:sz w:val="24"/>
          <w:szCs w:val="24"/>
          <w:u w:val="single"/>
        </w:rPr>
        <w:t xml:space="preserve"> </w:t>
      </w:r>
      <w:r w:rsidR="00C468EC" w:rsidRPr="00D97634">
        <w:rPr>
          <w:rFonts w:ascii="Times New Roman" w:hAnsi="Times New Roman" w:cs="Times New Roman"/>
          <w:b/>
          <w:sz w:val="24"/>
          <w:szCs w:val="24"/>
          <w:u w:val="single"/>
        </w:rPr>
        <w:t xml:space="preserve">the </w:t>
      </w:r>
      <w:r w:rsidRPr="00D97634">
        <w:rPr>
          <w:rFonts w:ascii="Times New Roman" w:hAnsi="Times New Roman" w:cs="Times New Roman"/>
          <w:b/>
          <w:sz w:val="24"/>
          <w:szCs w:val="24"/>
          <w:u w:val="single"/>
        </w:rPr>
        <w:t>Record Evidence.</w:t>
      </w:r>
    </w:p>
    <w:p w14:paraId="3526AF22" w14:textId="1A6EF469" w:rsidR="00301E4B" w:rsidRPr="00D97634" w:rsidRDefault="00B154FA" w:rsidP="00301E4B">
      <w:pPr>
        <w:spacing w:after="0" w:line="480" w:lineRule="auto"/>
        <w:jc w:val="both"/>
        <w:rPr>
          <w:rFonts w:ascii="Times New Roman" w:hAnsi="Times New Roman" w:cs="Times New Roman"/>
          <w:sz w:val="24"/>
          <w:szCs w:val="24"/>
        </w:rPr>
      </w:pPr>
      <w:r w:rsidRPr="00D97634">
        <w:rPr>
          <w:rFonts w:ascii="Times New Roman" w:hAnsi="Times New Roman" w:cs="Times New Roman"/>
          <w:sz w:val="24"/>
          <w:szCs w:val="24"/>
        </w:rPr>
        <w:tab/>
        <w:t>Georgia Power</w:t>
      </w:r>
      <w:r w:rsidR="002E1256" w:rsidRPr="00D97634">
        <w:rPr>
          <w:rFonts w:ascii="Times New Roman" w:hAnsi="Times New Roman" w:cs="Times New Roman"/>
          <w:sz w:val="24"/>
          <w:szCs w:val="24"/>
        </w:rPr>
        <w:t>'s Application includes an argument t</w:t>
      </w:r>
      <w:r w:rsidR="00C6265A" w:rsidRPr="00D97634">
        <w:rPr>
          <w:rFonts w:ascii="Times New Roman" w:hAnsi="Times New Roman" w:cs="Times New Roman"/>
          <w:sz w:val="24"/>
          <w:szCs w:val="24"/>
        </w:rPr>
        <w:t xml:space="preserve">hat </w:t>
      </w:r>
      <w:r w:rsidRPr="00D97634">
        <w:rPr>
          <w:rFonts w:ascii="Times New Roman" w:hAnsi="Times New Roman" w:cs="Times New Roman"/>
          <w:sz w:val="24"/>
          <w:szCs w:val="24"/>
        </w:rPr>
        <w:t xml:space="preserve">the </w:t>
      </w:r>
      <w:r w:rsidR="00C6265A" w:rsidRPr="00D97634">
        <w:rPr>
          <w:rFonts w:ascii="Times New Roman" w:hAnsi="Times New Roman" w:cs="Times New Roman"/>
          <w:sz w:val="24"/>
          <w:szCs w:val="24"/>
        </w:rPr>
        <w:t>Initial Decision</w:t>
      </w:r>
      <w:r w:rsidR="002E1256" w:rsidRPr="00D97634">
        <w:rPr>
          <w:rFonts w:ascii="Times New Roman" w:hAnsi="Times New Roman" w:cs="Times New Roman"/>
          <w:sz w:val="24"/>
          <w:szCs w:val="24"/>
        </w:rPr>
        <w:t xml:space="preserve"> reached</w:t>
      </w:r>
      <w:r w:rsidRPr="00D97634">
        <w:rPr>
          <w:rFonts w:ascii="Times New Roman" w:hAnsi="Times New Roman" w:cs="Times New Roman"/>
          <w:sz w:val="24"/>
          <w:szCs w:val="24"/>
        </w:rPr>
        <w:t xml:space="preserve"> improper conclusions </w:t>
      </w:r>
      <w:r w:rsidR="006D5406" w:rsidRPr="00D97634">
        <w:rPr>
          <w:rFonts w:ascii="Times New Roman" w:hAnsi="Times New Roman" w:cs="Times New Roman"/>
          <w:sz w:val="24"/>
          <w:szCs w:val="24"/>
        </w:rPr>
        <w:t xml:space="preserve">because it fails to properly </w:t>
      </w:r>
      <w:r w:rsidR="00C6265A" w:rsidRPr="00D97634">
        <w:rPr>
          <w:rFonts w:ascii="Times New Roman" w:hAnsi="Times New Roman" w:cs="Times New Roman"/>
          <w:sz w:val="24"/>
          <w:szCs w:val="24"/>
        </w:rPr>
        <w:t>consider t</w:t>
      </w:r>
      <w:r w:rsidR="00C468EC" w:rsidRPr="00D97634">
        <w:rPr>
          <w:rFonts w:ascii="Times New Roman" w:hAnsi="Times New Roman" w:cs="Times New Roman"/>
          <w:sz w:val="24"/>
          <w:szCs w:val="24"/>
        </w:rPr>
        <w:t>he</w:t>
      </w:r>
      <w:r w:rsidRPr="00D97634">
        <w:rPr>
          <w:rFonts w:ascii="Times New Roman" w:hAnsi="Times New Roman" w:cs="Times New Roman"/>
          <w:sz w:val="24"/>
          <w:szCs w:val="24"/>
        </w:rPr>
        <w:t xml:space="preserve"> record</w:t>
      </w:r>
      <w:r w:rsidR="001E318F" w:rsidRPr="00D97634">
        <w:rPr>
          <w:rFonts w:ascii="Times New Roman" w:hAnsi="Times New Roman" w:cs="Times New Roman"/>
          <w:sz w:val="24"/>
          <w:szCs w:val="24"/>
        </w:rPr>
        <w:t xml:space="preserve"> evidence</w:t>
      </w:r>
      <w:r w:rsidRPr="00D97634">
        <w:rPr>
          <w:rFonts w:ascii="Times New Roman" w:hAnsi="Times New Roman" w:cs="Times New Roman"/>
          <w:sz w:val="24"/>
          <w:szCs w:val="24"/>
        </w:rPr>
        <w:t xml:space="preserve">.  </w:t>
      </w:r>
      <w:r w:rsidR="001E318F" w:rsidRPr="00D97634">
        <w:rPr>
          <w:rFonts w:ascii="Times New Roman" w:hAnsi="Times New Roman" w:cs="Times New Roman"/>
          <w:sz w:val="24"/>
          <w:szCs w:val="24"/>
        </w:rPr>
        <w:t xml:space="preserve">For example, </w:t>
      </w:r>
      <w:r w:rsidRPr="00D97634">
        <w:rPr>
          <w:rFonts w:ascii="Times New Roman" w:hAnsi="Times New Roman" w:cs="Times New Roman"/>
          <w:sz w:val="24"/>
          <w:szCs w:val="24"/>
        </w:rPr>
        <w:t xml:space="preserve">Georgia Power </w:t>
      </w:r>
      <w:r w:rsidRPr="00D97634">
        <w:rPr>
          <w:rFonts w:ascii="Times New Roman" w:eastAsia="Times New Roman" w:hAnsi="Times New Roman" w:cs="Times New Roman"/>
          <w:sz w:val="24"/>
          <w:szCs w:val="24"/>
        </w:rPr>
        <w:t>claims</w:t>
      </w:r>
      <w:r w:rsidRPr="00D97634">
        <w:rPr>
          <w:rFonts w:ascii="Times New Roman" w:hAnsi="Times New Roman" w:cs="Times New Roman"/>
          <w:sz w:val="24"/>
          <w:szCs w:val="24"/>
        </w:rPr>
        <w:t xml:space="preserve"> the “sweeping statement” [in the Conclusions of Law Initial Decision] that there are “countless differences” </w:t>
      </w:r>
      <w:r w:rsidR="00C6265A" w:rsidRPr="00D97634">
        <w:rPr>
          <w:rFonts w:ascii="Times New Roman" w:hAnsi="Times New Roman" w:cs="Times New Roman"/>
          <w:sz w:val="24"/>
          <w:szCs w:val="24"/>
        </w:rPr>
        <w:t xml:space="preserve">[between the old premises and the new premises] </w:t>
      </w:r>
      <w:r w:rsidRPr="00D97634">
        <w:rPr>
          <w:rFonts w:ascii="Times New Roman" w:hAnsi="Times New Roman" w:cs="Times New Roman"/>
          <w:sz w:val="24"/>
          <w:szCs w:val="24"/>
        </w:rPr>
        <w:t xml:space="preserve">makes no </w:t>
      </w:r>
      <w:r w:rsidRPr="00D97634">
        <w:rPr>
          <w:rFonts w:ascii="Times New Roman" w:hAnsi="Times New Roman" w:cs="Times New Roman"/>
          <w:sz w:val="24"/>
          <w:szCs w:val="24"/>
        </w:rPr>
        <w:lastRenderedPageBreak/>
        <w:t xml:space="preserve">assessment of their significance relative to the “building, structure or facility” as required by the Territorial Act.” </w:t>
      </w:r>
      <w:r w:rsidR="003F1E4B" w:rsidRPr="00D97634">
        <w:rPr>
          <w:rFonts w:ascii="Times New Roman" w:hAnsi="Times New Roman" w:cs="Times New Roman"/>
          <w:sz w:val="24"/>
          <w:szCs w:val="24"/>
        </w:rPr>
        <w:t xml:space="preserve"> </w:t>
      </w:r>
      <w:r w:rsidRPr="00D97634">
        <w:rPr>
          <w:rFonts w:ascii="Times New Roman" w:hAnsi="Times New Roman" w:cs="Times New Roman"/>
          <w:sz w:val="24"/>
          <w:szCs w:val="24"/>
        </w:rPr>
        <w:t xml:space="preserve">(GPC Application, at 17.)  </w:t>
      </w:r>
      <w:r w:rsidR="006D5406" w:rsidRPr="00D97634">
        <w:rPr>
          <w:rFonts w:ascii="Times New Roman" w:hAnsi="Times New Roman" w:cs="Times New Roman"/>
          <w:sz w:val="24"/>
          <w:szCs w:val="24"/>
        </w:rPr>
        <w:t>The</w:t>
      </w:r>
      <w:r w:rsidRPr="00D97634">
        <w:rPr>
          <w:rFonts w:ascii="Times New Roman" w:hAnsi="Times New Roman" w:cs="Times New Roman"/>
          <w:sz w:val="24"/>
          <w:szCs w:val="24"/>
        </w:rPr>
        <w:t xml:space="preserve"> </w:t>
      </w:r>
      <w:r w:rsidR="00C6265A" w:rsidRPr="00D97634">
        <w:rPr>
          <w:rFonts w:ascii="Times New Roman" w:hAnsi="Times New Roman" w:cs="Times New Roman"/>
          <w:sz w:val="24"/>
          <w:szCs w:val="24"/>
        </w:rPr>
        <w:t>Initial Decision</w:t>
      </w:r>
      <w:r w:rsidR="006D5406" w:rsidRPr="00D97634">
        <w:rPr>
          <w:rFonts w:ascii="Times New Roman" w:hAnsi="Times New Roman" w:cs="Times New Roman"/>
          <w:sz w:val="24"/>
          <w:szCs w:val="24"/>
        </w:rPr>
        <w:t xml:space="preserve"> </w:t>
      </w:r>
      <w:r w:rsidR="002E1256" w:rsidRPr="00D97634">
        <w:rPr>
          <w:rFonts w:ascii="Times New Roman" w:hAnsi="Times New Roman" w:cs="Times New Roman"/>
          <w:sz w:val="24"/>
          <w:szCs w:val="24"/>
        </w:rPr>
        <w:t xml:space="preserve">specifically </w:t>
      </w:r>
      <w:r w:rsidR="00F31E16" w:rsidRPr="00D97634">
        <w:rPr>
          <w:rFonts w:ascii="Times New Roman" w:hAnsi="Times New Roman" w:cs="Times New Roman"/>
          <w:sz w:val="24"/>
          <w:szCs w:val="24"/>
        </w:rPr>
        <w:t>states</w:t>
      </w:r>
      <w:r w:rsidRPr="00D97634">
        <w:rPr>
          <w:rFonts w:ascii="Times New Roman" w:hAnsi="Times New Roman" w:cs="Times New Roman"/>
          <w:sz w:val="24"/>
          <w:szCs w:val="24"/>
        </w:rPr>
        <w:t xml:space="preserve">: </w:t>
      </w:r>
    </w:p>
    <w:p w14:paraId="28196C77" w14:textId="77777777" w:rsidR="00301E4B" w:rsidRPr="00D97634" w:rsidRDefault="00B154FA" w:rsidP="00342B64">
      <w:pPr>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There are countless differences between the Springs Industries and Nestle in terms of both physical appearance and structure, and primary purpose and function. Taken as a whole, the facts of this case demonstrate, without question, that the Premises are not “largely of the same fundamental nature or quality, and they do not share substantive “common traits”, as required by the </w:t>
      </w:r>
      <w:r w:rsidRPr="00D97634">
        <w:rPr>
          <w:rFonts w:ascii="Times New Roman" w:eastAsia="Times New Roman" w:hAnsi="Times New Roman" w:cs="Times New Roman"/>
          <w:sz w:val="24"/>
          <w:szCs w:val="24"/>
          <w:u w:val="single"/>
        </w:rPr>
        <w:t>MBLW</w:t>
      </w:r>
      <w:r w:rsidRPr="00D97634">
        <w:rPr>
          <w:rFonts w:ascii="Times New Roman" w:eastAsia="Times New Roman" w:hAnsi="Times New Roman" w:cs="Times New Roman"/>
          <w:sz w:val="24"/>
          <w:szCs w:val="24"/>
        </w:rPr>
        <w:t xml:space="preserve"> decision and its progenies.  </w:t>
      </w:r>
      <w:r w:rsidRPr="00D97634">
        <w:rPr>
          <w:rFonts w:ascii="Times New Roman" w:eastAsia="Times New Roman" w:hAnsi="Times New Roman" w:cs="Times New Roman"/>
          <w:i/>
          <w:sz w:val="24"/>
          <w:szCs w:val="24"/>
        </w:rPr>
        <w:t xml:space="preserve">Diverse Power, Inc. v. City of LaGrange, </w:t>
      </w:r>
      <w:r w:rsidRPr="00D97634">
        <w:rPr>
          <w:rFonts w:ascii="Times New Roman" w:eastAsia="Times New Roman" w:hAnsi="Times New Roman" w:cs="Times New Roman"/>
          <w:sz w:val="24"/>
          <w:szCs w:val="24"/>
        </w:rPr>
        <w:t>Dkt. No. 40642.</w:t>
      </w:r>
    </w:p>
    <w:p w14:paraId="7262E526" w14:textId="77777777" w:rsidR="00AA2558" w:rsidRPr="00D97634" w:rsidRDefault="00B154FA" w:rsidP="00301E4B">
      <w:pPr>
        <w:pStyle w:val="ListParagraph"/>
        <w:spacing w:after="0" w:line="480" w:lineRule="auto"/>
        <w:ind w:left="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(Initial Decision, at 12.)  </w:t>
      </w:r>
    </w:p>
    <w:p w14:paraId="56FDCD6D" w14:textId="2DA3102D" w:rsidR="00301E4B" w:rsidRPr="00D97634" w:rsidRDefault="00B154FA" w:rsidP="00301E4B">
      <w:pPr>
        <w:pStyle w:val="ListParagraph"/>
        <w:spacing w:after="0" w:line="480" w:lineRule="auto"/>
        <w:ind w:left="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ab/>
      </w:r>
      <w:r w:rsidR="006D5406" w:rsidRPr="00D97634">
        <w:rPr>
          <w:rFonts w:ascii="Times New Roman" w:eastAsia="Times New Roman" w:hAnsi="Times New Roman" w:cs="Times New Roman"/>
          <w:sz w:val="24"/>
          <w:szCs w:val="24"/>
        </w:rPr>
        <w:t>However, t</w:t>
      </w:r>
      <w:r w:rsidRPr="00D97634">
        <w:rPr>
          <w:rFonts w:ascii="Times New Roman" w:eastAsia="Times New Roman" w:hAnsi="Times New Roman" w:cs="Times New Roman"/>
          <w:sz w:val="24"/>
          <w:szCs w:val="24"/>
        </w:rPr>
        <w:t xml:space="preserve">he “countless differences” between the </w:t>
      </w:r>
      <w:r w:rsidR="004953C0" w:rsidRPr="00D97634">
        <w:rPr>
          <w:rFonts w:ascii="Times New Roman" w:eastAsia="Times New Roman" w:hAnsi="Times New Roman" w:cs="Times New Roman"/>
          <w:sz w:val="24"/>
          <w:szCs w:val="24"/>
        </w:rPr>
        <w:t>old Premises</w:t>
      </w:r>
      <w:r w:rsidRPr="00D97634">
        <w:rPr>
          <w:rFonts w:ascii="Times New Roman" w:eastAsia="Times New Roman" w:hAnsi="Times New Roman" w:cs="Times New Roman"/>
          <w:sz w:val="24"/>
          <w:szCs w:val="24"/>
        </w:rPr>
        <w:t xml:space="preserve"> and </w:t>
      </w:r>
      <w:r w:rsidR="006D5406" w:rsidRPr="00D97634">
        <w:rPr>
          <w:rFonts w:ascii="Times New Roman" w:eastAsia="Times New Roman" w:hAnsi="Times New Roman" w:cs="Times New Roman"/>
          <w:sz w:val="24"/>
          <w:szCs w:val="24"/>
        </w:rPr>
        <w:t>the Hartwell Pet Food Facility are</w:t>
      </w:r>
      <w:r w:rsidRPr="00D97634">
        <w:rPr>
          <w:rFonts w:ascii="Times New Roman" w:eastAsia="Times New Roman" w:hAnsi="Times New Roman" w:cs="Times New Roman"/>
          <w:sz w:val="24"/>
          <w:szCs w:val="24"/>
        </w:rPr>
        <w:t xml:space="preserve"> </w:t>
      </w:r>
      <w:r w:rsidRPr="00D97634">
        <w:rPr>
          <w:rFonts w:ascii="Times New Roman" w:hAnsi="Times New Roman" w:cs="Times New Roman"/>
          <w:sz w:val="24"/>
          <w:szCs w:val="24"/>
        </w:rPr>
        <w:t>enumerated</w:t>
      </w:r>
      <w:r w:rsidR="00081E82" w:rsidRPr="00D97634">
        <w:rPr>
          <w:rFonts w:ascii="Times New Roman" w:eastAsia="Times New Roman" w:hAnsi="Times New Roman" w:cs="Times New Roman"/>
          <w:sz w:val="24"/>
          <w:szCs w:val="24"/>
        </w:rPr>
        <w:t xml:space="preserve"> in the </w:t>
      </w:r>
      <w:r w:rsidR="002E1256" w:rsidRPr="00D97634">
        <w:rPr>
          <w:rFonts w:ascii="Times New Roman" w:eastAsia="Times New Roman" w:hAnsi="Times New Roman" w:cs="Times New Roman"/>
          <w:sz w:val="24"/>
          <w:szCs w:val="24"/>
        </w:rPr>
        <w:t xml:space="preserve">Initial Decision's </w:t>
      </w:r>
      <w:r w:rsidR="00081E82" w:rsidRPr="00D97634">
        <w:rPr>
          <w:rFonts w:ascii="Times New Roman" w:eastAsia="Times New Roman" w:hAnsi="Times New Roman" w:cs="Times New Roman"/>
          <w:sz w:val="24"/>
          <w:szCs w:val="24"/>
        </w:rPr>
        <w:t>Findings of Fact:</w:t>
      </w:r>
    </w:p>
    <w:p w14:paraId="61BEBAB8" w14:textId="77777777" w:rsidR="00301E4B" w:rsidRPr="00D97634" w:rsidRDefault="00B154FA" w:rsidP="00301E4B">
      <w:pPr>
        <w:ind w:left="720" w:right="720"/>
        <w:jc w:val="both"/>
        <w:rPr>
          <w:rFonts w:ascii="Times New Roman" w:hAnsi="Times New Roman" w:cs="Times New Roman"/>
          <w:sz w:val="24"/>
          <w:szCs w:val="24"/>
        </w:rPr>
      </w:pPr>
      <w:r w:rsidRPr="00D97634">
        <w:rPr>
          <w:rFonts w:ascii="Times New Roman" w:hAnsi="Times New Roman" w:cs="Times New Roman"/>
          <w:sz w:val="24"/>
          <w:szCs w:val="24"/>
          <w:u w:val="single"/>
        </w:rPr>
        <w:t>As the Hearing Officer found in the prior section</w:t>
      </w:r>
      <w:r w:rsidRPr="00D97634">
        <w:rPr>
          <w:rFonts w:ascii="Times New Roman" w:hAnsi="Times New Roman" w:cs="Times New Roman"/>
          <w:sz w:val="24"/>
          <w:szCs w:val="24"/>
        </w:rPr>
        <w:t xml:space="preserve"> [Findings of Fact],  Nestlé  removed and replaced the electrical system and infrastructure; removed and replaced 30 percent of the flooring and foundation in its food processing area; removed concrete slabs in the old weave room; changed the foundation in the old bleachery by filling the old vats with concrete and the old pits with ballast, structural steel, and concrete; removed the roof above the old bleachery, the old tank building, and some of the distribution center; demolished the old filter press’ structural piers; demolished and removed the old air washing pits; and demolished the old crane system. Nestle Purina has swallowed up the old ventilation tunnels; some interior and exterior walls; and replaced the old air plenum where the new office space sits. </w:t>
      </w:r>
    </w:p>
    <w:p w14:paraId="6D0E02CD" w14:textId="77777777" w:rsidR="00301E4B" w:rsidRPr="00D97634" w:rsidRDefault="00B154FA" w:rsidP="00301E4B">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Additionally, Nestle Purina demolished interior walls, made openings in other walls, and is enclosing some exterior walls with a new building. The Hearing Officer concludes that Nestlé Purina dismantled the Premises when it took apart and stripped away the electrical system, HVAC system, crane system, air handling system, wastewater system, storm water system, and removed various parts of the roof.  At a cost of over $300 million, these substantial modifications are in keeping, if not in excess of, the plain meaning of the words “dismantle” and “destroy and an accurate reflection of previous Commission interpretations of the Territorial Act’s mandate of “dismantle or destroy.”</w:t>
      </w:r>
    </w:p>
    <w:p w14:paraId="4D8E6A22" w14:textId="77777777" w:rsidR="00301E4B" w:rsidRPr="00D97634" w:rsidRDefault="00B154FA" w:rsidP="00301E4B">
      <w:pPr>
        <w:pStyle w:val="ListParagraph"/>
        <w:spacing w:after="0" w:line="480" w:lineRule="auto"/>
        <w:ind w:left="0"/>
        <w:jc w:val="both"/>
        <w:rPr>
          <w:rFonts w:ascii="Times New Roman" w:eastAsia="Times New Roman" w:hAnsi="Times New Roman" w:cs="Times New Roman"/>
          <w:sz w:val="24"/>
          <w:szCs w:val="24"/>
        </w:rPr>
      </w:pPr>
      <w:r w:rsidRPr="00D97634">
        <w:rPr>
          <w:rFonts w:ascii="Times New Roman" w:hAnsi="Times New Roman" w:cs="Times New Roman"/>
          <w:sz w:val="24"/>
          <w:szCs w:val="24"/>
        </w:rPr>
        <w:t>(Initial Decision, at 10</w:t>
      </w:r>
      <w:r w:rsidR="00AA2558" w:rsidRPr="00D97634">
        <w:rPr>
          <w:rFonts w:ascii="Times New Roman" w:hAnsi="Times New Roman" w:cs="Times New Roman"/>
          <w:sz w:val="24"/>
          <w:szCs w:val="24"/>
        </w:rPr>
        <w:t xml:space="preserve"> </w:t>
      </w:r>
      <w:r w:rsidRPr="00D97634">
        <w:rPr>
          <w:rFonts w:ascii="Times New Roman" w:hAnsi="Times New Roman" w:cs="Times New Roman"/>
          <w:sz w:val="24"/>
          <w:szCs w:val="24"/>
        </w:rPr>
        <w:t>(emphasis added</w:t>
      </w:r>
      <w:r w:rsidR="00AA2558" w:rsidRPr="00D97634">
        <w:rPr>
          <w:rFonts w:ascii="Times New Roman" w:hAnsi="Times New Roman" w:cs="Times New Roman"/>
          <w:sz w:val="24"/>
          <w:szCs w:val="24"/>
        </w:rPr>
        <w:t>)</w:t>
      </w:r>
      <w:r w:rsidRPr="00D97634">
        <w:rPr>
          <w:rFonts w:ascii="Times New Roman" w:hAnsi="Times New Roman" w:cs="Times New Roman"/>
          <w:sz w:val="24"/>
          <w:szCs w:val="24"/>
        </w:rPr>
        <w:t>.)</w:t>
      </w:r>
    </w:p>
    <w:p w14:paraId="6B8A7756" w14:textId="77777777" w:rsidR="00301E4B" w:rsidRPr="00D97634" w:rsidRDefault="00B154FA" w:rsidP="00301E4B">
      <w:pPr>
        <w:pStyle w:val="ListParagraph"/>
        <w:ind w:right="720"/>
        <w:jc w:val="both"/>
        <w:rPr>
          <w:rFonts w:ascii="Times New Roman" w:eastAsia="Times New Roman" w:hAnsi="Times New Roman" w:cs="Times New Roman"/>
          <w:spacing w:val="-1"/>
          <w:sz w:val="24"/>
          <w:szCs w:val="24"/>
        </w:rPr>
      </w:pPr>
      <w:r w:rsidRPr="00D97634">
        <w:rPr>
          <w:rFonts w:ascii="Times New Roman" w:hAnsi="Times New Roman" w:cs="Times New Roman"/>
          <w:sz w:val="24"/>
          <w:szCs w:val="24"/>
          <w:u w:val="single"/>
        </w:rPr>
        <w:t>As the Hearing Officer found in the prior section</w:t>
      </w:r>
      <w:r w:rsidRPr="00D97634">
        <w:rPr>
          <w:rFonts w:ascii="Times New Roman" w:hAnsi="Times New Roman" w:cs="Times New Roman"/>
          <w:sz w:val="24"/>
          <w:szCs w:val="24"/>
        </w:rPr>
        <w:t xml:space="preserve"> [Findings of Fact],  </w:t>
      </w:r>
      <w:r w:rsidRPr="00D97634">
        <w:rPr>
          <w:rFonts w:ascii="Times New Roman" w:eastAsia="Times New Roman" w:hAnsi="Times New Roman" w:cs="Times New Roman"/>
          <w:sz w:val="24"/>
          <w:szCs w:val="24"/>
        </w:rPr>
        <w:t>Nestlé  has committed $220 million to prepare the Hartwell Pet Food Facility for startup in the fall of 2019, and an additional $80</w:t>
      </w:r>
      <w:r w:rsidRPr="00D97634">
        <w:rPr>
          <w:rFonts w:ascii="Times New Roman" w:eastAsia="Times New Roman" w:hAnsi="Times New Roman" w:cs="Times New Roman"/>
          <w:b/>
          <w:sz w:val="24"/>
          <w:szCs w:val="24"/>
        </w:rPr>
        <w:t xml:space="preserve"> </w:t>
      </w:r>
      <w:r w:rsidRPr="00D97634">
        <w:rPr>
          <w:rFonts w:ascii="Times New Roman" w:eastAsia="Times New Roman" w:hAnsi="Times New Roman" w:cs="Times New Roman"/>
          <w:sz w:val="24"/>
          <w:szCs w:val="24"/>
        </w:rPr>
        <w:t xml:space="preserve">million to reach initial full operation by the second quarter of 2020. (Tr. 459-505). Nestlé  Purina has: (1) replaced the wastewater treatment facility, (2) changed the overall structure and design of the </w:t>
      </w:r>
      <w:r w:rsidRPr="00D97634">
        <w:rPr>
          <w:rFonts w:ascii="Times New Roman" w:eastAsia="Times New Roman" w:hAnsi="Times New Roman" w:cs="Times New Roman"/>
          <w:sz w:val="24"/>
          <w:szCs w:val="24"/>
        </w:rPr>
        <w:lastRenderedPageBreak/>
        <w:t>existing facility, (3) constructed approximately 120,00 square feet of additional buildings, (4) replaced the existing electrical systems, (5) replaced the air handling systems, and (6) created a food safe environment by, among other things, sealing off and otherwise protecting the interior from pests and other contaminants, and (7) added a freezer in one of the new buildings.</w:t>
      </w:r>
    </w:p>
    <w:p w14:paraId="3A11080B" w14:textId="77777777" w:rsidR="00301E4B" w:rsidRPr="00D97634" w:rsidRDefault="00301E4B" w:rsidP="00301E4B">
      <w:pPr>
        <w:pStyle w:val="ListParagraph"/>
        <w:ind w:right="720"/>
        <w:rPr>
          <w:rFonts w:ascii="Times New Roman" w:eastAsia="Times New Roman" w:hAnsi="Times New Roman" w:cs="Times New Roman"/>
          <w:spacing w:val="-1"/>
          <w:sz w:val="24"/>
          <w:szCs w:val="24"/>
        </w:rPr>
      </w:pPr>
    </w:p>
    <w:p w14:paraId="3A6E53C1" w14:textId="77777777" w:rsidR="00AA2558" w:rsidRPr="00D97634" w:rsidRDefault="00B154FA" w:rsidP="00301E4B">
      <w:pPr>
        <w:pStyle w:val="ListParagraph"/>
        <w:spacing w:after="0" w:line="480" w:lineRule="auto"/>
        <w:ind w:left="0"/>
        <w:jc w:val="both"/>
        <w:rPr>
          <w:rFonts w:ascii="Times New Roman" w:hAnsi="Times New Roman" w:cs="Times New Roman"/>
          <w:sz w:val="24"/>
          <w:szCs w:val="24"/>
        </w:rPr>
      </w:pPr>
      <w:r w:rsidRPr="00D97634">
        <w:rPr>
          <w:rFonts w:ascii="Times New Roman" w:hAnsi="Times New Roman" w:cs="Times New Roman"/>
          <w:sz w:val="24"/>
          <w:szCs w:val="24"/>
        </w:rPr>
        <w:t>(Initial Decision, at 11</w:t>
      </w:r>
      <w:r w:rsidR="00301E4B" w:rsidRPr="00D97634">
        <w:rPr>
          <w:rFonts w:ascii="Times New Roman" w:hAnsi="Times New Roman" w:cs="Times New Roman"/>
          <w:sz w:val="24"/>
          <w:szCs w:val="24"/>
        </w:rPr>
        <w:t xml:space="preserve"> (emphasis added</w:t>
      </w:r>
      <w:r w:rsidRPr="00D97634">
        <w:rPr>
          <w:rFonts w:ascii="Times New Roman" w:hAnsi="Times New Roman" w:cs="Times New Roman"/>
          <w:sz w:val="24"/>
          <w:szCs w:val="24"/>
        </w:rPr>
        <w:t>).</w:t>
      </w:r>
      <w:r w:rsidR="00301E4B" w:rsidRPr="00D97634">
        <w:rPr>
          <w:rFonts w:ascii="Times New Roman" w:hAnsi="Times New Roman" w:cs="Times New Roman"/>
          <w:sz w:val="24"/>
          <w:szCs w:val="24"/>
        </w:rPr>
        <w:t xml:space="preserve">)  </w:t>
      </w:r>
    </w:p>
    <w:p w14:paraId="358FF113" w14:textId="7E5550BD" w:rsidR="00301E4B" w:rsidRPr="00D97634" w:rsidRDefault="00B154FA" w:rsidP="00301E4B">
      <w:pPr>
        <w:pStyle w:val="ListParagraph"/>
        <w:spacing w:after="0" w:line="480" w:lineRule="auto"/>
        <w:ind w:left="0"/>
        <w:jc w:val="both"/>
        <w:rPr>
          <w:rFonts w:ascii="Times New Roman" w:hAnsi="Times New Roman" w:cs="Times New Roman"/>
          <w:sz w:val="24"/>
          <w:szCs w:val="24"/>
        </w:rPr>
      </w:pPr>
      <w:r w:rsidRPr="00D97634">
        <w:rPr>
          <w:rFonts w:ascii="Times New Roman" w:hAnsi="Times New Roman" w:cs="Times New Roman"/>
          <w:sz w:val="24"/>
          <w:szCs w:val="24"/>
        </w:rPr>
        <w:tab/>
      </w:r>
      <w:r w:rsidR="002E1256" w:rsidRPr="00D97634">
        <w:rPr>
          <w:rFonts w:ascii="Times New Roman" w:hAnsi="Times New Roman" w:cs="Times New Roman"/>
          <w:sz w:val="24"/>
          <w:szCs w:val="24"/>
        </w:rPr>
        <w:t>T</w:t>
      </w:r>
      <w:r w:rsidRPr="00D97634">
        <w:rPr>
          <w:rFonts w:ascii="Times New Roman" w:hAnsi="Times New Roman" w:cs="Times New Roman"/>
          <w:sz w:val="24"/>
          <w:szCs w:val="24"/>
        </w:rPr>
        <w:t>he Initial Decisi</w:t>
      </w:r>
      <w:r w:rsidR="00BA12C1" w:rsidRPr="00D97634">
        <w:rPr>
          <w:rFonts w:ascii="Times New Roman" w:hAnsi="Times New Roman" w:cs="Times New Roman"/>
          <w:sz w:val="24"/>
          <w:szCs w:val="24"/>
        </w:rPr>
        <w:t xml:space="preserve">on’s Findings of Fact explain </w:t>
      </w:r>
      <w:r w:rsidRPr="00D97634">
        <w:rPr>
          <w:rFonts w:ascii="Times New Roman" w:hAnsi="Times New Roman" w:cs="Times New Roman"/>
          <w:sz w:val="24"/>
          <w:szCs w:val="24"/>
        </w:rPr>
        <w:t>not only the changes made to</w:t>
      </w:r>
      <w:r w:rsidR="00BA12C1" w:rsidRPr="00D97634">
        <w:rPr>
          <w:rFonts w:ascii="Times New Roman" w:hAnsi="Times New Roman" w:cs="Times New Roman"/>
          <w:sz w:val="24"/>
          <w:szCs w:val="24"/>
        </w:rPr>
        <w:t xml:space="preserve"> the building, but also details</w:t>
      </w:r>
      <w:r w:rsidRPr="00D97634">
        <w:rPr>
          <w:rFonts w:ascii="Times New Roman" w:hAnsi="Times New Roman" w:cs="Times New Roman"/>
          <w:sz w:val="24"/>
          <w:szCs w:val="24"/>
        </w:rPr>
        <w:t xml:space="preserve"> the reason(s) for change</w:t>
      </w:r>
      <w:r w:rsidR="00FA60DA" w:rsidRPr="00D97634">
        <w:rPr>
          <w:rFonts w:ascii="Times New Roman" w:hAnsi="Times New Roman" w:cs="Times New Roman"/>
          <w:sz w:val="24"/>
          <w:szCs w:val="24"/>
        </w:rPr>
        <w:t>s</w:t>
      </w:r>
      <w:r w:rsidRPr="00D97634">
        <w:rPr>
          <w:rFonts w:ascii="Times New Roman" w:hAnsi="Times New Roman" w:cs="Times New Roman"/>
          <w:sz w:val="24"/>
          <w:szCs w:val="24"/>
        </w:rPr>
        <w:t xml:space="preserve"> – to</w:t>
      </w:r>
      <w:r w:rsidR="004C7E44" w:rsidRPr="00D97634">
        <w:rPr>
          <w:rFonts w:ascii="Times New Roman" w:hAnsi="Times New Roman" w:cs="Times New Roman"/>
          <w:sz w:val="24"/>
          <w:szCs w:val="24"/>
        </w:rPr>
        <w:t xml:space="preserve"> create a </w:t>
      </w:r>
      <w:r w:rsidR="006D5406" w:rsidRPr="00D97634">
        <w:rPr>
          <w:rFonts w:ascii="Times New Roman" w:hAnsi="Times New Roman" w:cs="Times New Roman"/>
          <w:sz w:val="24"/>
          <w:szCs w:val="24"/>
        </w:rPr>
        <w:t xml:space="preserve">new and completely different </w:t>
      </w:r>
      <w:r w:rsidR="004C7E44" w:rsidRPr="00D97634">
        <w:rPr>
          <w:rFonts w:ascii="Times New Roman" w:hAnsi="Times New Roman" w:cs="Times New Roman"/>
          <w:sz w:val="24"/>
          <w:szCs w:val="24"/>
        </w:rPr>
        <w:t>food safe environment:</w:t>
      </w:r>
      <w:r w:rsidRPr="00D97634">
        <w:rPr>
          <w:rFonts w:ascii="Times New Roman" w:hAnsi="Times New Roman" w:cs="Times New Roman"/>
          <w:sz w:val="24"/>
          <w:szCs w:val="24"/>
        </w:rPr>
        <w:t xml:space="preserve">  </w:t>
      </w:r>
    </w:p>
    <w:p w14:paraId="6E203732" w14:textId="77777777" w:rsidR="00301E4B" w:rsidRPr="00D97634" w:rsidRDefault="00B154FA" w:rsidP="00301E4B">
      <w:pPr>
        <w:pStyle w:val="ListParagraph"/>
        <w:ind w:right="720"/>
        <w:jc w:val="both"/>
        <w:rPr>
          <w:rFonts w:ascii="Times New Roman" w:eastAsia="Times New Roman" w:hAnsi="Times New Roman" w:cs="Times New Roman"/>
          <w:spacing w:val="-1"/>
          <w:sz w:val="24"/>
          <w:szCs w:val="24"/>
        </w:rPr>
      </w:pPr>
      <w:r w:rsidRPr="00D97634">
        <w:rPr>
          <w:rFonts w:ascii="Times New Roman" w:eastAsia="Times New Roman" w:hAnsi="Times New Roman" w:cs="Times New Roman"/>
          <w:spacing w:val="-1"/>
          <w:sz w:val="24"/>
          <w:szCs w:val="24"/>
        </w:rPr>
        <w:t xml:space="preserve">The existing interior offices were stained and unusable, </w:t>
      </w:r>
      <w:r w:rsidRPr="00D97634">
        <w:rPr>
          <w:rFonts w:ascii="Times New Roman" w:eastAsia="Times New Roman" w:hAnsi="Times New Roman" w:cs="Times New Roman"/>
          <w:spacing w:val="-1"/>
          <w:sz w:val="24"/>
          <w:szCs w:val="24"/>
          <w:u w:val="single"/>
        </w:rPr>
        <w:t>and thus had to be demolished</w:t>
      </w:r>
      <w:r w:rsidRPr="00D97634">
        <w:rPr>
          <w:rFonts w:ascii="Times New Roman" w:eastAsia="Times New Roman" w:hAnsi="Times New Roman" w:cs="Times New Roman"/>
          <w:spacing w:val="-1"/>
          <w:sz w:val="24"/>
          <w:szCs w:val="24"/>
        </w:rPr>
        <w:t xml:space="preserve">. (Tr. 455). </w:t>
      </w:r>
    </w:p>
    <w:p w14:paraId="64F27C70" w14:textId="77777777" w:rsidR="00301E4B" w:rsidRPr="00D97634" w:rsidRDefault="00301E4B" w:rsidP="00301E4B">
      <w:pPr>
        <w:pStyle w:val="ListParagraph"/>
        <w:ind w:right="720"/>
        <w:rPr>
          <w:rFonts w:ascii="Times New Roman" w:eastAsia="Times New Roman" w:hAnsi="Times New Roman" w:cs="Times New Roman"/>
          <w:spacing w:val="-1"/>
          <w:sz w:val="24"/>
          <w:szCs w:val="24"/>
        </w:rPr>
      </w:pPr>
    </w:p>
    <w:p w14:paraId="459CB785" w14:textId="77777777" w:rsidR="00301E4B" w:rsidRPr="00D97634" w:rsidRDefault="00B154FA" w:rsidP="00301E4B">
      <w:pPr>
        <w:pStyle w:val="ListParagraph"/>
        <w:ind w:right="720"/>
        <w:jc w:val="both"/>
        <w:rPr>
          <w:rFonts w:ascii="Times New Roman" w:eastAsia="Times New Roman" w:hAnsi="Times New Roman" w:cs="Times New Roman"/>
          <w:i/>
          <w:spacing w:val="-1"/>
          <w:sz w:val="24"/>
          <w:szCs w:val="24"/>
        </w:rPr>
      </w:pPr>
      <w:r w:rsidRPr="00D97634">
        <w:rPr>
          <w:rFonts w:ascii="Times New Roman" w:eastAsia="Times New Roman" w:hAnsi="Times New Roman" w:cs="Times New Roman"/>
          <w:spacing w:val="-1"/>
          <w:sz w:val="24"/>
          <w:szCs w:val="24"/>
        </w:rPr>
        <w:t xml:space="preserve">The existing facility was infiltrated with birds and pests, as well as exposed to the elements and outside air with </w:t>
      </w:r>
      <w:r w:rsidRPr="00D97634">
        <w:rPr>
          <w:rFonts w:ascii="Times New Roman" w:eastAsia="Times New Roman" w:hAnsi="Times New Roman" w:cs="Times New Roman"/>
          <w:spacing w:val="-1"/>
          <w:sz w:val="24"/>
          <w:szCs w:val="24"/>
          <w:u w:val="single"/>
        </w:rPr>
        <w:t>none of the temperature control or proper air handling required for the processing and packaging of wet pet food</w:t>
      </w:r>
      <w:r w:rsidRPr="00D97634">
        <w:rPr>
          <w:rFonts w:ascii="Times New Roman" w:eastAsia="Times New Roman" w:hAnsi="Times New Roman" w:cs="Times New Roman"/>
          <w:spacing w:val="-1"/>
          <w:sz w:val="24"/>
          <w:szCs w:val="24"/>
        </w:rPr>
        <w:t xml:space="preserve">. </w:t>
      </w:r>
      <w:r w:rsidRPr="00D97634">
        <w:rPr>
          <w:rFonts w:ascii="Times New Roman" w:eastAsia="Times New Roman" w:hAnsi="Times New Roman" w:cs="Times New Roman"/>
          <w:i/>
          <w:spacing w:val="-1"/>
          <w:sz w:val="24"/>
          <w:szCs w:val="24"/>
        </w:rPr>
        <w:t xml:space="preserve"> </w:t>
      </w:r>
    </w:p>
    <w:p w14:paraId="28393333" w14:textId="77777777" w:rsidR="00301E4B" w:rsidRPr="00D97634" w:rsidRDefault="00301E4B" w:rsidP="00301E4B">
      <w:pPr>
        <w:pStyle w:val="ListParagraph"/>
        <w:ind w:right="720"/>
        <w:rPr>
          <w:rFonts w:ascii="Times New Roman" w:eastAsia="Times New Roman" w:hAnsi="Times New Roman" w:cs="Times New Roman"/>
          <w:i/>
          <w:spacing w:val="-1"/>
          <w:sz w:val="24"/>
          <w:szCs w:val="24"/>
        </w:rPr>
      </w:pPr>
    </w:p>
    <w:p w14:paraId="356DE2C0" w14:textId="77777777" w:rsidR="00301E4B" w:rsidRPr="00D97634" w:rsidRDefault="00B154FA" w:rsidP="00301E4B">
      <w:pPr>
        <w:pStyle w:val="ListParagraph"/>
        <w:ind w:right="720"/>
        <w:jc w:val="both"/>
        <w:rPr>
          <w:rFonts w:ascii="Times New Roman" w:eastAsia="Times New Roman" w:hAnsi="Times New Roman" w:cs="Times New Roman"/>
          <w:spacing w:val="-1"/>
          <w:sz w:val="24"/>
          <w:szCs w:val="24"/>
        </w:rPr>
      </w:pPr>
      <w:r w:rsidRPr="00D97634">
        <w:rPr>
          <w:rFonts w:ascii="Times New Roman" w:eastAsia="Times New Roman" w:hAnsi="Times New Roman" w:cs="Times New Roman"/>
          <w:spacing w:val="-1"/>
          <w:sz w:val="24"/>
          <w:szCs w:val="24"/>
        </w:rPr>
        <w:t xml:space="preserve">In addition, the existing </w:t>
      </w:r>
      <w:r w:rsidRPr="00D97634">
        <w:rPr>
          <w:rFonts w:ascii="Times New Roman" w:eastAsia="Times New Roman" w:hAnsi="Times New Roman" w:cs="Times New Roman"/>
          <w:spacing w:val="-1"/>
          <w:sz w:val="24"/>
          <w:szCs w:val="24"/>
          <w:u w:val="single"/>
        </w:rPr>
        <w:t>facility lacked sufficient utility systems to power, clean, and safeguard a new wet pet food manufacturing facility, or to maintain a chilled temperature to store ingredients</w:t>
      </w:r>
      <w:r w:rsidRPr="00D97634">
        <w:rPr>
          <w:rFonts w:ascii="Times New Roman" w:eastAsia="Times New Roman" w:hAnsi="Times New Roman" w:cs="Times New Roman"/>
          <w:spacing w:val="-1"/>
          <w:sz w:val="24"/>
          <w:szCs w:val="24"/>
        </w:rPr>
        <w:t xml:space="preserve">. Nestle Purina was also only able to preserve and use some of the external walls and portions of the roof. </w:t>
      </w:r>
      <w:r w:rsidRPr="00D97634">
        <w:rPr>
          <w:rFonts w:ascii="Times New Roman" w:eastAsia="Times New Roman" w:hAnsi="Times New Roman" w:cs="Times New Roman"/>
          <w:i/>
          <w:spacing w:val="-1"/>
          <w:sz w:val="24"/>
          <w:szCs w:val="24"/>
        </w:rPr>
        <w:t xml:space="preserve">(Id.) </w:t>
      </w:r>
    </w:p>
    <w:p w14:paraId="53A0B491" w14:textId="77777777" w:rsidR="00301E4B" w:rsidRPr="00D97634" w:rsidRDefault="00301E4B" w:rsidP="00301E4B">
      <w:pPr>
        <w:pStyle w:val="ListParagraph"/>
        <w:ind w:right="720"/>
        <w:rPr>
          <w:rFonts w:ascii="Times New Roman" w:eastAsia="Times New Roman" w:hAnsi="Times New Roman" w:cs="Times New Roman"/>
          <w:sz w:val="24"/>
          <w:szCs w:val="24"/>
        </w:rPr>
      </w:pPr>
    </w:p>
    <w:p w14:paraId="573C1031" w14:textId="77777777" w:rsidR="00301E4B" w:rsidRPr="00D97634" w:rsidRDefault="00B154FA" w:rsidP="00301E4B">
      <w:pPr>
        <w:pStyle w:val="ListParagraph"/>
        <w:ind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Nestle’s Project Engineering Manager, explained that the existing roof had a ballasted roof system; the mechanically fastened roofing system installed by Nestlé  Purina is preferred </w:t>
      </w:r>
      <w:r w:rsidRPr="00D97634">
        <w:rPr>
          <w:rFonts w:ascii="Times New Roman" w:eastAsia="Times New Roman" w:hAnsi="Times New Roman" w:cs="Times New Roman"/>
          <w:sz w:val="24"/>
          <w:szCs w:val="24"/>
          <w:u w:val="single"/>
        </w:rPr>
        <w:t>because it is a more hygienic option than the existing ballasted system</w:t>
      </w:r>
      <w:r w:rsidR="001E318F" w:rsidRPr="00D97634">
        <w:rPr>
          <w:rFonts w:ascii="Times New Roman" w:eastAsia="Times New Roman" w:hAnsi="Times New Roman" w:cs="Times New Roman"/>
          <w:sz w:val="24"/>
          <w:szCs w:val="24"/>
        </w:rPr>
        <w:t>. (T-</w:t>
      </w:r>
      <w:r w:rsidRPr="00D97634">
        <w:rPr>
          <w:rFonts w:ascii="Times New Roman" w:eastAsia="Times New Roman" w:hAnsi="Times New Roman" w:cs="Times New Roman"/>
          <w:sz w:val="24"/>
          <w:szCs w:val="24"/>
        </w:rPr>
        <w:t xml:space="preserve">447) </w:t>
      </w:r>
    </w:p>
    <w:p w14:paraId="364608C2" w14:textId="77777777" w:rsidR="00301E4B" w:rsidRPr="00D97634" w:rsidRDefault="00301E4B" w:rsidP="00301E4B">
      <w:pPr>
        <w:pStyle w:val="ListParagraph"/>
        <w:ind w:right="720"/>
        <w:rPr>
          <w:rFonts w:ascii="Times New Roman" w:hAnsi="Times New Roman" w:cs="Times New Roman"/>
          <w:sz w:val="24"/>
          <w:szCs w:val="24"/>
        </w:rPr>
      </w:pPr>
    </w:p>
    <w:p w14:paraId="37CAD5F7" w14:textId="77777777" w:rsidR="00AA2558" w:rsidRPr="00D97634" w:rsidRDefault="00B154FA" w:rsidP="001E318F">
      <w:pPr>
        <w:pStyle w:val="ListParagraph"/>
        <w:spacing w:after="0" w:line="480" w:lineRule="auto"/>
        <w:ind w:left="0"/>
        <w:jc w:val="both"/>
        <w:rPr>
          <w:rFonts w:ascii="Times New Roman" w:hAnsi="Times New Roman" w:cs="Times New Roman"/>
          <w:sz w:val="24"/>
          <w:szCs w:val="24"/>
        </w:rPr>
      </w:pPr>
      <w:r w:rsidRPr="00D97634">
        <w:rPr>
          <w:rFonts w:ascii="Times New Roman" w:hAnsi="Times New Roman" w:cs="Times New Roman"/>
          <w:sz w:val="24"/>
          <w:szCs w:val="24"/>
        </w:rPr>
        <w:t>(Initial Decision, at 7</w:t>
      </w:r>
      <w:r w:rsidR="00301E4B" w:rsidRPr="00D97634">
        <w:rPr>
          <w:rFonts w:ascii="Times New Roman" w:hAnsi="Times New Roman" w:cs="Times New Roman"/>
          <w:sz w:val="24"/>
          <w:szCs w:val="24"/>
        </w:rPr>
        <w:t xml:space="preserve"> (emphasis added</w:t>
      </w:r>
      <w:r w:rsidRPr="00D97634">
        <w:rPr>
          <w:rFonts w:ascii="Times New Roman" w:hAnsi="Times New Roman" w:cs="Times New Roman"/>
          <w:sz w:val="24"/>
          <w:szCs w:val="24"/>
        </w:rPr>
        <w:t>).</w:t>
      </w:r>
      <w:r w:rsidR="00301E4B" w:rsidRPr="00D97634">
        <w:rPr>
          <w:rFonts w:ascii="Times New Roman" w:hAnsi="Times New Roman" w:cs="Times New Roman"/>
          <w:sz w:val="24"/>
          <w:szCs w:val="24"/>
        </w:rPr>
        <w:t xml:space="preserve">) </w:t>
      </w:r>
      <w:r w:rsidR="00342B64" w:rsidRPr="00D97634">
        <w:rPr>
          <w:rFonts w:ascii="Times New Roman" w:hAnsi="Times New Roman" w:cs="Times New Roman"/>
          <w:sz w:val="24"/>
          <w:szCs w:val="24"/>
        </w:rPr>
        <w:t xml:space="preserve"> </w:t>
      </w:r>
    </w:p>
    <w:p w14:paraId="7B7F3640" w14:textId="77777777" w:rsidR="00301E4B" w:rsidRPr="00D97634" w:rsidRDefault="00B154FA" w:rsidP="001E318F">
      <w:pPr>
        <w:pStyle w:val="ListParagraph"/>
        <w:spacing w:after="0" w:line="480" w:lineRule="auto"/>
        <w:ind w:left="0"/>
        <w:jc w:val="both"/>
        <w:rPr>
          <w:rFonts w:ascii="Times New Roman" w:hAnsi="Times New Roman" w:cs="Times New Roman"/>
          <w:b/>
          <w:i/>
          <w:sz w:val="24"/>
          <w:szCs w:val="24"/>
        </w:rPr>
      </w:pPr>
      <w:r w:rsidRPr="00D97634">
        <w:rPr>
          <w:rFonts w:ascii="Times New Roman" w:hAnsi="Times New Roman" w:cs="Times New Roman"/>
          <w:sz w:val="24"/>
          <w:szCs w:val="24"/>
        </w:rPr>
        <w:tab/>
      </w:r>
      <w:r w:rsidR="00342B64" w:rsidRPr="00D97634">
        <w:rPr>
          <w:rFonts w:ascii="Times New Roman" w:hAnsi="Times New Roman" w:cs="Times New Roman"/>
          <w:sz w:val="24"/>
          <w:szCs w:val="24"/>
        </w:rPr>
        <w:t>The Initial Decision does,</w:t>
      </w:r>
      <w:r w:rsidR="00532685" w:rsidRPr="00D97634">
        <w:rPr>
          <w:rFonts w:ascii="Times New Roman" w:hAnsi="Times New Roman" w:cs="Times New Roman"/>
          <w:sz w:val="24"/>
          <w:szCs w:val="24"/>
        </w:rPr>
        <w:t xml:space="preserve"> therefore</w:t>
      </w:r>
      <w:r w:rsidR="00342B64" w:rsidRPr="00D97634">
        <w:rPr>
          <w:rFonts w:ascii="Times New Roman" w:hAnsi="Times New Roman" w:cs="Times New Roman"/>
          <w:sz w:val="24"/>
          <w:szCs w:val="24"/>
        </w:rPr>
        <w:t xml:space="preserve">, </w:t>
      </w:r>
      <w:r w:rsidR="0048022E" w:rsidRPr="00D97634">
        <w:rPr>
          <w:rFonts w:ascii="Times New Roman" w:hAnsi="Times New Roman" w:cs="Times New Roman"/>
          <w:sz w:val="24"/>
          <w:szCs w:val="24"/>
        </w:rPr>
        <w:t xml:space="preserve">assess the factual significance </w:t>
      </w:r>
      <w:r w:rsidR="006D5406" w:rsidRPr="00D97634">
        <w:rPr>
          <w:rFonts w:ascii="Times New Roman" w:hAnsi="Times New Roman" w:cs="Times New Roman"/>
          <w:sz w:val="24"/>
          <w:szCs w:val="24"/>
        </w:rPr>
        <w:t xml:space="preserve">of the countless differences </w:t>
      </w:r>
      <w:r w:rsidR="0048022E" w:rsidRPr="00D97634">
        <w:rPr>
          <w:rFonts w:ascii="Times New Roman" w:hAnsi="Times New Roman" w:cs="Times New Roman"/>
          <w:sz w:val="24"/>
          <w:szCs w:val="24"/>
        </w:rPr>
        <w:t>relative to the kind of “b</w:t>
      </w:r>
      <w:r w:rsidR="008532E5" w:rsidRPr="00D97634">
        <w:rPr>
          <w:rFonts w:ascii="Times New Roman" w:hAnsi="Times New Roman" w:cs="Times New Roman"/>
          <w:sz w:val="24"/>
          <w:szCs w:val="24"/>
        </w:rPr>
        <w:t>uilding, structure or facility” of the Hartwell Pet Food Facility.</w:t>
      </w:r>
    </w:p>
    <w:p w14:paraId="5A512711" w14:textId="2A076C61" w:rsidR="00301E4B" w:rsidRPr="00D97634" w:rsidRDefault="00B154FA" w:rsidP="00E67796">
      <w:pPr>
        <w:pStyle w:val="ListParagraph"/>
        <w:spacing w:after="0" w:line="480" w:lineRule="auto"/>
        <w:ind w:left="0"/>
        <w:jc w:val="both"/>
        <w:rPr>
          <w:rFonts w:ascii="Times New Roman" w:hAnsi="Times New Roman" w:cs="Times New Roman"/>
          <w:sz w:val="24"/>
          <w:szCs w:val="24"/>
        </w:rPr>
      </w:pPr>
      <w:r w:rsidRPr="00D97634">
        <w:rPr>
          <w:rFonts w:ascii="Times New Roman" w:hAnsi="Times New Roman" w:cs="Times New Roman"/>
          <w:sz w:val="24"/>
          <w:szCs w:val="24"/>
        </w:rPr>
        <w:tab/>
        <w:t xml:space="preserve">Georgia Power is wrong in its assertion that “some of the ‘countless differences’ are unsupported by any </w:t>
      </w:r>
      <w:r w:rsidR="00532685" w:rsidRPr="00D97634">
        <w:rPr>
          <w:rFonts w:ascii="Times New Roman" w:hAnsi="Times New Roman" w:cs="Times New Roman"/>
          <w:sz w:val="24"/>
          <w:szCs w:val="24"/>
        </w:rPr>
        <w:t xml:space="preserve">record </w:t>
      </w:r>
      <w:r w:rsidRPr="00D97634">
        <w:rPr>
          <w:rFonts w:ascii="Times New Roman" w:hAnsi="Times New Roman" w:cs="Times New Roman"/>
          <w:sz w:val="24"/>
          <w:szCs w:val="24"/>
        </w:rPr>
        <w:t>evidence, such as: the employee count for Springs Industries . . .; the finding that ‘[t]he textile mill remained vacant for the next decade while it was listed for sale’ . . . and the finding that ‘Nestle Purina has . . . replaced the air handling systems.’” (</w:t>
      </w:r>
      <w:r w:rsidRPr="00D97634">
        <w:rPr>
          <w:rFonts w:ascii="Times New Roman" w:hAnsi="Times New Roman" w:cs="Times New Roman"/>
          <w:i/>
          <w:sz w:val="24"/>
          <w:szCs w:val="24"/>
        </w:rPr>
        <w:t xml:space="preserve">See </w:t>
      </w:r>
      <w:r w:rsidRPr="00D97634">
        <w:rPr>
          <w:rFonts w:ascii="Times New Roman" w:hAnsi="Times New Roman" w:cs="Times New Roman"/>
          <w:sz w:val="24"/>
          <w:szCs w:val="24"/>
        </w:rPr>
        <w:t xml:space="preserve">GPC </w:t>
      </w:r>
      <w:r w:rsidRPr="00D97634">
        <w:rPr>
          <w:rFonts w:ascii="Times New Roman" w:hAnsi="Times New Roman" w:cs="Times New Roman"/>
          <w:sz w:val="24"/>
          <w:szCs w:val="24"/>
        </w:rPr>
        <w:lastRenderedPageBreak/>
        <w:t>Application, at 17.)  Mr. Gopi Sandhu</w:t>
      </w:r>
      <w:r w:rsidRPr="00D97634">
        <w:rPr>
          <w:rStyle w:val="FootnoteReference"/>
          <w:rFonts w:ascii="Times New Roman" w:hAnsi="Times New Roman" w:cs="Times New Roman"/>
          <w:sz w:val="24"/>
          <w:szCs w:val="24"/>
        </w:rPr>
        <w:footnoteReference w:id="2"/>
      </w:r>
      <w:r w:rsidRPr="00D97634">
        <w:rPr>
          <w:rFonts w:ascii="Times New Roman" w:hAnsi="Times New Roman" w:cs="Times New Roman"/>
          <w:sz w:val="24"/>
          <w:szCs w:val="24"/>
        </w:rPr>
        <w:t xml:space="preserve"> testified to all three </w:t>
      </w:r>
      <w:r w:rsidR="006D5406" w:rsidRPr="00D97634">
        <w:rPr>
          <w:rFonts w:ascii="Times New Roman" w:hAnsi="Times New Roman" w:cs="Times New Roman"/>
          <w:sz w:val="24"/>
          <w:szCs w:val="24"/>
        </w:rPr>
        <w:t>of these facts</w:t>
      </w:r>
      <w:r w:rsidRPr="00D97634">
        <w:rPr>
          <w:rFonts w:ascii="Times New Roman" w:hAnsi="Times New Roman" w:cs="Times New Roman"/>
          <w:sz w:val="24"/>
          <w:szCs w:val="24"/>
        </w:rPr>
        <w:t>: “In 2006, Springs Industries ceased operations and abandoned the textile factory, removing much of its manufacturing equipment, (Sandh</w:t>
      </w:r>
      <w:r w:rsidR="002D4984" w:rsidRPr="00D97634">
        <w:rPr>
          <w:rFonts w:ascii="Times New Roman" w:hAnsi="Times New Roman" w:cs="Times New Roman"/>
          <w:sz w:val="24"/>
          <w:szCs w:val="24"/>
        </w:rPr>
        <w:t>u Test., Tr. 33</w:t>
      </w:r>
      <w:r w:rsidRPr="00D97634">
        <w:rPr>
          <w:rFonts w:ascii="Times New Roman" w:hAnsi="Times New Roman" w:cs="Times New Roman"/>
          <w:sz w:val="24"/>
          <w:szCs w:val="24"/>
        </w:rPr>
        <w:t>5); The facility had been largely aba</w:t>
      </w:r>
      <w:r w:rsidR="002D4984" w:rsidRPr="00D97634">
        <w:rPr>
          <w:rFonts w:ascii="Times New Roman" w:hAnsi="Times New Roman" w:cs="Times New Roman"/>
          <w:sz w:val="24"/>
          <w:szCs w:val="24"/>
        </w:rPr>
        <w:t>ndoned for about 12 years, (</w:t>
      </w:r>
      <w:r w:rsidR="00081E82" w:rsidRPr="00D97634">
        <w:rPr>
          <w:rFonts w:ascii="Times New Roman" w:hAnsi="Times New Roman" w:cs="Times New Roman"/>
          <w:sz w:val="24"/>
          <w:szCs w:val="24"/>
        </w:rPr>
        <w:t xml:space="preserve">Sandhu Test., </w:t>
      </w:r>
      <w:r w:rsidR="002D4984" w:rsidRPr="00D97634">
        <w:rPr>
          <w:rFonts w:ascii="Times New Roman" w:hAnsi="Times New Roman" w:cs="Times New Roman"/>
          <w:sz w:val="24"/>
          <w:szCs w:val="24"/>
        </w:rPr>
        <w:t>Tr. 309, 335</w:t>
      </w:r>
      <w:r w:rsidRPr="00D97634">
        <w:rPr>
          <w:rFonts w:ascii="Times New Roman" w:hAnsi="Times New Roman" w:cs="Times New Roman"/>
          <w:sz w:val="24"/>
          <w:szCs w:val="24"/>
        </w:rPr>
        <w:t xml:space="preserve">); Portions of the existing premises had to be demolished and replaced, including the existing electrical, storm water, wastewater, HVAC and air handling systems.”  (Sandhu Test., Tr. 319.)  </w:t>
      </w:r>
    </w:p>
    <w:p w14:paraId="76548DB7" w14:textId="126FDD83" w:rsidR="008830C7" w:rsidRPr="00D97634" w:rsidRDefault="00B154FA" w:rsidP="00E67796">
      <w:pPr>
        <w:pStyle w:val="ListParagraph"/>
        <w:spacing w:after="0" w:line="480" w:lineRule="auto"/>
        <w:ind w:left="0"/>
        <w:jc w:val="both"/>
        <w:rPr>
          <w:rFonts w:ascii="Times New Roman" w:hAnsi="Times New Roman" w:cs="Times New Roman"/>
          <w:sz w:val="24"/>
          <w:szCs w:val="24"/>
        </w:rPr>
      </w:pPr>
      <w:r w:rsidRPr="00D97634">
        <w:rPr>
          <w:rFonts w:ascii="Times New Roman" w:hAnsi="Times New Roman" w:cs="Times New Roman"/>
          <w:sz w:val="24"/>
          <w:szCs w:val="24"/>
        </w:rPr>
        <w:tab/>
      </w:r>
      <w:r w:rsidR="002E1256" w:rsidRPr="00D97634">
        <w:rPr>
          <w:rFonts w:ascii="Times New Roman" w:hAnsi="Times New Roman" w:cs="Times New Roman"/>
          <w:sz w:val="24"/>
          <w:szCs w:val="24"/>
        </w:rPr>
        <w:t>T</w:t>
      </w:r>
      <w:r w:rsidR="00E67796" w:rsidRPr="00D97634">
        <w:rPr>
          <w:rFonts w:ascii="Times New Roman" w:hAnsi="Times New Roman" w:cs="Times New Roman"/>
          <w:sz w:val="24"/>
          <w:szCs w:val="24"/>
        </w:rPr>
        <w:t xml:space="preserve">he Initial Decision’s holding rests on sound reason and findings of fact supported by </w:t>
      </w:r>
      <w:r w:rsidR="00532685" w:rsidRPr="00D97634">
        <w:rPr>
          <w:rFonts w:ascii="Times New Roman" w:hAnsi="Times New Roman" w:cs="Times New Roman"/>
          <w:sz w:val="24"/>
          <w:szCs w:val="24"/>
        </w:rPr>
        <w:t xml:space="preserve">the </w:t>
      </w:r>
      <w:r w:rsidR="00E67796" w:rsidRPr="00D97634">
        <w:rPr>
          <w:rFonts w:ascii="Times New Roman" w:hAnsi="Times New Roman" w:cs="Times New Roman"/>
          <w:sz w:val="24"/>
          <w:szCs w:val="24"/>
        </w:rPr>
        <w:t xml:space="preserve">record evidence. </w:t>
      </w:r>
      <w:r w:rsidR="006D5406" w:rsidRPr="00D97634">
        <w:rPr>
          <w:rFonts w:ascii="Times New Roman" w:hAnsi="Times New Roman" w:cs="Times New Roman"/>
          <w:sz w:val="24"/>
          <w:szCs w:val="24"/>
        </w:rPr>
        <w:t>The</w:t>
      </w:r>
      <w:r w:rsidR="00E67796" w:rsidRPr="00D97634">
        <w:rPr>
          <w:rFonts w:ascii="Times New Roman" w:hAnsi="Times New Roman" w:cs="Times New Roman"/>
          <w:sz w:val="24"/>
          <w:szCs w:val="24"/>
        </w:rPr>
        <w:t xml:space="preserve"> </w:t>
      </w:r>
      <w:r w:rsidR="00532685" w:rsidRPr="00D97634">
        <w:rPr>
          <w:rFonts w:ascii="Times New Roman" w:hAnsi="Times New Roman" w:cs="Times New Roman"/>
          <w:sz w:val="24"/>
          <w:szCs w:val="24"/>
        </w:rPr>
        <w:t>Initial Decision</w:t>
      </w:r>
      <w:r w:rsidR="00E67796" w:rsidRPr="00D97634">
        <w:rPr>
          <w:rFonts w:ascii="Times New Roman" w:hAnsi="Times New Roman" w:cs="Times New Roman"/>
          <w:sz w:val="24"/>
          <w:szCs w:val="24"/>
        </w:rPr>
        <w:t xml:space="preserve"> </w:t>
      </w:r>
      <w:r w:rsidR="00BA12C1" w:rsidRPr="00D97634">
        <w:rPr>
          <w:rFonts w:ascii="Times New Roman" w:hAnsi="Times New Roman" w:cs="Times New Roman"/>
          <w:sz w:val="24"/>
          <w:szCs w:val="24"/>
        </w:rPr>
        <w:t>includes</w:t>
      </w:r>
      <w:r w:rsidR="00E67796" w:rsidRPr="00D97634">
        <w:rPr>
          <w:rFonts w:ascii="Times New Roman" w:hAnsi="Times New Roman" w:cs="Times New Roman"/>
          <w:sz w:val="24"/>
          <w:szCs w:val="24"/>
        </w:rPr>
        <w:t xml:space="preserve"> the following Findings of Fact:</w:t>
      </w:r>
    </w:p>
    <w:p w14:paraId="24CD9DD1" w14:textId="77777777" w:rsidR="00CA5509"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Nestle </w:t>
      </w:r>
      <w:r w:rsidR="00E67796" w:rsidRPr="00D97634">
        <w:rPr>
          <w:rFonts w:ascii="Times New Roman" w:eastAsia="Times New Roman" w:hAnsi="Times New Roman" w:cs="Times New Roman"/>
          <w:sz w:val="24"/>
          <w:szCs w:val="24"/>
        </w:rPr>
        <w:t>testified that the existing buildings</w:t>
      </w:r>
      <w:r w:rsidRPr="00D97634">
        <w:rPr>
          <w:rFonts w:ascii="Times New Roman" w:eastAsia="Times New Roman" w:hAnsi="Times New Roman" w:cs="Times New Roman"/>
          <w:sz w:val="24"/>
          <w:szCs w:val="24"/>
        </w:rPr>
        <w:t xml:space="preserve"> and systems were dilapidated. [Tr. 506</w:t>
      </w:r>
      <w:r w:rsidR="00C66B0C" w:rsidRPr="00D97634">
        <w:rPr>
          <w:rFonts w:ascii="Times New Roman" w:eastAsia="Times New Roman" w:hAnsi="Times New Roman" w:cs="Times New Roman"/>
          <w:sz w:val="24"/>
          <w:szCs w:val="24"/>
        </w:rPr>
        <w:t>.</w:t>
      </w:r>
      <w:r w:rsidRPr="00D97634">
        <w:rPr>
          <w:rFonts w:ascii="Times New Roman" w:eastAsia="Times New Roman" w:hAnsi="Times New Roman" w:cs="Times New Roman"/>
          <w:sz w:val="24"/>
          <w:szCs w:val="24"/>
        </w:rPr>
        <w:t>]</w:t>
      </w:r>
    </w:p>
    <w:p w14:paraId="7F2C29F9" w14:textId="77777777" w:rsidR="00CA5509"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Nestle </w:t>
      </w:r>
      <w:r w:rsidR="00E67796" w:rsidRPr="00D97634">
        <w:rPr>
          <w:rFonts w:ascii="Times New Roman" w:eastAsia="Times New Roman" w:hAnsi="Times New Roman" w:cs="Times New Roman"/>
          <w:sz w:val="24"/>
          <w:szCs w:val="24"/>
        </w:rPr>
        <w:t xml:space="preserve">witness Sandhu stated that it was clear once </w:t>
      </w:r>
      <w:r w:rsidR="008B701E" w:rsidRPr="00D97634">
        <w:rPr>
          <w:rFonts w:ascii="Times New Roman" w:eastAsia="Times New Roman" w:hAnsi="Times New Roman" w:cs="Times New Roman"/>
          <w:sz w:val="24"/>
          <w:szCs w:val="24"/>
        </w:rPr>
        <w:t>Nestle</w:t>
      </w:r>
      <w:r w:rsidRPr="00D97634">
        <w:rPr>
          <w:rFonts w:ascii="Times New Roman" w:eastAsia="Times New Roman" w:hAnsi="Times New Roman" w:cs="Times New Roman"/>
          <w:sz w:val="24"/>
          <w:szCs w:val="24"/>
        </w:rPr>
        <w:t xml:space="preserve"> </w:t>
      </w:r>
      <w:r w:rsidR="00E67796" w:rsidRPr="00D97634">
        <w:rPr>
          <w:rFonts w:ascii="Times New Roman" w:eastAsia="Times New Roman" w:hAnsi="Times New Roman" w:cs="Times New Roman"/>
          <w:sz w:val="24"/>
          <w:szCs w:val="24"/>
        </w:rPr>
        <w:t>acquired the old Premises that portions of i</w:t>
      </w:r>
      <w:r w:rsidRPr="00D97634">
        <w:rPr>
          <w:rFonts w:ascii="Times New Roman" w:eastAsia="Times New Roman" w:hAnsi="Times New Roman" w:cs="Times New Roman"/>
          <w:sz w:val="24"/>
          <w:szCs w:val="24"/>
        </w:rPr>
        <w:t>t would have to be demolished. [Tr. 319</w:t>
      </w:r>
      <w:r w:rsidR="00C66B0C" w:rsidRPr="00D97634">
        <w:rPr>
          <w:rFonts w:ascii="Times New Roman" w:eastAsia="Times New Roman" w:hAnsi="Times New Roman" w:cs="Times New Roman"/>
          <w:sz w:val="24"/>
          <w:szCs w:val="24"/>
        </w:rPr>
        <w:t>.</w:t>
      </w:r>
      <w:r w:rsidRPr="00D97634">
        <w:rPr>
          <w:rFonts w:ascii="Times New Roman" w:eastAsia="Times New Roman" w:hAnsi="Times New Roman" w:cs="Times New Roman"/>
          <w:sz w:val="24"/>
          <w:szCs w:val="24"/>
        </w:rPr>
        <w:t>]</w:t>
      </w:r>
    </w:p>
    <w:p w14:paraId="5C53277F" w14:textId="77777777" w:rsidR="00CA5509"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The existing systems, electrical, stormwater, wastewater, HVAC, and, among others, would all have to be removed and replaced, and substantial portions of the roofing and flooring completely replaced. [Tr. 319</w:t>
      </w:r>
      <w:r w:rsidR="00C66B0C" w:rsidRPr="00D97634">
        <w:rPr>
          <w:rFonts w:ascii="Times New Roman" w:eastAsia="Times New Roman" w:hAnsi="Times New Roman" w:cs="Times New Roman"/>
          <w:sz w:val="24"/>
          <w:szCs w:val="24"/>
        </w:rPr>
        <w:t>.</w:t>
      </w:r>
      <w:r w:rsidRPr="00D97634">
        <w:rPr>
          <w:rFonts w:ascii="Times New Roman" w:eastAsia="Times New Roman" w:hAnsi="Times New Roman" w:cs="Times New Roman"/>
          <w:sz w:val="24"/>
          <w:szCs w:val="24"/>
        </w:rPr>
        <w:t>]</w:t>
      </w:r>
    </w:p>
    <w:p w14:paraId="7D1F1EA8" w14:textId="77777777" w:rsidR="00E67796"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The wastewater pre-treatment system was designed for textile operations, and was in disrepair.  A new wastewater treatment system with different unit operations would be required to accommodat</w:t>
      </w:r>
      <w:r w:rsidR="00CA5509" w:rsidRPr="00D97634">
        <w:rPr>
          <w:rFonts w:ascii="Times New Roman" w:eastAsia="Times New Roman" w:hAnsi="Times New Roman" w:cs="Times New Roman"/>
          <w:sz w:val="24"/>
          <w:szCs w:val="24"/>
        </w:rPr>
        <w:t>e a food processing operation. [Tr.</w:t>
      </w:r>
      <w:r w:rsidR="00B77350" w:rsidRPr="00D97634">
        <w:rPr>
          <w:rFonts w:ascii="Times New Roman" w:eastAsia="Times New Roman" w:hAnsi="Times New Roman" w:cs="Times New Roman"/>
          <w:sz w:val="24"/>
          <w:szCs w:val="24"/>
        </w:rPr>
        <w:t xml:space="preserve"> </w:t>
      </w:r>
      <w:r w:rsidR="00CA5509" w:rsidRPr="00D97634">
        <w:rPr>
          <w:rFonts w:ascii="Times New Roman" w:eastAsia="Times New Roman" w:hAnsi="Times New Roman" w:cs="Times New Roman"/>
          <w:sz w:val="24"/>
          <w:szCs w:val="24"/>
        </w:rPr>
        <w:t>72, 318, 465</w:t>
      </w:r>
      <w:r w:rsidR="00C66B0C" w:rsidRPr="00D97634">
        <w:rPr>
          <w:rFonts w:ascii="Times New Roman" w:eastAsia="Times New Roman" w:hAnsi="Times New Roman" w:cs="Times New Roman"/>
          <w:sz w:val="24"/>
          <w:szCs w:val="24"/>
        </w:rPr>
        <w:t>.</w:t>
      </w:r>
      <w:r w:rsidR="00CA5509" w:rsidRPr="00D97634">
        <w:rPr>
          <w:rFonts w:ascii="Times New Roman" w:eastAsia="Times New Roman" w:hAnsi="Times New Roman" w:cs="Times New Roman"/>
          <w:sz w:val="24"/>
          <w:szCs w:val="24"/>
        </w:rPr>
        <w:t>]</w:t>
      </w:r>
    </w:p>
    <w:p w14:paraId="2DE805F9" w14:textId="77777777" w:rsidR="005D25AB" w:rsidRPr="00D97634" w:rsidRDefault="00B154FA" w:rsidP="005D25AB">
      <w:pPr>
        <w:widowControl w:val="0"/>
        <w:tabs>
          <w:tab w:val="left" w:pos="-720"/>
        </w:tabs>
        <w:suppressAutoHyphens/>
        <w:autoSpaceDE w:val="0"/>
        <w:autoSpaceDN w:val="0"/>
        <w:adjustRightInd w:val="0"/>
        <w:jc w:val="both"/>
        <w:rPr>
          <w:rFonts w:ascii="Times New Roman" w:hAnsi="Times New Roman" w:cs="Times New Roman"/>
          <w:sz w:val="24"/>
          <w:szCs w:val="24"/>
        </w:rPr>
      </w:pPr>
      <w:r w:rsidRPr="00D97634">
        <w:rPr>
          <w:rFonts w:ascii="Times New Roman" w:eastAsia="Times New Roman" w:hAnsi="Times New Roman" w:cs="Times New Roman"/>
          <w:sz w:val="24"/>
          <w:szCs w:val="24"/>
        </w:rPr>
        <w:t>(Initial Decision, at 6-7.)</w:t>
      </w:r>
    </w:p>
    <w:p w14:paraId="3939ED83" w14:textId="77777777" w:rsidR="00CA5509"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pacing w:val="-1"/>
          <w:sz w:val="24"/>
          <w:szCs w:val="24"/>
        </w:rPr>
      </w:pPr>
      <w:r w:rsidRPr="00D97634">
        <w:rPr>
          <w:rFonts w:ascii="Times New Roman" w:eastAsia="Times New Roman" w:hAnsi="Times New Roman" w:cs="Times New Roman"/>
          <w:spacing w:val="-1"/>
          <w:sz w:val="24"/>
          <w:szCs w:val="24"/>
        </w:rPr>
        <w:t xml:space="preserve">The existing interior offices were stained and unusable, and thus had to be demolished. (Tr. 455). </w:t>
      </w:r>
    </w:p>
    <w:p w14:paraId="7E597C13" w14:textId="77777777" w:rsidR="00CA5509"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pacing w:val="-1"/>
          <w:sz w:val="24"/>
          <w:szCs w:val="24"/>
        </w:rPr>
      </w:pPr>
      <w:r w:rsidRPr="00D97634">
        <w:rPr>
          <w:rFonts w:ascii="Times New Roman" w:eastAsia="Times New Roman" w:hAnsi="Times New Roman" w:cs="Times New Roman"/>
          <w:spacing w:val="-1"/>
          <w:sz w:val="24"/>
          <w:szCs w:val="24"/>
        </w:rPr>
        <w:t>The existing facility was infiltrated with birds and pests, as well as exposed to the elements and outside air with none of the temperature control or proper air handling required for the processing and packaging of wet pet food. [Tr. 455</w:t>
      </w:r>
      <w:r w:rsidR="00C66B0C" w:rsidRPr="00D97634">
        <w:rPr>
          <w:rFonts w:ascii="Times New Roman" w:eastAsia="Times New Roman" w:hAnsi="Times New Roman" w:cs="Times New Roman"/>
          <w:spacing w:val="-1"/>
          <w:sz w:val="24"/>
          <w:szCs w:val="24"/>
        </w:rPr>
        <w:t>.</w:t>
      </w:r>
      <w:r w:rsidRPr="00D97634">
        <w:rPr>
          <w:rFonts w:ascii="Times New Roman" w:eastAsia="Times New Roman" w:hAnsi="Times New Roman" w:cs="Times New Roman"/>
          <w:spacing w:val="-1"/>
          <w:sz w:val="24"/>
          <w:szCs w:val="24"/>
        </w:rPr>
        <w:t>]</w:t>
      </w:r>
    </w:p>
    <w:p w14:paraId="49F9DBAA" w14:textId="77777777" w:rsidR="00CA5509"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pacing w:val="-1"/>
          <w:sz w:val="24"/>
          <w:szCs w:val="24"/>
        </w:rPr>
      </w:pPr>
      <w:r w:rsidRPr="00D97634">
        <w:rPr>
          <w:rFonts w:ascii="Times New Roman" w:eastAsia="Times New Roman" w:hAnsi="Times New Roman" w:cs="Times New Roman"/>
          <w:spacing w:val="-1"/>
          <w:sz w:val="24"/>
          <w:szCs w:val="24"/>
        </w:rPr>
        <w:t>In addition, the existing facility lacked sufficient utility systems to power, clean, and safeguard a new wet pet food manufacturing facility, or to maintain a chilled temperature to store ingredients. [Tr. 455</w:t>
      </w:r>
      <w:r w:rsidR="00C66B0C" w:rsidRPr="00D97634">
        <w:rPr>
          <w:rFonts w:ascii="Times New Roman" w:eastAsia="Times New Roman" w:hAnsi="Times New Roman" w:cs="Times New Roman"/>
          <w:spacing w:val="-1"/>
          <w:sz w:val="24"/>
          <w:szCs w:val="24"/>
        </w:rPr>
        <w:t>.</w:t>
      </w:r>
      <w:r w:rsidRPr="00D97634">
        <w:rPr>
          <w:rFonts w:ascii="Times New Roman" w:eastAsia="Times New Roman" w:hAnsi="Times New Roman" w:cs="Times New Roman"/>
          <w:spacing w:val="-1"/>
          <w:sz w:val="24"/>
          <w:szCs w:val="24"/>
        </w:rPr>
        <w:t>]</w:t>
      </w:r>
    </w:p>
    <w:p w14:paraId="116CDEDB" w14:textId="77777777" w:rsidR="00CA5509"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pacing w:val="-1"/>
          <w:sz w:val="24"/>
          <w:szCs w:val="24"/>
        </w:rPr>
        <w:t xml:space="preserve">Nestle </w:t>
      </w:r>
      <w:r w:rsidR="00E67796" w:rsidRPr="00D97634">
        <w:rPr>
          <w:rFonts w:ascii="Times New Roman" w:eastAsia="Times New Roman" w:hAnsi="Times New Roman" w:cs="Times New Roman"/>
          <w:spacing w:val="-1"/>
          <w:sz w:val="24"/>
          <w:szCs w:val="24"/>
        </w:rPr>
        <w:t xml:space="preserve">Purina was also only able to preserve and use some of the external walls and portions of the roof. </w:t>
      </w:r>
      <w:r w:rsidR="00E67796" w:rsidRPr="00D97634">
        <w:rPr>
          <w:rFonts w:ascii="Times New Roman" w:eastAsia="Times New Roman" w:hAnsi="Times New Roman" w:cs="Times New Roman"/>
          <w:i/>
          <w:spacing w:val="-1"/>
          <w:sz w:val="24"/>
          <w:szCs w:val="24"/>
        </w:rPr>
        <w:t xml:space="preserve">(Id.) </w:t>
      </w:r>
      <w:r w:rsidR="00E67796" w:rsidRPr="00D97634">
        <w:rPr>
          <w:rFonts w:ascii="Times New Roman" w:eastAsia="Times New Roman" w:hAnsi="Times New Roman" w:cs="Times New Roman"/>
          <w:spacing w:val="-1"/>
          <w:sz w:val="24"/>
          <w:szCs w:val="24"/>
        </w:rPr>
        <w:t xml:space="preserve">Specifically, the areas of the roof over the bleachery had water penetration issues and were replaced immediately, with the rest of the </w:t>
      </w:r>
      <w:r w:rsidR="00E67796" w:rsidRPr="00D97634">
        <w:rPr>
          <w:rFonts w:ascii="Times New Roman" w:eastAsia="Times New Roman" w:hAnsi="Times New Roman" w:cs="Times New Roman"/>
          <w:spacing w:val="-1"/>
          <w:sz w:val="24"/>
          <w:szCs w:val="24"/>
        </w:rPr>
        <w:lastRenderedPageBreak/>
        <w:t xml:space="preserve">roof needing to be replaced in segments over </w:t>
      </w:r>
      <w:r w:rsidR="00E67796" w:rsidRPr="00D97634">
        <w:rPr>
          <w:rFonts w:ascii="Times New Roman" w:eastAsia="Times New Roman" w:hAnsi="Times New Roman" w:cs="Times New Roman"/>
          <w:sz w:val="24"/>
          <w:szCs w:val="24"/>
        </w:rPr>
        <w:t xml:space="preserve">the next several years. </w:t>
      </w:r>
      <w:r w:rsidR="00450AB5" w:rsidRPr="00D97634">
        <w:rPr>
          <w:rFonts w:ascii="Times New Roman" w:eastAsia="Times New Roman" w:hAnsi="Times New Roman" w:cs="Times New Roman"/>
          <w:spacing w:val="-1"/>
          <w:sz w:val="24"/>
          <w:szCs w:val="24"/>
        </w:rPr>
        <w:t>[Tr. 455</w:t>
      </w:r>
      <w:r w:rsidR="00C66B0C" w:rsidRPr="00D97634">
        <w:rPr>
          <w:rFonts w:ascii="Times New Roman" w:eastAsia="Times New Roman" w:hAnsi="Times New Roman" w:cs="Times New Roman"/>
          <w:spacing w:val="-1"/>
          <w:sz w:val="24"/>
          <w:szCs w:val="24"/>
        </w:rPr>
        <w:t>.</w:t>
      </w:r>
      <w:r w:rsidR="00450AB5" w:rsidRPr="00D97634">
        <w:rPr>
          <w:rFonts w:ascii="Times New Roman" w:eastAsia="Times New Roman" w:hAnsi="Times New Roman" w:cs="Times New Roman"/>
          <w:spacing w:val="-1"/>
          <w:sz w:val="24"/>
          <w:szCs w:val="24"/>
        </w:rPr>
        <w:t>]</w:t>
      </w:r>
    </w:p>
    <w:p w14:paraId="18AE1FB9" w14:textId="77777777" w:rsidR="00E67796" w:rsidRPr="00D97634" w:rsidRDefault="00B154FA" w:rsidP="00E67796">
      <w:pPr>
        <w:widowControl w:val="0"/>
        <w:tabs>
          <w:tab w:val="left" w:pos="-720"/>
        </w:tabs>
        <w:suppressAutoHyphens/>
        <w:autoSpaceDE w:val="0"/>
        <w:autoSpaceDN w:val="0"/>
        <w:adjustRightInd w:val="0"/>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Nestle Project Engineering Manager, explained that the existing roof had a ballasted roof system; the mechanically fastened roofing system installed by </w:t>
      </w:r>
      <w:r w:rsidR="009E00E9" w:rsidRPr="00D97634">
        <w:rPr>
          <w:rFonts w:ascii="Times New Roman" w:eastAsia="Times New Roman" w:hAnsi="Times New Roman" w:cs="Times New Roman"/>
          <w:sz w:val="24"/>
          <w:szCs w:val="24"/>
        </w:rPr>
        <w:t xml:space="preserve">Nestle </w:t>
      </w:r>
      <w:r w:rsidRPr="00D97634">
        <w:rPr>
          <w:rFonts w:ascii="Times New Roman" w:eastAsia="Times New Roman" w:hAnsi="Times New Roman" w:cs="Times New Roman"/>
          <w:sz w:val="24"/>
          <w:szCs w:val="24"/>
        </w:rPr>
        <w:t>Purina is preferred because it is a more hygienic option than the exi</w:t>
      </w:r>
      <w:r w:rsidR="00CA5509" w:rsidRPr="00D97634">
        <w:rPr>
          <w:rFonts w:ascii="Times New Roman" w:eastAsia="Times New Roman" w:hAnsi="Times New Roman" w:cs="Times New Roman"/>
          <w:sz w:val="24"/>
          <w:szCs w:val="24"/>
        </w:rPr>
        <w:t>sting ballasted system. (T-447)</w:t>
      </w:r>
    </w:p>
    <w:p w14:paraId="6B03BD78" w14:textId="77777777" w:rsidR="005D25AB" w:rsidRPr="00D97634" w:rsidRDefault="00B154FA" w:rsidP="005D25AB">
      <w:pPr>
        <w:widowControl w:val="0"/>
        <w:tabs>
          <w:tab w:val="left" w:pos="-720"/>
        </w:tabs>
        <w:suppressAutoHyphens/>
        <w:autoSpaceDE w:val="0"/>
        <w:autoSpaceDN w:val="0"/>
        <w:adjustRightInd w:val="0"/>
        <w:jc w:val="both"/>
        <w:rPr>
          <w:rFonts w:ascii="Times New Roman" w:hAnsi="Times New Roman" w:cs="Times New Roman"/>
          <w:sz w:val="24"/>
          <w:szCs w:val="24"/>
        </w:rPr>
      </w:pPr>
      <w:r w:rsidRPr="00D97634">
        <w:rPr>
          <w:rFonts w:ascii="Times New Roman" w:eastAsia="Times New Roman" w:hAnsi="Times New Roman" w:cs="Times New Roman"/>
          <w:sz w:val="24"/>
          <w:szCs w:val="24"/>
        </w:rPr>
        <w:t>(Initial Decision, at 7.)</w:t>
      </w:r>
    </w:p>
    <w:p w14:paraId="09888674" w14:textId="77777777" w:rsidR="000F5A87" w:rsidRPr="00D97634" w:rsidRDefault="00B154FA" w:rsidP="00CA5509">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 xml:space="preserve">The Hearing Officer finds that </w:t>
      </w:r>
      <w:r w:rsidR="00F81CCE" w:rsidRPr="00D97634">
        <w:rPr>
          <w:rFonts w:ascii="Times New Roman" w:hAnsi="Times New Roman" w:cs="Times New Roman"/>
          <w:sz w:val="24"/>
          <w:szCs w:val="24"/>
        </w:rPr>
        <w:t xml:space="preserve">Nestlé </w:t>
      </w:r>
      <w:r w:rsidRPr="00D97634">
        <w:rPr>
          <w:rFonts w:ascii="Times New Roman" w:hAnsi="Times New Roman" w:cs="Times New Roman"/>
          <w:sz w:val="24"/>
          <w:szCs w:val="24"/>
        </w:rPr>
        <w:t xml:space="preserve"> removed and replaced the electrical system and infrastructure</w:t>
      </w:r>
      <w:r w:rsidR="00450AB5" w:rsidRPr="00D97634">
        <w:rPr>
          <w:rFonts w:ascii="Times New Roman" w:hAnsi="Times New Roman" w:cs="Times New Roman"/>
          <w:sz w:val="24"/>
          <w:szCs w:val="24"/>
        </w:rPr>
        <w:t xml:space="preserve"> [Tr. 377]</w:t>
      </w:r>
      <w:r w:rsidRPr="00D97634">
        <w:rPr>
          <w:rFonts w:ascii="Times New Roman" w:hAnsi="Times New Roman" w:cs="Times New Roman"/>
          <w:sz w:val="24"/>
          <w:szCs w:val="24"/>
        </w:rPr>
        <w:t>; removed and replaced 30 percent of the flooring and foundation in its food processing area</w:t>
      </w:r>
      <w:r w:rsidR="00450AB5" w:rsidRPr="00D97634">
        <w:rPr>
          <w:rFonts w:ascii="Times New Roman" w:hAnsi="Times New Roman" w:cs="Times New Roman"/>
          <w:sz w:val="24"/>
          <w:szCs w:val="24"/>
        </w:rPr>
        <w:t xml:space="preserve"> [Tr. 267-68, 457]</w:t>
      </w:r>
      <w:r w:rsidRPr="00D97634">
        <w:rPr>
          <w:rFonts w:ascii="Times New Roman" w:hAnsi="Times New Roman" w:cs="Times New Roman"/>
          <w:sz w:val="24"/>
          <w:szCs w:val="24"/>
        </w:rPr>
        <w:t>; removed concrete slabs in the old weave room</w:t>
      </w:r>
      <w:r w:rsidR="00450AB5" w:rsidRPr="00D97634">
        <w:rPr>
          <w:rFonts w:ascii="Times New Roman" w:hAnsi="Times New Roman" w:cs="Times New Roman"/>
          <w:sz w:val="24"/>
          <w:szCs w:val="24"/>
        </w:rPr>
        <w:t xml:space="preserve"> [Tr. 457]</w:t>
      </w:r>
      <w:r w:rsidRPr="00D97634">
        <w:rPr>
          <w:rFonts w:ascii="Times New Roman" w:hAnsi="Times New Roman" w:cs="Times New Roman"/>
          <w:sz w:val="24"/>
          <w:szCs w:val="24"/>
        </w:rPr>
        <w:t>; changed the foundation in the old bleachery by filling the old vats with concrete and the old pits with ballast, structural steel, and concrete</w:t>
      </w:r>
      <w:r w:rsidR="00450AB5" w:rsidRPr="00D97634">
        <w:rPr>
          <w:rFonts w:ascii="Times New Roman" w:hAnsi="Times New Roman" w:cs="Times New Roman"/>
          <w:sz w:val="24"/>
          <w:szCs w:val="24"/>
        </w:rPr>
        <w:t xml:space="preserve"> [Tr.</w:t>
      </w:r>
      <w:r w:rsidR="00146923" w:rsidRPr="00D97634">
        <w:rPr>
          <w:rFonts w:ascii="Times New Roman" w:hAnsi="Times New Roman" w:cs="Times New Roman"/>
          <w:sz w:val="24"/>
          <w:szCs w:val="24"/>
        </w:rPr>
        <w:t xml:space="preserve"> </w:t>
      </w:r>
      <w:r w:rsidR="00450AB5" w:rsidRPr="00D97634">
        <w:rPr>
          <w:rFonts w:ascii="Times New Roman" w:hAnsi="Times New Roman" w:cs="Times New Roman"/>
          <w:sz w:val="24"/>
          <w:szCs w:val="24"/>
        </w:rPr>
        <w:t>79, 456-57]</w:t>
      </w:r>
      <w:r w:rsidRPr="00D97634">
        <w:rPr>
          <w:rFonts w:ascii="Times New Roman" w:hAnsi="Times New Roman" w:cs="Times New Roman"/>
          <w:sz w:val="24"/>
          <w:szCs w:val="24"/>
        </w:rPr>
        <w:t>; removed the roof above the old bleachery, the old tank building, and some of the distribution center</w:t>
      </w:r>
      <w:r w:rsidR="00450AB5" w:rsidRPr="00D97634">
        <w:rPr>
          <w:rFonts w:ascii="Times New Roman" w:hAnsi="Times New Roman" w:cs="Times New Roman"/>
          <w:sz w:val="24"/>
          <w:szCs w:val="24"/>
        </w:rPr>
        <w:t xml:space="preserve"> [Tr. 455]</w:t>
      </w:r>
      <w:r w:rsidRPr="00D97634">
        <w:rPr>
          <w:rFonts w:ascii="Times New Roman" w:hAnsi="Times New Roman" w:cs="Times New Roman"/>
          <w:sz w:val="24"/>
          <w:szCs w:val="24"/>
        </w:rPr>
        <w:t>; demolished the old filter press’ structural piers [Tr. 465]; demolished and removed the old air washing pits; and demolished the old crane system. [Tr. 447-48</w:t>
      </w:r>
      <w:r w:rsidR="00C66B0C" w:rsidRPr="00D97634">
        <w:rPr>
          <w:rFonts w:ascii="Times New Roman" w:hAnsi="Times New Roman" w:cs="Times New Roman"/>
          <w:sz w:val="24"/>
          <w:szCs w:val="24"/>
        </w:rPr>
        <w:t>.</w:t>
      </w:r>
      <w:r w:rsidRPr="00D97634">
        <w:rPr>
          <w:rFonts w:ascii="Times New Roman" w:hAnsi="Times New Roman" w:cs="Times New Roman"/>
          <w:sz w:val="24"/>
          <w:szCs w:val="24"/>
        </w:rPr>
        <w:t>]</w:t>
      </w:r>
    </w:p>
    <w:p w14:paraId="559ACC4F" w14:textId="77777777" w:rsidR="000F5A87" w:rsidRPr="00D97634" w:rsidRDefault="00B154FA" w:rsidP="00CA5509">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 xml:space="preserve">Nestle </w:t>
      </w:r>
      <w:r w:rsidR="00981EEC" w:rsidRPr="00D97634">
        <w:rPr>
          <w:rFonts w:ascii="Times New Roman" w:hAnsi="Times New Roman" w:cs="Times New Roman"/>
          <w:sz w:val="24"/>
          <w:szCs w:val="24"/>
        </w:rPr>
        <w:t>Purina has swallowed up the old ventilation tunnels</w:t>
      </w:r>
      <w:r w:rsidRPr="00D97634">
        <w:rPr>
          <w:rFonts w:ascii="Times New Roman" w:hAnsi="Times New Roman" w:cs="Times New Roman"/>
          <w:sz w:val="24"/>
          <w:szCs w:val="24"/>
        </w:rPr>
        <w:t xml:space="preserve"> [Tr. 448-49]</w:t>
      </w:r>
      <w:r w:rsidR="00981EEC" w:rsidRPr="00D97634">
        <w:rPr>
          <w:rFonts w:ascii="Times New Roman" w:hAnsi="Times New Roman" w:cs="Times New Roman"/>
          <w:sz w:val="24"/>
          <w:szCs w:val="24"/>
        </w:rPr>
        <w:t>; some interior and exterior walls</w:t>
      </w:r>
      <w:r w:rsidRPr="00D97634">
        <w:rPr>
          <w:rFonts w:ascii="Times New Roman" w:hAnsi="Times New Roman" w:cs="Times New Roman"/>
          <w:sz w:val="24"/>
          <w:szCs w:val="24"/>
        </w:rPr>
        <w:t xml:space="preserve"> [Tr. 455, 457, 471]</w:t>
      </w:r>
      <w:r w:rsidR="00981EEC" w:rsidRPr="00D97634">
        <w:rPr>
          <w:rFonts w:ascii="Times New Roman" w:hAnsi="Times New Roman" w:cs="Times New Roman"/>
          <w:sz w:val="24"/>
          <w:szCs w:val="24"/>
        </w:rPr>
        <w:t>; and replaced the old air plenum where the new office space sits</w:t>
      </w:r>
      <w:r w:rsidR="00C66B0C" w:rsidRPr="00D97634">
        <w:rPr>
          <w:rFonts w:ascii="Times New Roman" w:hAnsi="Times New Roman" w:cs="Times New Roman"/>
          <w:sz w:val="24"/>
          <w:szCs w:val="24"/>
        </w:rPr>
        <w:t>.</w:t>
      </w:r>
      <w:r w:rsidRPr="00D97634">
        <w:rPr>
          <w:rFonts w:ascii="Times New Roman" w:hAnsi="Times New Roman" w:cs="Times New Roman"/>
          <w:sz w:val="24"/>
          <w:szCs w:val="24"/>
        </w:rPr>
        <w:t xml:space="preserve"> [Tr. 455</w:t>
      </w:r>
      <w:r w:rsidR="00C66B0C" w:rsidRPr="00D97634">
        <w:rPr>
          <w:rFonts w:ascii="Times New Roman" w:hAnsi="Times New Roman" w:cs="Times New Roman"/>
          <w:sz w:val="24"/>
          <w:szCs w:val="24"/>
        </w:rPr>
        <w:t>.</w:t>
      </w:r>
      <w:r w:rsidRPr="00D97634">
        <w:rPr>
          <w:rFonts w:ascii="Times New Roman" w:hAnsi="Times New Roman" w:cs="Times New Roman"/>
          <w:sz w:val="24"/>
          <w:szCs w:val="24"/>
        </w:rPr>
        <w:t>]</w:t>
      </w:r>
      <w:r w:rsidR="00981EEC" w:rsidRPr="00D97634">
        <w:rPr>
          <w:rFonts w:ascii="Times New Roman" w:hAnsi="Times New Roman" w:cs="Times New Roman"/>
          <w:sz w:val="24"/>
          <w:szCs w:val="24"/>
        </w:rPr>
        <w:t xml:space="preserve"> </w:t>
      </w:r>
    </w:p>
    <w:p w14:paraId="2E9CC712" w14:textId="77777777" w:rsidR="00981EEC" w:rsidRPr="00D97634" w:rsidRDefault="00B154FA" w:rsidP="00CA5509">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 xml:space="preserve">Additionally, </w:t>
      </w:r>
      <w:r w:rsidR="00F81CCE" w:rsidRPr="00D97634">
        <w:rPr>
          <w:rFonts w:ascii="Times New Roman" w:hAnsi="Times New Roman" w:cs="Times New Roman"/>
          <w:sz w:val="24"/>
          <w:szCs w:val="24"/>
        </w:rPr>
        <w:t xml:space="preserve">Nestle </w:t>
      </w:r>
      <w:r w:rsidRPr="00D97634">
        <w:rPr>
          <w:rFonts w:ascii="Times New Roman" w:hAnsi="Times New Roman" w:cs="Times New Roman"/>
          <w:sz w:val="24"/>
          <w:szCs w:val="24"/>
        </w:rPr>
        <w:t>Purina demolished interior walls, made openings in other walls, and is enclosing some exterior walls with a new building. (Tr. 447-453, 488-492, 537 and 552-556).</w:t>
      </w:r>
    </w:p>
    <w:p w14:paraId="4F8DC53F" w14:textId="77777777" w:rsidR="00981EEC" w:rsidRPr="00D97634" w:rsidRDefault="00B154FA" w:rsidP="00981EEC">
      <w:pPr>
        <w:rPr>
          <w:rFonts w:ascii="Times New Roman" w:hAnsi="Times New Roman" w:cs="Times New Roman"/>
          <w:sz w:val="24"/>
          <w:szCs w:val="24"/>
        </w:rPr>
      </w:pPr>
      <w:r w:rsidRPr="00D97634">
        <w:rPr>
          <w:rFonts w:ascii="Times New Roman" w:hAnsi="Times New Roman" w:cs="Times New Roman"/>
          <w:sz w:val="24"/>
          <w:szCs w:val="24"/>
        </w:rPr>
        <w:t>(Initial Decision, at 8.)</w:t>
      </w:r>
    </w:p>
    <w:p w14:paraId="0CD4D536" w14:textId="77777777" w:rsidR="00CA5509" w:rsidRPr="00D97634" w:rsidRDefault="00B154FA" w:rsidP="00CA5509">
      <w:pPr>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 xml:space="preserve">The Hearing Officer further finds that </w:t>
      </w:r>
      <w:r w:rsidR="00F81CCE" w:rsidRPr="00D97634">
        <w:rPr>
          <w:rFonts w:ascii="Times New Roman" w:eastAsia="Times New Roman" w:hAnsi="Times New Roman" w:cs="Times New Roman"/>
          <w:sz w:val="24"/>
          <w:szCs w:val="24"/>
        </w:rPr>
        <w:t xml:space="preserve">Nestle </w:t>
      </w:r>
      <w:r w:rsidRPr="00D97634">
        <w:rPr>
          <w:rFonts w:ascii="Times New Roman" w:eastAsia="Times New Roman" w:hAnsi="Times New Roman" w:cs="Times New Roman"/>
          <w:sz w:val="24"/>
          <w:szCs w:val="24"/>
        </w:rPr>
        <w:t>has committed $220 million to prepare the Hartwell Pet Food Facility for startup in the fall of 2019, and an additional $80</w:t>
      </w:r>
      <w:r w:rsidRPr="00D97634">
        <w:rPr>
          <w:rFonts w:ascii="Times New Roman" w:eastAsia="Times New Roman" w:hAnsi="Times New Roman" w:cs="Times New Roman"/>
          <w:b/>
          <w:sz w:val="24"/>
          <w:szCs w:val="24"/>
        </w:rPr>
        <w:t xml:space="preserve"> </w:t>
      </w:r>
      <w:r w:rsidRPr="00D97634">
        <w:rPr>
          <w:rFonts w:ascii="Times New Roman" w:eastAsia="Times New Roman" w:hAnsi="Times New Roman" w:cs="Times New Roman"/>
          <w:sz w:val="24"/>
          <w:szCs w:val="24"/>
        </w:rPr>
        <w:t xml:space="preserve">million to reach initial full operation by the second quarter of 2020. (Tr. 459-505). </w:t>
      </w:r>
    </w:p>
    <w:p w14:paraId="5C042B7E" w14:textId="77777777" w:rsidR="00981EEC" w:rsidRPr="00D97634" w:rsidRDefault="00B154FA" w:rsidP="00CA5509">
      <w:pPr>
        <w:ind w:left="720" w:right="720"/>
        <w:jc w:val="both"/>
        <w:rPr>
          <w:rFonts w:ascii="Times New Roman" w:eastAsia="Times New Roman" w:hAnsi="Times New Roman" w:cs="Times New Roman"/>
          <w:sz w:val="24"/>
          <w:szCs w:val="24"/>
        </w:rPr>
      </w:pPr>
      <w:r w:rsidRPr="00D97634">
        <w:rPr>
          <w:rFonts w:ascii="Times New Roman" w:eastAsia="Times New Roman" w:hAnsi="Times New Roman" w:cs="Times New Roman"/>
          <w:sz w:val="24"/>
          <w:szCs w:val="24"/>
        </w:rPr>
        <w:t>Nestlé  Purina has: (1) replaced the wastewater treatment facility, (2) changed the overall structure and design of the existing facility, (3) constructed approximately 120,00 square feet of additional buildings, (4) replaced the existing electrical systems, (5) replaced the air handling systems, and (6) created a food safe environment by, among other things, sealing off and otherwise protecting the interior from pests and other contaminants, and (7) added a freezer in one of the new buildings. (DeMartino,</w:t>
      </w:r>
      <w:r w:rsidRPr="00D97634">
        <w:rPr>
          <w:rFonts w:ascii="Times New Roman" w:eastAsia="Times New Roman" w:hAnsi="Times New Roman" w:cs="Times New Roman"/>
          <w:i/>
          <w:sz w:val="24"/>
          <w:szCs w:val="24"/>
        </w:rPr>
        <w:t xml:space="preserve"> </w:t>
      </w:r>
      <w:r w:rsidRPr="00D97634">
        <w:rPr>
          <w:rFonts w:ascii="Times New Roman" w:eastAsia="Times New Roman" w:hAnsi="Times New Roman" w:cs="Times New Roman"/>
          <w:sz w:val="24"/>
          <w:szCs w:val="24"/>
        </w:rPr>
        <w:t xml:space="preserve">Exh.-4; Miller, Exh.-4). </w:t>
      </w:r>
    </w:p>
    <w:p w14:paraId="2705676D" w14:textId="77777777" w:rsidR="00AA2558" w:rsidRPr="00D97634" w:rsidRDefault="00B154FA" w:rsidP="006D5406">
      <w:pPr>
        <w:spacing w:after="0" w:line="480" w:lineRule="auto"/>
        <w:jc w:val="both"/>
        <w:rPr>
          <w:rFonts w:ascii="Times New Roman" w:hAnsi="Times New Roman" w:cs="Times New Roman"/>
          <w:sz w:val="24"/>
          <w:szCs w:val="24"/>
        </w:rPr>
      </w:pPr>
      <w:r w:rsidRPr="00D97634">
        <w:rPr>
          <w:rFonts w:ascii="Times New Roman" w:hAnsi="Times New Roman" w:cs="Times New Roman"/>
          <w:sz w:val="24"/>
          <w:szCs w:val="24"/>
        </w:rPr>
        <w:t>(</w:t>
      </w:r>
      <w:r w:rsidR="00981EEC" w:rsidRPr="00D97634">
        <w:rPr>
          <w:rFonts w:ascii="Times New Roman" w:hAnsi="Times New Roman" w:cs="Times New Roman"/>
          <w:sz w:val="24"/>
          <w:szCs w:val="24"/>
        </w:rPr>
        <w:t>Initial Decision, at 8.</w:t>
      </w:r>
      <w:r w:rsidRPr="00D97634">
        <w:rPr>
          <w:rFonts w:ascii="Times New Roman" w:hAnsi="Times New Roman" w:cs="Times New Roman"/>
          <w:sz w:val="24"/>
          <w:szCs w:val="24"/>
        </w:rPr>
        <w:t>)</w:t>
      </w:r>
      <w:r w:rsidR="006D5406" w:rsidRPr="00D97634">
        <w:rPr>
          <w:rFonts w:ascii="Times New Roman" w:hAnsi="Times New Roman" w:cs="Times New Roman"/>
          <w:sz w:val="24"/>
          <w:szCs w:val="24"/>
        </w:rPr>
        <w:t xml:space="preserve">  </w:t>
      </w:r>
    </w:p>
    <w:p w14:paraId="155D9498" w14:textId="77777777" w:rsidR="000F5A87" w:rsidRPr="00D97634" w:rsidRDefault="00B154FA" w:rsidP="006D5406">
      <w:pPr>
        <w:spacing w:after="0" w:line="480" w:lineRule="auto"/>
        <w:jc w:val="both"/>
        <w:rPr>
          <w:rFonts w:ascii="Times New Roman" w:hAnsi="Times New Roman" w:cs="Times New Roman"/>
          <w:sz w:val="24"/>
          <w:szCs w:val="24"/>
        </w:rPr>
      </w:pPr>
      <w:r w:rsidRPr="00D97634">
        <w:rPr>
          <w:rFonts w:ascii="Times New Roman" w:hAnsi="Times New Roman" w:cs="Times New Roman"/>
          <w:sz w:val="24"/>
          <w:szCs w:val="24"/>
        </w:rPr>
        <w:tab/>
      </w:r>
      <w:r w:rsidR="00532685" w:rsidRPr="00D97634">
        <w:rPr>
          <w:rFonts w:ascii="Times New Roman" w:hAnsi="Times New Roman" w:cs="Times New Roman"/>
          <w:sz w:val="24"/>
          <w:szCs w:val="24"/>
        </w:rPr>
        <w:t>The above</w:t>
      </w:r>
      <w:r w:rsidR="00936226" w:rsidRPr="00D97634">
        <w:rPr>
          <w:rFonts w:ascii="Times New Roman" w:hAnsi="Times New Roman" w:cs="Times New Roman"/>
          <w:sz w:val="24"/>
          <w:szCs w:val="24"/>
        </w:rPr>
        <w:t xml:space="preserve"> facts </w:t>
      </w:r>
      <w:r w:rsidRPr="00D97634">
        <w:rPr>
          <w:rFonts w:ascii="Times New Roman" w:hAnsi="Times New Roman" w:cs="Times New Roman"/>
          <w:sz w:val="24"/>
          <w:szCs w:val="24"/>
        </w:rPr>
        <w:t>are al</w:t>
      </w:r>
      <w:r w:rsidR="00936226" w:rsidRPr="00D97634">
        <w:rPr>
          <w:rFonts w:ascii="Times New Roman" w:hAnsi="Times New Roman" w:cs="Times New Roman"/>
          <w:sz w:val="24"/>
          <w:szCs w:val="24"/>
        </w:rPr>
        <w:t xml:space="preserve">l </w:t>
      </w:r>
      <w:r w:rsidR="00532685" w:rsidRPr="00D97634">
        <w:rPr>
          <w:rFonts w:ascii="Times New Roman" w:hAnsi="Times New Roman" w:cs="Times New Roman"/>
          <w:sz w:val="24"/>
          <w:szCs w:val="24"/>
        </w:rPr>
        <w:t xml:space="preserve">clearly </w:t>
      </w:r>
      <w:r w:rsidR="00936226" w:rsidRPr="00D97634">
        <w:rPr>
          <w:rFonts w:ascii="Times New Roman" w:hAnsi="Times New Roman" w:cs="Times New Roman"/>
          <w:sz w:val="24"/>
          <w:szCs w:val="24"/>
        </w:rPr>
        <w:t xml:space="preserve">supported by </w:t>
      </w:r>
      <w:r w:rsidR="00532685" w:rsidRPr="00D97634">
        <w:rPr>
          <w:rFonts w:ascii="Times New Roman" w:hAnsi="Times New Roman" w:cs="Times New Roman"/>
          <w:sz w:val="24"/>
          <w:szCs w:val="24"/>
        </w:rPr>
        <w:t xml:space="preserve">the </w:t>
      </w:r>
      <w:r w:rsidR="00936226" w:rsidRPr="00D97634">
        <w:rPr>
          <w:rFonts w:ascii="Times New Roman" w:hAnsi="Times New Roman" w:cs="Times New Roman"/>
          <w:sz w:val="24"/>
          <w:szCs w:val="24"/>
        </w:rPr>
        <w:t xml:space="preserve">record evidence.  Georgia Power is </w:t>
      </w:r>
      <w:r w:rsidR="004068CD" w:rsidRPr="00D97634">
        <w:rPr>
          <w:rFonts w:ascii="Times New Roman" w:hAnsi="Times New Roman" w:cs="Times New Roman"/>
          <w:sz w:val="24"/>
          <w:szCs w:val="24"/>
        </w:rPr>
        <w:t>wrong</w:t>
      </w:r>
      <w:r w:rsidR="006A6683" w:rsidRPr="00D97634">
        <w:rPr>
          <w:rFonts w:ascii="Times New Roman" w:hAnsi="Times New Roman" w:cs="Times New Roman"/>
          <w:sz w:val="24"/>
          <w:szCs w:val="24"/>
        </w:rPr>
        <w:t xml:space="preserve"> </w:t>
      </w:r>
      <w:r w:rsidR="00532685" w:rsidRPr="00D97634">
        <w:rPr>
          <w:rFonts w:ascii="Times New Roman" w:hAnsi="Times New Roman" w:cs="Times New Roman"/>
          <w:sz w:val="24"/>
          <w:szCs w:val="24"/>
        </w:rPr>
        <w:t>to</w:t>
      </w:r>
      <w:r w:rsidR="006A6683" w:rsidRPr="00D97634">
        <w:rPr>
          <w:rFonts w:ascii="Times New Roman" w:hAnsi="Times New Roman" w:cs="Times New Roman"/>
          <w:sz w:val="24"/>
          <w:szCs w:val="24"/>
        </w:rPr>
        <w:t xml:space="preserve"> suggest</w:t>
      </w:r>
      <w:r w:rsidR="00532685" w:rsidRPr="00D97634">
        <w:rPr>
          <w:rFonts w:ascii="Times New Roman" w:hAnsi="Times New Roman" w:cs="Times New Roman"/>
          <w:sz w:val="24"/>
          <w:szCs w:val="24"/>
        </w:rPr>
        <w:t xml:space="preserve"> that</w:t>
      </w:r>
      <w:r w:rsidR="006A6683" w:rsidRPr="00D97634">
        <w:rPr>
          <w:rFonts w:ascii="Times New Roman" w:hAnsi="Times New Roman" w:cs="Times New Roman"/>
          <w:sz w:val="24"/>
          <w:szCs w:val="24"/>
        </w:rPr>
        <w:t xml:space="preserve"> the Hearing Officer relied </w:t>
      </w:r>
      <w:r w:rsidR="00532685" w:rsidRPr="00D97634">
        <w:rPr>
          <w:rFonts w:ascii="Times New Roman" w:hAnsi="Times New Roman" w:cs="Times New Roman"/>
          <w:sz w:val="24"/>
          <w:szCs w:val="24"/>
        </w:rPr>
        <w:t>up</w:t>
      </w:r>
      <w:r w:rsidR="006A6683" w:rsidRPr="00D97634">
        <w:rPr>
          <w:rFonts w:ascii="Times New Roman" w:hAnsi="Times New Roman" w:cs="Times New Roman"/>
          <w:sz w:val="24"/>
          <w:szCs w:val="24"/>
        </w:rPr>
        <w:t xml:space="preserve">on facts not supported by </w:t>
      </w:r>
      <w:r w:rsidR="00532685" w:rsidRPr="00D97634">
        <w:rPr>
          <w:rFonts w:ascii="Times New Roman" w:hAnsi="Times New Roman" w:cs="Times New Roman"/>
          <w:sz w:val="24"/>
          <w:szCs w:val="24"/>
        </w:rPr>
        <w:t xml:space="preserve">the </w:t>
      </w:r>
      <w:r w:rsidR="006A6683" w:rsidRPr="00D97634">
        <w:rPr>
          <w:rFonts w:ascii="Times New Roman" w:hAnsi="Times New Roman" w:cs="Times New Roman"/>
          <w:sz w:val="24"/>
          <w:szCs w:val="24"/>
        </w:rPr>
        <w:t>record evidence</w:t>
      </w:r>
      <w:r w:rsidR="00936226" w:rsidRPr="00D97634">
        <w:rPr>
          <w:rFonts w:ascii="Times New Roman" w:hAnsi="Times New Roman" w:cs="Times New Roman"/>
          <w:sz w:val="24"/>
          <w:szCs w:val="24"/>
        </w:rPr>
        <w:t xml:space="preserve">. </w:t>
      </w:r>
    </w:p>
    <w:p w14:paraId="421A5672" w14:textId="77777777" w:rsidR="00B06BE8" w:rsidRPr="00D97634" w:rsidRDefault="00B154FA" w:rsidP="00C66B0C">
      <w:pPr>
        <w:pStyle w:val="ListParagraph"/>
        <w:keepNext/>
        <w:numPr>
          <w:ilvl w:val="0"/>
          <w:numId w:val="1"/>
        </w:numPr>
        <w:spacing w:line="480" w:lineRule="auto"/>
        <w:rPr>
          <w:rFonts w:ascii="Times New Roman" w:hAnsi="Times New Roman" w:cs="Times New Roman"/>
          <w:b/>
          <w:sz w:val="24"/>
          <w:szCs w:val="24"/>
          <w:u w:val="single"/>
        </w:rPr>
      </w:pPr>
      <w:r w:rsidRPr="00D97634">
        <w:rPr>
          <w:rFonts w:ascii="Times New Roman" w:hAnsi="Times New Roman" w:cs="Times New Roman"/>
          <w:b/>
          <w:sz w:val="24"/>
          <w:szCs w:val="24"/>
          <w:u w:val="single"/>
        </w:rPr>
        <w:lastRenderedPageBreak/>
        <w:t>Georgia Power</w:t>
      </w:r>
      <w:r w:rsidR="00B101F8" w:rsidRPr="00D97634">
        <w:rPr>
          <w:rFonts w:ascii="Times New Roman" w:hAnsi="Times New Roman" w:cs="Times New Roman"/>
          <w:b/>
          <w:sz w:val="24"/>
          <w:szCs w:val="24"/>
          <w:u w:val="single"/>
        </w:rPr>
        <w:t xml:space="preserve">’s </w:t>
      </w:r>
      <w:r w:rsidR="007923C5" w:rsidRPr="00D97634">
        <w:rPr>
          <w:rFonts w:ascii="Times New Roman" w:hAnsi="Times New Roman" w:cs="Times New Roman"/>
          <w:b/>
          <w:sz w:val="24"/>
          <w:szCs w:val="24"/>
          <w:u w:val="single"/>
        </w:rPr>
        <w:t xml:space="preserve">Application </w:t>
      </w:r>
      <w:r w:rsidRPr="00D97634">
        <w:rPr>
          <w:rFonts w:ascii="Times New Roman" w:hAnsi="Times New Roman" w:cs="Times New Roman"/>
          <w:b/>
          <w:sz w:val="24"/>
          <w:szCs w:val="24"/>
          <w:u w:val="single"/>
        </w:rPr>
        <w:t xml:space="preserve">Does Not Accurately Convey </w:t>
      </w:r>
      <w:r w:rsidR="00532685" w:rsidRPr="00D97634">
        <w:rPr>
          <w:rFonts w:ascii="Times New Roman" w:hAnsi="Times New Roman" w:cs="Times New Roman"/>
          <w:b/>
          <w:sz w:val="24"/>
          <w:szCs w:val="24"/>
          <w:u w:val="single"/>
        </w:rPr>
        <w:t xml:space="preserve">The </w:t>
      </w:r>
      <w:r w:rsidR="007E41D7" w:rsidRPr="00D97634">
        <w:rPr>
          <w:rFonts w:ascii="Times New Roman" w:hAnsi="Times New Roman" w:cs="Times New Roman"/>
          <w:b/>
          <w:sz w:val="24"/>
          <w:szCs w:val="24"/>
          <w:u w:val="single"/>
        </w:rPr>
        <w:t>Record Evidence</w:t>
      </w:r>
      <w:r w:rsidR="0024092C" w:rsidRPr="00D97634">
        <w:rPr>
          <w:rFonts w:ascii="Times New Roman" w:hAnsi="Times New Roman" w:cs="Times New Roman"/>
          <w:b/>
          <w:sz w:val="24"/>
          <w:szCs w:val="24"/>
          <w:u w:val="single"/>
        </w:rPr>
        <w:t>.</w:t>
      </w:r>
    </w:p>
    <w:p w14:paraId="07733B58" w14:textId="2C7A962E" w:rsidR="00190CB0" w:rsidRPr="00D97634" w:rsidRDefault="00B154FA" w:rsidP="00E34306">
      <w:pPr>
        <w:pStyle w:val="ListParagraph"/>
        <w:spacing w:before="240" w:after="0" w:line="480" w:lineRule="auto"/>
        <w:ind w:left="0"/>
        <w:jc w:val="both"/>
        <w:rPr>
          <w:rFonts w:ascii="Times New Roman" w:hAnsi="Times New Roman" w:cs="Times New Roman"/>
          <w:sz w:val="24"/>
          <w:szCs w:val="24"/>
        </w:rPr>
      </w:pPr>
      <w:r w:rsidRPr="00D97634">
        <w:rPr>
          <w:rFonts w:ascii="Times New Roman" w:hAnsi="Times New Roman" w:cs="Times New Roman"/>
          <w:b/>
          <w:sz w:val="24"/>
          <w:szCs w:val="24"/>
        </w:rPr>
        <w:tab/>
      </w:r>
      <w:r w:rsidR="007B1F8E" w:rsidRPr="00D97634">
        <w:rPr>
          <w:rFonts w:ascii="Times New Roman" w:hAnsi="Times New Roman" w:cs="Times New Roman"/>
          <w:sz w:val="24"/>
          <w:szCs w:val="24"/>
        </w:rPr>
        <w:t xml:space="preserve">Finally, </w:t>
      </w:r>
      <w:r w:rsidR="00AF7AAE" w:rsidRPr="00D97634">
        <w:rPr>
          <w:rFonts w:ascii="Times New Roman" w:hAnsi="Times New Roman" w:cs="Times New Roman"/>
          <w:sz w:val="24"/>
          <w:szCs w:val="24"/>
        </w:rPr>
        <w:t xml:space="preserve">Georgia Power’s </w:t>
      </w:r>
      <w:r w:rsidR="007923C5" w:rsidRPr="00D97634">
        <w:rPr>
          <w:rFonts w:ascii="Times New Roman" w:hAnsi="Times New Roman" w:cs="Times New Roman"/>
          <w:sz w:val="24"/>
          <w:szCs w:val="24"/>
        </w:rPr>
        <w:t>Application</w:t>
      </w:r>
      <w:r w:rsidR="00AF7AAE" w:rsidRPr="00D97634">
        <w:rPr>
          <w:rFonts w:ascii="Times New Roman" w:hAnsi="Times New Roman" w:cs="Times New Roman"/>
          <w:sz w:val="24"/>
          <w:szCs w:val="24"/>
        </w:rPr>
        <w:t xml:space="preserve"> fails to accurately </w:t>
      </w:r>
      <w:r w:rsidR="007B1F8E" w:rsidRPr="00D97634">
        <w:rPr>
          <w:rFonts w:ascii="Times New Roman" w:hAnsi="Times New Roman" w:cs="Times New Roman"/>
          <w:sz w:val="24"/>
          <w:szCs w:val="24"/>
        </w:rPr>
        <w:t>portray</w:t>
      </w:r>
      <w:r w:rsidR="00AF7AAE" w:rsidRPr="00D97634">
        <w:rPr>
          <w:rFonts w:ascii="Times New Roman" w:hAnsi="Times New Roman" w:cs="Times New Roman"/>
          <w:sz w:val="24"/>
          <w:szCs w:val="24"/>
        </w:rPr>
        <w:t xml:space="preserve"> the </w:t>
      </w:r>
      <w:r w:rsidR="007E41D7" w:rsidRPr="00D97634">
        <w:rPr>
          <w:rFonts w:ascii="Times New Roman" w:hAnsi="Times New Roman" w:cs="Times New Roman"/>
          <w:sz w:val="24"/>
          <w:szCs w:val="24"/>
        </w:rPr>
        <w:t>factual findings</w:t>
      </w:r>
      <w:r w:rsidR="00AF7AAE" w:rsidRPr="00D97634">
        <w:rPr>
          <w:rFonts w:ascii="Times New Roman" w:hAnsi="Times New Roman" w:cs="Times New Roman"/>
          <w:sz w:val="24"/>
          <w:szCs w:val="24"/>
        </w:rPr>
        <w:t xml:space="preserve"> </w:t>
      </w:r>
      <w:r w:rsidR="007E41D7" w:rsidRPr="00D97634">
        <w:rPr>
          <w:rFonts w:ascii="Times New Roman" w:hAnsi="Times New Roman" w:cs="Times New Roman"/>
          <w:sz w:val="24"/>
          <w:szCs w:val="24"/>
        </w:rPr>
        <w:t>set forth</w:t>
      </w:r>
      <w:r w:rsidR="00AF7AAE" w:rsidRPr="00D97634">
        <w:rPr>
          <w:rFonts w:ascii="Times New Roman" w:hAnsi="Times New Roman" w:cs="Times New Roman"/>
          <w:sz w:val="24"/>
          <w:szCs w:val="24"/>
        </w:rPr>
        <w:t xml:space="preserve"> in the Initial Decision</w:t>
      </w:r>
      <w:r w:rsidR="007E41D7" w:rsidRPr="00D97634">
        <w:rPr>
          <w:rFonts w:ascii="Times New Roman" w:hAnsi="Times New Roman" w:cs="Times New Roman"/>
          <w:sz w:val="24"/>
          <w:szCs w:val="24"/>
        </w:rPr>
        <w:t>.</w:t>
      </w:r>
      <w:r w:rsidR="00AF7AAE" w:rsidRPr="00D97634">
        <w:rPr>
          <w:rFonts w:ascii="Times New Roman" w:hAnsi="Times New Roman" w:cs="Times New Roman"/>
          <w:sz w:val="24"/>
          <w:szCs w:val="24"/>
        </w:rPr>
        <w:t xml:space="preserve"> </w:t>
      </w:r>
      <w:r w:rsidR="007B1F8E" w:rsidRPr="00D97634">
        <w:rPr>
          <w:rFonts w:ascii="Times New Roman" w:hAnsi="Times New Roman" w:cs="Times New Roman"/>
          <w:sz w:val="24"/>
          <w:szCs w:val="24"/>
        </w:rPr>
        <w:t xml:space="preserve"> </w:t>
      </w:r>
      <w:r w:rsidR="00AF7AAE" w:rsidRPr="00D97634">
        <w:rPr>
          <w:rFonts w:ascii="Times New Roman" w:hAnsi="Times New Roman" w:cs="Times New Roman"/>
          <w:sz w:val="24"/>
          <w:szCs w:val="24"/>
        </w:rPr>
        <w:t>M</w:t>
      </w:r>
      <w:r w:rsidR="007E41D7" w:rsidRPr="00D97634">
        <w:rPr>
          <w:rFonts w:ascii="Times New Roman" w:hAnsi="Times New Roman" w:cs="Times New Roman"/>
          <w:sz w:val="24"/>
          <w:szCs w:val="24"/>
        </w:rPr>
        <w:t xml:space="preserve">ost specifically, </w:t>
      </w:r>
      <w:r w:rsidR="00AF7AAE" w:rsidRPr="00D97634">
        <w:rPr>
          <w:rFonts w:ascii="Times New Roman" w:eastAsia="Times New Roman" w:hAnsi="Times New Roman" w:cs="Times New Roman"/>
          <w:sz w:val="24"/>
          <w:szCs w:val="24"/>
        </w:rPr>
        <w:t>Georgia</w:t>
      </w:r>
      <w:r w:rsidR="00AF7AAE" w:rsidRPr="00D97634">
        <w:rPr>
          <w:rFonts w:ascii="Times New Roman" w:hAnsi="Times New Roman" w:cs="Times New Roman"/>
          <w:sz w:val="24"/>
          <w:szCs w:val="24"/>
        </w:rPr>
        <w:t xml:space="preserve"> Power fails to accurately convey</w:t>
      </w:r>
      <w:r w:rsidR="00810EAE" w:rsidRPr="00D97634">
        <w:rPr>
          <w:rFonts w:ascii="Times New Roman" w:hAnsi="Times New Roman" w:cs="Times New Roman"/>
          <w:sz w:val="24"/>
          <w:szCs w:val="24"/>
        </w:rPr>
        <w:t xml:space="preserve"> the facts </w:t>
      </w:r>
      <w:r w:rsidR="007E41D7" w:rsidRPr="00D97634">
        <w:rPr>
          <w:rFonts w:ascii="Times New Roman" w:hAnsi="Times New Roman" w:cs="Times New Roman"/>
          <w:sz w:val="24"/>
          <w:szCs w:val="24"/>
        </w:rPr>
        <w:t>r</w:t>
      </w:r>
      <w:r w:rsidR="00810EAE" w:rsidRPr="00D97634">
        <w:rPr>
          <w:rFonts w:ascii="Times New Roman" w:hAnsi="Times New Roman" w:cs="Times New Roman"/>
          <w:sz w:val="24"/>
          <w:szCs w:val="24"/>
        </w:rPr>
        <w:t>elated</w:t>
      </w:r>
      <w:r w:rsidR="00AF7AAE" w:rsidRPr="00D97634">
        <w:rPr>
          <w:rFonts w:ascii="Times New Roman" w:hAnsi="Times New Roman" w:cs="Times New Roman"/>
          <w:sz w:val="24"/>
          <w:szCs w:val="24"/>
        </w:rPr>
        <w:t xml:space="preserve"> to the </w:t>
      </w:r>
      <w:r w:rsidR="000802A4" w:rsidRPr="00D97634">
        <w:rPr>
          <w:rFonts w:ascii="Times New Roman" w:hAnsi="Times New Roman" w:cs="Times New Roman"/>
          <w:sz w:val="24"/>
          <w:szCs w:val="24"/>
        </w:rPr>
        <w:t xml:space="preserve">prior </w:t>
      </w:r>
      <w:r w:rsidR="009260F6" w:rsidRPr="00D97634">
        <w:rPr>
          <w:rFonts w:ascii="Times New Roman" w:hAnsi="Times New Roman" w:cs="Times New Roman"/>
          <w:sz w:val="24"/>
          <w:szCs w:val="24"/>
        </w:rPr>
        <w:t>P</w:t>
      </w:r>
      <w:r w:rsidR="000802A4" w:rsidRPr="00D97634">
        <w:rPr>
          <w:rFonts w:ascii="Times New Roman" w:hAnsi="Times New Roman" w:cs="Times New Roman"/>
          <w:sz w:val="24"/>
          <w:szCs w:val="24"/>
        </w:rPr>
        <w:t>remises</w:t>
      </w:r>
      <w:r w:rsidR="00810EAE" w:rsidRPr="00D97634">
        <w:rPr>
          <w:rFonts w:ascii="Times New Roman" w:hAnsi="Times New Roman" w:cs="Times New Roman"/>
          <w:sz w:val="24"/>
          <w:szCs w:val="24"/>
        </w:rPr>
        <w:t xml:space="preserve"> and </w:t>
      </w:r>
      <w:r w:rsidR="00F81CCE" w:rsidRPr="00D97634">
        <w:rPr>
          <w:rFonts w:ascii="Times New Roman" w:hAnsi="Times New Roman" w:cs="Times New Roman"/>
          <w:sz w:val="24"/>
          <w:szCs w:val="24"/>
        </w:rPr>
        <w:t xml:space="preserve">Nestlé </w:t>
      </w:r>
      <w:r w:rsidR="00810EAE" w:rsidRPr="00D97634">
        <w:rPr>
          <w:rFonts w:ascii="Times New Roman" w:hAnsi="Times New Roman" w:cs="Times New Roman"/>
          <w:sz w:val="24"/>
          <w:szCs w:val="24"/>
        </w:rPr>
        <w:t xml:space="preserve">Purina’s construction of the Hartwell Pet Food Facility </w:t>
      </w:r>
      <w:r w:rsidR="00810EAE" w:rsidRPr="00D97634">
        <w:rPr>
          <w:rFonts w:ascii="Times New Roman" w:hAnsi="Times New Roman" w:cs="Times New Roman"/>
          <w:i/>
          <w:sz w:val="24"/>
          <w:szCs w:val="24"/>
        </w:rPr>
        <w:t xml:space="preserve">not </w:t>
      </w:r>
      <w:r w:rsidR="00810EAE" w:rsidRPr="00D97634">
        <w:rPr>
          <w:rFonts w:ascii="Times New Roman" w:hAnsi="Times New Roman" w:cs="Times New Roman"/>
          <w:sz w:val="24"/>
          <w:szCs w:val="24"/>
        </w:rPr>
        <w:t>in substantial kind to th</w:t>
      </w:r>
      <w:r w:rsidR="007E41D7" w:rsidRPr="00D97634">
        <w:rPr>
          <w:rFonts w:ascii="Times New Roman" w:hAnsi="Times New Roman" w:cs="Times New Roman"/>
          <w:sz w:val="24"/>
          <w:szCs w:val="24"/>
        </w:rPr>
        <w:t>at</w:t>
      </w:r>
      <w:r w:rsidR="00810EAE" w:rsidRPr="00D97634">
        <w:rPr>
          <w:rFonts w:ascii="Times New Roman" w:hAnsi="Times New Roman" w:cs="Times New Roman"/>
          <w:sz w:val="24"/>
          <w:szCs w:val="24"/>
        </w:rPr>
        <w:t xml:space="preserve"> Premises. </w:t>
      </w:r>
      <w:r w:rsidR="006D5406" w:rsidRPr="00D97634">
        <w:rPr>
          <w:rFonts w:ascii="Times New Roman" w:hAnsi="Times New Roman" w:cs="Times New Roman"/>
          <w:sz w:val="24"/>
          <w:szCs w:val="24"/>
        </w:rPr>
        <w:t xml:space="preserve"> </w:t>
      </w:r>
      <w:r w:rsidRPr="00D97634">
        <w:rPr>
          <w:rFonts w:ascii="Times New Roman" w:hAnsi="Times New Roman" w:cs="Times New Roman"/>
          <w:sz w:val="24"/>
          <w:szCs w:val="24"/>
        </w:rPr>
        <w:t xml:space="preserve">Georgia Power asserts the </w:t>
      </w:r>
      <w:r w:rsidR="00652FE3" w:rsidRPr="00D97634">
        <w:rPr>
          <w:rFonts w:ascii="Times New Roman" w:eastAsia="Times New Roman" w:hAnsi="Times New Roman" w:cs="Times New Roman"/>
          <w:sz w:val="24"/>
          <w:szCs w:val="24"/>
        </w:rPr>
        <w:t>H</w:t>
      </w:r>
      <w:r w:rsidRPr="00D97634">
        <w:rPr>
          <w:rFonts w:ascii="Times New Roman" w:eastAsia="Times New Roman" w:hAnsi="Times New Roman" w:cs="Times New Roman"/>
          <w:sz w:val="24"/>
          <w:szCs w:val="24"/>
        </w:rPr>
        <w:t>earing</w:t>
      </w:r>
      <w:r w:rsidR="00652FE3" w:rsidRPr="00D97634">
        <w:rPr>
          <w:rFonts w:ascii="Times New Roman" w:hAnsi="Times New Roman" w:cs="Times New Roman"/>
          <w:sz w:val="24"/>
          <w:szCs w:val="24"/>
        </w:rPr>
        <w:t xml:space="preserve"> O</w:t>
      </w:r>
      <w:r w:rsidRPr="00D97634">
        <w:rPr>
          <w:rFonts w:ascii="Times New Roman" w:hAnsi="Times New Roman" w:cs="Times New Roman"/>
          <w:sz w:val="24"/>
          <w:szCs w:val="24"/>
        </w:rPr>
        <w:t xml:space="preserve">fficer “correctly found continuous </w:t>
      </w:r>
      <w:r w:rsidR="00875B30" w:rsidRPr="00D97634">
        <w:rPr>
          <w:rFonts w:ascii="Times New Roman" w:hAnsi="Times New Roman" w:cs="Times New Roman"/>
          <w:sz w:val="24"/>
          <w:szCs w:val="24"/>
        </w:rPr>
        <w:t>service to an existing premises,</w:t>
      </w:r>
      <w:r w:rsidR="00DA3902" w:rsidRPr="00D97634">
        <w:rPr>
          <w:rFonts w:ascii="Times New Roman" w:hAnsi="Times New Roman" w:cs="Times New Roman"/>
          <w:sz w:val="24"/>
          <w:szCs w:val="24"/>
        </w:rPr>
        <w:t xml:space="preserve">” </w:t>
      </w:r>
      <w:r w:rsidR="00875B30" w:rsidRPr="00D97634">
        <w:rPr>
          <w:rFonts w:ascii="Times New Roman" w:hAnsi="Times New Roman" w:cs="Times New Roman"/>
          <w:sz w:val="24"/>
          <w:szCs w:val="24"/>
        </w:rPr>
        <w:t>citing to the following:</w:t>
      </w:r>
    </w:p>
    <w:p w14:paraId="6AB84FF8" w14:textId="77777777" w:rsidR="00190CB0" w:rsidRPr="00D97634" w:rsidRDefault="00B154FA" w:rsidP="00160F51">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When Dundee Mills built the existing facility in 1991, it consisted of a 190,000 square foot warehouse and a 137,000 square foot manufacturing facility used to manufacture consumer goods, specifically towels. (Tr. 172-173). In 1999, Springs Industries (“Springs”) added a weaving facility to the existing Premises, expanding the manufacturing space to 313,000 square feet. (</w:t>
      </w:r>
      <w:r w:rsidRPr="00D97634">
        <w:rPr>
          <w:rFonts w:ascii="Times New Roman" w:hAnsi="Times New Roman" w:cs="Times New Roman"/>
          <w:i/>
          <w:sz w:val="24"/>
          <w:szCs w:val="24"/>
        </w:rPr>
        <w:t>Id.</w:t>
      </w:r>
      <w:r w:rsidRPr="00D97634">
        <w:rPr>
          <w:rFonts w:ascii="Times New Roman" w:hAnsi="Times New Roman" w:cs="Times New Roman"/>
          <w:sz w:val="24"/>
          <w:szCs w:val="24"/>
        </w:rPr>
        <w:t>)</w:t>
      </w:r>
    </w:p>
    <w:p w14:paraId="3BE0D55B" w14:textId="77777777" w:rsidR="00190CB0" w:rsidRPr="00D97634" w:rsidRDefault="00B154FA" w:rsidP="00160F51">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The Premises is located in an unincorporated area of Hart County, in Georgia Power’s assigned service area with a connected load upon initial full operation in excess of 900 kilowatts. The Premises began production in 1991. Georgia Power has served the Premises, including its expansions, ever since . . . .</w:t>
      </w:r>
    </w:p>
    <w:p w14:paraId="3B65CBFE" w14:textId="77777777" w:rsidR="006D0A26" w:rsidRPr="00D97634" w:rsidRDefault="00B154FA" w:rsidP="00160F51">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In 2017</w:t>
      </w:r>
      <w:r w:rsidR="00073E3E" w:rsidRPr="00D97634">
        <w:rPr>
          <w:rFonts w:ascii="Times New Roman" w:hAnsi="Times New Roman" w:cs="Times New Roman"/>
          <w:sz w:val="24"/>
          <w:szCs w:val="24"/>
        </w:rPr>
        <w:t xml:space="preserve">, </w:t>
      </w:r>
      <w:r w:rsidR="00F81CCE" w:rsidRPr="00D97634">
        <w:rPr>
          <w:rFonts w:ascii="Times New Roman" w:hAnsi="Times New Roman" w:cs="Times New Roman"/>
          <w:sz w:val="24"/>
          <w:szCs w:val="24"/>
        </w:rPr>
        <w:t xml:space="preserve">Nestle </w:t>
      </w:r>
      <w:r w:rsidR="00073E3E" w:rsidRPr="00D97634">
        <w:rPr>
          <w:rFonts w:ascii="Times New Roman" w:hAnsi="Times New Roman" w:cs="Times New Roman"/>
          <w:sz w:val="24"/>
          <w:szCs w:val="24"/>
        </w:rPr>
        <w:t xml:space="preserve">Purina purchased the existing Premises </w:t>
      </w:r>
      <w:r w:rsidRPr="00D97634">
        <w:rPr>
          <w:rFonts w:ascii="Times New Roman" w:hAnsi="Times New Roman" w:cs="Times New Roman"/>
          <w:sz w:val="24"/>
          <w:szCs w:val="24"/>
        </w:rPr>
        <w:t>for $7 million dollars. (Tr. 318). . . .</w:t>
      </w:r>
    </w:p>
    <w:p w14:paraId="4B4F9123" w14:textId="77777777" w:rsidR="006D0A26" w:rsidRPr="00D97634" w:rsidRDefault="00B154FA" w:rsidP="00160F51">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 xml:space="preserve">In February 2018, </w:t>
      </w:r>
      <w:r w:rsidR="00F81CCE" w:rsidRPr="00D97634">
        <w:rPr>
          <w:rFonts w:ascii="Times New Roman" w:hAnsi="Times New Roman" w:cs="Times New Roman"/>
          <w:sz w:val="24"/>
          <w:szCs w:val="24"/>
        </w:rPr>
        <w:t xml:space="preserve">Nestle </w:t>
      </w:r>
      <w:r w:rsidRPr="00D97634">
        <w:rPr>
          <w:rFonts w:ascii="Times New Roman" w:hAnsi="Times New Roman" w:cs="Times New Roman"/>
          <w:sz w:val="24"/>
          <w:szCs w:val="24"/>
        </w:rPr>
        <w:t xml:space="preserve">informed Georgia Power it did not want to use the location originally designated for a substation needed to serve </w:t>
      </w:r>
      <w:r w:rsidR="00F81CCE" w:rsidRPr="00D97634">
        <w:rPr>
          <w:rFonts w:ascii="Times New Roman" w:hAnsi="Times New Roman" w:cs="Times New Roman"/>
          <w:sz w:val="24"/>
          <w:szCs w:val="24"/>
        </w:rPr>
        <w:t xml:space="preserve">Nestlé </w:t>
      </w:r>
      <w:r w:rsidRPr="00D97634">
        <w:rPr>
          <w:rFonts w:ascii="Times New Roman" w:hAnsi="Times New Roman" w:cs="Times New Roman"/>
          <w:sz w:val="24"/>
          <w:szCs w:val="24"/>
        </w:rPr>
        <w:t>’s anticipated future load growth, and instead, intended to continue to take service from existing distribution lines until it had installed its full load. . . .</w:t>
      </w:r>
    </w:p>
    <w:p w14:paraId="467FB897" w14:textId="77777777" w:rsidR="006D0A26" w:rsidRPr="00D97634" w:rsidRDefault="00B154FA" w:rsidP="00160F51">
      <w:pPr>
        <w:ind w:left="720" w:right="720"/>
        <w:jc w:val="both"/>
        <w:rPr>
          <w:rFonts w:ascii="Times New Roman" w:hAnsi="Times New Roman" w:cs="Times New Roman"/>
          <w:sz w:val="24"/>
          <w:szCs w:val="24"/>
        </w:rPr>
      </w:pPr>
      <w:r w:rsidRPr="00D97634">
        <w:rPr>
          <w:rFonts w:ascii="Times New Roman" w:hAnsi="Times New Roman" w:cs="Times New Roman"/>
          <w:sz w:val="24"/>
          <w:szCs w:val="24"/>
        </w:rPr>
        <w:t xml:space="preserve">To support operations, </w:t>
      </w:r>
      <w:r w:rsidR="00F81CCE" w:rsidRPr="00D97634">
        <w:rPr>
          <w:rFonts w:ascii="Times New Roman" w:hAnsi="Times New Roman" w:cs="Times New Roman"/>
          <w:sz w:val="24"/>
          <w:szCs w:val="24"/>
        </w:rPr>
        <w:t xml:space="preserve">Nestle </w:t>
      </w:r>
      <w:r w:rsidRPr="00D97634">
        <w:rPr>
          <w:rFonts w:ascii="Times New Roman" w:hAnsi="Times New Roman" w:cs="Times New Roman"/>
          <w:sz w:val="24"/>
          <w:szCs w:val="24"/>
        </w:rPr>
        <w:t xml:space="preserve">proceeded to implement its plan for a self-owned switchyard using its own transformers. It then requested Georgia Power to serve the switchyard from Georgia Power’s primary distribution line while maintaining its original service point as well. . . . </w:t>
      </w:r>
    </w:p>
    <w:p w14:paraId="2CD960A2" w14:textId="77777777" w:rsidR="00875B30" w:rsidRPr="00D97634" w:rsidRDefault="00B154FA" w:rsidP="007B1F8E">
      <w:pPr>
        <w:spacing w:after="0" w:line="480" w:lineRule="auto"/>
        <w:jc w:val="both"/>
        <w:rPr>
          <w:rFonts w:ascii="Times New Roman" w:hAnsi="Times New Roman" w:cs="Times New Roman"/>
          <w:sz w:val="24"/>
          <w:szCs w:val="24"/>
        </w:rPr>
      </w:pPr>
      <w:r w:rsidRPr="00D97634">
        <w:rPr>
          <w:rFonts w:ascii="Times New Roman" w:hAnsi="Times New Roman" w:cs="Times New Roman"/>
          <w:sz w:val="24"/>
          <w:szCs w:val="24"/>
        </w:rPr>
        <w:t>(Initial Decision, Findings of Fact, at 4-5.)</w:t>
      </w:r>
      <w:r w:rsidR="00486CAD" w:rsidRPr="00D97634">
        <w:rPr>
          <w:rFonts w:ascii="Times New Roman" w:hAnsi="Times New Roman" w:cs="Times New Roman"/>
          <w:sz w:val="24"/>
          <w:szCs w:val="24"/>
        </w:rPr>
        <w:t xml:space="preserve">  </w:t>
      </w:r>
    </w:p>
    <w:p w14:paraId="2A5CF048" w14:textId="7AB642F6" w:rsidR="00E250B5" w:rsidRPr="00D97634" w:rsidRDefault="00B154FA" w:rsidP="007B1F8E">
      <w:pPr>
        <w:spacing w:after="0" w:line="480" w:lineRule="auto"/>
        <w:jc w:val="both"/>
        <w:rPr>
          <w:rFonts w:ascii="Times New Roman" w:hAnsi="Times New Roman" w:cs="Times New Roman"/>
          <w:sz w:val="24"/>
          <w:szCs w:val="24"/>
        </w:rPr>
      </w:pPr>
      <w:r w:rsidRPr="00D97634">
        <w:rPr>
          <w:rFonts w:ascii="Times New Roman" w:hAnsi="Times New Roman" w:cs="Times New Roman"/>
          <w:sz w:val="24"/>
          <w:szCs w:val="24"/>
        </w:rPr>
        <w:tab/>
      </w:r>
      <w:r w:rsidR="00627CAD" w:rsidRPr="00D97634">
        <w:rPr>
          <w:rFonts w:ascii="Times New Roman" w:hAnsi="Times New Roman" w:cs="Times New Roman"/>
          <w:sz w:val="24"/>
          <w:szCs w:val="24"/>
        </w:rPr>
        <w:t xml:space="preserve">Georgia Power </w:t>
      </w:r>
      <w:r w:rsidR="002E1256" w:rsidRPr="00D97634">
        <w:rPr>
          <w:rFonts w:ascii="Times New Roman" w:hAnsi="Times New Roman" w:cs="Times New Roman"/>
          <w:sz w:val="24"/>
          <w:szCs w:val="24"/>
        </w:rPr>
        <w:t xml:space="preserve">concludes by arguing that </w:t>
      </w:r>
      <w:r w:rsidR="003F5E15" w:rsidRPr="00D97634">
        <w:rPr>
          <w:rFonts w:ascii="Times New Roman" w:hAnsi="Times New Roman" w:cs="Times New Roman"/>
          <w:sz w:val="24"/>
          <w:szCs w:val="24"/>
        </w:rPr>
        <w:t xml:space="preserve">the </w:t>
      </w:r>
      <w:r w:rsidR="00652FE3" w:rsidRPr="00D97634">
        <w:rPr>
          <w:rFonts w:ascii="Times New Roman" w:hAnsi="Times New Roman" w:cs="Times New Roman"/>
          <w:sz w:val="24"/>
          <w:szCs w:val="24"/>
        </w:rPr>
        <w:t>Hartwell Pet Food Facility</w:t>
      </w:r>
      <w:r w:rsidR="003F5E15" w:rsidRPr="00D97634">
        <w:rPr>
          <w:rFonts w:ascii="Times New Roman" w:hAnsi="Times New Roman" w:cs="Times New Roman"/>
          <w:sz w:val="24"/>
          <w:szCs w:val="24"/>
        </w:rPr>
        <w:t xml:space="preserve"> </w:t>
      </w:r>
      <w:r w:rsidR="00486CAD" w:rsidRPr="00D97634">
        <w:rPr>
          <w:rFonts w:ascii="Times New Roman" w:hAnsi="Times New Roman" w:cs="Times New Roman"/>
          <w:sz w:val="24"/>
          <w:szCs w:val="24"/>
        </w:rPr>
        <w:t>is not a “new premises” b</w:t>
      </w:r>
      <w:r w:rsidR="00A13DB6" w:rsidRPr="00D97634">
        <w:rPr>
          <w:rFonts w:ascii="Times New Roman" w:hAnsi="Times New Roman" w:cs="Times New Roman"/>
          <w:sz w:val="24"/>
          <w:szCs w:val="24"/>
        </w:rPr>
        <w:t>ecause it</w:t>
      </w:r>
      <w:r w:rsidR="00486CAD" w:rsidRPr="00D97634">
        <w:rPr>
          <w:rFonts w:ascii="Times New Roman" w:hAnsi="Times New Roman" w:cs="Times New Roman"/>
          <w:sz w:val="24"/>
          <w:szCs w:val="24"/>
        </w:rPr>
        <w:t xml:space="preserve"> </w:t>
      </w:r>
      <w:r w:rsidR="003F5E15" w:rsidRPr="00D97634">
        <w:rPr>
          <w:rFonts w:ascii="Times New Roman" w:hAnsi="Times New Roman" w:cs="Times New Roman"/>
          <w:sz w:val="24"/>
          <w:szCs w:val="24"/>
        </w:rPr>
        <w:t xml:space="preserve">“is now and always has been a warehousing and manufacturing facility.” </w:t>
      </w:r>
      <w:r w:rsidR="00C478F8" w:rsidRPr="00D97634">
        <w:rPr>
          <w:rFonts w:ascii="Times New Roman" w:hAnsi="Times New Roman" w:cs="Times New Roman"/>
          <w:sz w:val="24"/>
          <w:szCs w:val="24"/>
        </w:rPr>
        <w:t>(</w:t>
      </w:r>
      <w:r w:rsidR="003F5E15" w:rsidRPr="00D97634">
        <w:rPr>
          <w:rFonts w:ascii="Times New Roman" w:hAnsi="Times New Roman" w:cs="Times New Roman"/>
          <w:sz w:val="24"/>
          <w:szCs w:val="24"/>
        </w:rPr>
        <w:t xml:space="preserve">GPC </w:t>
      </w:r>
      <w:r w:rsidR="007923C5" w:rsidRPr="00D97634">
        <w:rPr>
          <w:rFonts w:ascii="Times New Roman" w:hAnsi="Times New Roman" w:cs="Times New Roman"/>
          <w:sz w:val="24"/>
          <w:szCs w:val="24"/>
        </w:rPr>
        <w:t>Application</w:t>
      </w:r>
      <w:r w:rsidR="003F5E15" w:rsidRPr="00D97634">
        <w:rPr>
          <w:rFonts w:ascii="Times New Roman" w:hAnsi="Times New Roman" w:cs="Times New Roman"/>
          <w:sz w:val="24"/>
          <w:szCs w:val="24"/>
        </w:rPr>
        <w:t xml:space="preserve">, at 4.)  </w:t>
      </w:r>
      <w:r w:rsidR="00A13DB6" w:rsidRPr="00D97634">
        <w:rPr>
          <w:rFonts w:ascii="Times New Roman" w:hAnsi="Times New Roman" w:cs="Times New Roman"/>
          <w:sz w:val="24"/>
          <w:szCs w:val="24"/>
        </w:rPr>
        <w:t>Georgia Power mis</w:t>
      </w:r>
      <w:r w:rsidR="00306D3C" w:rsidRPr="00D97634">
        <w:rPr>
          <w:rFonts w:ascii="Times New Roman" w:hAnsi="Times New Roman" w:cs="Times New Roman"/>
          <w:sz w:val="24"/>
          <w:szCs w:val="24"/>
        </w:rPr>
        <w:t>interprets the Initial Decision’</w:t>
      </w:r>
      <w:r w:rsidR="00A13DB6" w:rsidRPr="00D97634">
        <w:rPr>
          <w:rFonts w:ascii="Times New Roman" w:hAnsi="Times New Roman" w:cs="Times New Roman"/>
          <w:sz w:val="24"/>
          <w:szCs w:val="24"/>
        </w:rPr>
        <w:t>s language.  T</w:t>
      </w:r>
      <w:r w:rsidR="003F5E15" w:rsidRPr="00D97634">
        <w:rPr>
          <w:rFonts w:ascii="Times New Roman" w:hAnsi="Times New Roman" w:cs="Times New Roman"/>
          <w:sz w:val="24"/>
          <w:szCs w:val="24"/>
        </w:rPr>
        <w:t xml:space="preserve">he word “existing” refers to the fact the Premises was not a greenfield lot. </w:t>
      </w:r>
      <w:r w:rsidR="007B1F8E" w:rsidRPr="00D97634">
        <w:rPr>
          <w:rFonts w:ascii="Times New Roman" w:hAnsi="Times New Roman" w:cs="Times New Roman"/>
          <w:sz w:val="24"/>
          <w:szCs w:val="24"/>
        </w:rPr>
        <w:t xml:space="preserve"> </w:t>
      </w:r>
      <w:r w:rsidR="003F5E15" w:rsidRPr="00D97634">
        <w:rPr>
          <w:rFonts w:ascii="Times New Roman" w:hAnsi="Times New Roman" w:cs="Times New Roman"/>
          <w:sz w:val="24"/>
          <w:szCs w:val="24"/>
        </w:rPr>
        <w:t>(</w:t>
      </w:r>
      <w:r w:rsidR="003F5E15" w:rsidRPr="00D97634">
        <w:rPr>
          <w:rFonts w:ascii="Times New Roman" w:hAnsi="Times New Roman" w:cs="Times New Roman"/>
          <w:i/>
          <w:sz w:val="24"/>
          <w:szCs w:val="24"/>
        </w:rPr>
        <w:t xml:space="preserve">See </w:t>
      </w:r>
      <w:r w:rsidR="003F5E15" w:rsidRPr="00D97634">
        <w:rPr>
          <w:rFonts w:ascii="Times New Roman" w:hAnsi="Times New Roman" w:cs="Times New Roman"/>
          <w:sz w:val="24"/>
          <w:szCs w:val="24"/>
        </w:rPr>
        <w:t xml:space="preserve">Initial Decision, at </w:t>
      </w:r>
      <w:r w:rsidR="006C7D12" w:rsidRPr="00D97634">
        <w:rPr>
          <w:rFonts w:ascii="Times New Roman" w:hAnsi="Times New Roman" w:cs="Times New Roman"/>
          <w:sz w:val="24"/>
          <w:szCs w:val="24"/>
        </w:rPr>
        <w:t>9</w:t>
      </w:r>
      <w:r w:rsidR="00042968" w:rsidRPr="00D97634">
        <w:rPr>
          <w:rFonts w:ascii="Times New Roman" w:hAnsi="Times New Roman" w:cs="Times New Roman"/>
          <w:sz w:val="24"/>
          <w:szCs w:val="24"/>
        </w:rPr>
        <w:t xml:space="preserve">, </w:t>
      </w:r>
      <w:r w:rsidR="006C7D12" w:rsidRPr="00D97634">
        <w:rPr>
          <w:rFonts w:ascii="Times New Roman" w:hAnsi="Times New Roman" w:cs="Times New Roman"/>
          <w:sz w:val="24"/>
          <w:szCs w:val="24"/>
        </w:rPr>
        <w:t xml:space="preserve">“In the context of the existing Premises, </w:t>
      </w:r>
      <w:r w:rsidR="006C7D12" w:rsidRPr="00D97634">
        <w:rPr>
          <w:rFonts w:ascii="Times New Roman" w:hAnsi="Times New Roman" w:cs="Times New Roman"/>
          <w:i/>
          <w:sz w:val="24"/>
          <w:szCs w:val="24"/>
        </w:rPr>
        <w:t>rather than greenfield lots</w:t>
      </w:r>
      <w:r w:rsidR="006C7D12" w:rsidRPr="00D97634">
        <w:rPr>
          <w:rFonts w:ascii="Times New Roman" w:hAnsi="Times New Roman" w:cs="Times New Roman"/>
          <w:sz w:val="24"/>
          <w:szCs w:val="24"/>
        </w:rPr>
        <w:t xml:space="preserve"> . . . .”)</w:t>
      </w:r>
      <w:r w:rsidR="00EB4DEB" w:rsidRPr="00D97634">
        <w:rPr>
          <w:rFonts w:ascii="Times New Roman" w:hAnsi="Times New Roman" w:cs="Times New Roman"/>
          <w:sz w:val="24"/>
          <w:szCs w:val="24"/>
        </w:rPr>
        <w:t xml:space="preserve"> (emphasis added</w:t>
      </w:r>
      <w:r w:rsidR="006C7D12" w:rsidRPr="00D97634">
        <w:rPr>
          <w:rFonts w:ascii="Times New Roman" w:hAnsi="Times New Roman" w:cs="Times New Roman"/>
          <w:sz w:val="24"/>
          <w:szCs w:val="24"/>
        </w:rPr>
        <w:t xml:space="preserve">).  </w:t>
      </w:r>
      <w:r w:rsidR="002E1256" w:rsidRPr="00D97634">
        <w:rPr>
          <w:rFonts w:ascii="Times New Roman" w:hAnsi="Times New Roman" w:cs="Times New Roman"/>
          <w:sz w:val="24"/>
          <w:szCs w:val="24"/>
        </w:rPr>
        <w:t>T</w:t>
      </w:r>
      <w:r w:rsidR="00A13DB6" w:rsidRPr="00D97634">
        <w:rPr>
          <w:rFonts w:ascii="Times New Roman" w:hAnsi="Times New Roman" w:cs="Times New Roman"/>
          <w:sz w:val="24"/>
          <w:szCs w:val="24"/>
        </w:rPr>
        <w:t xml:space="preserve">he </w:t>
      </w:r>
      <w:r w:rsidR="00A13DB6" w:rsidRPr="00D97634">
        <w:rPr>
          <w:rFonts w:ascii="Times New Roman" w:hAnsi="Times New Roman" w:cs="Times New Roman"/>
          <w:sz w:val="24"/>
          <w:szCs w:val="24"/>
        </w:rPr>
        <w:lastRenderedPageBreak/>
        <w:t xml:space="preserve">record evidence established that the </w:t>
      </w:r>
      <w:r w:rsidR="00002C8E" w:rsidRPr="00D97634">
        <w:rPr>
          <w:rFonts w:ascii="Times New Roman" w:hAnsi="Times New Roman" w:cs="Times New Roman"/>
          <w:sz w:val="24"/>
          <w:szCs w:val="24"/>
        </w:rPr>
        <w:t>Hartwell Pet Food Facility</w:t>
      </w:r>
      <w:r w:rsidR="00A13DB6" w:rsidRPr="00D97634">
        <w:rPr>
          <w:rFonts w:ascii="Times New Roman" w:hAnsi="Times New Roman" w:cs="Times New Roman"/>
          <w:sz w:val="24"/>
          <w:szCs w:val="24"/>
        </w:rPr>
        <w:t xml:space="preserve"> received continuous construction service</w:t>
      </w:r>
      <w:r w:rsidR="00002C8E" w:rsidRPr="00D97634">
        <w:rPr>
          <w:rFonts w:ascii="Times New Roman" w:hAnsi="Times New Roman" w:cs="Times New Roman"/>
          <w:sz w:val="24"/>
          <w:szCs w:val="24"/>
        </w:rPr>
        <w:t xml:space="preserve">, as acknowledged by the </w:t>
      </w:r>
      <w:r w:rsidRPr="00D97634">
        <w:rPr>
          <w:rFonts w:ascii="Times New Roman" w:hAnsi="Times New Roman" w:cs="Times New Roman"/>
          <w:sz w:val="24"/>
          <w:szCs w:val="24"/>
        </w:rPr>
        <w:t>Initial Decision</w:t>
      </w:r>
      <w:r w:rsidR="00002C8E" w:rsidRPr="00D97634">
        <w:rPr>
          <w:rFonts w:ascii="Times New Roman" w:eastAsia="Times New Roman" w:hAnsi="Times New Roman" w:cs="Times New Roman"/>
          <w:snapToGrid w:val="0"/>
          <w:sz w:val="24"/>
          <w:szCs w:val="24"/>
        </w:rPr>
        <w:t>: “</w:t>
      </w:r>
      <w:r w:rsidR="00002C8E" w:rsidRPr="00D97634">
        <w:rPr>
          <w:rFonts w:ascii="Times New Roman" w:hAnsi="Times New Roman" w:cs="Times New Roman"/>
          <w:sz w:val="24"/>
          <w:szCs w:val="24"/>
        </w:rPr>
        <w:t xml:space="preserve">Nestle contended that it and GPC understood that Nestle would need temporary service until it finished its construction project . . .” </w:t>
      </w:r>
      <w:r w:rsidR="00002C8E" w:rsidRPr="00D97634">
        <w:rPr>
          <w:rFonts w:ascii="Times New Roman" w:eastAsia="Times New Roman" w:hAnsi="Times New Roman" w:cs="Times New Roman"/>
          <w:sz w:val="24"/>
          <w:szCs w:val="24"/>
        </w:rPr>
        <w:t>(Initial Decision, at 5.)</w:t>
      </w:r>
      <w:r w:rsidR="007B1F8E" w:rsidRPr="00D97634">
        <w:rPr>
          <w:rFonts w:ascii="Times New Roman" w:hAnsi="Times New Roman" w:cs="Times New Roman"/>
          <w:sz w:val="24"/>
          <w:szCs w:val="24"/>
        </w:rPr>
        <w:t xml:space="preserve">  The facts cited by Georgia Power do not support its contention that the Hartwell Pet Food Facility is not a “</w:t>
      </w:r>
      <w:r w:rsidR="00EB4DEB" w:rsidRPr="00D97634">
        <w:rPr>
          <w:rFonts w:ascii="Times New Roman" w:hAnsi="Times New Roman" w:cs="Times New Roman"/>
          <w:sz w:val="24"/>
          <w:szCs w:val="24"/>
        </w:rPr>
        <w:t>new premises</w:t>
      </w:r>
      <w:r w:rsidR="00E14F93" w:rsidRPr="00D97634">
        <w:rPr>
          <w:rFonts w:ascii="Times New Roman" w:hAnsi="Times New Roman" w:cs="Times New Roman"/>
          <w:sz w:val="24"/>
          <w:szCs w:val="24"/>
        </w:rPr>
        <w:t>.</w:t>
      </w:r>
      <w:r w:rsidR="00EB4DEB" w:rsidRPr="00D97634">
        <w:rPr>
          <w:rFonts w:ascii="Times New Roman" w:hAnsi="Times New Roman" w:cs="Times New Roman"/>
          <w:sz w:val="24"/>
          <w:szCs w:val="24"/>
        </w:rPr>
        <w:t xml:space="preserve">” </w:t>
      </w:r>
      <w:r w:rsidR="00E14F93" w:rsidRPr="00D97634">
        <w:rPr>
          <w:rFonts w:ascii="Times New Roman" w:hAnsi="Times New Roman" w:cs="Times New Roman"/>
          <w:sz w:val="24"/>
          <w:szCs w:val="24"/>
        </w:rPr>
        <w:t xml:space="preserve"> </w:t>
      </w:r>
      <w:r w:rsidR="002E1256" w:rsidRPr="00D97634">
        <w:rPr>
          <w:rFonts w:ascii="Times New Roman" w:hAnsi="Times New Roman" w:cs="Times New Roman"/>
          <w:sz w:val="24"/>
          <w:szCs w:val="24"/>
        </w:rPr>
        <w:t>T</w:t>
      </w:r>
      <w:r w:rsidR="00E14F93" w:rsidRPr="00D97634">
        <w:rPr>
          <w:rFonts w:ascii="Times New Roman" w:hAnsi="Times New Roman" w:cs="Times New Roman"/>
          <w:sz w:val="24"/>
          <w:szCs w:val="24"/>
        </w:rPr>
        <w:t xml:space="preserve">he facts cited by Georgia Power </w:t>
      </w:r>
      <w:r w:rsidR="00EB4DEB" w:rsidRPr="00D97634">
        <w:rPr>
          <w:rFonts w:ascii="Times New Roman" w:hAnsi="Times New Roman" w:cs="Times New Roman"/>
          <w:sz w:val="24"/>
          <w:szCs w:val="24"/>
        </w:rPr>
        <w:t xml:space="preserve">simply demonstrate </w:t>
      </w:r>
      <w:r w:rsidRPr="00D97634">
        <w:rPr>
          <w:rFonts w:ascii="Times New Roman" w:hAnsi="Times New Roman" w:cs="Times New Roman"/>
          <w:sz w:val="24"/>
          <w:szCs w:val="24"/>
        </w:rPr>
        <w:t xml:space="preserve">that (1) </w:t>
      </w:r>
      <w:r w:rsidR="00EB4DEB" w:rsidRPr="00D97634">
        <w:rPr>
          <w:rFonts w:ascii="Times New Roman" w:hAnsi="Times New Roman" w:cs="Times New Roman"/>
          <w:sz w:val="24"/>
          <w:szCs w:val="24"/>
        </w:rPr>
        <w:t>Georgia Power served the premises prior to Nestlé Purina</w:t>
      </w:r>
      <w:r w:rsidRPr="00D97634">
        <w:rPr>
          <w:rFonts w:ascii="Times New Roman" w:hAnsi="Times New Roman" w:cs="Times New Roman"/>
          <w:sz w:val="24"/>
          <w:szCs w:val="24"/>
        </w:rPr>
        <w:t xml:space="preserve">; and, (2) </w:t>
      </w:r>
      <w:r w:rsidR="00EB4DEB" w:rsidRPr="00D97634">
        <w:rPr>
          <w:rFonts w:ascii="Times New Roman" w:hAnsi="Times New Roman" w:cs="Times New Roman"/>
          <w:sz w:val="24"/>
          <w:szCs w:val="24"/>
        </w:rPr>
        <w:t xml:space="preserve">temporarily </w:t>
      </w:r>
      <w:r w:rsidRPr="00D97634">
        <w:rPr>
          <w:rFonts w:ascii="Times New Roman" w:hAnsi="Times New Roman" w:cs="Times New Roman"/>
          <w:sz w:val="24"/>
          <w:szCs w:val="24"/>
        </w:rPr>
        <w:t>provided construction service</w:t>
      </w:r>
      <w:r w:rsidR="002E1256" w:rsidRPr="00D97634">
        <w:rPr>
          <w:rFonts w:ascii="Times New Roman" w:hAnsi="Times New Roman" w:cs="Times New Roman"/>
          <w:sz w:val="24"/>
          <w:szCs w:val="24"/>
        </w:rPr>
        <w:t>, nothing more</w:t>
      </w:r>
      <w:r w:rsidRPr="00D97634">
        <w:rPr>
          <w:rFonts w:ascii="Times New Roman" w:hAnsi="Times New Roman" w:cs="Times New Roman"/>
          <w:sz w:val="24"/>
          <w:szCs w:val="24"/>
        </w:rPr>
        <w:t>.</w:t>
      </w:r>
    </w:p>
    <w:p w14:paraId="590743AB" w14:textId="4BEDBE48" w:rsidR="00125834" w:rsidRPr="00D97634" w:rsidRDefault="00125834" w:rsidP="007B1F8E">
      <w:pPr>
        <w:spacing w:after="0" w:line="480" w:lineRule="auto"/>
        <w:jc w:val="both"/>
        <w:rPr>
          <w:rFonts w:ascii="Times New Roman" w:eastAsia="Times New Roman" w:hAnsi="Times New Roman" w:cs="Times New Roman"/>
          <w:sz w:val="24"/>
          <w:szCs w:val="24"/>
        </w:rPr>
      </w:pPr>
      <w:r w:rsidRPr="00D97634">
        <w:rPr>
          <w:rFonts w:ascii="Times New Roman" w:hAnsi="Times New Roman" w:cs="Times New Roman"/>
          <w:sz w:val="24"/>
          <w:szCs w:val="24"/>
        </w:rPr>
        <w:tab/>
        <w:t>Ge</w:t>
      </w:r>
      <w:r w:rsidR="00512DB0" w:rsidRPr="00D97634">
        <w:rPr>
          <w:rFonts w:ascii="Times New Roman" w:hAnsi="Times New Roman" w:cs="Times New Roman"/>
          <w:sz w:val="24"/>
          <w:szCs w:val="24"/>
        </w:rPr>
        <w:t xml:space="preserve">orgia Power’s </w:t>
      </w:r>
      <w:r w:rsidR="002E1256" w:rsidRPr="00D97634">
        <w:rPr>
          <w:rFonts w:ascii="Times New Roman" w:hAnsi="Times New Roman" w:cs="Times New Roman"/>
          <w:sz w:val="24"/>
          <w:szCs w:val="24"/>
        </w:rPr>
        <w:t xml:space="preserve">final </w:t>
      </w:r>
      <w:r w:rsidR="00512DB0" w:rsidRPr="00D97634">
        <w:rPr>
          <w:rFonts w:ascii="Times New Roman" w:hAnsi="Times New Roman" w:cs="Times New Roman"/>
          <w:sz w:val="24"/>
          <w:szCs w:val="24"/>
        </w:rPr>
        <w:t xml:space="preserve">statement </w:t>
      </w:r>
      <w:r w:rsidR="002E1256" w:rsidRPr="00D97634">
        <w:rPr>
          <w:rFonts w:ascii="Times New Roman" w:hAnsi="Times New Roman" w:cs="Times New Roman"/>
          <w:sz w:val="24"/>
          <w:szCs w:val="24"/>
        </w:rPr>
        <w:t xml:space="preserve">that </w:t>
      </w:r>
      <w:r w:rsidR="00512DB0" w:rsidRPr="00D97634">
        <w:rPr>
          <w:rFonts w:ascii="Times New Roman" w:hAnsi="Times New Roman" w:cs="Times New Roman"/>
          <w:sz w:val="24"/>
          <w:szCs w:val="24"/>
        </w:rPr>
        <w:t>“[t]he Initial Decision’s reliance upon speculative future additions to the building to conclude that the Premises had been destroyed or dismantled underscores how far the Initial Decision strays from the legislative intent and plain meaning of th</w:t>
      </w:r>
      <w:r w:rsidR="002E1256" w:rsidRPr="00D97634">
        <w:rPr>
          <w:rFonts w:ascii="Times New Roman" w:hAnsi="Times New Roman" w:cs="Times New Roman"/>
          <w:sz w:val="24"/>
          <w:szCs w:val="24"/>
        </w:rPr>
        <w:t>e Territorial Act</w:t>
      </w:r>
      <w:r w:rsidR="00512DB0" w:rsidRPr="00D97634">
        <w:rPr>
          <w:rFonts w:ascii="Times New Roman" w:hAnsi="Times New Roman" w:cs="Times New Roman"/>
          <w:sz w:val="24"/>
          <w:szCs w:val="24"/>
        </w:rPr>
        <w:t>”</w:t>
      </w:r>
      <w:r w:rsidR="002E1256" w:rsidRPr="00D97634">
        <w:rPr>
          <w:rFonts w:ascii="Times New Roman" w:hAnsi="Times New Roman" w:cs="Times New Roman"/>
          <w:sz w:val="24"/>
          <w:szCs w:val="24"/>
        </w:rPr>
        <w:t xml:space="preserve"> carelessly misstates the record evidence.</w:t>
      </w:r>
      <w:r w:rsidR="00512DB0" w:rsidRPr="00D97634">
        <w:rPr>
          <w:rFonts w:ascii="Times New Roman" w:hAnsi="Times New Roman" w:cs="Times New Roman"/>
          <w:sz w:val="24"/>
          <w:szCs w:val="24"/>
        </w:rPr>
        <w:t xml:space="preserve">  (</w:t>
      </w:r>
      <w:r w:rsidR="00CB310D" w:rsidRPr="00D97634">
        <w:rPr>
          <w:rFonts w:ascii="Times New Roman" w:hAnsi="Times New Roman" w:cs="Times New Roman"/>
          <w:sz w:val="24"/>
          <w:szCs w:val="24"/>
        </w:rPr>
        <w:t>Application</w:t>
      </w:r>
      <w:r w:rsidR="00512DB0" w:rsidRPr="00D97634">
        <w:rPr>
          <w:rFonts w:ascii="Times New Roman" w:hAnsi="Times New Roman" w:cs="Times New Roman"/>
          <w:sz w:val="24"/>
          <w:szCs w:val="24"/>
        </w:rPr>
        <w:t>, at 16.)</w:t>
      </w:r>
      <w:r w:rsidR="00B560B1" w:rsidRPr="00D97634">
        <w:rPr>
          <w:rFonts w:ascii="Times New Roman" w:hAnsi="Times New Roman" w:cs="Times New Roman"/>
          <w:sz w:val="24"/>
          <w:szCs w:val="24"/>
        </w:rPr>
        <w:t xml:space="preserve">  Nestlé Purina has </w:t>
      </w:r>
      <w:r w:rsidR="00B560B1" w:rsidRPr="00D97634">
        <w:rPr>
          <w:rFonts w:ascii="Times New Roman" w:hAnsi="Times New Roman" w:cs="Times New Roman"/>
          <w:i/>
          <w:sz w:val="24"/>
          <w:szCs w:val="24"/>
        </w:rPr>
        <w:t>committed</w:t>
      </w:r>
      <w:r w:rsidR="00B560B1" w:rsidRPr="00D97634">
        <w:rPr>
          <w:rFonts w:ascii="Times New Roman" w:hAnsi="Times New Roman" w:cs="Times New Roman"/>
          <w:sz w:val="24"/>
          <w:szCs w:val="24"/>
        </w:rPr>
        <w:t xml:space="preserve"> over $300 million dollars of investment in the Hartwell Pet Food Facility.  </w:t>
      </w:r>
      <w:r w:rsidR="006F505D" w:rsidRPr="00D97634">
        <w:rPr>
          <w:rFonts w:ascii="Times New Roman" w:hAnsi="Times New Roman" w:cs="Times New Roman"/>
          <w:sz w:val="24"/>
          <w:szCs w:val="24"/>
        </w:rPr>
        <w:t>(Tr. 492.)  As of the date of the Hearing, Nestlé Purina</w:t>
      </w:r>
      <w:r w:rsidR="00251E0F" w:rsidRPr="00D97634">
        <w:rPr>
          <w:rFonts w:ascii="Times New Roman" w:hAnsi="Times New Roman" w:cs="Times New Roman"/>
          <w:sz w:val="24"/>
          <w:szCs w:val="24"/>
        </w:rPr>
        <w:t xml:space="preserve"> had already spent $220 million constructing the Hartwell Pet Food Facility</w:t>
      </w:r>
      <w:r w:rsidR="00515246" w:rsidRPr="00D97634">
        <w:rPr>
          <w:rFonts w:ascii="Times New Roman" w:hAnsi="Times New Roman" w:cs="Times New Roman"/>
          <w:sz w:val="24"/>
          <w:szCs w:val="24"/>
        </w:rPr>
        <w:t xml:space="preserve"> and </w:t>
      </w:r>
      <w:r w:rsidR="00515246" w:rsidRPr="00D97634">
        <w:rPr>
          <w:rFonts w:ascii="Times New Roman" w:hAnsi="Times New Roman" w:cs="Times New Roman"/>
          <w:i/>
          <w:sz w:val="24"/>
          <w:szCs w:val="24"/>
        </w:rPr>
        <w:t xml:space="preserve">committed </w:t>
      </w:r>
      <w:r w:rsidR="00515246" w:rsidRPr="00D97634">
        <w:rPr>
          <w:rFonts w:ascii="Times New Roman" w:hAnsi="Times New Roman" w:cs="Times New Roman"/>
          <w:sz w:val="24"/>
          <w:szCs w:val="24"/>
        </w:rPr>
        <w:t>another $80 million for work that will be completed as part of the initial full start-up</w:t>
      </w:r>
      <w:r w:rsidR="00251E0F" w:rsidRPr="00D97634">
        <w:rPr>
          <w:rFonts w:ascii="Times New Roman" w:hAnsi="Times New Roman" w:cs="Times New Roman"/>
          <w:sz w:val="24"/>
          <w:szCs w:val="24"/>
        </w:rPr>
        <w:t>.  (</w:t>
      </w:r>
      <w:r w:rsidR="00251E0F" w:rsidRPr="00D97634">
        <w:rPr>
          <w:rFonts w:ascii="Times New Roman" w:hAnsi="Times New Roman" w:cs="Times New Roman"/>
          <w:i/>
          <w:sz w:val="24"/>
          <w:szCs w:val="24"/>
        </w:rPr>
        <w:t>Id.</w:t>
      </w:r>
      <w:r w:rsidR="00CB310D" w:rsidRPr="00D97634">
        <w:rPr>
          <w:rFonts w:ascii="Times New Roman" w:hAnsi="Times New Roman" w:cs="Times New Roman"/>
          <w:sz w:val="24"/>
          <w:szCs w:val="24"/>
        </w:rPr>
        <w:t xml:space="preserve">)  The Initial Decision does not rely on any “speculative future additions.”  The Initial Decision relies on the significant construction </w:t>
      </w:r>
      <w:r w:rsidR="002E1256" w:rsidRPr="00D97634">
        <w:rPr>
          <w:rFonts w:ascii="Times New Roman" w:hAnsi="Times New Roman" w:cs="Times New Roman"/>
          <w:sz w:val="24"/>
          <w:szCs w:val="24"/>
        </w:rPr>
        <w:t xml:space="preserve">performed by </w:t>
      </w:r>
      <w:r w:rsidR="00CB310D" w:rsidRPr="00D97634">
        <w:rPr>
          <w:rFonts w:ascii="Times New Roman" w:hAnsi="Times New Roman" w:cs="Times New Roman"/>
          <w:sz w:val="24"/>
          <w:szCs w:val="24"/>
        </w:rPr>
        <w:t>Nestlé Purina</w:t>
      </w:r>
      <w:r w:rsidR="00A408F1" w:rsidRPr="00D97634">
        <w:rPr>
          <w:rFonts w:ascii="Times New Roman" w:hAnsi="Times New Roman" w:cs="Times New Roman"/>
          <w:sz w:val="24"/>
          <w:szCs w:val="24"/>
        </w:rPr>
        <w:t xml:space="preserve"> </w:t>
      </w:r>
      <w:r w:rsidR="00BB7C9A" w:rsidRPr="00D97634">
        <w:rPr>
          <w:rFonts w:ascii="Times New Roman" w:hAnsi="Times New Roman" w:cs="Times New Roman"/>
          <w:sz w:val="24"/>
          <w:szCs w:val="24"/>
        </w:rPr>
        <w:t>to c</w:t>
      </w:r>
      <w:r w:rsidR="00A408F1" w:rsidRPr="00D97634">
        <w:rPr>
          <w:rFonts w:ascii="Times New Roman" w:hAnsi="Times New Roman" w:cs="Times New Roman"/>
          <w:sz w:val="24"/>
          <w:szCs w:val="24"/>
        </w:rPr>
        <w:t>reat</w:t>
      </w:r>
      <w:r w:rsidR="00BB7C9A" w:rsidRPr="00D97634">
        <w:rPr>
          <w:rFonts w:ascii="Times New Roman" w:hAnsi="Times New Roman" w:cs="Times New Roman"/>
          <w:sz w:val="24"/>
          <w:szCs w:val="24"/>
        </w:rPr>
        <w:t>e</w:t>
      </w:r>
      <w:r w:rsidR="00A408F1" w:rsidRPr="00D97634">
        <w:rPr>
          <w:rFonts w:ascii="Times New Roman" w:hAnsi="Times New Roman" w:cs="Times New Roman"/>
          <w:sz w:val="24"/>
          <w:szCs w:val="24"/>
        </w:rPr>
        <w:t xml:space="preserve"> </w:t>
      </w:r>
      <w:r w:rsidR="00A408F1" w:rsidRPr="00D97634">
        <w:rPr>
          <w:rFonts w:ascii="Times New Roman" w:eastAsia="Times New Roman" w:hAnsi="Times New Roman" w:cs="Times New Roman"/>
          <w:snapToGrid w:val="0"/>
          <w:sz w:val="24"/>
          <w:szCs w:val="24"/>
        </w:rPr>
        <w:t xml:space="preserve">a new premises with a completely different use and function than the </w:t>
      </w:r>
      <w:r w:rsidR="000802A4" w:rsidRPr="00D97634">
        <w:rPr>
          <w:rFonts w:ascii="Times New Roman" w:eastAsia="Times New Roman" w:hAnsi="Times New Roman" w:cs="Times New Roman"/>
          <w:snapToGrid w:val="0"/>
          <w:sz w:val="24"/>
          <w:szCs w:val="24"/>
        </w:rPr>
        <w:t>prior</w:t>
      </w:r>
      <w:r w:rsidR="00BB7C9A" w:rsidRPr="00D97634">
        <w:rPr>
          <w:rFonts w:ascii="Times New Roman" w:eastAsia="Times New Roman" w:hAnsi="Times New Roman" w:cs="Times New Roman"/>
          <w:snapToGrid w:val="0"/>
          <w:sz w:val="24"/>
          <w:szCs w:val="24"/>
        </w:rPr>
        <w:t xml:space="preserve"> premises</w:t>
      </w:r>
      <w:r w:rsidR="00A408F1" w:rsidRPr="00D97634">
        <w:rPr>
          <w:rFonts w:ascii="Times New Roman" w:eastAsia="Times New Roman" w:hAnsi="Times New Roman" w:cs="Times New Roman"/>
          <w:snapToGrid w:val="0"/>
          <w:sz w:val="24"/>
          <w:szCs w:val="24"/>
        </w:rPr>
        <w:t xml:space="preserve">, </w:t>
      </w:r>
      <w:r w:rsidR="00BB7C9A" w:rsidRPr="00D97634">
        <w:rPr>
          <w:rFonts w:ascii="Times New Roman" w:eastAsia="Times New Roman" w:hAnsi="Times New Roman" w:cs="Times New Roman"/>
          <w:snapToGrid w:val="0"/>
          <w:sz w:val="24"/>
          <w:szCs w:val="24"/>
        </w:rPr>
        <w:t xml:space="preserve">an </w:t>
      </w:r>
      <w:r w:rsidR="00A408F1" w:rsidRPr="00D97634">
        <w:rPr>
          <w:rFonts w:ascii="Times New Roman" w:eastAsia="Times New Roman" w:hAnsi="Times New Roman" w:cs="Times New Roman"/>
          <w:snapToGrid w:val="0"/>
          <w:sz w:val="24"/>
          <w:szCs w:val="24"/>
        </w:rPr>
        <w:t xml:space="preserve">idled textile mill.  Construction endeavors of the size and nature of the Hartwell Pet Food Facility take time to complete, and while </w:t>
      </w:r>
      <w:r w:rsidR="00A408F1" w:rsidRPr="00D97634">
        <w:rPr>
          <w:rFonts w:ascii="Times New Roman" w:hAnsi="Times New Roman" w:cs="Times New Roman"/>
          <w:sz w:val="24"/>
          <w:szCs w:val="24"/>
        </w:rPr>
        <w:t>Nestlé Purina has yet to finish its construction efforts, the Hartwell Pet Food Facility does not have “speculative future additions,” and more importantly, the Initial Decisio</w:t>
      </w:r>
      <w:r w:rsidR="00AC363B" w:rsidRPr="00D97634">
        <w:rPr>
          <w:rFonts w:ascii="Times New Roman" w:hAnsi="Times New Roman" w:cs="Times New Roman"/>
          <w:sz w:val="24"/>
          <w:szCs w:val="24"/>
        </w:rPr>
        <w:t>n does not rely on the same.</w:t>
      </w:r>
    </w:p>
    <w:p w14:paraId="4A7AD44B" w14:textId="77777777" w:rsidR="0024092C" w:rsidRPr="00D97634" w:rsidRDefault="00B154FA" w:rsidP="00616D8C">
      <w:pPr>
        <w:keepNext/>
        <w:jc w:val="center"/>
        <w:rPr>
          <w:rFonts w:ascii="Times New Roman" w:hAnsi="Times New Roman" w:cs="Times New Roman"/>
          <w:sz w:val="24"/>
          <w:szCs w:val="24"/>
        </w:rPr>
      </w:pPr>
      <w:r w:rsidRPr="00D97634">
        <w:rPr>
          <w:rFonts w:ascii="Times New Roman" w:hAnsi="Times New Roman" w:cs="Times New Roman"/>
          <w:b/>
          <w:iCs/>
          <w:sz w:val="24"/>
          <w:szCs w:val="24"/>
          <w:u w:val="single"/>
        </w:rPr>
        <w:lastRenderedPageBreak/>
        <w:t>CONCLUSION</w:t>
      </w:r>
    </w:p>
    <w:p w14:paraId="652F2ECA" w14:textId="77777777" w:rsidR="003D5486" w:rsidRPr="00D97634" w:rsidRDefault="00B154FA" w:rsidP="008548B5">
      <w:pPr>
        <w:spacing w:line="480" w:lineRule="auto"/>
        <w:jc w:val="both"/>
        <w:rPr>
          <w:rFonts w:ascii="Times New Roman" w:hAnsi="Times New Roman" w:cs="Times New Roman"/>
          <w:sz w:val="24"/>
          <w:szCs w:val="24"/>
        </w:rPr>
      </w:pPr>
      <w:r w:rsidRPr="00D97634">
        <w:rPr>
          <w:rFonts w:ascii="Times New Roman" w:hAnsi="Times New Roman" w:cs="Times New Roman"/>
          <w:sz w:val="24"/>
          <w:szCs w:val="24"/>
        </w:rPr>
        <w:tab/>
        <w:t xml:space="preserve">For the reasons set forth above, </w:t>
      </w:r>
      <w:r w:rsidR="00A03B93" w:rsidRPr="00D97634">
        <w:rPr>
          <w:rFonts w:ascii="Times New Roman" w:hAnsi="Times New Roman" w:cs="Times New Roman"/>
          <w:sz w:val="24"/>
          <w:szCs w:val="24"/>
        </w:rPr>
        <w:t xml:space="preserve">Walton EMC and </w:t>
      </w:r>
      <w:r w:rsidR="00F81CCE" w:rsidRPr="00D97634">
        <w:rPr>
          <w:rFonts w:ascii="Times New Roman" w:hAnsi="Times New Roman" w:cs="Times New Roman"/>
          <w:sz w:val="24"/>
          <w:szCs w:val="24"/>
        </w:rPr>
        <w:t xml:space="preserve">Nestlé </w:t>
      </w:r>
      <w:r w:rsidR="00A03B93" w:rsidRPr="00D97634">
        <w:rPr>
          <w:rFonts w:ascii="Times New Roman" w:hAnsi="Times New Roman" w:cs="Times New Roman"/>
          <w:sz w:val="24"/>
          <w:szCs w:val="24"/>
        </w:rPr>
        <w:t xml:space="preserve">Purina </w:t>
      </w:r>
      <w:r w:rsidRPr="00D97634">
        <w:rPr>
          <w:rFonts w:ascii="Times New Roman" w:hAnsi="Times New Roman" w:cs="Times New Roman"/>
          <w:sz w:val="24"/>
          <w:szCs w:val="24"/>
        </w:rPr>
        <w:t>respectfully request the Commission adopt</w:t>
      </w:r>
      <w:r w:rsidR="00264AEA" w:rsidRPr="00D97634">
        <w:rPr>
          <w:rFonts w:ascii="Times New Roman" w:hAnsi="Times New Roman" w:cs="Times New Roman"/>
          <w:sz w:val="24"/>
          <w:szCs w:val="24"/>
        </w:rPr>
        <w:t>,</w:t>
      </w:r>
      <w:r w:rsidRPr="00D97634">
        <w:rPr>
          <w:rFonts w:ascii="Times New Roman" w:hAnsi="Times New Roman" w:cs="Times New Roman"/>
          <w:sz w:val="24"/>
          <w:szCs w:val="24"/>
        </w:rPr>
        <w:t xml:space="preserve"> in full</w:t>
      </w:r>
      <w:r w:rsidR="00264AEA" w:rsidRPr="00D97634">
        <w:rPr>
          <w:rFonts w:ascii="Times New Roman" w:hAnsi="Times New Roman" w:cs="Times New Roman"/>
          <w:sz w:val="24"/>
          <w:szCs w:val="24"/>
        </w:rPr>
        <w:t>,</w:t>
      </w:r>
      <w:r w:rsidRPr="00D97634">
        <w:rPr>
          <w:rFonts w:ascii="Times New Roman" w:hAnsi="Times New Roman" w:cs="Times New Roman"/>
          <w:sz w:val="24"/>
          <w:szCs w:val="24"/>
        </w:rPr>
        <w:t xml:space="preserve"> the Initial Decision.</w:t>
      </w:r>
      <w:r w:rsidRPr="00D97634">
        <w:rPr>
          <w:rStyle w:val="FootnoteReference"/>
          <w:rFonts w:ascii="Times New Roman" w:hAnsi="Times New Roman" w:cs="Times New Roman"/>
          <w:sz w:val="24"/>
          <w:szCs w:val="24"/>
        </w:rPr>
        <w:footnoteReference w:id="3"/>
      </w:r>
    </w:p>
    <w:p w14:paraId="5C3B34F3" w14:textId="79288C5B" w:rsidR="009E4CD6" w:rsidRPr="00D97634" w:rsidRDefault="009E4CD6" w:rsidP="009E4CD6">
      <w:pPr>
        <w:pStyle w:val="BodyText"/>
        <w:spacing w:line="480" w:lineRule="auto"/>
        <w:rPr>
          <w:rFonts w:ascii="Times New Roman" w:hAnsi="Times New Roman" w:cs="Times New Roman"/>
          <w:sz w:val="24"/>
          <w:szCs w:val="24"/>
        </w:rPr>
      </w:pPr>
      <w:r w:rsidRPr="00D97634">
        <w:rPr>
          <w:rFonts w:ascii="Times New Roman" w:hAnsi="Times New Roman" w:cs="Times New Roman"/>
          <w:sz w:val="24"/>
          <w:szCs w:val="24"/>
        </w:rPr>
        <w:tab/>
        <w:t>Respectfully submitted this 1</w:t>
      </w:r>
      <w:r w:rsidR="00C82DE4">
        <w:rPr>
          <w:rFonts w:ascii="Times New Roman" w:hAnsi="Times New Roman" w:cs="Times New Roman"/>
          <w:sz w:val="24"/>
          <w:szCs w:val="24"/>
        </w:rPr>
        <w:t>7</w:t>
      </w:r>
      <w:r w:rsidRPr="00D97634">
        <w:rPr>
          <w:rFonts w:ascii="Times New Roman" w:hAnsi="Times New Roman" w:cs="Times New Roman"/>
          <w:sz w:val="24"/>
          <w:szCs w:val="24"/>
        </w:rPr>
        <w:t xml:space="preserve">th day of March, 2020. </w:t>
      </w:r>
    </w:p>
    <w:p w14:paraId="5E8CC5FB" w14:textId="77777777" w:rsidR="009E4CD6" w:rsidRPr="00D97634" w:rsidRDefault="009E4CD6" w:rsidP="009E4CD6">
      <w:pPr>
        <w:pStyle w:val="BodyText"/>
        <w:spacing w:line="48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E4CD6" w:rsidRPr="00D97634" w14:paraId="36050769" w14:textId="77777777" w:rsidTr="008E3857">
        <w:tc>
          <w:tcPr>
            <w:tcW w:w="4788" w:type="dxa"/>
          </w:tcPr>
          <w:p w14:paraId="14BD5D70"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i/>
                <w:sz w:val="24"/>
                <w:szCs w:val="24"/>
              </w:rPr>
              <w:t>/s/ Curtis J. Romig</w:t>
            </w:r>
          </w:p>
          <w:p w14:paraId="3FB65F8A" w14:textId="77777777" w:rsidR="009E4CD6" w:rsidRPr="00D97634" w:rsidRDefault="009E4CD6" w:rsidP="00DB5FE7">
            <w:pPr>
              <w:pBdr>
                <w:top w:val="single" w:sz="4" w:space="1" w:color="auto"/>
              </w:pBdr>
              <w:spacing w:after="0"/>
              <w:ind w:right="252"/>
              <w:outlineLvl w:val="0"/>
              <w:rPr>
                <w:rFonts w:ascii="Times New Roman" w:hAnsi="Times New Roman" w:cs="Times New Roman"/>
                <w:sz w:val="24"/>
                <w:szCs w:val="24"/>
              </w:rPr>
            </w:pPr>
            <w:r w:rsidRPr="00D97634">
              <w:rPr>
                <w:rFonts w:ascii="Times New Roman" w:hAnsi="Times New Roman" w:cs="Times New Roman"/>
                <w:sz w:val="24"/>
                <w:szCs w:val="24"/>
              </w:rPr>
              <w:t>Curtis J. Romig</w:t>
            </w:r>
          </w:p>
          <w:p w14:paraId="527C0068"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Georgia Bar No. 613990</w:t>
            </w:r>
          </w:p>
          <w:p w14:paraId="7A28765C"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Nicholas A. Bedo</w:t>
            </w:r>
          </w:p>
          <w:p w14:paraId="7D51ACCA"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Georgia Bar No. 860815</w:t>
            </w:r>
          </w:p>
          <w:p w14:paraId="415ECDE0" w14:textId="77777777" w:rsidR="009E4CD6" w:rsidRPr="00D97634" w:rsidRDefault="009E4CD6" w:rsidP="00DB5FE7">
            <w:pPr>
              <w:spacing w:after="0"/>
              <w:ind w:right="252"/>
              <w:rPr>
                <w:rFonts w:ascii="Times New Roman" w:hAnsi="Times New Roman" w:cs="Times New Roman"/>
                <w:sz w:val="24"/>
                <w:szCs w:val="24"/>
              </w:rPr>
            </w:pPr>
          </w:p>
          <w:p w14:paraId="6D0CD407" w14:textId="77777777" w:rsidR="009E4CD6" w:rsidRPr="00D97634" w:rsidRDefault="009E4CD6" w:rsidP="00DB5FE7">
            <w:pPr>
              <w:spacing w:after="0"/>
              <w:ind w:right="252"/>
              <w:rPr>
                <w:rFonts w:ascii="Times New Roman" w:hAnsi="Times New Roman" w:cs="Times New Roman"/>
                <w:caps/>
                <w:sz w:val="24"/>
                <w:szCs w:val="24"/>
              </w:rPr>
            </w:pPr>
            <w:r w:rsidRPr="00D97634">
              <w:rPr>
                <w:rFonts w:ascii="Times New Roman" w:hAnsi="Times New Roman" w:cs="Times New Roman"/>
                <w:caps/>
                <w:sz w:val="24"/>
                <w:szCs w:val="24"/>
              </w:rPr>
              <w:t>Bryan Cave Leighton Paisner LLP</w:t>
            </w:r>
          </w:p>
          <w:p w14:paraId="52C07131" w14:textId="77777777" w:rsidR="009E4CD6" w:rsidRPr="00D97634" w:rsidRDefault="009E4CD6" w:rsidP="00DB5FE7">
            <w:pPr>
              <w:spacing w:after="0"/>
              <w:ind w:right="252"/>
              <w:rPr>
                <w:rFonts w:ascii="Times New Roman" w:hAnsi="Times New Roman" w:cs="Times New Roman"/>
                <w:caps/>
                <w:sz w:val="24"/>
                <w:szCs w:val="24"/>
              </w:rPr>
            </w:pPr>
          </w:p>
          <w:p w14:paraId="202EFF97"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One Atlantic Center, 14th Floor</w:t>
            </w:r>
          </w:p>
          <w:p w14:paraId="460FFEAD"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1201 West Peachtree Street, NW</w:t>
            </w:r>
          </w:p>
          <w:p w14:paraId="6EA9FCE0"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Atlanta, Georgia 30309-3471</w:t>
            </w:r>
          </w:p>
          <w:p w14:paraId="0A5708E7"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Tel:</w:t>
            </w:r>
            <w:r w:rsidRPr="00D97634">
              <w:rPr>
                <w:rFonts w:ascii="Times New Roman" w:hAnsi="Times New Roman" w:cs="Times New Roman"/>
                <w:sz w:val="24"/>
                <w:szCs w:val="24"/>
              </w:rPr>
              <w:tab/>
              <w:t>(404) 572-6600</w:t>
            </w:r>
          </w:p>
          <w:p w14:paraId="47FD2C35"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Fax:</w:t>
            </w:r>
            <w:r w:rsidRPr="00D97634">
              <w:rPr>
                <w:rFonts w:ascii="Times New Roman" w:hAnsi="Times New Roman" w:cs="Times New Roman"/>
                <w:sz w:val="24"/>
                <w:szCs w:val="24"/>
              </w:rPr>
              <w:tab/>
              <w:t>(404) 572-0726</w:t>
            </w:r>
          </w:p>
          <w:p w14:paraId="5695C020" w14:textId="77777777" w:rsidR="009E4CD6" w:rsidRPr="00D97634" w:rsidRDefault="009E4CD6"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curtis.romig@bclplaw.com</w:t>
            </w:r>
          </w:p>
          <w:p w14:paraId="49F8616B" w14:textId="3DB99053" w:rsidR="009E4CD6" w:rsidRPr="00D97634" w:rsidRDefault="008E3857" w:rsidP="00DB5FE7">
            <w:pPr>
              <w:spacing w:after="0"/>
              <w:ind w:right="252"/>
              <w:rPr>
                <w:rFonts w:ascii="Times New Roman" w:hAnsi="Times New Roman" w:cs="Times New Roman"/>
                <w:sz w:val="24"/>
                <w:szCs w:val="24"/>
              </w:rPr>
            </w:pPr>
            <w:r w:rsidRPr="00D97634">
              <w:rPr>
                <w:rFonts w:ascii="Times New Roman" w:hAnsi="Times New Roman" w:cs="Times New Roman"/>
                <w:sz w:val="24"/>
                <w:szCs w:val="24"/>
              </w:rPr>
              <w:t>nick.bedo@bclplaw.com</w:t>
            </w:r>
          </w:p>
          <w:p w14:paraId="30D25060" w14:textId="77777777" w:rsidR="008E3857" w:rsidRPr="00D97634" w:rsidRDefault="008E3857" w:rsidP="00DB5FE7">
            <w:pPr>
              <w:spacing w:after="0"/>
              <w:ind w:right="252"/>
              <w:rPr>
                <w:rFonts w:ascii="Times New Roman" w:hAnsi="Times New Roman" w:cs="Times New Roman"/>
                <w:sz w:val="24"/>
                <w:szCs w:val="24"/>
              </w:rPr>
            </w:pPr>
          </w:p>
          <w:p w14:paraId="62F47F55" w14:textId="58BE1EE2" w:rsidR="009E4CD6" w:rsidRPr="00D97634" w:rsidRDefault="009E4CD6" w:rsidP="00DB5FE7">
            <w:pPr>
              <w:pStyle w:val="BodyText"/>
              <w:ind w:right="252"/>
              <w:rPr>
                <w:rFonts w:ascii="Times New Roman" w:hAnsi="Times New Roman" w:cs="Times New Roman"/>
                <w:sz w:val="24"/>
                <w:szCs w:val="24"/>
              </w:rPr>
            </w:pPr>
            <w:r w:rsidRPr="00D97634">
              <w:rPr>
                <w:rFonts w:ascii="Times New Roman" w:hAnsi="Times New Roman" w:cs="Times New Roman"/>
                <w:i/>
                <w:iCs/>
                <w:sz w:val="24"/>
                <w:szCs w:val="24"/>
              </w:rPr>
              <w:t>Attorneys for Nestlé Purina PetCare Company</w:t>
            </w:r>
          </w:p>
        </w:tc>
        <w:tc>
          <w:tcPr>
            <w:tcW w:w="4788" w:type="dxa"/>
          </w:tcPr>
          <w:p w14:paraId="779505DC" w14:textId="3E6FBFCC" w:rsidR="008E3857" w:rsidRPr="00D97634" w:rsidRDefault="008E3857" w:rsidP="008E3857">
            <w:pPr>
              <w:spacing w:after="0"/>
              <w:rPr>
                <w:rFonts w:ascii="Times New Roman" w:hAnsi="Times New Roman" w:cs="Times New Roman"/>
                <w:sz w:val="24"/>
                <w:szCs w:val="24"/>
              </w:rPr>
            </w:pPr>
            <w:r w:rsidRPr="00D97634">
              <w:rPr>
                <w:rFonts w:ascii="Times New Roman" w:hAnsi="Times New Roman" w:cs="Times New Roman"/>
                <w:i/>
                <w:sz w:val="24"/>
                <w:szCs w:val="24"/>
              </w:rPr>
              <w:t>/s/ David R. Cook</w:t>
            </w:r>
          </w:p>
          <w:p w14:paraId="2B0EAE3A" w14:textId="7DC6D8E0" w:rsidR="008E3857" w:rsidRPr="00D97634" w:rsidRDefault="008E3857" w:rsidP="008E3857">
            <w:pPr>
              <w:pBdr>
                <w:top w:val="single" w:sz="4" w:space="1" w:color="auto"/>
              </w:pBdr>
              <w:spacing w:after="0"/>
              <w:outlineLvl w:val="0"/>
              <w:rPr>
                <w:rFonts w:ascii="Times New Roman" w:hAnsi="Times New Roman" w:cs="Times New Roman"/>
                <w:sz w:val="24"/>
                <w:szCs w:val="24"/>
              </w:rPr>
            </w:pPr>
            <w:r w:rsidRPr="00D97634">
              <w:rPr>
                <w:rFonts w:ascii="Times New Roman" w:hAnsi="Times New Roman" w:cs="Times New Roman"/>
                <w:sz w:val="24"/>
                <w:szCs w:val="24"/>
              </w:rPr>
              <w:t>David R. Cook</w:t>
            </w:r>
          </w:p>
          <w:p w14:paraId="6D3EB0B9" w14:textId="1A7444B3" w:rsidR="008E3857" w:rsidRPr="00D97634" w:rsidRDefault="008E3857" w:rsidP="008E3857">
            <w:pPr>
              <w:spacing w:after="0"/>
              <w:rPr>
                <w:rFonts w:ascii="Times New Roman" w:hAnsi="Times New Roman" w:cs="Times New Roman"/>
                <w:sz w:val="24"/>
                <w:szCs w:val="24"/>
              </w:rPr>
            </w:pPr>
            <w:r w:rsidRPr="00D97634">
              <w:rPr>
                <w:rFonts w:ascii="Times New Roman" w:hAnsi="Times New Roman" w:cs="Times New Roman"/>
                <w:sz w:val="24"/>
                <w:szCs w:val="24"/>
              </w:rPr>
              <w:t>Georgia Bar No. 435130</w:t>
            </w:r>
          </w:p>
          <w:p w14:paraId="190E9841" w14:textId="3864CBF7" w:rsidR="008E3857" w:rsidRPr="00D97634" w:rsidRDefault="009E4730" w:rsidP="008E3857">
            <w:pPr>
              <w:spacing w:after="0"/>
              <w:rPr>
                <w:rFonts w:ascii="Times New Roman" w:hAnsi="Times New Roman" w:cs="Times New Roman"/>
                <w:sz w:val="24"/>
                <w:szCs w:val="24"/>
              </w:rPr>
            </w:pPr>
            <w:r w:rsidRPr="00D97634">
              <w:rPr>
                <w:rFonts w:ascii="Times New Roman" w:hAnsi="Times New Roman" w:cs="Times New Roman"/>
                <w:sz w:val="24"/>
                <w:szCs w:val="24"/>
              </w:rPr>
              <w:t>Antonio E. Veal</w:t>
            </w:r>
          </w:p>
          <w:p w14:paraId="5FF3B06E" w14:textId="59C8B68A" w:rsidR="008E3857" w:rsidRPr="00D97634" w:rsidRDefault="009E4730" w:rsidP="008E3857">
            <w:pPr>
              <w:spacing w:after="0"/>
              <w:rPr>
                <w:rFonts w:ascii="Times New Roman" w:hAnsi="Times New Roman" w:cs="Times New Roman"/>
                <w:sz w:val="24"/>
                <w:szCs w:val="24"/>
              </w:rPr>
            </w:pPr>
            <w:r w:rsidRPr="00D97634">
              <w:rPr>
                <w:rFonts w:ascii="Times New Roman" w:hAnsi="Times New Roman" w:cs="Times New Roman"/>
                <w:sz w:val="24"/>
                <w:szCs w:val="24"/>
              </w:rPr>
              <w:t>Georgia Bar No. 460007</w:t>
            </w:r>
          </w:p>
          <w:p w14:paraId="22C45C5B" w14:textId="77777777" w:rsidR="008E3857" w:rsidRPr="00D97634" w:rsidRDefault="008E3857" w:rsidP="008E3857">
            <w:pPr>
              <w:spacing w:after="0"/>
              <w:rPr>
                <w:rFonts w:ascii="Times New Roman" w:hAnsi="Times New Roman" w:cs="Times New Roman"/>
                <w:sz w:val="24"/>
                <w:szCs w:val="24"/>
              </w:rPr>
            </w:pPr>
          </w:p>
          <w:p w14:paraId="6217D437" w14:textId="6C514F67" w:rsidR="008E3857" w:rsidRPr="00D97634" w:rsidRDefault="009E4730" w:rsidP="008E3857">
            <w:pPr>
              <w:spacing w:after="0"/>
              <w:rPr>
                <w:rFonts w:ascii="Times New Roman" w:hAnsi="Times New Roman" w:cs="Times New Roman"/>
                <w:caps/>
                <w:sz w:val="24"/>
                <w:szCs w:val="24"/>
              </w:rPr>
            </w:pPr>
            <w:r w:rsidRPr="00D97634">
              <w:rPr>
                <w:rFonts w:ascii="Times New Roman" w:hAnsi="Times New Roman" w:cs="Times New Roman"/>
                <w:caps/>
                <w:sz w:val="24"/>
                <w:szCs w:val="24"/>
              </w:rPr>
              <w:t>AUTRY, HALL &amp; COOK</w:t>
            </w:r>
            <w:r w:rsidR="008E3857" w:rsidRPr="00D97634">
              <w:rPr>
                <w:rFonts w:ascii="Times New Roman" w:hAnsi="Times New Roman" w:cs="Times New Roman"/>
                <w:caps/>
                <w:sz w:val="24"/>
                <w:szCs w:val="24"/>
              </w:rPr>
              <w:t xml:space="preserve"> LLP</w:t>
            </w:r>
          </w:p>
          <w:p w14:paraId="473534EC" w14:textId="77777777" w:rsidR="008E3857" w:rsidRPr="00D97634" w:rsidRDefault="008E3857" w:rsidP="008E3857">
            <w:pPr>
              <w:spacing w:after="0"/>
              <w:rPr>
                <w:rFonts w:ascii="Times New Roman" w:hAnsi="Times New Roman" w:cs="Times New Roman"/>
                <w:caps/>
                <w:sz w:val="24"/>
                <w:szCs w:val="24"/>
              </w:rPr>
            </w:pPr>
          </w:p>
          <w:p w14:paraId="59648CDF" w14:textId="2D00EED8" w:rsidR="008E3857" w:rsidRPr="00D97634" w:rsidRDefault="009E4730" w:rsidP="008E3857">
            <w:pPr>
              <w:spacing w:after="0"/>
              <w:rPr>
                <w:rFonts w:ascii="Times New Roman" w:hAnsi="Times New Roman" w:cs="Times New Roman"/>
                <w:sz w:val="24"/>
                <w:szCs w:val="24"/>
              </w:rPr>
            </w:pPr>
            <w:r w:rsidRPr="00D97634">
              <w:rPr>
                <w:rFonts w:ascii="Times New Roman" w:hAnsi="Times New Roman" w:cs="Times New Roman"/>
                <w:sz w:val="24"/>
                <w:szCs w:val="24"/>
              </w:rPr>
              <w:t>3330 Cumberland Blvd., Suite 325</w:t>
            </w:r>
          </w:p>
          <w:p w14:paraId="17D79A9B" w14:textId="1776F2A9" w:rsidR="009E4730" w:rsidRPr="00D97634" w:rsidRDefault="009E4730" w:rsidP="008E3857">
            <w:pPr>
              <w:spacing w:after="0"/>
              <w:rPr>
                <w:rFonts w:ascii="Times New Roman" w:hAnsi="Times New Roman" w:cs="Times New Roman"/>
                <w:sz w:val="24"/>
                <w:szCs w:val="24"/>
              </w:rPr>
            </w:pPr>
            <w:r w:rsidRPr="00D97634">
              <w:rPr>
                <w:rFonts w:ascii="Times New Roman" w:hAnsi="Times New Roman" w:cs="Times New Roman"/>
                <w:sz w:val="24"/>
                <w:szCs w:val="24"/>
              </w:rPr>
              <w:t>Atlanta, Georgia 30339</w:t>
            </w:r>
          </w:p>
          <w:p w14:paraId="4947F5D1" w14:textId="77777777" w:rsidR="009E4730" w:rsidRPr="00D97634" w:rsidRDefault="009E4730" w:rsidP="008E3857">
            <w:pPr>
              <w:spacing w:after="0"/>
              <w:rPr>
                <w:rFonts w:ascii="Times New Roman" w:hAnsi="Times New Roman" w:cs="Times New Roman"/>
                <w:sz w:val="24"/>
                <w:szCs w:val="24"/>
              </w:rPr>
            </w:pPr>
            <w:r w:rsidRPr="00D97634">
              <w:rPr>
                <w:rFonts w:ascii="Times New Roman" w:hAnsi="Times New Roman" w:cs="Times New Roman"/>
                <w:sz w:val="24"/>
                <w:szCs w:val="24"/>
              </w:rPr>
              <w:t>Tel: (678) 593-0916</w:t>
            </w:r>
          </w:p>
          <w:p w14:paraId="7BAD9BBE" w14:textId="38F9B1A4" w:rsidR="009E4730" w:rsidRPr="00D97634" w:rsidRDefault="009E4730" w:rsidP="008E3857">
            <w:pPr>
              <w:spacing w:after="0"/>
              <w:rPr>
                <w:rFonts w:ascii="Times New Roman" w:hAnsi="Times New Roman" w:cs="Times New Roman"/>
                <w:sz w:val="24"/>
                <w:szCs w:val="24"/>
              </w:rPr>
            </w:pPr>
            <w:r w:rsidRPr="00D97634">
              <w:rPr>
                <w:rFonts w:ascii="Times New Roman" w:hAnsi="Times New Roman" w:cs="Times New Roman"/>
                <w:sz w:val="24"/>
                <w:szCs w:val="24"/>
              </w:rPr>
              <w:t>cook@ahclaw.com</w:t>
            </w:r>
          </w:p>
          <w:p w14:paraId="5466C841" w14:textId="624D2611" w:rsidR="009E4730" w:rsidRPr="00D97634" w:rsidRDefault="009E4730" w:rsidP="008E3857">
            <w:pPr>
              <w:spacing w:after="0"/>
              <w:rPr>
                <w:rFonts w:ascii="Times New Roman" w:hAnsi="Times New Roman" w:cs="Times New Roman"/>
                <w:sz w:val="24"/>
                <w:szCs w:val="24"/>
              </w:rPr>
            </w:pPr>
            <w:r w:rsidRPr="00D97634">
              <w:rPr>
                <w:rFonts w:ascii="Times New Roman" w:hAnsi="Times New Roman" w:cs="Times New Roman"/>
                <w:sz w:val="24"/>
                <w:szCs w:val="24"/>
              </w:rPr>
              <w:t>veal@ahclaw.com</w:t>
            </w:r>
          </w:p>
          <w:p w14:paraId="0ED1341D" w14:textId="77777777" w:rsidR="009E4730" w:rsidRPr="00DB5FE7" w:rsidRDefault="009E4730" w:rsidP="00DB5FE7">
            <w:pPr>
              <w:spacing w:after="0"/>
              <w:rPr>
                <w:rFonts w:ascii="Times New Roman" w:hAnsi="Times New Roman" w:cs="Times New Roman"/>
                <w:i/>
                <w:sz w:val="24"/>
                <w:szCs w:val="24"/>
              </w:rPr>
            </w:pPr>
          </w:p>
          <w:p w14:paraId="58C5C435" w14:textId="07BE9613" w:rsidR="009E4CD6" w:rsidRPr="00D97634" w:rsidRDefault="008E3857" w:rsidP="00DB5FE7">
            <w:pPr>
              <w:pStyle w:val="BodyText"/>
              <w:rPr>
                <w:rFonts w:ascii="Times New Roman" w:hAnsi="Times New Roman" w:cs="Times New Roman"/>
                <w:sz w:val="24"/>
                <w:szCs w:val="24"/>
              </w:rPr>
            </w:pPr>
            <w:r w:rsidRPr="00DB5FE7">
              <w:rPr>
                <w:rFonts w:ascii="Times New Roman" w:hAnsi="Times New Roman" w:cs="Times New Roman"/>
                <w:i/>
                <w:iCs/>
                <w:sz w:val="24"/>
                <w:szCs w:val="24"/>
              </w:rPr>
              <w:t xml:space="preserve">Attorneys for </w:t>
            </w:r>
            <w:r w:rsidR="009E4730" w:rsidRPr="00DB5FE7">
              <w:rPr>
                <w:rFonts w:ascii="Times New Roman" w:hAnsi="Times New Roman" w:cs="Times New Roman"/>
                <w:i/>
                <w:iCs/>
                <w:sz w:val="24"/>
                <w:szCs w:val="24"/>
              </w:rPr>
              <w:t>Respondent</w:t>
            </w:r>
            <w:r w:rsidR="00DB5FE7" w:rsidRPr="00DB5FE7">
              <w:rPr>
                <w:rFonts w:ascii="Times New Roman" w:eastAsia="Times New Roman" w:hAnsi="Times New Roman" w:cs="Times New Roman"/>
                <w:i/>
                <w:snapToGrid w:val="0"/>
                <w:sz w:val="24"/>
                <w:szCs w:val="24"/>
              </w:rPr>
              <w:t xml:space="preserve"> Walton Electric Membership Corporation</w:t>
            </w:r>
          </w:p>
        </w:tc>
      </w:tr>
    </w:tbl>
    <w:p w14:paraId="034D8F26" w14:textId="061D4EAB" w:rsidR="009E4CD6" w:rsidRPr="00D97634" w:rsidRDefault="009E4CD6" w:rsidP="009E4CD6">
      <w:pPr>
        <w:spacing w:line="480" w:lineRule="auto"/>
        <w:jc w:val="both"/>
        <w:rPr>
          <w:rFonts w:ascii="Times New Roman" w:hAnsi="Times New Roman" w:cs="Times New Roman"/>
          <w:sz w:val="24"/>
          <w:szCs w:val="24"/>
        </w:rPr>
        <w:sectPr w:rsidR="009E4CD6" w:rsidRPr="00D97634" w:rsidSect="00BA5C53">
          <w:footerReference w:type="default" r:id="rId11"/>
          <w:footerReference w:type="first" r:id="rId12"/>
          <w:pgSz w:w="12240" w:h="15840"/>
          <w:pgMar w:top="1440" w:right="1440" w:bottom="1440" w:left="1440" w:header="720" w:footer="720" w:gutter="0"/>
          <w:cols w:space="720"/>
          <w:titlePg/>
          <w:docGrid w:linePitch="360"/>
        </w:sect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3"/>
        <w:gridCol w:w="4754"/>
      </w:tblGrid>
      <w:tr w:rsidR="009E4CD6" w:rsidRPr="00D97634" w14:paraId="2E037033" w14:textId="77777777" w:rsidTr="006F3FD7">
        <w:trPr>
          <w:cantSplit/>
          <w:trHeight w:val="630"/>
        </w:trPr>
        <w:tc>
          <w:tcPr>
            <w:tcW w:w="9507" w:type="dxa"/>
            <w:gridSpan w:val="2"/>
            <w:tcBorders>
              <w:top w:val="nil"/>
              <w:left w:val="nil"/>
              <w:bottom w:val="nil"/>
              <w:right w:val="nil"/>
            </w:tcBorders>
          </w:tcPr>
          <w:p w14:paraId="45D4A592" w14:textId="77777777" w:rsidR="009E4CD6" w:rsidRPr="00D97634" w:rsidRDefault="009E4CD6" w:rsidP="006F3FD7">
            <w:pPr>
              <w:keepNext/>
              <w:spacing w:after="0"/>
              <w:jc w:val="center"/>
              <w:outlineLvl w:val="2"/>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lastRenderedPageBreak/>
              <w:t>BEFORE THE PUBLIC SERVICE COMMISSION</w:t>
            </w:r>
          </w:p>
          <w:p w14:paraId="09E09DB8" w14:textId="77777777" w:rsidR="009E4CD6" w:rsidRPr="00D97634" w:rsidRDefault="009E4CD6" w:rsidP="006F3FD7">
            <w:pPr>
              <w:spacing w:after="0"/>
              <w:jc w:val="center"/>
              <w:rPr>
                <w:rFonts w:ascii="Times New Roman" w:eastAsia="Times New Roman" w:hAnsi="Times New Roman" w:cs="Times New Roman"/>
                <w:i/>
                <w:iCs/>
                <w:color w:val="000000"/>
                <w:sz w:val="24"/>
                <w:szCs w:val="24"/>
              </w:rPr>
            </w:pPr>
            <w:r w:rsidRPr="00D97634">
              <w:rPr>
                <w:rFonts w:ascii="Times New Roman" w:eastAsia="Times New Roman" w:hAnsi="Times New Roman" w:cs="Times New Roman"/>
                <w:b/>
                <w:color w:val="000000"/>
                <w:sz w:val="24"/>
                <w:szCs w:val="24"/>
              </w:rPr>
              <w:t>STATE OF GEORGIA</w:t>
            </w:r>
            <w:r w:rsidRPr="00D97634">
              <w:rPr>
                <w:rFonts w:ascii="Times New Roman" w:eastAsia="Times New Roman" w:hAnsi="Times New Roman" w:cs="Times New Roman"/>
                <w:i/>
                <w:iCs/>
                <w:color w:val="000000"/>
                <w:sz w:val="24"/>
                <w:szCs w:val="24"/>
              </w:rPr>
              <w:t xml:space="preserve"> </w:t>
            </w:r>
          </w:p>
          <w:p w14:paraId="090F60DB" w14:textId="77777777" w:rsidR="009E4CD6" w:rsidRPr="00D97634" w:rsidRDefault="009E4CD6" w:rsidP="006F3FD7">
            <w:pPr>
              <w:spacing w:after="0"/>
              <w:jc w:val="center"/>
              <w:rPr>
                <w:rFonts w:ascii="Times New Roman" w:eastAsia="Times New Roman" w:hAnsi="Times New Roman" w:cs="Times New Roman"/>
                <w:color w:val="000000"/>
                <w:sz w:val="24"/>
                <w:szCs w:val="24"/>
              </w:rPr>
            </w:pPr>
          </w:p>
        </w:tc>
      </w:tr>
      <w:tr w:rsidR="009E4CD6" w:rsidRPr="00D97634" w14:paraId="2322A705" w14:textId="77777777" w:rsidTr="006F3FD7">
        <w:trPr>
          <w:trHeight w:val="2364"/>
        </w:trPr>
        <w:tc>
          <w:tcPr>
            <w:tcW w:w="4753" w:type="dxa"/>
            <w:tcBorders>
              <w:top w:val="nil"/>
              <w:left w:val="nil"/>
              <w:bottom w:val="nil"/>
              <w:right w:val="single" w:sz="4" w:space="0" w:color="auto"/>
            </w:tcBorders>
          </w:tcPr>
          <w:p w14:paraId="54F428AC" w14:textId="77777777" w:rsidR="009E4CD6" w:rsidRPr="00D97634" w:rsidRDefault="009E4CD6" w:rsidP="006F3FD7">
            <w:pPr>
              <w:spacing w:after="0"/>
              <w:jc w:val="both"/>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GEORGIA POWER COMPANY,</w:t>
            </w:r>
          </w:p>
          <w:p w14:paraId="35C927A6" w14:textId="77777777" w:rsidR="009E4CD6" w:rsidRPr="00D97634" w:rsidRDefault="009E4CD6" w:rsidP="006F3FD7">
            <w:pPr>
              <w:spacing w:after="0"/>
              <w:jc w:val="both"/>
              <w:rPr>
                <w:rFonts w:ascii="Times New Roman" w:eastAsia="Times New Roman" w:hAnsi="Times New Roman" w:cs="Times New Roman"/>
                <w:b/>
                <w:color w:val="000000"/>
                <w:sz w:val="24"/>
                <w:szCs w:val="24"/>
              </w:rPr>
            </w:pPr>
          </w:p>
          <w:p w14:paraId="0102EAFE" w14:textId="77777777" w:rsidR="009E4CD6" w:rsidRPr="00D97634" w:rsidRDefault="009E4CD6" w:rsidP="006F3FD7">
            <w:pPr>
              <w:tabs>
                <w:tab w:val="left" w:pos="720"/>
              </w:tabs>
              <w:spacing w:after="0"/>
              <w:jc w:val="both"/>
              <w:rPr>
                <w:rFonts w:ascii="Times New Roman" w:eastAsia="Times New Roman" w:hAnsi="Times New Roman" w:cs="Times New Roman"/>
                <w:b/>
                <w:i/>
                <w:color w:val="000000"/>
                <w:sz w:val="24"/>
                <w:szCs w:val="24"/>
              </w:rPr>
            </w:pP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iCs/>
                <w:color w:val="000000"/>
                <w:sz w:val="24"/>
                <w:szCs w:val="24"/>
              </w:rPr>
              <w:t>Petitioner</w:t>
            </w:r>
            <w:r w:rsidRPr="00D97634">
              <w:rPr>
                <w:rFonts w:ascii="Times New Roman" w:eastAsia="Times New Roman" w:hAnsi="Times New Roman" w:cs="Times New Roman"/>
                <w:b/>
                <w:i/>
                <w:color w:val="000000"/>
                <w:sz w:val="24"/>
                <w:szCs w:val="24"/>
              </w:rPr>
              <w:t>,</w:t>
            </w:r>
          </w:p>
          <w:p w14:paraId="67FDC406" w14:textId="77777777" w:rsidR="009E4CD6" w:rsidRPr="00D97634" w:rsidRDefault="009E4CD6" w:rsidP="006F3FD7">
            <w:pPr>
              <w:spacing w:after="0"/>
              <w:jc w:val="both"/>
              <w:rPr>
                <w:rFonts w:ascii="Times New Roman" w:eastAsia="Times New Roman" w:hAnsi="Times New Roman" w:cs="Times New Roman"/>
                <w:b/>
                <w:color w:val="000000"/>
                <w:sz w:val="24"/>
                <w:szCs w:val="24"/>
              </w:rPr>
            </w:pPr>
          </w:p>
          <w:p w14:paraId="0D560B67" w14:textId="77777777" w:rsidR="009E4CD6" w:rsidRPr="00D97634" w:rsidRDefault="009E4CD6" w:rsidP="006F3FD7">
            <w:pPr>
              <w:spacing w:after="0"/>
              <w:jc w:val="both"/>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v.</w:t>
            </w:r>
          </w:p>
          <w:p w14:paraId="3900189A" w14:textId="77777777" w:rsidR="009E4CD6" w:rsidRPr="00D97634" w:rsidRDefault="009E4CD6" w:rsidP="006F3FD7">
            <w:pPr>
              <w:spacing w:after="0"/>
              <w:jc w:val="both"/>
              <w:rPr>
                <w:rFonts w:ascii="Times New Roman" w:eastAsia="Times New Roman" w:hAnsi="Times New Roman" w:cs="Times New Roman"/>
                <w:b/>
                <w:color w:val="000000"/>
                <w:sz w:val="24"/>
                <w:szCs w:val="24"/>
              </w:rPr>
            </w:pPr>
          </w:p>
          <w:p w14:paraId="53BCAFE6" w14:textId="77777777" w:rsidR="009E4CD6" w:rsidRPr="00D97634" w:rsidRDefault="009E4CD6" w:rsidP="006F3FD7">
            <w:pPr>
              <w:tabs>
                <w:tab w:val="left" w:pos="705"/>
              </w:tabs>
              <w:spacing w:after="0"/>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 xml:space="preserve">THE WALTON ELECTRIC MEMBERSHIP CORPORATION, </w:t>
            </w:r>
          </w:p>
          <w:p w14:paraId="08B4F03C" w14:textId="77777777" w:rsidR="009E4CD6" w:rsidRPr="00D97634" w:rsidRDefault="009E4CD6" w:rsidP="006F3FD7">
            <w:pPr>
              <w:tabs>
                <w:tab w:val="left" w:pos="705"/>
              </w:tabs>
              <w:spacing w:after="0"/>
              <w:rPr>
                <w:rFonts w:ascii="Times New Roman" w:eastAsia="Times New Roman" w:hAnsi="Times New Roman" w:cs="Times New Roman"/>
                <w:b/>
                <w:color w:val="000000"/>
                <w:sz w:val="24"/>
                <w:szCs w:val="24"/>
              </w:rPr>
            </w:pPr>
          </w:p>
          <w:p w14:paraId="2070F3EF" w14:textId="77777777" w:rsidR="009E4CD6" w:rsidRPr="00D97634" w:rsidRDefault="009E4CD6" w:rsidP="006F3FD7">
            <w:pPr>
              <w:tabs>
                <w:tab w:val="left" w:pos="705"/>
              </w:tabs>
              <w:spacing w:after="0"/>
              <w:rPr>
                <w:rFonts w:ascii="Times New Roman" w:eastAsia="Times New Roman" w:hAnsi="Times New Roman" w:cs="Times New Roman"/>
                <w:b/>
                <w:iCs/>
                <w:color w:val="000000"/>
                <w:sz w:val="24"/>
                <w:szCs w:val="24"/>
              </w:rPr>
            </w:pP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color w:val="000000"/>
                <w:sz w:val="24"/>
                <w:szCs w:val="24"/>
              </w:rPr>
              <w:tab/>
            </w:r>
            <w:r w:rsidRPr="00D97634">
              <w:rPr>
                <w:rFonts w:ascii="Times New Roman" w:eastAsia="Times New Roman" w:hAnsi="Times New Roman" w:cs="Times New Roman"/>
                <w:b/>
                <w:iCs/>
                <w:color w:val="000000"/>
                <w:sz w:val="24"/>
                <w:szCs w:val="24"/>
              </w:rPr>
              <w:t xml:space="preserve">Respondent, </w:t>
            </w:r>
          </w:p>
          <w:p w14:paraId="284ACBE7" w14:textId="77777777" w:rsidR="009E4CD6" w:rsidRPr="00D97634" w:rsidRDefault="009E4CD6" w:rsidP="006F3FD7">
            <w:pPr>
              <w:tabs>
                <w:tab w:val="left" w:pos="705"/>
              </w:tabs>
              <w:spacing w:after="0"/>
              <w:rPr>
                <w:rFonts w:ascii="Times New Roman" w:eastAsia="Times New Roman" w:hAnsi="Times New Roman" w:cs="Times New Roman"/>
                <w:b/>
                <w:iCs/>
                <w:color w:val="000000"/>
                <w:sz w:val="24"/>
                <w:szCs w:val="24"/>
              </w:rPr>
            </w:pPr>
          </w:p>
          <w:p w14:paraId="587D199C" w14:textId="77777777" w:rsidR="009E4CD6" w:rsidRPr="00D97634" w:rsidRDefault="009E4CD6" w:rsidP="006F3FD7">
            <w:pPr>
              <w:tabs>
                <w:tab w:val="left" w:pos="705"/>
              </w:tabs>
              <w:spacing w:after="0"/>
              <w:rPr>
                <w:rFonts w:ascii="Times New Roman" w:eastAsia="Times New Roman" w:hAnsi="Times New Roman" w:cs="Times New Roman"/>
                <w:b/>
                <w:iCs/>
                <w:color w:val="000000"/>
                <w:sz w:val="24"/>
                <w:szCs w:val="24"/>
              </w:rPr>
            </w:pPr>
            <w:r w:rsidRPr="00D97634">
              <w:rPr>
                <w:rFonts w:ascii="Times New Roman" w:eastAsia="Times New Roman" w:hAnsi="Times New Roman" w:cs="Times New Roman"/>
                <w:b/>
                <w:iCs/>
                <w:color w:val="000000"/>
                <w:sz w:val="24"/>
                <w:szCs w:val="24"/>
              </w:rPr>
              <w:t>NESTLÉ PURINA PETCARE COMPANY,</w:t>
            </w:r>
          </w:p>
          <w:p w14:paraId="524C5475" w14:textId="77777777" w:rsidR="009E4CD6" w:rsidRPr="00D97634" w:rsidRDefault="009E4CD6" w:rsidP="006F3FD7">
            <w:pPr>
              <w:tabs>
                <w:tab w:val="left" w:pos="705"/>
              </w:tabs>
              <w:spacing w:after="0"/>
              <w:rPr>
                <w:rFonts w:ascii="Times New Roman" w:eastAsia="Times New Roman" w:hAnsi="Times New Roman" w:cs="Times New Roman"/>
                <w:b/>
                <w:iCs/>
                <w:color w:val="000000"/>
                <w:sz w:val="24"/>
                <w:szCs w:val="24"/>
              </w:rPr>
            </w:pPr>
          </w:p>
          <w:p w14:paraId="5550DDBA" w14:textId="77777777" w:rsidR="009E4CD6" w:rsidRPr="00D97634" w:rsidRDefault="009E4CD6" w:rsidP="006F3FD7">
            <w:pPr>
              <w:tabs>
                <w:tab w:val="left" w:pos="705"/>
              </w:tabs>
              <w:spacing w:after="0"/>
              <w:rPr>
                <w:rFonts w:ascii="Times New Roman" w:eastAsia="Times New Roman" w:hAnsi="Times New Roman" w:cs="Times New Roman"/>
                <w:b/>
                <w:iCs/>
                <w:color w:val="000000"/>
                <w:sz w:val="24"/>
                <w:szCs w:val="24"/>
              </w:rPr>
            </w:pPr>
            <w:r w:rsidRPr="00D97634">
              <w:rPr>
                <w:rFonts w:ascii="Times New Roman" w:eastAsia="Times New Roman" w:hAnsi="Times New Roman" w:cs="Times New Roman"/>
                <w:b/>
                <w:iCs/>
                <w:color w:val="000000"/>
                <w:sz w:val="24"/>
                <w:szCs w:val="24"/>
              </w:rPr>
              <w:t xml:space="preserve">                        Intervenor.</w:t>
            </w:r>
          </w:p>
        </w:tc>
        <w:tc>
          <w:tcPr>
            <w:tcW w:w="4754" w:type="dxa"/>
            <w:tcBorders>
              <w:top w:val="nil"/>
              <w:left w:val="single" w:sz="4" w:space="0" w:color="auto"/>
              <w:bottom w:val="nil"/>
              <w:right w:val="nil"/>
            </w:tcBorders>
          </w:tcPr>
          <w:p w14:paraId="1A56FE84" w14:textId="77777777" w:rsidR="009E4CD6" w:rsidRPr="00D97634" w:rsidRDefault="009E4CD6" w:rsidP="006F3FD7">
            <w:pPr>
              <w:tabs>
                <w:tab w:val="left" w:pos="705"/>
              </w:tabs>
              <w:spacing w:after="0"/>
              <w:rPr>
                <w:rFonts w:ascii="Times New Roman" w:eastAsia="Times New Roman" w:hAnsi="Times New Roman" w:cs="Times New Roman"/>
                <w:b/>
                <w:color w:val="000000"/>
                <w:sz w:val="24"/>
                <w:szCs w:val="24"/>
              </w:rPr>
            </w:pPr>
          </w:p>
          <w:p w14:paraId="166ECE8B" w14:textId="77777777" w:rsidR="009E4CD6" w:rsidRPr="00D97634" w:rsidRDefault="009E4CD6" w:rsidP="006F3FD7">
            <w:pPr>
              <w:spacing w:after="0"/>
              <w:rPr>
                <w:rFonts w:ascii="Times New Roman" w:eastAsia="Times New Roman" w:hAnsi="Times New Roman" w:cs="Times New Roman"/>
                <w:color w:val="000000"/>
                <w:sz w:val="24"/>
                <w:szCs w:val="24"/>
              </w:rPr>
            </w:pPr>
          </w:p>
          <w:p w14:paraId="33F67400" w14:textId="77777777" w:rsidR="009E4CD6" w:rsidRPr="00D97634" w:rsidRDefault="009E4CD6" w:rsidP="006F3FD7">
            <w:pPr>
              <w:spacing w:after="0"/>
              <w:rPr>
                <w:rFonts w:ascii="Times New Roman" w:eastAsia="Times New Roman" w:hAnsi="Times New Roman" w:cs="Times New Roman"/>
                <w:color w:val="000000"/>
                <w:sz w:val="24"/>
                <w:szCs w:val="24"/>
              </w:rPr>
            </w:pPr>
          </w:p>
          <w:p w14:paraId="10CD051C" w14:textId="77777777" w:rsidR="009E4CD6" w:rsidRPr="00D97634" w:rsidRDefault="009E4CD6" w:rsidP="006F3FD7">
            <w:pPr>
              <w:spacing w:after="0"/>
              <w:rPr>
                <w:rFonts w:ascii="Times New Roman" w:eastAsia="Times New Roman" w:hAnsi="Times New Roman" w:cs="Times New Roman"/>
                <w:color w:val="000000"/>
                <w:sz w:val="24"/>
                <w:szCs w:val="24"/>
              </w:rPr>
            </w:pPr>
          </w:p>
          <w:p w14:paraId="2449C63C" w14:textId="77777777" w:rsidR="009E4CD6" w:rsidRPr="00D97634" w:rsidRDefault="009E4CD6" w:rsidP="006F3FD7">
            <w:pPr>
              <w:spacing w:after="0"/>
              <w:jc w:val="center"/>
              <w:rPr>
                <w:rFonts w:ascii="Times New Roman" w:eastAsia="Times New Roman" w:hAnsi="Times New Roman" w:cs="Times New Roman"/>
                <w:b/>
                <w:color w:val="000000"/>
                <w:sz w:val="24"/>
                <w:szCs w:val="24"/>
              </w:rPr>
            </w:pPr>
            <w:r w:rsidRPr="00D97634">
              <w:rPr>
                <w:rFonts w:ascii="Times New Roman" w:eastAsia="Times New Roman" w:hAnsi="Times New Roman" w:cs="Times New Roman"/>
                <w:b/>
                <w:color w:val="000000"/>
                <w:sz w:val="24"/>
                <w:szCs w:val="24"/>
              </w:rPr>
              <w:t>DOCKET NO. 42509</w:t>
            </w:r>
          </w:p>
          <w:p w14:paraId="3D46B514" w14:textId="77777777" w:rsidR="009E4CD6" w:rsidRPr="00D97634" w:rsidRDefault="009E4CD6" w:rsidP="006F3FD7">
            <w:pPr>
              <w:spacing w:after="0"/>
              <w:jc w:val="center"/>
              <w:rPr>
                <w:rFonts w:ascii="Times New Roman" w:eastAsia="Times New Roman" w:hAnsi="Times New Roman" w:cs="Times New Roman"/>
                <w:b/>
                <w:color w:val="000000"/>
                <w:sz w:val="24"/>
                <w:szCs w:val="24"/>
              </w:rPr>
            </w:pPr>
          </w:p>
          <w:p w14:paraId="5C9D8C77" w14:textId="77777777" w:rsidR="009E4CD6" w:rsidRPr="00D97634" w:rsidRDefault="009E4CD6" w:rsidP="006F3FD7">
            <w:pPr>
              <w:spacing w:after="0"/>
              <w:jc w:val="center"/>
              <w:rPr>
                <w:rFonts w:ascii="Times New Roman" w:eastAsia="Times New Roman" w:hAnsi="Times New Roman" w:cs="Times New Roman"/>
                <w:b/>
                <w:color w:val="000000"/>
                <w:sz w:val="24"/>
                <w:szCs w:val="24"/>
              </w:rPr>
            </w:pPr>
          </w:p>
        </w:tc>
      </w:tr>
    </w:tbl>
    <w:p w14:paraId="036E32FA" w14:textId="77777777" w:rsidR="009E4CD6" w:rsidRPr="00D97634" w:rsidRDefault="009E4CD6" w:rsidP="009E4CD6">
      <w:pPr>
        <w:tabs>
          <w:tab w:val="left" w:pos="-1080"/>
          <w:tab w:val="left" w:pos="-720"/>
          <w:tab w:val="left" w:pos="0"/>
          <w:tab w:val="left" w:pos="5760"/>
          <w:tab w:val="left" w:pos="6480"/>
          <w:tab w:val="left" w:pos="8640"/>
        </w:tabs>
        <w:suppressAutoHyphens/>
        <w:spacing w:after="0"/>
        <w:jc w:val="both"/>
        <w:rPr>
          <w:rFonts w:ascii="Times New Roman" w:hAnsi="Times New Roman" w:cs="Times New Roman"/>
          <w:b/>
          <w:bCs/>
          <w:spacing w:val="-2"/>
          <w:sz w:val="24"/>
          <w:szCs w:val="24"/>
        </w:rPr>
      </w:pPr>
    </w:p>
    <w:p w14:paraId="35A6513A" w14:textId="77777777" w:rsidR="009E4CD6" w:rsidRPr="00D97634" w:rsidRDefault="009E4CD6" w:rsidP="009E4CD6">
      <w:pPr>
        <w:pStyle w:val="Title"/>
        <w:spacing w:after="0"/>
        <w:rPr>
          <w:rFonts w:ascii="Times New Roman" w:hAnsi="Times New Roman" w:cs="Times New Roman"/>
          <w:spacing w:val="-2"/>
          <w:sz w:val="24"/>
          <w:szCs w:val="24"/>
          <w:u w:val="single"/>
        </w:rPr>
      </w:pPr>
      <w:r w:rsidRPr="00D97634">
        <w:rPr>
          <w:rFonts w:ascii="Times New Roman" w:hAnsi="Times New Roman" w:cs="Times New Roman"/>
          <w:sz w:val="24"/>
          <w:szCs w:val="24"/>
          <w:u w:val="single"/>
        </w:rPr>
        <w:t>CERTIFICATE OF SERVICE</w:t>
      </w:r>
    </w:p>
    <w:p w14:paraId="4886DE95" w14:textId="77777777" w:rsidR="009E4CD6" w:rsidRPr="00D97634" w:rsidRDefault="009E4CD6" w:rsidP="009E4CD6">
      <w:pPr>
        <w:tabs>
          <w:tab w:val="center" w:pos="4680"/>
        </w:tabs>
        <w:suppressAutoHyphens/>
        <w:spacing w:after="0"/>
        <w:jc w:val="both"/>
        <w:rPr>
          <w:rFonts w:ascii="Times New Roman" w:hAnsi="Times New Roman" w:cs="Times New Roman"/>
          <w:b/>
          <w:bCs/>
          <w:spacing w:val="-2"/>
          <w:sz w:val="24"/>
          <w:szCs w:val="24"/>
          <w:u w:val="single"/>
        </w:rPr>
      </w:pPr>
    </w:p>
    <w:p w14:paraId="7915E306" w14:textId="25918F8C" w:rsidR="009E4CD6" w:rsidRPr="00D97634" w:rsidRDefault="009E4CD6" w:rsidP="009E4CD6">
      <w:pPr>
        <w:spacing w:after="0"/>
        <w:jc w:val="both"/>
        <w:rPr>
          <w:rFonts w:ascii="Times New Roman" w:eastAsia="Times New Roman" w:hAnsi="Times New Roman" w:cs="Times New Roman"/>
          <w:b/>
          <w:snapToGrid w:val="0"/>
          <w:sz w:val="24"/>
          <w:szCs w:val="24"/>
        </w:rPr>
      </w:pPr>
      <w:r w:rsidRPr="00D97634">
        <w:rPr>
          <w:rFonts w:ascii="Times New Roman" w:hAnsi="Times New Roman" w:cs="Times New Roman"/>
          <w:spacing w:val="-2"/>
          <w:sz w:val="24"/>
          <w:szCs w:val="24"/>
        </w:rPr>
        <w:tab/>
        <w:t xml:space="preserve">I hereby certify that the foregoing </w:t>
      </w:r>
      <w:r w:rsidRPr="00D97634">
        <w:rPr>
          <w:rFonts w:ascii="Times New Roman" w:eastAsia="Times New Roman" w:hAnsi="Times New Roman" w:cs="Times New Roman"/>
          <w:b/>
          <w:snapToGrid w:val="0"/>
          <w:sz w:val="24"/>
          <w:szCs w:val="24"/>
        </w:rPr>
        <w:t>THE WALTON ELECTRIC MEMBERSHIP CORPORATION’S AND NESTLÉ PURINA PETCARE COMPANY’S RESPONSE IN OPPOSITION TO GEORGIA POWER COMPANY’S APPLICATION FOR REVIEW OF INITIAL DECISION</w:t>
      </w:r>
      <w:r w:rsidRPr="00D97634">
        <w:rPr>
          <w:rFonts w:ascii="Times New Roman" w:hAnsi="Times New Roman" w:cs="Times New Roman"/>
          <w:spacing w:val="-2"/>
          <w:sz w:val="24"/>
          <w:szCs w:val="24"/>
        </w:rPr>
        <w:t xml:space="preserve"> in the above-referenced docket was filed with the Commission's Executive Secretary, an electronic copy of same was served upon all parties and persons listed below via electronic mail, or unless otherwise indicated, as follows:</w:t>
      </w:r>
    </w:p>
    <w:p w14:paraId="57B368C5" w14:textId="77777777" w:rsidR="009E4CD6" w:rsidRPr="00D97634" w:rsidRDefault="009E4CD6" w:rsidP="009E4CD6">
      <w:pPr>
        <w:tabs>
          <w:tab w:val="left" w:pos="-1440"/>
          <w:tab w:val="left" w:pos="-720"/>
        </w:tabs>
        <w:suppressAutoHyphens/>
        <w:spacing w:after="0"/>
        <w:jc w:val="both"/>
        <w:rPr>
          <w:rFonts w:ascii="Times New Roman" w:hAnsi="Times New Roman" w:cs="Times New Roman"/>
          <w:spacing w:val="-2"/>
          <w:sz w:val="24"/>
          <w:szCs w:val="24"/>
        </w:rPr>
      </w:pPr>
    </w:p>
    <w:tbl>
      <w:tblPr>
        <w:tblW w:w="9600" w:type="dxa"/>
        <w:tblLayout w:type="fixed"/>
        <w:tblLook w:val="04A0" w:firstRow="1" w:lastRow="0" w:firstColumn="1" w:lastColumn="0" w:noHBand="0" w:noVBand="1"/>
      </w:tblPr>
      <w:tblGrid>
        <w:gridCol w:w="3204"/>
        <w:gridCol w:w="203"/>
        <w:gridCol w:w="2645"/>
        <w:gridCol w:w="232"/>
        <w:gridCol w:w="3316"/>
      </w:tblGrid>
      <w:tr w:rsidR="009E4CD6" w:rsidRPr="00D97634" w14:paraId="7AE580C8" w14:textId="77777777" w:rsidTr="006F3FD7">
        <w:trPr>
          <w:cantSplit/>
          <w:trHeight w:val="998"/>
        </w:trPr>
        <w:tc>
          <w:tcPr>
            <w:tcW w:w="3204" w:type="dxa"/>
            <w:tcMar>
              <w:top w:w="0" w:type="dxa"/>
              <w:left w:w="15" w:type="dxa"/>
              <w:bottom w:w="0" w:type="dxa"/>
              <w:right w:w="15" w:type="dxa"/>
            </w:tcMar>
            <w:vAlign w:val="center"/>
            <w:hideMark/>
          </w:tcPr>
          <w:p w14:paraId="18C736B2" w14:textId="77777777" w:rsidR="009E4CD6" w:rsidRPr="00D97634" w:rsidRDefault="009E4CD6" w:rsidP="006F3FD7">
            <w:pPr>
              <w:keepNext/>
              <w:keepLines/>
              <w:tabs>
                <w:tab w:val="left" w:pos="-1440"/>
                <w:tab w:val="left" w:pos="-720"/>
              </w:tabs>
              <w:suppressAutoHyphens/>
              <w:spacing w:after="0"/>
              <w:ind w:left="90"/>
              <w:rPr>
                <w:rFonts w:ascii="Times New Roman" w:hAnsi="Times New Roman" w:cs="Times New Roman"/>
                <w:sz w:val="24"/>
                <w:szCs w:val="24"/>
              </w:rPr>
            </w:pPr>
            <w:r w:rsidRPr="00D97634">
              <w:rPr>
                <w:rFonts w:ascii="Times New Roman" w:hAnsi="Times New Roman" w:cs="Times New Roman"/>
                <w:sz w:val="24"/>
                <w:szCs w:val="24"/>
              </w:rPr>
              <w:t>Reece McAlister*</w:t>
            </w:r>
          </w:p>
          <w:p w14:paraId="2D89F812" w14:textId="77777777" w:rsidR="009E4CD6" w:rsidRPr="00D97634" w:rsidRDefault="009E4CD6" w:rsidP="006F3FD7">
            <w:pPr>
              <w:keepNext/>
              <w:keepLines/>
              <w:tabs>
                <w:tab w:val="left" w:pos="-1440"/>
                <w:tab w:val="left" w:pos="-720"/>
              </w:tabs>
              <w:suppressAutoHyphens/>
              <w:spacing w:after="0"/>
              <w:ind w:left="90"/>
              <w:rPr>
                <w:rFonts w:ascii="Times New Roman" w:hAnsi="Times New Roman" w:cs="Times New Roman"/>
                <w:sz w:val="24"/>
                <w:szCs w:val="24"/>
              </w:rPr>
            </w:pPr>
            <w:r w:rsidRPr="00D97634">
              <w:rPr>
                <w:rFonts w:ascii="Times New Roman" w:hAnsi="Times New Roman" w:cs="Times New Roman"/>
                <w:sz w:val="24"/>
                <w:szCs w:val="24"/>
              </w:rPr>
              <w:t>Executive Secretary</w:t>
            </w:r>
          </w:p>
          <w:p w14:paraId="20FEA73A" w14:textId="77777777" w:rsidR="009E4CD6" w:rsidRPr="00D97634" w:rsidRDefault="009E4CD6" w:rsidP="006F3FD7">
            <w:pPr>
              <w:keepNext/>
              <w:keepLines/>
              <w:tabs>
                <w:tab w:val="left" w:pos="-1440"/>
                <w:tab w:val="left" w:pos="-720"/>
              </w:tabs>
              <w:suppressAutoHyphens/>
              <w:spacing w:after="0"/>
              <w:ind w:left="90"/>
              <w:rPr>
                <w:rFonts w:ascii="Times New Roman" w:hAnsi="Times New Roman" w:cs="Times New Roman"/>
                <w:sz w:val="24"/>
                <w:szCs w:val="24"/>
              </w:rPr>
            </w:pPr>
            <w:r w:rsidRPr="00D97634">
              <w:rPr>
                <w:rFonts w:ascii="Times New Roman" w:hAnsi="Times New Roman" w:cs="Times New Roman"/>
                <w:sz w:val="24"/>
                <w:szCs w:val="24"/>
              </w:rPr>
              <w:t>Georgia Public Service Comm.</w:t>
            </w:r>
          </w:p>
          <w:p w14:paraId="646229FE" w14:textId="77777777" w:rsidR="009E4CD6" w:rsidRPr="00D97634" w:rsidRDefault="009E4CD6" w:rsidP="006F3FD7">
            <w:pPr>
              <w:keepNext/>
              <w:keepLines/>
              <w:tabs>
                <w:tab w:val="left" w:pos="-1440"/>
                <w:tab w:val="left" w:pos="-720"/>
              </w:tabs>
              <w:suppressAutoHyphens/>
              <w:spacing w:after="0"/>
              <w:ind w:left="90"/>
              <w:rPr>
                <w:rFonts w:ascii="Times New Roman" w:hAnsi="Times New Roman" w:cs="Times New Roman"/>
                <w:sz w:val="24"/>
                <w:szCs w:val="24"/>
              </w:rPr>
            </w:pPr>
            <w:r w:rsidRPr="00D97634">
              <w:rPr>
                <w:rFonts w:ascii="Times New Roman" w:hAnsi="Times New Roman" w:cs="Times New Roman"/>
                <w:sz w:val="24"/>
                <w:szCs w:val="24"/>
              </w:rPr>
              <w:t>244 Washington Street, SW</w:t>
            </w:r>
          </w:p>
          <w:p w14:paraId="24F1F1E2" w14:textId="77777777" w:rsidR="009E4CD6" w:rsidRPr="00D97634" w:rsidRDefault="009E4CD6" w:rsidP="006F3FD7">
            <w:pPr>
              <w:widowControl w:val="0"/>
              <w:snapToGrid w:val="0"/>
              <w:spacing w:after="0"/>
              <w:ind w:left="90"/>
              <w:rPr>
                <w:rFonts w:ascii="Times New Roman" w:hAnsi="Times New Roman" w:cs="Times New Roman"/>
                <w:sz w:val="24"/>
                <w:szCs w:val="24"/>
              </w:rPr>
            </w:pPr>
            <w:r w:rsidRPr="00D97634">
              <w:rPr>
                <w:rFonts w:ascii="Times New Roman" w:hAnsi="Times New Roman" w:cs="Times New Roman"/>
                <w:sz w:val="24"/>
                <w:szCs w:val="24"/>
              </w:rPr>
              <w:t>Atlanta, GA  30334</w:t>
            </w:r>
          </w:p>
          <w:p w14:paraId="70D92132" w14:textId="77777777" w:rsidR="009E4CD6" w:rsidRPr="00D97634" w:rsidRDefault="00324D29" w:rsidP="006F3FD7">
            <w:pPr>
              <w:widowControl w:val="0"/>
              <w:snapToGrid w:val="0"/>
              <w:spacing w:after="0"/>
              <w:ind w:left="90"/>
              <w:rPr>
                <w:rFonts w:ascii="Times New Roman" w:hAnsi="Times New Roman" w:cs="Times New Roman"/>
                <w:sz w:val="24"/>
                <w:szCs w:val="24"/>
              </w:rPr>
            </w:pPr>
            <w:hyperlink r:id="rId13" w:history="1">
              <w:r w:rsidR="009E4CD6" w:rsidRPr="00D97634">
                <w:rPr>
                  <w:rStyle w:val="Hyperlink"/>
                  <w:rFonts w:ascii="Times New Roman" w:hAnsi="Times New Roman" w:cs="Times New Roman"/>
                  <w:sz w:val="24"/>
                  <w:szCs w:val="24"/>
                </w:rPr>
                <w:t>reecem@psc.state.ga.us</w:t>
              </w:r>
            </w:hyperlink>
          </w:p>
        </w:tc>
        <w:tc>
          <w:tcPr>
            <w:tcW w:w="203" w:type="dxa"/>
            <w:tcMar>
              <w:top w:w="0" w:type="dxa"/>
              <w:left w:w="15" w:type="dxa"/>
              <w:bottom w:w="0" w:type="dxa"/>
              <w:right w:w="15" w:type="dxa"/>
            </w:tcMar>
            <w:vAlign w:val="center"/>
          </w:tcPr>
          <w:p w14:paraId="54DB80E9" w14:textId="77777777" w:rsidR="009E4CD6" w:rsidRPr="00D97634" w:rsidRDefault="009E4CD6" w:rsidP="006F3FD7">
            <w:pPr>
              <w:widowControl w:val="0"/>
              <w:snapToGrid w:val="0"/>
              <w:spacing w:after="0"/>
              <w:rPr>
                <w:rFonts w:ascii="Times New Roman" w:hAnsi="Times New Roman" w:cs="Times New Roman"/>
                <w:sz w:val="24"/>
                <w:szCs w:val="24"/>
              </w:rPr>
            </w:pPr>
          </w:p>
        </w:tc>
        <w:tc>
          <w:tcPr>
            <w:tcW w:w="2645" w:type="dxa"/>
            <w:tcMar>
              <w:top w:w="0" w:type="dxa"/>
              <w:left w:w="15" w:type="dxa"/>
              <w:bottom w:w="0" w:type="dxa"/>
              <w:right w:w="15" w:type="dxa"/>
            </w:tcMar>
            <w:vAlign w:val="center"/>
            <w:hideMark/>
          </w:tcPr>
          <w:p w14:paraId="03ED4D54"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Nancy G. Gibson</w:t>
            </w:r>
          </w:p>
          <w:p w14:paraId="41BC4B75" w14:textId="77777777" w:rsidR="009E4CD6" w:rsidRPr="00D97634" w:rsidRDefault="009E4CD6" w:rsidP="006F3FD7">
            <w:pPr>
              <w:keepNext/>
              <w:keepLines/>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Georgia Public Service Comm.</w:t>
            </w:r>
          </w:p>
          <w:p w14:paraId="6FA7AD54" w14:textId="77777777" w:rsidR="009E4CD6" w:rsidRPr="00D97634" w:rsidRDefault="009E4CD6" w:rsidP="006F3FD7">
            <w:pPr>
              <w:keepNext/>
              <w:keepLines/>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244 Washington Street, SW</w:t>
            </w:r>
          </w:p>
          <w:p w14:paraId="0EB169F4"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Atlanta, GA  30334</w:t>
            </w:r>
          </w:p>
          <w:p w14:paraId="473A6179" w14:textId="77777777" w:rsidR="009E4CD6" w:rsidRPr="00D97634" w:rsidRDefault="00324D29" w:rsidP="006F3FD7">
            <w:pPr>
              <w:widowControl w:val="0"/>
              <w:snapToGrid w:val="0"/>
              <w:spacing w:after="0"/>
              <w:ind w:left="93"/>
              <w:rPr>
                <w:rFonts w:ascii="Times New Roman" w:hAnsi="Times New Roman" w:cs="Times New Roman"/>
                <w:sz w:val="24"/>
                <w:szCs w:val="24"/>
              </w:rPr>
            </w:pPr>
            <w:hyperlink r:id="rId14" w:history="1">
              <w:r w:rsidR="009E4CD6" w:rsidRPr="00D97634">
                <w:rPr>
                  <w:rStyle w:val="Hyperlink"/>
                  <w:rFonts w:ascii="Times New Roman" w:hAnsi="Times New Roman" w:cs="Times New Roman"/>
                  <w:sz w:val="24"/>
                  <w:szCs w:val="24"/>
                </w:rPr>
                <w:t>ngibson@psc.state.ga.us</w:t>
              </w:r>
            </w:hyperlink>
          </w:p>
        </w:tc>
        <w:tc>
          <w:tcPr>
            <w:tcW w:w="232" w:type="dxa"/>
            <w:tcMar>
              <w:top w:w="0" w:type="dxa"/>
              <w:left w:w="15" w:type="dxa"/>
              <w:bottom w:w="0" w:type="dxa"/>
              <w:right w:w="15" w:type="dxa"/>
            </w:tcMar>
            <w:vAlign w:val="center"/>
          </w:tcPr>
          <w:p w14:paraId="25BA42C3" w14:textId="77777777" w:rsidR="009E4CD6" w:rsidRPr="00D97634" w:rsidRDefault="009E4CD6" w:rsidP="006F3FD7">
            <w:pPr>
              <w:widowControl w:val="0"/>
              <w:snapToGrid w:val="0"/>
              <w:spacing w:after="0"/>
              <w:ind w:left="-285" w:hanging="630"/>
              <w:rPr>
                <w:rFonts w:ascii="Times New Roman" w:hAnsi="Times New Roman" w:cs="Times New Roman"/>
                <w:sz w:val="24"/>
                <w:szCs w:val="24"/>
              </w:rPr>
            </w:pPr>
          </w:p>
        </w:tc>
        <w:tc>
          <w:tcPr>
            <w:tcW w:w="3316" w:type="dxa"/>
            <w:tcMar>
              <w:top w:w="0" w:type="dxa"/>
              <w:left w:w="15" w:type="dxa"/>
              <w:bottom w:w="0" w:type="dxa"/>
              <w:right w:w="15" w:type="dxa"/>
            </w:tcMar>
            <w:vAlign w:val="center"/>
            <w:hideMark/>
          </w:tcPr>
          <w:p w14:paraId="75A00A94"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Robert P. Edwards, Jr.</w:t>
            </w:r>
          </w:p>
          <w:p w14:paraId="17C2C482"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William N. Droze</w:t>
            </w:r>
          </w:p>
          <w:p w14:paraId="25F9628E"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Troutman Sanders LLP</w:t>
            </w:r>
          </w:p>
          <w:p w14:paraId="6B46A552"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600 Peachtree Street, N.E.</w:t>
            </w:r>
          </w:p>
          <w:p w14:paraId="10411C6D"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r w:rsidRPr="00D97634">
              <w:rPr>
                <w:rFonts w:ascii="Times New Roman" w:hAnsi="Times New Roman" w:cs="Times New Roman"/>
                <w:sz w:val="24"/>
                <w:szCs w:val="24"/>
              </w:rPr>
              <w:t>Atlanta, Georgia 30308</w:t>
            </w:r>
          </w:p>
          <w:p w14:paraId="2CEC28C9" w14:textId="77777777" w:rsidR="009E4CD6" w:rsidRPr="00D97634" w:rsidRDefault="00324D29" w:rsidP="006F3FD7">
            <w:pPr>
              <w:tabs>
                <w:tab w:val="left" w:pos="-1440"/>
                <w:tab w:val="left" w:pos="-720"/>
              </w:tabs>
              <w:suppressAutoHyphens/>
              <w:spacing w:after="0"/>
              <w:ind w:left="93"/>
              <w:rPr>
                <w:rFonts w:ascii="Times New Roman" w:hAnsi="Times New Roman" w:cs="Times New Roman"/>
                <w:sz w:val="24"/>
                <w:szCs w:val="24"/>
              </w:rPr>
            </w:pPr>
            <w:hyperlink r:id="rId15" w:history="1">
              <w:r w:rsidR="009E4CD6" w:rsidRPr="00D97634">
                <w:rPr>
                  <w:rStyle w:val="Hyperlink"/>
                  <w:rFonts w:ascii="Times New Roman" w:hAnsi="Times New Roman" w:cs="Times New Roman"/>
                  <w:sz w:val="24"/>
                  <w:szCs w:val="24"/>
                </w:rPr>
                <w:t>bob.edwards@troutman.com</w:t>
              </w:r>
            </w:hyperlink>
          </w:p>
        </w:tc>
      </w:tr>
      <w:tr w:rsidR="009E4CD6" w:rsidRPr="00D97634" w14:paraId="41A3C3A0" w14:textId="77777777" w:rsidTr="009E4CD6">
        <w:trPr>
          <w:cantSplit/>
          <w:trHeight w:val="998"/>
        </w:trPr>
        <w:tc>
          <w:tcPr>
            <w:tcW w:w="3204" w:type="dxa"/>
            <w:tcMar>
              <w:top w:w="0" w:type="dxa"/>
              <w:left w:w="15" w:type="dxa"/>
              <w:bottom w:w="0" w:type="dxa"/>
              <w:right w:w="15" w:type="dxa"/>
            </w:tcMar>
            <w:vAlign w:val="center"/>
          </w:tcPr>
          <w:p w14:paraId="68DE396F" w14:textId="667D7252"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p>
        </w:tc>
        <w:tc>
          <w:tcPr>
            <w:tcW w:w="203" w:type="dxa"/>
            <w:tcMar>
              <w:top w:w="0" w:type="dxa"/>
              <w:left w:w="15" w:type="dxa"/>
              <w:bottom w:w="0" w:type="dxa"/>
              <w:right w:w="15" w:type="dxa"/>
            </w:tcMar>
            <w:vAlign w:val="center"/>
          </w:tcPr>
          <w:p w14:paraId="304E4924" w14:textId="77777777" w:rsidR="009E4CD6" w:rsidRPr="00D97634" w:rsidRDefault="009E4CD6" w:rsidP="006F3FD7">
            <w:pPr>
              <w:widowControl w:val="0"/>
              <w:snapToGrid w:val="0"/>
              <w:spacing w:after="0"/>
              <w:rPr>
                <w:rFonts w:ascii="Times New Roman" w:hAnsi="Times New Roman" w:cs="Times New Roman"/>
                <w:sz w:val="24"/>
                <w:szCs w:val="24"/>
              </w:rPr>
            </w:pPr>
          </w:p>
        </w:tc>
        <w:tc>
          <w:tcPr>
            <w:tcW w:w="2645" w:type="dxa"/>
            <w:tcMar>
              <w:top w:w="0" w:type="dxa"/>
              <w:left w:w="15" w:type="dxa"/>
              <w:bottom w:w="0" w:type="dxa"/>
              <w:right w:w="15" w:type="dxa"/>
            </w:tcMar>
            <w:vAlign w:val="center"/>
          </w:tcPr>
          <w:p w14:paraId="5BFF193C" w14:textId="77777777" w:rsidR="009E4CD6" w:rsidRPr="00D97634" w:rsidRDefault="009E4CD6" w:rsidP="006F3FD7">
            <w:pPr>
              <w:tabs>
                <w:tab w:val="left" w:pos="-1440"/>
                <w:tab w:val="left" w:pos="-720"/>
              </w:tabs>
              <w:suppressAutoHyphens/>
              <w:spacing w:after="0"/>
              <w:ind w:left="93"/>
              <w:rPr>
                <w:rFonts w:ascii="Times New Roman" w:hAnsi="Times New Roman" w:cs="Times New Roman"/>
                <w:sz w:val="24"/>
                <w:szCs w:val="24"/>
              </w:rPr>
            </w:pPr>
          </w:p>
        </w:tc>
        <w:tc>
          <w:tcPr>
            <w:tcW w:w="232" w:type="dxa"/>
            <w:tcMar>
              <w:top w:w="0" w:type="dxa"/>
              <w:left w:w="15" w:type="dxa"/>
              <w:bottom w:w="0" w:type="dxa"/>
              <w:right w:w="15" w:type="dxa"/>
            </w:tcMar>
            <w:vAlign w:val="center"/>
          </w:tcPr>
          <w:p w14:paraId="647805E3" w14:textId="77777777" w:rsidR="009E4CD6" w:rsidRPr="00D97634" w:rsidRDefault="009E4CD6" w:rsidP="006F3FD7">
            <w:pPr>
              <w:widowControl w:val="0"/>
              <w:snapToGrid w:val="0"/>
              <w:spacing w:after="0"/>
              <w:rPr>
                <w:rFonts w:ascii="Times New Roman" w:hAnsi="Times New Roman" w:cs="Times New Roman"/>
                <w:sz w:val="24"/>
                <w:szCs w:val="24"/>
              </w:rPr>
            </w:pPr>
          </w:p>
        </w:tc>
        <w:tc>
          <w:tcPr>
            <w:tcW w:w="3316" w:type="dxa"/>
            <w:tcMar>
              <w:top w:w="0" w:type="dxa"/>
              <w:left w:w="15" w:type="dxa"/>
              <w:bottom w:w="0" w:type="dxa"/>
              <w:right w:w="15" w:type="dxa"/>
            </w:tcMar>
            <w:vAlign w:val="center"/>
          </w:tcPr>
          <w:p w14:paraId="2C728D4E" w14:textId="77777777" w:rsidR="009E4CD6" w:rsidRPr="00D97634" w:rsidRDefault="009E4CD6" w:rsidP="006F3FD7">
            <w:pPr>
              <w:widowControl w:val="0"/>
              <w:snapToGrid w:val="0"/>
              <w:spacing w:after="0"/>
              <w:ind w:left="78" w:hanging="3"/>
              <w:rPr>
                <w:rFonts w:ascii="Times New Roman" w:hAnsi="Times New Roman" w:cs="Times New Roman"/>
                <w:sz w:val="24"/>
                <w:szCs w:val="24"/>
              </w:rPr>
            </w:pPr>
          </w:p>
        </w:tc>
      </w:tr>
    </w:tbl>
    <w:p w14:paraId="4294A63E" w14:textId="77777777" w:rsidR="009E4CD6" w:rsidRPr="00D97634" w:rsidRDefault="009E4CD6" w:rsidP="009E4CD6">
      <w:pPr>
        <w:tabs>
          <w:tab w:val="left" w:pos="-1440"/>
          <w:tab w:val="left" w:pos="-720"/>
        </w:tabs>
        <w:suppressAutoHyphens/>
        <w:spacing w:after="0"/>
        <w:rPr>
          <w:rFonts w:ascii="Times New Roman" w:hAnsi="Times New Roman" w:cs="Times New Roman"/>
          <w:sz w:val="24"/>
          <w:szCs w:val="24"/>
        </w:rPr>
      </w:pPr>
      <w:r w:rsidRPr="00D97634">
        <w:rPr>
          <w:rFonts w:ascii="Times New Roman" w:hAnsi="Times New Roman" w:cs="Times New Roman"/>
          <w:sz w:val="24"/>
          <w:szCs w:val="24"/>
        </w:rPr>
        <w:tab/>
      </w:r>
      <w:r w:rsidRPr="00D97634">
        <w:rPr>
          <w:rFonts w:ascii="Times New Roman" w:hAnsi="Times New Roman" w:cs="Times New Roman"/>
          <w:sz w:val="24"/>
          <w:szCs w:val="24"/>
        </w:rPr>
        <w:tab/>
      </w:r>
      <w:r w:rsidRPr="00D97634">
        <w:rPr>
          <w:rFonts w:ascii="Times New Roman" w:hAnsi="Times New Roman" w:cs="Times New Roman"/>
          <w:sz w:val="24"/>
          <w:szCs w:val="24"/>
        </w:rPr>
        <w:tab/>
      </w:r>
      <w:r w:rsidRPr="00D97634">
        <w:rPr>
          <w:rFonts w:ascii="Times New Roman" w:hAnsi="Times New Roman" w:cs="Times New Roman"/>
          <w:sz w:val="24"/>
          <w:szCs w:val="24"/>
        </w:rPr>
        <w:tab/>
      </w:r>
      <w:r w:rsidRPr="00D97634">
        <w:rPr>
          <w:rFonts w:ascii="Times New Roman" w:hAnsi="Times New Roman" w:cs="Times New Roman"/>
          <w:sz w:val="24"/>
          <w:szCs w:val="24"/>
        </w:rPr>
        <w:tab/>
      </w:r>
      <w:r w:rsidRPr="00D97634">
        <w:rPr>
          <w:rFonts w:ascii="Times New Roman" w:hAnsi="Times New Roman" w:cs="Times New Roman"/>
          <w:sz w:val="24"/>
          <w:szCs w:val="24"/>
        </w:rPr>
        <w:tab/>
      </w:r>
    </w:p>
    <w:p w14:paraId="5BBA7F8C" w14:textId="6E8B7E3B" w:rsidR="009E4CD6" w:rsidRDefault="00C82DE4" w:rsidP="009E4CD6">
      <w:pPr>
        <w:tabs>
          <w:tab w:val="left" w:pos="-1440"/>
          <w:tab w:val="left" w:pos="-720"/>
        </w:tabs>
        <w:suppressAutoHyphens/>
        <w:spacing w:after="0"/>
        <w:rPr>
          <w:rFonts w:ascii="Times New Roman" w:hAnsi="Times New Roman" w:cs="Times New Roman"/>
          <w:sz w:val="24"/>
          <w:szCs w:val="24"/>
        </w:rPr>
      </w:pPr>
      <w:r>
        <w:rPr>
          <w:rFonts w:ascii="Times New Roman" w:hAnsi="Times New Roman" w:cs="Times New Roman"/>
          <w:sz w:val="24"/>
          <w:szCs w:val="24"/>
        </w:rPr>
        <w:tab/>
        <w:t>So certified, this 17</w:t>
      </w:r>
      <w:r w:rsidR="009E4CD6" w:rsidRPr="00D97634">
        <w:rPr>
          <w:rFonts w:ascii="Times New Roman" w:hAnsi="Times New Roman" w:cs="Times New Roman"/>
          <w:sz w:val="24"/>
          <w:szCs w:val="24"/>
        </w:rPr>
        <w:t>th day of March, 2020.</w:t>
      </w:r>
    </w:p>
    <w:p w14:paraId="7BCFA668" w14:textId="77777777" w:rsidR="00DB5FE7" w:rsidRPr="00D97634" w:rsidRDefault="00DB5FE7" w:rsidP="009E4CD6">
      <w:pPr>
        <w:tabs>
          <w:tab w:val="left" w:pos="-1440"/>
          <w:tab w:val="left" w:pos="-720"/>
        </w:tabs>
        <w:suppressAutoHyphens/>
        <w:spacing w:after="0"/>
        <w:rPr>
          <w:rFonts w:ascii="Times New Roman" w:hAnsi="Times New Roman" w:cs="Times New Roman"/>
          <w:sz w:val="24"/>
          <w:szCs w:val="24"/>
        </w:rPr>
      </w:pPr>
    </w:p>
    <w:p w14:paraId="1CBC14B3" w14:textId="77777777" w:rsidR="009E4CD6" w:rsidRPr="00D97634" w:rsidRDefault="009E4CD6" w:rsidP="009E4CD6">
      <w:pPr>
        <w:pStyle w:val="TOAHeading"/>
        <w:tabs>
          <w:tab w:val="left" w:pos="-1440"/>
          <w:tab w:val="left" w:pos="-720"/>
        </w:tabs>
        <w:spacing w:after="0"/>
        <w:rPr>
          <w:rFonts w:ascii="Times New Roman" w:hAnsi="Times New Roman" w:cs="Times New Roman"/>
          <w:sz w:val="24"/>
          <w:szCs w:val="24"/>
        </w:rPr>
      </w:pPr>
      <w:r w:rsidRPr="00D97634">
        <w:rPr>
          <w:rFonts w:ascii="Times New Roman" w:hAnsi="Times New Roman" w:cs="Times New Roman"/>
          <w:sz w:val="24"/>
          <w:szCs w:val="24"/>
        </w:rPr>
        <w:tab/>
      </w:r>
      <w:r w:rsidRPr="00D97634">
        <w:rPr>
          <w:rFonts w:ascii="Times New Roman" w:hAnsi="Times New Roman" w:cs="Times New Roman"/>
          <w:sz w:val="24"/>
          <w:szCs w:val="24"/>
        </w:rPr>
        <w:tab/>
      </w:r>
      <w:r w:rsidRPr="00D97634">
        <w:rPr>
          <w:rFonts w:ascii="Times New Roman" w:hAnsi="Times New Roman" w:cs="Times New Roman"/>
          <w:sz w:val="24"/>
          <w:szCs w:val="24"/>
        </w:rPr>
        <w:tab/>
      </w:r>
      <w:r w:rsidRPr="00D97634">
        <w:rPr>
          <w:rFonts w:ascii="Times New Roman" w:hAnsi="Times New Roman" w:cs="Times New Roman"/>
          <w:sz w:val="24"/>
          <w:szCs w:val="24"/>
        </w:rPr>
        <w:tab/>
      </w:r>
      <w:r w:rsidRPr="00D97634">
        <w:rPr>
          <w:rFonts w:ascii="Times New Roman" w:hAnsi="Times New Roman" w:cs="Times New Roman"/>
          <w:sz w:val="24"/>
          <w:szCs w:val="24"/>
        </w:rPr>
        <w:tab/>
      </w:r>
    </w:p>
    <w:p w14:paraId="7672CDA6" w14:textId="77777777" w:rsidR="009E4CD6" w:rsidRPr="00D97634" w:rsidRDefault="009E4CD6" w:rsidP="009E4CD6">
      <w:pPr>
        <w:tabs>
          <w:tab w:val="left" w:pos="2931"/>
        </w:tabs>
        <w:spacing w:after="0"/>
        <w:ind w:left="4320"/>
        <w:rPr>
          <w:rFonts w:ascii="Times New Roman" w:hAnsi="Times New Roman" w:cs="Times New Roman"/>
          <w:i/>
          <w:sz w:val="24"/>
          <w:szCs w:val="24"/>
          <w:u w:val="single"/>
        </w:rPr>
      </w:pPr>
      <w:r w:rsidRPr="00D97634">
        <w:rPr>
          <w:rFonts w:ascii="Times New Roman" w:hAnsi="Times New Roman" w:cs="Times New Roman"/>
          <w:i/>
          <w:sz w:val="24"/>
          <w:szCs w:val="24"/>
        </w:rPr>
        <w:t>/s/ Curtis J. Romig</w:t>
      </w:r>
      <w:r w:rsidRPr="00D97634">
        <w:rPr>
          <w:rFonts w:ascii="Times New Roman" w:hAnsi="Times New Roman" w:cs="Times New Roman"/>
          <w:i/>
          <w:sz w:val="24"/>
          <w:szCs w:val="24"/>
        </w:rPr>
        <w:tab/>
      </w:r>
    </w:p>
    <w:p w14:paraId="2D48431B" w14:textId="77777777" w:rsidR="009E4CD6" w:rsidRPr="00D97634" w:rsidRDefault="009E4CD6" w:rsidP="009E4CD6">
      <w:pPr>
        <w:pBdr>
          <w:top w:val="single" w:sz="4" w:space="1" w:color="auto"/>
        </w:pBdr>
        <w:spacing w:after="0" w:line="480" w:lineRule="auto"/>
        <w:ind w:left="4320"/>
        <w:rPr>
          <w:rFonts w:ascii="Times New Roman" w:hAnsi="Times New Roman" w:cs="Times New Roman"/>
          <w:sz w:val="24"/>
          <w:szCs w:val="24"/>
        </w:rPr>
      </w:pPr>
      <w:r w:rsidRPr="00D97634">
        <w:rPr>
          <w:rFonts w:ascii="Times New Roman" w:hAnsi="Times New Roman" w:cs="Times New Roman"/>
          <w:sz w:val="24"/>
          <w:szCs w:val="24"/>
        </w:rPr>
        <w:t>Curtis J. Romig</w:t>
      </w:r>
    </w:p>
    <w:sectPr w:rsidR="009E4CD6" w:rsidRPr="00D97634" w:rsidSect="00C31C69">
      <w:pgSz w:w="12240" w:h="15840"/>
      <w:pgMar w:top="1440" w:right="1440" w:bottom="1440" w:left="1440" w:header="720" w:footer="720" w:gutter="0"/>
      <w:pgNumType w:fmt="numberInDash"/>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D2189C" w15:done="0"/>
  <w15:commentEx w15:paraId="4FA15D69" w15:done="0"/>
  <w15:commentEx w15:paraId="5155C1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2189C" w16cid:durableId="2210C08E"/>
  <w16cid:commentId w16cid:paraId="4FA15D69" w16cid:durableId="2210C0C2"/>
  <w16cid:commentId w16cid:paraId="5155C1CB" w16cid:durableId="2210EF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3094D" w14:textId="77777777" w:rsidR="006177E5" w:rsidRDefault="006177E5">
      <w:pPr>
        <w:spacing w:after="0"/>
      </w:pPr>
      <w:r>
        <w:separator/>
      </w:r>
    </w:p>
  </w:endnote>
  <w:endnote w:type="continuationSeparator" w:id="0">
    <w:p w14:paraId="7C4CF08A" w14:textId="77777777" w:rsidR="006177E5" w:rsidRDefault="00617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279500"/>
      <w:docPartObj>
        <w:docPartGallery w:val="Page Numbers (Bottom of Page)"/>
        <w:docPartUnique/>
      </w:docPartObj>
    </w:sdtPr>
    <w:sdtEndPr>
      <w:rPr>
        <w:noProof/>
      </w:rPr>
    </w:sdtEndPr>
    <w:sdtContent>
      <w:p w14:paraId="6F4324CC" w14:textId="77777777" w:rsidR="009D41D3" w:rsidRDefault="00B154FA">
        <w:pPr>
          <w:pStyle w:val="Footer"/>
          <w:jc w:val="center"/>
        </w:pPr>
        <w:r w:rsidRPr="00BA5C53">
          <w:rPr>
            <w:rFonts w:ascii="Times New Roman" w:hAnsi="Times New Roman" w:cs="Times New Roman"/>
            <w:sz w:val="24"/>
            <w:szCs w:val="24"/>
          </w:rPr>
          <w:fldChar w:fldCharType="begin"/>
        </w:r>
        <w:r w:rsidRPr="00BA5C53">
          <w:rPr>
            <w:rFonts w:ascii="Times New Roman" w:hAnsi="Times New Roman" w:cs="Times New Roman"/>
            <w:sz w:val="24"/>
            <w:szCs w:val="24"/>
          </w:rPr>
          <w:instrText xml:space="preserve"> PAGE   \* MERGEFORMAT </w:instrText>
        </w:r>
        <w:r w:rsidRPr="00BA5C53">
          <w:rPr>
            <w:rFonts w:ascii="Times New Roman" w:hAnsi="Times New Roman" w:cs="Times New Roman"/>
            <w:sz w:val="24"/>
            <w:szCs w:val="24"/>
          </w:rPr>
          <w:fldChar w:fldCharType="separate"/>
        </w:r>
        <w:r w:rsidR="00324D29">
          <w:rPr>
            <w:rFonts w:ascii="Times New Roman" w:hAnsi="Times New Roman" w:cs="Times New Roman"/>
            <w:noProof/>
            <w:sz w:val="24"/>
            <w:szCs w:val="24"/>
          </w:rPr>
          <w:t>7</w:t>
        </w:r>
        <w:r w:rsidRPr="00BA5C53">
          <w:rPr>
            <w:rFonts w:ascii="Times New Roman" w:hAnsi="Times New Roman" w:cs="Times New Roman"/>
            <w:noProof/>
            <w:sz w:val="24"/>
            <w:szCs w:val="24"/>
          </w:rPr>
          <w:fldChar w:fldCharType="end"/>
        </w:r>
      </w:p>
    </w:sdtContent>
  </w:sdt>
  <w:p w14:paraId="7DE7AAF4" w14:textId="26E84E68" w:rsidR="009D41D3" w:rsidRDefault="008068CA">
    <w:pPr>
      <w:pStyle w:val="Footer"/>
    </w:pPr>
    <w:r w:rsidRPr="008068CA">
      <w:rPr>
        <w:rStyle w:val="DocID"/>
      </w:rPr>
      <w:fldChar w:fldCharType="begin"/>
    </w:r>
    <w:r w:rsidRPr="008068CA">
      <w:rPr>
        <w:rStyle w:val="DocID"/>
      </w:rPr>
      <w:instrText xml:space="preserve"> DOCPROPERTY "DocID" \* MERGEFORMAT </w:instrText>
    </w:r>
    <w:r w:rsidRPr="008068CA">
      <w:rPr>
        <w:rStyle w:val="DocID"/>
      </w:rPr>
      <w:fldChar w:fldCharType="separate"/>
    </w:r>
    <w:r w:rsidR="00324D29">
      <w:rPr>
        <w:rStyle w:val="DocID"/>
      </w:rPr>
      <w:t>601695035.7</w:t>
    </w:r>
    <w:r w:rsidRPr="008068CA">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D3AD" w14:textId="239CD614" w:rsidR="008068CA" w:rsidRPr="002C435A" w:rsidRDefault="008068CA">
    <w:pPr>
      <w:pStyle w:val="Footer"/>
      <w:rPr>
        <w:rFonts w:ascii="Times New Roman" w:hAnsi="Times New Roman" w:cs="Times New Roman"/>
      </w:rPr>
    </w:pPr>
    <w:r w:rsidRPr="002C435A">
      <w:rPr>
        <w:rStyle w:val="DocID"/>
        <w:rFonts w:ascii="Times New Roman" w:hAnsi="Times New Roman" w:cs="Times New Roman"/>
      </w:rPr>
      <w:fldChar w:fldCharType="begin"/>
    </w:r>
    <w:r w:rsidRPr="002C435A">
      <w:rPr>
        <w:rStyle w:val="DocID"/>
        <w:rFonts w:ascii="Times New Roman" w:hAnsi="Times New Roman" w:cs="Times New Roman"/>
      </w:rPr>
      <w:instrText xml:space="preserve"> DOCPROPERTY "DocID" \* MERGEFORMAT </w:instrText>
    </w:r>
    <w:r w:rsidRPr="002C435A">
      <w:rPr>
        <w:rStyle w:val="DocID"/>
        <w:rFonts w:ascii="Times New Roman" w:hAnsi="Times New Roman" w:cs="Times New Roman"/>
      </w:rPr>
      <w:fldChar w:fldCharType="separate"/>
    </w:r>
    <w:r w:rsidR="00324D29">
      <w:rPr>
        <w:rStyle w:val="DocID"/>
        <w:rFonts w:ascii="Times New Roman" w:hAnsi="Times New Roman" w:cs="Times New Roman"/>
      </w:rPr>
      <w:t>601695035.7</w:t>
    </w:r>
    <w:r w:rsidRPr="002C435A">
      <w:rPr>
        <w:rStyle w:val="DocID"/>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92DAF" w14:textId="77777777" w:rsidR="006177E5" w:rsidRDefault="006177E5" w:rsidP="007F427D">
      <w:pPr>
        <w:spacing w:after="0"/>
      </w:pPr>
      <w:r>
        <w:separator/>
      </w:r>
    </w:p>
  </w:footnote>
  <w:footnote w:type="continuationSeparator" w:id="0">
    <w:p w14:paraId="30FE5C02" w14:textId="77777777" w:rsidR="006177E5" w:rsidRDefault="006177E5" w:rsidP="007F427D">
      <w:pPr>
        <w:spacing w:after="0"/>
      </w:pPr>
      <w:r>
        <w:continuationSeparator/>
      </w:r>
    </w:p>
  </w:footnote>
  <w:footnote w:id="1">
    <w:p w14:paraId="59CF9EC0" w14:textId="5BDB137D" w:rsidR="007D0C21" w:rsidRPr="00BA6994" w:rsidRDefault="007D0C21">
      <w:pPr>
        <w:pStyle w:val="FootnoteText"/>
        <w:rPr>
          <w:i/>
          <w:sz w:val="24"/>
          <w:szCs w:val="24"/>
        </w:rPr>
      </w:pPr>
      <w:r w:rsidRPr="00BA6994">
        <w:rPr>
          <w:rStyle w:val="FootnoteReference"/>
          <w:sz w:val="24"/>
          <w:szCs w:val="24"/>
        </w:rPr>
        <w:footnoteRef/>
      </w:r>
      <w:r w:rsidRPr="00BA6994">
        <w:rPr>
          <w:sz w:val="24"/>
          <w:szCs w:val="24"/>
        </w:rPr>
        <w:t xml:space="preserve"> Georgia Power’s position effectively asks the Commission to overrule </w:t>
      </w:r>
      <w:r w:rsidRPr="00BA6994">
        <w:rPr>
          <w:i/>
          <w:sz w:val="24"/>
          <w:szCs w:val="24"/>
        </w:rPr>
        <w:t>Habersham</w:t>
      </w:r>
      <w:r w:rsidRPr="00BA6994">
        <w:rPr>
          <w:sz w:val="24"/>
          <w:szCs w:val="24"/>
        </w:rPr>
        <w:t xml:space="preserve">, </w:t>
      </w:r>
      <w:r w:rsidRPr="00BA6994">
        <w:rPr>
          <w:i/>
          <w:sz w:val="24"/>
          <w:szCs w:val="24"/>
        </w:rPr>
        <w:t>Southwire</w:t>
      </w:r>
      <w:r w:rsidRPr="00BA6994">
        <w:rPr>
          <w:sz w:val="24"/>
          <w:szCs w:val="24"/>
        </w:rPr>
        <w:t xml:space="preserve">, </w:t>
      </w:r>
      <w:r w:rsidRPr="00BA6994">
        <w:rPr>
          <w:i/>
          <w:sz w:val="24"/>
          <w:szCs w:val="24"/>
        </w:rPr>
        <w:t>MBLW</w:t>
      </w:r>
      <w:r w:rsidRPr="00BA6994">
        <w:rPr>
          <w:sz w:val="24"/>
          <w:szCs w:val="24"/>
        </w:rPr>
        <w:t xml:space="preserve">, </w:t>
      </w:r>
      <w:r w:rsidR="006B58AE" w:rsidRPr="006B58AE">
        <w:rPr>
          <w:i/>
          <w:sz w:val="24"/>
          <w:szCs w:val="24"/>
        </w:rPr>
        <w:t>Diverse Power</w:t>
      </w:r>
      <w:r w:rsidR="006B58AE">
        <w:rPr>
          <w:sz w:val="24"/>
          <w:szCs w:val="24"/>
        </w:rPr>
        <w:t xml:space="preserve">, </w:t>
      </w:r>
      <w:r w:rsidR="006B58AE">
        <w:rPr>
          <w:i/>
          <w:sz w:val="24"/>
          <w:szCs w:val="24"/>
        </w:rPr>
        <w:t>City of Calhoun v. North Georgia EMC</w:t>
      </w:r>
      <w:r w:rsidR="001B7632">
        <w:rPr>
          <w:sz w:val="24"/>
          <w:szCs w:val="24"/>
        </w:rPr>
        <w:t>, Docket No. 5090</w:t>
      </w:r>
      <w:r w:rsidR="006B58AE">
        <w:rPr>
          <w:sz w:val="24"/>
          <w:szCs w:val="24"/>
        </w:rPr>
        <w:t xml:space="preserve">-U (Initial decision, July 17, 1995), </w:t>
      </w:r>
      <w:r w:rsidR="008E6FB9" w:rsidRPr="006B58AE">
        <w:rPr>
          <w:sz w:val="24"/>
          <w:szCs w:val="24"/>
        </w:rPr>
        <w:t>and</w:t>
      </w:r>
      <w:r w:rsidR="008E6FB9">
        <w:rPr>
          <w:sz w:val="24"/>
          <w:szCs w:val="24"/>
        </w:rPr>
        <w:t xml:space="preserve"> </w:t>
      </w:r>
      <w:r w:rsidRPr="00BA6994">
        <w:rPr>
          <w:rFonts w:cs="Times New Roman"/>
          <w:i/>
          <w:iCs/>
          <w:sz w:val="24"/>
          <w:szCs w:val="24"/>
        </w:rPr>
        <w:t>Diverse Power, Inc. v. City of LaGrange</w:t>
      </w:r>
      <w:r w:rsidRPr="00BA6994">
        <w:rPr>
          <w:rFonts w:cs="Times New Roman"/>
          <w:iCs/>
          <w:sz w:val="24"/>
          <w:szCs w:val="24"/>
        </w:rPr>
        <w:t>, Docket No. 40642, (Initial Decision, March 23, 2018)</w:t>
      </w:r>
      <w:r w:rsidR="008E6FB9">
        <w:rPr>
          <w:rFonts w:cs="Times New Roman"/>
          <w:iCs/>
          <w:sz w:val="24"/>
          <w:szCs w:val="24"/>
        </w:rPr>
        <w:t>.</w:t>
      </w:r>
    </w:p>
  </w:footnote>
  <w:footnote w:id="2">
    <w:p w14:paraId="1CE428FC" w14:textId="77777777" w:rsidR="00301E4B" w:rsidRPr="00B81FBB" w:rsidRDefault="00B154FA" w:rsidP="00301E4B">
      <w:pPr>
        <w:pStyle w:val="FootnoteText"/>
        <w:rPr>
          <w:rFonts w:cs="Times New Roman"/>
          <w:sz w:val="24"/>
          <w:szCs w:val="24"/>
        </w:rPr>
      </w:pPr>
      <w:r w:rsidRPr="00B81FBB">
        <w:rPr>
          <w:rStyle w:val="FootnoteReference"/>
          <w:rFonts w:cs="Times New Roman"/>
          <w:sz w:val="24"/>
          <w:szCs w:val="24"/>
        </w:rPr>
        <w:footnoteRef/>
      </w:r>
      <w:r w:rsidRPr="00B81FBB">
        <w:rPr>
          <w:rFonts w:cs="Times New Roman"/>
          <w:sz w:val="24"/>
          <w:szCs w:val="24"/>
        </w:rPr>
        <w:t xml:space="preserve"> Gopi Sandhu, Director of Engineering Sustainable Operations for Nestlé Purina</w:t>
      </w:r>
      <w:r>
        <w:rPr>
          <w:rFonts w:cs="Times New Roman"/>
          <w:sz w:val="24"/>
          <w:szCs w:val="24"/>
        </w:rPr>
        <w:t>.</w:t>
      </w:r>
      <w:r w:rsidRPr="00B81FBB">
        <w:rPr>
          <w:rFonts w:cs="Times New Roman"/>
          <w:sz w:val="24"/>
          <w:szCs w:val="24"/>
        </w:rPr>
        <w:t xml:space="preserve"> (T</w:t>
      </w:r>
      <w:r>
        <w:rPr>
          <w:rFonts w:cs="Times New Roman"/>
          <w:sz w:val="24"/>
          <w:szCs w:val="24"/>
        </w:rPr>
        <w:t xml:space="preserve">r. </w:t>
      </w:r>
      <w:r w:rsidRPr="00B81FBB">
        <w:rPr>
          <w:rFonts w:cs="Times New Roman"/>
          <w:sz w:val="24"/>
          <w:szCs w:val="24"/>
        </w:rPr>
        <w:t>306</w:t>
      </w:r>
      <w:r>
        <w:rPr>
          <w:rFonts w:cs="Times New Roman"/>
          <w:sz w:val="24"/>
          <w:szCs w:val="24"/>
        </w:rPr>
        <w:t>.</w:t>
      </w:r>
      <w:r w:rsidRPr="00B81FBB">
        <w:rPr>
          <w:rFonts w:cs="Times New Roman"/>
          <w:sz w:val="24"/>
          <w:szCs w:val="24"/>
        </w:rPr>
        <w:t>)</w:t>
      </w:r>
    </w:p>
  </w:footnote>
  <w:footnote w:id="3">
    <w:p w14:paraId="780508D6" w14:textId="77777777" w:rsidR="009D41D3" w:rsidRPr="00B81FBB" w:rsidRDefault="00B154FA" w:rsidP="00264AEA">
      <w:pPr>
        <w:pStyle w:val="FootnoteText"/>
        <w:jc w:val="both"/>
        <w:rPr>
          <w:sz w:val="24"/>
          <w:szCs w:val="24"/>
        </w:rPr>
      </w:pPr>
      <w:r w:rsidRPr="00B81FBB">
        <w:rPr>
          <w:rStyle w:val="FootnoteReference"/>
          <w:sz w:val="24"/>
          <w:szCs w:val="24"/>
        </w:rPr>
        <w:footnoteRef/>
      </w:r>
      <w:r w:rsidRPr="00B81FBB">
        <w:rPr>
          <w:sz w:val="24"/>
          <w:szCs w:val="24"/>
        </w:rPr>
        <w:t xml:space="preserve"> Walton EMC </w:t>
      </w:r>
      <w:r w:rsidR="00A03B93">
        <w:rPr>
          <w:sz w:val="24"/>
          <w:szCs w:val="24"/>
        </w:rPr>
        <w:t xml:space="preserve">and Nestlé Purina </w:t>
      </w:r>
      <w:r w:rsidRPr="00B81FBB">
        <w:rPr>
          <w:sz w:val="24"/>
          <w:szCs w:val="24"/>
        </w:rPr>
        <w:t xml:space="preserve">do not believe, and in light of Georgia Power’s failure to request oral argument, </w:t>
      </w:r>
      <w:r w:rsidR="00A13DB6">
        <w:rPr>
          <w:sz w:val="24"/>
          <w:szCs w:val="24"/>
        </w:rPr>
        <w:t xml:space="preserve">that </w:t>
      </w:r>
      <w:r w:rsidRPr="00B81FBB">
        <w:rPr>
          <w:sz w:val="24"/>
          <w:szCs w:val="24"/>
        </w:rPr>
        <w:t xml:space="preserve">the presentation of additional evidence </w:t>
      </w:r>
      <w:r w:rsidR="00A13DB6">
        <w:rPr>
          <w:sz w:val="24"/>
          <w:szCs w:val="24"/>
        </w:rPr>
        <w:t xml:space="preserve">or argument </w:t>
      </w:r>
      <w:r w:rsidRPr="00B81FBB">
        <w:rPr>
          <w:sz w:val="24"/>
          <w:szCs w:val="24"/>
        </w:rPr>
        <w:t>will assist t</w:t>
      </w:r>
      <w:r w:rsidR="00A40C10">
        <w:rPr>
          <w:sz w:val="24"/>
          <w:szCs w:val="24"/>
        </w:rPr>
        <w:t xml:space="preserve">he Commission in its decision and hereby respectfully request </w:t>
      </w:r>
      <w:r w:rsidR="00A13DB6">
        <w:rPr>
          <w:sz w:val="24"/>
          <w:szCs w:val="24"/>
        </w:rPr>
        <w:t xml:space="preserve">that </w:t>
      </w:r>
      <w:r w:rsidR="00A40C10">
        <w:rPr>
          <w:sz w:val="24"/>
          <w:szCs w:val="24"/>
        </w:rPr>
        <w:t>the Commission rule on the</w:t>
      </w:r>
      <w:r w:rsidR="00081E82">
        <w:rPr>
          <w:sz w:val="24"/>
          <w:szCs w:val="24"/>
        </w:rPr>
        <w:t xml:space="preserve"> P</w:t>
      </w:r>
      <w:r w:rsidR="00C478F8">
        <w:rPr>
          <w:sz w:val="24"/>
          <w:szCs w:val="24"/>
        </w:rPr>
        <w:t>arties’</w:t>
      </w:r>
      <w:r w:rsidR="00A40C10">
        <w:rPr>
          <w:sz w:val="24"/>
          <w:szCs w:val="24"/>
        </w:rPr>
        <w:t xml:space="preserve"> papers.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0174"/>
    <w:multiLevelType w:val="hybridMultilevel"/>
    <w:tmpl w:val="C9344A94"/>
    <w:lvl w:ilvl="0" w:tplc="C5A83C0A">
      <w:start w:val="1"/>
      <w:numFmt w:val="upperRoman"/>
      <w:lvlText w:val="%1."/>
      <w:lvlJc w:val="right"/>
      <w:pPr>
        <w:ind w:left="720" w:hanging="360"/>
      </w:pPr>
      <w:rPr>
        <w:b/>
      </w:rPr>
    </w:lvl>
    <w:lvl w:ilvl="1" w:tplc="9CD04C66">
      <w:start w:val="1"/>
      <w:numFmt w:val="lowerLetter"/>
      <w:lvlText w:val="%2."/>
      <w:lvlJc w:val="left"/>
      <w:pPr>
        <w:ind w:left="1440" w:hanging="360"/>
      </w:pPr>
      <w:rPr>
        <w:b/>
      </w:rPr>
    </w:lvl>
    <w:lvl w:ilvl="2" w:tplc="60564164" w:tentative="1">
      <w:start w:val="1"/>
      <w:numFmt w:val="lowerRoman"/>
      <w:lvlText w:val="%3."/>
      <w:lvlJc w:val="right"/>
      <w:pPr>
        <w:ind w:left="2160" w:hanging="180"/>
      </w:pPr>
    </w:lvl>
    <w:lvl w:ilvl="3" w:tplc="2040BD34" w:tentative="1">
      <w:start w:val="1"/>
      <w:numFmt w:val="decimal"/>
      <w:lvlText w:val="%4."/>
      <w:lvlJc w:val="left"/>
      <w:pPr>
        <w:ind w:left="2880" w:hanging="360"/>
      </w:pPr>
    </w:lvl>
    <w:lvl w:ilvl="4" w:tplc="EEA4C968" w:tentative="1">
      <w:start w:val="1"/>
      <w:numFmt w:val="lowerLetter"/>
      <w:lvlText w:val="%5."/>
      <w:lvlJc w:val="left"/>
      <w:pPr>
        <w:ind w:left="3600" w:hanging="360"/>
      </w:pPr>
    </w:lvl>
    <w:lvl w:ilvl="5" w:tplc="3FA4CD44" w:tentative="1">
      <w:start w:val="1"/>
      <w:numFmt w:val="lowerRoman"/>
      <w:lvlText w:val="%6."/>
      <w:lvlJc w:val="right"/>
      <w:pPr>
        <w:ind w:left="4320" w:hanging="180"/>
      </w:pPr>
    </w:lvl>
    <w:lvl w:ilvl="6" w:tplc="4E9882D0" w:tentative="1">
      <w:start w:val="1"/>
      <w:numFmt w:val="decimal"/>
      <w:lvlText w:val="%7."/>
      <w:lvlJc w:val="left"/>
      <w:pPr>
        <w:ind w:left="5040" w:hanging="360"/>
      </w:pPr>
    </w:lvl>
    <w:lvl w:ilvl="7" w:tplc="E4EA68F0" w:tentative="1">
      <w:start w:val="1"/>
      <w:numFmt w:val="lowerLetter"/>
      <w:lvlText w:val="%8."/>
      <w:lvlJc w:val="left"/>
      <w:pPr>
        <w:ind w:left="5760" w:hanging="360"/>
      </w:pPr>
    </w:lvl>
    <w:lvl w:ilvl="8" w:tplc="1646E1F0"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esch,Joshua,ST LOUIS,Legal">
    <w15:presenceInfo w15:providerId="AD" w15:userId="S::Joshua.Roesch@purina.nestle.com::45e07505-ad9f-472f-ba09-b81c36da3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Date" w:val="False"/>
    <w:docVar w:name="DocIDDateText" w:val="False"/>
    <w:docVar w:name="DocIDLibrary" w:val="False"/>
    <w:docVar w:name="DocIDType" w:val="AllPages"/>
    <w:docVar w:name="DocIDTypist" w:val="False"/>
    <w:docVar w:name="LegacyDocIDRemoved" w:val="True"/>
  </w:docVars>
  <w:rsids>
    <w:rsidRoot w:val="007F427D"/>
    <w:rsid w:val="00002C8E"/>
    <w:rsid w:val="000058A7"/>
    <w:rsid w:val="00011CE6"/>
    <w:rsid w:val="000237BE"/>
    <w:rsid w:val="000303F7"/>
    <w:rsid w:val="00031EC9"/>
    <w:rsid w:val="000339B7"/>
    <w:rsid w:val="00042968"/>
    <w:rsid w:val="00043514"/>
    <w:rsid w:val="00044758"/>
    <w:rsid w:val="00046134"/>
    <w:rsid w:val="00054F6B"/>
    <w:rsid w:val="00065F6C"/>
    <w:rsid w:val="00073E3E"/>
    <w:rsid w:val="000802A4"/>
    <w:rsid w:val="00081E82"/>
    <w:rsid w:val="000871E1"/>
    <w:rsid w:val="000B54BA"/>
    <w:rsid w:val="000C4872"/>
    <w:rsid w:val="000C5C7D"/>
    <w:rsid w:val="000E26ED"/>
    <w:rsid w:val="000F039F"/>
    <w:rsid w:val="000F5A87"/>
    <w:rsid w:val="000F6A98"/>
    <w:rsid w:val="000F77C5"/>
    <w:rsid w:val="0011304A"/>
    <w:rsid w:val="001204E7"/>
    <w:rsid w:val="00125834"/>
    <w:rsid w:val="0013460B"/>
    <w:rsid w:val="00146923"/>
    <w:rsid w:val="001531C5"/>
    <w:rsid w:val="00160F51"/>
    <w:rsid w:val="001665FD"/>
    <w:rsid w:val="00173E7C"/>
    <w:rsid w:val="00190CB0"/>
    <w:rsid w:val="001B7632"/>
    <w:rsid w:val="001E2A1E"/>
    <w:rsid w:val="001E318F"/>
    <w:rsid w:val="001F1E46"/>
    <w:rsid w:val="002055AC"/>
    <w:rsid w:val="0024092C"/>
    <w:rsid w:val="0024757A"/>
    <w:rsid w:val="00251E0F"/>
    <w:rsid w:val="00253F31"/>
    <w:rsid w:val="00255E84"/>
    <w:rsid w:val="00264AEA"/>
    <w:rsid w:val="00280DF2"/>
    <w:rsid w:val="00283431"/>
    <w:rsid w:val="002871F6"/>
    <w:rsid w:val="002A349C"/>
    <w:rsid w:val="002A7440"/>
    <w:rsid w:val="002B1D1F"/>
    <w:rsid w:val="002B203E"/>
    <w:rsid w:val="002C14B8"/>
    <w:rsid w:val="002C435A"/>
    <w:rsid w:val="002C672D"/>
    <w:rsid w:val="002D4984"/>
    <w:rsid w:val="002D4D82"/>
    <w:rsid w:val="002E1256"/>
    <w:rsid w:val="002E1B93"/>
    <w:rsid w:val="002E516F"/>
    <w:rsid w:val="00301E4B"/>
    <w:rsid w:val="00306D3C"/>
    <w:rsid w:val="00307F6E"/>
    <w:rsid w:val="003105ED"/>
    <w:rsid w:val="00313815"/>
    <w:rsid w:val="00316571"/>
    <w:rsid w:val="003200FD"/>
    <w:rsid w:val="00324D29"/>
    <w:rsid w:val="00342B64"/>
    <w:rsid w:val="003509F7"/>
    <w:rsid w:val="003546AB"/>
    <w:rsid w:val="00383EE8"/>
    <w:rsid w:val="003900DF"/>
    <w:rsid w:val="003A6179"/>
    <w:rsid w:val="003B72B2"/>
    <w:rsid w:val="003C64B6"/>
    <w:rsid w:val="003D23D1"/>
    <w:rsid w:val="003D3DE2"/>
    <w:rsid w:val="003D5486"/>
    <w:rsid w:val="003E460E"/>
    <w:rsid w:val="003F1E4B"/>
    <w:rsid w:val="003F43FF"/>
    <w:rsid w:val="003F5E15"/>
    <w:rsid w:val="003F6E7D"/>
    <w:rsid w:val="004068CD"/>
    <w:rsid w:val="00417002"/>
    <w:rsid w:val="00440145"/>
    <w:rsid w:val="00450AB5"/>
    <w:rsid w:val="00453758"/>
    <w:rsid w:val="0046230C"/>
    <w:rsid w:val="00463CC5"/>
    <w:rsid w:val="0048022E"/>
    <w:rsid w:val="00486CAD"/>
    <w:rsid w:val="0049426B"/>
    <w:rsid w:val="004953C0"/>
    <w:rsid w:val="004A0515"/>
    <w:rsid w:val="004A1471"/>
    <w:rsid w:val="004A7FB0"/>
    <w:rsid w:val="004B321D"/>
    <w:rsid w:val="004B5926"/>
    <w:rsid w:val="004C7E44"/>
    <w:rsid w:val="004E2B18"/>
    <w:rsid w:val="004E3483"/>
    <w:rsid w:val="00501C63"/>
    <w:rsid w:val="0050375C"/>
    <w:rsid w:val="0050672F"/>
    <w:rsid w:val="00512DB0"/>
    <w:rsid w:val="00515246"/>
    <w:rsid w:val="00532685"/>
    <w:rsid w:val="0056360D"/>
    <w:rsid w:val="00565169"/>
    <w:rsid w:val="00573EA5"/>
    <w:rsid w:val="0058364F"/>
    <w:rsid w:val="005A6CD4"/>
    <w:rsid w:val="005B5125"/>
    <w:rsid w:val="005D25AB"/>
    <w:rsid w:val="005E03D5"/>
    <w:rsid w:val="005F0322"/>
    <w:rsid w:val="005F303B"/>
    <w:rsid w:val="00616D8C"/>
    <w:rsid w:val="006177E5"/>
    <w:rsid w:val="006262FE"/>
    <w:rsid w:val="00627CAD"/>
    <w:rsid w:val="00642234"/>
    <w:rsid w:val="006427AC"/>
    <w:rsid w:val="00652FE3"/>
    <w:rsid w:val="00665657"/>
    <w:rsid w:val="006759C2"/>
    <w:rsid w:val="006A6683"/>
    <w:rsid w:val="006B58AE"/>
    <w:rsid w:val="006C7D12"/>
    <w:rsid w:val="006D0A26"/>
    <w:rsid w:val="006D5406"/>
    <w:rsid w:val="006E21AD"/>
    <w:rsid w:val="006F0359"/>
    <w:rsid w:val="006F505D"/>
    <w:rsid w:val="0070498A"/>
    <w:rsid w:val="0071092C"/>
    <w:rsid w:val="007220C8"/>
    <w:rsid w:val="007323A7"/>
    <w:rsid w:val="00757009"/>
    <w:rsid w:val="007649DD"/>
    <w:rsid w:val="007660C3"/>
    <w:rsid w:val="0076689C"/>
    <w:rsid w:val="007700E8"/>
    <w:rsid w:val="00780DC5"/>
    <w:rsid w:val="00790948"/>
    <w:rsid w:val="0079103C"/>
    <w:rsid w:val="007923C5"/>
    <w:rsid w:val="00793991"/>
    <w:rsid w:val="00794495"/>
    <w:rsid w:val="007959A8"/>
    <w:rsid w:val="00797136"/>
    <w:rsid w:val="007A0242"/>
    <w:rsid w:val="007A48F8"/>
    <w:rsid w:val="007A6DD9"/>
    <w:rsid w:val="007B1F8E"/>
    <w:rsid w:val="007B5F0B"/>
    <w:rsid w:val="007C107B"/>
    <w:rsid w:val="007C5161"/>
    <w:rsid w:val="007D0C21"/>
    <w:rsid w:val="007D2F0C"/>
    <w:rsid w:val="007D5E8F"/>
    <w:rsid w:val="007D68C4"/>
    <w:rsid w:val="007E41D7"/>
    <w:rsid w:val="007E70D6"/>
    <w:rsid w:val="007F427D"/>
    <w:rsid w:val="007F7FE1"/>
    <w:rsid w:val="008044A6"/>
    <w:rsid w:val="008068CA"/>
    <w:rsid w:val="00810EAE"/>
    <w:rsid w:val="00821F75"/>
    <w:rsid w:val="0082358D"/>
    <w:rsid w:val="00851813"/>
    <w:rsid w:val="008532E5"/>
    <w:rsid w:val="008548B5"/>
    <w:rsid w:val="008553A4"/>
    <w:rsid w:val="008709FE"/>
    <w:rsid w:val="00875B30"/>
    <w:rsid w:val="008830C7"/>
    <w:rsid w:val="008B0958"/>
    <w:rsid w:val="008B5B35"/>
    <w:rsid w:val="008B701E"/>
    <w:rsid w:val="008B7FDB"/>
    <w:rsid w:val="008C2143"/>
    <w:rsid w:val="008D7B62"/>
    <w:rsid w:val="008E3857"/>
    <w:rsid w:val="008E6FB9"/>
    <w:rsid w:val="008F1E24"/>
    <w:rsid w:val="008F3873"/>
    <w:rsid w:val="0090186C"/>
    <w:rsid w:val="0090352D"/>
    <w:rsid w:val="00904DE7"/>
    <w:rsid w:val="00906E4E"/>
    <w:rsid w:val="0092164F"/>
    <w:rsid w:val="00924B0F"/>
    <w:rsid w:val="009260F6"/>
    <w:rsid w:val="00936226"/>
    <w:rsid w:val="00940245"/>
    <w:rsid w:val="00941EAC"/>
    <w:rsid w:val="009427C5"/>
    <w:rsid w:val="00946A09"/>
    <w:rsid w:val="009511FC"/>
    <w:rsid w:val="00963CB4"/>
    <w:rsid w:val="00981EEC"/>
    <w:rsid w:val="00993657"/>
    <w:rsid w:val="009B3636"/>
    <w:rsid w:val="009C1808"/>
    <w:rsid w:val="009C32EC"/>
    <w:rsid w:val="009D41D3"/>
    <w:rsid w:val="009D5824"/>
    <w:rsid w:val="009E00E9"/>
    <w:rsid w:val="009E4730"/>
    <w:rsid w:val="009E4CD6"/>
    <w:rsid w:val="009F071E"/>
    <w:rsid w:val="00A03B93"/>
    <w:rsid w:val="00A13DB6"/>
    <w:rsid w:val="00A408F1"/>
    <w:rsid w:val="00A40C10"/>
    <w:rsid w:val="00A47E3F"/>
    <w:rsid w:val="00A50076"/>
    <w:rsid w:val="00A648ED"/>
    <w:rsid w:val="00A816BD"/>
    <w:rsid w:val="00A95B11"/>
    <w:rsid w:val="00AA2558"/>
    <w:rsid w:val="00AB2CDB"/>
    <w:rsid w:val="00AB70D5"/>
    <w:rsid w:val="00AC3212"/>
    <w:rsid w:val="00AC363B"/>
    <w:rsid w:val="00AC6600"/>
    <w:rsid w:val="00AC7079"/>
    <w:rsid w:val="00AC7EFD"/>
    <w:rsid w:val="00AF7AAE"/>
    <w:rsid w:val="00B0128B"/>
    <w:rsid w:val="00B06157"/>
    <w:rsid w:val="00B06BE8"/>
    <w:rsid w:val="00B101F8"/>
    <w:rsid w:val="00B12D26"/>
    <w:rsid w:val="00B154FA"/>
    <w:rsid w:val="00B16D2D"/>
    <w:rsid w:val="00B32D74"/>
    <w:rsid w:val="00B560B1"/>
    <w:rsid w:val="00B647C2"/>
    <w:rsid w:val="00B74281"/>
    <w:rsid w:val="00B74472"/>
    <w:rsid w:val="00B77350"/>
    <w:rsid w:val="00B80390"/>
    <w:rsid w:val="00B81FBB"/>
    <w:rsid w:val="00BA12C1"/>
    <w:rsid w:val="00BA484D"/>
    <w:rsid w:val="00BA5C53"/>
    <w:rsid w:val="00BA6994"/>
    <w:rsid w:val="00BB471A"/>
    <w:rsid w:val="00BB4ED5"/>
    <w:rsid w:val="00BB7C9A"/>
    <w:rsid w:val="00BC0F18"/>
    <w:rsid w:val="00BC1520"/>
    <w:rsid w:val="00BC4150"/>
    <w:rsid w:val="00BE1C6C"/>
    <w:rsid w:val="00BE20FC"/>
    <w:rsid w:val="00BF03DC"/>
    <w:rsid w:val="00C21109"/>
    <w:rsid w:val="00C229AF"/>
    <w:rsid w:val="00C231AB"/>
    <w:rsid w:val="00C40380"/>
    <w:rsid w:val="00C43E4E"/>
    <w:rsid w:val="00C468EC"/>
    <w:rsid w:val="00C478F8"/>
    <w:rsid w:val="00C51A53"/>
    <w:rsid w:val="00C6265A"/>
    <w:rsid w:val="00C65A23"/>
    <w:rsid w:val="00C66B0C"/>
    <w:rsid w:val="00C66F84"/>
    <w:rsid w:val="00C70DAA"/>
    <w:rsid w:val="00C72D94"/>
    <w:rsid w:val="00C754DC"/>
    <w:rsid w:val="00C76680"/>
    <w:rsid w:val="00C82DE4"/>
    <w:rsid w:val="00C84CBD"/>
    <w:rsid w:val="00CA5509"/>
    <w:rsid w:val="00CB310D"/>
    <w:rsid w:val="00CB595A"/>
    <w:rsid w:val="00CB5CBC"/>
    <w:rsid w:val="00CD2BCA"/>
    <w:rsid w:val="00CD7AB0"/>
    <w:rsid w:val="00CD7FEC"/>
    <w:rsid w:val="00CE5525"/>
    <w:rsid w:val="00CE6269"/>
    <w:rsid w:val="00CE6EE0"/>
    <w:rsid w:val="00CF21C9"/>
    <w:rsid w:val="00D05565"/>
    <w:rsid w:val="00D07A83"/>
    <w:rsid w:val="00D10329"/>
    <w:rsid w:val="00D1741E"/>
    <w:rsid w:val="00D17E7E"/>
    <w:rsid w:val="00D55A9A"/>
    <w:rsid w:val="00D645FB"/>
    <w:rsid w:val="00D64CA8"/>
    <w:rsid w:val="00D7030F"/>
    <w:rsid w:val="00D7063E"/>
    <w:rsid w:val="00D97634"/>
    <w:rsid w:val="00DA3902"/>
    <w:rsid w:val="00DA3A9F"/>
    <w:rsid w:val="00DB5191"/>
    <w:rsid w:val="00DB5FE7"/>
    <w:rsid w:val="00DC1642"/>
    <w:rsid w:val="00E01BE0"/>
    <w:rsid w:val="00E14F93"/>
    <w:rsid w:val="00E21B36"/>
    <w:rsid w:val="00E250B5"/>
    <w:rsid w:val="00E34306"/>
    <w:rsid w:val="00E35C80"/>
    <w:rsid w:val="00E418DB"/>
    <w:rsid w:val="00E54E20"/>
    <w:rsid w:val="00E60834"/>
    <w:rsid w:val="00E67796"/>
    <w:rsid w:val="00E8231B"/>
    <w:rsid w:val="00E86B0C"/>
    <w:rsid w:val="00E873F0"/>
    <w:rsid w:val="00E97466"/>
    <w:rsid w:val="00EB4DEB"/>
    <w:rsid w:val="00EC0C84"/>
    <w:rsid w:val="00EC24F8"/>
    <w:rsid w:val="00EC2FCE"/>
    <w:rsid w:val="00EC3ED3"/>
    <w:rsid w:val="00ED3B8F"/>
    <w:rsid w:val="00EE6E40"/>
    <w:rsid w:val="00F03707"/>
    <w:rsid w:val="00F04174"/>
    <w:rsid w:val="00F06736"/>
    <w:rsid w:val="00F211F0"/>
    <w:rsid w:val="00F27236"/>
    <w:rsid w:val="00F31E16"/>
    <w:rsid w:val="00F42129"/>
    <w:rsid w:val="00F6464B"/>
    <w:rsid w:val="00F65E9E"/>
    <w:rsid w:val="00F65F9E"/>
    <w:rsid w:val="00F74393"/>
    <w:rsid w:val="00F7612C"/>
    <w:rsid w:val="00F76CF2"/>
    <w:rsid w:val="00F77F4F"/>
    <w:rsid w:val="00F81A4E"/>
    <w:rsid w:val="00F81CCE"/>
    <w:rsid w:val="00F84BB6"/>
    <w:rsid w:val="00FA0A06"/>
    <w:rsid w:val="00FA60DA"/>
    <w:rsid w:val="00FB2F4B"/>
    <w:rsid w:val="00FB7AA8"/>
    <w:rsid w:val="00FC25D6"/>
    <w:rsid w:val="00FC6BF2"/>
    <w:rsid w:val="00FD03EA"/>
    <w:rsid w:val="00FD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4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8"/>
    <w:qFormat/>
    <w:rsid w:val="007F427D"/>
    <w:pPr>
      <w:spacing w:after="240" w:line="240" w:lineRule="auto"/>
    </w:pPr>
    <w:rPr>
      <w:rFonts w:ascii="Tahoma" w:hAnsi="Tahoma"/>
      <w:sz w:val="20"/>
      <w:szCs w:val="20"/>
    </w:rPr>
  </w:style>
  <w:style w:type="paragraph" w:styleId="Heading1">
    <w:name w:val="heading 1"/>
    <w:basedOn w:val="Normal"/>
    <w:next w:val="Normal"/>
    <w:link w:val="Heading1Char"/>
    <w:uiPriority w:val="9"/>
    <w:qFormat/>
    <w:rsid w:val="006E21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427D"/>
  </w:style>
  <w:style w:type="character" w:customStyle="1" w:styleId="BodyTextChar">
    <w:name w:val="Body Text Char"/>
    <w:basedOn w:val="DefaultParagraphFont"/>
    <w:link w:val="BodyText"/>
    <w:uiPriority w:val="1"/>
    <w:rsid w:val="007F427D"/>
    <w:rPr>
      <w:rFonts w:ascii="Tahoma" w:hAnsi="Tahoma"/>
      <w:sz w:val="20"/>
      <w:szCs w:val="20"/>
    </w:rPr>
  </w:style>
  <w:style w:type="paragraph" w:styleId="FootnoteText">
    <w:name w:val="footnote text"/>
    <w:basedOn w:val="Normal"/>
    <w:link w:val="FootnoteTextChar"/>
    <w:uiPriority w:val="99"/>
    <w:semiHidden/>
    <w:unhideWhenUsed/>
    <w:rsid w:val="007F427D"/>
    <w:pPr>
      <w:keepLines/>
      <w:spacing w:after="0"/>
    </w:pPr>
    <w:rPr>
      <w:rFonts w:ascii="Times New Roman" w:hAnsi="Times New Roman"/>
    </w:rPr>
  </w:style>
  <w:style w:type="character" w:customStyle="1" w:styleId="FootnoteTextChar">
    <w:name w:val="Footnote Text Char"/>
    <w:basedOn w:val="DefaultParagraphFont"/>
    <w:link w:val="FootnoteText"/>
    <w:uiPriority w:val="99"/>
    <w:semiHidden/>
    <w:rsid w:val="007F427D"/>
    <w:rPr>
      <w:rFonts w:ascii="Times New Roman" w:hAnsi="Times New Roman"/>
      <w:sz w:val="20"/>
      <w:szCs w:val="20"/>
    </w:rPr>
  </w:style>
  <w:style w:type="character" w:styleId="FootnoteReference">
    <w:name w:val="footnote reference"/>
    <w:basedOn w:val="DefaultParagraphFont"/>
    <w:uiPriority w:val="99"/>
    <w:semiHidden/>
    <w:unhideWhenUsed/>
    <w:rsid w:val="007F427D"/>
    <w:rPr>
      <w:vertAlign w:val="superscript"/>
    </w:rPr>
  </w:style>
  <w:style w:type="paragraph" w:styleId="Header">
    <w:name w:val="header"/>
    <w:basedOn w:val="Normal"/>
    <w:link w:val="HeaderChar"/>
    <w:uiPriority w:val="99"/>
    <w:unhideWhenUsed/>
    <w:rsid w:val="007D68C4"/>
    <w:pPr>
      <w:tabs>
        <w:tab w:val="center" w:pos="4680"/>
        <w:tab w:val="right" w:pos="9360"/>
      </w:tabs>
      <w:spacing w:after="0"/>
    </w:pPr>
  </w:style>
  <w:style w:type="character" w:customStyle="1" w:styleId="HeaderChar">
    <w:name w:val="Header Char"/>
    <w:basedOn w:val="DefaultParagraphFont"/>
    <w:link w:val="Header"/>
    <w:uiPriority w:val="99"/>
    <w:rsid w:val="007D68C4"/>
    <w:rPr>
      <w:rFonts w:ascii="Tahoma" w:hAnsi="Tahoma"/>
      <w:sz w:val="20"/>
      <w:szCs w:val="20"/>
    </w:rPr>
  </w:style>
  <w:style w:type="paragraph" w:styleId="Footer">
    <w:name w:val="footer"/>
    <w:basedOn w:val="Normal"/>
    <w:link w:val="FooterChar"/>
    <w:uiPriority w:val="99"/>
    <w:unhideWhenUsed/>
    <w:rsid w:val="007D68C4"/>
    <w:pPr>
      <w:tabs>
        <w:tab w:val="center" w:pos="4680"/>
        <w:tab w:val="right" w:pos="9360"/>
      </w:tabs>
      <w:spacing w:after="0"/>
    </w:pPr>
  </w:style>
  <w:style w:type="character" w:customStyle="1" w:styleId="FooterChar">
    <w:name w:val="Footer Char"/>
    <w:basedOn w:val="DefaultParagraphFont"/>
    <w:link w:val="Footer"/>
    <w:uiPriority w:val="99"/>
    <w:rsid w:val="007D68C4"/>
    <w:rPr>
      <w:rFonts w:ascii="Tahoma" w:hAnsi="Tahoma"/>
      <w:sz w:val="20"/>
      <w:szCs w:val="20"/>
    </w:rPr>
  </w:style>
  <w:style w:type="character" w:customStyle="1" w:styleId="DocID">
    <w:name w:val="DocID"/>
    <w:basedOn w:val="DefaultParagraphFont"/>
    <w:rsid w:val="007D68C4"/>
    <w:rPr>
      <w:sz w:val="16"/>
    </w:rPr>
  </w:style>
  <w:style w:type="paragraph" w:styleId="ListParagraph">
    <w:name w:val="List Paragraph"/>
    <w:basedOn w:val="Normal"/>
    <w:uiPriority w:val="34"/>
    <w:qFormat/>
    <w:rsid w:val="00B06BE8"/>
    <w:pPr>
      <w:ind w:left="720"/>
      <w:contextualSpacing/>
    </w:pPr>
  </w:style>
  <w:style w:type="character" w:customStyle="1" w:styleId="Heading1Char">
    <w:name w:val="Heading 1 Char"/>
    <w:basedOn w:val="DefaultParagraphFont"/>
    <w:link w:val="Heading1"/>
    <w:uiPriority w:val="9"/>
    <w:rsid w:val="006E21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2358D"/>
    <w:rPr>
      <w:strike w:val="0"/>
      <w:dstrike w:val="0"/>
      <w:color w:val="004B91"/>
      <w:u w:val="none"/>
      <w:effect w:val="none"/>
    </w:rPr>
  </w:style>
  <w:style w:type="paragraph" w:customStyle="1" w:styleId="Level1">
    <w:name w:val="Level 1"/>
    <w:basedOn w:val="Normal"/>
    <w:rsid w:val="00011CE6"/>
    <w:pPr>
      <w:widowControl w:val="0"/>
      <w:spacing w:after="0"/>
      <w:ind w:firstLine="720"/>
    </w:pPr>
    <w:rPr>
      <w:rFonts w:ascii="Times New Roman" w:eastAsia="Times New Roman" w:hAnsi="Times New Roman" w:cs="Times New Roman"/>
      <w:snapToGrid w:val="0"/>
      <w:color w:val="000000" w:themeColor="text1"/>
      <w:sz w:val="24"/>
    </w:rPr>
  </w:style>
  <w:style w:type="paragraph" w:styleId="BalloonText">
    <w:name w:val="Balloon Text"/>
    <w:basedOn w:val="Normal"/>
    <w:link w:val="BalloonTextChar"/>
    <w:uiPriority w:val="99"/>
    <w:semiHidden/>
    <w:unhideWhenUsed/>
    <w:rsid w:val="003F6E7D"/>
    <w:pPr>
      <w:spacing w:after="0"/>
    </w:pPr>
    <w:rPr>
      <w:rFonts w:cs="Tahoma"/>
      <w:sz w:val="16"/>
      <w:szCs w:val="16"/>
    </w:rPr>
  </w:style>
  <w:style w:type="character" w:customStyle="1" w:styleId="BalloonTextChar">
    <w:name w:val="Balloon Text Char"/>
    <w:basedOn w:val="DefaultParagraphFont"/>
    <w:link w:val="BalloonText"/>
    <w:uiPriority w:val="99"/>
    <w:semiHidden/>
    <w:rsid w:val="003F6E7D"/>
    <w:rPr>
      <w:rFonts w:ascii="Tahoma" w:hAnsi="Tahoma" w:cs="Tahoma"/>
      <w:sz w:val="16"/>
      <w:szCs w:val="16"/>
    </w:rPr>
  </w:style>
  <w:style w:type="character" w:styleId="CommentReference">
    <w:name w:val="annotation reference"/>
    <w:basedOn w:val="DefaultParagraphFont"/>
    <w:uiPriority w:val="99"/>
    <w:semiHidden/>
    <w:unhideWhenUsed/>
    <w:rsid w:val="00173E7C"/>
    <w:rPr>
      <w:sz w:val="16"/>
      <w:szCs w:val="16"/>
    </w:rPr>
  </w:style>
  <w:style w:type="paragraph" w:styleId="CommentText">
    <w:name w:val="annotation text"/>
    <w:basedOn w:val="Normal"/>
    <w:link w:val="CommentTextChar"/>
    <w:uiPriority w:val="99"/>
    <w:semiHidden/>
    <w:unhideWhenUsed/>
    <w:rsid w:val="00173E7C"/>
  </w:style>
  <w:style w:type="character" w:customStyle="1" w:styleId="CommentTextChar">
    <w:name w:val="Comment Text Char"/>
    <w:basedOn w:val="DefaultParagraphFont"/>
    <w:link w:val="CommentText"/>
    <w:uiPriority w:val="99"/>
    <w:semiHidden/>
    <w:rsid w:val="00173E7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173E7C"/>
    <w:rPr>
      <w:b/>
      <w:bCs/>
    </w:rPr>
  </w:style>
  <w:style w:type="character" w:customStyle="1" w:styleId="CommentSubjectChar">
    <w:name w:val="Comment Subject Char"/>
    <w:basedOn w:val="CommentTextChar"/>
    <w:link w:val="CommentSubject"/>
    <w:uiPriority w:val="99"/>
    <w:semiHidden/>
    <w:rsid w:val="00173E7C"/>
    <w:rPr>
      <w:rFonts w:ascii="Tahoma" w:hAnsi="Tahoma"/>
      <w:b/>
      <w:bCs/>
      <w:sz w:val="20"/>
      <w:szCs w:val="20"/>
    </w:rPr>
  </w:style>
  <w:style w:type="table" w:styleId="TableGrid">
    <w:name w:val="Table Grid"/>
    <w:basedOn w:val="TableNormal"/>
    <w:uiPriority w:val="59"/>
    <w:rsid w:val="009E4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
    <w:qFormat/>
    <w:rsid w:val="009E4CD6"/>
    <w:pPr>
      <w:contextualSpacing/>
      <w:jc w:val="center"/>
      <w:outlineLvl w:val="0"/>
    </w:pPr>
    <w:rPr>
      <w:rFonts w:eastAsiaTheme="majorEastAsia" w:cstheme="majorBidi"/>
      <w:b/>
      <w:spacing w:val="5"/>
      <w:kern w:val="28"/>
      <w:sz w:val="32"/>
      <w:szCs w:val="52"/>
    </w:rPr>
  </w:style>
  <w:style w:type="character" w:customStyle="1" w:styleId="TitleChar">
    <w:name w:val="Title Char"/>
    <w:basedOn w:val="DefaultParagraphFont"/>
    <w:link w:val="Title"/>
    <w:uiPriority w:val="9"/>
    <w:rsid w:val="009E4CD6"/>
    <w:rPr>
      <w:rFonts w:ascii="Tahoma" w:eastAsiaTheme="majorEastAsia" w:hAnsi="Tahoma" w:cstheme="majorBidi"/>
      <w:b/>
      <w:spacing w:val="5"/>
      <w:kern w:val="28"/>
      <w:sz w:val="32"/>
      <w:szCs w:val="52"/>
    </w:rPr>
  </w:style>
  <w:style w:type="paragraph" w:styleId="TOAHeading">
    <w:name w:val="toa heading"/>
    <w:basedOn w:val="Normal"/>
    <w:next w:val="Normal"/>
    <w:uiPriority w:val="99"/>
    <w:unhideWhenUsed/>
    <w:rsid w:val="009E4CD6"/>
    <w:rPr>
      <w:rFonts w:eastAsiaTheme="majorEastAsia"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8"/>
    <w:qFormat/>
    <w:rsid w:val="007F427D"/>
    <w:pPr>
      <w:spacing w:after="240" w:line="240" w:lineRule="auto"/>
    </w:pPr>
    <w:rPr>
      <w:rFonts w:ascii="Tahoma" w:hAnsi="Tahoma"/>
      <w:sz w:val="20"/>
      <w:szCs w:val="20"/>
    </w:rPr>
  </w:style>
  <w:style w:type="paragraph" w:styleId="Heading1">
    <w:name w:val="heading 1"/>
    <w:basedOn w:val="Normal"/>
    <w:next w:val="Normal"/>
    <w:link w:val="Heading1Char"/>
    <w:uiPriority w:val="9"/>
    <w:qFormat/>
    <w:rsid w:val="006E21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427D"/>
  </w:style>
  <w:style w:type="character" w:customStyle="1" w:styleId="BodyTextChar">
    <w:name w:val="Body Text Char"/>
    <w:basedOn w:val="DefaultParagraphFont"/>
    <w:link w:val="BodyText"/>
    <w:uiPriority w:val="1"/>
    <w:rsid w:val="007F427D"/>
    <w:rPr>
      <w:rFonts w:ascii="Tahoma" w:hAnsi="Tahoma"/>
      <w:sz w:val="20"/>
      <w:szCs w:val="20"/>
    </w:rPr>
  </w:style>
  <w:style w:type="paragraph" w:styleId="FootnoteText">
    <w:name w:val="footnote text"/>
    <w:basedOn w:val="Normal"/>
    <w:link w:val="FootnoteTextChar"/>
    <w:uiPriority w:val="99"/>
    <w:semiHidden/>
    <w:unhideWhenUsed/>
    <w:rsid w:val="007F427D"/>
    <w:pPr>
      <w:keepLines/>
      <w:spacing w:after="0"/>
    </w:pPr>
    <w:rPr>
      <w:rFonts w:ascii="Times New Roman" w:hAnsi="Times New Roman"/>
    </w:rPr>
  </w:style>
  <w:style w:type="character" w:customStyle="1" w:styleId="FootnoteTextChar">
    <w:name w:val="Footnote Text Char"/>
    <w:basedOn w:val="DefaultParagraphFont"/>
    <w:link w:val="FootnoteText"/>
    <w:uiPriority w:val="99"/>
    <w:semiHidden/>
    <w:rsid w:val="007F427D"/>
    <w:rPr>
      <w:rFonts w:ascii="Times New Roman" w:hAnsi="Times New Roman"/>
      <w:sz w:val="20"/>
      <w:szCs w:val="20"/>
    </w:rPr>
  </w:style>
  <w:style w:type="character" w:styleId="FootnoteReference">
    <w:name w:val="footnote reference"/>
    <w:basedOn w:val="DefaultParagraphFont"/>
    <w:uiPriority w:val="99"/>
    <w:semiHidden/>
    <w:unhideWhenUsed/>
    <w:rsid w:val="007F427D"/>
    <w:rPr>
      <w:vertAlign w:val="superscript"/>
    </w:rPr>
  </w:style>
  <w:style w:type="paragraph" w:styleId="Header">
    <w:name w:val="header"/>
    <w:basedOn w:val="Normal"/>
    <w:link w:val="HeaderChar"/>
    <w:uiPriority w:val="99"/>
    <w:unhideWhenUsed/>
    <w:rsid w:val="007D68C4"/>
    <w:pPr>
      <w:tabs>
        <w:tab w:val="center" w:pos="4680"/>
        <w:tab w:val="right" w:pos="9360"/>
      </w:tabs>
      <w:spacing w:after="0"/>
    </w:pPr>
  </w:style>
  <w:style w:type="character" w:customStyle="1" w:styleId="HeaderChar">
    <w:name w:val="Header Char"/>
    <w:basedOn w:val="DefaultParagraphFont"/>
    <w:link w:val="Header"/>
    <w:uiPriority w:val="99"/>
    <w:rsid w:val="007D68C4"/>
    <w:rPr>
      <w:rFonts w:ascii="Tahoma" w:hAnsi="Tahoma"/>
      <w:sz w:val="20"/>
      <w:szCs w:val="20"/>
    </w:rPr>
  </w:style>
  <w:style w:type="paragraph" w:styleId="Footer">
    <w:name w:val="footer"/>
    <w:basedOn w:val="Normal"/>
    <w:link w:val="FooterChar"/>
    <w:uiPriority w:val="99"/>
    <w:unhideWhenUsed/>
    <w:rsid w:val="007D68C4"/>
    <w:pPr>
      <w:tabs>
        <w:tab w:val="center" w:pos="4680"/>
        <w:tab w:val="right" w:pos="9360"/>
      </w:tabs>
      <w:spacing w:after="0"/>
    </w:pPr>
  </w:style>
  <w:style w:type="character" w:customStyle="1" w:styleId="FooterChar">
    <w:name w:val="Footer Char"/>
    <w:basedOn w:val="DefaultParagraphFont"/>
    <w:link w:val="Footer"/>
    <w:uiPriority w:val="99"/>
    <w:rsid w:val="007D68C4"/>
    <w:rPr>
      <w:rFonts w:ascii="Tahoma" w:hAnsi="Tahoma"/>
      <w:sz w:val="20"/>
      <w:szCs w:val="20"/>
    </w:rPr>
  </w:style>
  <w:style w:type="character" w:customStyle="1" w:styleId="DocID">
    <w:name w:val="DocID"/>
    <w:basedOn w:val="DefaultParagraphFont"/>
    <w:rsid w:val="007D68C4"/>
    <w:rPr>
      <w:sz w:val="16"/>
    </w:rPr>
  </w:style>
  <w:style w:type="paragraph" w:styleId="ListParagraph">
    <w:name w:val="List Paragraph"/>
    <w:basedOn w:val="Normal"/>
    <w:uiPriority w:val="34"/>
    <w:qFormat/>
    <w:rsid w:val="00B06BE8"/>
    <w:pPr>
      <w:ind w:left="720"/>
      <w:contextualSpacing/>
    </w:pPr>
  </w:style>
  <w:style w:type="character" w:customStyle="1" w:styleId="Heading1Char">
    <w:name w:val="Heading 1 Char"/>
    <w:basedOn w:val="DefaultParagraphFont"/>
    <w:link w:val="Heading1"/>
    <w:uiPriority w:val="9"/>
    <w:rsid w:val="006E21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2358D"/>
    <w:rPr>
      <w:strike w:val="0"/>
      <w:dstrike w:val="0"/>
      <w:color w:val="004B91"/>
      <w:u w:val="none"/>
      <w:effect w:val="none"/>
    </w:rPr>
  </w:style>
  <w:style w:type="paragraph" w:customStyle="1" w:styleId="Level1">
    <w:name w:val="Level 1"/>
    <w:basedOn w:val="Normal"/>
    <w:rsid w:val="00011CE6"/>
    <w:pPr>
      <w:widowControl w:val="0"/>
      <w:spacing w:after="0"/>
      <w:ind w:firstLine="720"/>
    </w:pPr>
    <w:rPr>
      <w:rFonts w:ascii="Times New Roman" w:eastAsia="Times New Roman" w:hAnsi="Times New Roman" w:cs="Times New Roman"/>
      <w:snapToGrid w:val="0"/>
      <w:color w:val="000000" w:themeColor="text1"/>
      <w:sz w:val="24"/>
    </w:rPr>
  </w:style>
  <w:style w:type="paragraph" w:styleId="BalloonText">
    <w:name w:val="Balloon Text"/>
    <w:basedOn w:val="Normal"/>
    <w:link w:val="BalloonTextChar"/>
    <w:uiPriority w:val="99"/>
    <w:semiHidden/>
    <w:unhideWhenUsed/>
    <w:rsid w:val="003F6E7D"/>
    <w:pPr>
      <w:spacing w:after="0"/>
    </w:pPr>
    <w:rPr>
      <w:rFonts w:cs="Tahoma"/>
      <w:sz w:val="16"/>
      <w:szCs w:val="16"/>
    </w:rPr>
  </w:style>
  <w:style w:type="character" w:customStyle="1" w:styleId="BalloonTextChar">
    <w:name w:val="Balloon Text Char"/>
    <w:basedOn w:val="DefaultParagraphFont"/>
    <w:link w:val="BalloonText"/>
    <w:uiPriority w:val="99"/>
    <w:semiHidden/>
    <w:rsid w:val="003F6E7D"/>
    <w:rPr>
      <w:rFonts w:ascii="Tahoma" w:hAnsi="Tahoma" w:cs="Tahoma"/>
      <w:sz w:val="16"/>
      <w:szCs w:val="16"/>
    </w:rPr>
  </w:style>
  <w:style w:type="character" w:styleId="CommentReference">
    <w:name w:val="annotation reference"/>
    <w:basedOn w:val="DefaultParagraphFont"/>
    <w:uiPriority w:val="99"/>
    <w:semiHidden/>
    <w:unhideWhenUsed/>
    <w:rsid w:val="00173E7C"/>
    <w:rPr>
      <w:sz w:val="16"/>
      <w:szCs w:val="16"/>
    </w:rPr>
  </w:style>
  <w:style w:type="paragraph" w:styleId="CommentText">
    <w:name w:val="annotation text"/>
    <w:basedOn w:val="Normal"/>
    <w:link w:val="CommentTextChar"/>
    <w:uiPriority w:val="99"/>
    <w:semiHidden/>
    <w:unhideWhenUsed/>
    <w:rsid w:val="00173E7C"/>
  </w:style>
  <w:style w:type="character" w:customStyle="1" w:styleId="CommentTextChar">
    <w:name w:val="Comment Text Char"/>
    <w:basedOn w:val="DefaultParagraphFont"/>
    <w:link w:val="CommentText"/>
    <w:uiPriority w:val="99"/>
    <w:semiHidden/>
    <w:rsid w:val="00173E7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173E7C"/>
    <w:rPr>
      <w:b/>
      <w:bCs/>
    </w:rPr>
  </w:style>
  <w:style w:type="character" w:customStyle="1" w:styleId="CommentSubjectChar">
    <w:name w:val="Comment Subject Char"/>
    <w:basedOn w:val="CommentTextChar"/>
    <w:link w:val="CommentSubject"/>
    <w:uiPriority w:val="99"/>
    <w:semiHidden/>
    <w:rsid w:val="00173E7C"/>
    <w:rPr>
      <w:rFonts w:ascii="Tahoma" w:hAnsi="Tahoma"/>
      <w:b/>
      <w:bCs/>
      <w:sz w:val="20"/>
      <w:szCs w:val="20"/>
    </w:rPr>
  </w:style>
  <w:style w:type="table" w:styleId="TableGrid">
    <w:name w:val="Table Grid"/>
    <w:basedOn w:val="TableNormal"/>
    <w:uiPriority w:val="59"/>
    <w:rsid w:val="009E4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
    <w:qFormat/>
    <w:rsid w:val="009E4CD6"/>
    <w:pPr>
      <w:contextualSpacing/>
      <w:jc w:val="center"/>
      <w:outlineLvl w:val="0"/>
    </w:pPr>
    <w:rPr>
      <w:rFonts w:eastAsiaTheme="majorEastAsia" w:cstheme="majorBidi"/>
      <w:b/>
      <w:spacing w:val="5"/>
      <w:kern w:val="28"/>
      <w:sz w:val="32"/>
      <w:szCs w:val="52"/>
    </w:rPr>
  </w:style>
  <w:style w:type="character" w:customStyle="1" w:styleId="TitleChar">
    <w:name w:val="Title Char"/>
    <w:basedOn w:val="DefaultParagraphFont"/>
    <w:link w:val="Title"/>
    <w:uiPriority w:val="9"/>
    <w:rsid w:val="009E4CD6"/>
    <w:rPr>
      <w:rFonts w:ascii="Tahoma" w:eastAsiaTheme="majorEastAsia" w:hAnsi="Tahoma" w:cstheme="majorBidi"/>
      <w:b/>
      <w:spacing w:val="5"/>
      <w:kern w:val="28"/>
      <w:sz w:val="32"/>
      <w:szCs w:val="52"/>
    </w:rPr>
  </w:style>
  <w:style w:type="paragraph" w:styleId="TOAHeading">
    <w:name w:val="toa heading"/>
    <w:basedOn w:val="Normal"/>
    <w:next w:val="Normal"/>
    <w:uiPriority w:val="99"/>
    <w:unhideWhenUsed/>
    <w:rsid w:val="009E4CD6"/>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ecem@psc.state.ga.u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bob.edwards@troutman.com" TargetMode="Externa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ngibson@psc.state.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AA474CF3C7AD468C11D718FFF5E501" ma:contentTypeVersion="13" ma:contentTypeDescription="Create a new document." ma:contentTypeScope="" ma:versionID="93092d77efcdac9a6e922aca125ee594">
  <xsd:schema xmlns:xsd="http://www.w3.org/2001/XMLSchema" xmlns:xs="http://www.w3.org/2001/XMLSchema" xmlns:p="http://schemas.microsoft.com/office/2006/metadata/properties" xmlns:ns3="7a98aa64-6c19-442d-afd1-19594c4d1e12" xmlns:ns4="9d776b58-597c-4338-9042-62c42d560510" targetNamespace="http://schemas.microsoft.com/office/2006/metadata/properties" ma:root="true" ma:fieldsID="ea1293eb0fac6d00a93afe894227539e" ns3:_="" ns4:_="">
    <xsd:import namespace="7a98aa64-6c19-442d-afd1-19594c4d1e12"/>
    <xsd:import namespace="9d776b58-597c-4338-9042-62c42d5605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8aa64-6c19-442d-afd1-19594c4d1e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76b58-597c-4338-9042-62c42d5605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8DD11-2F78-4CDA-88CE-7FBE68E111FD}">
  <ds:schemaRefs>
    <ds:schemaRef ds:uri="http://schemas.microsoft.com/sharepoint/v3/contenttype/forms"/>
  </ds:schemaRefs>
</ds:datastoreItem>
</file>

<file path=customXml/itemProps2.xml><?xml version="1.0" encoding="utf-8"?>
<ds:datastoreItem xmlns:ds="http://schemas.openxmlformats.org/officeDocument/2006/customXml" ds:itemID="{8122906B-2E00-4936-A4EA-D18A2EF7B169}">
  <ds:schemaRefs>
    <ds:schemaRef ds:uri="http://schemas.microsoft.com/office/infopath/2007/PartnerControls"/>
    <ds:schemaRef ds:uri="http://purl.org/dc/terms/"/>
    <ds:schemaRef ds:uri="http://schemas.microsoft.com/office/2006/documentManagement/types"/>
    <ds:schemaRef ds:uri="9d776b58-597c-4338-9042-62c42d560510"/>
    <ds:schemaRef ds:uri="http://www.w3.org/XML/1998/namespace"/>
    <ds:schemaRef ds:uri="http://purl.org/dc/elements/1.1/"/>
    <ds:schemaRef ds:uri="7a98aa64-6c19-442d-afd1-19594c4d1e12"/>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E6D7328-2570-473C-839C-1240396D7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8aa64-6c19-442d-afd1-19594c4d1e12"/>
    <ds:schemaRef ds:uri="9d776b58-597c-4338-9042-62c42d560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5060</Words>
  <Characters>28844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Roesch,Joshua,ST LOUIS,Legal</dc:creator>
  <cp:lastModifiedBy>Bedo, Nick</cp:lastModifiedBy>
  <cp:revision>3</cp:revision>
  <cp:lastPrinted>2020-03-16T18:59:00Z</cp:lastPrinted>
  <dcterms:created xsi:type="dcterms:W3CDTF">2020-03-16T18:59:00Z</dcterms:created>
  <dcterms:modified xsi:type="dcterms:W3CDTF">2020-03-16T19:00:00Z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Joshua.Roesch@purina.nestle.com</vt:lpwstr>
  </property>
  <property fmtid="{D5CDD505-2E9C-101B-9397-08002B2CF9AE}" pid="5" name="MSIP_Label_1ada0a2f-b917-4d51-b0d0-d418a10c8b23_SetDate">
    <vt:lpwstr>2020-03-09T18:10:17.0361722Z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be52240e-ab2c-49d5-a636-fc526d5299d9</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y fmtid="{D5CDD505-2E9C-101B-9397-08002B2CF9AE}" pid="11" name="ContentTypeId">
    <vt:lpwstr>0x01010031AA474CF3C7AD468C11D718FFF5E501</vt:lpwstr>
  </property>
  <property fmtid="{D5CDD505-2E9C-101B-9397-08002B2CF9AE}" pid="12" name="DocID">
    <vt:lpwstr>601695035.7</vt:lpwstr>
  </property>
</Properties>
</file>