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9DED" w14:textId="093B45F4" w:rsidR="003C0206" w:rsidRDefault="003C0206" w:rsidP="003C0206">
      <w:pPr>
        <w:jc w:val="both"/>
        <w:rPr>
          <w:rFonts w:ascii="Times New Roman" w:hAnsi="Times New Roman"/>
        </w:rPr>
      </w:pPr>
    </w:p>
    <w:p w14:paraId="41F756FD" w14:textId="4A38E554" w:rsidR="00A665E0" w:rsidRDefault="00A665E0" w:rsidP="003C0206">
      <w:pPr>
        <w:jc w:val="both"/>
        <w:rPr>
          <w:rFonts w:ascii="Times New Roman" w:hAnsi="Times New Roman"/>
        </w:rPr>
      </w:pPr>
    </w:p>
    <w:p w14:paraId="03C2B0F2" w14:textId="183C850A" w:rsidR="00A665E0" w:rsidRDefault="00A665E0" w:rsidP="003C0206">
      <w:pPr>
        <w:jc w:val="both"/>
        <w:rPr>
          <w:rFonts w:ascii="Times New Roman" w:hAnsi="Times New Roman"/>
        </w:rPr>
      </w:pPr>
    </w:p>
    <w:p w14:paraId="64C87EA3" w14:textId="42F978EB" w:rsidR="00A665E0" w:rsidRDefault="00A665E0" w:rsidP="003C0206">
      <w:pPr>
        <w:jc w:val="both"/>
        <w:rPr>
          <w:rFonts w:ascii="Times New Roman" w:hAnsi="Times New Roman"/>
        </w:rPr>
      </w:pPr>
    </w:p>
    <w:p w14:paraId="77A0AE14" w14:textId="6ACA68FC" w:rsidR="00A665E0" w:rsidRDefault="00A665E0" w:rsidP="003C0206">
      <w:pPr>
        <w:jc w:val="both"/>
        <w:rPr>
          <w:rFonts w:ascii="Times New Roman" w:hAnsi="Times New Roman"/>
        </w:rPr>
      </w:pPr>
    </w:p>
    <w:p w14:paraId="722A83F4" w14:textId="3EAFD098" w:rsidR="00A665E0" w:rsidRDefault="00A665E0" w:rsidP="003C0206">
      <w:pPr>
        <w:jc w:val="both"/>
        <w:rPr>
          <w:rFonts w:ascii="Times New Roman" w:hAnsi="Times New Roman"/>
        </w:rPr>
      </w:pPr>
    </w:p>
    <w:p w14:paraId="79E22584" w14:textId="06C7669D" w:rsidR="00A665E0" w:rsidRDefault="00A665E0" w:rsidP="003C0206">
      <w:pPr>
        <w:jc w:val="both"/>
        <w:rPr>
          <w:rFonts w:ascii="Times New Roman" w:hAnsi="Times New Roman"/>
        </w:rPr>
      </w:pPr>
    </w:p>
    <w:p w14:paraId="2AB850E8" w14:textId="7C462272" w:rsidR="00A665E0" w:rsidRDefault="00A665E0" w:rsidP="003C0206">
      <w:pPr>
        <w:jc w:val="both"/>
        <w:rPr>
          <w:rFonts w:ascii="Times New Roman" w:hAnsi="Times New Roman"/>
        </w:rPr>
      </w:pPr>
    </w:p>
    <w:p w14:paraId="29A47670" w14:textId="29845B2D" w:rsidR="00A665E0" w:rsidRDefault="00A665E0" w:rsidP="003C0206">
      <w:pPr>
        <w:jc w:val="both"/>
        <w:rPr>
          <w:rFonts w:ascii="Times New Roman" w:hAnsi="Times New Roman"/>
        </w:rPr>
      </w:pPr>
    </w:p>
    <w:p w14:paraId="55AA8ADD" w14:textId="2852A9DA" w:rsidR="00A665E0" w:rsidRDefault="00A665E0" w:rsidP="003C0206">
      <w:pPr>
        <w:jc w:val="both"/>
        <w:rPr>
          <w:rFonts w:ascii="Times New Roman" w:hAnsi="Times New Roman"/>
        </w:rPr>
      </w:pPr>
    </w:p>
    <w:p w14:paraId="064AE3AB" w14:textId="77777777" w:rsidR="00A665E0" w:rsidRPr="00B00963" w:rsidRDefault="00A665E0" w:rsidP="003C0206">
      <w:pPr>
        <w:jc w:val="both"/>
        <w:rPr>
          <w:rFonts w:ascii="Times New Roman" w:hAnsi="Times New Roman"/>
        </w:rPr>
      </w:pPr>
    </w:p>
    <w:p w14:paraId="2E5C6EA8" w14:textId="77777777" w:rsidR="003C0206" w:rsidRPr="00B00963" w:rsidRDefault="003C0206" w:rsidP="003C0206">
      <w:pPr>
        <w:tabs>
          <w:tab w:val="left" w:pos="0"/>
        </w:tabs>
        <w:spacing w:line="480" w:lineRule="auto"/>
        <w:jc w:val="center"/>
        <w:rPr>
          <w:rFonts w:ascii="Times New Roman" w:hAnsi="Times New Roman"/>
          <w:b/>
          <w:szCs w:val="24"/>
        </w:rPr>
      </w:pPr>
      <w:r w:rsidRPr="00B00963">
        <w:rPr>
          <w:rFonts w:ascii="Times New Roman" w:hAnsi="Times New Roman"/>
          <w:b/>
          <w:szCs w:val="24"/>
        </w:rPr>
        <w:t>Docket No. 42516</w:t>
      </w:r>
    </w:p>
    <w:p w14:paraId="2B0DE98A" w14:textId="77777777" w:rsidR="003C0206" w:rsidRPr="00B00963" w:rsidRDefault="003C0206" w:rsidP="003C0206">
      <w:pPr>
        <w:tabs>
          <w:tab w:val="left" w:pos="0"/>
        </w:tabs>
        <w:jc w:val="center"/>
        <w:rPr>
          <w:rFonts w:ascii="Times New Roman" w:hAnsi="Times New Roman"/>
          <w:b/>
          <w:szCs w:val="24"/>
        </w:rPr>
      </w:pPr>
    </w:p>
    <w:p w14:paraId="4FC52A0D" w14:textId="77777777" w:rsidR="003C0206" w:rsidRPr="00B00963" w:rsidRDefault="003C0206" w:rsidP="003C0206">
      <w:pPr>
        <w:tabs>
          <w:tab w:val="left" w:pos="0"/>
        </w:tabs>
        <w:jc w:val="both"/>
        <w:rPr>
          <w:rFonts w:ascii="Times New Roman" w:hAnsi="Times New Roman"/>
          <w:b/>
          <w:szCs w:val="24"/>
        </w:rPr>
      </w:pPr>
      <w:r w:rsidRPr="00B00963">
        <w:rPr>
          <w:rFonts w:ascii="Times New Roman" w:hAnsi="Times New Roman"/>
          <w:b/>
          <w:szCs w:val="24"/>
        </w:rPr>
        <w:t>In Re:</w:t>
      </w:r>
      <w:r w:rsidRPr="00B00963">
        <w:rPr>
          <w:rFonts w:ascii="Times New Roman" w:hAnsi="Times New Roman"/>
          <w:b/>
          <w:szCs w:val="24"/>
        </w:rPr>
        <w:tab/>
      </w:r>
      <w:r w:rsidRPr="00B00963">
        <w:rPr>
          <w:rFonts w:ascii="Times New Roman" w:hAnsi="Times New Roman"/>
          <w:b/>
          <w:szCs w:val="24"/>
        </w:rPr>
        <w:tab/>
        <w:t>Georgia Power Company’s 2019 Rate Case</w:t>
      </w:r>
    </w:p>
    <w:p w14:paraId="59EB032C" w14:textId="77777777" w:rsidR="003C0206" w:rsidRPr="00B00963" w:rsidRDefault="003C0206" w:rsidP="003C0206">
      <w:pPr>
        <w:jc w:val="both"/>
        <w:rPr>
          <w:rFonts w:ascii="Times New Roman" w:hAnsi="Times New Roman"/>
        </w:rPr>
      </w:pPr>
    </w:p>
    <w:p w14:paraId="27E58FA5" w14:textId="77777777" w:rsidR="003C0206" w:rsidRPr="00B00963" w:rsidRDefault="003C0206" w:rsidP="003C0206">
      <w:pPr>
        <w:jc w:val="center"/>
        <w:rPr>
          <w:rFonts w:ascii="Times New Roman" w:hAnsi="Times New Roman"/>
          <w:b/>
          <w:u w:val="single"/>
        </w:rPr>
      </w:pPr>
      <w:r w:rsidRPr="00B00963">
        <w:rPr>
          <w:rFonts w:ascii="Times New Roman" w:hAnsi="Times New Roman"/>
          <w:b/>
          <w:u w:val="single"/>
        </w:rPr>
        <w:t xml:space="preserve">ORDER ADOPTING </w:t>
      </w:r>
    </w:p>
    <w:p w14:paraId="2CC46C8F" w14:textId="38B53C72" w:rsidR="003C0206" w:rsidRPr="00B00963" w:rsidRDefault="004C2E36" w:rsidP="003C0206">
      <w:pPr>
        <w:jc w:val="center"/>
        <w:rPr>
          <w:rFonts w:ascii="Times New Roman" w:hAnsi="Times New Roman"/>
          <w:b/>
          <w:u w:val="single"/>
        </w:rPr>
      </w:pPr>
      <w:r>
        <w:rPr>
          <w:rFonts w:ascii="Times New Roman" w:hAnsi="Times New Roman"/>
          <w:b/>
          <w:u w:val="single"/>
        </w:rPr>
        <w:t>SETTLEMENT AGREEMENT AS MODIFIED</w:t>
      </w:r>
    </w:p>
    <w:p w14:paraId="06856599" w14:textId="77777777" w:rsidR="003C0206" w:rsidRPr="00B00963" w:rsidRDefault="003C0206" w:rsidP="003C0206">
      <w:pPr>
        <w:jc w:val="center"/>
        <w:rPr>
          <w:rFonts w:ascii="Times New Roman" w:hAnsi="Times New Roman"/>
          <w:b/>
          <w:u w:val="single"/>
        </w:rPr>
      </w:pPr>
    </w:p>
    <w:p w14:paraId="4697422C" w14:textId="77777777" w:rsidR="003C0206" w:rsidRPr="00B00963" w:rsidRDefault="003C0206" w:rsidP="003C0206">
      <w:pPr>
        <w:jc w:val="center"/>
        <w:rPr>
          <w:rFonts w:ascii="Times New Roman" w:hAnsi="Times New Roman"/>
          <w:b/>
          <w:u w:val="single"/>
        </w:rPr>
      </w:pPr>
    </w:p>
    <w:p w14:paraId="33D2768A" w14:textId="77777777" w:rsidR="003C0206" w:rsidRPr="00B00963" w:rsidRDefault="003C0206" w:rsidP="003C0206">
      <w:pPr>
        <w:jc w:val="both"/>
        <w:rPr>
          <w:rFonts w:ascii="Times New Roman" w:hAnsi="Times New Roman"/>
        </w:rPr>
      </w:pPr>
      <w:r w:rsidRPr="00B00963">
        <w:rPr>
          <w:rFonts w:ascii="Times New Roman" w:hAnsi="Times New Roman"/>
        </w:rPr>
        <w:t>Record Submitted:</w:t>
      </w:r>
      <w:r w:rsidRPr="00B00963">
        <w:rPr>
          <w:rFonts w:ascii="Times New Roman" w:hAnsi="Times New Roman"/>
        </w:rPr>
        <w:tab/>
      </w:r>
      <w:r w:rsidR="003F6755">
        <w:rPr>
          <w:rFonts w:ascii="Times New Roman" w:hAnsi="Times New Roman"/>
        </w:rPr>
        <w:t xml:space="preserve">November 27, </w:t>
      </w:r>
      <w:r w:rsidR="003F1CA6" w:rsidRPr="003F6755">
        <w:rPr>
          <w:rFonts w:ascii="Times New Roman" w:hAnsi="Times New Roman"/>
        </w:rPr>
        <w:t>2019</w:t>
      </w:r>
      <w:r w:rsidRPr="00B00963">
        <w:rPr>
          <w:rFonts w:ascii="Times New Roman" w:hAnsi="Times New Roman"/>
        </w:rPr>
        <w:t xml:space="preserve">                    Decided:</w:t>
      </w:r>
      <w:r w:rsidR="003F6755">
        <w:rPr>
          <w:rFonts w:ascii="Times New Roman" w:hAnsi="Times New Roman"/>
        </w:rPr>
        <w:tab/>
      </w:r>
      <w:r w:rsidRPr="00B00963">
        <w:rPr>
          <w:rFonts w:ascii="Times New Roman" w:hAnsi="Times New Roman"/>
        </w:rPr>
        <w:t xml:space="preserve"> </w:t>
      </w:r>
      <w:r w:rsidR="00857CEB">
        <w:rPr>
          <w:rFonts w:ascii="Times New Roman" w:hAnsi="Times New Roman"/>
        </w:rPr>
        <w:t>December 17, 2019</w:t>
      </w:r>
    </w:p>
    <w:p w14:paraId="2C1A5CD5" w14:textId="77777777" w:rsidR="003C0206" w:rsidRPr="00B00963" w:rsidRDefault="003C0206" w:rsidP="003C0206">
      <w:pPr>
        <w:jc w:val="both"/>
        <w:rPr>
          <w:rFonts w:ascii="Times New Roman" w:hAnsi="Times New Roman"/>
        </w:rPr>
      </w:pPr>
    </w:p>
    <w:p w14:paraId="0A6822E9" w14:textId="77777777" w:rsidR="003C0206" w:rsidRPr="00B00963" w:rsidRDefault="003C0206" w:rsidP="003C0206">
      <w:pPr>
        <w:jc w:val="both"/>
        <w:rPr>
          <w:rFonts w:ascii="Times New Roman" w:hAnsi="Times New Roman"/>
        </w:rPr>
      </w:pPr>
    </w:p>
    <w:p w14:paraId="580FFBB7" w14:textId="77777777" w:rsidR="003C0206" w:rsidRPr="00B00963" w:rsidRDefault="003C0206" w:rsidP="003C0206">
      <w:pPr>
        <w:pStyle w:val="Heading9"/>
        <w:rPr>
          <w:rFonts w:ascii="Times New Roman" w:hAnsi="Times New Roman"/>
          <w:b/>
          <w:bCs/>
          <w:u w:val="single"/>
        </w:rPr>
      </w:pPr>
      <w:r w:rsidRPr="00B00963">
        <w:rPr>
          <w:rFonts w:ascii="Times New Roman" w:hAnsi="Times New Roman"/>
          <w:b/>
          <w:bCs/>
          <w:u w:val="single"/>
        </w:rPr>
        <w:t>APPEARANCES</w:t>
      </w:r>
    </w:p>
    <w:p w14:paraId="783888B9" w14:textId="77777777" w:rsidR="003C0206" w:rsidRDefault="003C0206" w:rsidP="003C0206">
      <w:pPr>
        <w:jc w:val="both"/>
        <w:rPr>
          <w:rFonts w:ascii="Times New Roman" w:hAnsi="Times New Roman"/>
        </w:rPr>
      </w:pPr>
    </w:p>
    <w:p w14:paraId="2BE21AF8" w14:textId="77777777" w:rsidR="00857CEB" w:rsidRPr="00B00963" w:rsidRDefault="00857CEB" w:rsidP="003C0206">
      <w:pPr>
        <w:jc w:val="both"/>
        <w:rPr>
          <w:rFonts w:ascii="Times New Roman" w:hAnsi="Times New Roman"/>
        </w:rPr>
      </w:pPr>
    </w:p>
    <w:p w14:paraId="1C315604"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Public Service Commission Public Interest Advocacy Staff</w:t>
      </w:r>
      <w:r w:rsidRPr="00B00963">
        <w:rPr>
          <w:rFonts w:ascii="Times New Roman" w:hAnsi="Times New Roman"/>
          <w:szCs w:val="24"/>
        </w:rPr>
        <w:t>:</w:t>
      </w:r>
    </w:p>
    <w:p w14:paraId="2BBD9A97" w14:textId="77777777" w:rsidR="003C0206" w:rsidRPr="00B00963" w:rsidRDefault="003C0206" w:rsidP="003C0206">
      <w:pPr>
        <w:tabs>
          <w:tab w:val="left" w:pos="-720"/>
        </w:tabs>
        <w:suppressAutoHyphens/>
        <w:spacing w:line="240" w:lineRule="atLeast"/>
        <w:rPr>
          <w:rFonts w:ascii="Times New Roman" w:hAnsi="Times New Roman"/>
          <w:szCs w:val="24"/>
        </w:rPr>
      </w:pPr>
    </w:p>
    <w:p w14:paraId="23E0631B"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JEFFREY STAIR, Esq., DANIEL WALSH, Esq., and PRESTON THOMAS, Esq.</w:t>
      </w:r>
      <w:r w:rsidRPr="00B00963">
        <w:rPr>
          <w:rFonts w:ascii="Times New Roman" w:hAnsi="Times New Roman"/>
          <w:szCs w:val="24"/>
        </w:rPr>
        <w:tab/>
      </w:r>
      <w:r w:rsidRPr="00B00963">
        <w:rPr>
          <w:rFonts w:ascii="Times New Roman" w:hAnsi="Times New Roman"/>
          <w:szCs w:val="24"/>
        </w:rPr>
        <w:tab/>
      </w:r>
      <w:r w:rsidRPr="00B00963">
        <w:rPr>
          <w:rFonts w:ascii="Times New Roman" w:hAnsi="Times New Roman"/>
          <w:szCs w:val="24"/>
        </w:rPr>
        <w:tab/>
      </w:r>
    </w:p>
    <w:p w14:paraId="7246CAE3"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Power Company</w:t>
      </w:r>
      <w:r w:rsidRPr="00B00963">
        <w:rPr>
          <w:rFonts w:ascii="Times New Roman" w:hAnsi="Times New Roman"/>
          <w:szCs w:val="24"/>
        </w:rPr>
        <w:t>:</w:t>
      </w:r>
    </w:p>
    <w:p w14:paraId="20E25CA1" w14:textId="77777777" w:rsidR="003C0206" w:rsidRPr="00B00963" w:rsidRDefault="003C0206" w:rsidP="003C0206">
      <w:pPr>
        <w:tabs>
          <w:tab w:val="left" w:pos="-720"/>
        </w:tabs>
        <w:suppressAutoHyphens/>
        <w:spacing w:line="240" w:lineRule="atLeast"/>
        <w:rPr>
          <w:rFonts w:ascii="Times New Roman" w:hAnsi="Times New Roman"/>
          <w:szCs w:val="24"/>
        </w:rPr>
      </w:pPr>
    </w:p>
    <w:p w14:paraId="27085133" w14:textId="77777777" w:rsidR="003C0206" w:rsidRPr="00B00963" w:rsidRDefault="003C0206" w:rsidP="003C0206">
      <w:pPr>
        <w:tabs>
          <w:tab w:val="left" w:pos="-720"/>
        </w:tabs>
        <w:suppressAutoHyphens/>
        <w:spacing w:line="240" w:lineRule="atLeast"/>
        <w:ind w:left="720"/>
        <w:rPr>
          <w:rFonts w:ascii="Times New Roman" w:hAnsi="Times New Roman"/>
        </w:rPr>
      </w:pPr>
      <w:r w:rsidRPr="00B00963">
        <w:rPr>
          <w:rFonts w:ascii="Times New Roman" w:hAnsi="Times New Roman"/>
          <w:szCs w:val="24"/>
        </w:rPr>
        <w:t>KEVIN C. GREENE, Esq., BRANDON MARZO, Esq</w:t>
      </w:r>
      <w:r w:rsidRPr="00B00963">
        <w:rPr>
          <w:rFonts w:ascii="Times New Roman" w:hAnsi="Times New Roman"/>
        </w:rPr>
        <w:t>., and STEVE HEWITSON, Esq.</w:t>
      </w:r>
    </w:p>
    <w:p w14:paraId="051FDAA9" w14:textId="77777777" w:rsidR="003C0206" w:rsidRPr="00B00963" w:rsidRDefault="003C0206" w:rsidP="003C0206">
      <w:pPr>
        <w:tabs>
          <w:tab w:val="left" w:pos="-720"/>
        </w:tabs>
        <w:suppressAutoHyphens/>
        <w:spacing w:line="240" w:lineRule="atLeast"/>
        <w:rPr>
          <w:rFonts w:ascii="Times New Roman" w:hAnsi="Times New Roman"/>
          <w:szCs w:val="24"/>
        </w:rPr>
      </w:pPr>
    </w:p>
    <w:p w14:paraId="321443A9" w14:textId="77777777" w:rsidR="003C0206" w:rsidRPr="00B00963" w:rsidRDefault="003C0206" w:rsidP="003C0206">
      <w:pPr>
        <w:tabs>
          <w:tab w:val="left" w:pos="-720"/>
        </w:tabs>
        <w:suppressAutoHyphens/>
        <w:spacing w:line="240" w:lineRule="atLeast"/>
        <w:rPr>
          <w:rFonts w:ascii="Times New Roman" w:hAnsi="Times New Roman"/>
          <w:szCs w:val="24"/>
          <w:u w:val="single"/>
        </w:rPr>
      </w:pPr>
      <w:r w:rsidRPr="00B00963">
        <w:rPr>
          <w:rFonts w:ascii="Times New Roman" w:hAnsi="Times New Roman"/>
          <w:szCs w:val="24"/>
          <w:u w:val="single"/>
        </w:rPr>
        <w:t>On behalf of the City of Atlanta</w:t>
      </w:r>
      <w:r w:rsidRPr="00B00963">
        <w:rPr>
          <w:rFonts w:ascii="Times New Roman" w:hAnsi="Times New Roman"/>
          <w:szCs w:val="24"/>
        </w:rPr>
        <w:t>:</w:t>
      </w:r>
    </w:p>
    <w:p w14:paraId="4E74820F" w14:textId="77777777" w:rsidR="003C0206" w:rsidRPr="00B00963" w:rsidRDefault="003C0206" w:rsidP="003C0206">
      <w:pPr>
        <w:tabs>
          <w:tab w:val="left" w:pos="-720"/>
        </w:tabs>
        <w:suppressAutoHyphens/>
        <w:spacing w:line="240" w:lineRule="atLeast"/>
        <w:rPr>
          <w:rFonts w:ascii="Times New Roman" w:hAnsi="Times New Roman"/>
          <w:szCs w:val="24"/>
        </w:rPr>
      </w:pPr>
    </w:p>
    <w:p w14:paraId="66AE6738"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NINA R. HICKSON, Esq., and NEWTON GALLOWAY, Esq.</w:t>
      </w:r>
    </w:p>
    <w:p w14:paraId="4BBAAD27" w14:textId="77777777" w:rsidR="003C0206" w:rsidRPr="00B00963" w:rsidRDefault="003C0206" w:rsidP="003C0206">
      <w:pPr>
        <w:tabs>
          <w:tab w:val="left" w:pos="-720"/>
        </w:tabs>
        <w:suppressAutoHyphens/>
        <w:spacing w:line="240" w:lineRule="atLeast"/>
        <w:rPr>
          <w:rFonts w:ascii="Times New Roman" w:hAnsi="Times New Roman"/>
          <w:szCs w:val="24"/>
          <w:u w:val="single"/>
        </w:rPr>
      </w:pPr>
    </w:p>
    <w:p w14:paraId="53919AE4"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The Commercial Group</w:t>
      </w:r>
      <w:r w:rsidRPr="00B00963">
        <w:rPr>
          <w:rFonts w:ascii="Times New Roman" w:hAnsi="Times New Roman"/>
          <w:szCs w:val="24"/>
        </w:rPr>
        <w:t>:</w:t>
      </w:r>
    </w:p>
    <w:p w14:paraId="13F001FC" w14:textId="77777777" w:rsidR="003C0206" w:rsidRPr="00B00963" w:rsidRDefault="003C0206" w:rsidP="003C0206">
      <w:pPr>
        <w:tabs>
          <w:tab w:val="left" w:pos="-720"/>
        </w:tabs>
        <w:suppressAutoHyphens/>
        <w:spacing w:line="240" w:lineRule="atLeast"/>
        <w:rPr>
          <w:rFonts w:ascii="Times New Roman" w:hAnsi="Times New Roman"/>
          <w:szCs w:val="24"/>
        </w:rPr>
      </w:pPr>
    </w:p>
    <w:p w14:paraId="7988DC43"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ALAN R. JENKINS, Esq.</w:t>
      </w:r>
    </w:p>
    <w:p w14:paraId="1276EDA1" w14:textId="77777777" w:rsidR="003C0206" w:rsidRPr="00B00963" w:rsidRDefault="003C0206" w:rsidP="003C0206">
      <w:pPr>
        <w:tabs>
          <w:tab w:val="left" w:pos="-720"/>
        </w:tabs>
        <w:suppressAutoHyphens/>
        <w:spacing w:line="240" w:lineRule="atLeast"/>
        <w:rPr>
          <w:rFonts w:ascii="Times New Roman" w:hAnsi="Times New Roman"/>
          <w:szCs w:val="24"/>
        </w:rPr>
      </w:pPr>
    </w:p>
    <w:p w14:paraId="7786F38E"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Association of Manufacturers</w:t>
      </w:r>
      <w:r w:rsidRPr="00B00963">
        <w:rPr>
          <w:rFonts w:ascii="Times New Roman" w:hAnsi="Times New Roman"/>
          <w:szCs w:val="24"/>
        </w:rPr>
        <w:t>:</w:t>
      </w:r>
    </w:p>
    <w:p w14:paraId="0F3A8606" w14:textId="77777777" w:rsidR="003C0206" w:rsidRPr="00B00963" w:rsidRDefault="003C0206" w:rsidP="003C0206">
      <w:pPr>
        <w:tabs>
          <w:tab w:val="left" w:pos="-720"/>
        </w:tabs>
        <w:suppressAutoHyphens/>
        <w:spacing w:line="240" w:lineRule="atLeast"/>
        <w:rPr>
          <w:rFonts w:ascii="Times New Roman" w:hAnsi="Times New Roman"/>
          <w:szCs w:val="24"/>
        </w:rPr>
      </w:pPr>
    </w:p>
    <w:p w14:paraId="53345C56"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CHARLES B. JONES, III, Esq.</w:t>
      </w:r>
    </w:p>
    <w:p w14:paraId="1AC72603" w14:textId="77777777" w:rsidR="003C0206" w:rsidRPr="00B00963" w:rsidRDefault="003C0206" w:rsidP="003C0206">
      <w:pPr>
        <w:tabs>
          <w:tab w:val="left" w:pos="-720"/>
        </w:tabs>
        <w:suppressAutoHyphens/>
        <w:spacing w:line="240" w:lineRule="atLeast"/>
        <w:rPr>
          <w:rFonts w:ascii="Times New Roman" w:hAnsi="Times New Roman"/>
          <w:szCs w:val="24"/>
        </w:rPr>
      </w:pPr>
    </w:p>
    <w:p w14:paraId="650A019A"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Industrial Group</w:t>
      </w:r>
      <w:r w:rsidRPr="00B00963">
        <w:rPr>
          <w:rFonts w:ascii="Times New Roman" w:hAnsi="Times New Roman"/>
          <w:szCs w:val="24"/>
        </w:rPr>
        <w:t>:</w:t>
      </w:r>
    </w:p>
    <w:p w14:paraId="4BEC59D8" w14:textId="77777777" w:rsidR="003C0206" w:rsidRPr="00B00963" w:rsidRDefault="003C0206" w:rsidP="003C0206">
      <w:pPr>
        <w:tabs>
          <w:tab w:val="left" w:pos="-720"/>
        </w:tabs>
        <w:suppressAutoHyphens/>
        <w:spacing w:line="240" w:lineRule="atLeast"/>
        <w:rPr>
          <w:rFonts w:ascii="Times New Roman" w:hAnsi="Times New Roman"/>
          <w:szCs w:val="24"/>
        </w:rPr>
      </w:pPr>
    </w:p>
    <w:p w14:paraId="453F98B2"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RANDALL D. QUINTRELL, Esq.</w:t>
      </w:r>
    </w:p>
    <w:p w14:paraId="33D1CDB7" w14:textId="77777777" w:rsidR="003C0206" w:rsidRPr="00B00963" w:rsidRDefault="003C0206" w:rsidP="003C0206">
      <w:pPr>
        <w:tabs>
          <w:tab w:val="left" w:pos="-720"/>
        </w:tabs>
        <w:suppressAutoHyphens/>
        <w:spacing w:line="240" w:lineRule="atLeast"/>
        <w:rPr>
          <w:rFonts w:ascii="Times New Roman" w:hAnsi="Times New Roman"/>
          <w:szCs w:val="24"/>
        </w:rPr>
      </w:pPr>
    </w:p>
    <w:p w14:paraId="12CDB249" w14:textId="5CE0A31C" w:rsidR="003C0206" w:rsidRPr="00B00963" w:rsidRDefault="003C0206" w:rsidP="003C0206">
      <w:pPr>
        <w:tabs>
          <w:tab w:val="left" w:pos="-720"/>
        </w:tabs>
        <w:suppressAutoHyphens/>
        <w:spacing w:line="240" w:lineRule="atLeast"/>
        <w:rPr>
          <w:rFonts w:ascii="Times New Roman" w:hAnsi="Times New Roman"/>
          <w:szCs w:val="24"/>
          <w:u w:val="single"/>
        </w:rPr>
      </w:pPr>
      <w:r w:rsidRPr="00B00963">
        <w:rPr>
          <w:rFonts w:ascii="Times New Roman" w:hAnsi="Times New Roman"/>
          <w:szCs w:val="24"/>
          <w:u w:val="single"/>
        </w:rPr>
        <w:t>On behalf of Georgia Interfaith Power &amp; Light</w:t>
      </w:r>
      <w:r w:rsidR="00C678DA" w:rsidRPr="00C678DA">
        <w:rPr>
          <w:rFonts w:ascii="Times New Roman" w:hAnsi="Times New Roman"/>
          <w:szCs w:val="24"/>
          <w:u w:val="single"/>
        </w:rPr>
        <w:t>, Southface Energy Institute, and Vote Solar</w:t>
      </w:r>
      <w:r w:rsidRPr="00B00963">
        <w:rPr>
          <w:rFonts w:ascii="Times New Roman" w:hAnsi="Times New Roman"/>
          <w:szCs w:val="24"/>
        </w:rPr>
        <w:t>:</w:t>
      </w:r>
    </w:p>
    <w:p w14:paraId="783D54F6" w14:textId="77777777" w:rsidR="003C0206" w:rsidRPr="00B00963" w:rsidRDefault="003C0206" w:rsidP="003C0206">
      <w:pPr>
        <w:tabs>
          <w:tab w:val="left" w:pos="-720"/>
        </w:tabs>
        <w:suppressAutoHyphens/>
        <w:spacing w:line="240" w:lineRule="atLeast"/>
        <w:rPr>
          <w:rFonts w:ascii="Times New Roman" w:hAnsi="Times New Roman"/>
          <w:szCs w:val="24"/>
        </w:rPr>
      </w:pPr>
    </w:p>
    <w:p w14:paraId="63F15548"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KURT EBERSBACH, Esq., and JILLIAN KYSOR, Esq.</w:t>
      </w:r>
    </w:p>
    <w:p w14:paraId="3C6184FF" w14:textId="77777777" w:rsidR="003C0206" w:rsidRPr="00B00963" w:rsidRDefault="003C0206" w:rsidP="003C0206">
      <w:pPr>
        <w:tabs>
          <w:tab w:val="left" w:pos="-720"/>
        </w:tabs>
        <w:suppressAutoHyphens/>
        <w:spacing w:line="240" w:lineRule="atLeast"/>
        <w:rPr>
          <w:rFonts w:ascii="Times New Roman" w:hAnsi="Times New Roman"/>
          <w:u w:val="single"/>
        </w:rPr>
      </w:pPr>
    </w:p>
    <w:p w14:paraId="0437FC50" w14:textId="77777777" w:rsidR="003C0206" w:rsidRPr="00B00963" w:rsidRDefault="003C0206" w:rsidP="003C0206">
      <w:pPr>
        <w:tabs>
          <w:tab w:val="left" w:pos="-720"/>
        </w:tabs>
        <w:suppressAutoHyphens/>
        <w:spacing w:line="240" w:lineRule="atLeast"/>
        <w:rPr>
          <w:rFonts w:ascii="Times New Roman" w:hAnsi="Times New Roman"/>
          <w:u w:val="single"/>
        </w:rPr>
      </w:pPr>
      <w:r w:rsidRPr="00B00963">
        <w:rPr>
          <w:rFonts w:ascii="Times New Roman" w:hAnsi="Times New Roman"/>
          <w:u w:val="single"/>
        </w:rPr>
        <w:t>On behalf of Georgia Solar Energy Industries Association, Inc.:</w:t>
      </w:r>
    </w:p>
    <w:p w14:paraId="72D73C16" w14:textId="77777777" w:rsidR="003C0206" w:rsidRPr="00B00963" w:rsidRDefault="003C0206" w:rsidP="003C0206">
      <w:pPr>
        <w:tabs>
          <w:tab w:val="left" w:pos="-720"/>
        </w:tabs>
        <w:suppressAutoHyphens/>
        <w:spacing w:line="240" w:lineRule="atLeast"/>
        <w:rPr>
          <w:rFonts w:ascii="Times New Roman" w:hAnsi="Times New Roman"/>
        </w:rPr>
      </w:pPr>
    </w:p>
    <w:p w14:paraId="46290C95" w14:textId="77777777" w:rsidR="003C0206" w:rsidRPr="00B00963" w:rsidRDefault="003C0206" w:rsidP="003C0206">
      <w:pPr>
        <w:tabs>
          <w:tab w:val="left" w:pos="-720"/>
        </w:tabs>
        <w:suppressAutoHyphens/>
        <w:spacing w:line="240" w:lineRule="atLeast"/>
        <w:ind w:left="720" w:hanging="720"/>
        <w:rPr>
          <w:rFonts w:ascii="Times New Roman" w:hAnsi="Times New Roman"/>
          <w:szCs w:val="24"/>
        </w:rPr>
      </w:pPr>
      <w:r w:rsidRPr="00B00963">
        <w:rPr>
          <w:rFonts w:ascii="Times New Roman" w:hAnsi="Times New Roman"/>
        </w:rPr>
        <w:tab/>
        <w:t>NEWTON M. GALLOWAY, Esq., and TERRI M. LYNDALL, Esq.</w:t>
      </w:r>
    </w:p>
    <w:p w14:paraId="2FD47BE2" w14:textId="77777777" w:rsidR="003C0206" w:rsidRPr="00B00963" w:rsidRDefault="003C0206" w:rsidP="003C0206">
      <w:pPr>
        <w:tabs>
          <w:tab w:val="left" w:pos="-720"/>
        </w:tabs>
        <w:suppressAutoHyphens/>
        <w:spacing w:line="240" w:lineRule="atLeast"/>
        <w:rPr>
          <w:rFonts w:ascii="Times New Roman" w:hAnsi="Times New Roman"/>
          <w:szCs w:val="24"/>
        </w:rPr>
      </w:pPr>
    </w:p>
    <w:p w14:paraId="05A15915"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Restaurant Association</w:t>
      </w:r>
      <w:r w:rsidRPr="00B00963">
        <w:rPr>
          <w:rFonts w:ascii="Times New Roman" w:hAnsi="Times New Roman"/>
          <w:szCs w:val="24"/>
        </w:rPr>
        <w:t>:</w:t>
      </w:r>
    </w:p>
    <w:p w14:paraId="19E33527" w14:textId="77777777" w:rsidR="003C0206" w:rsidRPr="00B00963" w:rsidRDefault="003C0206" w:rsidP="003C0206">
      <w:pPr>
        <w:tabs>
          <w:tab w:val="left" w:pos="-720"/>
        </w:tabs>
        <w:suppressAutoHyphens/>
        <w:spacing w:line="240" w:lineRule="atLeast"/>
        <w:rPr>
          <w:rFonts w:ascii="Times New Roman" w:hAnsi="Times New Roman"/>
          <w:szCs w:val="24"/>
        </w:rPr>
      </w:pPr>
    </w:p>
    <w:p w14:paraId="3C7AC753" w14:textId="77777777" w:rsidR="003C0206" w:rsidRPr="00B00963" w:rsidRDefault="003C0206" w:rsidP="003C0206">
      <w:pPr>
        <w:tabs>
          <w:tab w:val="left" w:pos="-720"/>
        </w:tabs>
        <w:suppressAutoHyphens/>
        <w:spacing w:line="240" w:lineRule="atLeast"/>
        <w:rPr>
          <w:rFonts w:ascii="Times New Roman" w:hAnsi="Times New Roman"/>
        </w:rPr>
      </w:pPr>
      <w:r w:rsidRPr="00B00963">
        <w:rPr>
          <w:rFonts w:ascii="Times New Roman" w:hAnsi="Times New Roman"/>
        </w:rPr>
        <w:tab/>
        <w:t>PERRY J. McGUIRE, Esq., and VICKIE C. RUSEK, Esq.</w:t>
      </w:r>
    </w:p>
    <w:p w14:paraId="4D3D90CB" w14:textId="77777777" w:rsidR="003C0206" w:rsidRPr="00B00963" w:rsidRDefault="003C0206" w:rsidP="003C0206">
      <w:pPr>
        <w:tabs>
          <w:tab w:val="left" w:pos="-720"/>
        </w:tabs>
        <w:suppressAutoHyphens/>
        <w:spacing w:line="240" w:lineRule="atLeast"/>
        <w:rPr>
          <w:rFonts w:ascii="Times New Roman" w:hAnsi="Times New Roman"/>
          <w:szCs w:val="24"/>
          <w:u w:val="single"/>
        </w:rPr>
      </w:pPr>
    </w:p>
    <w:p w14:paraId="4DE8AD30"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Georgia Watch</w:t>
      </w:r>
      <w:r w:rsidRPr="00B00963">
        <w:rPr>
          <w:rFonts w:ascii="Times New Roman" w:hAnsi="Times New Roman"/>
          <w:szCs w:val="24"/>
        </w:rPr>
        <w:t>:</w:t>
      </w:r>
    </w:p>
    <w:p w14:paraId="7248E46C" w14:textId="77777777" w:rsidR="003C0206" w:rsidRPr="00B00963" w:rsidRDefault="003C0206" w:rsidP="003C0206">
      <w:pPr>
        <w:tabs>
          <w:tab w:val="left" w:pos="-720"/>
        </w:tabs>
        <w:suppressAutoHyphens/>
        <w:spacing w:line="240" w:lineRule="atLeast"/>
        <w:rPr>
          <w:rFonts w:ascii="Times New Roman" w:hAnsi="Times New Roman"/>
          <w:szCs w:val="24"/>
        </w:rPr>
      </w:pPr>
    </w:p>
    <w:p w14:paraId="71700934"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rPr>
        <w:tab/>
        <w:t>LIZ COYLE</w:t>
      </w:r>
    </w:p>
    <w:p w14:paraId="721E0766" w14:textId="77777777" w:rsidR="003C0206" w:rsidRPr="00B00963" w:rsidRDefault="003C0206" w:rsidP="003C0206">
      <w:pPr>
        <w:tabs>
          <w:tab w:val="left" w:pos="-720"/>
        </w:tabs>
        <w:suppressAutoHyphens/>
        <w:spacing w:line="240" w:lineRule="atLeast"/>
        <w:rPr>
          <w:rFonts w:ascii="Times New Roman" w:hAnsi="Times New Roman"/>
          <w:szCs w:val="24"/>
        </w:rPr>
      </w:pPr>
    </w:p>
    <w:p w14:paraId="050EC979"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The Kroger Company</w:t>
      </w:r>
      <w:r w:rsidRPr="00B00963">
        <w:rPr>
          <w:rFonts w:ascii="Times New Roman" w:hAnsi="Times New Roman"/>
          <w:szCs w:val="24"/>
        </w:rPr>
        <w:t>:</w:t>
      </w:r>
    </w:p>
    <w:p w14:paraId="2353CC59" w14:textId="77777777" w:rsidR="003C0206" w:rsidRPr="00B00963" w:rsidRDefault="003C0206" w:rsidP="003C0206">
      <w:pPr>
        <w:tabs>
          <w:tab w:val="left" w:pos="-720"/>
        </w:tabs>
        <w:suppressAutoHyphens/>
        <w:spacing w:line="240" w:lineRule="atLeast"/>
        <w:rPr>
          <w:rFonts w:ascii="Times New Roman" w:hAnsi="Times New Roman"/>
          <w:szCs w:val="24"/>
        </w:rPr>
      </w:pPr>
    </w:p>
    <w:p w14:paraId="60D33E4F"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 xml:space="preserve">KURT J. BOEHM, Esq., and JODY KYLER COHN, Esq. </w:t>
      </w:r>
    </w:p>
    <w:p w14:paraId="230A3D95" w14:textId="77777777" w:rsidR="003C0206" w:rsidRPr="00B00963" w:rsidRDefault="003C0206" w:rsidP="003C0206">
      <w:pPr>
        <w:tabs>
          <w:tab w:val="left" w:pos="-720"/>
        </w:tabs>
        <w:suppressAutoHyphens/>
        <w:spacing w:line="240" w:lineRule="atLeast"/>
        <w:rPr>
          <w:rFonts w:ascii="Times New Roman" w:hAnsi="Times New Roman"/>
          <w:szCs w:val="24"/>
        </w:rPr>
      </w:pPr>
    </w:p>
    <w:p w14:paraId="5AE951A6" w14:textId="77777777" w:rsidR="003C0206" w:rsidRPr="00B00963" w:rsidRDefault="003C0206" w:rsidP="003C0206">
      <w:pPr>
        <w:tabs>
          <w:tab w:val="left" w:pos="-720"/>
        </w:tabs>
        <w:suppressAutoHyphens/>
        <w:spacing w:line="240" w:lineRule="atLeast"/>
        <w:rPr>
          <w:rFonts w:ascii="Times New Roman" w:hAnsi="Times New Roman"/>
          <w:szCs w:val="24"/>
          <w:u w:val="single"/>
        </w:rPr>
      </w:pPr>
      <w:r w:rsidRPr="00B00963">
        <w:rPr>
          <w:rFonts w:ascii="Times New Roman" w:hAnsi="Times New Roman"/>
          <w:szCs w:val="24"/>
          <w:u w:val="single"/>
        </w:rPr>
        <w:t>On behalf of Metropolitan Atlanta Rapid Transit Authority</w:t>
      </w:r>
      <w:r w:rsidRPr="00B00963">
        <w:rPr>
          <w:rFonts w:ascii="Times New Roman" w:hAnsi="Times New Roman"/>
          <w:szCs w:val="24"/>
        </w:rPr>
        <w:t>:</w:t>
      </w:r>
    </w:p>
    <w:p w14:paraId="43EE22F3" w14:textId="77777777" w:rsidR="003C0206" w:rsidRPr="00B00963" w:rsidRDefault="003C0206" w:rsidP="003C0206">
      <w:pPr>
        <w:tabs>
          <w:tab w:val="left" w:pos="-720"/>
        </w:tabs>
        <w:suppressAutoHyphens/>
        <w:spacing w:line="240" w:lineRule="atLeast"/>
        <w:rPr>
          <w:rFonts w:ascii="Times New Roman" w:hAnsi="Times New Roman"/>
          <w:szCs w:val="24"/>
        </w:rPr>
      </w:pPr>
    </w:p>
    <w:p w14:paraId="21BF8F5C"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rPr>
        <w:tab/>
        <w:t>ROBERT B. BAKER, JR.,</w:t>
      </w:r>
      <w:r w:rsidRPr="00B00963">
        <w:rPr>
          <w:rFonts w:ascii="Times New Roman" w:hAnsi="Times New Roman"/>
          <w:szCs w:val="24"/>
        </w:rPr>
        <w:t xml:space="preserve"> Esq.</w:t>
      </w:r>
    </w:p>
    <w:p w14:paraId="4CEB700C" w14:textId="77777777" w:rsidR="003C0206" w:rsidRPr="00B00963" w:rsidRDefault="003C0206" w:rsidP="003C0206">
      <w:pPr>
        <w:tabs>
          <w:tab w:val="left" w:pos="-720"/>
        </w:tabs>
        <w:suppressAutoHyphens/>
        <w:spacing w:line="240" w:lineRule="atLeast"/>
        <w:rPr>
          <w:rFonts w:ascii="Times New Roman" w:hAnsi="Times New Roman"/>
          <w:szCs w:val="24"/>
        </w:rPr>
      </w:pPr>
    </w:p>
    <w:p w14:paraId="7F365BF7"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u w:val="single"/>
        </w:rPr>
        <w:t>On behalf of Resource Supply Management</w:t>
      </w:r>
      <w:r w:rsidRPr="00B00963">
        <w:rPr>
          <w:rFonts w:ascii="Times New Roman" w:hAnsi="Times New Roman"/>
          <w:szCs w:val="24"/>
        </w:rPr>
        <w:t>:</w:t>
      </w:r>
    </w:p>
    <w:p w14:paraId="63730A3D" w14:textId="77777777" w:rsidR="003C0206" w:rsidRPr="00B00963" w:rsidRDefault="003C0206" w:rsidP="003C0206">
      <w:pPr>
        <w:tabs>
          <w:tab w:val="left" w:pos="-720"/>
        </w:tabs>
        <w:suppressAutoHyphens/>
        <w:spacing w:line="240" w:lineRule="atLeast"/>
        <w:rPr>
          <w:rFonts w:ascii="Times New Roman" w:hAnsi="Times New Roman"/>
          <w:szCs w:val="24"/>
        </w:rPr>
      </w:pPr>
    </w:p>
    <w:p w14:paraId="4F5CBB92"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szCs w:val="24"/>
        </w:rPr>
        <w:tab/>
        <w:t>JIM CLARKSON</w:t>
      </w:r>
      <w:r w:rsidRPr="00B00963">
        <w:rPr>
          <w:rFonts w:ascii="Times New Roman" w:hAnsi="Times New Roman"/>
          <w:szCs w:val="24"/>
        </w:rPr>
        <w:tab/>
      </w:r>
    </w:p>
    <w:p w14:paraId="3394C215" w14:textId="77777777" w:rsidR="003C0206" w:rsidRPr="00B00963" w:rsidRDefault="003C0206" w:rsidP="003C0206">
      <w:pPr>
        <w:tabs>
          <w:tab w:val="left" w:pos="-720"/>
        </w:tabs>
        <w:suppressAutoHyphens/>
        <w:spacing w:line="240" w:lineRule="atLeast"/>
        <w:rPr>
          <w:rFonts w:ascii="Times New Roman" w:hAnsi="Times New Roman"/>
          <w:szCs w:val="24"/>
        </w:rPr>
      </w:pPr>
    </w:p>
    <w:p w14:paraId="6CE664A3" w14:textId="77777777" w:rsidR="003C0206" w:rsidRPr="00B00963" w:rsidRDefault="003C0206" w:rsidP="003C0206">
      <w:pPr>
        <w:tabs>
          <w:tab w:val="left" w:pos="-720"/>
        </w:tabs>
        <w:suppressAutoHyphens/>
        <w:spacing w:line="240" w:lineRule="atLeast"/>
        <w:rPr>
          <w:rFonts w:ascii="Times New Roman" w:hAnsi="Times New Roman"/>
        </w:rPr>
      </w:pPr>
      <w:r w:rsidRPr="00B00963">
        <w:rPr>
          <w:rFonts w:ascii="Times New Roman" w:hAnsi="Times New Roman"/>
          <w:u w:val="single"/>
        </w:rPr>
        <w:t>On behalf of Sierra Club</w:t>
      </w:r>
      <w:r w:rsidRPr="00B00963">
        <w:rPr>
          <w:rFonts w:ascii="Times New Roman" w:hAnsi="Times New Roman"/>
        </w:rPr>
        <w:t>:</w:t>
      </w:r>
    </w:p>
    <w:p w14:paraId="5DAFA637" w14:textId="77777777" w:rsidR="003C0206" w:rsidRPr="00B00963" w:rsidRDefault="003C0206" w:rsidP="003C0206">
      <w:pPr>
        <w:tabs>
          <w:tab w:val="left" w:pos="-720"/>
        </w:tabs>
        <w:suppressAutoHyphens/>
        <w:spacing w:line="240" w:lineRule="atLeast"/>
        <w:rPr>
          <w:rFonts w:ascii="Times New Roman" w:hAnsi="Times New Roman"/>
          <w:szCs w:val="24"/>
        </w:rPr>
      </w:pPr>
    </w:p>
    <w:p w14:paraId="3688867D"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rPr>
        <w:tab/>
        <w:t>ROBERT JACKSON, Esq., and ZACHERY M. FABISH, Esq.</w:t>
      </w:r>
    </w:p>
    <w:p w14:paraId="2E9C4294" w14:textId="77777777" w:rsidR="003C0206" w:rsidRPr="00B00963" w:rsidRDefault="003C0206" w:rsidP="003C0206">
      <w:pPr>
        <w:tabs>
          <w:tab w:val="left" w:pos="-720"/>
        </w:tabs>
        <w:suppressAutoHyphens/>
        <w:spacing w:line="240" w:lineRule="atLeast"/>
        <w:rPr>
          <w:rFonts w:ascii="Times New Roman" w:hAnsi="Times New Roman"/>
          <w:szCs w:val="24"/>
        </w:rPr>
      </w:pPr>
    </w:p>
    <w:p w14:paraId="3BB2E116" w14:textId="77777777" w:rsidR="003C0206" w:rsidRPr="00B00963" w:rsidRDefault="003C0206" w:rsidP="003C0206">
      <w:pPr>
        <w:tabs>
          <w:tab w:val="left" w:pos="-720"/>
        </w:tabs>
        <w:suppressAutoHyphens/>
        <w:spacing w:line="240" w:lineRule="atLeast"/>
        <w:rPr>
          <w:rFonts w:ascii="Times New Roman" w:hAnsi="Times New Roman"/>
          <w:szCs w:val="24"/>
          <w:u w:val="single"/>
        </w:rPr>
      </w:pPr>
      <w:r w:rsidRPr="00B00963">
        <w:rPr>
          <w:rFonts w:ascii="Times New Roman" w:hAnsi="Times New Roman"/>
          <w:szCs w:val="24"/>
          <w:u w:val="single"/>
        </w:rPr>
        <w:t>On behalf of U.S. Department of Defense and other affected Federal Executive Agencies</w:t>
      </w:r>
      <w:r w:rsidRPr="00B00963">
        <w:rPr>
          <w:rFonts w:ascii="Times New Roman" w:hAnsi="Times New Roman"/>
          <w:szCs w:val="24"/>
        </w:rPr>
        <w:t>:</w:t>
      </w:r>
    </w:p>
    <w:p w14:paraId="5871E11B" w14:textId="77777777" w:rsidR="003C0206" w:rsidRPr="00B00963" w:rsidRDefault="003C0206" w:rsidP="003C0206">
      <w:pPr>
        <w:tabs>
          <w:tab w:val="left" w:pos="-720"/>
        </w:tabs>
        <w:suppressAutoHyphens/>
        <w:spacing w:line="240" w:lineRule="atLeast"/>
        <w:rPr>
          <w:rFonts w:ascii="Times New Roman" w:hAnsi="Times New Roman"/>
          <w:szCs w:val="24"/>
        </w:rPr>
      </w:pPr>
    </w:p>
    <w:p w14:paraId="23D5BA07" w14:textId="77777777" w:rsidR="003C0206" w:rsidRPr="00B00963" w:rsidRDefault="003C0206" w:rsidP="003C0206">
      <w:pPr>
        <w:tabs>
          <w:tab w:val="left" w:pos="-720"/>
        </w:tabs>
        <w:suppressAutoHyphens/>
        <w:spacing w:line="240" w:lineRule="atLeast"/>
        <w:rPr>
          <w:rFonts w:ascii="Times New Roman" w:hAnsi="Times New Roman"/>
          <w:szCs w:val="24"/>
        </w:rPr>
      </w:pPr>
      <w:r w:rsidRPr="00B00963">
        <w:rPr>
          <w:rFonts w:ascii="Times New Roman" w:hAnsi="Times New Roman"/>
        </w:rPr>
        <w:tab/>
        <w:t>EMILY W. MEDLYN</w:t>
      </w:r>
      <w:r w:rsidRPr="00B00963">
        <w:rPr>
          <w:rFonts w:ascii="Times New Roman" w:hAnsi="Times New Roman"/>
          <w:szCs w:val="24"/>
        </w:rPr>
        <w:t>, Esq.</w:t>
      </w:r>
    </w:p>
    <w:p w14:paraId="594E63A0" w14:textId="77777777" w:rsidR="003C0206" w:rsidRPr="00B00963" w:rsidRDefault="003C0206" w:rsidP="003C0206">
      <w:pPr>
        <w:tabs>
          <w:tab w:val="left" w:pos="-720"/>
        </w:tabs>
        <w:suppressAutoHyphens/>
        <w:spacing w:line="240" w:lineRule="atLeast"/>
        <w:rPr>
          <w:rFonts w:ascii="Times New Roman" w:hAnsi="Times New Roman"/>
          <w:szCs w:val="24"/>
        </w:rPr>
      </w:pPr>
    </w:p>
    <w:p w14:paraId="2F50DD19" w14:textId="77777777" w:rsidR="003C0206" w:rsidRPr="00B00963" w:rsidRDefault="003C0206" w:rsidP="003C0206">
      <w:pPr>
        <w:rPr>
          <w:rFonts w:ascii="Times New Roman" w:hAnsi="Times New Roman"/>
          <w:szCs w:val="24"/>
        </w:rPr>
      </w:pPr>
      <w:r w:rsidRPr="00B00963">
        <w:rPr>
          <w:rFonts w:ascii="Times New Roman" w:hAnsi="Times New Roman"/>
          <w:szCs w:val="24"/>
        </w:rPr>
        <w:br w:type="page"/>
      </w:r>
    </w:p>
    <w:p w14:paraId="5D0AFB7E" w14:textId="77777777" w:rsidR="003C0206" w:rsidRPr="00B00963" w:rsidRDefault="003C0206" w:rsidP="003C0206">
      <w:pPr>
        <w:pStyle w:val="Heading7"/>
        <w:numPr>
          <w:ilvl w:val="0"/>
          <w:numId w:val="0"/>
        </w:numPr>
        <w:jc w:val="both"/>
        <w:rPr>
          <w:rFonts w:ascii="Times New Roman" w:hAnsi="Times New Roman"/>
          <w:bCs/>
          <w:u w:val="none"/>
        </w:rPr>
      </w:pPr>
      <w:r w:rsidRPr="00B00963">
        <w:rPr>
          <w:rFonts w:ascii="Times New Roman" w:hAnsi="Times New Roman"/>
          <w:bCs/>
          <w:u w:val="none"/>
        </w:rPr>
        <w:lastRenderedPageBreak/>
        <w:t>BY THE COMMISSION:</w:t>
      </w:r>
    </w:p>
    <w:p w14:paraId="095EFAA7" w14:textId="77777777" w:rsidR="003C0206" w:rsidRPr="00B00963" w:rsidRDefault="003C0206" w:rsidP="003C0206">
      <w:pPr>
        <w:rPr>
          <w:rFonts w:ascii="Times New Roman" w:hAnsi="Times New Roman"/>
        </w:rPr>
      </w:pPr>
    </w:p>
    <w:p w14:paraId="1BC27F09" w14:textId="3D9E1892" w:rsidR="003C0206" w:rsidRPr="00B00963" w:rsidRDefault="003C0206" w:rsidP="0048497E">
      <w:pPr>
        <w:ind w:left="720" w:hanging="720"/>
        <w:rPr>
          <w:rFonts w:ascii="Times New Roman" w:hAnsi="Times New Roman"/>
          <w:b/>
          <w:u w:val="single"/>
        </w:rPr>
      </w:pPr>
      <w:r w:rsidRPr="0048497E">
        <w:rPr>
          <w:rFonts w:ascii="Times New Roman" w:hAnsi="Times New Roman"/>
          <w:b/>
        </w:rPr>
        <w:t>I.</w:t>
      </w:r>
      <w:r w:rsidR="0048497E">
        <w:rPr>
          <w:rFonts w:ascii="Times New Roman" w:hAnsi="Times New Roman"/>
          <w:b/>
        </w:rPr>
        <w:tab/>
      </w:r>
      <w:r w:rsidRPr="00B00963">
        <w:rPr>
          <w:rFonts w:ascii="Times New Roman" w:hAnsi="Times New Roman"/>
          <w:b/>
          <w:u w:val="single"/>
        </w:rPr>
        <w:t>GEORGIA POWER COMPANY’S 201</w:t>
      </w:r>
      <w:r>
        <w:rPr>
          <w:rFonts w:ascii="Times New Roman" w:hAnsi="Times New Roman"/>
          <w:b/>
          <w:u w:val="single"/>
        </w:rPr>
        <w:t>9</w:t>
      </w:r>
      <w:r w:rsidRPr="00B00963">
        <w:rPr>
          <w:rFonts w:ascii="Times New Roman" w:hAnsi="Times New Roman"/>
          <w:b/>
          <w:u w:val="single"/>
        </w:rPr>
        <w:t xml:space="preserve"> RATE CASE</w:t>
      </w:r>
      <w:r w:rsidR="004537E3">
        <w:rPr>
          <w:rFonts w:ascii="Times New Roman" w:hAnsi="Times New Roman"/>
          <w:b/>
          <w:u w:val="single"/>
        </w:rPr>
        <w:t xml:space="preserve"> STATEMENT OF PROCEEDINGS</w:t>
      </w:r>
    </w:p>
    <w:p w14:paraId="0F902FC0" w14:textId="77777777" w:rsidR="003C0206" w:rsidRPr="00B00963" w:rsidRDefault="003C0206" w:rsidP="003C0206">
      <w:pPr>
        <w:pStyle w:val="BodyTextIndent3"/>
        <w:ind w:firstLine="0"/>
        <w:jc w:val="both"/>
        <w:rPr>
          <w:rFonts w:ascii="Times New Roman" w:hAnsi="Times New Roman"/>
        </w:rPr>
      </w:pPr>
      <w:r w:rsidRPr="00B00963">
        <w:rPr>
          <w:rFonts w:ascii="Times New Roman" w:hAnsi="Times New Roman"/>
        </w:rPr>
        <w:tab/>
      </w:r>
      <w:r w:rsidRPr="00B00963">
        <w:rPr>
          <w:rFonts w:ascii="Times New Roman" w:hAnsi="Times New Roman"/>
        </w:rPr>
        <w:tab/>
        <w:t xml:space="preserve"> </w:t>
      </w:r>
    </w:p>
    <w:p w14:paraId="2984840F" w14:textId="4223C9EF" w:rsidR="003C0206" w:rsidRPr="00B00963" w:rsidRDefault="003C0206" w:rsidP="003C0206">
      <w:pPr>
        <w:pStyle w:val="BlockText"/>
        <w:tabs>
          <w:tab w:val="left" w:pos="0"/>
        </w:tabs>
        <w:ind w:left="0" w:right="0"/>
        <w:jc w:val="both"/>
        <w:rPr>
          <w:rFonts w:ascii="Times New Roman" w:hAnsi="Times New Roman"/>
          <w:sz w:val="24"/>
          <w:szCs w:val="24"/>
        </w:rPr>
      </w:pPr>
      <w:r w:rsidRPr="00B00963">
        <w:rPr>
          <w:rFonts w:ascii="Times New Roman" w:hAnsi="Times New Roman"/>
          <w:sz w:val="24"/>
        </w:rPr>
        <w:tab/>
      </w:r>
      <w:r w:rsidRPr="00B00963">
        <w:rPr>
          <w:rFonts w:ascii="Times New Roman" w:hAnsi="Times New Roman"/>
          <w:sz w:val="24"/>
          <w:szCs w:val="24"/>
        </w:rPr>
        <w:t xml:space="preserve"> Pursuant to the Rate Plan approved by the Georgia Public Service Commission (“Commission”) in the December 17, 2013 Order Adopting Settlement Agreement in Docket No. 36989-U, Georgia Power Company’s 2013 Rate Case, the Commission ordered Georgia Power Company</w:t>
      </w:r>
      <w:r w:rsidR="004537E3">
        <w:rPr>
          <w:rFonts w:ascii="Times New Roman" w:hAnsi="Times New Roman"/>
          <w:sz w:val="24"/>
          <w:szCs w:val="24"/>
        </w:rPr>
        <w:t xml:space="preserve"> </w:t>
      </w:r>
      <w:r w:rsidR="00802B27">
        <w:rPr>
          <w:rFonts w:ascii="Times New Roman" w:hAnsi="Times New Roman"/>
          <w:sz w:val="24"/>
          <w:szCs w:val="24"/>
        </w:rPr>
        <w:t>(“GPC” or “Company”</w:t>
      </w:r>
      <w:r w:rsidR="00C2564A">
        <w:rPr>
          <w:rFonts w:ascii="Times New Roman" w:hAnsi="Times New Roman"/>
          <w:sz w:val="24"/>
          <w:szCs w:val="24"/>
        </w:rPr>
        <w:t>)</w:t>
      </w:r>
      <w:r w:rsidRPr="00B00963">
        <w:rPr>
          <w:rFonts w:ascii="Times New Roman" w:hAnsi="Times New Roman"/>
          <w:sz w:val="24"/>
          <w:szCs w:val="24"/>
        </w:rPr>
        <w:t xml:space="preserve"> to file by July 1, 2016, a general rate case for dealing with any changes in revenue requirements. Subsequent to that decision, the Commission established in its April 14, 2016 decision on the </w:t>
      </w:r>
      <w:r w:rsidRPr="00B00963">
        <w:rPr>
          <w:rFonts w:ascii="Times New Roman" w:hAnsi="Times New Roman"/>
          <w:sz w:val="24"/>
          <w:szCs w:val="24"/>
          <w:u w:val="single"/>
        </w:rPr>
        <w:t>Joint Request of Atlanta Gas Light Company, AGL Resources Inc., and The Southern Company for a Finding that Southern Company’s Merger with AGL Resources Complies With Applicable Law And SouthStar Energy Services LLC d/b/a Georgia Natural Gas; Application for a Natural Gas Marketer Certificate of Authority</w:t>
      </w:r>
      <w:r w:rsidRPr="00B00963">
        <w:rPr>
          <w:rFonts w:ascii="Times New Roman" w:hAnsi="Times New Roman"/>
          <w:sz w:val="24"/>
          <w:szCs w:val="24"/>
        </w:rPr>
        <w:t xml:space="preserve"> filed respectively in Dockets 39971 and 9574 that the current 2013 Geor</w:t>
      </w:r>
      <w:r>
        <w:rPr>
          <w:rFonts w:ascii="Times New Roman" w:hAnsi="Times New Roman"/>
          <w:sz w:val="24"/>
          <w:szCs w:val="24"/>
        </w:rPr>
        <w:t>gia Power accounting order would</w:t>
      </w:r>
      <w:r w:rsidRPr="00B00963">
        <w:rPr>
          <w:rFonts w:ascii="Times New Roman" w:hAnsi="Times New Roman"/>
          <w:sz w:val="24"/>
          <w:szCs w:val="24"/>
        </w:rPr>
        <w:t xml:space="preserve"> continue in effect until December </w:t>
      </w:r>
      <w:r>
        <w:rPr>
          <w:rFonts w:ascii="Times New Roman" w:hAnsi="Times New Roman"/>
          <w:sz w:val="24"/>
          <w:szCs w:val="24"/>
        </w:rPr>
        <w:t>31, 2019 and Georgia Power would</w:t>
      </w:r>
      <w:r w:rsidRPr="00B00963">
        <w:rPr>
          <w:rFonts w:ascii="Times New Roman" w:hAnsi="Times New Roman"/>
          <w:sz w:val="24"/>
          <w:szCs w:val="24"/>
        </w:rPr>
        <w:t xml:space="preserve"> file its next retail rate case, or request for an accounting order, on July 1, 2019.</w:t>
      </w:r>
    </w:p>
    <w:p w14:paraId="5BCB0CD6" w14:textId="77777777" w:rsidR="003C0206" w:rsidRPr="00B00963" w:rsidRDefault="003C0206" w:rsidP="003C0206">
      <w:pPr>
        <w:pStyle w:val="BlockText"/>
        <w:tabs>
          <w:tab w:val="left" w:pos="0"/>
        </w:tabs>
        <w:ind w:left="0" w:right="0"/>
        <w:jc w:val="both"/>
        <w:rPr>
          <w:rFonts w:ascii="Times New Roman" w:hAnsi="Times New Roman"/>
          <w:sz w:val="24"/>
          <w:szCs w:val="24"/>
        </w:rPr>
      </w:pPr>
    </w:p>
    <w:p w14:paraId="17A122A2" w14:textId="7D0022C1" w:rsidR="003C0206" w:rsidRPr="00B00963" w:rsidRDefault="003C0206" w:rsidP="003C0206">
      <w:pPr>
        <w:ind w:firstLine="720"/>
        <w:jc w:val="both"/>
        <w:rPr>
          <w:rFonts w:ascii="Times New Roman" w:hAnsi="Times New Roman"/>
          <w:szCs w:val="24"/>
        </w:rPr>
      </w:pPr>
      <w:r w:rsidRPr="00B00963">
        <w:rPr>
          <w:rFonts w:ascii="Times New Roman" w:hAnsi="Times New Roman"/>
          <w:szCs w:val="24"/>
        </w:rPr>
        <w:t xml:space="preserve">On May 21, 2019, in accordance O.C.G.A. § 50-13-13, the Commission entered a Procedural and Scheduling Order </w:t>
      </w:r>
      <w:r w:rsidR="00C74DB1">
        <w:rPr>
          <w:rFonts w:ascii="Times New Roman" w:hAnsi="Times New Roman"/>
          <w:szCs w:val="24"/>
        </w:rPr>
        <w:t>(</w:t>
      </w:r>
      <w:r w:rsidR="004537E3">
        <w:rPr>
          <w:rFonts w:ascii="Times New Roman" w:hAnsi="Times New Roman"/>
          <w:szCs w:val="24"/>
        </w:rPr>
        <w:t>“</w:t>
      </w:r>
      <w:r w:rsidR="009E1C29">
        <w:rPr>
          <w:rFonts w:ascii="Times New Roman" w:hAnsi="Times New Roman"/>
          <w:szCs w:val="24"/>
        </w:rPr>
        <w:t xml:space="preserve">PSO”) </w:t>
      </w:r>
      <w:r w:rsidRPr="00B00963">
        <w:rPr>
          <w:rFonts w:ascii="Times New Roman" w:hAnsi="Times New Roman"/>
          <w:szCs w:val="24"/>
        </w:rPr>
        <w:t>to govern the hearings. On June 28, 2019, pursuant to the P</w:t>
      </w:r>
      <w:r w:rsidR="009E1C29">
        <w:rPr>
          <w:rFonts w:ascii="Times New Roman" w:hAnsi="Times New Roman"/>
          <w:szCs w:val="24"/>
        </w:rPr>
        <w:t>SO,</w:t>
      </w:r>
      <w:r w:rsidR="008F0CEC">
        <w:rPr>
          <w:rFonts w:ascii="Times New Roman" w:hAnsi="Times New Roman"/>
          <w:szCs w:val="24"/>
        </w:rPr>
        <w:t xml:space="preserve"> </w:t>
      </w:r>
      <w:r w:rsidRPr="00B00963">
        <w:rPr>
          <w:rFonts w:ascii="Times New Roman" w:hAnsi="Times New Roman"/>
          <w:szCs w:val="24"/>
        </w:rPr>
        <w:t>Georgia Power Company filed its 2019 Rate Case.</w:t>
      </w:r>
      <w:r>
        <w:rPr>
          <w:rFonts w:ascii="Times New Roman" w:hAnsi="Times New Roman"/>
          <w:szCs w:val="24"/>
        </w:rPr>
        <w:t xml:space="preserve"> </w:t>
      </w:r>
      <w:r w:rsidRPr="00275952">
        <w:rPr>
          <w:rFonts w:ascii="Times New Roman" w:hAnsi="Times New Roman"/>
          <w:szCs w:val="24"/>
        </w:rPr>
        <w:t xml:space="preserve">On September 24, 2019, Georgia Power filed </w:t>
      </w:r>
      <w:r w:rsidR="008F0CEC">
        <w:rPr>
          <w:rFonts w:ascii="Times New Roman" w:hAnsi="Times New Roman"/>
          <w:szCs w:val="24"/>
        </w:rPr>
        <w:t xml:space="preserve">an </w:t>
      </w:r>
      <w:r w:rsidRPr="00275952">
        <w:rPr>
          <w:rFonts w:ascii="Times New Roman" w:hAnsi="Times New Roman"/>
          <w:szCs w:val="24"/>
        </w:rPr>
        <w:t>errata to reflect the revenue requirement impacts from various items included in the amended Stipulation approved by the Commission in the Company’s 2019 Integrated Resource Plan (“IRP”) and DSM Certification proceedings in Docket Nos. 42310 and 42311 (“Errata”).</w:t>
      </w:r>
    </w:p>
    <w:p w14:paraId="1BBA6CD5"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p>
    <w:p w14:paraId="59EDE1E6" w14:textId="1363F60B" w:rsidR="003C0206" w:rsidRDefault="003C0206" w:rsidP="003C0206">
      <w:pPr>
        <w:pStyle w:val="BodyTextIndent"/>
        <w:tabs>
          <w:tab w:val="left" w:pos="0"/>
        </w:tabs>
        <w:ind w:left="0" w:firstLine="0"/>
        <w:jc w:val="both"/>
        <w:rPr>
          <w:rFonts w:ascii="Times New Roman" w:hAnsi="Times New Roman"/>
          <w:sz w:val="24"/>
          <w:szCs w:val="24"/>
        </w:rPr>
      </w:pPr>
      <w:r>
        <w:rPr>
          <w:rFonts w:ascii="Times New Roman" w:hAnsi="Times New Roman"/>
          <w:sz w:val="24"/>
          <w:szCs w:val="24"/>
        </w:rPr>
        <w:tab/>
      </w:r>
      <w:r w:rsidRPr="00275952">
        <w:rPr>
          <w:rFonts w:ascii="Times New Roman" w:hAnsi="Times New Roman"/>
          <w:sz w:val="24"/>
          <w:szCs w:val="24"/>
        </w:rPr>
        <w:t>Georgia Power’s 2019 Rate Case filing, as amended by the Errata, request</w:t>
      </w:r>
      <w:r>
        <w:rPr>
          <w:rFonts w:ascii="Times New Roman" w:hAnsi="Times New Roman"/>
          <w:sz w:val="24"/>
          <w:szCs w:val="24"/>
        </w:rPr>
        <w:t>ed</w:t>
      </w:r>
      <w:r w:rsidRPr="00275952">
        <w:rPr>
          <w:rFonts w:ascii="Times New Roman" w:hAnsi="Times New Roman"/>
          <w:sz w:val="24"/>
          <w:szCs w:val="24"/>
        </w:rPr>
        <w:t xml:space="preserve"> approval to continue the three-year alternate rate plan (“ARP”) structure and request</w:t>
      </w:r>
      <w:r>
        <w:rPr>
          <w:rFonts w:ascii="Times New Roman" w:hAnsi="Times New Roman"/>
          <w:sz w:val="24"/>
          <w:szCs w:val="24"/>
        </w:rPr>
        <w:t>ed</w:t>
      </w:r>
      <w:r w:rsidRPr="00275952">
        <w:rPr>
          <w:rFonts w:ascii="Times New Roman" w:hAnsi="Times New Roman"/>
          <w:sz w:val="24"/>
          <w:szCs w:val="24"/>
        </w:rPr>
        <w:t xml:space="preserve"> rate increases of $560</w:t>
      </w:r>
      <w:r w:rsidR="00882C90">
        <w:rPr>
          <w:rFonts w:ascii="Times New Roman" w:hAnsi="Times New Roman"/>
          <w:sz w:val="24"/>
          <w:szCs w:val="24"/>
        </w:rPr>
        <w:t xml:space="preserve"> million</w:t>
      </w:r>
      <w:r w:rsidRPr="00275952">
        <w:rPr>
          <w:rFonts w:ascii="Times New Roman" w:hAnsi="Times New Roman"/>
          <w:sz w:val="24"/>
          <w:szCs w:val="24"/>
        </w:rPr>
        <w:t xml:space="preserve">, $144 </w:t>
      </w:r>
      <w:r w:rsidR="00882C90">
        <w:rPr>
          <w:rFonts w:ascii="Times New Roman" w:hAnsi="Times New Roman"/>
          <w:sz w:val="24"/>
          <w:szCs w:val="24"/>
        </w:rPr>
        <w:t xml:space="preserve">million </w:t>
      </w:r>
      <w:r w:rsidRPr="00275952">
        <w:rPr>
          <w:rFonts w:ascii="Times New Roman" w:hAnsi="Times New Roman"/>
          <w:sz w:val="24"/>
          <w:szCs w:val="24"/>
        </w:rPr>
        <w:t>and $233 million to be effective January 1, 2020, 2021 and 2022, respectively. These proposed increases include</w:t>
      </w:r>
      <w:r>
        <w:rPr>
          <w:rFonts w:ascii="Times New Roman" w:hAnsi="Times New Roman"/>
          <w:sz w:val="24"/>
          <w:szCs w:val="24"/>
        </w:rPr>
        <w:t>d</w:t>
      </w:r>
      <w:r w:rsidRPr="00275952">
        <w:rPr>
          <w:rFonts w:ascii="Times New Roman" w:hAnsi="Times New Roman"/>
          <w:sz w:val="24"/>
          <w:szCs w:val="24"/>
        </w:rPr>
        <w:t xml:space="preserve"> a one-time levelized adjustment for traditional base </w:t>
      </w:r>
      <w:r w:rsidR="00882C90">
        <w:rPr>
          <w:rFonts w:ascii="Times New Roman" w:hAnsi="Times New Roman"/>
          <w:sz w:val="24"/>
          <w:szCs w:val="24"/>
        </w:rPr>
        <w:t xml:space="preserve">rates </w:t>
      </w:r>
      <w:r w:rsidRPr="00275952">
        <w:rPr>
          <w:rFonts w:ascii="Times New Roman" w:hAnsi="Times New Roman"/>
          <w:sz w:val="24"/>
          <w:szCs w:val="24"/>
        </w:rPr>
        <w:t>and</w:t>
      </w:r>
      <w:r w:rsidR="008F0CEC">
        <w:rPr>
          <w:rFonts w:ascii="Times New Roman" w:hAnsi="Times New Roman"/>
          <w:sz w:val="24"/>
          <w:szCs w:val="24"/>
        </w:rPr>
        <w:t xml:space="preserve"> Environmental Compliance Cost Recovery (“</w:t>
      </w:r>
      <w:r w:rsidRPr="00275952">
        <w:rPr>
          <w:rFonts w:ascii="Times New Roman" w:hAnsi="Times New Roman"/>
          <w:sz w:val="24"/>
          <w:szCs w:val="24"/>
        </w:rPr>
        <w:t>ECCR</w:t>
      </w:r>
      <w:r w:rsidR="008F0CEC">
        <w:rPr>
          <w:rFonts w:ascii="Times New Roman" w:hAnsi="Times New Roman"/>
          <w:sz w:val="24"/>
          <w:szCs w:val="24"/>
        </w:rPr>
        <w:t>”)</w:t>
      </w:r>
      <w:r w:rsidRPr="00275952">
        <w:rPr>
          <w:rFonts w:ascii="Times New Roman" w:hAnsi="Times New Roman"/>
          <w:sz w:val="24"/>
          <w:szCs w:val="24"/>
        </w:rPr>
        <w:t xml:space="preserve"> tariffs and annual increases to recover compliance costs associated with ash pond closure as well as the </w:t>
      </w:r>
      <w:r w:rsidR="008F0CEC">
        <w:rPr>
          <w:rFonts w:ascii="Times New Roman" w:hAnsi="Times New Roman"/>
          <w:sz w:val="24"/>
          <w:szCs w:val="24"/>
        </w:rPr>
        <w:t>D</w:t>
      </w:r>
      <w:r w:rsidR="008F0CEC" w:rsidRPr="00275952">
        <w:rPr>
          <w:rFonts w:ascii="Times New Roman" w:hAnsi="Times New Roman"/>
          <w:sz w:val="24"/>
          <w:szCs w:val="24"/>
        </w:rPr>
        <w:t xml:space="preserve">emand </w:t>
      </w:r>
      <w:r w:rsidR="008F0CEC">
        <w:rPr>
          <w:rFonts w:ascii="Times New Roman" w:hAnsi="Times New Roman"/>
          <w:sz w:val="24"/>
          <w:szCs w:val="24"/>
        </w:rPr>
        <w:t>S</w:t>
      </w:r>
      <w:r w:rsidR="008F0CEC" w:rsidRPr="00275952">
        <w:rPr>
          <w:rFonts w:ascii="Times New Roman" w:hAnsi="Times New Roman"/>
          <w:sz w:val="24"/>
          <w:szCs w:val="24"/>
        </w:rPr>
        <w:t xml:space="preserve">ide </w:t>
      </w:r>
      <w:r w:rsidR="008F0CEC">
        <w:rPr>
          <w:rFonts w:ascii="Times New Roman" w:hAnsi="Times New Roman"/>
          <w:sz w:val="24"/>
          <w:szCs w:val="24"/>
        </w:rPr>
        <w:t>M</w:t>
      </w:r>
      <w:r w:rsidR="008F0CEC" w:rsidRPr="00275952">
        <w:rPr>
          <w:rFonts w:ascii="Times New Roman" w:hAnsi="Times New Roman"/>
          <w:sz w:val="24"/>
          <w:szCs w:val="24"/>
        </w:rPr>
        <w:t xml:space="preserve">anagement </w:t>
      </w:r>
      <w:r w:rsidR="008F0CEC">
        <w:rPr>
          <w:rFonts w:ascii="Times New Roman" w:hAnsi="Times New Roman"/>
          <w:sz w:val="24"/>
          <w:szCs w:val="24"/>
        </w:rPr>
        <w:t xml:space="preserve">(“DSM”) </w:t>
      </w:r>
      <w:r w:rsidRPr="00275952">
        <w:rPr>
          <w:rFonts w:ascii="Times New Roman" w:hAnsi="Times New Roman"/>
          <w:sz w:val="24"/>
          <w:szCs w:val="24"/>
        </w:rPr>
        <w:t xml:space="preserve">and </w:t>
      </w:r>
      <w:r w:rsidR="008F0CEC">
        <w:rPr>
          <w:rFonts w:ascii="Times New Roman" w:hAnsi="Times New Roman"/>
          <w:sz w:val="24"/>
          <w:szCs w:val="24"/>
        </w:rPr>
        <w:t>M</w:t>
      </w:r>
      <w:r w:rsidR="008F0CEC" w:rsidRPr="00275952">
        <w:rPr>
          <w:rFonts w:ascii="Times New Roman" w:hAnsi="Times New Roman"/>
          <w:sz w:val="24"/>
          <w:szCs w:val="24"/>
        </w:rPr>
        <w:t xml:space="preserve">unicipal </w:t>
      </w:r>
      <w:r w:rsidR="008F0CEC">
        <w:rPr>
          <w:rFonts w:ascii="Times New Roman" w:hAnsi="Times New Roman"/>
          <w:sz w:val="24"/>
          <w:szCs w:val="24"/>
        </w:rPr>
        <w:t>F</w:t>
      </w:r>
      <w:r w:rsidR="008F0CEC" w:rsidRPr="00275952">
        <w:rPr>
          <w:rFonts w:ascii="Times New Roman" w:hAnsi="Times New Roman"/>
          <w:sz w:val="24"/>
          <w:szCs w:val="24"/>
        </w:rPr>
        <w:t xml:space="preserve">ranchise </w:t>
      </w:r>
      <w:r w:rsidR="008F0CEC">
        <w:rPr>
          <w:rFonts w:ascii="Times New Roman" w:hAnsi="Times New Roman"/>
          <w:sz w:val="24"/>
          <w:szCs w:val="24"/>
        </w:rPr>
        <w:t>F</w:t>
      </w:r>
      <w:r w:rsidR="008F0CEC" w:rsidRPr="00275952">
        <w:rPr>
          <w:rFonts w:ascii="Times New Roman" w:hAnsi="Times New Roman"/>
          <w:sz w:val="24"/>
          <w:szCs w:val="24"/>
        </w:rPr>
        <w:t xml:space="preserve">ee </w:t>
      </w:r>
      <w:r w:rsidR="008F0CEC">
        <w:rPr>
          <w:rFonts w:ascii="Times New Roman" w:hAnsi="Times New Roman"/>
          <w:sz w:val="24"/>
          <w:szCs w:val="24"/>
        </w:rPr>
        <w:t xml:space="preserve">(“MFF”) </w:t>
      </w:r>
      <w:r w:rsidRPr="00275952">
        <w:rPr>
          <w:rFonts w:ascii="Times New Roman" w:hAnsi="Times New Roman"/>
          <w:sz w:val="24"/>
          <w:szCs w:val="24"/>
        </w:rPr>
        <w:t>tariffs. Hearings on Georgia Power’s direct case in support of its filing were held September 30, 2019 through October 2, 2019.</w:t>
      </w:r>
    </w:p>
    <w:p w14:paraId="16000914"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p>
    <w:p w14:paraId="1A68F38C" w14:textId="07766678" w:rsidR="003C0206" w:rsidRDefault="003C0206" w:rsidP="003C0206">
      <w:pPr>
        <w:pStyle w:val="BodyTextIndent"/>
        <w:tabs>
          <w:tab w:val="left" w:pos="0"/>
        </w:tabs>
        <w:ind w:left="0" w:firstLine="0"/>
        <w:jc w:val="both"/>
        <w:rPr>
          <w:rFonts w:ascii="Times New Roman" w:hAnsi="Times New Roman"/>
          <w:sz w:val="24"/>
          <w:szCs w:val="24"/>
        </w:rPr>
      </w:pPr>
      <w:r>
        <w:rPr>
          <w:rFonts w:ascii="Times New Roman" w:hAnsi="Times New Roman"/>
          <w:sz w:val="24"/>
          <w:szCs w:val="24"/>
        </w:rPr>
        <w:tab/>
      </w:r>
      <w:r w:rsidRPr="009420B8">
        <w:rPr>
          <w:rFonts w:ascii="Times New Roman" w:hAnsi="Times New Roman"/>
          <w:sz w:val="24"/>
          <w:szCs w:val="24"/>
        </w:rPr>
        <w:t>In addition to the Commission’s Public Interest Advocacy</w:t>
      </w:r>
      <w:r w:rsidR="00882C90">
        <w:rPr>
          <w:rFonts w:ascii="Times New Roman" w:hAnsi="Times New Roman"/>
          <w:sz w:val="24"/>
          <w:szCs w:val="24"/>
        </w:rPr>
        <w:t xml:space="preserve"> Staff </w:t>
      </w:r>
      <w:r w:rsidRPr="009420B8">
        <w:rPr>
          <w:rFonts w:ascii="Times New Roman" w:hAnsi="Times New Roman"/>
          <w:sz w:val="24"/>
          <w:szCs w:val="24"/>
        </w:rPr>
        <w:t>(“PIA Staff</w:t>
      </w:r>
      <w:r w:rsidR="00882C90">
        <w:rPr>
          <w:rFonts w:ascii="Times New Roman" w:hAnsi="Times New Roman"/>
          <w:sz w:val="24"/>
          <w:szCs w:val="24"/>
        </w:rPr>
        <w:t>”)</w:t>
      </w:r>
      <w:r w:rsidRPr="009420B8">
        <w:rPr>
          <w:rFonts w:ascii="Times New Roman" w:hAnsi="Times New Roman"/>
          <w:sz w:val="24"/>
          <w:szCs w:val="24"/>
        </w:rPr>
        <w:t>, which has a statutory right to participate in this proceeding, interventions were filed by a number of interested parties. These interested parties included the City of Atlanta; the Commercial Group; Concerned Ratepayers of Georgia; the U.S. Department of Defense (on behalf of all Other Federal Executive Agencies) (“DOD</w:t>
      </w:r>
      <w:r w:rsidR="0060539F">
        <w:rPr>
          <w:rFonts w:ascii="Times New Roman" w:hAnsi="Times New Roman"/>
          <w:sz w:val="24"/>
          <w:szCs w:val="24"/>
        </w:rPr>
        <w:t>/FEA</w:t>
      </w:r>
      <w:r w:rsidRPr="009420B8">
        <w:rPr>
          <w:rFonts w:ascii="Times New Roman" w:hAnsi="Times New Roman"/>
          <w:sz w:val="24"/>
          <w:szCs w:val="24"/>
        </w:rPr>
        <w:t xml:space="preserve">”); Georgia Association of Manufacturers (“GAM”); Georgia Industrial Group (“GIG”); Georgia Interfaith Power &amp; Light, Inc. (“GIPL”), Southface Energy Institute, Inc. (“Southface”), and Vote Solar, Inc.; the Georgia Solar Energy Association, Inc. (“GSEA”) and Georgia Solar Energy Industries Association (“GSEIA”); Georgia Restaurant Association (“GRA”); Georgia Watch; The Kroger Company (“Kroger”); Metropolitan Atlanta Rapid Transit Authority (“MARTA”); Resource Supply Management (“RSM”); and the Sierra Club.  Thereafter, on October 17, 2019, PIA Staff and Intervenors filed testimony and exhibits presenting their </w:t>
      </w:r>
      <w:r w:rsidRPr="009420B8">
        <w:rPr>
          <w:rFonts w:ascii="Times New Roman" w:hAnsi="Times New Roman"/>
          <w:sz w:val="24"/>
          <w:szCs w:val="24"/>
        </w:rPr>
        <w:lastRenderedPageBreak/>
        <w:t>respective direct cases. With the exception of Concerned Ratepayers of Georgia, GSEIA/GSEA, and Georgia Watch, all other parties to this case filed testimony in this proceeding. Hearings on PIA Staff and Intervenors’ direct cases were held November 4</w:t>
      </w:r>
      <w:r w:rsidR="008F0CEC">
        <w:rPr>
          <w:rFonts w:ascii="Times New Roman" w:hAnsi="Times New Roman"/>
          <w:sz w:val="24"/>
          <w:szCs w:val="24"/>
        </w:rPr>
        <w:t xml:space="preserve">, 2019 through November </w:t>
      </w:r>
      <w:r w:rsidRPr="009420B8">
        <w:rPr>
          <w:rFonts w:ascii="Times New Roman" w:hAnsi="Times New Roman"/>
          <w:sz w:val="24"/>
          <w:szCs w:val="24"/>
        </w:rPr>
        <w:t>6, 2019.</w:t>
      </w:r>
    </w:p>
    <w:p w14:paraId="47540CF0"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p>
    <w:p w14:paraId="7E812D2C" w14:textId="46E745EE" w:rsidR="003C0206" w:rsidRPr="00B00963" w:rsidRDefault="003C0206" w:rsidP="003C0206">
      <w:pPr>
        <w:pStyle w:val="BodyTextIndent"/>
        <w:tabs>
          <w:tab w:val="left" w:pos="0"/>
        </w:tabs>
        <w:ind w:left="0" w:firstLine="0"/>
        <w:jc w:val="both"/>
        <w:rPr>
          <w:rFonts w:ascii="Times New Roman" w:hAnsi="Times New Roman"/>
          <w:sz w:val="24"/>
          <w:szCs w:val="24"/>
        </w:rPr>
      </w:pPr>
      <w:r w:rsidRPr="00B00963">
        <w:rPr>
          <w:rFonts w:ascii="Times New Roman" w:hAnsi="Times New Roman"/>
          <w:sz w:val="24"/>
          <w:szCs w:val="24"/>
        </w:rPr>
        <w:tab/>
        <w:t xml:space="preserve">The Company </w:t>
      </w:r>
      <w:r>
        <w:rPr>
          <w:rFonts w:ascii="Times New Roman" w:hAnsi="Times New Roman"/>
          <w:sz w:val="24"/>
          <w:szCs w:val="24"/>
        </w:rPr>
        <w:t>filed its rebuttal testimony on November 15, 2019 in response to the positions advocated by P</w:t>
      </w:r>
      <w:r w:rsidR="002227FF">
        <w:rPr>
          <w:rFonts w:ascii="Times New Roman" w:hAnsi="Times New Roman"/>
          <w:sz w:val="24"/>
          <w:szCs w:val="24"/>
        </w:rPr>
        <w:t xml:space="preserve">IA </w:t>
      </w:r>
      <w:r>
        <w:rPr>
          <w:rFonts w:ascii="Times New Roman" w:hAnsi="Times New Roman"/>
          <w:sz w:val="24"/>
          <w:szCs w:val="24"/>
        </w:rPr>
        <w:t xml:space="preserve">Staff and various </w:t>
      </w:r>
      <w:r w:rsidR="000253BA">
        <w:rPr>
          <w:rFonts w:ascii="Times New Roman" w:hAnsi="Times New Roman"/>
          <w:sz w:val="24"/>
          <w:szCs w:val="24"/>
        </w:rPr>
        <w:t>I</w:t>
      </w:r>
      <w:r>
        <w:rPr>
          <w:rFonts w:ascii="Times New Roman" w:hAnsi="Times New Roman"/>
          <w:sz w:val="24"/>
          <w:szCs w:val="24"/>
        </w:rPr>
        <w:t xml:space="preserve">ntervenors. </w:t>
      </w:r>
      <w:r w:rsidR="00181759">
        <w:rPr>
          <w:rFonts w:ascii="Times New Roman" w:hAnsi="Times New Roman"/>
          <w:sz w:val="24"/>
          <w:szCs w:val="24"/>
        </w:rPr>
        <w:t xml:space="preserve">The Company </w:t>
      </w:r>
      <w:r w:rsidRPr="00B00963">
        <w:rPr>
          <w:rFonts w:ascii="Times New Roman" w:hAnsi="Times New Roman"/>
          <w:sz w:val="24"/>
          <w:szCs w:val="24"/>
        </w:rPr>
        <w:t>presented its rebuttal case on November 25, 2019, at which time the hearings in this matter were concluded. On December 4, 2019, parties in this matter filed proposed orders and briefs.</w:t>
      </w:r>
    </w:p>
    <w:p w14:paraId="3CAEF6F5"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p>
    <w:p w14:paraId="1F44E627"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r w:rsidRPr="00B00963">
        <w:rPr>
          <w:rFonts w:ascii="Times New Roman" w:hAnsi="Times New Roman"/>
          <w:sz w:val="24"/>
          <w:szCs w:val="24"/>
        </w:rPr>
        <w:tab/>
        <w:t>At each phase of the hearing</w:t>
      </w:r>
      <w:r w:rsidR="00181759">
        <w:rPr>
          <w:rFonts w:ascii="Times New Roman" w:hAnsi="Times New Roman"/>
          <w:sz w:val="24"/>
          <w:szCs w:val="24"/>
        </w:rPr>
        <w:t>s</w:t>
      </w:r>
      <w:r w:rsidRPr="00B00963">
        <w:rPr>
          <w:rFonts w:ascii="Times New Roman" w:hAnsi="Times New Roman"/>
          <w:sz w:val="24"/>
          <w:szCs w:val="24"/>
        </w:rPr>
        <w:t xml:space="preserve"> of evidence in this case the Commission also heard from numerous public witnesses who expressed their views on the Company’s application, either individually or on behalf of specific groups</w:t>
      </w:r>
      <w:r>
        <w:rPr>
          <w:rFonts w:ascii="Times New Roman" w:hAnsi="Times New Roman"/>
          <w:sz w:val="24"/>
          <w:szCs w:val="24"/>
        </w:rPr>
        <w:t>.</w:t>
      </w:r>
    </w:p>
    <w:p w14:paraId="3A899127" w14:textId="77777777" w:rsidR="003C0206" w:rsidRPr="00B00963" w:rsidRDefault="003C0206" w:rsidP="003C0206">
      <w:pPr>
        <w:pStyle w:val="BlockText"/>
        <w:tabs>
          <w:tab w:val="left" w:pos="0"/>
        </w:tabs>
        <w:ind w:left="0" w:right="0"/>
        <w:jc w:val="both"/>
        <w:rPr>
          <w:rFonts w:ascii="Times New Roman" w:hAnsi="Times New Roman"/>
          <w:sz w:val="24"/>
          <w:szCs w:val="24"/>
        </w:rPr>
      </w:pPr>
    </w:p>
    <w:p w14:paraId="4A924E4C" w14:textId="77777777" w:rsidR="003C0206" w:rsidRPr="00B00963" w:rsidRDefault="003C0206" w:rsidP="003C0206">
      <w:pPr>
        <w:pStyle w:val="BodyTextIndent"/>
        <w:tabs>
          <w:tab w:val="left" w:pos="0"/>
        </w:tabs>
        <w:ind w:left="0" w:firstLine="0"/>
        <w:jc w:val="both"/>
        <w:rPr>
          <w:rFonts w:ascii="Times New Roman" w:hAnsi="Times New Roman"/>
          <w:sz w:val="24"/>
          <w:szCs w:val="24"/>
        </w:rPr>
      </w:pPr>
    </w:p>
    <w:p w14:paraId="69D29E3C" w14:textId="1A549D19" w:rsidR="003C0206" w:rsidRPr="00B00963" w:rsidRDefault="003C0206" w:rsidP="003C0206">
      <w:pPr>
        <w:pStyle w:val="BodyTextIndent"/>
        <w:tabs>
          <w:tab w:val="left" w:pos="0"/>
        </w:tabs>
        <w:ind w:left="0" w:firstLine="0"/>
        <w:jc w:val="both"/>
        <w:rPr>
          <w:rFonts w:ascii="Times New Roman" w:hAnsi="Times New Roman"/>
          <w:b/>
          <w:sz w:val="24"/>
          <w:u w:val="single"/>
        </w:rPr>
      </w:pPr>
      <w:r w:rsidRPr="007F152B">
        <w:rPr>
          <w:rFonts w:ascii="Times New Roman" w:hAnsi="Times New Roman"/>
          <w:b/>
          <w:sz w:val="24"/>
        </w:rPr>
        <w:t>II.</w:t>
      </w:r>
      <w:r w:rsidR="007F152B">
        <w:rPr>
          <w:rFonts w:ascii="Times New Roman" w:hAnsi="Times New Roman"/>
          <w:b/>
          <w:sz w:val="24"/>
        </w:rPr>
        <w:tab/>
      </w:r>
      <w:r w:rsidRPr="00B00963">
        <w:rPr>
          <w:rFonts w:ascii="Times New Roman" w:hAnsi="Times New Roman"/>
          <w:b/>
          <w:sz w:val="24"/>
          <w:u w:val="single"/>
        </w:rPr>
        <w:t>COMMISSION ACTION</w:t>
      </w:r>
    </w:p>
    <w:p w14:paraId="500D61D3" w14:textId="77777777" w:rsidR="003C0206" w:rsidRPr="00B00963" w:rsidRDefault="003C0206" w:rsidP="003C0206">
      <w:pPr>
        <w:jc w:val="both"/>
        <w:rPr>
          <w:rFonts w:ascii="Times New Roman" w:hAnsi="Times New Roman"/>
        </w:rPr>
      </w:pPr>
    </w:p>
    <w:p w14:paraId="2C6EC96C" w14:textId="3A613C01" w:rsidR="003C0206" w:rsidRPr="00B00963" w:rsidRDefault="003C0206" w:rsidP="003C0206">
      <w:pPr>
        <w:jc w:val="both"/>
        <w:rPr>
          <w:rFonts w:ascii="Times New Roman" w:hAnsi="Times New Roman"/>
          <w:szCs w:val="24"/>
        </w:rPr>
      </w:pPr>
      <w:r w:rsidRPr="00B00963">
        <w:rPr>
          <w:rFonts w:ascii="Times New Roman" w:hAnsi="Times New Roman"/>
        </w:rPr>
        <w:t xml:space="preserve">  </w:t>
      </w:r>
      <w:r w:rsidRPr="00B00963">
        <w:rPr>
          <w:rFonts w:ascii="Times New Roman" w:hAnsi="Times New Roman"/>
        </w:rPr>
        <w:tab/>
      </w:r>
      <w:r w:rsidRPr="00B00963">
        <w:rPr>
          <w:rFonts w:ascii="Times New Roman" w:hAnsi="Times New Roman"/>
          <w:szCs w:val="24"/>
        </w:rPr>
        <w:t xml:space="preserve">Following its rebuttal testimony, the Company </w:t>
      </w:r>
      <w:r w:rsidR="00BC0383">
        <w:rPr>
          <w:rFonts w:ascii="Times New Roman" w:hAnsi="Times New Roman"/>
          <w:szCs w:val="24"/>
        </w:rPr>
        <w:t>filed</w:t>
      </w:r>
      <w:r w:rsidR="00BC0383" w:rsidRPr="00B00963">
        <w:rPr>
          <w:rFonts w:ascii="Times New Roman" w:hAnsi="Times New Roman"/>
          <w:szCs w:val="24"/>
        </w:rPr>
        <w:t xml:space="preserve"> </w:t>
      </w:r>
      <w:r w:rsidR="00BC0383">
        <w:rPr>
          <w:rFonts w:ascii="Times New Roman" w:hAnsi="Times New Roman"/>
          <w:szCs w:val="24"/>
        </w:rPr>
        <w:t>a proposed</w:t>
      </w:r>
      <w:r w:rsidRPr="00B00963">
        <w:rPr>
          <w:rFonts w:ascii="Times New Roman" w:hAnsi="Times New Roman"/>
          <w:szCs w:val="24"/>
        </w:rPr>
        <w:t xml:space="preserve"> Settlement Agreement</w:t>
      </w:r>
      <w:r w:rsidR="008F0CEC">
        <w:rPr>
          <w:rFonts w:ascii="Times New Roman" w:hAnsi="Times New Roman"/>
          <w:szCs w:val="24"/>
        </w:rPr>
        <w:t xml:space="preserve"> (“</w:t>
      </w:r>
      <w:r w:rsidR="00BC0383">
        <w:rPr>
          <w:rFonts w:ascii="Times New Roman" w:hAnsi="Times New Roman"/>
          <w:szCs w:val="24"/>
        </w:rPr>
        <w:t xml:space="preserve">Proposed </w:t>
      </w:r>
      <w:r w:rsidR="008F0CEC">
        <w:rPr>
          <w:rFonts w:ascii="Times New Roman" w:hAnsi="Times New Roman"/>
          <w:szCs w:val="24"/>
        </w:rPr>
        <w:t>Agreement”)</w:t>
      </w:r>
      <w:r w:rsidRPr="00B00963">
        <w:rPr>
          <w:rFonts w:ascii="Times New Roman" w:hAnsi="Times New Roman"/>
          <w:szCs w:val="24"/>
        </w:rPr>
        <w:t xml:space="preserve"> </w:t>
      </w:r>
      <w:r w:rsidR="008F0CEC">
        <w:rPr>
          <w:rFonts w:ascii="Times New Roman" w:hAnsi="Times New Roman"/>
          <w:szCs w:val="24"/>
        </w:rPr>
        <w:t>intended</w:t>
      </w:r>
      <w:r w:rsidR="008F0CEC" w:rsidRPr="00B00963">
        <w:rPr>
          <w:rFonts w:ascii="Times New Roman" w:hAnsi="Times New Roman"/>
          <w:szCs w:val="24"/>
        </w:rPr>
        <w:t xml:space="preserve"> </w:t>
      </w:r>
      <w:r w:rsidRPr="00B00963">
        <w:rPr>
          <w:rFonts w:ascii="Times New Roman" w:hAnsi="Times New Roman"/>
          <w:szCs w:val="24"/>
        </w:rPr>
        <w:t xml:space="preserve">to resolve the issues </w:t>
      </w:r>
      <w:r w:rsidR="00C43F50">
        <w:rPr>
          <w:rFonts w:ascii="Times New Roman" w:hAnsi="Times New Roman"/>
          <w:szCs w:val="24"/>
        </w:rPr>
        <w:t xml:space="preserve">in the case except for the return on equity (“ROE”) </w:t>
      </w:r>
      <w:r w:rsidR="00182DB2">
        <w:rPr>
          <w:rFonts w:ascii="Times New Roman" w:hAnsi="Times New Roman"/>
          <w:szCs w:val="24"/>
        </w:rPr>
        <w:t xml:space="preserve">to be assumed in setting the Company’s retail rates </w:t>
      </w:r>
      <w:r w:rsidR="00C43F50">
        <w:rPr>
          <w:rFonts w:ascii="Times New Roman" w:hAnsi="Times New Roman"/>
          <w:szCs w:val="24"/>
        </w:rPr>
        <w:t xml:space="preserve">and the </w:t>
      </w:r>
      <w:r w:rsidR="00182DB2">
        <w:rPr>
          <w:rFonts w:ascii="Times New Roman" w:hAnsi="Times New Roman"/>
          <w:szCs w:val="24"/>
        </w:rPr>
        <w:t xml:space="preserve">appropriate level of equity in the Company’s </w:t>
      </w:r>
      <w:r w:rsidR="00C43F50">
        <w:rPr>
          <w:rFonts w:ascii="Times New Roman" w:hAnsi="Times New Roman"/>
          <w:szCs w:val="24"/>
        </w:rPr>
        <w:t>capital structure</w:t>
      </w:r>
      <w:r w:rsidRPr="00B00963">
        <w:rPr>
          <w:rFonts w:ascii="Times New Roman" w:hAnsi="Times New Roman"/>
          <w:szCs w:val="24"/>
        </w:rPr>
        <w:t xml:space="preserve">. </w:t>
      </w:r>
      <w:r w:rsidR="00182DB2">
        <w:rPr>
          <w:rFonts w:ascii="Times New Roman" w:hAnsi="Times New Roman"/>
          <w:szCs w:val="24"/>
        </w:rPr>
        <w:t>Other than those two issues, the</w:t>
      </w:r>
      <w:r w:rsidR="00942D4A">
        <w:rPr>
          <w:rFonts w:ascii="Times New Roman" w:hAnsi="Times New Roman"/>
          <w:szCs w:val="24"/>
        </w:rPr>
        <w:t xml:space="preserve"> Proposed Agreement provided that </w:t>
      </w:r>
      <w:r w:rsidR="00182DB2">
        <w:rPr>
          <w:rFonts w:ascii="Times New Roman" w:hAnsi="Times New Roman"/>
          <w:szCs w:val="24"/>
        </w:rPr>
        <w:t>Company’s filing w</w:t>
      </w:r>
      <w:r w:rsidR="00942D4A">
        <w:rPr>
          <w:rFonts w:ascii="Times New Roman" w:hAnsi="Times New Roman"/>
          <w:szCs w:val="24"/>
        </w:rPr>
        <w:t>ould be</w:t>
      </w:r>
      <w:r w:rsidR="00182DB2">
        <w:rPr>
          <w:rFonts w:ascii="Times New Roman" w:hAnsi="Times New Roman"/>
          <w:szCs w:val="24"/>
        </w:rPr>
        <w:t xml:space="preserve"> accepted with </w:t>
      </w:r>
      <w:r w:rsidR="00942D4A">
        <w:rPr>
          <w:rFonts w:ascii="Times New Roman" w:hAnsi="Times New Roman"/>
          <w:szCs w:val="24"/>
        </w:rPr>
        <w:t xml:space="preserve">the </w:t>
      </w:r>
      <w:r w:rsidR="00182DB2">
        <w:rPr>
          <w:rFonts w:ascii="Times New Roman" w:hAnsi="Times New Roman"/>
          <w:szCs w:val="24"/>
        </w:rPr>
        <w:t>modifications</w:t>
      </w:r>
      <w:r w:rsidR="00942D4A">
        <w:rPr>
          <w:rFonts w:ascii="Times New Roman" w:hAnsi="Times New Roman"/>
          <w:szCs w:val="24"/>
        </w:rPr>
        <w:t xml:space="preserve"> contained in the Proposed Agreement</w:t>
      </w:r>
      <w:r w:rsidR="00182DB2">
        <w:rPr>
          <w:rFonts w:ascii="Times New Roman" w:hAnsi="Times New Roman"/>
          <w:szCs w:val="24"/>
        </w:rPr>
        <w:t xml:space="preserve">. </w:t>
      </w:r>
      <w:r w:rsidRPr="00B00963">
        <w:rPr>
          <w:rFonts w:ascii="Times New Roman" w:hAnsi="Times New Roman"/>
          <w:szCs w:val="24"/>
        </w:rPr>
        <w:t xml:space="preserve">The </w:t>
      </w:r>
      <w:r w:rsidR="006543A3">
        <w:rPr>
          <w:rFonts w:ascii="Times New Roman" w:hAnsi="Times New Roman"/>
          <w:szCs w:val="24"/>
        </w:rPr>
        <w:t>Proposed</w:t>
      </w:r>
      <w:r w:rsidR="006543A3" w:rsidRPr="00B00963">
        <w:rPr>
          <w:rFonts w:ascii="Times New Roman" w:hAnsi="Times New Roman"/>
          <w:szCs w:val="24"/>
        </w:rPr>
        <w:t xml:space="preserve"> </w:t>
      </w:r>
      <w:r w:rsidRPr="00B00963">
        <w:rPr>
          <w:rFonts w:ascii="Times New Roman" w:hAnsi="Times New Roman"/>
          <w:szCs w:val="24"/>
        </w:rPr>
        <w:t xml:space="preserve">Agreement was executed on behalf of the Company and several </w:t>
      </w:r>
      <w:r w:rsidR="000253BA">
        <w:rPr>
          <w:rFonts w:ascii="Times New Roman" w:hAnsi="Times New Roman"/>
          <w:szCs w:val="24"/>
        </w:rPr>
        <w:t>I</w:t>
      </w:r>
      <w:r w:rsidRPr="00B00963">
        <w:rPr>
          <w:rFonts w:ascii="Times New Roman" w:hAnsi="Times New Roman"/>
          <w:szCs w:val="24"/>
        </w:rPr>
        <w:t xml:space="preserve">ntervenors. The following parties executed the </w:t>
      </w:r>
      <w:r w:rsidR="006543A3">
        <w:rPr>
          <w:rFonts w:ascii="Times New Roman" w:hAnsi="Times New Roman"/>
          <w:szCs w:val="24"/>
        </w:rPr>
        <w:t>Proposed</w:t>
      </w:r>
      <w:r w:rsidR="006543A3" w:rsidRPr="00B00963">
        <w:rPr>
          <w:rFonts w:ascii="Times New Roman" w:hAnsi="Times New Roman"/>
          <w:szCs w:val="24"/>
        </w:rPr>
        <w:t xml:space="preserve"> </w:t>
      </w:r>
      <w:r w:rsidRPr="00B00963">
        <w:rPr>
          <w:rFonts w:ascii="Times New Roman" w:hAnsi="Times New Roman"/>
          <w:szCs w:val="24"/>
        </w:rPr>
        <w:t>Agreement: the Commercial Group, GIG, GA</w:t>
      </w:r>
      <w:r w:rsidR="00182DB2">
        <w:rPr>
          <w:rFonts w:ascii="Times New Roman" w:hAnsi="Times New Roman"/>
          <w:szCs w:val="24"/>
        </w:rPr>
        <w:t>M</w:t>
      </w:r>
      <w:r w:rsidRPr="00B00963">
        <w:rPr>
          <w:rFonts w:ascii="Times New Roman" w:hAnsi="Times New Roman"/>
          <w:szCs w:val="24"/>
        </w:rPr>
        <w:t>, the City of Atlanta, MARTA, and Kroger.</w:t>
      </w:r>
      <w:r w:rsidRPr="00B00963">
        <w:rPr>
          <w:rStyle w:val="FootnoteReference"/>
          <w:rFonts w:ascii="Times New Roman" w:hAnsi="Times New Roman"/>
          <w:szCs w:val="24"/>
        </w:rPr>
        <w:t xml:space="preserve"> </w:t>
      </w:r>
      <w:r w:rsidR="00182DB2">
        <w:rPr>
          <w:rFonts w:ascii="Times New Roman" w:hAnsi="Times New Roman"/>
          <w:szCs w:val="24"/>
        </w:rPr>
        <w:t xml:space="preserve"> </w:t>
      </w:r>
    </w:p>
    <w:p w14:paraId="3132120C" w14:textId="77777777" w:rsidR="003C0206" w:rsidRPr="00B00963" w:rsidRDefault="003C0206" w:rsidP="003C0206">
      <w:pPr>
        <w:jc w:val="both"/>
        <w:rPr>
          <w:rFonts w:ascii="Times New Roman" w:hAnsi="Times New Roman"/>
          <w:szCs w:val="24"/>
        </w:rPr>
      </w:pPr>
    </w:p>
    <w:p w14:paraId="68EB19B8" w14:textId="13C65AC1" w:rsidR="003C0206" w:rsidRPr="00B00963" w:rsidRDefault="00741A01" w:rsidP="003C0206">
      <w:pPr>
        <w:ind w:firstLine="720"/>
        <w:jc w:val="both"/>
        <w:rPr>
          <w:rFonts w:ascii="Times New Roman" w:hAnsi="Times New Roman"/>
          <w:szCs w:val="24"/>
        </w:rPr>
      </w:pPr>
      <w:r>
        <w:rPr>
          <w:rFonts w:ascii="Times New Roman" w:hAnsi="Times New Roman"/>
          <w:szCs w:val="24"/>
        </w:rPr>
        <w:t>Under t</w:t>
      </w:r>
      <w:r w:rsidR="003C0206" w:rsidRPr="00B00963">
        <w:rPr>
          <w:rFonts w:ascii="Times New Roman" w:hAnsi="Times New Roman"/>
          <w:szCs w:val="24"/>
        </w:rPr>
        <w:t xml:space="preserve">he </w:t>
      </w:r>
      <w:r>
        <w:rPr>
          <w:rFonts w:ascii="Times New Roman" w:hAnsi="Times New Roman"/>
          <w:szCs w:val="24"/>
        </w:rPr>
        <w:t>Proposed</w:t>
      </w:r>
      <w:r w:rsidRPr="00B00963">
        <w:rPr>
          <w:rFonts w:ascii="Times New Roman" w:hAnsi="Times New Roman"/>
          <w:szCs w:val="24"/>
        </w:rPr>
        <w:t xml:space="preserve"> </w:t>
      </w:r>
      <w:r w:rsidR="003C0206" w:rsidRPr="00B00963">
        <w:rPr>
          <w:rFonts w:ascii="Times New Roman" w:hAnsi="Times New Roman"/>
          <w:szCs w:val="24"/>
        </w:rPr>
        <w:t>Agreement</w:t>
      </w:r>
      <w:r>
        <w:rPr>
          <w:rFonts w:ascii="Times New Roman" w:hAnsi="Times New Roman"/>
          <w:szCs w:val="24"/>
        </w:rPr>
        <w:t>,</w:t>
      </w:r>
      <w:r w:rsidR="003C0206" w:rsidRPr="00B00963">
        <w:rPr>
          <w:rFonts w:ascii="Times New Roman" w:hAnsi="Times New Roman"/>
          <w:szCs w:val="24"/>
        </w:rPr>
        <w:t xml:space="preserve"> rates </w:t>
      </w:r>
      <w:r>
        <w:rPr>
          <w:rFonts w:ascii="Times New Roman" w:hAnsi="Times New Roman"/>
          <w:szCs w:val="24"/>
        </w:rPr>
        <w:t>would</w:t>
      </w:r>
      <w:r w:rsidRPr="00B00963">
        <w:rPr>
          <w:rFonts w:ascii="Times New Roman" w:hAnsi="Times New Roman"/>
          <w:szCs w:val="24"/>
        </w:rPr>
        <w:t xml:space="preserve"> </w:t>
      </w:r>
      <w:r w:rsidR="003C0206" w:rsidRPr="00B00963">
        <w:rPr>
          <w:rFonts w:ascii="Times New Roman" w:hAnsi="Times New Roman"/>
          <w:szCs w:val="24"/>
        </w:rPr>
        <w:t xml:space="preserve">go into effect January 1, 2020 using a three-year ARP with an earnings band of 9.50% to 12.00%. </w:t>
      </w:r>
      <w:r w:rsidR="003C0206" w:rsidRPr="00B00963" w:rsidDel="00741A01">
        <w:rPr>
          <w:rFonts w:ascii="Times New Roman" w:hAnsi="Times New Roman"/>
          <w:szCs w:val="24"/>
        </w:rPr>
        <w:t xml:space="preserve">Rates under the </w:t>
      </w:r>
      <w:r w:rsidR="00182DB2" w:rsidDel="00741A01">
        <w:rPr>
          <w:rFonts w:ascii="Times New Roman" w:hAnsi="Times New Roman"/>
          <w:szCs w:val="24"/>
        </w:rPr>
        <w:t>ARP</w:t>
      </w:r>
      <w:r w:rsidR="003C0206" w:rsidRPr="00B00963" w:rsidDel="00741A01">
        <w:rPr>
          <w:rFonts w:ascii="Times New Roman" w:hAnsi="Times New Roman"/>
          <w:szCs w:val="24"/>
        </w:rPr>
        <w:t xml:space="preserve"> would be set as described in the Settlement Agreement </w:t>
      </w:r>
      <w:r>
        <w:rPr>
          <w:rFonts w:ascii="Times New Roman" w:hAnsi="Times New Roman"/>
          <w:szCs w:val="24"/>
        </w:rPr>
        <w:t>using an</w:t>
      </w:r>
      <w:r w:rsidR="003C0206" w:rsidRPr="00B00963" w:rsidDel="00741A01">
        <w:rPr>
          <w:rFonts w:ascii="Times New Roman" w:hAnsi="Times New Roman"/>
          <w:szCs w:val="24"/>
        </w:rPr>
        <w:t xml:space="preserve"> ROE</w:t>
      </w:r>
      <w:r>
        <w:rPr>
          <w:rFonts w:ascii="Times New Roman" w:hAnsi="Times New Roman"/>
          <w:szCs w:val="24"/>
        </w:rPr>
        <w:t xml:space="preserve"> and capital structure to be set by the Commission</w:t>
      </w:r>
      <w:r w:rsidR="00182DB2" w:rsidDel="00741A01">
        <w:rPr>
          <w:rFonts w:ascii="Times New Roman" w:hAnsi="Times New Roman"/>
          <w:szCs w:val="24"/>
        </w:rPr>
        <w:t>.</w:t>
      </w:r>
      <w:r w:rsidR="003C0206" w:rsidRPr="00B00963" w:rsidDel="00741A01">
        <w:rPr>
          <w:rFonts w:ascii="Times New Roman" w:hAnsi="Times New Roman"/>
          <w:szCs w:val="24"/>
        </w:rPr>
        <w:t xml:space="preserve"> </w:t>
      </w:r>
      <w:r w:rsidR="003C0206" w:rsidRPr="00B00963">
        <w:rPr>
          <w:rFonts w:ascii="Times New Roman" w:hAnsi="Times New Roman"/>
          <w:szCs w:val="24"/>
        </w:rPr>
        <w:t xml:space="preserve">The </w:t>
      </w:r>
      <w:r>
        <w:rPr>
          <w:rFonts w:ascii="Times New Roman" w:hAnsi="Times New Roman"/>
          <w:szCs w:val="24"/>
        </w:rPr>
        <w:t>Proposed</w:t>
      </w:r>
      <w:r w:rsidRPr="00B00963">
        <w:rPr>
          <w:rFonts w:ascii="Times New Roman" w:hAnsi="Times New Roman"/>
          <w:szCs w:val="24"/>
        </w:rPr>
        <w:t xml:space="preserve"> </w:t>
      </w:r>
      <w:r w:rsidR="003C0206" w:rsidRPr="00B00963">
        <w:rPr>
          <w:rFonts w:ascii="Times New Roman" w:hAnsi="Times New Roman"/>
          <w:szCs w:val="24"/>
        </w:rPr>
        <w:t>Agreement further provided for the continuation of the ECCR Tariff which w</w:t>
      </w:r>
      <w:r>
        <w:rPr>
          <w:rFonts w:ascii="Times New Roman" w:hAnsi="Times New Roman"/>
          <w:szCs w:val="24"/>
        </w:rPr>
        <w:t>ould</w:t>
      </w:r>
      <w:r w:rsidR="003C0206" w:rsidRPr="00B00963">
        <w:rPr>
          <w:rFonts w:ascii="Times New Roman" w:hAnsi="Times New Roman"/>
          <w:szCs w:val="24"/>
        </w:rPr>
        <w:t xml:space="preserve"> collect certain environmental costs </w:t>
      </w:r>
      <w:r w:rsidR="00182DB2">
        <w:rPr>
          <w:rFonts w:ascii="Times New Roman" w:hAnsi="Times New Roman"/>
          <w:szCs w:val="24"/>
        </w:rPr>
        <w:t>that</w:t>
      </w:r>
      <w:r w:rsidR="00182DB2" w:rsidRPr="00B00963">
        <w:rPr>
          <w:rFonts w:ascii="Times New Roman" w:hAnsi="Times New Roman"/>
          <w:szCs w:val="24"/>
        </w:rPr>
        <w:t xml:space="preserve"> </w:t>
      </w:r>
      <w:r w:rsidR="003C0206" w:rsidRPr="00B00963">
        <w:rPr>
          <w:rFonts w:ascii="Times New Roman" w:hAnsi="Times New Roman"/>
          <w:szCs w:val="24"/>
        </w:rPr>
        <w:t>will be incurred by the Company including compliance with Coal Combustion Residual Asset Retirement Obligations</w:t>
      </w:r>
      <w:r w:rsidR="00182DB2">
        <w:rPr>
          <w:rFonts w:ascii="Times New Roman" w:hAnsi="Times New Roman"/>
          <w:szCs w:val="24"/>
        </w:rPr>
        <w:t xml:space="preserve"> (“CCR ARO”)</w:t>
      </w:r>
      <w:r w:rsidR="003C0206" w:rsidRPr="00B00963">
        <w:rPr>
          <w:rFonts w:ascii="Times New Roman" w:hAnsi="Times New Roman"/>
          <w:szCs w:val="24"/>
        </w:rPr>
        <w:t xml:space="preserve">. </w:t>
      </w:r>
      <w:r w:rsidR="003C0206" w:rsidRPr="00B00963">
        <w:rPr>
          <w:rFonts w:ascii="Times New Roman" w:hAnsi="Times New Roman"/>
        </w:rPr>
        <w:t xml:space="preserve">The </w:t>
      </w:r>
      <w:r w:rsidR="00A53181">
        <w:rPr>
          <w:rFonts w:ascii="Times New Roman" w:hAnsi="Times New Roman"/>
        </w:rPr>
        <w:t>Proposed</w:t>
      </w:r>
      <w:r w:rsidR="00A53181" w:rsidRPr="00B00963">
        <w:rPr>
          <w:rFonts w:ascii="Times New Roman" w:hAnsi="Times New Roman"/>
        </w:rPr>
        <w:t xml:space="preserve"> </w:t>
      </w:r>
      <w:r w:rsidR="003C0206" w:rsidRPr="00B00963">
        <w:rPr>
          <w:rFonts w:ascii="Times New Roman" w:hAnsi="Times New Roman"/>
        </w:rPr>
        <w:t>Agreement further provide</w:t>
      </w:r>
      <w:r>
        <w:rPr>
          <w:rFonts w:ascii="Times New Roman" w:hAnsi="Times New Roman"/>
        </w:rPr>
        <w:t>d</w:t>
      </w:r>
      <w:r w:rsidR="003C0206" w:rsidRPr="00B00963">
        <w:rPr>
          <w:rFonts w:ascii="Times New Roman" w:hAnsi="Times New Roman"/>
        </w:rPr>
        <w:t xml:space="preserve"> for an increase in the </w:t>
      </w:r>
      <w:r w:rsidR="00182DB2">
        <w:rPr>
          <w:rFonts w:ascii="Times New Roman" w:hAnsi="Times New Roman"/>
        </w:rPr>
        <w:t>MFF</w:t>
      </w:r>
      <w:r w:rsidR="003C0206" w:rsidRPr="00B00963">
        <w:rPr>
          <w:rFonts w:ascii="Times New Roman" w:hAnsi="Times New Roman"/>
        </w:rPr>
        <w:t xml:space="preserve"> tariff as well as an increase in the DSM tariffs.</w:t>
      </w:r>
      <w:r w:rsidR="003C0206" w:rsidRPr="00B00963">
        <w:rPr>
          <w:rFonts w:ascii="Times New Roman" w:hAnsi="Times New Roman"/>
          <w:szCs w:val="24"/>
        </w:rPr>
        <w:t xml:space="preserve"> </w:t>
      </w:r>
    </w:p>
    <w:p w14:paraId="1E468D00" w14:textId="77777777" w:rsidR="003C0206" w:rsidRPr="00B00963" w:rsidRDefault="003C0206" w:rsidP="003C0206">
      <w:pPr>
        <w:jc w:val="both"/>
        <w:rPr>
          <w:rFonts w:ascii="Times New Roman" w:hAnsi="Times New Roman"/>
          <w:szCs w:val="24"/>
        </w:rPr>
      </w:pPr>
    </w:p>
    <w:p w14:paraId="139BF4B9" w14:textId="449E5478" w:rsidR="003C0206" w:rsidRPr="00B00963" w:rsidRDefault="003C0206" w:rsidP="003C0206">
      <w:pPr>
        <w:ind w:firstLine="720"/>
        <w:jc w:val="both"/>
        <w:rPr>
          <w:rFonts w:ascii="Times New Roman" w:hAnsi="Times New Roman"/>
          <w:szCs w:val="24"/>
        </w:rPr>
      </w:pPr>
      <w:r w:rsidRPr="00B00963">
        <w:rPr>
          <w:rFonts w:ascii="Times New Roman" w:hAnsi="Times New Roman"/>
          <w:szCs w:val="24"/>
        </w:rPr>
        <w:t xml:space="preserve">The </w:t>
      </w:r>
      <w:r w:rsidR="00741A01">
        <w:rPr>
          <w:rFonts w:ascii="Times New Roman" w:hAnsi="Times New Roman"/>
          <w:szCs w:val="24"/>
        </w:rPr>
        <w:t>Proposed</w:t>
      </w:r>
      <w:r w:rsidR="00741A01" w:rsidRPr="00B00963">
        <w:rPr>
          <w:rFonts w:ascii="Times New Roman" w:hAnsi="Times New Roman"/>
          <w:szCs w:val="24"/>
        </w:rPr>
        <w:t xml:space="preserve"> </w:t>
      </w:r>
      <w:r w:rsidRPr="00B00963">
        <w:rPr>
          <w:rFonts w:ascii="Times New Roman" w:hAnsi="Times New Roman"/>
          <w:szCs w:val="24"/>
        </w:rPr>
        <w:t>Agreement also provide</w:t>
      </w:r>
      <w:r w:rsidR="00741A01">
        <w:rPr>
          <w:rFonts w:ascii="Times New Roman" w:hAnsi="Times New Roman"/>
          <w:szCs w:val="24"/>
        </w:rPr>
        <w:t>d</w:t>
      </w:r>
      <w:r w:rsidRPr="00B00963">
        <w:rPr>
          <w:rFonts w:ascii="Times New Roman" w:hAnsi="Times New Roman"/>
          <w:szCs w:val="24"/>
        </w:rPr>
        <w:t xml:space="preserve"> that the traditional base tariffs </w:t>
      </w:r>
      <w:r w:rsidR="00741A01">
        <w:rPr>
          <w:rFonts w:ascii="Times New Roman" w:hAnsi="Times New Roman"/>
          <w:szCs w:val="24"/>
        </w:rPr>
        <w:t>would</w:t>
      </w:r>
      <w:r w:rsidR="00741A01" w:rsidRPr="00B00963">
        <w:rPr>
          <w:rFonts w:ascii="Times New Roman" w:hAnsi="Times New Roman"/>
          <w:szCs w:val="24"/>
        </w:rPr>
        <w:t xml:space="preserve"> </w:t>
      </w:r>
      <w:r w:rsidRPr="00B00963">
        <w:rPr>
          <w:rFonts w:ascii="Times New Roman" w:hAnsi="Times New Roman"/>
          <w:szCs w:val="24"/>
        </w:rPr>
        <w:t xml:space="preserve">be adjusted in 2021 and 2022 to recover the revenue requirements for traditional base rates, the ECCR tariff, the DSM tariffs, and the </w:t>
      </w:r>
      <w:r w:rsidR="007F152B">
        <w:rPr>
          <w:rFonts w:ascii="Times New Roman" w:hAnsi="Times New Roman"/>
        </w:rPr>
        <w:t>MFF</w:t>
      </w:r>
      <w:r w:rsidRPr="00B00963">
        <w:rPr>
          <w:rFonts w:ascii="Times New Roman" w:hAnsi="Times New Roman"/>
        </w:rPr>
        <w:t xml:space="preserve"> tariff. </w:t>
      </w:r>
      <w:r w:rsidRPr="0079234C">
        <w:rPr>
          <w:rFonts w:ascii="Times New Roman" w:hAnsi="Times New Roman"/>
          <w:szCs w:val="24"/>
        </w:rPr>
        <w:t xml:space="preserve">The </w:t>
      </w:r>
      <w:r w:rsidR="00741A01">
        <w:rPr>
          <w:rFonts w:ascii="Times New Roman" w:hAnsi="Times New Roman"/>
          <w:szCs w:val="24"/>
        </w:rPr>
        <w:t>Proposed</w:t>
      </w:r>
      <w:r w:rsidR="00741A01" w:rsidRPr="0079234C">
        <w:rPr>
          <w:rFonts w:ascii="Times New Roman" w:hAnsi="Times New Roman"/>
          <w:szCs w:val="24"/>
        </w:rPr>
        <w:t xml:space="preserve"> </w:t>
      </w:r>
      <w:r w:rsidRPr="0079234C">
        <w:rPr>
          <w:rFonts w:ascii="Times New Roman" w:hAnsi="Times New Roman"/>
          <w:szCs w:val="24"/>
        </w:rPr>
        <w:t>Agreement also provide</w:t>
      </w:r>
      <w:r w:rsidR="00741A01">
        <w:rPr>
          <w:rFonts w:ascii="Times New Roman" w:hAnsi="Times New Roman"/>
          <w:szCs w:val="24"/>
        </w:rPr>
        <w:t>d</w:t>
      </w:r>
      <w:r w:rsidRPr="0079234C">
        <w:rPr>
          <w:rFonts w:ascii="Times New Roman" w:hAnsi="Times New Roman"/>
          <w:szCs w:val="24"/>
        </w:rPr>
        <w:t xml:space="preserve"> for continuation of the Interim Cost Recovery (“ICR”) mechanism </w:t>
      </w:r>
      <w:r w:rsidRPr="00B00963">
        <w:rPr>
          <w:rFonts w:ascii="Times New Roman" w:hAnsi="Times New Roman"/>
          <w:szCs w:val="24"/>
        </w:rPr>
        <w:t xml:space="preserve">approved in the 2010 Rate Case in Docket No. 31958 throughout the term of this ARP utilizing the earnings band in Paragraph 6 of the </w:t>
      </w:r>
      <w:r w:rsidR="00A53181">
        <w:rPr>
          <w:rFonts w:ascii="Times New Roman" w:hAnsi="Times New Roman"/>
          <w:szCs w:val="24"/>
        </w:rPr>
        <w:t>Proposed</w:t>
      </w:r>
      <w:r w:rsidR="00A53181" w:rsidRPr="00B00963">
        <w:rPr>
          <w:rFonts w:ascii="Times New Roman" w:hAnsi="Times New Roman"/>
          <w:szCs w:val="24"/>
        </w:rPr>
        <w:t xml:space="preserve"> </w:t>
      </w:r>
      <w:r w:rsidRPr="00B00963">
        <w:rPr>
          <w:rFonts w:ascii="Times New Roman" w:hAnsi="Times New Roman"/>
          <w:szCs w:val="24"/>
        </w:rPr>
        <w:t xml:space="preserve">Agreement. </w:t>
      </w:r>
      <w:r w:rsidRPr="00520AEB">
        <w:rPr>
          <w:rFonts w:ascii="Times New Roman" w:hAnsi="Times New Roman"/>
          <w:szCs w:val="24"/>
        </w:rPr>
        <w:t xml:space="preserve">For Annual Surveillance Reporting (“ASR”) purposes, beginning January 1, 2020, the earnings band </w:t>
      </w:r>
      <w:r w:rsidR="00741A01" w:rsidRPr="00520AEB">
        <w:rPr>
          <w:rFonts w:ascii="Times New Roman" w:hAnsi="Times New Roman"/>
          <w:szCs w:val="24"/>
        </w:rPr>
        <w:t xml:space="preserve">would </w:t>
      </w:r>
      <w:r w:rsidRPr="00520AEB">
        <w:rPr>
          <w:rFonts w:ascii="Times New Roman" w:hAnsi="Times New Roman"/>
          <w:szCs w:val="24"/>
        </w:rPr>
        <w:t xml:space="preserve">be set at 9.5% to 12.0% ROE and the Company </w:t>
      </w:r>
      <w:r w:rsidR="00741A01" w:rsidRPr="00520AEB">
        <w:rPr>
          <w:rFonts w:ascii="Times New Roman" w:hAnsi="Times New Roman"/>
          <w:szCs w:val="24"/>
        </w:rPr>
        <w:t xml:space="preserve">would </w:t>
      </w:r>
      <w:r w:rsidRPr="00520AEB">
        <w:rPr>
          <w:rFonts w:ascii="Times New Roman" w:hAnsi="Times New Roman"/>
          <w:szCs w:val="24"/>
        </w:rPr>
        <w:t xml:space="preserve">report earnings based on the actual historic cost of debt and approved capital structure.  The Company </w:t>
      </w:r>
      <w:r w:rsidR="00741A01" w:rsidRPr="00520AEB">
        <w:rPr>
          <w:rFonts w:ascii="Times New Roman" w:hAnsi="Times New Roman"/>
          <w:szCs w:val="24"/>
        </w:rPr>
        <w:t xml:space="preserve">would </w:t>
      </w:r>
      <w:r w:rsidRPr="00520AEB">
        <w:rPr>
          <w:rFonts w:ascii="Times New Roman" w:hAnsi="Times New Roman"/>
          <w:szCs w:val="24"/>
        </w:rPr>
        <w:t>not file a general rate case unless its calendar year retail earnings are projected to be less than 9.5% ROE.</w:t>
      </w:r>
    </w:p>
    <w:p w14:paraId="610807C4" w14:textId="77777777" w:rsidR="003C0206" w:rsidRPr="00B00963" w:rsidRDefault="003C0206" w:rsidP="003C0206">
      <w:pPr>
        <w:jc w:val="both"/>
        <w:rPr>
          <w:rFonts w:ascii="Times New Roman" w:hAnsi="Times New Roman"/>
        </w:rPr>
      </w:pPr>
    </w:p>
    <w:p w14:paraId="0C1ECAA4" w14:textId="3BA4022B" w:rsidR="003C0206" w:rsidRPr="0096564F" w:rsidRDefault="003C0206" w:rsidP="00741A01">
      <w:pPr>
        <w:pStyle w:val="BodyTextIndent"/>
        <w:tabs>
          <w:tab w:val="left" w:pos="0"/>
        </w:tabs>
        <w:ind w:left="0" w:firstLine="0"/>
        <w:jc w:val="both"/>
        <w:rPr>
          <w:rFonts w:ascii="Times New Roman" w:hAnsi="Times New Roman"/>
          <w:sz w:val="24"/>
          <w:szCs w:val="24"/>
        </w:rPr>
      </w:pPr>
      <w:r w:rsidRPr="00B00963">
        <w:rPr>
          <w:rFonts w:ascii="Times New Roman" w:hAnsi="Times New Roman"/>
          <w:sz w:val="24"/>
          <w:szCs w:val="24"/>
        </w:rPr>
        <w:lastRenderedPageBreak/>
        <w:tab/>
        <w:t xml:space="preserve">At its regular Administrative Session held on December 17, </w:t>
      </w:r>
      <w:r w:rsidR="00252AB6" w:rsidRPr="00B00963">
        <w:rPr>
          <w:rFonts w:ascii="Times New Roman" w:hAnsi="Times New Roman"/>
          <w:sz w:val="24"/>
          <w:szCs w:val="24"/>
        </w:rPr>
        <w:t>20</w:t>
      </w:r>
      <w:r w:rsidR="00252AB6">
        <w:rPr>
          <w:rFonts w:ascii="Times New Roman" w:hAnsi="Times New Roman"/>
          <w:sz w:val="24"/>
          <w:szCs w:val="24"/>
        </w:rPr>
        <w:t>19</w:t>
      </w:r>
      <w:r w:rsidRPr="00B00963">
        <w:rPr>
          <w:rFonts w:ascii="Times New Roman" w:hAnsi="Times New Roman"/>
          <w:sz w:val="24"/>
          <w:szCs w:val="24"/>
        </w:rPr>
        <w:t xml:space="preserve">, the Commission voted to adopt </w:t>
      </w:r>
      <w:r w:rsidR="00A02D90">
        <w:rPr>
          <w:rFonts w:ascii="Times New Roman" w:hAnsi="Times New Roman"/>
          <w:sz w:val="24"/>
          <w:szCs w:val="24"/>
        </w:rPr>
        <w:t xml:space="preserve">a Commissioner Motion (“Motion”) to accept </w:t>
      </w:r>
      <w:r w:rsidRPr="00B00963">
        <w:rPr>
          <w:rFonts w:ascii="Times New Roman" w:hAnsi="Times New Roman"/>
          <w:sz w:val="24"/>
          <w:szCs w:val="24"/>
        </w:rPr>
        <w:t xml:space="preserve">the </w:t>
      </w:r>
      <w:r w:rsidR="00942D4A">
        <w:rPr>
          <w:rFonts w:ascii="Times New Roman" w:hAnsi="Times New Roman"/>
          <w:sz w:val="24"/>
          <w:szCs w:val="24"/>
        </w:rPr>
        <w:t>Proposed</w:t>
      </w:r>
      <w:r w:rsidR="00942D4A" w:rsidRPr="00B00963">
        <w:rPr>
          <w:rFonts w:ascii="Times New Roman" w:hAnsi="Times New Roman"/>
          <w:sz w:val="24"/>
          <w:szCs w:val="24"/>
        </w:rPr>
        <w:t xml:space="preserve"> </w:t>
      </w:r>
      <w:r w:rsidRPr="00B00963">
        <w:rPr>
          <w:rFonts w:ascii="Times New Roman" w:hAnsi="Times New Roman"/>
          <w:sz w:val="24"/>
          <w:szCs w:val="24"/>
        </w:rPr>
        <w:t xml:space="preserve">Agreement with </w:t>
      </w:r>
      <w:r w:rsidR="00A02D90">
        <w:rPr>
          <w:rFonts w:ascii="Times New Roman" w:hAnsi="Times New Roman"/>
          <w:sz w:val="24"/>
          <w:szCs w:val="24"/>
        </w:rPr>
        <w:t>certain</w:t>
      </w:r>
      <w:r w:rsidR="00A02D90" w:rsidRPr="00B00963">
        <w:rPr>
          <w:rFonts w:ascii="Times New Roman" w:hAnsi="Times New Roman"/>
          <w:sz w:val="24"/>
          <w:szCs w:val="24"/>
        </w:rPr>
        <w:t xml:space="preserve"> </w:t>
      </w:r>
      <w:r w:rsidRPr="00B00963">
        <w:rPr>
          <w:rFonts w:ascii="Times New Roman" w:hAnsi="Times New Roman"/>
          <w:sz w:val="24"/>
          <w:szCs w:val="24"/>
        </w:rPr>
        <w:t>modifications</w:t>
      </w:r>
      <w:r>
        <w:rPr>
          <w:rFonts w:ascii="Times New Roman" w:hAnsi="Times New Roman"/>
          <w:sz w:val="24"/>
          <w:szCs w:val="24"/>
        </w:rPr>
        <w:t xml:space="preserve"> set forth in </w:t>
      </w:r>
      <w:r w:rsidRPr="00741A01">
        <w:rPr>
          <w:rFonts w:ascii="Times New Roman" w:hAnsi="Times New Roman"/>
          <w:sz w:val="24"/>
          <w:szCs w:val="24"/>
        </w:rPr>
        <w:t>the Motion</w:t>
      </w:r>
      <w:r w:rsidR="00741A01" w:rsidRPr="00741A01">
        <w:rPr>
          <w:rFonts w:ascii="Times New Roman" w:hAnsi="Times New Roman"/>
          <w:sz w:val="24"/>
          <w:szCs w:val="24"/>
        </w:rPr>
        <w:t>,</w:t>
      </w:r>
      <w:r w:rsidR="00741A01" w:rsidRPr="006A10D4">
        <w:rPr>
          <w:rFonts w:ascii="Times New Roman" w:hAnsi="Times New Roman"/>
          <w:sz w:val="24"/>
          <w:szCs w:val="24"/>
        </w:rPr>
        <w:t xml:space="preserve"> set the ROE at 10.50%, and set the capital structure at 56% equity and 44% debt</w:t>
      </w:r>
      <w:r w:rsidR="006543A3" w:rsidRPr="00741A01">
        <w:rPr>
          <w:rFonts w:ascii="Times New Roman" w:hAnsi="Times New Roman"/>
          <w:sz w:val="24"/>
          <w:szCs w:val="24"/>
        </w:rPr>
        <w:t xml:space="preserve"> </w:t>
      </w:r>
      <w:r w:rsidR="006543A3" w:rsidRPr="006A10D4">
        <w:rPr>
          <w:rFonts w:ascii="Times New Roman" w:hAnsi="Times New Roman"/>
          <w:sz w:val="24"/>
          <w:szCs w:val="24"/>
        </w:rPr>
        <w:t>(</w:t>
      </w:r>
      <w:r w:rsidR="00A53181">
        <w:rPr>
          <w:rFonts w:ascii="Times New Roman" w:hAnsi="Times New Roman"/>
          <w:sz w:val="24"/>
          <w:szCs w:val="24"/>
        </w:rPr>
        <w:t xml:space="preserve">referred to herein as the </w:t>
      </w:r>
      <w:r w:rsidR="006543A3" w:rsidRPr="006A10D4">
        <w:rPr>
          <w:rFonts w:ascii="Times New Roman" w:hAnsi="Times New Roman"/>
          <w:sz w:val="24"/>
          <w:szCs w:val="24"/>
        </w:rPr>
        <w:t>“Settlement Agreement as Modified”)</w:t>
      </w:r>
      <w:r w:rsidR="00353135" w:rsidRPr="006543A3">
        <w:rPr>
          <w:rFonts w:ascii="Times New Roman" w:hAnsi="Times New Roman"/>
          <w:sz w:val="24"/>
          <w:szCs w:val="24"/>
        </w:rPr>
        <w:t>.</w:t>
      </w:r>
      <w:r w:rsidR="002579F6">
        <w:rPr>
          <w:rFonts w:ascii="Times New Roman" w:hAnsi="Times New Roman"/>
          <w:sz w:val="24"/>
          <w:szCs w:val="24"/>
        </w:rPr>
        <w:t xml:space="preserve">  </w:t>
      </w:r>
      <w:r w:rsidR="008160C9" w:rsidRPr="00B00963">
        <w:rPr>
          <w:rFonts w:ascii="Times New Roman" w:hAnsi="Times New Roman"/>
          <w:sz w:val="24"/>
          <w:szCs w:val="24"/>
        </w:rPr>
        <w:t>At its regular</w:t>
      </w:r>
      <w:r w:rsidR="008160C9">
        <w:rPr>
          <w:rFonts w:ascii="Times New Roman" w:hAnsi="Times New Roman"/>
          <w:sz w:val="24"/>
          <w:szCs w:val="24"/>
        </w:rPr>
        <w:t xml:space="preserve"> Administrative Session held on</w:t>
      </w:r>
      <w:r w:rsidR="002579F6">
        <w:rPr>
          <w:rFonts w:ascii="Times New Roman" w:hAnsi="Times New Roman"/>
          <w:sz w:val="24"/>
          <w:szCs w:val="24"/>
        </w:rPr>
        <w:t xml:space="preserve"> February 4, </w:t>
      </w:r>
      <w:r w:rsidR="008160C9">
        <w:rPr>
          <w:rFonts w:ascii="Times New Roman" w:hAnsi="Times New Roman"/>
          <w:sz w:val="24"/>
          <w:szCs w:val="24"/>
        </w:rPr>
        <w:t xml:space="preserve">2020, the Commission clarified its decision to explain that </w:t>
      </w:r>
      <w:r w:rsidR="008160C9" w:rsidRPr="0096564F">
        <w:rPr>
          <w:rFonts w:ascii="Times New Roman" w:hAnsi="Times New Roman"/>
          <w:sz w:val="24"/>
          <w:szCs w:val="24"/>
        </w:rPr>
        <w:t>the</w:t>
      </w:r>
      <w:r w:rsidR="002579F6" w:rsidRPr="0096564F">
        <w:rPr>
          <w:rFonts w:ascii="Times New Roman" w:hAnsi="Times New Roman"/>
          <w:sz w:val="24"/>
          <w:szCs w:val="24"/>
        </w:rPr>
        <w:t xml:space="preserve"> </w:t>
      </w:r>
      <w:r w:rsidR="008160C9" w:rsidRPr="00F14061">
        <w:rPr>
          <w:rFonts w:ascii="Times New Roman" w:hAnsi="Times New Roman"/>
          <w:sz w:val="24"/>
          <w:szCs w:val="24"/>
        </w:rPr>
        <w:t xml:space="preserve">32 MW threshold for installed rooftop solar capacity relating to Behind the Meter netting was </w:t>
      </w:r>
      <w:r w:rsidR="008C0074" w:rsidRPr="00F14061">
        <w:rPr>
          <w:rFonts w:ascii="Times New Roman" w:hAnsi="Times New Roman"/>
          <w:sz w:val="24"/>
          <w:szCs w:val="24"/>
        </w:rPr>
        <w:t xml:space="preserve">for </w:t>
      </w:r>
      <w:r w:rsidR="008160C9" w:rsidRPr="00F14061">
        <w:rPr>
          <w:rFonts w:ascii="Times New Roman" w:hAnsi="Times New Roman"/>
          <w:bCs/>
          <w:sz w:val="24"/>
          <w:szCs w:val="24"/>
        </w:rPr>
        <w:t>newly</w:t>
      </w:r>
      <w:r w:rsidR="008160C9" w:rsidRPr="00F14061">
        <w:rPr>
          <w:rFonts w:ascii="Times New Roman" w:hAnsi="Times New Roman"/>
          <w:sz w:val="24"/>
          <w:szCs w:val="24"/>
        </w:rPr>
        <w:t xml:space="preserve"> installed capacity and did not include existing installed rooftop solar capacity.</w:t>
      </w:r>
    </w:p>
    <w:p w14:paraId="1450A04A" w14:textId="77777777" w:rsidR="003C0206" w:rsidRPr="00B00963" w:rsidRDefault="003C0206" w:rsidP="003C0206">
      <w:pPr>
        <w:rPr>
          <w:rFonts w:ascii="Times New Roman" w:hAnsi="Times New Roman"/>
        </w:rPr>
      </w:pPr>
    </w:p>
    <w:p w14:paraId="7421FEE3" w14:textId="77777777" w:rsidR="003C0206" w:rsidRPr="00B00963" w:rsidRDefault="003C0206" w:rsidP="003C0206">
      <w:pPr>
        <w:pStyle w:val="Heading4"/>
        <w:rPr>
          <w:b/>
        </w:rPr>
      </w:pPr>
    </w:p>
    <w:p w14:paraId="573C39A8" w14:textId="5B6CB60F" w:rsidR="003C0206" w:rsidRPr="00B00963" w:rsidRDefault="003C0206" w:rsidP="00C05421">
      <w:pPr>
        <w:pStyle w:val="Heading4"/>
        <w:ind w:firstLine="0"/>
        <w:rPr>
          <w:b/>
        </w:rPr>
      </w:pPr>
      <w:r w:rsidRPr="00B00963">
        <w:rPr>
          <w:b/>
        </w:rPr>
        <w:t>FINDINGS OF FACT</w:t>
      </w:r>
    </w:p>
    <w:p w14:paraId="3C7CD127" w14:textId="77777777" w:rsidR="003C0206" w:rsidRPr="00B00963" w:rsidRDefault="003C0206" w:rsidP="003C0206">
      <w:pPr>
        <w:ind w:firstLine="720"/>
        <w:jc w:val="both"/>
        <w:rPr>
          <w:rFonts w:ascii="Times New Roman" w:hAnsi="Times New Roman"/>
          <w:u w:val="single"/>
        </w:rPr>
      </w:pPr>
    </w:p>
    <w:p w14:paraId="1B7086F5" w14:textId="77777777" w:rsidR="003C0206" w:rsidRPr="00B00963" w:rsidRDefault="003C0206" w:rsidP="003C0206">
      <w:pPr>
        <w:jc w:val="center"/>
        <w:rPr>
          <w:rFonts w:ascii="Times New Roman" w:hAnsi="Times New Roman"/>
        </w:rPr>
      </w:pPr>
      <w:r w:rsidRPr="00B00963">
        <w:rPr>
          <w:rFonts w:ascii="Times New Roman" w:hAnsi="Times New Roman"/>
        </w:rPr>
        <w:t>1.</w:t>
      </w:r>
    </w:p>
    <w:p w14:paraId="46F62AE9" w14:textId="77777777" w:rsidR="003C0206" w:rsidRPr="00B00963" w:rsidRDefault="003C0206" w:rsidP="003C0206">
      <w:pPr>
        <w:ind w:firstLine="720"/>
        <w:jc w:val="both"/>
        <w:rPr>
          <w:rFonts w:ascii="Times New Roman" w:hAnsi="Times New Roman"/>
        </w:rPr>
      </w:pPr>
    </w:p>
    <w:p w14:paraId="6A0891FE" w14:textId="6669C840" w:rsidR="0036163E" w:rsidRDefault="003C0206" w:rsidP="003C0206">
      <w:pPr>
        <w:pStyle w:val="BodyText1"/>
        <w:tabs>
          <w:tab w:val="clear" w:pos="720"/>
        </w:tabs>
        <w:spacing w:line="240" w:lineRule="auto"/>
        <w:jc w:val="both"/>
        <w:rPr>
          <w:rFonts w:ascii="Times New Roman" w:hAnsi="Times New Roman"/>
        </w:rPr>
      </w:pPr>
      <w:r w:rsidRPr="00B00963">
        <w:rPr>
          <w:rFonts w:ascii="Times New Roman" w:hAnsi="Times New Roman"/>
        </w:rPr>
        <w:t xml:space="preserve">The Commission finds that the resolution of the matters raised in this docket, as provided in the </w:t>
      </w:r>
      <w:r w:rsidR="004C2E36">
        <w:rPr>
          <w:rFonts w:ascii="Times New Roman" w:hAnsi="Times New Roman"/>
        </w:rPr>
        <w:t xml:space="preserve">Settlement Agreement as </w:t>
      </w:r>
      <w:r w:rsidR="00A02D90">
        <w:rPr>
          <w:rFonts w:ascii="Times New Roman" w:hAnsi="Times New Roman"/>
        </w:rPr>
        <w:t>M</w:t>
      </w:r>
      <w:r w:rsidR="004C2E36">
        <w:rPr>
          <w:rFonts w:ascii="Times New Roman" w:hAnsi="Times New Roman"/>
        </w:rPr>
        <w:t>odified</w:t>
      </w:r>
      <w:r w:rsidR="00656A5A">
        <w:rPr>
          <w:rFonts w:ascii="Times New Roman" w:hAnsi="Times New Roman"/>
        </w:rPr>
        <w:t>,</w:t>
      </w:r>
      <w:r w:rsidRPr="00B00963">
        <w:rPr>
          <w:rFonts w:ascii="Times New Roman" w:hAnsi="Times New Roman"/>
        </w:rPr>
        <w:t xml:space="preserve"> is appropriate and </w:t>
      </w:r>
      <w:r w:rsidR="007F152B">
        <w:rPr>
          <w:rFonts w:ascii="Times New Roman" w:hAnsi="Times New Roman"/>
        </w:rPr>
        <w:t>in the best interest of the State of Georgia</w:t>
      </w:r>
      <w:r w:rsidR="0079234C">
        <w:rPr>
          <w:rFonts w:ascii="Times New Roman" w:hAnsi="Times New Roman"/>
        </w:rPr>
        <w:t xml:space="preserve">. </w:t>
      </w:r>
      <w:r w:rsidR="007F152B">
        <w:rPr>
          <w:rFonts w:ascii="Times New Roman" w:hAnsi="Times New Roman"/>
        </w:rPr>
        <w:t>It is supported by testimony and other evidence in the record and will result in just and reasonable rates. In discussing the individual components of the Settlement Agreement</w:t>
      </w:r>
      <w:r w:rsidR="00551047">
        <w:rPr>
          <w:rFonts w:ascii="Times New Roman" w:hAnsi="Times New Roman"/>
        </w:rPr>
        <w:t xml:space="preserve"> as Modified</w:t>
      </w:r>
      <w:r w:rsidR="007F152B">
        <w:rPr>
          <w:rFonts w:ascii="Times New Roman" w:hAnsi="Times New Roman"/>
        </w:rPr>
        <w:t xml:space="preserve">, the Commission remains mindful that the </w:t>
      </w:r>
      <w:r w:rsidR="00A02D90">
        <w:rPr>
          <w:rFonts w:ascii="Times New Roman" w:hAnsi="Times New Roman"/>
        </w:rPr>
        <w:t xml:space="preserve">Proposed </w:t>
      </w:r>
      <w:r w:rsidR="007F152B">
        <w:rPr>
          <w:rFonts w:ascii="Times New Roman" w:hAnsi="Times New Roman"/>
        </w:rPr>
        <w:t>Agreement reflect</w:t>
      </w:r>
      <w:r w:rsidR="00551047">
        <w:rPr>
          <w:rFonts w:ascii="Times New Roman" w:hAnsi="Times New Roman"/>
        </w:rPr>
        <w:t>ed</w:t>
      </w:r>
      <w:r w:rsidR="007F152B">
        <w:rPr>
          <w:rFonts w:ascii="Times New Roman" w:hAnsi="Times New Roman"/>
        </w:rPr>
        <w:t xml:space="preserve"> a compromise among a number of parties with disparate interest, and that the Settlement Agreement </w:t>
      </w:r>
      <w:r w:rsidR="00551047">
        <w:rPr>
          <w:rFonts w:ascii="Times New Roman" w:hAnsi="Times New Roman"/>
        </w:rPr>
        <w:t xml:space="preserve">as Modified </w:t>
      </w:r>
      <w:r w:rsidR="007F152B">
        <w:rPr>
          <w:rFonts w:ascii="Times New Roman" w:hAnsi="Times New Roman"/>
        </w:rPr>
        <w:t xml:space="preserve">must be considered as a whole. It is plain from reviewing the resolution </w:t>
      </w:r>
      <w:r w:rsidR="006A3BA1">
        <w:rPr>
          <w:rFonts w:ascii="Times New Roman" w:hAnsi="Times New Roman"/>
        </w:rPr>
        <w:t xml:space="preserve">that no party to the proceeding, including every party that signed on to the </w:t>
      </w:r>
      <w:r w:rsidR="00A02D90">
        <w:rPr>
          <w:rFonts w:ascii="Times New Roman" w:hAnsi="Times New Roman"/>
        </w:rPr>
        <w:t xml:space="preserve">Proposed </w:t>
      </w:r>
      <w:r w:rsidR="006A3BA1">
        <w:rPr>
          <w:rFonts w:ascii="Times New Roman" w:hAnsi="Times New Roman"/>
        </w:rPr>
        <w:t>Agreement, prevailed on every issue. However, the Settlement Agreement</w:t>
      </w:r>
      <w:r w:rsidR="00A02D90">
        <w:rPr>
          <w:rFonts w:ascii="Times New Roman" w:hAnsi="Times New Roman"/>
        </w:rPr>
        <w:t xml:space="preserve"> as Modified</w:t>
      </w:r>
      <w:r w:rsidR="006A3BA1">
        <w:rPr>
          <w:rFonts w:ascii="Times New Roman" w:hAnsi="Times New Roman"/>
        </w:rPr>
        <w:t xml:space="preserve"> offers a fair resolution </w:t>
      </w:r>
      <w:r w:rsidR="007F152B">
        <w:rPr>
          <w:rFonts w:ascii="Times New Roman" w:hAnsi="Times New Roman"/>
        </w:rPr>
        <w:t>to the full range of issues presented in this docket</w:t>
      </w:r>
      <w:r w:rsidR="006A3BA1">
        <w:rPr>
          <w:rFonts w:ascii="Times New Roman" w:hAnsi="Times New Roman"/>
        </w:rPr>
        <w:t xml:space="preserve">. </w:t>
      </w:r>
    </w:p>
    <w:p w14:paraId="6FF088D6" w14:textId="77777777" w:rsidR="0036163E" w:rsidRPr="00B00963" w:rsidRDefault="0036163E" w:rsidP="003C0206">
      <w:pPr>
        <w:pStyle w:val="BodyText1"/>
        <w:tabs>
          <w:tab w:val="clear" w:pos="720"/>
        </w:tabs>
        <w:spacing w:line="240" w:lineRule="auto"/>
        <w:jc w:val="both"/>
        <w:rPr>
          <w:rFonts w:ascii="Times New Roman" w:hAnsi="Times New Roman"/>
        </w:rPr>
      </w:pPr>
    </w:p>
    <w:p w14:paraId="7D6424FF" w14:textId="576BDBB7" w:rsidR="00C17DE1" w:rsidRPr="00B00963" w:rsidRDefault="007A4BF8" w:rsidP="0036163E">
      <w:pPr>
        <w:pStyle w:val="BodyText1"/>
        <w:tabs>
          <w:tab w:val="clear" w:pos="720"/>
        </w:tabs>
        <w:spacing w:line="240" w:lineRule="auto"/>
        <w:ind w:firstLine="0"/>
        <w:jc w:val="center"/>
        <w:rPr>
          <w:rFonts w:ascii="Times New Roman" w:hAnsi="Times New Roman"/>
        </w:rPr>
      </w:pPr>
      <w:r>
        <w:rPr>
          <w:rFonts w:ascii="Times New Roman" w:hAnsi="Times New Roman"/>
        </w:rPr>
        <w:t>2</w:t>
      </w:r>
      <w:r w:rsidR="00C17DE1" w:rsidRPr="00B00963">
        <w:rPr>
          <w:rFonts w:ascii="Times New Roman" w:hAnsi="Times New Roman"/>
        </w:rPr>
        <w:t>.</w:t>
      </w:r>
    </w:p>
    <w:p w14:paraId="05EC4B84" w14:textId="77777777" w:rsidR="00C17DE1" w:rsidRPr="00B00963" w:rsidRDefault="00C17DE1" w:rsidP="00C17DE1">
      <w:pPr>
        <w:jc w:val="both"/>
        <w:rPr>
          <w:rFonts w:ascii="Times New Roman" w:hAnsi="Times New Roman"/>
        </w:rPr>
      </w:pPr>
    </w:p>
    <w:p w14:paraId="5519CA9D" w14:textId="77777777" w:rsidR="00C17DE1" w:rsidRPr="00B00963" w:rsidRDefault="00C17DE1" w:rsidP="00C17DE1">
      <w:pPr>
        <w:ind w:firstLine="720"/>
        <w:jc w:val="both"/>
        <w:rPr>
          <w:rFonts w:ascii="Times New Roman" w:hAnsi="Times New Roman"/>
          <w:szCs w:val="24"/>
        </w:rPr>
      </w:pPr>
      <w:r>
        <w:rPr>
          <w:rFonts w:ascii="Times New Roman" w:hAnsi="Times New Roman"/>
        </w:rPr>
        <w:t>As set forth in the Motion, the Commission finds</w:t>
      </w:r>
      <w:r w:rsidRPr="00B00963">
        <w:rPr>
          <w:rFonts w:ascii="Times New Roman" w:hAnsi="Times New Roman"/>
        </w:rPr>
        <w:t xml:space="preserve"> that rates </w:t>
      </w:r>
      <w:r>
        <w:rPr>
          <w:rFonts w:ascii="Times New Roman" w:hAnsi="Times New Roman"/>
        </w:rPr>
        <w:t>shall</w:t>
      </w:r>
      <w:r w:rsidRPr="00B00963">
        <w:rPr>
          <w:rFonts w:ascii="Times New Roman" w:hAnsi="Times New Roman"/>
        </w:rPr>
        <w:t xml:space="preserve"> be set using a 10.50% ROE, which appropriately balances the interests of the Company and its customers, and which the Commission finds to be just and reasonable.  </w:t>
      </w:r>
      <w:r w:rsidRPr="004537E3">
        <w:rPr>
          <w:rFonts w:ascii="Times New Roman" w:hAnsi="Times New Roman"/>
        </w:rPr>
        <w:t xml:space="preserve">The difference between the respective ROE recommendations of Georgia Power and </w:t>
      </w:r>
      <w:r>
        <w:rPr>
          <w:rFonts w:ascii="Times New Roman" w:hAnsi="Times New Roman"/>
        </w:rPr>
        <w:t xml:space="preserve">those of </w:t>
      </w:r>
      <w:r w:rsidRPr="004537E3">
        <w:rPr>
          <w:rFonts w:ascii="Times New Roman" w:hAnsi="Times New Roman"/>
        </w:rPr>
        <w:t xml:space="preserve">PIA Staff </w:t>
      </w:r>
      <w:r>
        <w:rPr>
          <w:rFonts w:ascii="Times New Roman" w:hAnsi="Times New Roman"/>
        </w:rPr>
        <w:t xml:space="preserve">and other Intervenors </w:t>
      </w:r>
      <w:r w:rsidRPr="004537E3">
        <w:rPr>
          <w:rFonts w:ascii="Times New Roman" w:hAnsi="Times New Roman"/>
        </w:rPr>
        <w:t>represented the largest dollar amount of any single issue in the case</w:t>
      </w:r>
      <w:r w:rsidRPr="00B00963">
        <w:rPr>
          <w:rFonts w:ascii="Times New Roman" w:hAnsi="Times New Roman"/>
        </w:rPr>
        <w:t>. Georgia Power recommended a ROE of 10.9</w:t>
      </w:r>
      <w:r>
        <w:rPr>
          <w:rFonts w:ascii="Times New Roman" w:hAnsi="Times New Roman"/>
        </w:rPr>
        <w:t>%.</w:t>
      </w:r>
    </w:p>
    <w:p w14:paraId="597EC3B2" w14:textId="77777777" w:rsidR="00C17DE1" w:rsidRPr="00B00963" w:rsidRDefault="00C17DE1" w:rsidP="00C17DE1">
      <w:pPr>
        <w:ind w:firstLine="720"/>
        <w:jc w:val="both"/>
        <w:rPr>
          <w:rFonts w:ascii="Times New Roman" w:hAnsi="Times New Roman"/>
        </w:rPr>
      </w:pPr>
    </w:p>
    <w:p w14:paraId="6F267B9F" w14:textId="4DD81540" w:rsidR="00C17DE1" w:rsidRDefault="00C17DE1" w:rsidP="00C17DE1">
      <w:pPr>
        <w:pStyle w:val="TestimonyAnswer"/>
        <w:tabs>
          <w:tab w:val="left" w:pos="1440"/>
        </w:tabs>
        <w:spacing w:after="0" w:line="240" w:lineRule="auto"/>
        <w:ind w:left="0"/>
        <w:rPr>
          <w:rFonts w:eastAsia="Calibri"/>
        </w:rPr>
      </w:pPr>
      <w:r w:rsidRPr="00B00963">
        <w:tab/>
      </w:r>
      <w:r w:rsidRPr="00B00963">
        <w:tab/>
      </w:r>
      <w:r w:rsidRPr="00B00963">
        <w:rPr>
          <w:rFonts w:eastAsia="Calibri"/>
        </w:rPr>
        <w:t>P</w:t>
      </w:r>
      <w:r>
        <w:rPr>
          <w:rFonts w:eastAsia="Calibri"/>
        </w:rPr>
        <w:t xml:space="preserve">IA </w:t>
      </w:r>
      <w:r w:rsidRPr="00B00963">
        <w:rPr>
          <w:rFonts w:eastAsia="Calibri"/>
        </w:rPr>
        <w:t>Staff recommend</w:t>
      </w:r>
      <w:r>
        <w:rPr>
          <w:rFonts w:eastAsia="Calibri"/>
        </w:rPr>
        <w:t>ed</w:t>
      </w:r>
      <w:r w:rsidRPr="00B00963">
        <w:rPr>
          <w:rFonts w:eastAsia="Calibri"/>
        </w:rPr>
        <w:t xml:space="preserve"> a 9.2% ROE with a range of 9 - 9.4%.</w:t>
      </w:r>
      <w:r w:rsidRPr="002853FC">
        <w:t xml:space="preserve"> </w:t>
      </w:r>
      <w:r>
        <w:t xml:space="preserve">PIA Staff argued </w:t>
      </w:r>
      <w:r w:rsidR="002A35A7">
        <w:t xml:space="preserve">that </w:t>
      </w:r>
      <w:r>
        <w:t>authorization of a ROE of 9.2 percent would be consistent with</w:t>
      </w:r>
      <w:r>
        <w:rPr>
          <w:rFonts w:eastAsia="Calibri"/>
        </w:rPr>
        <w:t xml:space="preserve"> </w:t>
      </w:r>
      <w:r w:rsidRPr="002853FC">
        <w:rPr>
          <w:rFonts w:eastAsia="Calibri"/>
        </w:rPr>
        <w:t>the principles set forth in Bluefield Waterworks and Improvement Co. v. Serv. Comm'n, 262 U.S. 679 (1923), and Fed. Power Comm'n v. Hope Natural Gas Co., 320 U.S. 591 (1944).</w:t>
      </w:r>
      <w:r w:rsidRPr="00B00963">
        <w:rPr>
          <w:rFonts w:eastAsia="Calibri"/>
        </w:rPr>
        <w:t xml:space="preserve"> </w:t>
      </w:r>
      <w:r>
        <w:rPr>
          <w:rFonts w:eastAsia="Calibri"/>
        </w:rPr>
        <w:t>PIA Staff stated that their proposed ROE would</w:t>
      </w:r>
      <w:r w:rsidRPr="002853FC">
        <w:rPr>
          <w:rFonts w:eastAsia="Calibri"/>
        </w:rPr>
        <w:t xml:space="preserve"> reasonably balance just and reasonable rates to customers, the financial integrity of the Company and fair compensation to investors.</w:t>
      </w:r>
      <w:r w:rsidRPr="002853FC">
        <w:t xml:space="preserve"> </w:t>
      </w:r>
      <w:r w:rsidR="00B019F8">
        <w:t xml:space="preserve"> PIA</w:t>
      </w:r>
      <w:r w:rsidR="0036163E">
        <w:t xml:space="preserve"> S</w:t>
      </w:r>
      <w:r>
        <w:t xml:space="preserve">taff </w:t>
      </w:r>
      <w:r w:rsidR="00B019F8">
        <w:t xml:space="preserve">further </w:t>
      </w:r>
      <w:r>
        <w:t xml:space="preserve">stated that the Company’s witness’ comparable earnings analysis should be rejected because the analysis does not measure the market required return appropriate for the investment risk of Georgia Power. PIA Staff pointed to the Federal Energy Regulatory Commission’s (“FERC”) decision in Docket EL14-12-003, where FERC concluded that relying on the comparable earnings model would not satisfy the requirements of the </w:t>
      </w:r>
      <w:r>
        <w:rPr>
          <w:u w:val="single"/>
        </w:rPr>
        <w:t>Fed. Power Comm'n v. Hope Natural Gas Co. decision. (Tr. 2575).</w:t>
      </w:r>
    </w:p>
    <w:p w14:paraId="32617B8C" w14:textId="77777777" w:rsidR="00C17DE1" w:rsidRDefault="00C17DE1" w:rsidP="00C17DE1">
      <w:pPr>
        <w:pStyle w:val="TestimonyAnswer"/>
        <w:tabs>
          <w:tab w:val="left" w:pos="1440"/>
        </w:tabs>
        <w:spacing w:after="0" w:line="240" w:lineRule="auto"/>
        <w:ind w:left="0"/>
        <w:rPr>
          <w:rFonts w:eastAsia="Calibri"/>
        </w:rPr>
      </w:pPr>
    </w:p>
    <w:p w14:paraId="60CD7C34" w14:textId="77777777" w:rsidR="00C17DE1" w:rsidRPr="00B00963" w:rsidRDefault="00C17DE1" w:rsidP="00C17DE1">
      <w:pPr>
        <w:pStyle w:val="TestimonyAnswer"/>
        <w:tabs>
          <w:tab w:val="left" w:pos="1440"/>
        </w:tabs>
        <w:spacing w:after="0" w:line="240" w:lineRule="auto"/>
        <w:ind w:left="0"/>
      </w:pPr>
      <w:r>
        <w:rPr>
          <w:rFonts w:eastAsia="Calibri"/>
        </w:rPr>
        <w:lastRenderedPageBreak/>
        <w:tab/>
      </w:r>
      <w:r>
        <w:rPr>
          <w:rFonts w:eastAsia="Calibri"/>
        </w:rPr>
        <w:tab/>
      </w:r>
      <w:r w:rsidRPr="00B00963">
        <w:rPr>
          <w:rFonts w:eastAsia="Calibri"/>
        </w:rPr>
        <w:t>DOD/FEA recommend</w:t>
      </w:r>
      <w:r>
        <w:rPr>
          <w:rFonts w:eastAsia="Calibri"/>
        </w:rPr>
        <w:t>ed</w:t>
      </w:r>
      <w:r w:rsidRPr="00B00963">
        <w:rPr>
          <w:rFonts w:eastAsia="Calibri"/>
        </w:rPr>
        <w:t xml:space="preserve"> a ROE of 9.1%. The w</w:t>
      </w:r>
      <w:r w:rsidRPr="00B00963">
        <w:t>itness for DOD/FEA also stated that the financial risk adjustment is not needed because the difference between Georgia Power’s book-value and capital structure and the</w:t>
      </w:r>
      <w:r>
        <w:t xml:space="preserve"> </w:t>
      </w:r>
      <w:r w:rsidRPr="00B00963">
        <w:t>proxy group’s market-value capital structure is already captured in the various market-based ROE methodologies.</w:t>
      </w:r>
    </w:p>
    <w:p w14:paraId="4622C8A2" w14:textId="77777777" w:rsidR="00C17DE1" w:rsidRPr="00B00963" w:rsidRDefault="00C17DE1" w:rsidP="00C17DE1">
      <w:pPr>
        <w:ind w:firstLine="720"/>
        <w:jc w:val="both"/>
        <w:rPr>
          <w:rFonts w:ascii="Times New Roman" w:hAnsi="Times New Roman"/>
          <w:bCs/>
          <w:spacing w:val="-7"/>
          <w:szCs w:val="24"/>
        </w:rPr>
      </w:pPr>
    </w:p>
    <w:p w14:paraId="3F77BE5A" w14:textId="77777777" w:rsidR="00C17DE1" w:rsidRPr="00B00963" w:rsidRDefault="00C17DE1" w:rsidP="00C17DE1">
      <w:pPr>
        <w:ind w:firstLine="720"/>
        <w:jc w:val="both"/>
        <w:rPr>
          <w:rFonts w:ascii="Times New Roman" w:hAnsi="Times New Roman"/>
        </w:rPr>
      </w:pPr>
      <w:r w:rsidRPr="00B00963">
        <w:rPr>
          <w:rFonts w:ascii="Times New Roman" w:hAnsi="Times New Roman"/>
        </w:rPr>
        <w:t xml:space="preserve">The Commission finds </w:t>
      </w:r>
      <w:r>
        <w:rPr>
          <w:rFonts w:ascii="Times New Roman" w:hAnsi="Times New Roman"/>
        </w:rPr>
        <w:t xml:space="preserve">and concludes </w:t>
      </w:r>
      <w:r w:rsidRPr="00B00963">
        <w:rPr>
          <w:rFonts w:ascii="Times New Roman" w:hAnsi="Times New Roman"/>
        </w:rPr>
        <w:t xml:space="preserve">that </w:t>
      </w:r>
      <w:r>
        <w:rPr>
          <w:rFonts w:ascii="Times New Roman" w:hAnsi="Times New Roman"/>
        </w:rPr>
        <w:t>a</w:t>
      </w:r>
      <w:r w:rsidRPr="00B00963">
        <w:rPr>
          <w:rFonts w:ascii="Times New Roman" w:hAnsi="Times New Roman"/>
        </w:rPr>
        <w:t xml:space="preserve"> ROE </w:t>
      </w:r>
      <w:r>
        <w:rPr>
          <w:rFonts w:ascii="Times New Roman" w:hAnsi="Times New Roman"/>
        </w:rPr>
        <w:t xml:space="preserve">of 10.5% </w:t>
      </w:r>
      <w:r w:rsidRPr="00B00963">
        <w:rPr>
          <w:rFonts w:ascii="Times New Roman" w:hAnsi="Times New Roman"/>
        </w:rPr>
        <w:t>will allow the Company continued access to the capital markets at competitive rates and will allow the Company to construct infrastructure necessary to serve customers and comply with environmental regulations.</w:t>
      </w:r>
      <w:r>
        <w:rPr>
          <w:rFonts w:ascii="Times New Roman" w:hAnsi="Times New Roman"/>
        </w:rPr>
        <w:t xml:space="preserve"> Accordingly, the Commission finds that the appropriate ROE for setting rates is 10.50%.</w:t>
      </w:r>
    </w:p>
    <w:p w14:paraId="6FCE51D1" w14:textId="77777777" w:rsidR="00C17DE1" w:rsidRPr="00B00963" w:rsidRDefault="00C17DE1" w:rsidP="00C17DE1">
      <w:pPr>
        <w:ind w:firstLine="720"/>
        <w:jc w:val="both"/>
        <w:rPr>
          <w:rFonts w:ascii="Times New Roman" w:hAnsi="Times New Roman"/>
        </w:rPr>
      </w:pPr>
    </w:p>
    <w:p w14:paraId="5925B7EF" w14:textId="642A5044" w:rsidR="00C17DE1" w:rsidRPr="00B00963" w:rsidRDefault="007A4BF8" w:rsidP="00C17DE1">
      <w:pPr>
        <w:jc w:val="center"/>
        <w:rPr>
          <w:rFonts w:ascii="Times New Roman" w:hAnsi="Times New Roman"/>
        </w:rPr>
      </w:pPr>
      <w:r>
        <w:rPr>
          <w:rFonts w:ascii="Times New Roman" w:hAnsi="Times New Roman"/>
        </w:rPr>
        <w:t>3</w:t>
      </w:r>
      <w:r w:rsidR="00C17DE1" w:rsidRPr="00B00963">
        <w:rPr>
          <w:rFonts w:ascii="Times New Roman" w:hAnsi="Times New Roman"/>
        </w:rPr>
        <w:t>.</w:t>
      </w:r>
    </w:p>
    <w:p w14:paraId="170E3327" w14:textId="77777777" w:rsidR="00C17DE1" w:rsidRPr="00B00963" w:rsidRDefault="00C17DE1" w:rsidP="00C17DE1">
      <w:pPr>
        <w:ind w:firstLine="720"/>
        <w:jc w:val="both"/>
        <w:rPr>
          <w:rFonts w:ascii="Times New Roman" w:hAnsi="Times New Roman"/>
        </w:rPr>
      </w:pPr>
    </w:p>
    <w:p w14:paraId="16CD2527" w14:textId="29D969E4" w:rsidR="00C17DE1" w:rsidRPr="00B00963" w:rsidRDefault="0080058D" w:rsidP="00C17DE1">
      <w:pPr>
        <w:ind w:firstLine="720"/>
        <w:jc w:val="both"/>
        <w:rPr>
          <w:rFonts w:ascii="Times New Roman" w:hAnsi="Times New Roman"/>
          <w:szCs w:val="24"/>
        </w:rPr>
      </w:pPr>
      <w:r>
        <w:rPr>
          <w:rFonts w:ascii="Times New Roman" w:hAnsi="Times New Roman"/>
        </w:rPr>
        <w:t>Additionally</w:t>
      </w:r>
      <w:r w:rsidR="0036163E">
        <w:rPr>
          <w:rFonts w:ascii="Times New Roman" w:hAnsi="Times New Roman"/>
        </w:rPr>
        <w:t>,</w:t>
      </w:r>
      <w:r>
        <w:rPr>
          <w:rFonts w:ascii="Times New Roman" w:hAnsi="Times New Roman"/>
        </w:rPr>
        <w:t xml:space="preserve"> </w:t>
      </w:r>
      <w:r w:rsidR="00C17DE1">
        <w:rPr>
          <w:rFonts w:ascii="Times New Roman" w:hAnsi="Times New Roman"/>
        </w:rPr>
        <w:t xml:space="preserve">the Commission </w:t>
      </w:r>
      <w:r w:rsidR="00C81DFD">
        <w:rPr>
          <w:rFonts w:ascii="Times New Roman" w:hAnsi="Times New Roman"/>
        </w:rPr>
        <w:t>approves</w:t>
      </w:r>
      <w:r w:rsidR="00C17DE1" w:rsidRPr="00B00963">
        <w:rPr>
          <w:rFonts w:ascii="Times New Roman" w:hAnsi="Times New Roman"/>
        </w:rPr>
        <w:t xml:space="preserve"> </w:t>
      </w:r>
      <w:r w:rsidR="00C17DE1" w:rsidRPr="00B00963">
        <w:rPr>
          <w:rFonts w:ascii="Times New Roman" w:eastAsia="Calibri" w:hAnsi="Times New Roman"/>
          <w:szCs w:val="24"/>
        </w:rPr>
        <w:t xml:space="preserve">a capital structure of 56% equity and 44% long term debt for the test period. </w:t>
      </w:r>
      <w:r w:rsidR="00C17DE1" w:rsidRPr="00275952">
        <w:rPr>
          <w:rFonts w:ascii="Times New Roman" w:eastAsia="Calibri" w:hAnsi="Times New Roman"/>
          <w:szCs w:val="24"/>
        </w:rPr>
        <w:t xml:space="preserve">Georgia Power proposed that a </w:t>
      </w:r>
      <w:r w:rsidR="00C17DE1" w:rsidRPr="002D5484">
        <w:rPr>
          <w:rFonts w:ascii="Times New Roman" w:eastAsia="Calibri" w:hAnsi="Times New Roman"/>
          <w:szCs w:val="24"/>
        </w:rPr>
        <w:t>capital structure</w:t>
      </w:r>
      <w:r w:rsidR="00C17DE1" w:rsidRPr="00275952">
        <w:rPr>
          <w:rFonts w:ascii="Times New Roman" w:eastAsia="Calibri" w:hAnsi="Times New Roman"/>
          <w:szCs w:val="24"/>
        </w:rPr>
        <w:t xml:space="preserve"> containing approximately 44% debt and 56% common equity be used for ratemaking purposes in this proceeding. The Company maintain</w:t>
      </w:r>
      <w:r w:rsidR="00C17DE1">
        <w:rPr>
          <w:rFonts w:ascii="Times New Roman" w:eastAsia="Calibri" w:hAnsi="Times New Roman"/>
          <w:szCs w:val="24"/>
        </w:rPr>
        <w:t>ed</w:t>
      </w:r>
      <w:r w:rsidR="00C17DE1" w:rsidRPr="00275952">
        <w:rPr>
          <w:rFonts w:ascii="Times New Roman" w:eastAsia="Calibri" w:hAnsi="Times New Roman"/>
          <w:szCs w:val="24"/>
        </w:rPr>
        <w:t xml:space="preserve"> that the proposed ROE and 56% equity ratio will ensure that Georgia Power has access to capital whenever necessary, provide the opportunity to earn a fair return for its investors and </w:t>
      </w:r>
      <w:r w:rsidR="00C81DFD">
        <w:rPr>
          <w:rFonts w:ascii="Times New Roman" w:eastAsia="Calibri" w:hAnsi="Times New Roman"/>
          <w:szCs w:val="24"/>
        </w:rPr>
        <w:t xml:space="preserve">will </w:t>
      </w:r>
      <w:r w:rsidR="00C17DE1" w:rsidRPr="00275952">
        <w:rPr>
          <w:rFonts w:ascii="Times New Roman" w:eastAsia="Calibri" w:hAnsi="Times New Roman"/>
          <w:szCs w:val="24"/>
        </w:rPr>
        <w:t xml:space="preserve">do so at rates favorable to customers. </w:t>
      </w:r>
    </w:p>
    <w:p w14:paraId="571715AB" w14:textId="77777777" w:rsidR="00C17DE1" w:rsidRDefault="00C17DE1" w:rsidP="00C17DE1">
      <w:pPr>
        <w:ind w:firstLine="720"/>
        <w:jc w:val="both"/>
        <w:rPr>
          <w:rFonts w:ascii="Times New Roman" w:eastAsiaTheme="minorEastAsia" w:hAnsi="Times New Roman"/>
          <w:szCs w:val="24"/>
        </w:rPr>
      </w:pPr>
    </w:p>
    <w:p w14:paraId="2BA72C6C" w14:textId="77777777" w:rsidR="00C17DE1" w:rsidRDefault="00C17DE1" w:rsidP="00C17DE1">
      <w:pPr>
        <w:ind w:firstLine="720"/>
        <w:jc w:val="both"/>
        <w:rPr>
          <w:rFonts w:ascii="Times New Roman" w:eastAsiaTheme="minorEastAsia" w:hAnsi="Times New Roman"/>
          <w:szCs w:val="24"/>
        </w:rPr>
      </w:pPr>
      <w:r>
        <w:rPr>
          <w:rFonts w:ascii="Times New Roman" w:hAnsi="Times New Roman"/>
          <w:szCs w:val="24"/>
        </w:rPr>
        <w:t>PIA Staff proposed a capital structure for the Company composed of 49% long-term debt and 51% common equity. (Tr. 1510). PIA Staff stated that the capital structure proposed by its witness will comfortably support the Company’s current investment grade bond rating, but do so at a much lower cost to ratepayers than the Company’s proposed ratemaking capital structure. PIA Staff also argued that its witness’s proposed ratemaking capital structure is consistent with the industry mix of debt and equity that is supportive of the Company’s current investment grade bond rating. (Tr. 1508).</w:t>
      </w:r>
      <w:r w:rsidRPr="00B5275D">
        <w:rPr>
          <w:rFonts w:ascii="Times New Roman" w:hAnsi="Times New Roman"/>
          <w:szCs w:val="24"/>
        </w:rPr>
        <w:t xml:space="preserve"> </w:t>
      </w:r>
    </w:p>
    <w:p w14:paraId="475FE2E8" w14:textId="77777777" w:rsidR="00C17DE1" w:rsidRPr="00B00963" w:rsidRDefault="00C17DE1" w:rsidP="00C17DE1">
      <w:pPr>
        <w:ind w:firstLine="720"/>
        <w:jc w:val="both"/>
        <w:rPr>
          <w:rFonts w:ascii="Times New Roman" w:eastAsiaTheme="minorEastAsia" w:hAnsi="Times New Roman"/>
          <w:szCs w:val="24"/>
        </w:rPr>
      </w:pPr>
    </w:p>
    <w:p w14:paraId="4490B68C" w14:textId="7E7105BD" w:rsidR="00C17DE1" w:rsidRDefault="00C17DE1" w:rsidP="00C17DE1">
      <w:pPr>
        <w:ind w:firstLine="720"/>
        <w:jc w:val="both"/>
        <w:rPr>
          <w:rFonts w:ascii="Times New Roman" w:hAnsi="Times New Roman"/>
          <w:spacing w:val="-3"/>
          <w:szCs w:val="24"/>
        </w:rPr>
      </w:pPr>
      <w:r>
        <w:rPr>
          <w:rFonts w:ascii="Times New Roman" w:hAnsi="Times New Roman"/>
          <w:szCs w:val="24"/>
        </w:rPr>
        <w:t>Based on the evidence presented, t</w:t>
      </w:r>
      <w:r w:rsidRPr="007B6E38">
        <w:rPr>
          <w:rFonts w:ascii="Times New Roman" w:hAnsi="Times New Roman"/>
          <w:spacing w:val="-3"/>
          <w:szCs w:val="24"/>
        </w:rPr>
        <w:t xml:space="preserve">he Commission finds and concludes that </w:t>
      </w:r>
      <w:r>
        <w:rPr>
          <w:rFonts w:ascii="Times New Roman" w:hAnsi="Times New Roman"/>
          <w:spacing w:val="-3"/>
          <w:szCs w:val="24"/>
        </w:rPr>
        <w:t>a</w:t>
      </w:r>
      <w:r w:rsidRPr="007B6E38">
        <w:rPr>
          <w:rFonts w:ascii="Times New Roman" w:hAnsi="Times New Roman"/>
          <w:spacing w:val="-3"/>
          <w:szCs w:val="24"/>
        </w:rPr>
        <w:t xml:space="preserve"> capital structure</w:t>
      </w:r>
      <w:r>
        <w:rPr>
          <w:rFonts w:ascii="Times New Roman" w:hAnsi="Times New Roman"/>
          <w:spacing w:val="-3"/>
          <w:szCs w:val="24"/>
        </w:rPr>
        <w:t xml:space="preserve"> </w:t>
      </w:r>
      <w:r w:rsidRPr="007B6E38">
        <w:rPr>
          <w:rFonts w:ascii="Times New Roman" w:hAnsi="Times New Roman"/>
          <w:spacing w:val="-3"/>
          <w:szCs w:val="24"/>
        </w:rPr>
        <w:t>of 56% common equity level is just and reasonable</w:t>
      </w:r>
      <w:r>
        <w:rPr>
          <w:rFonts w:ascii="Times New Roman" w:hAnsi="Times New Roman"/>
          <w:spacing w:val="-3"/>
          <w:szCs w:val="24"/>
        </w:rPr>
        <w:t>,</w:t>
      </w:r>
      <w:r w:rsidRPr="007B6E38">
        <w:rPr>
          <w:rFonts w:ascii="Times New Roman" w:hAnsi="Times New Roman"/>
          <w:spacing w:val="-3"/>
          <w:szCs w:val="24"/>
        </w:rPr>
        <w:t xml:space="preserve"> </w:t>
      </w:r>
      <w:r>
        <w:rPr>
          <w:rFonts w:ascii="Times New Roman" w:hAnsi="Times New Roman"/>
          <w:spacing w:val="-3"/>
          <w:szCs w:val="24"/>
        </w:rPr>
        <w:t xml:space="preserve">and will </w:t>
      </w:r>
      <w:r w:rsidR="00C81DFD">
        <w:rPr>
          <w:rFonts w:ascii="Times New Roman" w:hAnsi="Times New Roman"/>
          <w:spacing w:val="-3"/>
          <w:szCs w:val="24"/>
        </w:rPr>
        <w:t xml:space="preserve">help to </w:t>
      </w:r>
      <w:r>
        <w:rPr>
          <w:rFonts w:ascii="Times New Roman" w:hAnsi="Times New Roman"/>
          <w:spacing w:val="-3"/>
          <w:szCs w:val="24"/>
        </w:rPr>
        <w:t>mitigate the risk of</w:t>
      </w:r>
      <w:r>
        <w:rPr>
          <w:rFonts w:ascii="Times New Roman" w:hAnsi="Times New Roman"/>
          <w:szCs w:val="24"/>
        </w:rPr>
        <w:t xml:space="preserve"> a credit rating downgrade</w:t>
      </w:r>
      <w:r w:rsidRPr="007B6E38">
        <w:rPr>
          <w:rFonts w:ascii="Times New Roman" w:hAnsi="Times New Roman"/>
          <w:spacing w:val="-3"/>
          <w:szCs w:val="24"/>
        </w:rPr>
        <w:t>.</w:t>
      </w:r>
    </w:p>
    <w:p w14:paraId="28DB5C27" w14:textId="74877860" w:rsidR="00C17DE1" w:rsidRDefault="000253BA" w:rsidP="003C0206">
      <w:pPr>
        <w:pStyle w:val="BodyText1"/>
        <w:tabs>
          <w:tab w:val="clear" w:pos="720"/>
        </w:tabs>
        <w:spacing w:line="240" w:lineRule="auto"/>
        <w:ind w:firstLine="0"/>
        <w:jc w:val="center"/>
        <w:rPr>
          <w:rFonts w:ascii="Times New Roman" w:hAnsi="Times New Roman"/>
        </w:rPr>
      </w:pPr>
      <w:r>
        <w:rPr>
          <w:rFonts w:ascii="Times New Roman" w:hAnsi="Times New Roman"/>
        </w:rPr>
        <w:t>4.</w:t>
      </w:r>
    </w:p>
    <w:p w14:paraId="66E34E8E" w14:textId="77777777" w:rsidR="000253BA" w:rsidRDefault="000253BA" w:rsidP="000253BA">
      <w:pPr>
        <w:jc w:val="center"/>
        <w:rPr>
          <w:rFonts w:ascii="Times New Roman" w:hAnsi="Times New Roman"/>
        </w:rPr>
      </w:pPr>
    </w:p>
    <w:p w14:paraId="39498237" w14:textId="28DF2C46" w:rsidR="000253BA" w:rsidRDefault="000253BA" w:rsidP="000253BA">
      <w:pPr>
        <w:ind w:firstLine="720"/>
        <w:jc w:val="both"/>
        <w:rPr>
          <w:rFonts w:ascii="Times New Roman" w:hAnsi="Times New Roman"/>
        </w:rPr>
      </w:pPr>
      <w:r>
        <w:rPr>
          <w:rFonts w:ascii="Times New Roman" w:hAnsi="Times New Roman"/>
        </w:rPr>
        <w:t xml:space="preserve">PIA </w:t>
      </w:r>
      <w:r w:rsidRPr="002F708B">
        <w:rPr>
          <w:rFonts w:ascii="Times New Roman" w:hAnsi="Times New Roman"/>
        </w:rPr>
        <w:t>Staff</w:t>
      </w:r>
      <w:r>
        <w:rPr>
          <w:rFonts w:ascii="Times New Roman" w:hAnsi="Times New Roman"/>
        </w:rPr>
        <w:t>’s</w:t>
      </w:r>
      <w:r w:rsidRPr="002F708B">
        <w:rPr>
          <w:rFonts w:ascii="Times New Roman" w:hAnsi="Times New Roman"/>
        </w:rPr>
        <w:t xml:space="preserve"> witness recommended a 4.07% cost of debt as shown in Staff Exhibit_(RS/RT-2), Schedule D of Smith-Trokey Testimony. </w:t>
      </w:r>
      <w:r>
        <w:rPr>
          <w:rFonts w:ascii="Times New Roman" w:hAnsi="Times New Roman"/>
        </w:rPr>
        <w:t xml:space="preserve">PIA Staff’s witness </w:t>
      </w:r>
      <w:r w:rsidRPr="002F708B">
        <w:rPr>
          <w:rFonts w:ascii="Times New Roman" w:hAnsi="Times New Roman"/>
        </w:rPr>
        <w:t>adjusted GPC</w:t>
      </w:r>
      <w:r w:rsidR="00AE3A00">
        <w:rPr>
          <w:rFonts w:ascii="Times New Roman" w:hAnsi="Times New Roman"/>
        </w:rPr>
        <w:t>’s</w:t>
      </w:r>
      <w:r w:rsidRPr="002F708B">
        <w:rPr>
          <w:rFonts w:ascii="Times New Roman" w:hAnsi="Times New Roman"/>
        </w:rPr>
        <w:t xml:space="preserve"> </w:t>
      </w:r>
      <w:r w:rsidR="00AE3A00">
        <w:rPr>
          <w:rFonts w:ascii="Times New Roman" w:hAnsi="Times New Roman"/>
        </w:rPr>
        <w:t>b</w:t>
      </w:r>
      <w:r w:rsidR="00AE3A00" w:rsidRPr="002F708B">
        <w:rPr>
          <w:rFonts w:ascii="Times New Roman" w:hAnsi="Times New Roman"/>
        </w:rPr>
        <w:t xml:space="preserve">ond </w:t>
      </w:r>
      <w:r w:rsidRPr="002F708B">
        <w:rPr>
          <w:rFonts w:ascii="Times New Roman" w:hAnsi="Times New Roman"/>
        </w:rPr>
        <w:t>issues made in August 2019 to the actual interest rates GPC received and adjusted the bond issues interest rates to 3.65% for the period of March 2020 through October 2022, (Gorman Direct Testimony, Table 7).</w:t>
      </w:r>
    </w:p>
    <w:p w14:paraId="54154FA5" w14:textId="77777777" w:rsidR="000253BA" w:rsidRPr="002F708B" w:rsidRDefault="000253BA" w:rsidP="000253BA">
      <w:pPr>
        <w:ind w:firstLine="720"/>
        <w:jc w:val="both"/>
        <w:rPr>
          <w:rFonts w:ascii="Times New Roman" w:hAnsi="Times New Roman"/>
        </w:rPr>
      </w:pPr>
    </w:p>
    <w:p w14:paraId="509D5AB6" w14:textId="0A1E7F8E" w:rsidR="000253BA" w:rsidRDefault="000253BA" w:rsidP="000253BA">
      <w:pPr>
        <w:ind w:firstLine="720"/>
        <w:jc w:val="both"/>
        <w:rPr>
          <w:rFonts w:ascii="Times New Roman" w:hAnsi="Times New Roman"/>
        </w:rPr>
      </w:pPr>
      <w:r w:rsidRPr="002F708B">
        <w:rPr>
          <w:rFonts w:ascii="Times New Roman" w:hAnsi="Times New Roman"/>
        </w:rPr>
        <w:t>The Company state</w:t>
      </w:r>
      <w:r>
        <w:rPr>
          <w:rFonts w:ascii="Times New Roman" w:hAnsi="Times New Roman"/>
        </w:rPr>
        <w:t>d in its brief</w:t>
      </w:r>
      <w:r w:rsidRPr="002F708B">
        <w:rPr>
          <w:rFonts w:ascii="Times New Roman" w:hAnsi="Times New Roman"/>
        </w:rPr>
        <w:t xml:space="preserve"> that </w:t>
      </w:r>
      <w:r>
        <w:rPr>
          <w:rFonts w:ascii="Times New Roman" w:hAnsi="Times New Roman"/>
        </w:rPr>
        <w:t>PIA Staff’s witness’</w:t>
      </w:r>
      <w:r w:rsidRPr="002F708B">
        <w:rPr>
          <w:rFonts w:ascii="Times New Roman" w:hAnsi="Times New Roman"/>
        </w:rPr>
        <w:t xml:space="preserve"> adjustments were neither necessary or appropriate adjustments. </w:t>
      </w:r>
      <w:r w:rsidR="00AE3A00">
        <w:rPr>
          <w:rFonts w:ascii="Times New Roman" w:hAnsi="Times New Roman"/>
        </w:rPr>
        <w:t>The Company argued f</w:t>
      </w:r>
      <w:r w:rsidRPr="002F708B">
        <w:rPr>
          <w:rFonts w:ascii="Times New Roman" w:hAnsi="Times New Roman"/>
        </w:rPr>
        <w:t xml:space="preserve">irst, </w:t>
      </w:r>
      <w:r>
        <w:rPr>
          <w:rFonts w:ascii="Times New Roman" w:hAnsi="Times New Roman"/>
        </w:rPr>
        <w:t>PIA Staff’s</w:t>
      </w:r>
      <w:r w:rsidRPr="002F708B">
        <w:rPr>
          <w:rFonts w:ascii="Times New Roman" w:hAnsi="Times New Roman"/>
        </w:rPr>
        <w:t xml:space="preserve"> recommended adjustment to the cost of debt revises only one component of the Company’s filing impacted by interest rates and creates inconsistencies with the interest rate assumptions throughout the remainder of the Company’s filing. (Tr. 2629.) </w:t>
      </w:r>
      <w:r w:rsidR="00AE3A00">
        <w:rPr>
          <w:rFonts w:ascii="Times New Roman" w:hAnsi="Times New Roman"/>
        </w:rPr>
        <w:t>And s</w:t>
      </w:r>
      <w:r w:rsidRPr="002F708B">
        <w:rPr>
          <w:rFonts w:ascii="Times New Roman" w:hAnsi="Times New Roman"/>
        </w:rPr>
        <w:t xml:space="preserve">econd, </w:t>
      </w:r>
      <w:r>
        <w:rPr>
          <w:rFonts w:ascii="Times New Roman" w:hAnsi="Times New Roman"/>
        </w:rPr>
        <w:t xml:space="preserve">PIA Staff’s </w:t>
      </w:r>
      <w:r w:rsidRPr="002F708B">
        <w:rPr>
          <w:rFonts w:ascii="Times New Roman" w:hAnsi="Times New Roman"/>
        </w:rPr>
        <w:t>adjustment of projected cost of debt to 3.65% for the projected issuances beyond March 2020 is inappropriate for forecasting the Company’s future cost of debt.</w:t>
      </w:r>
      <w:r>
        <w:rPr>
          <w:rFonts w:ascii="Times New Roman" w:hAnsi="Times New Roman"/>
        </w:rPr>
        <w:t xml:space="preserve"> (GPC Post Hearing Brief p. 17)</w:t>
      </w:r>
    </w:p>
    <w:p w14:paraId="57A2D584" w14:textId="20C5FB89" w:rsidR="000253BA" w:rsidRDefault="000253BA" w:rsidP="000253BA">
      <w:pPr>
        <w:ind w:firstLine="720"/>
        <w:jc w:val="both"/>
        <w:rPr>
          <w:rFonts w:ascii="Times New Roman" w:hAnsi="Times New Roman"/>
        </w:rPr>
      </w:pPr>
    </w:p>
    <w:p w14:paraId="664F87D7" w14:textId="166C013A" w:rsidR="000253BA" w:rsidRDefault="00AE3A00" w:rsidP="000253BA">
      <w:pPr>
        <w:ind w:firstLine="720"/>
        <w:jc w:val="both"/>
        <w:rPr>
          <w:rFonts w:ascii="Times New Roman" w:hAnsi="Times New Roman"/>
        </w:rPr>
      </w:pPr>
      <w:r>
        <w:rPr>
          <w:rFonts w:ascii="Times New Roman" w:hAnsi="Times New Roman"/>
        </w:rPr>
        <w:t xml:space="preserve">The Commission was not sufficiently swayed by </w:t>
      </w:r>
      <w:r w:rsidR="000253BA">
        <w:rPr>
          <w:rFonts w:ascii="Times New Roman" w:hAnsi="Times New Roman"/>
        </w:rPr>
        <w:t xml:space="preserve">PIA Staff’s </w:t>
      </w:r>
      <w:r>
        <w:rPr>
          <w:rFonts w:ascii="Times New Roman" w:hAnsi="Times New Roman"/>
        </w:rPr>
        <w:t xml:space="preserve">position, therefore, PIA Staff’s </w:t>
      </w:r>
      <w:r w:rsidR="000253BA">
        <w:rPr>
          <w:rFonts w:ascii="Times New Roman" w:hAnsi="Times New Roman"/>
        </w:rPr>
        <w:t>recommendation is denied.</w:t>
      </w:r>
    </w:p>
    <w:p w14:paraId="0C21ED98" w14:textId="166DB11E" w:rsidR="000253BA" w:rsidRDefault="000253BA" w:rsidP="009E1303">
      <w:pPr>
        <w:pStyle w:val="BodyText1"/>
        <w:tabs>
          <w:tab w:val="clear" w:pos="720"/>
        </w:tabs>
        <w:spacing w:line="240" w:lineRule="auto"/>
        <w:ind w:firstLine="0"/>
        <w:rPr>
          <w:rFonts w:ascii="Times New Roman" w:hAnsi="Times New Roman"/>
        </w:rPr>
      </w:pPr>
    </w:p>
    <w:p w14:paraId="18D1DFF6" w14:textId="5EF56770" w:rsidR="003C0206" w:rsidRPr="00B00963" w:rsidRDefault="00AE3A00" w:rsidP="003C0206">
      <w:pPr>
        <w:pStyle w:val="BodyText1"/>
        <w:tabs>
          <w:tab w:val="clear" w:pos="720"/>
        </w:tabs>
        <w:spacing w:line="240" w:lineRule="auto"/>
        <w:ind w:firstLine="0"/>
        <w:jc w:val="center"/>
        <w:rPr>
          <w:rFonts w:ascii="Times New Roman" w:hAnsi="Times New Roman"/>
        </w:rPr>
      </w:pPr>
      <w:r>
        <w:rPr>
          <w:rFonts w:ascii="Times New Roman" w:hAnsi="Times New Roman"/>
        </w:rPr>
        <w:t>5</w:t>
      </w:r>
      <w:r w:rsidR="007A4BF8">
        <w:rPr>
          <w:rFonts w:ascii="Times New Roman" w:hAnsi="Times New Roman"/>
        </w:rPr>
        <w:t>.</w:t>
      </w:r>
    </w:p>
    <w:p w14:paraId="46899CC2" w14:textId="77777777" w:rsidR="003C0206" w:rsidRPr="00B00963" w:rsidRDefault="003C0206" w:rsidP="003C0206">
      <w:pPr>
        <w:pStyle w:val="BodyText1"/>
        <w:tabs>
          <w:tab w:val="clear" w:pos="720"/>
        </w:tabs>
        <w:spacing w:line="240" w:lineRule="auto"/>
        <w:ind w:firstLine="0"/>
        <w:jc w:val="center"/>
        <w:rPr>
          <w:rFonts w:ascii="Times New Roman" w:hAnsi="Times New Roman"/>
        </w:rPr>
      </w:pPr>
    </w:p>
    <w:p w14:paraId="284FA7C1" w14:textId="0588C5C8" w:rsidR="003C0206" w:rsidRDefault="003C0206" w:rsidP="003C0206">
      <w:pPr>
        <w:pStyle w:val="BodyText1"/>
        <w:tabs>
          <w:tab w:val="clear" w:pos="720"/>
        </w:tabs>
        <w:spacing w:line="240" w:lineRule="auto"/>
        <w:ind w:firstLine="0"/>
        <w:jc w:val="both"/>
        <w:rPr>
          <w:rFonts w:ascii="Times New Roman" w:hAnsi="Times New Roman"/>
        </w:rPr>
      </w:pPr>
      <w:r w:rsidRPr="00B00963">
        <w:rPr>
          <w:rFonts w:ascii="Times New Roman" w:hAnsi="Times New Roman"/>
        </w:rPr>
        <w:tab/>
        <w:t xml:space="preserve">The </w:t>
      </w:r>
      <w:r w:rsidR="00A53181">
        <w:rPr>
          <w:rFonts w:ascii="Times New Roman" w:hAnsi="Times New Roman"/>
        </w:rPr>
        <w:t xml:space="preserve">Proposed </w:t>
      </w:r>
      <w:r w:rsidR="004C2E36">
        <w:rPr>
          <w:rFonts w:ascii="Times New Roman" w:hAnsi="Times New Roman"/>
        </w:rPr>
        <w:t xml:space="preserve">Agreement </w:t>
      </w:r>
      <w:r w:rsidRPr="00B00963">
        <w:rPr>
          <w:rFonts w:ascii="Times New Roman" w:hAnsi="Times New Roman"/>
        </w:rPr>
        <w:t>provides that, effective January 1, 2020, the Company shall (1) not increase its traditional base rate tariff in 2020, any increases in base rates</w:t>
      </w:r>
      <w:r w:rsidR="006A3BA1">
        <w:rPr>
          <w:rFonts w:ascii="Times New Roman" w:hAnsi="Times New Roman"/>
        </w:rPr>
        <w:t xml:space="preserve"> in 2</w:t>
      </w:r>
      <w:r w:rsidR="00C05421">
        <w:rPr>
          <w:rFonts w:ascii="Times New Roman" w:hAnsi="Times New Roman"/>
        </w:rPr>
        <w:t>0</w:t>
      </w:r>
      <w:r w:rsidR="006A3BA1">
        <w:rPr>
          <w:rFonts w:ascii="Times New Roman" w:hAnsi="Times New Roman"/>
        </w:rPr>
        <w:t>21 and 2022</w:t>
      </w:r>
      <w:r w:rsidRPr="00B00963">
        <w:rPr>
          <w:rFonts w:ascii="Times New Roman" w:hAnsi="Times New Roman"/>
        </w:rPr>
        <w:t xml:space="preserve"> shall not be levelized but adjusted year by year, (2) collect an additional $12 million through the DSM tariffs, </w:t>
      </w:r>
      <w:r w:rsidR="008D0F2F">
        <w:rPr>
          <w:rFonts w:ascii="Times New Roman" w:hAnsi="Times New Roman"/>
        </w:rPr>
        <w:t xml:space="preserve">and as adjusted during the term of this ARP based on the DSM True up process agreed to by the Company and Commission Staff with projected increases of $1 million effective January 1, 2021, and $1 million effective January 1, 2022 </w:t>
      </w:r>
      <w:r>
        <w:rPr>
          <w:rFonts w:ascii="Times New Roman" w:hAnsi="Times New Roman"/>
        </w:rPr>
        <w:t xml:space="preserve">and </w:t>
      </w:r>
      <w:r w:rsidRPr="00B00963">
        <w:rPr>
          <w:rFonts w:ascii="Times New Roman" w:hAnsi="Times New Roman"/>
        </w:rPr>
        <w:t xml:space="preserve">(3) collect an additional $12 million effective January 1, 2020, $5 million effective January 1, 2021, and $9 million effective January 1, 2022 through the </w:t>
      </w:r>
      <w:r>
        <w:rPr>
          <w:rFonts w:ascii="Times New Roman" w:hAnsi="Times New Roman"/>
        </w:rPr>
        <w:t>MFF</w:t>
      </w:r>
      <w:r w:rsidRPr="00B00963">
        <w:rPr>
          <w:rFonts w:ascii="Times New Roman" w:hAnsi="Times New Roman"/>
        </w:rPr>
        <w:t xml:space="preserve"> tariff</w:t>
      </w:r>
      <w:r w:rsidR="008D0F2F">
        <w:rPr>
          <w:rFonts w:ascii="Times New Roman" w:hAnsi="Times New Roman"/>
        </w:rPr>
        <w:t>, which dollar amount will change as total revenues change as allowed by this ARP, as well as with any future Fuel Cost Recovery (“FCR”) changes and future Nuclear Construction Cost Recovery (“NCCR”) changes.</w:t>
      </w:r>
      <w:r w:rsidR="007A4BF8">
        <w:rPr>
          <w:rFonts w:ascii="Times New Roman" w:hAnsi="Times New Roman"/>
        </w:rPr>
        <w:t xml:space="preserve"> </w:t>
      </w:r>
      <w:r w:rsidR="0080058D">
        <w:rPr>
          <w:rFonts w:ascii="Times New Roman" w:hAnsi="Times New Roman"/>
        </w:rPr>
        <w:t>(</w:t>
      </w:r>
      <w:r w:rsidR="00D776CD">
        <w:rPr>
          <w:rFonts w:ascii="Times New Roman" w:hAnsi="Times New Roman"/>
        </w:rPr>
        <w:t xml:space="preserve">Proposed </w:t>
      </w:r>
      <w:r w:rsidR="0080058D">
        <w:rPr>
          <w:rFonts w:ascii="Times New Roman" w:hAnsi="Times New Roman"/>
        </w:rPr>
        <w:t>Agreement Provisions 1, 3 and 4).</w:t>
      </w:r>
      <w:r w:rsidRPr="00B00963">
        <w:rPr>
          <w:rFonts w:ascii="Times New Roman" w:hAnsi="Times New Roman"/>
        </w:rPr>
        <w:t xml:space="preserve"> </w:t>
      </w:r>
    </w:p>
    <w:p w14:paraId="76169F41" w14:textId="0592E6C7" w:rsidR="00AE3A00" w:rsidRDefault="00AE3A00" w:rsidP="003C0206">
      <w:pPr>
        <w:pStyle w:val="BodyText1"/>
        <w:tabs>
          <w:tab w:val="clear" w:pos="720"/>
        </w:tabs>
        <w:spacing w:line="240" w:lineRule="auto"/>
        <w:ind w:firstLine="0"/>
        <w:jc w:val="both"/>
        <w:rPr>
          <w:rFonts w:ascii="Times New Roman" w:hAnsi="Times New Roman"/>
        </w:rPr>
      </w:pPr>
    </w:p>
    <w:p w14:paraId="6FAC0DB2" w14:textId="31969BC5" w:rsidR="00AE3A00" w:rsidRPr="00B00963" w:rsidRDefault="00AE3A00" w:rsidP="003C0206">
      <w:pPr>
        <w:pStyle w:val="BodyText1"/>
        <w:tabs>
          <w:tab w:val="clear" w:pos="720"/>
        </w:tabs>
        <w:spacing w:line="240" w:lineRule="auto"/>
        <w:ind w:firstLine="0"/>
        <w:jc w:val="both"/>
        <w:rPr>
          <w:rFonts w:ascii="Times New Roman" w:hAnsi="Times New Roman"/>
        </w:rPr>
      </w:pPr>
      <w:r>
        <w:rPr>
          <w:rFonts w:ascii="Times New Roman" w:hAnsi="Times New Roman"/>
        </w:rPr>
        <w:tab/>
        <w:t xml:space="preserve">The Commission finds these tariff changes to be reasonable; therefore, the changes are approved as provided for in the </w:t>
      </w:r>
      <w:r w:rsidR="00A53181">
        <w:rPr>
          <w:rFonts w:ascii="Times New Roman" w:hAnsi="Times New Roman"/>
        </w:rPr>
        <w:t xml:space="preserve">Proposed </w:t>
      </w:r>
      <w:r>
        <w:rPr>
          <w:rFonts w:ascii="Times New Roman" w:hAnsi="Times New Roman"/>
        </w:rPr>
        <w:t>Agreement.</w:t>
      </w:r>
    </w:p>
    <w:p w14:paraId="12E35276" w14:textId="59AB830F" w:rsidR="003C0206" w:rsidRDefault="003C0206" w:rsidP="003C0206">
      <w:pPr>
        <w:pStyle w:val="BodyText1"/>
        <w:tabs>
          <w:tab w:val="clear" w:pos="720"/>
        </w:tabs>
        <w:spacing w:line="240" w:lineRule="auto"/>
        <w:ind w:firstLine="0"/>
        <w:jc w:val="both"/>
        <w:rPr>
          <w:rFonts w:ascii="Times New Roman" w:hAnsi="Times New Roman"/>
        </w:rPr>
      </w:pPr>
    </w:p>
    <w:p w14:paraId="1DD4598A" w14:textId="791DDFCB" w:rsidR="00C17DE1" w:rsidRDefault="00AE3A00" w:rsidP="00C17DE1">
      <w:pPr>
        <w:jc w:val="center"/>
        <w:rPr>
          <w:rFonts w:ascii="Times New Roman" w:hAnsi="Times New Roman"/>
        </w:rPr>
      </w:pPr>
      <w:r>
        <w:rPr>
          <w:rFonts w:ascii="Times New Roman" w:hAnsi="Times New Roman"/>
        </w:rPr>
        <w:t>6</w:t>
      </w:r>
      <w:r w:rsidR="007A4BF8">
        <w:rPr>
          <w:rFonts w:ascii="Times New Roman" w:hAnsi="Times New Roman"/>
        </w:rPr>
        <w:t>.</w:t>
      </w:r>
    </w:p>
    <w:p w14:paraId="767BD15B" w14:textId="77777777" w:rsidR="00C17DE1" w:rsidRDefault="00C17DE1" w:rsidP="00C17DE1">
      <w:pPr>
        <w:jc w:val="center"/>
        <w:rPr>
          <w:rFonts w:ascii="Times New Roman" w:hAnsi="Times New Roman"/>
        </w:rPr>
      </w:pPr>
    </w:p>
    <w:p w14:paraId="071B822E" w14:textId="4E964F40" w:rsidR="00C17DE1" w:rsidRDefault="00C17DE1" w:rsidP="00C17DE1">
      <w:pPr>
        <w:jc w:val="both"/>
        <w:rPr>
          <w:rFonts w:ascii="Times New Roman" w:hAnsi="Times New Roman"/>
        </w:rPr>
      </w:pPr>
      <w:r w:rsidRPr="00A015AE">
        <w:rPr>
          <w:rFonts w:ascii="Times New Roman" w:hAnsi="Times New Roman"/>
        </w:rPr>
        <w:tab/>
      </w:r>
      <w:r>
        <w:rPr>
          <w:rFonts w:ascii="Times New Roman" w:hAnsi="Times New Roman"/>
        </w:rPr>
        <w:t xml:space="preserve">The </w:t>
      </w:r>
      <w:r w:rsidR="00A53181">
        <w:rPr>
          <w:rFonts w:ascii="Times New Roman" w:hAnsi="Times New Roman"/>
        </w:rPr>
        <w:t xml:space="preserve">Proposed </w:t>
      </w:r>
      <w:r>
        <w:rPr>
          <w:rFonts w:ascii="Times New Roman" w:hAnsi="Times New Roman"/>
        </w:rPr>
        <w:t>Agreement provides that the revenue requirement amount related to coal ash pond AROs shall be collected through the</w:t>
      </w:r>
      <w:r w:rsidRPr="00EA730E">
        <w:rPr>
          <w:rFonts w:ascii="Times New Roman" w:hAnsi="Times New Roman"/>
        </w:rPr>
        <w:t xml:space="preserve"> </w:t>
      </w:r>
      <w:r w:rsidRPr="00A015AE">
        <w:rPr>
          <w:rFonts w:ascii="Times New Roman" w:hAnsi="Times New Roman"/>
        </w:rPr>
        <w:t xml:space="preserve">ECCR </w:t>
      </w:r>
      <w:r>
        <w:rPr>
          <w:rFonts w:ascii="Times New Roman" w:hAnsi="Times New Roman"/>
        </w:rPr>
        <w:t xml:space="preserve">tariff effective January 1, 2020. </w:t>
      </w:r>
      <w:r w:rsidRPr="00A015AE">
        <w:rPr>
          <w:rFonts w:ascii="Times New Roman" w:hAnsi="Times New Roman"/>
        </w:rPr>
        <w:t xml:space="preserve"> ECCR shall include the cost for compliance with</w:t>
      </w:r>
      <w:r>
        <w:rPr>
          <w:rFonts w:ascii="Times New Roman" w:hAnsi="Times New Roman"/>
        </w:rPr>
        <w:t xml:space="preserve"> </w:t>
      </w:r>
      <w:r w:rsidRPr="00A015AE">
        <w:rPr>
          <w:rFonts w:ascii="Times New Roman" w:hAnsi="Times New Roman"/>
        </w:rPr>
        <w:t xml:space="preserve">CCR ARO.  The collection of CCR AROs through ECCR will be in addition to compliance costs already included in the ECCR tariff. For purposes of settlement, the forecasted contingency for CCR AROs and traditional ECCR has been removed from the annual expenditure projections.  For rate setting purposes the full weighted average cost of capital will be applied to the under recovered balance of CCR AROs.  Effective January 1, 2020, it </w:t>
      </w:r>
      <w:r w:rsidR="00352F54">
        <w:rPr>
          <w:rFonts w:ascii="Times New Roman" w:hAnsi="Times New Roman"/>
        </w:rPr>
        <w:t>wa</w:t>
      </w:r>
      <w:r w:rsidRPr="00A015AE">
        <w:rPr>
          <w:rFonts w:ascii="Times New Roman" w:hAnsi="Times New Roman"/>
        </w:rPr>
        <w:t>s estimated that the ECCR tariff w</w:t>
      </w:r>
      <w:r w:rsidR="00352F54">
        <w:rPr>
          <w:rFonts w:ascii="Times New Roman" w:hAnsi="Times New Roman"/>
        </w:rPr>
        <w:t>ould</w:t>
      </w:r>
      <w:r w:rsidRPr="00A015AE">
        <w:rPr>
          <w:rFonts w:ascii="Times New Roman" w:hAnsi="Times New Roman"/>
        </w:rPr>
        <w:t xml:space="preserve"> be adjusted to collect an additional $324 million, an estimated $115 million effective January 1, 2021, and $180 million effective January 1, 2022.  These estimates will be adjusted in setting actual 2020 ECCR tariff rate and in the Company’s compliance filings to incorporate the capital structure and rate setting return on equity approved by the Commission.  The projection of CCR ARO cost will be updated in 2020 and 2021 through compliance filings to set the actual ECCR tariff rates for 2021 and 2022.</w:t>
      </w:r>
      <w:r w:rsidR="0080058D">
        <w:rPr>
          <w:rFonts w:ascii="Times New Roman" w:hAnsi="Times New Roman"/>
        </w:rPr>
        <w:t xml:space="preserve"> (</w:t>
      </w:r>
      <w:r w:rsidR="00D776CD">
        <w:rPr>
          <w:rFonts w:ascii="Times New Roman" w:hAnsi="Times New Roman"/>
        </w:rPr>
        <w:t xml:space="preserve">Proposed </w:t>
      </w:r>
      <w:r w:rsidR="0080058D">
        <w:rPr>
          <w:rFonts w:ascii="Times New Roman" w:hAnsi="Times New Roman"/>
        </w:rPr>
        <w:t xml:space="preserve">Agreement Provisions 2 &amp; 5). </w:t>
      </w:r>
      <w:r w:rsidRPr="00A015AE">
        <w:rPr>
          <w:rFonts w:ascii="Times New Roman" w:hAnsi="Times New Roman"/>
        </w:rPr>
        <w:t xml:space="preserve">   </w:t>
      </w:r>
    </w:p>
    <w:p w14:paraId="455DC466" w14:textId="77777777" w:rsidR="00C17DE1" w:rsidRDefault="00C17DE1" w:rsidP="00C17DE1">
      <w:pPr>
        <w:jc w:val="both"/>
        <w:rPr>
          <w:rFonts w:ascii="Times New Roman" w:hAnsi="Times New Roman"/>
        </w:rPr>
      </w:pPr>
    </w:p>
    <w:p w14:paraId="394464E8" w14:textId="4A2B6E3B" w:rsidR="00C17DE1" w:rsidRPr="00B5275D" w:rsidRDefault="00C17DE1" w:rsidP="00C17DE1">
      <w:pPr>
        <w:jc w:val="both"/>
        <w:rPr>
          <w:rFonts w:ascii="Times New Roman" w:hAnsi="Times New Roman"/>
          <w:color w:val="000000"/>
          <w:szCs w:val="24"/>
        </w:rPr>
      </w:pPr>
      <w:r>
        <w:rPr>
          <w:rFonts w:ascii="Times New Roman" w:hAnsi="Times New Roman"/>
        </w:rPr>
        <w:tab/>
        <w:t xml:space="preserve">PIA Staff’s recommended CCR ARO </w:t>
      </w:r>
      <w:r w:rsidRPr="00441D67">
        <w:rPr>
          <w:rFonts w:ascii="Times New Roman" w:hAnsi="Times New Roman"/>
        </w:rPr>
        <w:t>revenue requirement deficiency for 2020 is $104.6</w:t>
      </w:r>
      <w:r>
        <w:rPr>
          <w:rFonts w:ascii="Times New Roman" w:hAnsi="Times New Roman"/>
        </w:rPr>
        <w:t xml:space="preserve"> million</w:t>
      </w:r>
      <w:r w:rsidRPr="00441D67">
        <w:rPr>
          <w:rFonts w:ascii="Times New Roman" w:hAnsi="Times New Roman"/>
        </w:rPr>
        <w:t>, which is $53.5 million less than the Company’s proposed amount.  (Tr. 1212).</w:t>
      </w:r>
      <w:r>
        <w:rPr>
          <w:rFonts w:ascii="Times New Roman" w:hAnsi="Times New Roman"/>
        </w:rPr>
        <w:t xml:space="preserve"> PIA </w:t>
      </w:r>
      <w:r>
        <w:rPr>
          <w:rFonts w:ascii="Times New Roman" w:hAnsi="Times New Roman"/>
          <w:color w:val="000000"/>
          <w:szCs w:val="24"/>
        </w:rPr>
        <w:t xml:space="preserve">Staff did not object to the one-third amortization per year approach for cost recovery proposed by the Company, but recommended three modifications to the Company’s proposal.  First, PIA Staff recommended that the Commission not </w:t>
      </w:r>
      <w:r>
        <w:rPr>
          <w:rFonts w:ascii="Times New Roman" w:hAnsi="Times New Roman"/>
          <w:szCs w:val="24"/>
        </w:rPr>
        <w:t xml:space="preserve">pre-approve a level of cost recovery for 2021 and 2022 because the actual costs may vary from the Company’s estimates. Instead, PIA Staff recommended that the Company’s annual compliance filing as approved in the 2019 IRP. Second, PIA </w:t>
      </w:r>
      <w:r>
        <w:rPr>
          <w:rFonts w:ascii="Times New Roman" w:hAnsi="Times New Roman"/>
          <w:color w:val="000000"/>
          <w:szCs w:val="24"/>
        </w:rPr>
        <w:t xml:space="preserve">Staff </w:t>
      </w:r>
      <w:r>
        <w:rPr>
          <w:rFonts w:ascii="Times New Roman" w:hAnsi="Times New Roman"/>
          <w:color w:val="000000"/>
          <w:szCs w:val="24"/>
        </w:rPr>
        <w:lastRenderedPageBreak/>
        <w:t>recommended that the Commission not approve contingency dollars included by the Company in the estimates that the Company used to derive its requested CCR ARO compliance revenue requirements for the test year, and for plan years 2020 through 2022.  They argued removal of the contingency dollars is appropriate here because the Company’s estimates included a substantial contingency, the Company will have the opportunity to mitigate and offset costs, and some portions of the Company’s contingency estimates have a low probability of being incurred.  (Tr. 1207-1208).</w:t>
      </w:r>
      <w:r w:rsidRPr="00B5275D">
        <w:t xml:space="preserve"> </w:t>
      </w:r>
      <w:r w:rsidRPr="00B5275D">
        <w:rPr>
          <w:rFonts w:ascii="Times New Roman" w:hAnsi="Times New Roman"/>
          <w:color w:val="000000"/>
          <w:szCs w:val="24"/>
        </w:rPr>
        <w:t xml:space="preserve">Finally, </w:t>
      </w:r>
      <w:r>
        <w:rPr>
          <w:rFonts w:ascii="Times New Roman" w:hAnsi="Times New Roman"/>
          <w:color w:val="000000"/>
          <w:szCs w:val="24"/>
        </w:rPr>
        <w:t>PIA Staff recommended</w:t>
      </w:r>
      <w:r w:rsidRPr="00B5275D">
        <w:rPr>
          <w:rFonts w:ascii="Times New Roman" w:hAnsi="Times New Roman"/>
          <w:color w:val="000000"/>
          <w:szCs w:val="24"/>
        </w:rPr>
        <w:t xml:space="preserve"> that the Company receive a carrying cost allowance based on the cost of long-term debt with no ROE component, rather than a full rate base return (including an equity return and income tax gross-up) on the CCR ARO amounts while they are</w:t>
      </w:r>
    </w:p>
    <w:p w14:paraId="0FDFE8AF" w14:textId="77777777" w:rsidR="00C17DE1" w:rsidRDefault="00C17DE1" w:rsidP="00C17DE1">
      <w:pPr>
        <w:jc w:val="both"/>
        <w:rPr>
          <w:rFonts w:ascii="Times New Roman" w:hAnsi="Times New Roman"/>
        </w:rPr>
      </w:pPr>
      <w:r w:rsidRPr="00B5275D">
        <w:rPr>
          <w:rFonts w:ascii="Times New Roman" w:hAnsi="Times New Roman"/>
          <w:color w:val="000000"/>
          <w:szCs w:val="24"/>
        </w:rPr>
        <w:t>being recovered.</w:t>
      </w:r>
    </w:p>
    <w:p w14:paraId="1BEE313B" w14:textId="77777777" w:rsidR="00C17DE1" w:rsidRDefault="00C17DE1" w:rsidP="00C17DE1">
      <w:pPr>
        <w:jc w:val="both"/>
        <w:rPr>
          <w:rFonts w:ascii="Times New Roman" w:hAnsi="Times New Roman"/>
        </w:rPr>
      </w:pPr>
    </w:p>
    <w:p w14:paraId="1BE36BFE" w14:textId="6AA60DBB" w:rsidR="00C17DE1" w:rsidRDefault="00C17DE1" w:rsidP="00C17DE1">
      <w:pPr>
        <w:ind w:firstLine="720"/>
        <w:jc w:val="both"/>
        <w:rPr>
          <w:rFonts w:ascii="Times New Roman" w:eastAsia="Calibri" w:hAnsi="Times New Roman"/>
          <w:szCs w:val="24"/>
        </w:rPr>
      </w:pPr>
      <w:r w:rsidRPr="00630821">
        <w:rPr>
          <w:rFonts w:ascii="Times New Roman" w:hAnsi="Times New Roman"/>
          <w:szCs w:val="24"/>
        </w:rPr>
        <w:t>DOD/FEA recom</w:t>
      </w:r>
      <w:r>
        <w:rPr>
          <w:rFonts w:ascii="Times New Roman" w:hAnsi="Times New Roman"/>
          <w:szCs w:val="24"/>
        </w:rPr>
        <w:t>mended</w:t>
      </w:r>
      <w:r w:rsidRPr="00630821">
        <w:rPr>
          <w:rFonts w:ascii="Times New Roman" w:hAnsi="Times New Roman"/>
          <w:szCs w:val="24"/>
        </w:rPr>
        <w:t xml:space="preserve"> that given the substantial size and uncertainty of the amount of CCR costs to be recovered, the Commission should order that Georgia Power recovers these costs through </w:t>
      </w:r>
      <w:r w:rsidR="008E30DF">
        <w:rPr>
          <w:rFonts w:ascii="Times New Roman" w:hAnsi="Times New Roman"/>
          <w:szCs w:val="24"/>
        </w:rPr>
        <w:t xml:space="preserve">an </w:t>
      </w:r>
      <w:r w:rsidRPr="00630821">
        <w:rPr>
          <w:rFonts w:ascii="Times New Roman" w:hAnsi="Times New Roman"/>
          <w:szCs w:val="24"/>
        </w:rPr>
        <w:t>exact cost recovery rider designed as a percent of base revenue structured in a similar fashion as Georgia Power’s current base-rate recovery riders tariff, e.g. Nuclear Construction Cost Recovery tariff.</w:t>
      </w:r>
      <w:r>
        <w:rPr>
          <w:rFonts w:ascii="Times New Roman" w:hAnsi="Times New Roman"/>
          <w:szCs w:val="24"/>
        </w:rPr>
        <w:t xml:space="preserve"> </w:t>
      </w:r>
      <w:r w:rsidRPr="00057E4C">
        <w:rPr>
          <w:rFonts w:ascii="Times New Roman" w:eastAsia="Calibri" w:hAnsi="Times New Roman"/>
          <w:szCs w:val="24"/>
        </w:rPr>
        <w:t>DOD</w:t>
      </w:r>
      <w:r>
        <w:rPr>
          <w:rFonts w:ascii="Times New Roman" w:eastAsia="Calibri" w:hAnsi="Times New Roman"/>
          <w:szCs w:val="24"/>
        </w:rPr>
        <w:t>/FEA</w:t>
      </w:r>
      <w:r w:rsidRPr="00057E4C">
        <w:rPr>
          <w:rFonts w:ascii="Times New Roman" w:eastAsia="Calibri" w:hAnsi="Times New Roman"/>
          <w:szCs w:val="24"/>
        </w:rPr>
        <w:t xml:space="preserve"> </w:t>
      </w:r>
      <w:r>
        <w:rPr>
          <w:rFonts w:ascii="Times New Roman" w:eastAsia="Calibri" w:hAnsi="Times New Roman"/>
          <w:szCs w:val="24"/>
        </w:rPr>
        <w:t>further recommended that i</w:t>
      </w:r>
      <w:r w:rsidRPr="00057E4C">
        <w:rPr>
          <w:rFonts w:ascii="Times New Roman" w:eastAsia="Calibri" w:hAnsi="Times New Roman"/>
          <w:szCs w:val="24"/>
        </w:rPr>
        <w:t xml:space="preserve">f the Commission does not think transparency is necessary in relation to billing of CCR </w:t>
      </w:r>
      <w:r>
        <w:rPr>
          <w:rFonts w:ascii="Times New Roman" w:eastAsia="Calibri" w:hAnsi="Times New Roman"/>
          <w:szCs w:val="24"/>
        </w:rPr>
        <w:t xml:space="preserve">ARO </w:t>
      </w:r>
      <w:r w:rsidRPr="00057E4C">
        <w:rPr>
          <w:rFonts w:ascii="Times New Roman" w:eastAsia="Calibri" w:hAnsi="Times New Roman"/>
          <w:szCs w:val="24"/>
        </w:rPr>
        <w:t xml:space="preserve">costs, hence that cost recovery through a new rider is unwarranted, the Commission should order CCR </w:t>
      </w:r>
      <w:r>
        <w:rPr>
          <w:rFonts w:ascii="Times New Roman" w:eastAsia="Calibri" w:hAnsi="Times New Roman"/>
          <w:szCs w:val="24"/>
        </w:rPr>
        <w:t xml:space="preserve">ARO </w:t>
      </w:r>
      <w:r w:rsidRPr="00057E4C">
        <w:rPr>
          <w:rFonts w:ascii="Times New Roman" w:eastAsia="Calibri" w:hAnsi="Times New Roman"/>
          <w:szCs w:val="24"/>
        </w:rPr>
        <w:t>costs to be recovered through the ECCR tariff.</w:t>
      </w:r>
    </w:p>
    <w:p w14:paraId="7EB2B4A7" w14:textId="77777777" w:rsidR="00C17DE1" w:rsidRDefault="00C17DE1" w:rsidP="00C17DE1">
      <w:pPr>
        <w:jc w:val="both"/>
        <w:rPr>
          <w:rFonts w:ascii="Times New Roman" w:eastAsia="Calibri" w:hAnsi="Times New Roman"/>
          <w:szCs w:val="24"/>
        </w:rPr>
      </w:pPr>
    </w:p>
    <w:p w14:paraId="533AF191" w14:textId="49F45BCA" w:rsidR="00C17DE1" w:rsidRDefault="00C17DE1" w:rsidP="005842A0">
      <w:pPr>
        <w:ind w:firstLine="720"/>
        <w:jc w:val="both"/>
        <w:rPr>
          <w:rFonts w:ascii="Times New Roman" w:hAnsi="Times New Roman"/>
          <w:szCs w:val="24"/>
        </w:rPr>
      </w:pPr>
      <w:r>
        <w:rPr>
          <w:rFonts w:ascii="Times New Roman" w:hAnsi="Times New Roman"/>
          <w:szCs w:val="24"/>
        </w:rPr>
        <w:t>Sierra Club recommended</w:t>
      </w:r>
      <w:r w:rsidRPr="00630821">
        <w:rPr>
          <w:rFonts w:ascii="Times New Roman" w:hAnsi="Times New Roman"/>
          <w:szCs w:val="24"/>
        </w:rPr>
        <w:t xml:space="preserve"> that the Commission deny the Company’s request to recover $525 million from its ratepayers for its CCR costs stating that Georgia Power failed to demonstrate that its costs are just, reasonable and prudent.</w:t>
      </w:r>
      <w:r>
        <w:rPr>
          <w:rFonts w:ascii="Times New Roman" w:hAnsi="Times New Roman"/>
          <w:szCs w:val="24"/>
        </w:rPr>
        <w:t xml:space="preserve"> Sierra Club stated that the Company failed to provide a cost accounting, cost breakdown or list of line item expenses breaking down how or when the $525 million will be spent.  Sierra Club also asserted that the CCR costs should be disallowed as those future costs are uncertain. Since the Georgia EPD has yet to approve Georgia Power’s CCR closure plans</w:t>
      </w:r>
      <w:r w:rsidR="00917A0F">
        <w:rPr>
          <w:rFonts w:ascii="Times New Roman" w:hAnsi="Times New Roman"/>
          <w:szCs w:val="24"/>
        </w:rPr>
        <w:t>,</w:t>
      </w:r>
      <w:r>
        <w:rPr>
          <w:rFonts w:ascii="Times New Roman" w:hAnsi="Times New Roman"/>
          <w:szCs w:val="24"/>
        </w:rPr>
        <w:t xml:space="preserve"> </w:t>
      </w:r>
      <w:r w:rsidR="00352F54">
        <w:rPr>
          <w:rFonts w:ascii="Times New Roman" w:hAnsi="Times New Roman"/>
          <w:szCs w:val="24"/>
        </w:rPr>
        <w:t xml:space="preserve">Sierra Club argued that </w:t>
      </w:r>
      <w:r>
        <w:rPr>
          <w:rFonts w:ascii="Times New Roman" w:hAnsi="Times New Roman"/>
          <w:szCs w:val="24"/>
        </w:rPr>
        <w:t>the Company is attempting to recover, from ratepayers, costs that are indefinite, uncertain and could change.</w:t>
      </w:r>
    </w:p>
    <w:p w14:paraId="574C7AD3" w14:textId="77777777" w:rsidR="005842A0" w:rsidRDefault="005842A0" w:rsidP="005842A0">
      <w:pPr>
        <w:ind w:firstLine="720"/>
        <w:jc w:val="both"/>
        <w:rPr>
          <w:rFonts w:ascii="Times New Roman" w:hAnsi="Times New Roman"/>
        </w:rPr>
      </w:pPr>
    </w:p>
    <w:p w14:paraId="175229AF" w14:textId="30E2FCF0" w:rsidR="00C17DE1" w:rsidRDefault="00C17DE1" w:rsidP="00C17DE1">
      <w:pPr>
        <w:jc w:val="both"/>
        <w:rPr>
          <w:rFonts w:ascii="Times New Roman" w:hAnsi="Times New Roman"/>
          <w:spacing w:val="-3"/>
          <w:szCs w:val="24"/>
        </w:rPr>
      </w:pPr>
      <w:r>
        <w:rPr>
          <w:rFonts w:ascii="Times New Roman" w:hAnsi="Times New Roman"/>
        </w:rPr>
        <w:tab/>
      </w:r>
      <w:r w:rsidRPr="007B6E38">
        <w:rPr>
          <w:rFonts w:ascii="Times New Roman" w:hAnsi="Times New Roman"/>
          <w:spacing w:val="-3"/>
          <w:szCs w:val="24"/>
        </w:rPr>
        <w:t xml:space="preserve">This Commission has carefully considered the evidence and testimony presented on these issues and finds that it is just and reasonable for Georgia Power to recover CCR ARO compliance costs </w:t>
      </w:r>
      <w:r>
        <w:rPr>
          <w:rFonts w:ascii="Times New Roman" w:hAnsi="Times New Roman"/>
          <w:spacing w:val="-3"/>
          <w:szCs w:val="24"/>
        </w:rPr>
        <w:t xml:space="preserve">as provided for in the </w:t>
      </w:r>
      <w:r w:rsidR="00A53181">
        <w:rPr>
          <w:rFonts w:ascii="Times New Roman" w:hAnsi="Times New Roman"/>
          <w:spacing w:val="-3"/>
          <w:szCs w:val="24"/>
        </w:rPr>
        <w:t xml:space="preserve">Proposed </w:t>
      </w:r>
      <w:r>
        <w:rPr>
          <w:rFonts w:ascii="Times New Roman" w:hAnsi="Times New Roman"/>
          <w:spacing w:val="-3"/>
          <w:szCs w:val="24"/>
        </w:rPr>
        <w:t>Agreement.</w:t>
      </w:r>
    </w:p>
    <w:p w14:paraId="4615E887" w14:textId="6B35E5C6" w:rsidR="00C17DE1" w:rsidRDefault="00C17DE1" w:rsidP="00C17DE1">
      <w:pPr>
        <w:rPr>
          <w:rFonts w:ascii="Times New Roman" w:hAnsi="Times New Roman"/>
        </w:rPr>
      </w:pPr>
    </w:p>
    <w:p w14:paraId="335290DA" w14:textId="5F1C51AE" w:rsidR="0080058D" w:rsidRPr="00B00963" w:rsidRDefault="00AE3A00" w:rsidP="0080058D">
      <w:pPr>
        <w:jc w:val="center"/>
        <w:rPr>
          <w:rFonts w:ascii="Times New Roman" w:hAnsi="Times New Roman"/>
        </w:rPr>
      </w:pPr>
      <w:r>
        <w:rPr>
          <w:rFonts w:ascii="Times New Roman" w:hAnsi="Times New Roman"/>
        </w:rPr>
        <w:t>7</w:t>
      </w:r>
      <w:r w:rsidR="0080058D">
        <w:rPr>
          <w:rFonts w:ascii="Times New Roman" w:hAnsi="Times New Roman"/>
        </w:rPr>
        <w:t>.</w:t>
      </w:r>
    </w:p>
    <w:p w14:paraId="018BCB73" w14:textId="77777777" w:rsidR="0080058D" w:rsidRPr="00B00963" w:rsidRDefault="0080058D" w:rsidP="0080058D">
      <w:pPr>
        <w:ind w:firstLine="720"/>
        <w:jc w:val="both"/>
        <w:rPr>
          <w:rFonts w:ascii="Times New Roman" w:hAnsi="Times New Roman"/>
        </w:rPr>
      </w:pPr>
    </w:p>
    <w:p w14:paraId="6B089C7E" w14:textId="5FBD8873" w:rsidR="0080058D" w:rsidRDefault="0080058D" w:rsidP="0080058D">
      <w:pPr>
        <w:ind w:firstLine="720"/>
        <w:jc w:val="both"/>
        <w:rPr>
          <w:rFonts w:ascii="Times New Roman" w:hAnsi="Times New Roman"/>
        </w:rPr>
      </w:pPr>
      <w:r w:rsidRPr="00B00963">
        <w:rPr>
          <w:rFonts w:ascii="Times New Roman" w:hAnsi="Times New Roman"/>
        </w:rPr>
        <w:t>For ASR purposes, beginning January 1, 2020, the earnings band shall be set at 9.5% to 12.0% ROE and the Company shall report earnings based on the actual historic cost of debt and approved capital str</w:t>
      </w:r>
      <w:r>
        <w:rPr>
          <w:rFonts w:ascii="Times New Roman" w:hAnsi="Times New Roman"/>
        </w:rPr>
        <w:t>ucture.  The Company shall</w:t>
      </w:r>
      <w:r w:rsidRPr="00B00963">
        <w:rPr>
          <w:rFonts w:ascii="Times New Roman" w:hAnsi="Times New Roman"/>
        </w:rPr>
        <w:t xml:space="preserve"> not file a general rate case unless its calendar year retail earnings are projected to be less than 9.5% ROE.</w:t>
      </w:r>
      <w:r w:rsidR="007A4BF8">
        <w:rPr>
          <w:rFonts w:ascii="Times New Roman" w:hAnsi="Times New Roman"/>
        </w:rPr>
        <w:t xml:space="preserve"> (Agreement Provision 6).</w:t>
      </w:r>
    </w:p>
    <w:p w14:paraId="446883F0" w14:textId="77777777" w:rsidR="0080058D" w:rsidRDefault="0080058D" w:rsidP="0080058D">
      <w:pPr>
        <w:ind w:firstLine="720"/>
        <w:jc w:val="both"/>
        <w:rPr>
          <w:rFonts w:ascii="Times New Roman" w:hAnsi="Times New Roman"/>
        </w:rPr>
      </w:pPr>
    </w:p>
    <w:p w14:paraId="789A5E6F" w14:textId="77777777" w:rsidR="0080058D" w:rsidRDefault="0080058D" w:rsidP="0080058D">
      <w:pPr>
        <w:ind w:firstLine="720"/>
        <w:jc w:val="both"/>
        <w:rPr>
          <w:rFonts w:ascii="Times New Roman" w:hAnsi="Times New Roman"/>
          <w:iCs/>
          <w:szCs w:val="24"/>
        </w:rPr>
      </w:pPr>
      <w:r>
        <w:rPr>
          <w:rFonts w:ascii="Times New Roman" w:hAnsi="Times New Roman"/>
          <w:iCs/>
          <w:szCs w:val="24"/>
        </w:rPr>
        <w:t xml:space="preserve">PIA Staff has recommended an earnings band from 9.20 to 10.50% and recommended that earnings above the band be applied to deferred costs instead of being split between customers and the Company. </w:t>
      </w:r>
      <w:r>
        <w:rPr>
          <w:rFonts w:ascii="Times New Roman" w:hAnsi="Times New Roman"/>
          <w:szCs w:val="24"/>
        </w:rPr>
        <w:t>(Tr. 1316.)</w:t>
      </w:r>
      <w:r w:rsidRPr="00F27BC9">
        <w:rPr>
          <w:rFonts w:ascii="Times New Roman" w:hAnsi="Times New Roman"/>
          <w:iCs/>
          <w:szCs w:val="24"/>
        </w:rPr>
        <w:t xml:space="preserve"> </w:t>
      </w:r>
    </w:p>
    <w:p w14:paraId="5525B6C4" w14:textId="77777777" w:rsidR="0080058D" w:rsidRDefault="0080058D" w:rsidP="0080058D">
      <w:pPr>
        <w:ind w:firstLine="720"/>
        <w:jc w:val="both"/>
        <w:rPr>
          <w:rFonts w:ascii="Times New Roman" w:hAnsi="Times New Roman"/>
        </w:rPr>
      </w:pPr>
    </w:p>
    <w:p w14:paraId="22E17384" w14:textId="705D5280" w:rsidR="0080058D" w:rsidRDefault="0080058D" w:rsidP="0080058D">
      <w:pPr>
        <w:ind w:firstLine="720"/>
        <w:jc w:val="both"/>
        <w:rPr>
          <w:rFonts w:ascii="Times New Roman" w:hAnsi="Times New Roman"/>
          <w:iCs/>
          <w:szCs w:val="24"/>
        </w:rPr>
      </w:pPr>
      <w:r>
        <w:rPr>
          <w:rFonts w:ascii="Times New Roman" w:hAnsi="Times New Roman"/>
          <w:iCs/>
          <w:szCs w:val="24"/>
        </w:rPr>
        <w:lastRenderedPageBreak/>
        <w:t xml:space="preserve">DOD/FEA’s witness recommended narrowing the ROE earnings band to +/- 50 basis points around the authorized ROE based on the assumption that it would reduce the risk to the Company. </w:t>
      </w:r>
      <w:r>
        <w:rPr>
          <w:rFonts w:ascii="Times New Roman" w:hAnsi="Times New Roman"/>
          <w:szCs w:val="24"/>
        </w:rPr>
        <w:t xml:space="preserve">(Tr. 1015.) </w:t>
      </w:r>
      <w:r>
        <w:rPr>
          <w:rFonts w:ascii="Times New Roman" w:hAnsi="Times New Roman"/>
          <w:iCs/>
          <w:szCs w:val="24"/>
        </w:rPr>
        <w:t xml:space="preserve">This assumption, however, fails to recognize that by reducing the risk to the Company it would necessarily increase the risk to customers. </w:t>
      </w:r>
      <w:r>
        <w:rPr>
          <w:rFonts w:ascii="Times New Roman" w:hAnsi="Times New Roman"/>
          <w:szCs w:val="24"/>
        </w:rPr>
        <w:t xml:space="preserve">(Tr. 2636.) </w:t>
      </w:r>
      <w:r>
        <w:rPr>
          <w:rFonts w:ascii="Times New Roman" w:hAnsi="Times New Roman"/>
          <w:iCs/>
          <w:szCs w:val="24"/>
        </w:rPr>
        <w:t>Increasing the risk to customers alters the fundamental nature of the ARPs that have been in place for the last 25 years. (</w:t>
      </w:r>
      <w:r>
        <w:rPr>
          <w:rFonts w:ascii="Times New Roman" w:hAnsi="Times New Roman"/>
          <w:i/>
          <w:iCs/>
          <w:szCs w:val="24"/>
        </w:rPr>
        <w:t>Id</w:t>
      </w:r>
      <w:r>
        <w:rPr>
          <w:rFonts w:ascii="Times New Roman" w:hAnsi="Times New Roman"/>
          <w:iCs/>
          <w:szCs w:val="24"/>
        </w:rPr>
        <w:t>.) Georgia Power has proposed an earnings band approximately +/-100 basis points around the proposed ROE, consistent with the structure of the earnings bands previously approved by the Commission for the last several decades.</w:t>
      </w:r>
    </w:p>
    <w:p w14:paraId="4732DCD4" w14:textId="6867B2A2" w:rsidR="004E4268" w:rsidRDefault="004E4268" w:rsidP="0080058D">
      <w:pPr>
        <w:ind w:firstLine="720"/>
        <w:jc w:val="both"/>
        <w:rPr>
          <w:rFonts w:ascii="Times New Roman" w:hAnsi="Times New Roman"/>
          <w:iCs/>
          <w:szCs w:val="24"/>
        </w:rPr>
      </w:pPr>
    </w:p>
    <w:p w14:paraId="6D3CD1A8" w14:textId="1F980192" w:rsidR="004E4268" w:rsidRDefault="004E4268" w:rsidP="0080058D">
      <w:pPr>
        <w:ind w:firstLine="720"/>
        <w:jc w:val="both"/>
        <w:rPr>
          <w:rFonts w:ascii="Times New Roman" w:hAnsi="Times New Roman"/>
          <w:iCs/>
          <w:szCs w:val="24"/>
        </w:rPr>
      </w:pPr>
      <w:r>
        <w:rPr>
          <w:rFonts w:ascii="Times New Roman" w:hAnsi="Times New Roman"/>
          <w:iCs/>
          <w:szCs w:val="24"/>
        </w:rPr>
        <w:t>The Commission finds that the earnings band for ASR purposes and the Company’s agreement not to file a general rate case unless its calendar year retail earnings are projected to be less than 9.5% are reasonable and</w:t>
      </w:r>
      <w:r w:rsidR="00910143">
        <w:rPr>
          <w:rFonts w:ascii="Times New Roman" w:hAnsi="Times New Roman"/>
          <w:iCs/>
          <w:szCs w:val="24"/>
        </w:rPr>
        <w:t xml:space="preserve"> is</w:t>
      </w:r>
      <w:r>
        <w:rPr>
          <w:rFonts w:ascii="Times New Roman" w:hAnsi="Times New Roman"/>
          <w:iCs/>
          <w:szCs w:val="24"/>
        </w:rPr>
        <w:t xml:space="preserve"> hereby approved. </w:t>
      </w:r>
    </w:p>
    <w:p w14:paraId="3E196186" w14:textId="77777777" w:rsidR="0080058D" w:rsidRPr="00B00963" w:rsidRDefault="0080058D" w:rsidP="0080058D">
      <w:pPr>
        <w:ind w:firstLine="720"/>
        <w:jc w:val="both"/>
        <w:rPr>
          <w:rFonts w:ascii="Times New Roman" w:hAnsi="Times New Roman"/>
        </w:rPr>
      </w:pPr>
    </w:p>
    <w:p w14:paraId="614FE67E" w14:textId="5A5F40D2" w:rsidR="004E4268" w:rsidRDefault="00AE3A00" w:rsidP="007A4BF8">
      <w:pPr>
        <w:jc w:val="center"/>
        <w:rPr>
          <w:rFonts w:ascii="Times New Roman" w:hAnsi="Times New Roman"/>
        </w:rPr>
      </w:pPr>
      <w:r>
        <w:rPr>
          <w:rFonts w:ascii="Times New Roman" w:hAnsi="Times New Roman"/>
        </w:rPr>
        <w:t>8</w:t>
      </w:r>
      <w:r w:rsidR="004E4268">
        <w:rPr>
          <w:rFonts w:ascii="Times New Roman" w:hAnsi="Times New Roman"/>
        </w:rPr>
        <w:t>.</w:t>
      </w:r>
    </w:p>
    <w:p w14:paraId="72AC9F80" w14:textId="77777777" w:rsidR="004E4268" w:rsidRDefault="004E4268" w:rsidP="0080058D">
      <w:pPr>
        <w:jc w:val="both"/>
        <w:rPr>
          <w:rFonts w:ascii="Times New Roman" w:hAnsi="Times New Roman"/>
        </w:rPr>
      </w:pPr>
    </w:p>
    <w:p w14:paraId="6EBF31F6" w14:textId="00B6098B" w:rsidR="0080058D" w:rsidRDefault="004E4268" w:rsidP="0080058D">
      <w:pPr>
        <w:jc w:val="both"/>
        <w:rPr>
          <w:rFonts w:ascii="Times New Roman" w:hAnsi="Times New Roman"/>
        </w:rPr>
      </w:pPr>
      <w:r>
        <w:rPr>
          <w:rFonts w:ascii="Times New Roman" w:hAnsi="Times New Roman"/>
        </w:rPr>
        <w:tab/>
        <w:t xml:space="preserve">The </w:t>
      </w:r>
      <w:r w:rsidR="00A53181">
        <w:rPr>
          <w:rFonts w:ascii="Times New Roman" w:hAnsi="Times New Roman"/>
        </w:rPr>
        <w:t xml:space="preserve">Proposed </w:t>
      </w:r>
      <w:r>
        <w:rPr>
          <w:rFonts w:ascii="Times New Roman" w:hAnsi="Times New Roman"/>
        </w:rPr>
        <w:t>Agreement provides that s</w:t>
      </w:r>
      <w:r w:rsidR="0080058D" w:rsidRPr="00B00963">
        <w:rPr>
          <w:rFonts w:ascii="Times New Roman" w:hAnsi="Times New Roman"/>
        </w:rPr>
        <w:t xml:space="preserve">ubsequent to finalization of </w:t>
      </w:r>
      <w:r w:rsidR="0080058D">
        <w:rPr>
          <w:rFonts w:ascii="Times New Roman" w:hAnsi="Times New Roman"/>
        </w:rPr>
        <w:t xml:space="preserve">PIA </w:t>
      </w:r>
      <w:r w:rsidR="0080058D" w:rsidRPr="00B00963">
        <w:rPr>
          <w:rFonts w:ascii="Times New Roman" w:hAnsi="Times New Roman"/>
        </w:rPr>
        <w:t xml:space="preserve">Staff’s review of the respective ASR, any retail earnings above 12.0% ROE </w:t>
      </w:r>
      <w:r w:rsidR="0080058D">
        <w:rPr>
          <w:rFonts w:ascii="Times New Roman" w:hAnsi="Times New Roman"/>
        </w:rPr>
        <w:t>shall</w:t>
      </w:r>
      <w:r w:rsidR="0080058D" w:rsidRPr="00B00963">
        <w:rPr>
          <w:rFonts w:ascii="Times New Roman" w:hAnsi="Times New Roman"/>
        </w:rPr>
        <w:t xml:space="preserve"> be shared, with forty percent (40%) being applied to regulatory assets in the following priority: Accumulated CCR ARO, Retired Generating Plant, Obsolete Inventory, Environmental Remediation, and Storm Damage, forty percent (40%) being directly refunded to customers, allocated on a percentage basis to all customer groups including the base revenue contribution of R</w:t>
      </w:r>
      <w:r w:rsidR="0080058D">
        <w:rPr>
          <w:rFonts w:ascii="Times New Roman" w:hAnsi="Times New Roman"/>
        </w:rPr>
        <w:t xml:space="preserve">eal </w:t>
      </w:r>
      <w:r w:rsidR="0080058D" w:rsidRPr="00B00963">
        <w:rPr>
          <w:rFonts w:ascii="Times New Roman" w:hAnsi="Times New Roman"/>
        </w:rPr>
        <w:t>T</w:t>
      </w:r>
      <w:r w:rsidR="0080058D">
        <w:rPr>
          <w:rFonts w:ascii="Times New Roman" w:hAnsi="Times New Roman"/>
        </w:rPr>
        <w:t xml:space="preserve">ime </w:t>
      </w:r>
      <w:r w:rsidR="0080058D" w:rsidRPr="00B00963">
        <w:rPr>
          <w:rFonts w:ascii="Times New Roman" w:hAnsi="Times New Roman"/>
        </w:rPr>
        <w:t>P</w:t>
      </w:r>
      <w:r w:rsidR="0080058D">
        <w:rPr>
          <w:rFonts w:ascii="Times New Roman" w:hAnsi="Times New Roman"/>
        </w:rPr>
        <w:t>ricing (“RTP”)</w:t>
      </w:r>
      <w:r w:rsidR="0080058D" w:rsidRPr="00B00963">
        <w:rPr>
          <w:rFonts w:ascii="Times New Roman" w:hAnsi="Times New Roman"/>
        </w:rPr>
        <w:t xml:space="preserve"> incremental usage, and the remaining twenty percent (20%) retained by the Company. The Commission finds that it is fair and reasonable that in the event the Company is earning above the top end of the earnings band, </w:t>
      </w:r>
      <w:r w:rsidR="0080058D">
        <w:rPr>
          <w:rFonts w:ascii="Times New Roman" w:hAnsi="Times New Roman"/>
        </w:rPr>
        <w:t>sharing occurs in accordance with the Settlement Agreement</w:t>
      </w:r>
      <w:r w:rsidR="0080058D" w:rsidRPr="00B00963">
        <w:rPr>
          <w:rFonts w:ascii="Times New Roman" w:hAnsi="Times New Roman"/>
        </w:rPr>
        <w:t>.</w:t>
      </w:r>
      <w:r>
        <w:rPr>
          <w:rFonts w:ascii="Times New Roman" w:hAnsi="Times New Roman"/>
        </w:rPr>
        <w:t xml:space="preserve"> (</w:t>
      </w:r>
      <w:r w:rsidR="00D776CD">
        <w:rPr>
          <w:rFonts w:ascii="Times New Roman" w:hAnsi="Times New Roman"/>
        </w:rPr>
        <w:t xml:space="preserve">Proposed </w:t>
      </w:r>
      <w:r>
        <w:rPr>
          <w:rFonts w:ascii="Times New Roman" w:hAnsi="Times New Roman"/>
        </w:rPr>
        <w:t>Agreement Provision 7).</w:t>
      </w:r>
    </w:p>
    <w:p w14:paraId="70E17355" w14:textId="07EFF097" w:rsidR="004E4268" w:rsidRDefault="004E4268" w:rsidP="0080058D">
      <w:pPr>
        <w:jc w:val="both"/>
        <w:rPr>
          <w:rFonts w:ascii="Times New Roman" w:hAnsi="Times New Roman"/>
        </w:rPr>
      </w:pPr>
    </w:p>
    <w:p w14:paraId="1AED8DB3" w14:textId="0DC3AD24" w:rsidR="004E4268" w:rsidRPr="00B00963" w:rsidRDefault="004E4268" w:rsidP="0080058D">
      <w:pPr>
        <w:jc w:val="both"/>
        <w:rPr>
          <w:rFonts w:ascii="Times New Roman" w:hAnsi="Times New Roman"/>
        </w:rPr>
      </w:pPr>
      <w:r>
        <w:rPr>
          <w:rFonts w:ascii="Times New Roman" w:hAnsi="Times New Roman"/>
        </w:rPr>
        <w:tab/>
        <w:t xml:space="preserve">The Commission finds this provision of the </w:t>
      </w:r>
      <w:r w:rsidR="00DD6ECC">
        <w:rPr>
          <w:rFonts w:ascii="Times New Roman" w:hAnsi="Times New Roman"/>
        </w:rPr>
        <w:t xml:space="preserve">Proposed </w:t>
      </w:r>
      <w:r>
        <w:rPr>
          <w:rFonts w:ascii="Times New Roman" w:hAnsi="Times New Roman"/>
        </w:rPr>
        <w:t>Agreement to be reasonable and is hereby approved.</w:t>
      </w:r>
    </w:p>
    <w:p w14:paraId="37EC93DE" w14:textId="7470FD0A" w:rsidR="0080058D" w:rsidRDefault="0080058D" w:rsidP="0080058D">
      <w:pPr>
        <w:jc w:val="both"/>
        <w:rPr>
          <w:rFonts w:ascii="Times New Roman" w:hAnsi="Times New Roman"/>
        </w:rPr>
      </w:pPr>
    </w:p>
    <w:p w14:paraId="2DA86B4F" w14:textId="3E321A30" w:rsidR="004E4268" w:rsidRDefault="00AE3A00" w:rsidP="007A4BF8">
      <w:pPr>
        <w:jc w:val="center"/>
        <w:rPr>
          <w:rFonts w:ascii="Times New Roman" w:hAnsi="Times New Roman"/>
        </w:rPr>
      </w:pPr>
      <w:r>
        <w:rPr>
          <w:rFonts w:ascii="Times New Roman" w:hAnsi="Times New Roman"/>
        </w:rPr>
        <w:t>9</w:t>
      </w:r>
      <w:r w:rsidR="004E4268">
        <w:rPr>
          <w:rFonts w:ascii="Times New Roman" w:hAnsi="Times New Roman"/>
        </w:rPr>
        <w:t>.</w:t>
      </w:r>
    </w:p>
    <w:p w14:paraId="2DDEBB70" w14:textId="77777777" w:rsidR="004E4268" w:rsidRPr="00B00963" w:rsidRDefault="004E4268" w:rsidP="0080058D">
      <w:pPr>
        <w:jc w:val="both"/>
        <w:rPr>
          <w:rFonts w:ascii="Times New Roman" w:hAnsi="Times New Roman"/>
        </w:rPr>
      </w:pPr>
    </w:p>
    <w:p w14:paraId="09F17BE6" w14:textId="156B6FF1" w:rsidR="0080058D" w:rsidRDefault="0080058D" w:rsidP="0080058D">
      <w:pPr>
        <w:jc w:val="both"/>
        <w:rPr>
          <w:rFonts w:ascii="Times New Roman" w:hAnsi="Times New Roman"/>
        </w:rPr>
      </w:pPr>
      <w:r w:rsidRPr="00B00963">
        <w:rPr>
          <w:rFonts w:ascii="Times New Roman" w:hAnsi="Times New Roman"/>
        </w:rPr>
        <w:tab/>
      </w:r>
      <w:r w:rsidR="004E4268">
        <w:rPr>
          <w:rFonts w:ascii="Times New Roman" w:hAnsi="Times New Roman"/>
        </w:rPr>
        <w:t xml:space="preserve">The </w:t>
      </w:r>
      <w:r w:rsidR="00D776CD">
        <w:rPr>
          <w:rFonts w:ascii="Times New Roman" w:hAnsi="Times New Roman"/>
        </w:rPr>
        <w:t xml:space="preserve">Proposed </w:t>
      </w:r>
      <w:r w:rsidR="004E4268">
        <w:rPr>
          <w:rFonts w:ascii="Times New Roman" w:hAnsi="Times New Roman"/>
        </w:rPr>
        <w:t>Agreement provides that t</w:t>
      </w:r>
      <w:r w:rsidRPr="00B00963">
        <w:rPr>
          <w:rFonts w:ascii="Times New Roman" w:hAnsi="Times New Roman"/>
        </w:rPr>
        <w:t xml:space="preserve">he Company </w:t>
      </w:r>
      <w:r>
        <w:rPr>
          <w:rFonts w:ascii="Times New Roman" w:hAnsi="Times New Roman"/>
        </w:rPr>
        <w:t>shall</w:t>
      </w:r>
      <w:r w:rsidRPr="00B00963">
        <w:rPr>
          <w:rFonts w:ascii="Times New Roman" w:hAnsi="Times New Roman"/>
        </w:rPr>
        <w:t xml:space="preserve"> make its </w:t>
      </w:r>
      <w:r>
        <w:rPr>
          <w:rFonts w:ascii="Times New Roman" w:hAnsi="Times New Roman"/>
        </w:rPr>
        <w:t>A</w:t>
      </w:r>
      <w:r w:rsidRPr="00B00963">
        <w:rPr>
          <w:rFonts w:ascii="Times New Roman" w:hAnsi="Times New Roman"/>
        </w:rPr>
        <w:t>SR filings for this ARP by March 15th of the following year. The Commission will consider the ASR filing and determine any direct refunds and reduction of regulatory assets by July 31st of that year.</w:t>
      </w:r>
      <w:r w:rsidR="004E4268">
        <w:rPr>
          <w:rFonts w:ascii="Times New Roman" w:hAnsi="Times New Roman"/>
        </w:rPr>
        <w:t xml:space="preserve"> (</w:t>
      </w:r>
      <w:r w:rsidR="00D776CD">
        <w:rPr>
          <w:rFonts w:ascii="Times New Roman" w:hAnsi="Times New Roman"/>
        </w:rPr>
        <w:t xml:space="preserve">Proposed </w:t>
      </w:r>
      <w:r w:rsidR="004E4268">
        <w:rPr>
          <w:rFonts w:ascii="Times New Roman" w:hAnsi="Times New Roman"/>
        </w:rPr>
        <w:t>Agreement Provision 8).</w:t>
      </w:r>
    </w:p>
    <w:p w14:paraId="039AA2C9" w14:textId="563303BA" w:rsidR="004E4268" w:rsidRDefault="004E4268" w:rsidP="0080058D">
      <w:pPr>
        <w:jc w:val="both"/>
        <w:rPr>
          <w:rFonts w:ascii="Times New Roman" w:hAnsi="Times New Roman"/>
        </w:rPr>
      </w:pPr>
    </w:p>
    <w:p w14:paraId="7E22D713" w14:textId="520B63C6" w:rsidR="004E4268" w:rsidRDefault="004E4268" w:rsidP="0080058D">
      <w:pPr>
        <w:jc w:val="both"/>
        <w:rPr>
          <w:rFonts w:ascii="Times New Roman" w:hAnsi="Times New Roman"/>
        </w:rPr>
      </w:pPr>
      <w:r>
        <w:rPr>
          <w:rFonts w:ascii="Times New Roman" w:hAnsi="Times New Roman"/>
        </w:rPr>
        <w:tab/>
        <w:t xml:space="preserve">The Commission finds this provision of the </w:t>
      </w:r>
      <w:r w:rsidR="00DD6ECC">
        <w:rPr>
          <w:rFonts w:ascii="Times New Roman" w:hAnsi="Times New Roman"/>
        </w:rPr>
        <w:t xml:space="preserve">Proposed </w:t>
      </w:r>
      <w:r>
        <w:rPr>
          <w:rFonts w:ascii="Times New Roman" w:hAnsi="Times New Roman"/>
        </w:rPr>
        <w:t xml:space="preserve">Agreement to be reasonable and </w:t>
      </w:r>
      <w:r w:rsidR="00910143">
        <w:rPr>
          <w:rFonts w:ascii="Times New Roman" w:hAnsi="Times New Roman"/>
        </w:rPr>
        <w:t xml:space="preserve">is </w:t>
      </w:r>
      <w:r>
        <w:rPr>
          <w:rFonts w:ascii="Times New Roman" w:hAnsi="Times New Roman"/>
        </w:rPr>
        <w:t>hereby approved.</w:t>
      </w:r>
    </w:p>
    <w:p w14:paraId="09933807" w14:textId="0952FA2A" w:rsidR="00910143" w:rsidRDefault="00910143" w:rsidP="0080058D">
      <w:pPr>
        <w:jc w:val="both"/>
        <w:rPr>
          <w:rFonts w:ascii="Times New Roman" w:hAnsi="Times New Roman"/>
        </w:rPr>
      </w:pPr>
    </w:p>
    <w:p w14:paraId="68DB04A2" w14:textId="683F49C1" w:rsidR="00910143" w:rsidRPr="00B00963" w:rsidRDefault="00AE3A00" w:rsidP="00910143">
      <w:pPr>
        <w:jc w:val="center"/>
        <w:rPr>
          <w:rFonts w:ascii="Times New Roman" w:hAnsi="Times New Roman"/>
        </w:rPr>
      </w:pPr>
      <w:r>
        <w:rPr>
          <w:rFonts w:ascii="Times New Roman" w:hAnsi="Times New Roman"/>
        </w:rPr>
        <w:t>10</w:t>
      </w:r>
      <w:r w:rsidR="00910143" w:rsidRPr="00B00963">
        <w:rPr>
          <w:rFonts w:ascii="Times New Roman" w:hAnsi="Times New Roman"/>
        </w:rPr>
        <w:t>.</w:t>
      </w:r>
    </w:p>
    <w:p w14:paraId="354DB56F" w14:textId="77777777" w:rsidR="00910143" w:rsidRPr="00B00963" w:rsidRDefault="00910143" w:rsidP="00910143">
      <w:pPr>
        <w:jc w:val="both"/>
        <w:rPr>
          <w:rFonts w:ascii="Times New Roman" w:hAnsi="Times New Roman"/>
          <w:i/>
        </w:rPr>
      </w:pPr>
    </w:p>
    <w:p w14:paraId="01364376" w14:textId="77777777" w:rsidR="00910143" w:rsidRPr="00B00963" w:rsidRDefault="00910143" w:rsidP="00910143">
      <w:pPr>
        <w:tabs>
          <w:tab w:val="left" w:pos="-720"/>
        </w:tabs>
        <w:suppressAutoHyphens/>
        <w:jc w:val="both"/>
        <w:rPr>
          <w:rFonts w:ascii="Times New Roman" w:hAnsi="Times New Roman"/>
        </w:rPr>
      </w:pPr>
      <w:r w:rsidRPr="00B00963">
        <w:rPr>
          <w:rFonts w:ascii="Times New Roman" w:hAnsi="Times New Roman"/>
        </w:rPr>
        <w:tab/>
        <w:t xml:space="preserve">For purposes of the 2021 and 2022 rate adjustments, the Company shall make compliance filings of the updated tariffs at least ninety (90) days prior to the effective date of the tariffs.  The Company’s compliance filings will include the following updates including updated estimates to </w:t>
      </w:r>
      <w:r w:rsidRPr="00B00963">
        <w:rPr>
          <w:rFonts w:ascii="Times New Roman" w:hAnsi="Times New Roman"/>
        </w:rPr>
        <w:lastRenderedPageBreak/>
        <w:t xml:space="preserve">incorporate the capital structure and rate setting return on equity approved by the Commission on December 17, 2019: </w:t>
      </w:r>
    </w:p>
    <w:p w14:paraId="19C6BB12" w14:textId="77777777" w:rsidR="00910143" w:rsidRPr="00B00963" w:rsidRDefault="00910143" w:rsidP="00910143">
      <w:pPr>
        <w:tabs>
          <w:tab w:val="left" w:pos="-720"/>
        </w:tabs>
        <w:suppressAutoHyphens/>
        <w:jc w:val="both"/>
        <w:rPr>
          <w:rFonts w:ascii="Times New Roman" w:hAnsi="Times New Roman"/>
        </w:rPr>
      </w:pPr>
    </w:p>
    <w:p w14:paraId="780353AA" w14:textId="77777777" w:rsidR="00910143" w:rsidRPr="00B00963" w:rsidRDefault="00910143" w:rsidP="00910143">
      <w:pPr>
        <w:pStyle w:val="ListParagraph"/>
        <w:numPr>
          <w:ilvl w:val="0"/>
          <w:numId w:val="2"/>
        </w:numPr>
        <w:tabs>
          <w:tab w:val="left" w:pos="-720"/>
        </w:tabs>
        <w:suppressAutoHyphens/>
        <w:jc w:val="both"/>
      </w:pPr>
      <w:r w:rsidRPr="00B00963">
        <w:t xml:space="preserve">Effective January 1, 2021, (i) the traditional base tariffs shall be adjusted to collect an additional estimated $93 million. This estimate </w:t>
      </w:r>
      <w:r>
        <w:t>shall</w:t>
      </w:r>
      <w:r w:rsidRPr="00B00963">
        <w:t xml:space="preserve"> be adjusted in the Company’s compliance filing to incorporate the capital structure and rate setting return on equity approved by the Commission; (ii) the ECCR tariff shall be increased based upon the Compliance filing with updated CCR ARO costs as filed in the most recent semi-annual report for calendar year 2020; (iii) the DSM tariff shall be increased to reflect the additional approved DSM costs for calendar year 2021 as approved in Docket No. 42311 and as adjusted based on the DSM True up process agreed to by the Company and </w:t>
      </w:r>
      <w:r>
        <w:t xml:space="preserve">PIA </w:t>
      </w:r>
      <w:r w:rsidRPr="00B00963">
        <w:t>Staff; and (iv) the MFF tariff shall be adjusted to collect the municipal franchise fee cost incurred by the Company. The 2021 increase to traditional base rate tariffs, ECCR tariff, DSM tariff will use the most current kWh sales forecast for the applicable year to set the rates.</w:t>
      </w:r>
    </w:p>
    <w:p w14:paraId="32AD99F5" w14:textId="77777777" w:rsidR="00910143" w:rsidRPr="00B00963" w:rsidRDefault="00910143" w:rsidP="00910143">
      <w:pPr>
        <w:pStyle w:val="ListParagraph"/>
        <w:tabs>
          <w:tab w:val="left" w:pos="-720"/>
        </w:tabs>
        <w:suppressAutoHyphens/>
        <w:ind w:left="1080"/>
        <w:jc w:val="both"/>
      </w:pPr>
    </w:p>
    <w:p w14:paraId="48F80B2B" w14:textId="77777777" w:rsidR="00910143" w:rsidRDefault="00910143" w:rsidP="00910143">
      <w:pPr>
        <w:pStyle w:val="ListParagraph"/>
        <w:numPr>
          <w:ilvl w:val="0"/>
          <w:numId w:val="2"/>
        </w:numPr>
        <w:tabs>
          <w:tab w:val="left" w:pos="-720"/>
        </w:tabs>
        <w:suppressAutoHyphens/>
        <w:jc w:val="both"/>
      </w:pPr>
      <w:r w:rsidRPr="00B00963">
        <w:t xml:space="preserve">Effective January 1, 2022, (i) the traditional base tariffs shall be adjusted to collect an additional estimated $197 million. This estimate </w:t>
      </w:r>
      <w:r>
        <w:t>shall</w:t>
      </w:r>
      <w:r w:rsidRPr="00B00963">
        <w:t xml:space="preserve"> be adjusted in the Company’s compliance filing to incorporate the capital structure and rate setting return on equity approved by the Commission; (ii) the ECCR tariff shall be increased based upon the Compliance filing with updated CCR ARO costs as filed in the most recent semi-annual report for calendar year 2021; (iii) the DSM tariff shall be increased to reflect the additional approved DSM costs for calendar year 2022 as approved in Docket No. 42311 and as adjusted based on the DSM True up process agreed to by the Company and </w:t>
      </w:r>
      <w:r>
        <w:t xml:space="preserve">PIA </w:t>
      </w:r>
      <w:r w:rsidRPr="00B00963">
        <w:t>Staff; and (iv) the MFF tariff shall be adjusted to collect the municipal franchise fee cost incurred by the Company. The 2022 increase to traditional base rate tariffs, ECCR tariff, DSM tariff will use the most current kWh sales forecast for the applicable year to set the rates.</w:t>
      </w:r>
    </w:p>
    <w:p w14:paraId="6ED14F2E" w14:textId="77777777" w:rsidR="00910143" w:rsidRDefault="00910143" w:rsidP="00910143">
      <w:pPr>
        <w:tabs>
          <w:tab w:val="left" w:pos="-720"/>
        </w:tabs>
        <w:suppressAutoHyphens/>
        <w:jc w:val="both"/>
      </w:pPr>
      <w:r>
        <w:rPr>
          <w:rFonts w:ascii="Times New Roman" w:hAnsi="Times New Roman"/>
          <w:szCs w:val="24"/>
        </w:rPr>
        <w:tab/>
        <w:t xml:space="preserve"> </w:t>
      </w:r>
    </w:p>
    <w:p w14:paraId="6ED77A64" w14:textId="15D0FF6B" w:rsidR="00910143" w:rsidRDefault="00910143" w:rsidP="00910143">
      <w:pPr>
        <w:tabs>
          <w:tab w:val="left" w:pos="-720"/>
        </w:tabs>
        <w:suppressAutoHyphens/>
        <w:jc w:val="both"/>
        <w:rPr>
          <w:rFonts w:ascii="Times New Roman" w:hAnsi="Times New Roman"/>
        </w:rPr>
      </w:pPr>
      <w:r>
        <w:rPr>
          <w:rFonts w:ascii="Times New Roman" w:hAnsi="Times New Roman"/>
        </w:rPr>
        <w:tab/>
        <w:t xml:space="preserve">The Commission finds that the </w:t>
      </w:r>
      <w:r w:rsidR="00D776CD">
        <w:rPr>
          <w:rFonts w:ascii="Times New Roman" w:hAnsi="Times New Roman"/>
        </w:rPr>
        <w:t xml:space="preserve">Proposed </w:t>
      </w:r>
      <w:r>
        <w:rPr>
          <w:rFonts w:ascii="Times New Roman" w:hAnsi="Times New Roman"/>
        </w:rPr>
        <w:t xml:space="preserve">Agreement is reasonable as it pertains to the above rate adjustments and compliance filing requirements. </w:t>
      </w:r>
    </w:p>
    <w:p w14:paraId="4F53E3D7" w14:textId="0A96D480" w:rsidR="00910143" w:rsidRDefault="00910143" w:rsidP="0080058D">
      <w:pPr>
        <w:jc w:val="both"/>
        <w:rPr>
          <w:rFonts w:ascii="Times New Roman" w:hAnsi="Times New Roman"/>
        </w:rPr>
      </w:pPr>
    </w:p>
    <w:p w14:paraId="6B68F339" w14:textId="4E8A0626" w:rsidR="00910143" w:rsidRDefault="007A4BF8" w:rsidP="00910143">
      <w:pPr>
        <w:jc w:val="center"/>
        <w:rPr>
          <w:rFonts w:ascii="Times New Roman" w:hAnsi="Times New Roman"/>
        </w:rPr>
      </w:pPr>
      <w:r>
        <w:rPr>
          <w:rFonts w:ascii="Times New Roman" w:hAnsi="Times New Roman"/>
        </w:rPr>
        <w:t>1</w:t>
      </w:r>
      <w:r w:rsidR="00AE3A00">
        <w:rPr>
          <w:rFonts w:ascii="Times New Roman" w:hAnsi="Times New Roman"/>
        </w:rPr>
        <w:t>1</w:t>
      </w:r>
      <w:r w:rsidR="00910143">
        <w:rPr>
          <w:rFonts w:ascii="Times New Roman" w:hAnsi="Times New Roman"/>
        </w:rPr>
        <w:t>.</w:t>
      </w:r>
    </w:p>
    <w:p w14:paraId="3447D19C" w14:textId="77777777" w:rsidR="00910143" w:rsidRDefault="00910143" w:rsidP="00910143">
      <w:pPr>
        <w:jc w:val="both"/>
        <w:rPr>
          <w:rFonts w:ascii="Times New Roman" w:hAnsi="Times New Roman"/>
        </w:rPr>
      </w:pPr>
    </w:p>
    <w:p w14:paraId="424129E9" w14:textId="61DF7C97" w:rsidR="00910143" w:rsidRDefault="00910143" w:rsidP="00910143">
      <w:pPr>
        <w:jc w:val="both"/>
        <w:rPr>
          <w:rFonts w:ascii="Times New Roman" w:hAnsi="Times New Roman"/>
        </w:rPr>
      </w:pPr>
      <w:r>
        <w:rPr>
          <w:rFonts w:ascii="Times New Roman" w:hAnsi="Times New Roman"/>
        </w:rPr>
        <w:tab/>
        <w:t xml:space="preserve">The </w:t>
      </w:r>
      <w:r w:rsidR="00D776CD">
        <w:rPr>
          <w:rFonts w:ascii="Times New Roman" w:hAnsi="Times New Roman"/>
        </w:rPr>
        <w:t xml:space="preserve">Proposed </w:t>
      </w:r>
      <w:r>
        <w:rPr>
          <w:rFonts w:ascii="Times New Roman" w:hAnsi="Times New Roman"/>
        </w:rPr>
        <w:t>Agreement provides that for book accounting and ASR purposes, the schedule for the Nuclear Decommissioning Trust – Tax Funding (reference the “Proposed Supplemental Order – Nuclear Decommissioning Costs”</w:t>
      </w:r>
      <w:r w:rsidR="00E377C6">
        <w:rPr>
          <w:rFonts w:ascii="Times New Roman" w:hAnsi="Times New Roman"/>
        </w:rPr>
        <w:t xml:space="preserve"> attached to the Proposed Agreement</w:t>
      </w:r>
      <w:r>
        <w:rPr>
          <w:rFonts w:ascii="Times New Roman" w:hAnsi="Times New Roman"/>
        </w:rPr>
        <w:t>) are approved. (</w:t>
      </w:r>
      <w:r w:rsidR="00D776CD">
        <w:rPr>
          <w:rFonts w:ascii="Times New Roman" w:hAnsi="Times New Roman"/>
        </w:rPr>
        <w:t xml:space="preserve">Proposed </w:t>
      </w:r>
      <w:r>
        <w:rPr>
          <w:rFonts w:ascii="Times New Roman" w:hAnsi="Times New Roman"/>
        </w:rPr>
        <w:t>Agreement Provision 10).</w:t>
      </w:r>
    </w:p>
    <w:p w14:paraId="58F19A1F" w14:textId="77777777" w:rsidR="00910143" w:rsidRDefault="00910143" w:rsidP="00910143">
      <w:pPr>
        <w:jc w:val="both"/>
        <w:rPr>
          <w:rFonts w:ascii="Times New Roman" w:hAnsi="Times New Roman"/>
        </w:rPr>
      </w:pPr>
    </w:p>
    <w:p w14:paraId="47B2863B" w14:textId="77777777" w:rsidR="00910143" w:rsidRDefault="00910143" w:rsidP="00910143">
      <w:pPr>
        <w:jc w:val="both"/>
        <w:rPr>
          <w:rFonts w:ascii="Times New Roman" w:hAnsi="Times New Roman"/>
        </w:rPr>
      </w:pPr>
      <w:r>
        <w:rPr>
          <w:rFonts w:ascii="Times New Roman" w:hAnsi="Times New Roman"/>
        </w:rPr>
        <w:tab/>
        <w:t>The Commission finds and concludes that the proposed Supplemental Order – Nuclear Decommissioning Costs is reasonable and approved.</w:t>
      </w:r>
    </w:p>
    <w:p w14:paraId="26D45FA6" w14:textId="5209C928" w:rsidR="00910143" w:rsidRDefault="00910143" w:rsidP="00910143">
      <w:pPr>
        <w:jc w:val="both"/>
        <w:rPr>
          <w:rFonts w:ascii="Times New Roman" w:hAnsi="Times New Roman"/>
        </w:rPr>
      </w:pPr>
    </w:p>
    <w:p w14:paraId="5C76D1E8" w14:textId="202D1A2D" w:rsidR="00F14061" w:rsidRDefault="00F14061" w:rsidP="00910143">
      <w:pPr>
        <w:jc w:val="both"/>
        <w:rPr>
          <w:rFonts w:ascii="Times New Roman" w:hAnsi="Times New Roman"/>
        </w:rPr>
      </w:pPr>
    </w:p>
    <w:p w14:paraId="7D520251" w14:textId="08ED3487" w:rsidR="00F14061" w:rsidRDefault="00F14061" w:rsidP="00910143">
      <w:pPr>
        <w:jc w:val="both"/>
        <w:rPr>
          <w:rFonts w:ascii="Times New Roman" w:hAnsi="Times New Roman"/>
        </w:rPr>
      </w:pPr>
    </w:p>
    <w:p w14:paraId="0F04C2C9" w14:textId="77777777" w:rsidR="00F14061" w:rsidRDefault="00F14061" w:rsidP="00910143">
      <w:pPr>
        <w:jc w:val="both"/>
        <w:rPr>
          <w:rFonts w:ascii="Times New Roman" w:hAnsi="Times New Roman"/>
        </w:rPr>
      </w:pPr>
    </w:p>
    <w:p w14:paraId="43BD3D26" w14:textId="5995DE63" w:rsidR="00910143" w:rsidRPr="00B00963" w:rsidRDefault="007A4BF8" w:rsidP="00910143">
      <w:pPr>
        <w:jc w:val="center"/>
        <w:rPr>
          <w:rFonts w:ascii="Times New Roman" w:hAnsi="Times New Roman"/>
        </w:rPr>
      </w:pPr>
      <w:r w:rsidRPr="00B00963">
        <w:rPr>
          <w:rFonts w:ascii="Times New Roman" w:hAnsi="Times New Roman"/>
        </w:rPr>
        <w:lastRenderedPageBreak/>
        <w:t>1</w:t>
      </w:r>
      <w:r w:rsidR="00AE3A00">
        <w:rPr>
          <w:rFonts w:ascii="Times New Roman" w:hAnsi="Times New Roman"/>
        </w:rPr>
        <w:t>2</w:t>
      </w:r>
      <w:r w:rsidR="00910143" w:rsidRPr="00B00963">
        <w:rPr>
          <w:rFonts w:ascii="Times New Roman" w:hAnsi="Times New Roman"/>
        </w:rPr>
        <w:t>.</w:t>
      </w:r>
    </w:p>
    <w:p w14:paraId="4DDFC294" w14:textId="77777777" w:rsidR="00910143" w:rsidRPr="00B00963" w:rsidRDefault="00910143" w:rsidP="00910143">
      <w:pPr>
        <w:jc w:val="center"/>
        <w:rPr>
          <w:rFonts w:ascii="Times New Roman" w:hAnsi="Times New Roman"/>
        </w:rPr>
      </w:pPr>
    </w:p>
    <w:p w14:paraId="1C389790" w14:textId="1FD16F1D" w:rsidR="00910143" w:rsidRDefault="00910143" w:rsidP="00910143">
      <w:pPr>
        <w:jc w:val="both"/>
        <w:rPr>
          <w:rFonts w:ascii="Times New Roman" w:hAnsi="Times New Roman"/>
        </w:rPr>
      </w:pPr>
      <w:r>
        <w:rPr>
          <w:rFonts w:ascii="Times New Roman" w:hAnsi="Times New Roman"/>
        </w:rPr>
        <w:tab/>
        <w:t>Regarding earnings that t</w:t>
      </w:r>
      <w:r w:rsidRPr="003D46B4">
        <w:rPr>
          <w:rFonts w:ascii="Times New Roman" w:hAnsi="Times New Roman"/>
        </w:rPr>
        <w:t>he Company has reported above the earnings band in 2018 to the Commission through the ASR process in Docket No. 36989</w:t>
      </w:r>
      <w:r>
        <w:rPr>
          <w:rFonts w:ascii="Times New Roman" w:hAnsi="Times New Roman"/>
        </w:rPr>
        <w:t>,</w:t>
      </w:r>
      <w:r w:rsidRPr="003D46B4">
        <w:rPr>
          <w:rFonts w:ascii="Times New Roman" w:hAnsi="Times New Roman"/>
        </w:rPr>
        <w:t xml:space="preserve"> </w:t>
      </w:r>
      <w:r>
        <w:rPr>
          <w:rFonts w:ascii="Times New Roman" w:hAnsi="Times New Roman"/>
        </w:rPr>
        <w:t xml:space="preserve">the </w:t>
      </w:r>
      <w:r w:rsidR="00D776CD">
        <w:rPr>
          <w:rFonts w:ascii="Times New Roman" w:hAnsi="Times New Roman"/>
        </w:rPr>
        <w:t xml:space="preserve">Proposed </w:t>
      </w:r>
      <w:r>
        <w:rPr>
          <w:rFonts w:ascii="Times New Roman" w:hAnsi="Times New Roman"/>
        </w:rPr>
        <w:t>Agreement provides that</w:t>
      </w:r>
      <w:r w:rsidRPr="003D46B4">
        <w:rPr>
          <w:rFonts w:ascii="Times New Roman" w:hAnsi="Times New Roman"/>
        </w:rPr>
        <w:t xml:space="preserve"> fifty percent (50%) of the customer share (approximately $51 million) of earn</w:t>
      </w:r>
      <w:r>
        <w:rPr>
          <w:rFonts w:ascii="Times New Roman" w:hAnsi="Times New Roman"/>
        </w:rPr>
        <w:t>ings above the band in 2018 shall</w:t>
      </w:r>
      <w:r w:rsidRPr="003D46B4">
        <w:rPr>
          <w:rFonts w:ascii="Times New Roman" w:hAnsi="Times New Roman"/>
        </w:rPr>
        <w:t xml:space="preserve"> be utilized to reduce the December 31, 2019, storm damage regulatory asset.  Regulatory assets are to be written down in the following priority: Obsolete Inventory, Environmental Remediation, Accumulated CCR ARO, Retired Generating Plant, and Storm Damage.  The remaining fifty percent </w:t>
      </w:r>
      <w:r>
        <w:rPr>
          <w:rFonts w:ascii="Times New Roman" w:hAnsi="Times New Roman"/>
        </w:rPr>
        <w:t>(50%) of the customer share shall</w:t>
      </w:r>
      <w:r w:rsidRPr="003D46B4">
        <w:rPr>
          <w:rFonts w:ascii="Times New Roman" w:hAnsi="Times New Roman"/>
        </w:rPr>
        <w:t xml:space="preserve"> be refunded to customers in 2020 with a special line-item on the bill.</w:t>
      </w:r>
      <w:r>
        <w:rPr>
          <w:rFonts w:ascii="Times New Roman" w:hAnsi="Times New Roman"/>
        </w:rPr>
        <w:t xml:space="preserve"> (</w:t>
      </w:r>
      <w:r w:rsidR="00E377C6">
        <w:rPr>
          <w:rFonts w:ascii="Times New Roman" w:hAnsi="Times New Roman"/>
        </w:rPr>
        <w:t xml:space="preserve">Proposed </w:t>
      </w:r>
      <w:r>
        <w:rPr>
          <w:rFonts w:ascii="Times New Roman" w:hAnsi="Times New Roman"/>
        </w:rPr>
        <w:t>Agreement Provision 11).</w:t>
      </w:r>
    </w:p>
    <w:p w14:paraId="421B2317" w14:textId="77777777" w:rsidR="00910143" w:rsidRDefault="00910143" w:rsidP="00910143">
      <w:pPr>
        <w:ind w:firstLine="720"/>
        <w:jc w:val="both"/>
        <w:rPr>
          <w:rFonts w:ascii="Times New Roman" w:hAnsi="Times New Roman"/>
        </w:rPr>
      </w:pPr>
    </w:p>
    <w:p w14:paraId="0521163C" w14:textId="0F097FC4" w:rsidR="00910143" w:rsidRDefault="00910143" w:rsidP="00910143">
      <w:pPr>
        <w:ind w:firstLine="720"/>
        <w:jc w:val="both"/>
        <w:rPr>
          <w:rFonts w:ascii="Times New Roman" w:hAnsi="Times New Roman"/>
        </w:rPr>
      </w:pPr>
      <w:r>
        <w:rPr>
          <w:rFonts w:ascii="Times New Roman" w:hAnsi="Times New Roman"/>
        </w:rPr>
        <w:t xml:space="preserve">In the </w:t>
      </w:r>
      <w:r w:rsidR="00D776CD">
        <w:rPr>
          <w:rFonts w:ascii="Times New Roman" w:hAnsi="Times New Roman"/>
        </w:rPr>
        <w:t xml:space="preserve">Proposed </w:t>
      </w:r>
      <w:r>
        <w:rPr>
          <w:rFonts w:ascii="Times New Roman" w:hAnsi="Times New Roman"/>
        </w:rPr>
        <w:t>Agreement, the Company</w:t>
      </w:r>
      <w:r w:rsidRPr="00B00963">
        <w:rPr>
          <w:rFonts w:ascii="Times New Roman" w:hAnsi="Times New Roman"/>
        </w:rPr>
        <w:t xml:space="preserve"> anticipates earnings in excess of the earnings band in 2019. The Company </w:t>
      </w:r>
      <w:r>
        <w:rPr>
          <w:rFonts w:ascii="Times New Roman" w:hAnsi="Times New Roman"/>
        </w:rPr>
        <w:t>shall</w:t>
      </w:r>
      <w:r w:rsidRPr="00B00963">
        <w:rPr>
          <w:rFonts w:ascii="Times New Roman" w:hAnsi="Times New Roman"/>
        </w:rPr>
        <w:t xml:space="preserve"> forego its share of the 2019 earnings over the top of the earnings band. Fifty percent (50%) of all the earnings ove</w:t>
      </w:r>
      <w:r>
        <w:rPr>
          <w:rFonts w:ascii="Times New Roman" w:hAnsi="Times New Roman"/>
        </w:rPr>
        <w:t>r the 2019 band shall</w:t>
      </w:r>
      <w:r w:rsidRPr="00B00963">
        <w:rPr>
          <w:rFonts w:ascii="Times New Roman" w:hAnsi="Times New Roman"/>
        </w:rPr>
        <w:t xml:space="preserve"> be refunded to customers with a special line item on the bi</w:t>
      </w:r>
      <w:r>
        <w:rPr>
          <w:rFonts w:ascii="Times New Roman" w:hAnsi="Times New Roman"/>
        </w:rPr>
        <w:t>ll, and fifty percent (50%) shall</w:t>
      </w:r>
      <w:r w:rsidRPr="00B00963">
        <w:rPr>
          <w:rFonts w:ascii="Times New Roman" w:hAnsi="Times New Roman"/>
        </w:rPr>
        <w:t xml:space="preserve"> be used for the early retirement of regulatory assets including $49 million spent to investigate the Stewart County site and other regulatory assets in the following priority: Accumulated CCR ARO, Retired Generating Plant, Obsolete Inventory, Environmental Remediation, and Storm Damage. </w:t>
      </w:r>
      <w:r>
        <w:rPr>
          <w:rFonts w:ascii="Times New Roman" w:hAnsi="Times New Roman"/>
        </w:rPr>
        <w:t>(</w:t>
      </w:r>
      <w:r w:rsidR="00E377C6">
        <w:rPr>
          <w:rFonts w:ascii="Times New Roman" w:hAnsi="Times New Roman"/>
        </w:rPr>
        <w:t xml:space="preserve">Proposed </w:t>
      </w:r>
      <w:r>
        <w:rPr>
          <w:rFonts w:ascii="Times New Roman" w:hAnsi="Times New Roman"/>
        </w:rPr>
        <w:t>Agreement Provision 12).</w:t>
      </w:r>
    </w:p>
    <w:p w14:paraId="757A60CB" w14:textId="77777777" w:rsidR="00910143" w:rsidRDefault="00910143" w:rsidP="00910143">
      <w:pPr>
        <w:ind w:firstLine="720"/>
        <w:jc w:val="both"/>
        <w:rPr>
          <w:rFonts w:ascii="Times New Roman" w:hAnsi="Times New Roman"/>
        </w:rPr>
      </w:pPr>
    </w:p>
    <w:p w14:paraId="061FAB13" w14:textId="18A0B2F1" w:rsidR="00910143" w:rsidRDefault="00910143" w:rsidP="00910143">
      <w:pPr>
        <w:ind w:firstLine="720"/>
        <w:jc w:val="both"/>
        <w:rPr>
          <w:rFonts w:ascii="Times New Roman" w:hAnsi="Times New Roman"/>
        </w:rPr>
      </w:pPr>
      <w:r>
        <w:rPr>
          <w:rFonts w:ascii="Times New Roman" w:hAnsi="Times New Roman"/>
        </w:rPr>
        <w:t xml:space="preserve">The Commission finds that the treatment as set out in the </w:t>
      </w:r>
      <w:r w:rsidR="00DD6ECC">
        <w:rPr>
          <w:rFonts w:ascii="Times New Roman" w:hAnsi="Times New Roman"/>
        </w:rPr>
        <w:t xml:space="preserve">Proposed </w:t>
      </w:r>
      <w:r>
        <w:rPr>
          <w:rFonts w:ascii="Times New Roman" w:hAnsi="Times New Roman"/>
        </w:rPr>
        <w:t>Agreement for the earnings above the band in 2018 and 2019 are reasonable and approved.</w:t>
      </w:r>
    </w:p>
    <w:p w14:paraId="6768D773" w14:textId="77777777" w:rsidR="00910143" w:rsidRDefault="00910143" w:rsidP="00910143">
      <w:pPr>
        <w:ind w:firstLine="720"/>
        <w:jc w:val="both"/>
        <w:rPr>
          <w:rFonts w:ascii="Times New Roman" w:hAnsi="Times New Roman"/>
        </w:rPr>
      </w:pPr>
    </w:p>
    <w:p w14:paraId="261DF08A" w14:textId="38BEA71F" w:rsidR="00910143" w:rsidRDefault="007A4BF8" w:rsidP="00AE3A00">
      <w:pPr>
        <w:jc w:val="center"/>
        <w:rPr>
          <w:rFonts w:ascii="Times New Roman" w:hAnsi="Times New Roman"/>
        </w:rPr>
      </w:pPr>
      <w:r>
        <w:rPr>
          <w:rFonts w:ascii="Times New Roman" w:hAnsi="Times New Roman"/>
        </w:rPr>
        <w:t>1</w:t>
      </w:r>
      <w:r w:rsidR="00AE3A00">
        <w:rPr>
          <w:rFonts w:ascii="Times New Roman" w:hAnsi="Times New Roman"/>
        </w:rPr>
        <w:t>3</w:t>
      </w:r>
      <w:r w:rsidR="00910143">
        <w:rPr>
          <w:rFonts w:ascii="Times New Roman" w:hAnsi="Times New Roman"/>
        </w:rPr>
        <w:t>.</w:t>
      </w:r>
    </w:p>
    <w:p w14:paraId="65A1A709" w14:textId="77777777" w:rsidR="00910143" w:rsidRDefault="00910143" w:rsidP="00910143">
      <w:pPr>
        <w:ind w:firstLine="720"/>
        <w:jc w:val="both"/>
        <w:rPr>
          <w:rFonts w:ascii="Times New Roman" w:hAnsi="Times New Roman"/>
        </w:rPr>
      </w:pPr>
    </w:p>
    <w:p w14:paraId="0591FA5C" w14:textId="1313B660" w:rsidR="00910143" w:rsidRDefault="00910143" w:rsidP="00910143">
      <w:pPr>
        <w:ind w:firstLine="720"/>
        <w:jc w:val="both"/>
        <w:rPr>
          <w:rFonts w:ascii="Times New Roman" w:hAnsi="Times New Roman"/>
        </w:rPr>
      </w:pPr>
      <w:r>
        <w:rPr>
          <w:rFonts w:ascii="Times New Roman" w:hAnsi="Times New Roman"/>
        </w:rPr>
        <w:t xml:space="preserve">The </w:t>
      </w:r>
      <w:r w:rsidR="00D776CD">
        <w:rPr>
          <w:rFonts w:ascii="Times New Roman" w:hAnsi="Times New Roman"/>
        </w:rPr>
        <w:t xml:space="preserve">Proposed </w:t>
      </w:r>
      <w:r>
        <w:rPr>
          <w:rFonts w:ascii="Times New Roman" w:hAnsi="Times New Roman"/>
        </w:rPr>
        <w:t>Agreement also provides that the Company shall</w:t>
      </w:r>
      <w:r w:rsidRPr="003D46B4">
        <w:rPr>
          <w:rFonts w:ascii="Times New Roman" w:hAnsi="Times New Roman"/>
        </w:rPr>
        <w:t xml:space="preserve"> accelerate amortization of an estimated $88 million in regulatory assets in 2020 in the following priority: Accumulated CCR ARO, Retired Generating Plant, Storm Damage, Obsolete Inventory, and Environmental Remediation.  The actual amount accelerated may be different than estimated in this paragraph depending upon the capital structure and rate setting return on equity approved by the Commission</w:t>
      </w:r>
      <w:r>
        <w:rPr>
          <w:rFonts w:ascii="Times New Roman" w:hAnsi="Times New Roman"/>
        </w:rPr>
        <w:t>. The estimated $88 million shall</w:t>
      </w:r>
      <w:r w:rsidRPr="003D46B4">
        <w:rPr>
          <w:rFonts w:ascii="Times New Roman" w:hAnsi="Times New Roman"/>
        </w:rPr>
        <w:t xml:space="preserve"> be adjusted to reflect the updated projected revenue sufficiency by incorporating the capital structure and rate setting return on equity approved by the Commission and will be reflected in the Company’s compliance filing. </w:t>
      </w:r>
      <w:r w:rsidR="008F565E">
        <w:rPr>
          <w:rFonts w:ascii="Times New Roman" w:hAnsi="Times New Roman"/>
        </w:rPr>
        <w:t>(</w:t>
      </w:r>
      <w:r w:rsidR="00E377C6">
        <w:rPr>
          <w:rFonts w:ascii="Times New Roman" w:hAnsi="Times New Roman"/>
        </w:rPr>
        <w:t xml:space="preserve">Proposed </w:t>
      </w:r>
      <w:r w:rsidR="008F565E">
        <w:rPr>
          <w:rFonts w:ascii="Times New Roman" w:hAnsi="Times New Roman"/>
        </w:rPr>
        <w:t>Agreement Provision 13).</w:t>
      </w:r>
    </w:p>
    <w:p w14:paraId="4C3E5916" w14:textId="77777777" w:rsidR="00910143" w:rsidRDefault="00910143" w:rsidP="00910143">
      <w:pPr>
        <w:ind w:firstLine="720"/>
        <w:jc w:val="both"/>
        <w:rPr>
          <w:rFonts w:ascii="Times New Roman" w:hAnsi="Times New Roman"/>
        </w:rPr>
      </w:pPr>
    </w:p>
    <w:p w14:paraId="0EEC8DA4" w14:textId="25BD9473" w:rsidR="00910143" w:rsidRDefault="00910143" w:rsidP="00910143">
      <w:pPr>
        <w:ind w:firstLine="720"/>
        <w:jc w:val="both"/>
        <w:rPr>
          <w:rFonts w:ascii="Times New Roman" w:hAnsi="Times New Roman"/>
        </w:rPr>
      </w:pPr>
      <w:r>
        <w:rPr>
          <w:rFonts w:ascii="Times New Roman" w:hAnsi="Times New Roman"/>
        </w:rPr>
        <w:t xml:space="preserve">Additionally, the </w:t>
      </w:r>
      <w:r w:rsidR="00D776CD">
        <w:rPr>
          <w:rFonts w:ascii="Times New Roman" w:hAnsi="Times New Roman"/>
        </w:rPr>
        <w:t xml:space="preserve">Proposed </w:t>
      </w:r>
      <w:r>
        <w:rPr>
          <w:rFonts w:ascii="Times New Roman" w:hAnsi="Times New Roman"/>
        </w:rPr>
        <w:t>Agreement provides that, in the event the Company determines that an asset is impaired or the Commission approves the retirement of a retail generation asset as a result of any environmental regulation or legislation, the Company may request that costs associated with such impairment or retirement be deferred as a regulatory asset.</w:t>
      </w:r>
      <w:r w:rsidR="008F565E">
        <w:rPr>
          <w:rFonts w:ascii="Times New Roman" w:hAnsi="Times New Roman"/>
        </w:rPr>
        <w:t xml:space="preserve"> (</w:t>
      </w:r>
      <w:r w:rsidR="00E377C6">
        <w:rPr>
          <w:rFonts w:ascii="Times New Roman" w:hAnsi="Times New Roman"/>
        </w:rPr>
        <w:t xml:space="preserve">Proposed </w:t>
      </w:r>
      <w:r w:rsidR="008F565E">
        <w:rPr>
          <w:rFonts w:ascii="Times New Roman" w:hAnsi="Times New Roman"/>
        </w:rPr>
        <w:t>Agreement Provision 14).</w:t>
      </w:r>
    </w:p>
    <w:p w14:paraId="3ED48EBC" w14:textId="35190119" w:rsidR="008F565E" w:rsidRDefault="008F565E" w:rsidP="00910143">
      <w:pPr>
        <w:ind w:firstLine="720"/>
        <w:jc w:val="both"/>
        <w:rPr>
          <w:rFonts w:ascii="Times New Roman" w:hAnsi="Times New Roman"/>
        </w:rPr>
      </w:pPr>
    </w:p>
    <w:p w14:paraId="1B4BED15" w14:textId="0C8A21DC" w:rsidR="008F565E" w:rsidRDefault="008F565E" w:rsidP="00910143">
      <w:pPr>
        <w:ind w:firstLine="720"/>
        <w:jc w:val="both"/>
        <w:rPr>
          <w:rFonts w:ascii="Times New Roman" w:hAnsi="Times New Roman"/>
        </w:rPr>
      </w:pPr>
      <w:r>
        <w:rPr>
          <w:rFonts w:ascii="Times New Roman" w:hAnsi="Times New Roman"/>
        </w:rPr>
        <w:t xml:space="preserve">The Commission finds that </w:t>
      </w:r>
      <w:r w:rsidR="00E377C6">
        <w:rPr>
          <w:rFonts w:ascii="Times New Roman" w:hAnsi="Times New Roman"/>
        </w:rPr>
        <w:t xml:space="preserve">Proposed </w:t>
      </w:r>
      <w:r>
        <w:rPr>
          <w:rFonts w:ascii="Times New Roman" w:hAnsi="Times New Roman"/>
        </w:rPr>
        <w:t>Agreement provisions 13 and 14 are reasonable and approved.</w:t>
      </w:r>
    </w:p>
    <w:p w14:paraId="469AA311" w14:textId="72422AA8" w:rsidR="004E4268" w:rsidRDefault="004E4268" w:rsidP="0080058D">
      <w:pPr>
        <w:jc w:val="both"/>
        <w:rPr>
          <w:rFonts w:ascii="Times New Roman" w:hAnsi="Times New Roman"/>
        </w:rPr>
      </w:pPr>
    </w:p>
    <w:p w14:paraId="6F6B5F92" w14:textId="1F5A1DB4" w:rsidR="00F14061" w:rsidRDefault="00F14061" w:rsidP="0080058D">
      <w:pPr>
        <w:jc w:val="both"/>
        <w:rPr>
          <w:rFonts w:ascii="Times New Roman" w:hAnsi="Times New Roman"/>
        </w:rPr>
      </w:pPr>
    </w:p>
    <w:p w14:paraId="5F323C15" w14:textId="77777777" w:rsidR="00F14061" w:rsidRDefault="00F14061" w:rsidP="0080058D">
      <w:pPr>
        <w:jc w:val="both"/>
        <w:rPr>
          <w:rFonts w:ascii="Times New Roman" w:hAnsi="Times New Roman"/>
        </w:rPr>
      </w:pPr>
    </w:p>
    <w:p w14:paraId="61CE410C" w14:textId="52C99368" w:rsidR="008F565E" w:rsidRPr="00B00963" w:rsidRDefault="007A4BF8" w:rsidP="008F565E">
      <w:pPr>
        <w:jc w:val="center"/>
        <w:rPr>
          <w:rFonts w:ascii="Times New Roman" w:hAnsi="Times New Roman"/>
        </w:rPr>
      </w:pPr>
      <w:r>
        <w:rPr>
          <w:rFonts w:ascii="Times New Roman" w:hAnsi="Times New Roman"/>
        </w:rPr>
        <w:lastRenderedPageBreak/>
        <w:t>1</w:t>
      </w:r>
      <w:r w:rsidR="00AE3A00">
        <w:rPr>
          <w:rFonts w:ascii="Times New Roman" w:hAnsi="Times New Roman"/>
        </w:rPr>
        <w:t>4</w:t>
      </w:r>
      <w:r w:rsidR="008F565E" w:rsidRPr="00B00963">
        <w:rPr>
          <w:rFonts w:ascii="Times New Roman" w:hAnsi="Times New Roman"/>
        </w:rPr>
        <w:t>.</w:t>
      </w:r>
    </w:p>
    <w:p w14:paraId="40A246CC" w14:textId="77777777" w:rsidR="008F565E" w:rsidRPr="00B00963" w:rsidRDefault="008F565E" w:rsidP="008F565E">
      <w:pPr>
        <w:tabs>
          <w:tab w:val="num" w:pos="0"/>
        </w:tabs>
        <w:jc w:val="both"/>
        <w:rPr>
          <w:rFonts w:ascii="Times New Roman" w:hAnsi="Times New Roman"/>
        </w:rPr>
      </w:pPr>
    </w:p>
    <w:p w14:paraId="2C82C6FE" w14:textId="418EA45E" w:rsidR="008F565E" w:rsidRDefault="008F565E" w:rsidP="008F565E">
      <w:pPr>
        <w:tabs>
          <w:tab w:val="num" w:pos="0"/>
        </w:tabs>
        <w:jc w:val="both"/>
        <w:rPr>
          <w:rFonts w:ascii="Times New Roman" w:hAnsi="Times New Roman"/>
        </w:rPr>
      </w:pPr>
      <w:r w:rsidRPr="00B00963">
        <w:rPr>
          <w:rFonts w:ascii="Times New Roman" w:hAnsi="Times New Roman"/>
        </w:rPr>
        <w:tab/>
        <w:t>The ICR mechanism approved in the 2010 Rate Case in Docket No. 31958 is continued throughout the term of this ARP utilizing the earnings band</w:t>
      </w:r>
      <w:r>
        <w:rPr>
          <w:rFonts w:ascii="Times New Roman" w:hAnsi="Times New Roman"/>
        </w:rPr>
        <w:t xml:space="preserve"> of</w:t>
      </w:r>
      <w:r w:rsidRPr="00B00963">
        <w:rPr>
          <w:rFonts w:ascii="Times New Roman" w:hAnsi="Times New Roman"/>
        </w:rPr>
        <w:t xml:space="preserve"> </w:t>
      </w:r>
      <w:r>
        <w:rPr>
          <w:rFonts w:ascii="Times New Roman" w:hAnsi="Times New Roman"/>
        </w:rPr>
        <w:t>9.5% to 12.0% as set for the ASR</w:t>
      </w:r>
      <w:r w:rsidRPr="00B00963">
        <w:rPr>
          <w:rFonts w:ascii="Times New Roman" w:hAnsi="Times New Roman"/>
        </w:rPr>
        <w:t xml:space="preserve">. </w:t>
      </w:r>
      <w:r w:rsidR="007A4BF8">
        <w:rPr>
          <w:rFonts w:ascii="Times New Roman" w:hAnsi="Times New Roman"/>
        </w:rPr>
        <w:t xml:space="preserve">(Agreement Provision 15). </w:t>
      </w:r>
      <w:r w:rsidRPr="00B00963">
        <w:rPr>
          <w:rFonts w:ascii="Times New Roman" w:hAnsi="Times New Roman"/>
        </w:rPr>
        <w:t xml:space="preserve">Under the ICR mechanism, if at any time during the term of the </w:t>
      </w:r>
      <w:r>
        <w:rPr>
          <w:rFonts w:ascii="Times New Roman" w:hAnsi="Times New Roman"/>
        </w:rPr>
        <w:t>ARP</w:t>
      </w:r>
      <w:r w:rsidRPr="00B00963">
        <w:rPr>
          <w:rFonts w:ascii="Times New Roman" w:hAnsi="Times New Roman"/>
        </w:rPr>
        <w:t>, the Company projects that its retail earnings will be lower than 9.50% retail ROE for any calendar year, based on the most recent budget, including the latest projections regarding rate base, revenues, expenses, changes in projected debt and preferred security costs, it may petition the Commission for the implementation of an ICR tariff which will be used to adjust the Company’s earnings back to 9.50% ROE.  Any ICR tariff approved by the Commission shall expire at the earlier of the date upon which the next general rate case takes effect or the end of the calendar year in which the ICR tariff becomes effective. Continuation of the ICR mechanism also maintains certain procedural guidelines regarding the filing of any request for implementation of an ICR tariff, and further maintains that in lieu of requesting implementation of an ICR tariff, or if the Commission chooses not to implement the ICR, the Company may file a full rate case.  Georgia Power must file its request to implement the ICR tariff no less than 90 days prior to its proposed effective date.</w:t>
      </w:r>
    </w:p>
    <w:p w14:paraId="3018D1AC" w14:textId="77777777" w:rsidR="008F565E" w:rsidRDefault="008F565E" w:rsidP="008F565E">
      <w:pPr>
        <w:tabs>
          <w:tab w:val="num" w:pos="0"/>
        </w:tabs>
        <w:jc w:val="both"/>
        <w:rPr>
          <w:rFonts w:ascii="Times New Roman" w:hAnsi="Times New Roman"/>
        </w:rPr>
      </w:pPr>
    </w:p>
    <w:p w14:paraId="43306D54" w14:textId="7C0A6C70" w:rsidR="008F565E" w:rsidRPr="00B00963" w:rsidRDefault="008F565E" w:rsidP="008F565E">
      <w:pPr>
        <w:tabs>
          <w:tab w:val="num" w:pos="0"/>
        </w:tabs>
        <w:jc w:val="both"/>
        <w:rPr>
          <w:rFonts w:ascii="Times New Roman" w:hAnsi="Times New Roman"/>
        </w:rPr>
      </w:pPr>
      <w:r>
        <w:rPr>
          <w:rFonts w:ascii="Times New Roman" w:hAnsi="Times New Roman"/>
        </w:rPr>
        <w:tab/>
      </w:r>
      <w:r w:rsidRPr="0025127B">
        <w:rPr>
          <w:rFonts w:ascii="Times New Roman" w:hAnsi="Times New Roman"/>
        </w:rPr>
        <w:t xml:space="preserve">As with prior Commission-approved plans, </w:t>
      </w:r>
      <w:r>
        <w:rPr>
          <w:rFonts w:ascii="Times New Roman" w:hAnsi="Times New Roman"/>
        </w:rPr>
        <w:t xml:space="preserve">PIA </w:t>
      </w:r>
      <w:r w:rsidRPr="0025127B">
        <w:rPr>
          <w:rFonts w:ascii="Times New Roman" w:hAnsi="Times New Roman"/>
        </w:rPr>
        <w:t xml:space="preserve">Staff’s proposed ARP would </w:t>
      </w:r>
      <w:r w:rsidR="006A4850">
        <w:rPr>
          <w:rFonts w:ascii="Times New Roman" w:hAnsi="Times New Roman"/>
        </w:rPr>
        <w:t xml:space="preserve">also </w:t>
      </w:r>
      <w:r w:rsidRPr="0025127B">
        <w:rPr>
          <w:rFonts w:ascii="Times New Roman" w:hAnsi="Times New Roman"/>
        </w:rPr>
        <w:t xml:space="preserve">permit the Company to petition the Commission to increase rates up to the lower end of the band if its projected earnings would fall below the lower band over the upcoming calendar year. (Tr. 1301). </w:t>
      </w:r>
      <w:r w:rsidR="006A4850">
        <w:rPr>
          <w:rFonts w:ascii="Times New Roman" w:hAnsi="Times New Roman"/>
        </w:rPr>
        <w:t xml:space="preserve">As discussed above, however, </w:t>
      </w:r>
      <w:r w:rsidRPr="0025127B">
        <w:rPr>
          <w:rFonts w:ascii="Times New Roman" w:hAnsi="Times New Roman"/>
        </w:rPr>
        <w:t>PIA</w:t>
      </w:r>
      <w:r w:rsidR="00145EAC">
        <w:rPr>
          <w:rFonts w:ascii="Times New Roman" w:hAnsi="Times New Roman"/>
        </w:rPr>
        <w:t xml:space="preserve"> </w:t>
      </w:r>
      <w:r w:rsidRPr="0025127B">
        <w:rPr>
          <w:rFonts w:ascii="Times New Roman" w:hAnsi="Times New Roman"/>
        </w:rPr>
        <w:t>S</w:t>
      </w:r>
      <w:r w:rsidR="00145EAC">
        <w:rPr>
          <w:rFonts w:ascii="Times New Roman" w:hAnsi="Times New Roman"/>
        </w:rPr>
        <w:t>taff</w:t>
      </w:r>
      <w:r w:rsidR="006A4850">
        <w:rPr>
          <w:rFonts w:ascii="Times New Roman" w:hAnsi="Times New Roman"/>
        </w:rPr>
        <w:t>’s</w:t>
      </w:r>
      <w:r w:rsidRPr="0025127B">
        <w:rPr>
          <w:rFonts w:ascii="Times New Roman" w:hAnsi="Times New Roman"/>
        </w:rPr>
        <w:t xml:space="preserve"> recommended earnings</w:t>
      </w:r>
      <w:r w:rsidR="006A4850">
        <w:rPr>
          <w:rFonts w:ascii="Times New Roman" w:hAnsi="Times New Roman"/>
        </w:rPr>
        <w:t xml:space="preserve"> band was</w:t>
      </w:r>
      <w:r w:rsidRPr="0025127B">
        <w:rPr>
          <w:rFonts w:ascii="Times New Roman" w:hAnsi="Times New Roman"/>
        </w:rPr>
        <w:t xml:space="preserve"> 9.2% ROE to 10.5%. (Tr. 1305).  </w:t>
      </w:r>
    </w:p>
    <w:p w14:paraId="33DF120C" w14:textId="77777777" w:rsidR="008F565E" w:rsidRPr="00B00963" w:rsidRDefault="008F565E" w:rsidP="008F565E">
      <w:pPr>
        <w:tabs>
          <w:tab w:val="num" w:pos="0"/>
        </w:tabs>
        <w:jc w:val="both"/>
        <w:rPr>
          <w:rFonts w:ascii="Times New Roman" w:hAnsi="Times New Roman"/>
        </w:rPr>
      </w:pPr>
    </w:p>
    <w:p w14:paraId="0FC42ABB" w14:textId="6CF02886" w:rsidR="008F565E" w:rsidRDefault="008F565E" w:rsidP="008F565E">
      <w:pPr>
        <w:tabs>
          <w:tab w:val="num" w:pos="0"/>
        </w:tabs>
        <w:jc w:val="both"/>
        <w:rPr>
          <w:rFonts w:ascii="Times New Roman" w:hAnsi="Times New Roman"/>
        </w:rPr>
      </w:pPr>
      <w:r w:rsidRPr="00B00963">
        <w:rPr>
          <w:rFonts w:ascii="Times New Roman" w:hAnsi="Times New Roman"/>
        </w:rPr>
        <w:tab/>
        <w:t xml:space="preserve">The Commission finds that the portion of the </w:t>
      </w:r>
      <w:r w:rsidR="006A4850">
        <w:rPr>
          <w:rFonts w:ascii="Times New Roman" w:hAnsi="Times New Roman"/>
        </w:rPr>
        <w:t>Proposed</w:t>
      </w:r>
      <w:r w:rsidR="006A4850" w:rsidRPr="00B00963">
        <w:rPr>
          <w:rFonts w:ascii="Times New Roman" w:hAnsi="Times New Roman"/>
        </w:rPr>
        <w:t xml:space="preserve"> </w:t>
      </w:r>
      <w:r w:rsidRPr="00B00963">
        <w:rPr>
          <w:rFonts w:ascii="Times New Roman" w:hAnsi="Times New Roman"/>
        </w:rPr>
        <w:t>Agreement allowing for continuation of the ICR mechanism during the term of the rate plan is just and reasonable</w:t>
      </w:r>
      <w:r w:rsidR="009D3560">
        <w:rPr>
          <w:rFonts w:ascii="Times New Roman" w:hAnsi="Times New Roman"/>
        </w:rPr>
        <w:t>.</w:t>
      </w:r>
      <w:r w:rsidRPr="00B00963">
        <w:rPr>
          <w:rFonts w:ascii="Times New Roman" w:hAnsi="Times New Roman"/>
        </w:rPr>
        <w:t xml:space="preserve"> </w:t>
      </w:r>
    </w:p>
    <w:p w14:paraId="7CBFB424" w14:textId="77777777" w:rsidR="004E4268" w:rsidRPr="00B00963" w:rsidRDefault="004E4268" w:rsidP="0080058D">
      <w:pPr>
        <w:jc w:val="both"/>
        <w:rPr>
          <w:rFonts w:ascii="Times New Roman" w:hAnsi="Times New Roman"/>
        </w:rPr>
      </w:pPr>
    </w:p>
    <w:p w14:paraId="3CF2EB34" w14:textId="715073BD" w:rsidR="008F565E" w:rsidRDefault="007A4BF8" w:rsidP="008F565E">
      <w:pPr>
        <w:jc w:val="center"/>
        <w:rPr>
          <w:rFonts w:ascii="Times New Roman" w:hAnsi="Times New Roman"/>
        </w:rPr>
      </w:pPr>
      <w:r>
        <w:rPr>
          <w:rFonts w:ascii="Times New Roman" w:hAnsi="Times New Roman"/>
        </w:rPr>
        <w:t>1</w:t>
      </w:r>
      <w:r w:rsidR="00AE3A00">
        <w:rPr>
          <w:rFonts w:ascii="Times New Roman" w:hAnsi="Times New Roman"/>
        </w:rPr>
        <w:t>5</w:t>
      </w:r>
      <w:r w:rsidR="008F565E">
        <w:rPr>
          <w:rFonts w:ascii="Times New Roman" w:hAnsi="Times New Roman"/>
        </w:rPr>
        <w:t>.</w:t>
      </w:r>
    </w:p>
    <w:p w14:paraId="4E3606BA" w14:textId="77777777" w:rsidR="008F565E" w:rsidRPr="00B00963" w:rsidRDefault="008F565E" w:rsidP="008F565E">
      <w:pPr>
        <w:ind w:firstLine="720"/>
        <w:jc w:val="both"/>
        <w:rPr>
          <w:rFonts w:ascii="Times New Roman" w:hAnsi="Times New Roman"/>
        </w:rPr>
      </w:pPr>
    </w:p>
    <w:p w14:paraId="09ACE970" w14:textId="09E3B973" w:rsidR="008F565E" w:rsidRDefault="008F565E" w:rsidP="008F565E">
      <w:pPr>
        <w:autoSpaceDE w:val="0"/>
        <w:autoSpaceDN w:val="0"/>
        <w:adjustRightInd w:val="0"/>
        <w:ind w:firstLine="720"/>
        <w:jc w:val="both"/>
        <w:rPr>
          <w:rFonts w:ascii="Times New Roman" w:hAnsi="Times New Roman"/>
        </w:rPr>
      </w:pPr>
      <w:r w:rsidRPr="00B00963">
        <w:rPr>
          <w:rFonts w:ascii="Times New Roman" w:hAnsi="Times New Roman"/>
        </w:rPr>
        <w:t xml:space="preserve">The </w:t>
      </w:r>
      <w:r w:rsidR="00D776CD">
        <w:rPr>
          <w:rFonts w:ascii="Times New Roman" w:hAnsi="Times New Roman"/>
        </w:rPr>
        <w:t>Proposed</w:t>
      </w:r>
      <w:r w:rsidRPr="00B00963">
        <w:rPr>
          <w:rFonts w:ascii="Times New Roman" w:hAnsi="Times New Roman"/>
        </w:rPr>
        <w:t xml:space="preserve"> </w:t>
      </w:r>
      <w:r>
        <w:rPr>
          <w:rFonts w:ascii="Times New Roman" w:hAnsi="Times New Roman"/>
        </w:rPr>
        <w:t xml:space="preserve">Agreement </w:t>
      </w:r>
      <w:r w:rsidRPr="00B00963">
        <w:rPr>
          <w:rFonts w:ascii="Times New Roman" w:hAnsi="Times New Roman"/>
        </w:rPr>
        <w:t xml:space="preserve">provides that, with the exception of easements and right of ways, Generation and Transmission property in </w:t>
      </w:r>
      <w:r>
        <w:rPr>
          <w:rFonts w:ascii="Times New Roman" w:hAnsi="Times New Roman"/>
        </w:rPr>
        <w:t>Plant Held for Future Use (“</w:t>
      </w:r>
      <w:r w:rsidRPr="00B00963">
        <w:rPr>
          <w:rFonts w:ascii="Times New Roman" w:hAnsi="Times New Roman"/>
        </w:rPr>
        <w:t>PHFFU</w:t>
      </w:r>
      <w:r>
        <w:rPr>
          <w:rFonts w:ascii="Times New Roman" w:hAnsi="Times New Roman"/>
        </w:rPr>
        <w:t>”)</w:t>
      </w:r>
      <w:r w:rsidRPr="00B00963">
        <w:rPr>
          <w:rFonts w:ascii="Times New Roman" w:hAnsi="Times New Roman"/>
        </w:rPr>
        <w:t xml:space="preserve"> that has been held in PHFFU account for 15 consecutive years </w:t>
      </w:r>
      <w:r>
        <w:rPr>
          <w:rFonts w:ascii="Times New Roman" w:hAnsi="Times New Roman"/>
        </w:rPr>
        <w:t>shall</w:t>
      </w:r>
      <w:r w:rsidRPr="00B00963">
        <w:rPr>
          <w:rFonts w:ascii="Times New Roman" w:hAnsi="Times New Roman"/>
        </w:rPr>
        <w:t xml:space="preserve"> undergo review during the first IRP proceeding following the 15</w:t>
      </w:r>
      <w:r w:rsidRPr="00B00963">
        <w:rPr>
          <w:rFonts w:ascii="Times New Roman" w:hAnsi="Times New Roman"/>
          <w:vertAlign w:val="superscript"/>
        </w:rPr>
        <w:t>th</w:t>
      </w:r>
      <w:r w:rsidRPr="00B00963">
        <w:rPr>
          <w:rFonts w:ascii="Times New Roman" w:hAnsi="Times New Roman"/>
        </w:rPr>
        <w:t xml:space="preserve"> year that such property has been held in PHFFU. Distribution property in PHFFU that has been held in PHFFU account for 15 consecutive years </w:t>
      </w:r>
      <w:r>
        <w:rPr>
          <w:rFonts w:ascii="Times New Roman" w:hAnsi="Times New Roman"/>
        </w:rPr>
        <w:t>shall</w:t>
      </w:r>
      <w:r w:rsidRPr="00B00963">
        <w:rPr>
          <w:rFonts w:ascii="Times New Roman" w:hAnsi="Times New Roman"/>
        </w:rPr>
        <w:t xml:space="preserve"> undergo review during the first base rate proceeding following the 15</w:t>
      </w:r>
      <w:r w:rsidRPr="00B00963">
        <w:rPr>
          <w:rFonts w:ascii="Times New Roman" w:hAnsi="Times New Roman"/>
          <w:vertAlign w:val="superscript"/>
        </w:rPr>
        <w:t>th</w:t>
      </w:r>
      <w:r w:rsidRPr="00B00963">
        <w:rPr>
          <w:rFonts w:ascii="Times New Roman" w:hAnsi="Times New Roman"/>
        </w:rPr>
        <w:t xml:space="preserve"> year that such property has been held in PHFFU. In the respective proceeding, the Company will be required to present the specific plan for the property(s) that has exceeded 15 consecutive years in PHFFU. The Commission will decide the matter in that proceeding.</w:t>
      </w:r>
      <w:r>
        <w:rPr>
          <w:rFonts w:ascii="Times New Roman" w:hAnsi="Times New Roman"/>
        </w:rPr>
        <w:t xml:space="preserve"> (Agreement Provision 16).</w:t>
      </w:r>
    </w:p>
    <w:p w14:paraId="49841553" w14:textId="77777777" w:rsidR="008F565E" w:rsidRDefault="008F565E" w:rsidP="008F565E">
      <w:pPr>
        <w:autoSpaceDE w:val="0"/>
        <w:autoSpaceDN w:val="0"/>
        <w:adjustRightInd w:val="0"/>
        <w:ind w:firstLine="720"/>
        <w:jc w:val="both"/>
        <w:rPr>
          <w:rFonts w:ascii="Times New Roman" w:hAnsi="Times New Roman"/>
        </w:rPr>
      </w:pPr>
    </w:p>
    <w:p w14:paraId="6B32EE5C" w14:textId="4B4C691C" w:rsidR="008F565E" w:rsidRDefault="008F565E" w:rsidP="008F565E">
      <w:pPr>
        <w:autoSpaceDE w:val="0"/>
        <w:autoSpaceDN w:val="0"/>
        <w:adjustRightInd w:val="0"/>
        <w:ind w:firstLine="720"/>
        <w:jc w:val="both"/>
        <w:rPr>
          <w:rFonts w:ascii="Times New Roman" w:hAnsi="Times New Roman"/>
        </w:rPr>
      </w:pPr>
      <w:r>
        <w:rPr>
          <w:rFonts w:ascii="Times New Roman" w:hAnsi="Times New Roman"/>
          <w:szCs w:val="24"/>
        </w:rPr>
        <w:t>PIA Staff cited three major concerns for the property held in PHFFU.</w:t>
      </w:r>
      <w:r>
        <w:rPr>
          <w:rFonts w:ascii="Times New Roman" w:hAnsi="Times New Roman"/>
          <w:color w:val="000000"/>
          <w:szCs w:val="24"/>
        </w:rPr>
        <w:t xml:space="preserve"> First, there is a substantial dollar amount of PHFFU in rate base.  Second, the overwhelming majority of the land in PHFFU is not expected to be used and useful in the provision of electric service for a considerable amount of time.  Third, the expected use dates are routinely being pushed further into the future. Due to those concerns, PIA Staff proposed that, prospectively starting with this rate </w:t>
      </w:r>
      <w:r>
        <w:rPr>
          <w:rFonts w:ascii="Times New Roman" w:hAnsi="Times New Roman"/>
          <w:color w:val="000000"/>
          <w:szCs w:val="24"/>
        </w:rPr>
        <w:lastRenderedPageBreak/>
        <w:t xml:space="preserve">case, the Commission order that if PHFFU has been held for more than 15 years and has not yet been placed into service, that such PHFFU be removed from rate base until it is placed into service. </w:t>
      </w:r>
      <w:r w:rsidRPr="00B00963">
        <w:rPr>
          <w:rFonts w:ascii="Times New Roman" w:hAnsi="Times New Roman"/>
        </w:rPr>
        <w:t xml:space="preserve"> </w:t>
      </w:r>
    </w:p>
    <w:p w14:paraId="1BEF3E21" w14:textId="77777777" w:rsidR="008F565E" w:rsidRDefault="008F565E" w:rsidP="008F565E">
      <w:pPr>
        <w:autoSpaceDE w:val="0"/>
        <w:autoSpaceDN w:val="0"/>
        <w:adjustRightInd w:val="0"/>
        <w:ind w:firstLine="720"/>
        <w:jc w:val="both"/>
        <w:rPr>
          <w:rFonts w:ascii="Times New Roman" w:hAnsi="Times New Roman"/>
        </w:rPr>
      </w:pPr>
    </w:p>
    <w:p w14:paraId="442F3175" w14:textId="77777777" w:rsidR="008F565E" w:rsidRDefault="008F565E" w:rsidP="008F565E">
      <w:pPr>
        <w:autoSpaceDE w:val="0"/>
        <w:autoSpaceDN w:val="0"/>
        <w:adjustRightInd w:val="0"/>
        <w:ind w:firstLine="720"/>
        <w:jc w:val="both"/>
        <w:rPr>
          <w:rFonts w:ascii="Times New Roman" w:hAnsi="Times New Roman"/>
        </w:rPr>
      </w:pPr>
      <w:r>
        <w:rPr>
          <w:rFonts w:ascii="Times New Roman" w:hAnsi="Times New Roman"/>
        </w:rPr>
        <w:t>Additionally,</w:t>
      </w:r>
      <w:r w:rsidRPr="00B00963">
        <w:rPr>
          <w:rFonts w:ascii="Times New Roman" w:hAnsi="Times New Roman"/>
        </w:rPr>
        <w:t xml:space="preserve"> </w:t>
      </w:r>
      <w:r>
        <w:rPr>
          <w:rFonts w:ascii="Times New Roman" w:hAnsi="Times New Roman"/>
          <w:szCs w:val="24"/>
        </w:rPr>
        <w:t xml:space="preserve">PIA Staff recommended that gains and losses on the sale of land held in PHFFU be shared with ratepayers based on the amount of time the land was held in PHFFU compared to the total time the land was held by the Company up to a maximum sharing of 80% for customers. (Tr. 1255.) </w:t>
      </w:r>
    </w:p>
    <w:p w14:paraId="61893B8E" w14:textId="77777777" w:rsidR="008F565E" w:rsidRDefault="008F565E" w:rsidP="008F565E">
      <w:pPr>
        <w:autoSpaceDE w:val="0"/>
        <w:autoSpaceDN w:val="0"/>
        <w:adjustRightInd w:val="0"/>
        <w:ind w:firstLine="720"/>
        <w:jc w:val="both"/>
        <w:rPr>
          <w:rFonts w:ascii="Times New Roman" w:hAnsi="Times New Roman"/>
        </w:rPr>
      </w:pPr>
    </w:p>
    <w:p w14:paraId="23CFB563" w14:textId="40436F1C" w:rsidR="00C17DE1" w:rsidRDefault="008F565E" w:rsidP="009953E5">
      <w:pPr>
        <w:autoSpaceDE w:val="0"/>
        <w:autoSpaceDN w:val="0"/>
        <w:adjustRightInd w:val="0"/>
        <w:ind w:firstLine="720"/>
        <w:jc w:val="both"/>
        <w:rPr>
          <w:rFonts w:ascii="Times New Roman" w:hAnsi="Times New Roman"/>
        </w:rPr>
      </w:pPr>
      <w:r>
        <w:rPr>
          <w:rFonts w:ascii="Times New Roman" w:hAnsi="Times New Roman"/>
        </w:rPr>
        <w:t xml:space="preserve">The Commission finds that the method for reviewing PHFFU as laid out in the </w:t>
      </w:r>
      <w:r w:rsidR="00ED0CD4">
        <w:rPr>
          <w:rFonts w:ascii="Times New Roman" w:hAnsi="Times New Roman"/>
        </w:rPr>
        <w:t xml:space="preserve">Proposed </w:t>
      </w:r>
      <w:r>
        <w:rPr>
          <w:rFonts w:ascii="Times New Roman" w:hAnsi="Times New Roman"/>
        </w:rPr>
        <w:t xml:space="preserve">Agreement is reasonable and makes no changes as it relates to the </w:t>
      </w:r>
      <w:r w:rsidR="00ED0CD4">
        <w:rPr>
          <w:rFonts w:ascii="Times New Roman" w:hAnsi="Times New Roman"/>
        </w:rPr>
        <w:t xml:space="preserve">Commission’s </w:t>
      </w:r>
      <w:r>
        <w:rPr>
          <w:rFonts w:ascii="Times New Roman" w:hAnsi="Times New Roman"/>
        </w:rPr>
        <w:t xml:space="preserve">treatment of gains and losses on sales of property. </w:t>
      </w:r>
    </w:p>
    <w:p w14:paraId="5C7FF122" w14:textId="77777777" w:rsidR="0080058D" w:rsidRDefault="0080058D" w:rsidP="003C0206">
      <w:pPr>
        <w:pStyle w:val="BodyText1"/>
        <w:tabs>
          <w:tab w:val="clear" w:pos="720"/>
        </w:tabs>
        <w:spacing w:line="240" w:lineRule="auto"/>
        <w:ind w:firstLine="0"/>
        <w:jc w:val="both"/>
        <w:rPr>
          <w:rFonts w:ascii="Times New Roman" w:hAnsi="Times New Roman"/>
        </w:rPr>
      </w:pPr>
    </w:p>
    <w:p w14:paraId="5A7A1B63" w14:textId="4D8E3256" w:rsidR="00DD3D9D" w:rsidRDefault="00905183" w:rsidP="00C05421">
      <w:pPr>
        <w:pStyle w:val="BodyText1"/>
        <w:tabs>
          <w:tab w:val="clear" w:pos="720"/>
        </w:tabs>
        <w:spacing w:line="240" w:lineRule="auto"/>
        <w:ind w:firstLine="0"/>
        <w:jc w:val="center"/>
        <w:rPr>
          <w:rFonts w:ascii="Times New Roman" w:hAnsi="Times New Roman"/>
        </w:rPr>
      </w:pPr>
      <w:r>
        <w:rPr>
          <w:rFonts w:ascii="Times New Roman" w:hAnsi="Times New Roman"/>
        </w:rPr>
        <w:t>1</w:t>
      </w:r>
      <w:r w:rsidR="00AE3A00">
        <w:rPr>
          <w:rFonts w:ascii="Times New Roman" w:hAnsi="Times New Roman"/>
        </w:rPr>
        <w:t>6</w:t>
      </w:r>
      <w:r>
        <w:rPr>
          <w:rFonts w:ascii="Times New Roman" w:hAnsi="Times New Roman"/>
        </w:rPr>
        <w:t>.</w:t>
      </w:r>
    </w:p>
    <w:p w14:paraId="6D6CB492" w14:textId="224F863E" w:rsidR="00DD3D9D" w:rsidRDefault="00DD3D9D" w:rsidP="00C05421">
      <w:pPr>
        <w:pStyle w:val="BodyText1"/>
        <w:tabs>
          <w:tab w:val="clear" w:pos="720"/>
        </w:tabs>
        <w:spacing w:line="240" w:lineRule="auto"/>
        <w:ind w:firstLine="0"/>
        <w:jc w:val="center"/>
        <w:rPr>
          <w:rFonts w:ascii="Times New Roman" w:hAnsi="Times New Roman"/>
        </w:rPr>
      </w:pPr>
    </w:p>
    <w:p w14:paraId="0D13FB0C" w14:textId="576C6849" w:rsidR="00DD3D9D" w:rsidRDefault="00DD3D9D" w:rsidP="00DD3D9D">
      <w:pPr>
        <w:pStyle w:val="Header"/>
        <w:ind w:firstLine="720"/>
        <w:jc w:val="both"/>
        <w:rPr>
          <w:rFonts w:ascii="Times New Roman" w:hAnsi="Times New Roman"/>
        </w:rPr>
      </w:pPr>
      <w:r>
        <w:rPr>
          <w:rFonts w:ascii="Times New Roman" w:hAnsi="Times New Roman"/>
        </w:rPr>
        <w:t xml:space="preserve">The </w:t>
      </w:r>
      <w:r w:rsidR="00D776CD">
        <w:rPr>
          <w:rFonts w:ascii="Times New Roman" w:hAnsi="Times New Roman"/>
        </w:rPr>
        <w:t xml:space="preserve">Proposed </w:t>
      </w:r>
      <w:r>
        <w:rPr>
          <w:rFonts w:ascii="Times New Roman" w:hAnsi="Times New Roman"/>
        </w:rPr>
        <w:t>Agreement provides that b</w:t>
      </w:r>
      <w:r w:rsidRPr="00AC03B7">
        <w:rPr>
          <w:rFonts w:ascii="Times New Roman" w:hAnsi="Times New Roman"/>
        </w:rPr>
        <w:t xml:space="preserve">eginning in 2021, with the adjustment to traditional base rate tariffs, the rate increase shall be allocated by rate group, except as otherwise provided in </w:t>
      </w:r>
      <w:r w:rsidR="00D776CD">
        <w:rPr>
          <w:rFonts w:ascii="Times New Roman" w:hAnsi="Times New Roman"/>
        </w:rPr>
        <w:t>Proposed Agreement</w:t>
      </w:r>
      <w:r w:rsidRPr="00AC03B7">
        <w:rPr>
          <w:rFonts w:ascii="Times New Roman" w:hAnsi="Times New Roman"/>
        </w:rPr>
        <w:t>, with adjustments for balancing. Rates in Medium Business and Large Business rate groups will receive 85% of the overall base rate increase with the resulting revenue deficiency being spread to the other rate groups excluding the Small Business, Lighting and Marginal rate groups which will receive the overall base rate increase.</w:t>
      </w:r>
      <w:r w:rsidR="008F565E">
        <w:rPr>
          <w:rFonts w:ascii="Times New Roman" w:hAnsi="Times New Roman"/>
        </w:rPr>
        <w:t xml:space="preserve"> (Agreement Provision 17).</w:t>
      </w:r>
    </w:p>
    <w:p w14:paraId="7690DA25" w14:textId="1B775221" w:rsidR="008F565E" w:rsidRDefault="008F565E" w:rsidP="00DD3D9D">
      <w:pPr>
        <w:pStyle w:val="Header"/>
        <w:ind w:firstLine="720"/>
        <w:jc w:val="both"/>
        <w:rPr>
          <w:rFonts w:ascii="Times New Roman" w:hAnsi="Times New Roman"/>
        </w:rPr>
      </w:pPr>
    </w:p>
    <w:p w14:paraId="4B966BB8" w14:textId="31458141" w:rsidR="008F565E" w:rsidRPr="005D19E5" w:rsidRDefault="008F565E" w:rsidP="00DD3D9D">
      <w:pPr>
        <w:pStyle w:val="Header"/>
        <w:ind w:firstLine="720"/>
        <w:jc w:val="both"/>
        <w:rPr>
          <w:rFonts w:ascii="Times New Roman" w:hAnsi="Times New Roman"/>
        </w:rPr>
      </w:pPr>
      <w:r>
        <w:rPr>
          <w:rFonts w:ascii="Times New Roman" w:hAnsi="Times New Roman"/>
        </w:rPr>
        <w:t xml:space="preserve">The Commission finds this provision of the </w:t>
      </w:r>
      <w:r w:rsidR="00ED0CD4">
        <w:rPr>
          <w:rFonts w:ascii="Times New Roman" w:hAnsi="Times New Roman"/>
        </w:rPr>
        <w:t xml:space="preserve">Proposed </w:t>
      </w:r>
      <w:r>
        <w:rPr>
          <w:rFonts w:ascii="Times New Roman" w:hAnsi="Times New Roman"/>
        </w:rPr>
        <w:t>Agreement to be just and reasonable, and is hereby approved.</w:t>
      </w:r>
    </w:p>
    <w:p w14:paraId="35DF26F3" w14:textId="67755FC5" w:rsidR="003C0206" w:rsidRPr="00B00963" w:rsidRDefault="00905183" w:rsidP="003F6755">
      <w:pPr>
        <w:pStyle w:val="BodyText1"/>
        <w:tabs>
          <w:tab w:val="clear" w:pos="720"/>
        </w:tabs>
        <w:spacing w:line="240" w:lineRule="auto"/>
        <w:ind w:firstLine="0"/>
        <w:jc w:val="center"/>
      </w:pPr>
      <w:r>
        <w:rPr>
          <w:rFonts w:ascii="Times New Roman" w:hAnsi="Times New Roman"/>
        </w:rPr>
        <w:t>1</w:t>
      </w:r>
      <w:r w:rsidR="009953E5">
        <w:rPr>
          <w:rFonts w:ascii="Times New Roman" w:hAnsi="Times New Roman"/>
        </w:rPr>
        <w:t>7</w:t>
      </w:r>
      <w:r>
        <w:rPr>
          <w:rFonts w:ascii="Times New Roman" w:hAnsi="Times New Roman"/>
        </w:rPr>
        <w:t>.</w:t>
      </w:r>
    </w:p>
    <w:p w14:paraId="4CE606F4" w14:textId="77777777" w:rsidR="003C0206" w:rsidRPr="00B00963" w:rsidRDefault="003C0206" w:rsidP="003C0206">
      <w:pPr>
        <w:jc w:val="both"/>
        <w:rPr>
          <w:rFonts w:ascii="Times New Roman" w:hAnsi="Times New Roman"/>
        </w:rPr>
      </w:pPr>
    </w:p>
    <w:p w14:paraId="2FA58DD7" w14:textId="1DAEE654" w:rsidR="003C0206" w:rsidRDefault="003C0206" w:rsidP="003C0206">
      <w:pPr>
        <w:ind w:firstLine="720"/>
        <w:jc w:val="both"/>
        <w:rPr>
          <w:rFonts w:ascii="Times New Roman" w:hAnsi="Times New Roman"/>
        </w:rPr>
      </w:pPr>
      <w:r w:rsidRPr="00B00963">
        <w:rPr>
          <w:rFonts w:ascii="Times New Roman" w:hAnsi="Times New Roman"/>
        </w:rPr>
        <w:t xml:space="preserve">The </w:t>
      </w:r>
      <w:r w:rsidR="00D776CD">
        <w:rPr>
          <w:rFonts w:ascii="Times New Roman" w:hAnsi="Times New Roman"/>
        </w:rPr>
        <w:t xml:space="preserve">Proposed </w:t>
      </w:r>
      <w:r w:rsidR="004C2E36">
        <w:rPr>
          <w:rFonts w:ascii="Times New Roman" w:hAnsi="Times New Roman"/>
        </w:rPr>
        <w:t xml:space="preserve">Agreement </w:t>
      </w:r>
      <w:r w:rsidRPr="00B00963">
        <w:rPr>
          <w:rFonts w:ascii="Times New Roman" w:hAnsi="Times New Roman"/>
        </w:rPr>
        <w:t xml:space="preserve">provides that the Basic Service Charge (“BSC”) for all tariffs in the Domestic Group shall increase by $2 in 2021 and another $2 in 2022. Further, effective January 1, 2021, the </w:t>
      </w:r>
      <w:r w:rsidR="00C05421">
        <w:rPr>
          <w:rFonts w:ascii="Times New Roman" w:hAnsi="Times New Roman"/>
        </w:rPr>
        <w:t>BSC</w:t>
      </w:r>
      <w:r w:rsidRPr="00B00963">
        <w:rPr>
          <w:rFonts w:ascii="Times New Roman" w:hAnsi="Times New Roman"/>
        </w:rPr>
        <w:t xml:space="preserve"> for all tariffs in the Medium Business, Large Business and Marginally priced tariff groups shall be increased to 100% of the levels shown in the Company's Exhib</w:t>
      </w:r>
      <w:r w:rsidR="00C05421">
        <w:rPr>
          <w:rFonts w:ascii="Times New Roman" w:hAnsi="Times New Roman"/>
        </w:rPr>
        <w:t xml:space="preserve">it </w:t>
      </w:r>
      <w:r w:rsidRPr="00B00963">
        <w:rPr>
          <w:rFonts w:ascii="Times New Roman" w:hAnsi="Times New Roman"/>
        </w:rPr>
        <w:t>LTL-1 column labeled “Period 1 Cost of Service Study Customer Related Costs” rounded to the nearest dollar.  The remainder of tariff groups, with the exception of the Domestic Group addressed in Paragraph 18</w:t>
      </w:r>
      <w:r w:rsidR="00C05421" w:rsidRPr="00C05421">
        <w:rPr>
          <w:rFonts w:ascii="Times New Roman" w:hAnsi="Times New Roman"/>
        </w:rPr>
        <w:t xml:space="preserve"> </w:t>
      </w:r>
      <w:r w:rsidR="00C05421">
        <w:rPr>
          <w:rFonts w:ascii="Times New Roman" w:hAnsi="Times New Roman"/>
        </w:rPr>
        <w:t xml:space="preserve">of the </w:t>
      </w:r>
      <w:r w:rsidR="00D776CD">
        <w:rPr>
          <w:rFonts w:ascii="Times New Roman" w:hAnsi="Times New Roman"/>
        </w:rPr>
        <w:t xml:space="preserve">Proposed </w:t>
      </w:r>
      <w:r w:rsidR="00C05421">
        <w:rPr>
          <w:rFonts w:ascii="Times New Roman" w:hAnsi="Times New Roman"/>
        </w:rPr>
        <w:t>Agreement</w:t>
      </w:r>
      <w:r w:rsidRPr="00B00963">
        <w:rPr>
          <w:rFonts w:ascii="Times New Roman" w:hAnsi="Times New Roman"/>
        </w:rPr>
        <w:t xml:space="preserve">, shall have </w:t>
      </w:r>
      <w:r w:rsidR="00C05421">
        <w:rPr>
          <w:rFonts w:ascii="Times New Roman" w:hAnsi="Times New Roman"/>
        </w:rPr>
        <w:t>its</w:t>
      </w:r>
      <w:r w:rsidR="00C05421" w:rsidRPr="00B00963">
        <w:rPr>
          <w:rFonts w:ascii="Times New Roman" w:hAnsi="Times New Roman"/>
        </w:rPr>
        <w:t xml:space="preserve"> </w:t>
      </w:r>
      <w:r w:rsidR="00C05421">
        <w:rPr>
          <w:rFonts w:ascii="Times New Roman" w:hAnsi="Times New Roman"/>
        </w:rPr>
        <w:t>BSC</w:t>
      </w:r>
      <w:r w:rsidRPr="00B00963">
        <w:rPr>
          <w:rFonts w:ascii="Times New Roman" w:hAnsi="Times New Roman"/>
        </w:rPr>
        <w:t xml:space="preserve"> adjusted as proposed by the Company in Exhibit LTL-1 column labeled “2021 Estimated Alternative Rate Plan Basic Service Charge” starting in 2021. The kWh and/or </w:t>
      </w:r>
      <w:r>
        <w:rPr>
          <w:rFonts w:ascii="Times New Roman" w:hAnsi="Times New Roman"/>
        </w:rPr>
        <w:t>demand charges in each rate shall</w:t>
      </w:r>
      <w:r w:rsidRPr="00B00963">
        <w:rPr>
          <w:rFonts w:ascii="Times New Roman" w:hAnsi="Times New Roman"/>
        </w:rPr>
        <w:t xml:space="preserve"> be correspondingly adjusted to collect the revenue requirement.</w:t>
      </w:r>
      <w:r w:rsidR="008F565E">
        <w:rPr>
          <w:rFonts w:ascii="Times New Roman" w:hAnsi="Times New Roman"/>
        </w:rPr>
        <w:t xml:space="preserve"> (Agreement Provisions 18 &amp; 19).</w:t>
      </w:r>
    </w:p>
    <w:p w14:paraId="75DAF256" w14:textId="2F58CB41" w:rsidR="000F461F" w:rsidRDefault="000F461F" w:rsidP="003C0206">
      <w:pPr>
        <w:ind w:firstLine="720"/>
        <w:jc w:val="both"/>
        <w:rPr>
          <w:rFonts w:ascii="Times New Roman" w:hAnsi="Times New Roman"/>
        </w:rPr>
      </w:pPr>
    </w:p>
    <w:p w14:paraId="7C7A413F" w14:textId="5934E975" w:rsidR="000F461F" w:rsidRPr="000F461F" w:rsidRDefault="000F461F" w:rsidP="000F461F">
      <w:pPr>
        <w:ind w:firstLine="720"/>
        <w:jc w:val="both"/>
        <w:rPr>
          <w:rFonts w:ascii="Times New Roman" w:hAnsi="Times New Roman"/>
          <w:szCs w:val="24"/>
        </w:rPr>
      </w:pPr>
      <w:r>
        <w:rPr>
          <w:rFonts w:ascii="Times New Roman" w:eastAsia="Calibri" w:hAnsi="Times New Roman"/>
          <w:szCs w:val="24"/>
        </w:rPr>
        <w:t xml:space="preserve">PIA </w:t>
      </w:r>
      <w:r>
        <w:rPr>
          <w:rFonts w:ascii="Times New Roman" w:hAnsi="Times New Roman"/>
          <w:szCs w:val="24"/>
        </w:rPr>
        <w:t>Staff proposed</w:t>
      </w:r>
      <w:r w:rsidRPr="00AB7688">
        <w:rPr>
          <w:rFonts w:ascii="Times New Roman" w:hAnsi="Times New Roman"/>
          <w:szCs w:val="24"/>
        </w:rPr>
        <w:t xml:space="preserve"> an increase in the monthly </w:t>
      </w:r>
      <w:r w:rsidR="00C05421">
        <w:rPr>
          <w:rFonts w:ascii="Times New Roman" w:hAnsi="Times New Roman"/>
          <w:szCs w:val="24"/>
        </w:rPr>
        <w:t>BSC</w:t>
      </w:r>
      <w:r w:rsidRPr="00AB7688">
        <w:rPr>
          <w:rFonts w:ascii="Times New Roman" w:hAnsi="Times New Roman"/>
          <w:szCs w:val="24"/>
        </w:rPr>
        <w:t xml:space="preserve"> from $10.00 to $12.00</w:t>
      </w:r>
      <w:r w:rsidR="003B73EF">
        <w:rPr>
          <w:rFonts w:ascii="Times New Roman" w:hAnsi="Times New Roman"/>
          <w:szCs w:val="24"/>
        </w:rPr>
        <w:t xml:space="preserve"> to become effective January 1, 2021</w:t>
      </w:r>
      <w:r>
        <w:rPr>
          <w:rFonts w:ascii="Times New Roman" w:hAnsi="Times New Roman"/>
          <w:szCs w:val="24"/>
        </w:rPr>
        <w:t>. (PIA Staff Post Hearing Brief p. 46).</w:t>
      </w:r>
      <w:r w:rsidR="003B73EF">
        <w:rPr>
          <w:rFonts w:ascii="Times New Roman" w:hAnsi="Times New Roman"/>
          <w:szCs w:val="24"/>
        </w:rPr>
        <w:t xml:space="preserve"> However, PIA Staff did not recommend any further increase. </w:t>
      </w:r>
      <w:r>
        <w:rPr>
          <w:rFonts w:ascii="Times New Roman" w:hAnsi="Times New Roman"/>
          <w:szCs w:val="24"/>
        </w:rPr>
        <w:t xml:space="preserve"> PIA Staff contended that any large increase should not be accelerated so that it is all assessed in the first year, but instead to adhere to the concept of gradualism and slowly increase the amount of the BSC. Regardless of what was decided as the appropriate amount for the BSC, PIA Staff assert</w:t>
      </w:r>
      <w:r w:rsidR="003B73EF">
        <w:rPr>
          <w:rFonts w:ascii="Times New Roman" w:hAnsi="Times New Roman"/>
          <w:szCs w:val="24"/>
        </w:rPr>
        <w:t>ed</w:t>
      </w:r>
      <w:r>
        <w:rPr>
          <w:rFonts w:ascii="Times New Roman" w:hAnsi="Times New Roman"/>
          <w:szCs w:val="24"/>
        </w:rPr>
        <w:t xml:space="preserve"> that </w:t>
      </w:r>
      <w:r w:rsidRPr="000F461F">
        <w:rPr>
          <w:rFonts w:ascii="Times New Roman" w:hAnsi="Times New Roman"/>
          <w:szCs w:val="24"/>
        </w:rPr>
        <w:t>multi-year phase-in should reflect an even dollar increase over a period of up to 3 years, as opposed to the accelerated schedule proposed by the Company.</w:t>
      </w:r>
      <w:r>
        <w:rPr>
          <w:rFonts w:ascii="Times New Roman" w:hAnsi="Times New Roman"/>
          <w:szCs w:val="24"/>
        </w:rPr>
        <w:t xml:space="preserve"> (</w:t>
      </w:r>
      <w:r>
        <w:rPr>
          <w:rFonts w:ascii="Times New Roman" w:hAnsi="Times New Roman"/>
          <w:i/>
          <w:szCs w:val="24"/>
        </w:rPr>
        <w:t>Id.</w:t>
      </w:r>
      <w:r>
        <w:rPr>
          <w:rFonts w:ascii="Times New Roman" w:hAnsi="Times New Roman"/>
          <w:szCs w:val="24"/>
        </w:rPr>
        <w:t>)</w:t>
      </w:r>
    </w:p>
    <w:p w14:paraId="6A92EA80" w14:textId="217BFE4B" w:rsidR="00E62B84" w:rsidRDefault="00E62B84" w:rsidP="003C0206">
      <w:pPr>
        <w:ind w:firstLine="720"/>
        <w:jc w:val="both"/>
        <w:rPr>
          <w:rFonts w:ascii="Times New Roman" w:hAnsi="Times New Roman"/>
        </w:rPr>
      </w:pPr>
    </w:p>
    <w:p w14:paraId="7C7379CA" w14:textId="77777777" w:rsidR="0093442A" w:rsidRDefault="00E62B84" w:rsidP="00455D70">
      <w:pPr>
        <w:ind w:firstLine="720"/>
        <w:jc w:val="both"/>
        <w:rPr>
          <w:rFonts w:ascii="Times New Roman" w:hAnsi="Times New Roman"/>
        </w:rPr>
      </w:pPr>
      <w:r>
        <w:rPr>
          <w:rFonts w:ascii="Times New Roman" w:hAnsi="Times New Roman"/>
        </w:rPr>
        <w:t>Sierra Club argued that the BSC should remain at $10. They stated that a change from $10 to $17.95 is not necessary or in the public interest as it will result in rate shock, hurt low-usage and low-income customers disproportionally, reduce customer control over their bill, and reduce incentives for energy efficiency, conservation and distributed generation.</w:t>
      </w:r>
      <w:r w:rsidR="00455D70">
        <w:rPr>
          <w:rFonts w:ascii="Times New Roman" w:hAnsi="Times New Roman"/>
        </w:rPr>
        <w:t xml:space="preserve"> </w:t>
      </w:r>
      <w:r w:rsidR="00016742">
        <w:rPr>
          <w:rFonts w:ascii="Times New Roman" w:hAnsi="Times New Roman"/>
        </w:rPr>
        <w:t xml:space="preserve">(Sierra Club Post Hearing Brief p. 3-6). </w:t>
      </w:r>
    </w:p>
    <w:p w14:paraId="23634650" w14:textId="77777777" w:rsidR="0093442A" w:rsidRDefault="0093442A" w:rsidP="00455D70">
      <w:pPr>
        <w:ind w:firstLine="720"/>
        <w:jc w:val="both"/>
        <w:rPr>
          <w:rFonts w:ascii="Times New Roman" w:hAnsi="Times New Roman"/>
        </w:rPr>
      </w:pPr>
    </w:p>
    <w:p w14:paraId="2CD744BC" w14:textId="751435DD" w:rsidR="00E62B84" w:rsidRPr="00455D70" w:rsidRDefault="00455D70" w:rsidP="00455D70">
      <w:pPr>
        <w:ind w:firstLine="720"/>
        <w:jc w:val="both"/>
        <w:rPr>
          <w:rFonts w:ascii="Times New Roman" w:hAnsi="Times New Roman"/>
        </w:rPr>
      </w:pPr>
      <w:r w:rsidRPr="00455D70">
        <w:rPr>
          <w:rFonts w:ascii="Times New Roman" w:hAnsi="Times New Roman"/>
        </w:rPr>
        <w:t>GIPL/Southface/Vote Solar</w:t>
      </w:r>
      <w:r>
        <w:rPr>
          <w:rFonts w:ascii="Times New Roman" w:hAnsi="Times New Roman"/>
        </w:rPr>
        <w:t xml:space="preserve"> also maintained this position. </w:t>
      </w:r>
      <w:r w:rsidRPr="00455D70">
        <w:rPr>
          <w:rFonts w:ascii="Times New Roman" w:hAnsi="Times New Roman"/>
        </w:rPr>
        <w:t>The parties agree that a higher fixed charge will more significantly impact customers that</w:t>
      </w:r>
      <w:r>
        <w:rPr>
          <w:rFonts w:ascii="Times New Roman" w:hAnsi="Times New Roman"/>
        </w:rPr>
        <w:t xml:space="preserve"> use less electricity. (See</w:t>
      </w:r>
      <w:r w:rsidRPr="00455D70">
        <w:rPr>
          <w:rFonts w:ascii="Times New Roman" w:hAnsi="Times New Roman"/>
        </w:rPr>
        <w:t xml:space="preserve"> Tr. 707, 1670, 2049). It will result in disproportionate bill increases for low-income customers. (Tr. 2049-50). Low-income customers tend to use less energy on average than the average residential customer, as data provided by Georgia Power shows. (Tr. 2050).</w:t>
      </w:r>
      <w:r w:rsidR="00353F5A">
        <w:rPr>
          <w:rFonts w:ascii="Times New Roman" w:hAnsi="Times New Roman"/>
        </w:rPr>
        <w:t xml:space="preserve"> GIPL/Southface/Vote Solar state that </w:t>
      </w:r>
      <w:r w:rsidR="00353F5A" w:rsidRPr="00353F5A">
        <w:rPr>
          <w:rFonts w:ascii="Times New Roman" w:hAnsi="Times New Roman"/>
        </w:rPr>
        <w:t>Georgia Power’s current residential BSC is equal to the national median fixed charge among IOUs and just below the national average. (Tr. 2039, 2079-80; GIPL/Southface/Vote Solar Resp. to Hearing Req.). G</w:t>
      </w:r>
      <w:r w:rsidR="00016742">
        <w:rPr>
          <w:rFonts w:ascii="Times New Roman" w:hAnsi="Times New Roman"/>
        </w:rPr>
        <w:t xml:space="preserve">IPL/Southface/Vote Solar </w:t>
      </w:r>
      <w:r w:rsidR="00C547C0">
        <w:rPr>
          <w:rFonts w:ascii="Times New Roman" w:hAnsi="Times New Roman"/>
        </w:rPr>
        <w:t>argued</w:t>
      </w:r>
      <w:r w:rsidR="00016742">
        <w:rPr>
          <w:rFonts w:ascii="Times New Roman" w:hAnsi="Times New Roman"/>
        </w:rPr>
        <w:t xml:space="preserve"> that G</w:t>
      </w:r>
      <w:r w:rsidR="00353F5A" w:rsidRPr="00353F5A">
        <w:rPr>
          <w:rFonts w:ascii="Times New Roman" w:hAnsi="Times New Roman"/>
        </w:rPr>
        <w:t>eorgia Power is requesting an almost $8/month increase in the residential BSC</w:t>
      </w:r>
      <w:r w:rsidR="00016742">
        <w:rPr>
          <w:rFonts w:ascii="Times New Roman" w:hAnsi="Times New Roman"/>
        </w:rPr>
        <w:t xml:space="preserve"> compared to the </w:t>
      </w:r>
      <w:r w:rsidR="00016742" w:rsidRPr="00353F5A">
        <w:rPr>
          <w:rFonts w:ascii="Times New Roman" w:hAnsi="Times New Roman"/>
        </w:rPr>
        <w:t>median</w:t>
      </w:r>
      <w:r w:rsidR="00353F5A" w:rsidRPr="00353F5A">
        <w:rPr>
          <w:rFonts w:ascii="Times New Roman" w:hAnsi="Times New Roman"/>
        </w:rPr>
        <w:t xml:space="preserve"> fixed charge increase among IO</w:t>
      </w:r>
      <w:r w:rsidR="00016742">
        <w:rPr>
          <w:rFonts w:ascii="Times New Roman" w:hAnsi="Times New Roman"/>
        </w:rPr>
        <w:t>Us during the last five years at</w:t>
      </w:r>
      <w:r w:rsidR="00353F5A" w:rsidRPr="00353F5A">
        <w:rPr>
          <w:rFonts w:ascii="Times New Roman" w:hAnsi="Times New Roman"/>
        </w:rPr>
        <w:t xml:space="preserve"> $0.50/month and the average increase is</w:t>
      </w:r>
      <w:r w:rsidR="00353F5A">
        <w:rPr>
          <w:rFonts w:ascii="Times New Roman" w:hAnsi="Times New Roman"/>
        </w:rPr>
        <w:t xml:space="preserve"> just below $2/month. (Tr. 2040, GIPL/Southface/Vote Solar Post Hearing Brief p.7)</w:t>
      </w:r>
      <w:r w:rsidR="00353F5A" w:rsidRPr="00353F5A">
        <w:rPr>
          <w:rFonts w:ascii="Times New Roman" w:hAnsi="Times New Roman"/>
        </w:rPr>
        <w:t>.</w:t>
      </w:r>
      <w:r w:rsidR="00016742">
        <w:rPr>
          <w:rFonts w:ascii="Times New Roman" w:hAnsi="Times New Roman"/>
        </w:rPr>
        <w:t xml:space="preserve"> They state that this increase will result in rate shock.</w:t>
      </w:r>
    </w:p>
    <w:p w14:paraId="6999E1C2" w14:textId="5EAD44FC" w:rsidR="00E62B84" w:rsidRDefault="00E62B84" w:rsidP="003C0206">
      <w:pPr>
        <w:ind w:firstLine="720"/>
        <w:jc w:val="both"/>
        <w:rPr>
          <w:rFonts w:ascii="Times New Roman" w:hAnsi="Times New Roman"/>
        </w:rPr>
      </w:pPr>
    </w:p>
    <w:p w14:paraId="383C670A" w14:textId="0E0C2F0F" w:rsidR="00E62B84" w:rsidRDefault="00E62B84" w:rsidP="001E766F">
      <w:pPr>
        <w:ind w:firstLine="720"/>
        <w:jc w:val="both"/>
        <w:rPr>
          <w:rFonts w:ascii="Times New Roman" w:hAnsi="Times New Roman"/>
        </w:rPr>
      </w:pPr>
      <w:r>
        <w:rPr>
          <w:rFonts w:ascii="Times New Roman" w:hAnsi="Times New Roman"/>
        </w:rPr>
        <w:t xml:space="preserve">The </w:t>
      </w:r>
      <w:r w:rsidR="003B73EF">
        <w:rPr>
          <w:rFonts w:ascii="Times New Roman" w:hAnsi="Times New Roman"/>
        </w:rPr>
        <w:t xml:space="preserve">Commission concludes that the </w:t>
      </w:r>
      <w:r>
        <w:rPr>
          <w:rFonts w:ascii="Times New Roman" w:hAnsi="Times New Roman"/>
        </w:rPr>
        <w:t xml:space="preserve">$2 increase in the BSC </w:t>
      </w:r>
      <w:r w:rsidR="003B73EF">
        <w:rPr>
          <w:rFonts w:ascii="Times New Roman" w:hAnsi="Times New Roman"/>
        </w:rPr>
        <w:t xml:space="preserve">for 2021 and again in 2022 </w:t>
      </w:r>
      <w:r>
        <w:rPr>
          <w:rFonts w:ascii="Times New Roman" w:hAnsi="Times New Roman"/>
        </w:rPr>
        <w:t xml:space="preserve">should alleviate some of the concerns voiced by </w:t>
      </w:r>
      <w:r w:rsidR="00725AEA">
        <w:rPr>
          <w:rFonts w:ascii="Times New Roman" w:hAnsi="Times New Roman"/>
        </w:rPr>
        <w:t xml:space="preserve">PIA Staff and </w:t>
      </w:r>
      <w:r w:rsidR="003B73EF">
        <w:rPr>
          <w:rFonts w:ascii="Times New Roman" w:hAnsi="Times New Roman"/>
        </w:rPr>
        <w:t xml:space="preserve">Intervenors because </w:t>
      </w:r>
      <w:r w:rsidR="00725AEA">
        <w:rPr>
          <w:rFonts w:ascii="Times New Roman" w:hAnsi="Times New Roman"/>
        </w:rPr>
        <w:t>these increases are</w:t>
      </w:r>
      <w:r>
        <w:rPr>
          <w:rFonts w:ascii="Times New Roman" w:hAnsi="Times New Roman"/>
        </w:rPr>
        <w:t xml:space="preserve"> more directly tied in with the concept of gradualism. The Commission finds that the $2 increase to the </w:t>
      </w:r>
      <w:r w:rsidR="001E766F">
        <w:rPr>
          <w:rFonts w:ascii="Times New Roman" w:hAnsi="Times New Roman"/>
        </w:rPr>
        <w:t>B</w:t>
      </w:r>
      <w:r>
        <w:rPr>
          <w:rFonts w:ascii="Times New Roman" w:hAnsi="Times New Roman"/>
        </w:rPr>
        <w:t>S</w:t>
      </w:r>
      <w:r w:rsidR="001E766F">
        <w:rPr>
          <w:rFonts w:ascii="Times New Roman" w:hAnsi="Times New Roman"/>
        </w:rPr>
        <w:t>C</w:t>
      </w:r>
      <w:r w:rsidR="003B73EF">
        <w:rPr>
          <w:rFonts w:ascii="Times New Roman" w:hAnsi="Times New Roman"/>
        </w:rPr>
        <w:t xml:space="preserve"> in 2021 and 2022 </w:t>
      </w:r>
      <w:r>
        <w:rPr>
          <w:rFonts w:ascii="Times New Roman" w:hAnsi="Times New Roman"/>
        </w:rPr>
        <w:t xml:space="preserve">in the </w:t>
      </w:r>
      <w:r w:rsidR="00D776CD">
        <w:rPr>
          <w:rFonts w:ascii="Times New Roman" w:hAnsi="Times New Roman"/>
        </w:rPr>
        <w:t xml:space="preserve">Proposed </w:t>
      </w:r>
      <w:r>
        <w:rPr>
          <w:rFonts w:ascii="Times New Roman" w:hAnsi="Times New Roman"/>
        </w:rPr>
        <w:t xml:space="preserve">Agreement </w:t>
      </w:r>
      <w:r w:rsidR="003B73EF">
        <w:rPr>
          <w:rFonts w:ascii="Times New Roman" w:hAnsi="Times New Roman"/>
        </w:rPr>
        <w:t>are</w:t>
      </w:r>
      <w:r>
        <w:rPr>
          <w:rFonts w:ascii="Times New Roman" w:hAnsi="Times New Roman"/>
        </w:rPr>
        <w:t xml:space="preserve"> reasonable and </w:t>
      </w:r>
      <w:r w:rsidR="001E766F">
        <w:rPr>
          <w:rFonts w:ascii="Times New Roman" w:hAnsi="Times New Roman"/>
        </w:rPr>
        <w:t xml:space="preserve">adequately weigh the interests of both the </w:t>
      </w:r>
      <w:r w:rsidR="00725AEA">
        <w:rPr>
          <w:rFonts w:ascii="Times New Roman" w:hAnsi="Times New Roman"/>
        </w:rPr>
        <w:t>C</w:t>
      </w:r>
      <w:r w:rsidR="001E766F">
        <w:rPr>
          <w:rFonts w:ascii="Times New Roman" w:hAnsi="Times New Roman"/>
        </w:rPr>
        <w:t xml:space="preserve">ompany and </w:t>
      </w:r>
      <w:r w:rsidR="00725AEA">
        <w:rPr>
          <w:rFonts w:ascii="Times New Roman" w:hAnsi="Times New Roman"/>
        </w:rPr>
        <w:t xml:space="preserve">its </w:t>
      </w:r>
      <w:r w:rsidR="001E766F">
        <w:rPr>
          <w:rFonts w:ascii="Times New Roman" w:hAnsi="Times New Roman"/>
        </w:rPr>
        <w:t xml:space="preserve">ratepayers. </w:t>
      </w:r>
    </w:p>
    <w:p w14:paraId="66ABF492" w14:textId="77777777" w:rsidR="00905183" w:rsidRDefault="00905183" w:rsidP="003C0206">
      <w:pPr>
        <w:jc w:val="center"/>
        <w:rPr>
          <w:rFonts w:ascii="Times New Roman" w:hAnsi="Times New Roman"/>
        </w:rPr>
      </w:pPr>
    </w:p>
    <w:p w14:paraId="49CA10F9" w14:textId="670E024F" w:rsidR="00905183" w:rsidRPr="00B00963" w:rsidRDefault="00905183" w:rsidP="00905183">
      <w:pPr>
        <w:jc w:val="center"/>
        <w:rPr>
          <w:rFonts w:ascii="Times New Roman" w:hAnsi="Times New Roman"/>
        </w:rPr>
      </w:pPr>
      <w:r w:rsidRPr="00B00963">
        <w:rPr>
          <w:rFonts w:ascii="Times New Roman" w:hAnsi="Times New Roman"/>
        </w:rPr>
        <w:t>1</w:t>
      </w:r>
      <w:r w:rsidR="009953E5">
        <w:rPr>
          <w:rFonts w:ascii="Times New Roman" w:hAnsi="Times New Roman"/>
        </w:rPr>
        <w:t>8</w:t>
      </w:r>
      <w:r>
        <w:rPr>
          <w:rFonts w:ascii="Times New Roman" w:hAnsi="Times New Roman"/>
        </w:rPr>
        <w:t>.</w:t>
      </w:r>
    </w:p>
    <w:p w14:paraId="67FA09E1" w14:textId="77777777" w:rsidR="00905183" w:rsidRPr="00B00963" w:rsidRDefault="00905183" w:rsidP="00905183">
      <w:pPr>
        <w:jc w:val="both"/>
        <w:rPr>
          <w:rFonts w:ascii="Times New Roman" w:hAnsi="Times New Roman"/>
        </w:rPr>
      </w:pPr>
      <w:r w:rsidRPr="003D46B4">
        <w:rPr>
          <w:rFonts w:ascii="Times New Roman" w:hAnsi="Times New Roman"/>
        </w:rPr>
        <w:t xml:space="preserve"> </w:t>
      </w:r>
    </w:p>
    <w:p w14:paraId="5F46421D" w14:textId="04F45400" w:rsidR="00905183" w:rsidRDefault="00905183" w:rsidP="00905183">
      <w:pPr>
        <w:pStyle w:val="BodyTextIndent"/>
        <w:ind w:left="0"/>
        <w:jc w:val="both"/>
        <w:rPr>
          <w:rFonts w:ascii="Times New Roman" w:eastAsia="Calibri" w:hAnsi="Times New Roman"/>
          <w:sz w:val="24"/>
          <w:szCs w:val="24"/>
        </w:rPr>
      </w:pPr>
      <w:r w:rsidRPr="00765FF7">
        <w:rPr>
          <w:rFonts w:ascii="Times New Roman" w:hAnsi="Times New Roman"/>
          <w:sz w:val="24"/>
          <w:szCs w:val="24"/>
        </w:rPr>
        <w:t xml:space="preserve">The </w:t>
      </w:r>
      <w:r w:rsidR="00B97176">
        <w:rPr>
          <w:rFonts w:ascii="Times New Roman" w:hAnsi="Times New Roman"/>
          <w:sz w:val="24"/>
          <w:szCs w:val="24"/>
        </w:rPr>
        <w:t>Proposed</w:t>
      </w:r>
      <w:r w:rsidR="00B97176" w:rsidRPr="00765FF7">
        <w:rPr>
          <w:rFonts w:ascii="Times New Roman" w:hAnsi="Times New Roman"/>
          <w:sz w:val="24"/>
          <w:szCs w:val="24"/>
        </w:rPr>
        <w:t xml:space="preserve"> </w:t>
      </w:r>
      <w:r w:rsidRPr="00765FF7">
        <w:rPr>
          <w:rFonts w:ascii="Times New Roman" w:hAnsi="Times New Roman"/>
          <w:sz w:val="24"/>
          <w:szCs w:val="24"/>
        </w:rPr>
        <w:t xml:space="preserve">Agreement states that the Company will maintain the Residential Service tariff, the R tariff, as a rate option available to all residential customers for the term of the ARP. </w:t>
      </w:r>
      <w:r w:rsidRPr="00BD3021">
        <w:rPr>
          <w:rFonts w:ascii="Times New Roman" w:eastAsia="Calibri" w:hAnsi="Times New Roman"/>
          <w:sz w:val="24"/>
          <w:szCs w:val="24"/>
        </w:rPr>
        <w:t xml:space="preserve">The </w:t>
      </w:r>
      <w:r w:rsidR="00B97176">
        <w:rPr>
          <w:rFonts w:ascii="Times New Roman" w:eastAsia="Calibri" w:hAnsi="Times New Roman"/>
          <w:sz w:val="24"/>
          <w:szCs w:val="24"/>
        </w:rPr>
        <w:t xml:space="preserve">Proposed </w:t>
      </w:r>
      <w:r w:rsidRPr="00BD3021">
        <w:rPr>
          <w:rFonts w:ascii="Times New Roman" w:eastAsia="Calibri" w:hAnsi="Times New Roman"/>
          <w:sz w:val="24"/>
          <w:szCs w:val="24"/>
        </w:rPr>
        <w:t xml:space="preserve">Agreement </w:t>
      </w:r>
      <w:r>
        <w:rPr>
          <w:rFonts w:ascii="Times New Roman" w:eastAsia="Calibri" w:hAnsi="Times New Roman"/>
          <w:sz w:val="24"/>
          <w:szCs w:val="24"/>
        </w:rPr>
        <w:t xml:space="preserve">also </w:t>
      </w:r>
      <w:r w:rsidRPr="00765FF7">
        <w:rPr>
          <w:rFonts w:ascii="Times New Roman" w:eastAsia="Calibri" w:hAnsi="Times New Roman"/>
          <w:sz w:val="24"/>
          <w:szCs w:val="24"/>
        </w:rPr>
        <w:t xml:space="preserve">provides that the Company and </w:t>
      </w:r>
      <w:r>
        <w:rPr>
          <w:rFonts w:ascii="Times New Roman" w:eastAsia="Calibri" w:hAnsi="Times New Roman"/>
          <w:sz w:val="24"/>
          <w:szCs w:val="24"/>
        </w:rPr>
        <w:t xml:space="preserve">Commission </w:t>
      </w:r>
      <w:r w:rsidRPr="00765FF7">
        <w:rPr>
          <w:rFonts w:ascii="Times New Roman" w:eastAsia="Calibri" w:hAnsi="Times New Roman"/>
          <w:sz w:val="24"/>
          <w:szCs w:val="24"/>
        </w:rPr>
        <w:t xml:space="preserve">Staff shall collaborate in 2020 to increase marketing of the TOU-RD rate.  Beginning January 1, 2021, the Company shall utilize the TOU-RD rate as the default rate for newly constructed residential premises.  The Company will report back to the Commission at the time of its next base rate case regarding the adoption of TOU-RD and its use as the default rate for newly constructed residential premises. </w:t>
      </w:r>
      <w:r>
        <w:rPr>
          <w:rFonts w:ascii="Times New Roman" w:eastAsia="Calibri" w:hAnsi="Times New Roman"/>
          <w:sz w:val="24"/>
          <w:szCs w:val="24"/>
        </w:rPr>
        <w:t>(</w:t>
      </w:r>
      <w:r w:rsidR="00B97176">
        <w:rPr>
          <w:rFonts w:ascii="Times New Roman" w:eastAsia="Calibri" w:hAnsi="Times New Roman"/>
          <w:sz w:val="24"/>
          <w:szCs w:val="24"/>
        </w:rPr>
        <w:t xml:space="preserve">Proposed </w:t>
      </w:r>
      <w:r>
        <w:rPr>
          <w:rFonts w:ascii="Times New Roman" w:eastAsia="Calibri" w:hAnsi="Times New Roman"/>
          <w:sz w:val="24"/>
          <w:szCs w:val="24"/>
        </w:rPr>
        <w:t>Agreement Provisions 20 &amp; 21).</w:t>
      </w:r>
      <w:r w:rsidRPr="00765FF7">
        <w:rPr>
          <w:rFonts w:ascii="Times New Roman" w:eastAsia="Calibri" w:hAnsi="Times New Roman"/>
          <w:sz w:val="24"/>
          <w:szCs w:val="24"/>
        </w:rPr>
        <w:t xml:space="preserve">  </w:t>
      </w:r>
    </w:p>
    <w:p w14:paraId="3B8EEF04" w14:textId="77777777" w:rsidR="00905183" w:rsidRDefault="00905183" w:rsidP="00905183">
      <w:pPr>
        <w:pStyle w:val="BodyTextIndent"/>
        <w:ind w:left="0"/>
        <w:jc w:val="both"/>
        <w:rPr>
          <w:rFonts w:ascii="Times New Roman" w:eastAsia="Calibri" w:hAnsi="Times New Roman"/>
          <w:sz w:val="24"/>
          <w:szCs w:val="24"/>
        </w:rPr>
      </w:pPr>
    </w:p>
    <w:p w14:paraId="7E59EC61" w14:textId="095039C5" w:rsidR="00905183" w:rsidRPr="00BD3021" w:rsidRDefault="00B97176" w:rsidP="00905183">
      <w:pPr>
        <w:pStyle w:val="BodyTextIndent"/>
        <w:ind w:left="0"/>
        <w:jc w:val="both"/>
        <w:rPr>
          <w:rFonts w:ascii="Times New Roman" w:eastAsia="Calibri" w:hAnsi="Times New Roman"/>
          <w:sz w:val="24"/>
          <w:szCs w:val="24"/>
        </w:rPr>
      </w:pPr>
      <w:r>
        <w:rPr>
          <w:rFonts w:ascii="Times New Roman" w:eastAsia="Calibri" w:hAnsi="Times New Roman"/>
          <w:sz w:val="24"/>
          <w:szCs w:val="24"/>
        </w:rPr>
        <w:t xml:space="preserve">In its initial case, </w:t>
      </w:r>
      <w:r w:rsidR="00905183" w:rsidRPr="00BD3021">
        <w:rPr>
          <w:rFonts w:ascii="Times New Roman" w:eastAsia="Calibri" w:hAnsi="Times New Roman"/>
          <w:sz w:val="24"/>
          <w:szCs w:val="24"/>
        </w:rPr>
        <w:t>Georgia Power proposed</w:t>
      </w:r>
      <w:r w:rsidR="00905183" w:rsidRPr="00765FF7">
        <w:rPr>
          <w:rFonts w:ascii="Times New Roman" w:eastAsia="Calibri" w:hAnsi="Times New Roman"/>
          <w:sz w:val="24"/>
          <w:szCs w:val="24"/>
        </w:rPr>
        <w:t xml:space="preserve"> to eliminate the R tariff as an option for customers in new premises. GIPL/Southface/Vote Solar stated in its brief that Georgia Power proposes to limit customer choice by transitioning a sizeable fraction of residential customers – those moving into new premises – away from its most widely used tariff (the standard R tariff). </w:t>
      </w:r>
      <w:r w:rsidR="00905183" w:rsidRPr="00765FF7" w:rsidDel="00146FE2">
        <w:rPr>
          <w:rFonts w:ascii="Times New Roman" w:eastAsia="Calibri" w:hAnsi="Times New Roman"/>
          <w:sz w:val="24"/>
          <w:szCs w:val="24"/>
        </w:rPr>
        <w:t xml:space="preserve"> </w:t>
      </w:r>
      <w:r w:rsidR="00905183" w:rsidRPr="00765FF7">
        <w:rPr>
          <w:rFonts w:ascii="Times New Roman" w:eastAsia="Calibri" w:hAnsi="Times New Roman"/>
          <w:sz w:val="24"/>
          <w:szCs w:val="24"/>
        </w:rPr>
        <w:t>They argued further that the Company pushes this paradigm shift despite having done little in recent years to promote its time-varying rates and despite having no defined plans to equip customers with the tools and data needed to make informed decisions.</w:t>
      </w:r>
      <w:r w:rsidR="00905183" w:rsidRPr="00765FF7">
        <w:rPr>
          <w:rFonts w:ascii="Times New Roman" w:eastAsia="Calibri" w:hAnsi="Times New Roman"/>
          <w:sz w:val="24"/>
          <w:szCs w:val="24"/>
        </w:rPr>
        <w:fldChar w:fldCharType="begin"/>
      </w:r>
      <w:r w:rsidR="00905183" w:rsidRPr="00765FF7">
        <w:rPr>
          <w:rFonts w:ascii="Times New Roman" w:eastAsia="Calibri" w:hAnsi="Times New Roman"/>
          <w:sz w:val="24"/>
          <w:szCs w:val="24"/>
        </w:rPr>
        <w:instrText xml:space="preserve"> </w:instrText>
      </w:r>
      <w:r w:rsidR="00905183" w:rsidRPr="00765FF7">
        <w:rPr>
          <w:rFonts w:ascii="Times New Roman" w:eastAsia="Calibri" w:hAnsi="Times New Roman"/>
          <w:sz w:val="24"/>
          <w:szCs w:val="24"/>
        </w:rPr>
        <w:fldChar w:fldCharType="begin"/>
      </w:r>
      <w:r w:rsidR="00905183" w:rsidRPr="00765FF7">
        <w:rPr>
          <w:rFonts w:ascii="Times New Roman" w:eastAsia="Calibri" w:hAnsi="Times New Roman"/>
          <w:sz w:val="24"/>
          <w:szCs w:val="24"/>
        </w:rPr>
        <w:instrText xml:space="preserve">  </w:instrText>
      </w:r>
      <w:r w:rsidR="00905183" w:rsidRPr="00765FF7">
        <w:rPr>
          <w:rFonts w:ascii="Times New Roman" w:eastAsia="Calibri" w:hAnsi="Times New Roman"/>
          <w:sz w:val="24"/>
          <w:szCs w:val="24"/>
        </w:rPr>
        <w:fldChar w:fldCharType="end"/>
      </w:r>
      <w:r w:rsidR="00905183" w:rsidRPr="00765FF7">
        <w:rPr>
          <w:rFonts w:ascii="Times New Roman" w:eastAsia="Calibri" w:hAnsi="Times New Roman"/>
          <w:sz w:val="24"/>
          <w:szCs w:val="24"/>
        </w:rPr>
        <w:instrText xml:space="preserve"> </w:instrText>
      </w:r>
      <w:r w:rsidR="00905183" w:rsidRPr="00765FF7">
        <w:rPr>
          <w:rFonts w:ascii="Times New Roman" w:eastAsia="Calibri" w:hAnsi="Times New Roman"/>
          <w:sz w:val="24"/>
          <w:szCs w:val="24"/>
        </w:rPr>
        <w:fldChar w:fldCharType="end"/>
      </w:r>
      <w:r w:rsidR="00905183" w:rsidRPr="00BD3021">
        <w:rPr>
          <w:rFonts w:ascii="Times New Roman" w:eastAsia="Calibri" w:hAnsi="Times New Roman"/>
          <w:sz w:val="24"/>
          <w:szCs w:val="24"/>
        </w:rPr>
        <w:t xml:space="preserve"> Therefore, GIPL, Southface &amp; Vote Solar recommended that the Commission reject Georgia Power’s proposal to eliminate the </w:t>
      </w:r>
      <w:r w:rsidR="00905183" w:rsidRPr="00BD3021">
        <w:rPr>
          <w:rFonts w:ascii="Times New Roman" w:eastAsia="Calibri" w:hAnsi="Times New Roman"/>
          <w:sz w:val="24"/>
          <w:szCs w:val="24"/>
        </w:rPr>
        <w:lastRenderedPageBreak/>
        <w:t>R tariff as an option for customers in new premis</w:t>
      </w:r>
      <w:r w:rsidR="00905183" w:rsidRPr="00765FF7">
        <w:rPr>
          <w:rFonts w:ascii="Times New Roman" w:eastAsia="Calibri" w:hAnsi="Times New Roman"/>
          <w:sz w:val="24"/>
          <w:szCs w:val="24"/>
        </w:rPr>
        <w:t xml:space="preserve">es. </w:t>
      </w:r>
      <w:r w:rsidR="00905183" w:rsidRPr="00765FF7">
        <w:rPr>
          <w:rFonts w:ascii="Times New Roman" w:hAnsi="Times New Roman"/>
          <w:sz w:val="24"/>
          <w:szCs w:val="24"/>
        </w:rPr>
        <w:t xml:space="preserve">GIPL/Southface/Vote Solar further recommended that the Commission “direct the Company and Staff to design a comprehensive, specific, and measurable plan to promote voluntary customer adoption of modern rate design that send accurate price signals, are cost-reflective and align utility and customer interests.”  </w:t>
      </w:r>
    </w:p>
    <w:p w14:paraId="5ACE37CD" w14:textId="77777777" w:rsidR="00905183" w:rsidRPr="00765FF7" w:rsidRDefault="00905183" w:rsidP="00905183">
      <w:pPr>
        <w:pStyle w:val="BodyTextIndent"/>
        <w:ind w:left="0"/>
        <w:jc w:val="both"/>
        <w:rPr>
          <w:rFonts w:ascii="Times New Roman" w:eastAsia="Calibri" w:hAnsi="Times New Roman"/>
          <w:sz w:val="24"/>
          <w:szCs w:val="24"/>
        </w:rPr>
      </w:pPr>
    </w:p>
    <w:p w14:paraId="343FA956" w14:textId="328D3B9D" w:rsidR="00905183" w:rsidRPr="00765FF7" w:rsidRDefault="00905183" w:rsidP="00905183">
      <w:pPr>
        <w:pStyle w:val="BodyTextIndent"/>
        <w:ind w:left="0"/>
        <w:jc w:val="both"/>
        <w:rPr>
          <w:rFonts w:ascii="Times New Roman" w:eastAsia="Calibri" w:hAnsi="Times New Roman"/>
          <w:sz w:val="24"/>
          <w:szCs w:val="24"/>
        </w:rPr>
      </w:pPr>
      <w:r w:rsidRPr="00765FF7">
        <w:rPr>
          <w:rFonts w:ascii="Times New Roman" w:eastAsia="Calibri" w:hAnsi="Times New Roman"/>
          <w:sz w:val="24"/>
          <w:szCs w:val="24"/>
        </w:rPr>
        <w:t>PIA Staff also opposed the Company’s proposal to discontinue offering the R Rate to new premises after January 2020 arguing that as the monopoly utility provider in the service territory, eliminating a choice for customers is contrary to the public interest.  PIA Staff recommended that if the Commission were to close Rate R for any residential customer, in keeping with the ratemaking principles of gradualism and customer satisfaction, PIA Staff proposed to either exempt existing (prior to January 2020) Georgia Power customers from this new Rate R foreclosure provision, even if they move to a new premise</w:t>
      </w:r>
      <w:r w:rsidR="0093442A">
        <w:rPr>
          <w:rFonts w:ascii="Times New Roman" w:eastAsia="Calibri" w:hAnsi="Times New Roman"/>
          <w:sz w:val="24"/>
          <w:szCs w:val="24"/>
        </w:rPr>
        <w:t>s</w:t>
      </w:r>
      <w:r w:rsidRPr="00765FF7">
        <w:rPr>
          <w:rFonts w:ascii="Times New Roman" w:eastAsia="Calibri" w:hAnsi="Times New Roman"/>
          <w:sz w:val="24"/>
          <w:szCs w:val="24"/>
        </w:rPr>
        <w:t>, or allow any existing Rate R customers in Georgia Power territory that are moving into new premises an ability to opt-in to Rate R.</w:t>
      </w:r>
    </w:p>
    <w:p w14:paraId="0C3EAA00" w14:textId="2C2550D6" w:rsidR="00905183" w:rsidRDefault="00905183" w:rsidP="00905183">
      <w:pPr>
        <w:jc w:val="both"/>
        <w:rPr>
          <w:rFonts w:ascii="Times New Roman" w:hAnsi="Times New Roman"/>
        </w:rPr>
      </w:pPr>
    </w:p>
    <w:p w14:paraId="5B0C8103" w14:textId="68FD43C6" w:rsidR="00905183" w:rsidRDefault="00905183" w:rsidP="00905183">
      <w:pPr>
        <w:jc w:val="both"/>
        <w:rPr>
          <w:rFonts w:ascii="Times New Roman" w:hAnsi="Times New Roman"/>
        </w:rPr>
      </w:pPr>
      <w:r>
        <w:rPr>
          <w:rFonts w:ascii="Times New Roman" w:hAnsi="Times New Roman"/>
        </w:rPr>
        <w:tab/>
        <w:t xml:space="preserve">The Commission finds that it is appropriate to maintain the R Tariff </w:t>
      </w:r>
      <w:r w:rsidR="00B97176">
        <w:rPr>
          <w:rFonts w:ascii="Times New Roman" w:hAnsi="Times New Roman"/>
        </w:rPr>
        <w:t xml:space="preserve">as a rate option available to all residential customers </w:t>
      </w:r>
      <w:r>
        <w:rPr>
          <w:rFonts w:ascii="Times New Roman" w:hAnsi="Times New Roman"/>
        </w:rPr>
        <w:t xml:space="preserve">for the term of the ARP with the </w:t>
      </w:r>
      <w:r w:rsidR="00B97176">
        <w:rPr>
          <w:rFonts w:ascii="Times New Roman" w:hAnsi="Times New Roman"/>
        </w:rPr>
        <w:t>TOU-RD</w:t>
      </w:r>
      <w:r>
        <w:rPr>
          <w:rFonts w:ascii="Times New Roman" w:hAnsi="Times New Roman"/>
        </w:rPr>
        <w:t xml:space="preserve"> tariff becoming the default rate for new</w:t>
      </w:r>
      <w:r w:rsidR="00B97176">
        <w:rPr>
          <w:rFonts w:ascii="Times New Roman" w:hAnsi="Times New Roman"/>
        </w:rPr>
        <w:t>ly constructed residential</w:t>
      </w:r>
      <w:r>
        <w:rPr>
          <w:rFonts w:ascii="Times New Roman" w:hAnsi="Times New Roman"/>
        </w:rPr>
        <w:t xml:space="preserve"> premises in 2021.  Further, the Commission finds and concludes that it is reasonable to allow a collaborative process as outlined above.</w:t>
      </w:r>
    </w:p>
    <w:p w14:paraId="296C8883" w14:textId="67F3CEA1" w:rsidR="00905183" w:rsidRDefault="00905183" w:rsidP="003C0206">
      <w:pPr>
        <w:jc w:val="center"/>
        <w:rPr>
          <w:rFonts w:ascii="Times New Roman" w:hAnsi="Times New Roman"/>
        </w:rPr>
      </w:pPr>
    </w:p>
    <w:p w14:paraId="090FC46F" w14:textId="212014DF" w:rsidR="00905183" w:rsidRPr="00B00963" w:rsidRDefault="00905183" w:rsidP="00905183">
      <w:pPr>
        <w:pStyle w:val="BodyTextIndent"/>
        <w:ind w:left="0" w:firstLine="0"/>
        <w:jc w:val="center"/>
        <w:rPr>
          <w:rFonts w:ascii="Times New Roman" w:hAnsi="Times New Roman"/>
          <w:sz w:val="24"/>
          <w:szCs w:val="24"/>
        </w:rPr>
      </w:pPr>
      <w:r w:rsidRPr="00B00963">
        <w:rPr>
          <w:rFonts w:ascii="Times New Roman" w:hAnsi="Times New Roman"/>
          <w:sz w:val="24"/>
          <w:szCs w:val="24"/>
        </w:rPr>
        <w:t>1</w:t>
      </w:r>
      <w:r w:rsidR="009953E5">
        <w:rPr>
          <w:rFonts w:ascii="Times New Roman" w:hAnsi="Times New Roman"/>
          <w:sz w:val="24"/>
          <w:szCs w:val="24"/>
        </w:rPr>
        <w:t>9</w:t>
      </w:r>
      <w:r w:rsidRPr="00B00963">
        <w:rPr>
          <w:rFonts w:ascii="Times New Roman" w:hAnsi="Times New Roman"/>
          <w:sz w:val="24"/>
          <w:szCs w:val="24"/>
        </w:rPr>
        <w:t>.</w:t>
      </w:r>
    </w:p>
    <w:p w14:paraId="3CEF87B4" w14:textId="77777777" w:rsidR="00905183" w:rsidRPr="00B00963" w:rsidRDefault="00905183" w:rsidP="00905183">
      <w:pPr>
        <w:ind w:firstLine="720"/>
        <w:jc w:val="both"/>
        <w:rPr>
          <w:rFonts w:ascii="Times New Roman" w:hAnsi="Times New Roman"/>
        </w:rPr>
      </w:pPr>
    </w:p>
    <w:p w14:paraId="4C35D2C4" w14:textId="4AA4F518" w:rsidR="00905183" w:rsidRDefault="00905183" w:rsidP="00905183">
      <w:pPr>
        <w:ind w:firstLine="720"/>
        <w:jc w:val="both"/>
        <w:rPr>
          <w:rFonts w:ascii="Times New Roman" w:hAnsi="Times New Roman"/>
        </w:rPr>
      </w:pPr>
      <w:r w:rsidRPr="00B00963">
        <w:rPr>
          <w:rFonts w:ascii="Times New Roman" w:hAnsi="Times New Roman"/>
        </w:rPr>
        <w:t xml:space="preserve">The </w:t>
      </w:r>
      <w:r w:rsidR="00341EEE">
        <w:rPr>
          <w:rFonts w:ascii="Times New Roman" w:hAnsi="Times New Roman"/>
        </w:rPr>
        <w:t xml:space="preserve">Proposed </w:t>
      </w:r>
      <w:r>
        <w:rPr>
          <w:rFonts w:ascii="Times New Roman" w:hAnsi="Times New Roman"/>
        </w:rPr>
        <w:t xml:space="preserve">Agreement </w:t>
      </w:r>
      <w:r w:rsidRPr="00B00963">
        <w:rPr>
          <w:rFonts w:ascii="Times New Roman" w:hAnsi="Times New Roman"/>
        </w:rPr>
        <w:t xml:space="preserve">also requires the Company to </w:t>
      </w:r>
      <w:r w:rsidRPr="00BE5B0E">
        <w:rPr>
          <w:rFonts w:ascii="Times New Roman" w:hAnsi="Times New Roman"/>
        </w:rPr>
        <w:t xml:space="preserve">work with </w:t>
      </w:r>
      <w:r w:rsidRPr="00731619">
        <w:rPr>
          <w:rFonts w:ascii="Times New Roman" w:hAnsi="Times New Roman"/>
        </w:rPr>
        <w:t xml:space="preserve">Commission Staff to develop </w:t>
      </w:r>
      <w:r w:rsidRPr="00AC03B7">
        <w:rPr>
          <w:rFonts w:ascii="Times New Roman" w:hAnsi="Times New Roman"/>
        </w:rPr>
        <w:t xml:space="preserve">options for customer access to usage data and submit those options to the PSC for approval.  Stipulating Parties will be provided an opportunity to provide comments on the options proposed and upon approval, the Company will strive to implement the provisions of the plan no later than January 1, 2022. The cost for providing additional options for access to customer usage data shall be deferred as a regulatory asset and recovered in a future base rate proceeding. </w:t>
      </w:r>
      <w:r w:rsidR="00777CB6">
        <w:rPr>
          <w:rFonts w:ascii="Times New Roman" w:hAnsi="Times New Roman"/>
        </w:rPr>
        <w:t>(</w:t>
      </w:r>
      <w:r w:rsidR="00341EEE">
        <w:rPr>
          <w:rFonts w:ascii="Times New Roman" w:hAnsi="Times New Roman"/>
        </w:rPr>
        <w:t xml:space="preserve">Proposed </w:t>
      </w:r>
      <w:r w:rsidR="00777CB6">
        <w:rPr>
          <w:rFonts w:ascii="Times New Roman" w:hAnsi="Times New Roman"/>
        </w:rPr>
        <w:t>Agreement Provision 22).</w:t>
      </w:r>
    </w:p>
    <w:p w14:paraId="47E382E4" w14:textId="77777777" w:rsidR="00905183" w:rsidRDefault="00905183" w:rsidP="00905183">
      <w:pPr>
        <w:ind w:firstLine="720"/>
        <w:jc w:val="both"/>
        <w:rPr>
          <w:rFonts w:ascii="Times New Roman" w:hAnsi="Times New Roman"/>
        </w:rPr>
      </w:pPr>
    </w:p>
    <w:p w14:paraId="7559D86E" w14:textId="77777777" w:rsidR="00F83567" w:rsidRDefault="00905183" w:rsidP="00905183">
      <w:pPr>
        <w:rPr>
          <w:rFonts w:ascii="Times New Roman" w:eastAsia="Calibri" w:hAnsi="Times New Roman"/>
          <w:bCs/>
          <w:szCs w:val="24"/>
        </w:rPr>
      </w:pPr>
      <w:r>
        <w:rPr>
          <w:rFonts w:ascii="Times New Roman" w:eastAsia="Calibri" w:hAnsi="Times New Roman"/>
          <w:bCs/>
          <w:szCs w:val="24"/>
        </w:rPr>
        <w:tab/>
      </w:r>
      <w:r w:rsidRPr="00CA1B71">
        <w:rPr>
          <w:rFonts w:ascii="Times New Roman" w:eastAsia="Calibri" w:hAnsi="Times New Roman"/>
          <w:bCs/>
          <w:szCs w:val="24"/>
        </w:rPr>
        <w:t xml:space="preserve">PIA Staff </w:t>
      </w:r>
      <w:r>
        <w:rPr>
          <w:rFonts w:ascii="Times New Roman" w:eastAsia="Calibri" w:hAnsi="Times New Roman"/>
          <w:bCs/>
          <w:szCs w:val="24"/>
        </w:rPr>
        <w:t>recommended that t</w:t>
      </w:r>
      <w:r w:rsidRPr="00CA1B71">
        <w:rPr>
          <w:rFonts w:ascii="Times New Roman" w:eastAsia="Calibri" w:hAnsi="Times New Roman"/>
          <w:bCs/>
          <w:szCs w:val="24"/>
        </w:rPr>
        <w:t>he Commission require the Company to continue its investigation of the costs and benefits of providing hourly usage information to its residential customers and within six months provide an updated cost estimate to provide hourly usage data to all residential customers.</w:t>
      </w:r>
      <w:r>
        <w:rPr>
          <w:rFonts w:ascii="Times New Roman" w:eastAsia="Calibri" w:hAnsi="Times New Roman"/>
          <w:bCs/>
          <w:szCs w:val="24"/>
        </w:rPr>
        <w:t xml:space="preserve"> </w:t>
      </w:r>
    </w:p>
    <w:p w14:paraId="733CB78F" w14:textId="77777777" w:rsidR="00F83567" w:rsidRDefault="00F83567" w:rsidP="00905183">
      <w:pPr>
        <w:rPr>
          <w:rFonts w:ascii="Times New Roman" w:eastAsia="Calibri" w:hAnsi="Times New Roman"/>
          <w:bCs/>
          <w:szCs w:val="24"/>
        </w:rPr>
      </w:pPr>
    </w:p>
    <w:p w14:paraId="7E214EEC" w14:textId="12D0E70E" w:rsidR="00905183" w:rsidRDefault="00905183" w:rsidP="00FF3FBC">
      <w:pPr>
        <w:ind w:firstLine="720"/>
        <w:rPr>
          <w:rFonts w:ascii="Times New Roman" w:eastAsia="Calibri" w:hAnsi="Times New Roman"/>
          <w:bCs/>
          <w:szCs w:val="24"/>
        </w:rPr>
      </w:pPr>
      <w:r w:rsidRPr="00057E4C">
        <w:rPr>
          <w:rFonts w:ascii="Times New Roman" w:eastAsia="Calibri" w:hAnsi="Times New Roman"/>
          <w:bCs/>
          <w:szCs w:val="24"/>
        </w:rPr>
        <w:t>GIPL</w:t>
      </w:r>
      <w:r>
        <w:rPr>
          <w:rFonts w:ascii="Times New Roman" w:eastAsia="Calibri" w:hAnsi="Times New Roman"/>
          <w:bCs/>
          <w:szCs w:val="24"/>
        </w:rPr>
        <w:t xml:space="preserve">/Southface/Vote Solar recommended that the Commission </w:t>
      </w:r>
      <w:r w:rsidRPr="00057E4C">
        <w:rPr>
          <w:rFonts w:ascii="Times New Roman" w:eastAsia="Calibri" w:hAnsi="Times New Roman"/>
          <w:bCs/>
          <w:szCs w:val="24"/>
        </w:rPr>
        <w:t>require G</w:t>
      </w:r>
      <w:r>
        <w:rPr>
          <w:rFonts w:ascii="Times New Roman" w:eastAsia="Calibri" w:hAnsi="Times New Roman"/>
          <w:bCs/>
          <w:szCs w:val="24"/>
        </w:rPr>
        <w:t xml:space="preserve">eorgia </w:t>
      </w:r>
      <w:r w:rsidRPr="00057E4C">
        <w:rPr>
          <w:rFonts w:ascii="Times New Roman" w:eastAsia="Calibri" w:hAnsi="Times New Roman"/>
          <w:bCs/>
          <w:szCs w:val="24"/>
        </w:rPr>
        <w:t>P</w:t>
      </w:r>
      <w:r>
        <w:rPr>
          <w:rFonts w:ascii="Times New Roman" w:eastAsia="Calibri" w:hAnsi="Times New Roman"/>
          <w:bCs/>
          <w:szCs w:val="24"/>
        </w:rPr>
        <w:t>ower</w:t>
      </w:r>
      <w:r w:rsidRPr="00057E4C">
        <w:rPr>
          <w:rFonts w:ascii="Times New Roman" w:eastAsia="Calibri" w:hAnsi="Times New Roman"/>
          <w:bCs/>
          <w:szCs w:val="24"/>
        </w:rPr>
        <w:t xml:space="preserve"> to work with PIA Staff and interested </w:t>
      </w:r>
      <w:r>
        <w:rPr>
          <w:rFonts w:ascii="Times New Roman" w:eastAsia="Calibri" w:hAnsi="Times New Roman"/>
          <w:bCs/>
          <w:szCs w:val="24"/>
        </w:rPr>
        <w:t>I</w:t>
      </w:r>
      <w:r w:rsidRPr="00057E4C">
        <w:rPr>
          <w:rFonts w:ascii="Times New Roman" w:eastAsia="Calibri" w:hAnsi="Times New Roman"/>
          <w:bCs/>
          <w:szCs w:val="24"/>
        </w:rPr>
        <w:t xml:space="preserve">ntervenors to develop a data access implementation plan and data privacy policy, and to submit the plan and policy to the Commission for approval by June 30, 2020 for implementation no later than January 1, 2021. </w:t>
      </w:r>
    </w:p>
    <w:p w14:paraId="5EDDBBBA" w14:textId="77777777" w:rsidR="00905183" w:rsidRPr="00CA1B71" w:rsidRDefault="00905183" w:rsidP="00905183">
      <w:pPr>
        <w:rPr>
          <w:rFonts w:ascii="Times New Roman" w:eastAsia="Calibri" w:hAnsi="Times New Roman"/>
          <w:bCs/>
          <w:szCs w:val="24"/>
        </w:rPr>
      </w:pPr>
    </w:p>
    <w:p w14:paraId="7B77C27B" w14:textId="1FEBEF79" w:rsidR="00905183" w:rsidRPr="00057E4C" w:rsidRDefault="00905183" w:rsidP="00905183">
      <w:pPr>
        <w:rPr>
          <w:rFonts w:ascii="Times New Roman" w:eastAsia="Calibri" w:hAnsi="Times New Roman"/>
          <w:szCs w:val="24"/>
        </w:rPr>
      </w:pPr>
      <w:r>
        <w:rPr>
          <w:rFonts w:ascii="Times New Roman" w:eastAsia="Calibri" w:hAnsi="Times New Roman"/>
          <w:szCs w:val="24"/>
        </w:rPr>
        <w:tab/>
        <w:t xml:space="preserve">The Commission finds that the requirements in the </w:t>
      </w:r>
      <w:r w:rsidR="00341EEE">
        <w:rPr>
          <w:rFonts w:ascii="Times New Roman" w:eastAsia="Calibri" w:hAnsi="Times New Roman"/>
          <w:szCs w:val="24"/>
        </w:rPr>
        <w:t xml:space="preserve">Proposed </w:t>
      </w:r>
      <w:r>
        <w:rPr>
          <w:rFonts w:ascii="Times New Roman" w:eastAsia="Calibri" w:hAnsi="Times New Roman"/>
          <w:szCs w:val="24"/>
        </w:rPr>
        <w:t xml:space="preserve">Agreement sufficiently address the recommendations on this issue. </w:t>
      </w:r>
    </w:p>
    <w:p w14:paraId="3C6CE8D0" w14:textId="7A6B47C3" w:rsidR="00905183" w:rsidRDefault="00905183" w:rsidP="00905183">
      <w:pPr>
        <w:ind w:firstLine="720"/>
        <w:jc w:val="both"/>
        <w:rPr>
          <w:rFonts w:ascii="Times New Roman" w:hAnsi="Times New Roman"/>
        </w:rPr>
      </w:pPr>
    </w:p>
    <w:p w14:paraId="00ACF18A" w14:textId="32112A4A" w:rsidR="00F14061" w:rsidRDefault="00F14061" w:rsidP="00905183">
      <w:pPr>
        <w:ind w:firstLine="720"/>
        <w:jc w:val="both"/>
        <w:rPr>
          <w:rFonts w:ascii="Times New Roman" w:hAnsi="Times New Roman"/>
        </w:rPr>
      </w:pPr>
    </w:p>
    <w:p w14:paraId="57902D07" w14:textId="168A1C6C" w:rsidR="00F14061" w:rsidRDefault="00F14061" w:rsidP="00905183">
      <w:pPr>
        <w:ind w:firstLine="720"/>
        <w:jc w:val="both"/>
        <w:rPr>
          <w:rFonts w:ascii="Times New Roman" w:hAnsi="Times New Roman"/>
        </w:rPr>
      </w:pPr>
    </w:p>
    <w:p w14:paraId="4B711A19" w14:textId="77777777" w:rsidR="00F14061" w:rsidRPr="00B00963" w:rsidRDefault="00F14061" w:rsidP="00905183">
      <w:pPr>
        <w:ind w:firstLine="720"/>
        <w:jc w:val="both"/>
        <w:rPr>
          <w:rFonts w:ascii="Times New Roman" w:hAnsi="Times New Roman"/>
        </w:rPr>
      </w:pPr>
    </w:p>
    <w:p w14:paraId="392C3E6B" w14:textId="63AA48D6" w:rsidR="00905183" w:rsidRDefault="009953E5" w:rsidP="00905183">
      <w:pPr>
        <w:jc w:val="center"/>
        <w:rPr>
          <w:rFonts w:ascii="Times New Roman" w:hAnsi="Times New Roman"/>
        </w:rPr>
      </w:pPr>
      <w:r>
        <w:rPr>
          <w:rFonts w:ascii="Times New Roman" w:hAnsi="Times New Roman"/>
        </w:rPr>
        <w:lastRenderedPageBreak/>
        <w:t>20</w:t>
      </w:r>
      <w:r w:rsidR="00905183" w:rsidRPr="00B00963">
        <w:rPr>
          <w:rFonts w:ascii="Times New Roman" w:hAnsi="Times New Roman"/>
        </w:rPr>
        <w:t>.</w:t>
      </w:r>
    </w:p>
    <w:p w14:paraId="716353F4" w14:textId="77777777" w:rsidR="00905183" w:rsidRDefault="00905183" w:rsidP="00905183">
      <w:pPr>
        <w:jc w:val="center"/>
        <w:rPr>
          <w:rFonts w:ascii="Times New Roman" w:hAnsi="Times New Roman"/>
        </w:rPr>
      </w:pPr>
    </w:p>
    <w:p w14:paraId="0A98A39E" w14:textId="4F52AD24" w:rsidR="00905183" w:rsidRDefault="00905183" w:rsidP="00905183">
      <w:pPr>
        <w:jc w:val="both"/>
        <w:rPr>
          <w:rFonts w:ascii="Times New Roman" w:hAnsi="Times New Roman"/>
        </w:rPr>
      </w:pPr>
      <w:r w:rsidRPr="0043058F">
        <w:rPr>
          <w:rFonts w:ascii="Times New Roman" w:hAnsi="Times New Roman"/>
        </w:rPr>
        <w:tab/>
        <w:t xml:space="preserve">The </w:t>
      </w:r>
      <w:r w:rsidR="00341EEE">
        <w:rPr>
          <w:rFonts w:ascii="Times New Roman" w:hAnsi="Times New Roman"/>
        </w:rPr>
        <w:t xml:space="preserve">Proposed </w:t>
      </w:r>
      <w:r>
        <w:rPr>
          <w:rFonts w:ascii="Times New Roman" w:hAnsi="Times New Roman"/>
        </w:rPr>
        <w:t>Agreement provides</w:t>
      </w:r>
      <w:r w:rsidRPr="0043058F">
        <w:rPr>
          <w:rFonts w:ascii="Times New Roman" w:hAnsi="Times New Roman"/>
        </w:rPr>
        <w:t xml:space="preserve"> that within ninety (90) days of the Final Order in this docket, the Company, Georgia Watch, and </w:t>
      </w:r>
      <w:r>
        <w:rPr>
          <w:rFonts w:ascii="Times New Roman" w:hAnsi="Times New Roman"/>
        </w:rPr>
        <w:t xml:space="preserve">Commission </w:t>
      </w:r>
      <w:r w:rsidRPr="0043058F">
        <w:rPr>
          <w:rFonts w:ascii="Times New Roman" w:hAnsi="Times New Roman"/>
        </w:rPr>
        <w:t xml:space="preserve">Staff </w:t>
      </w:r>
      <w:r>
        <w:rPr>
          <w:rFonts w:ascii="Times New Roman" w:hAnsi="Times New Roman"/>
        </w:rPr>
        <w:t>shall</w:t>
      </w:r>
      <w:r w:rsidRPr="0043058F">
        <w:rPr>
          <w:rFonts w:ascii="Times New Roman" w:hAnsi="Times New Roman"/>
        </w:rPr>
        <w:t xml:space="preserve"> collaborate on a process to consider potential options for the expansion of income qualified discount opportunities to assist customers. This process will allow for </w:t>
      </w:r>
      <w:r>
        <w:rPr>
          <w:rFonts w:ascii="Times New Roman" w:hAnsi="Times New Roman"/>
        </w:rPr>
        <w:t>p</w:t>
      </w:r>
      <w:r w:rsidRPr="0043058F">
        <w:rPr>
          <w:rFonts w:ascii="Times New Roman" w:hAnsi="Times New Roman"/>
        </w:rPr>
        <w:t xml:space="preserve">arties to provide input on the options to be considered. </w:t>
      </w:r>
      <w:r w:rsidR="00341EEE">
        <w:rPr>
          <w:rFonts w:ascii="Times New Roman" w:hAnsi="Times New Roman"/>
        </w:rPr>
        <w:t>The Proposed Agreement further provides</w:t>
      </w:r>
      <w:r w:rsidRPr="0043058F">
        <w:rPr>
          <w:rFonts w:ascii="Times New Roman" w:hAnsi="Times New Roman"/>
        </w:rPr>
        <w:t xml:space="preserve"> that within 270 days of the Final Order in this docket, the Company after having taken input from </w:t>
      </w:r>
      <w:r>
        <w:rPr>
          <w:rFonts w:ascii="Times New Roman" w:hAnsi="Times New Roman"/>
        </w:rPr>
        <w:t>other p</w:t>
      </w:r>
      <w:r w:rsidRPr="0043058F">
        <w:rPr>
          <w:rFonts w:ascii="Times New Roman" w:hAnsi="Times New Roman"/>
        </w:rPr>
        <w:t>arties will report back to the Commission on their findings and may recommend additional action.  Any potential program options must consider cost impacts to non-participating customers as well as the impacts of any revenue erosion.</w:t>
      </w:r>
      <w:r w:rsidR="00777CB6">
        <w:rPr>
          <w:rFonts w:ascii="Times New Roman" w:hAnsi="Times New Roman"/>
        </w:rPr>
        <w:t xml:space="preserve"> (</w:t>
      </w:r>
      <w:r w:rsidR="00341EEE">
        <w:rPr>
          <w:rFonts w:ascii="Times New Roman" w:hAnsi="Times New Roman"/>
        </w:rPr>
        <w:t xml:space="preserve">Proposed </w:t>
      </w:r>
      <w:r w:rsidR="00777CB6">
        <w:rPr>
          <w:rFonts w:ascii="Times New Roman" w:hAnsi="Times New Roman"/>
        </w:rPr>
        <w:t>Agreement Provision 23).</w:t>
      </w:r>
    </w:p>
    <w:p w14:paraId="1CC98E23" w14:textId="77777777" w:rsidR="00905183" w:rsidRDefault="00905183" w:rsidP="00905183">
      <w:pPr>
        <w:jc w:val="both"/>
        <w:rPr>
          <w:rFonts w:ascii="Times New Roman" w:hAnsi="Times New Roman"/>
        </w:rPr>
      </w:pPr>
    </w:p>
    <w:p w14:paraId="7B5E8EDB" w14:textId="7EF0FF53" w:rsidR="00905183" w:rsidRDefault="00905183" w:rsidP="00905183">
      <w:pPr>
        <w:jc w:val="both"/>
        <w:rPr>
          <w:rFonts w:ascii="Times New Roman" w:hAnsi="Times New Roman"/>
        </w:rPr>
      </w:pPr>
      <w:r>
        <w:rPr>
          <w:rFonts w:ascii="Times New Roman" w:hAnsi="Times New Roman"/>
        </w:rPr>
        <w:tab/>
        <w:t xml:space="preserve">The Commission approves the process set out in the </w:t>
      </w:r>
      <w:r w:rsidR="00341EEE">
        <w:rPr>
          <w:rFonts w:ascii="Times New Roman" w:hAnsi="Times New Roman"/>
        </w:rPr>
        <w:t xml:space="preserve">Proposed </w:t>
      </w:r>
      <w:r>
        <w:rPr>
          <w:rFonts w:ascii="Times New Roman" w:hAnsi="Times New Roman"/>
        </w:rPr>
        <w:t>Agreement.</w:t>
      </w:r>
    </w:p>
    <w:p w14:paraId="759B65F6" w14:textId="77777777" w:rsidR="00905183" w:rsidRDefault="00905183" w:rsidP="00905183">
      <w:pPr>
        <w:jc w:val="both"/>
        <w:rPr>
          <w:rFonts w:ascii="Times New Roman" w:hAnsi="Times New Roman"/>
        </w:rPr>
      </w:pPr>
    </w:p>
    <w:p w14:paraId="65A378B0" w14:textId="0F9952C4" w:rsidR="00905183" w:rsidRDefault="00905183" w:rsidP="00905183">
      <w:pPr>
        <w:jc w:val="center"/>
        <w:rPr>
          <w:rFonts w:ascii="Times New Roman" w:hAnsi="Times New Roman"/>
        </w:rPr>
      </w:pPr>
      <w:r>
        <w:rPr>
          <w:rFonts w:ascii="Times New Roman" w:hAnsi="Times New Roman"/>
        </w:rPr>
        <w:t>2</w:t>
      </w:r>
      <w:r w:rsidR="009953E5">
        <w:rPr>
          <w:rFonts w:ascii="Times New Roman" w:hAnsi="Times New Roman"/>
        </w:rPr>
        <w:t>1</w:t>
      </w:r>
      <w:r>
        <w:rPr>
          <w:rFonts w:ascii="Times New Roman" w:hAnsi="Times New Roman"/>
        </w:rPr>
        <w:t>.</w:t>
      </w:r>
    </w:p>
    <w:p w14:paraId="4B59EE8C" w14:textId="77777777" w:rsidR="00905183" w:rsidRDefault="00905183" w:rsidP="00905183">
      <w:pPr>
        <w:jc w:val="both"/>
        <w:rPr>
          <w:rFonts w:ascii="Times New Roman" w:hAnsi="Times New Roman"/>
        </w:rPr>
      </w:pPr>
    </w:p>
    <w:p w14:paraId="54215F4E" w14:textId="28768AD2" w:rsidR="00905183" w:rsidRDefault="00905183" w:rsidP="00905183">
      <w:pPr>
        <w:ind w:firstLine="720"/>
        <w:jc w:val="both"/>
        <w:rPr>
          <w:rFonts w:ascii="Times New Roman" w:hAnsi="Times New Roman"/>
        </w:rPr>
      </w:pPr>
      <w:r w:rsidRPr="0043058F">
        <w:rPr>
          <w:rFonts w:ascii="Times New Roman" w:hAnsi="Times New Roman"/>
        </w:rPr>
        <w:t xml:space="preserve">The </w:t>
      </w:r>
      <w:r w:rsidR="00341EEE">
        <w:rPr>
          <w:rFonts w:ascii="Times New Roman" w:hAnsi="Times New Roman"/>
        </w:rPr>
        <w:t xml:space="preserve">Proposed </w:t>
      </w:r>
      <w:r>
        <w:rPr>
          <w:rFonts w:ascii="Times New Roman" w:hAnsi="Times New Roman"/>
        </w:rPr>
        <w:t>Agreement provides that the Company agrees</w:t>
      </w:r>
      <w:r w:rsidRPr="0043058F">
        <w:rPr>
          <w:rFonts w:ascii="Times New Roman" w:hAnsi="Times New Roman"/>
        </w:rPr>
        <w:t xml:space="preserve"> to further promote Project Share to customers and increase the Company’s matching to 150% of customer contributions up to $1.5 million annually. </w:t>
      </w:r>
      <w:r w:rsidR="00777CB6">
        <w:rPr>
          <w:rFonts w:ascii="Times New Roman" w:hAnsi="Times New Roman"/>
        </w:rPr>
        <w:t>(</w:t>
      </w:r>
      <w:r w:rsidR="00341EEE">
        <w:rPr>
          <w:rFonts w:ascii="Times New Roman" w:hAnsi="Times New Roman"/>
        </w:rPr>
        <w:t xml:space="preserve">Proposed </w:t>
      </w:r>
      <w:r w:rsidR="00777CB6">
        <w:rPr>
          <w:rFonts w:ascii="Times New Roman" w:hAnsi="Times New Roman"/>
        </w:rPr>
        <w:t>Agreement Provision 24).</w:t>
      </w:r>
    </w:p>
    <w:p w14:paraId="1F520323" w14:textId="77777777" w:rsidR="00905183" w:rsidRDefault="00905183" w:rsidP="00905183">
      <w:pPr>
        <w:ind w:firstLine="720"/>
        <w:jc w:val="both"/>
        <w:rPr>
          <w:rFonts w:ascii="Times New Roman" w:hAnsi="Times New Roman"/>
        </w:rPr>
      </w:pPr>
    </w:p>
    <w:p w14:paraId="284F1A5A" w14:textId="6AB5DF5D" w:rsidR="00905183" w:rsidRDefault="00905183" w:rsidP="00905183">
      <w:pPr>
        <w:ind w:firstLine="720"/>
        <w:jc w:val="both"/>
        <w:rPr>
          <w:rFonts w:ascii="Times New Roman" w:hAnsi="Times New Roman"/>
        </w:rPr>
      </w:pPr>
      <w:r>
        <w:rPr>
          <w:rFonts w:ascii="Times New Roman" w:hAnsi="Times New Roman"/>
        </w:rPr>
        <w:t xml:space="preserve">The Commission </w:t>
      </w:r>
      <w:r w:rsidR="00703DE3">
        <w:rPr>
          <w:rFonts w:ascii="Times New Roman" w:hAnsi="Times New Roman"/>
        </w:rPr>
        <w:t>approves</w:t>
      </w:r>
      <w:r>
        <w:rPr>
          <w:rFonts w:ascii="Times New Roman" w:hAnsi="Times New Roman"/>
        </w:rPr>
        <w:t xml:space="preserve"> the Company’s promotion of and increased contribution to Project Share.</w:t>
      </w:r>
      <w:r w:rsidRPr="0043058F">
        <w:rPr>
          <w:rFonts w:ascii="Times New Roman" w:hAnsi="Times New Roman"/>
        </w:rPr>
        <w:t xml:space="preserve"> </w:t>
      </w:r>
    </w:p>
    <w:p w14:paraId="0F4AD474" w14:textId="308DB954" w:rsidR="00905183" w:rsidRDefault="00905183" w:rsidP="003C0206">
      <w:pPr>
        <w:jc w:val="center"/>
        <w:rPr>
          <w:rFonts w:ascii="Times New Roman" w:hAnsi="Times New Roman"/>
        </w:rPr>
      </w:pPr>
    </w:p>
    <w:p w14:paraId="4D781CD3" w14:textId="40250410" w:rsidR="00777CB6" w:rsidRDefault="00777CB6" w:rsidP="00777CB6">
      <w:pPr>
        <w:jc w:val="center"/>
        <w:rPr>
          <w:rFonts w:ascii="Times New Roman" w:hAnsi="Times New Roman"/>
        </w:rPr>
      </w:pPr>
      <w:r>
        <w:rPr>
          <w:rFonts w:ascii="Times New Roman" w:hAnsi="Times New Roman"/>
        </w:rPr>
        <w:t>2</w:t>
      </w:r>
      <w:r w:rsidR="009953E5">
        <w:rPr>
          <w:rFonts w:ascii="Times New Roman" w:hAnsi="Times New Roman"/>
        </w:rPr>
        <w:t>2</w:t>
      </w:r>
      <w:r>
        <w:rPr>
          <w:rFonts w:ascii="Times New Roman" w:hAnsi="Times New Roman"/>
        </w:rPr>
        <w:t>.</w:t>
      </w:r>
    </w:p>
    <w:p w14:paraId="13F69CB4" w14:textId="77777777" w:rsidR="00777CB6" w:rsidRDefault="00777CB6" w:rsidP="00777CB6">
      <w:pPr>
        <w:jc w:val="center"/>
        <w:rPr>
          <w:rFonts w:ascii="Times New Roman" w:hAnsi="Times New Roman"/>
        </w:rPr>
      </w:pPr>
    </w:p>
    <w:p w14:paraId="76E654E4" w14:textId="260A8D43" w:rsidR="00777CB6" w:rsidRDefault="00777CB6" w:rsidP="00777CB6">
      <w:pPr>
        <w:jc w:val="both"/>
        <w:rPr>
          <w:rFonts w:ascii="Times New Roman" w:hAnsi="Times New Roman"/>
        </w:rPr>
      </w:pPr>
      <w:r w:rsidRPr="008B2792">
        <w:rPr>
          <w:rFonts w:ascii="Times New Roman" w:hAnsi="Times New Roman"/>
        </w:rPr>
        <w:tab/>
        <w:t xml:space="preserve">The </w:t>
      </w:r>
      <w:r w:rsidR="00840DEA">
        <w:rPr>
          <w:rFonts w:ascii="Times New Roman" w:hAnsi="Times New Roman"/>
        </w:rPr>
        <w:t xml:space="preserve">Proposed </w:t>
      </w:r>
      <w:r>
        <w:rPr>
          <w:rFonts w:ascii="Times New Roman" w:hAnsi="Times New Roman"/>
        </w:rPr>
        <w:t xml:space="preserve">Agreement provides that the </w:t>
      </w:r>
      <w:r w:rsidRPr="008B2792">
        <w:rPr>
          <w:rFonts w:ascii="Times New Roman" w:hAnsi="Times New Roman"/>
        </w:rPr>
        <w:t xml:space="preserve">Electric Transportation (“ET”) tariff </w:t>
      </w:r>
      <w:r>
        <w:rPr>
          <w:rFonts w:ascii="Times New Roman" w:hAnsi="Times New Roman"/>
        </w:rPr>
        <w:t>shall</w:t>
      </w:r>
      <w:r w:rsidRPr="008B2792">
        <w:rPr>
          <w:rFonts w:ascii="Times New Roman" w:hAnsi="Times New Roman"/>
        </w:rPr>
        <w:t xml:space="preserve"> be allocated 70% of the base rate increase in 2021 and 2022. The revenue deficiency for this adjustment </w:t>
      </w:r>
      <w:r>
        <w:rPr>
          <w:rFonts w:ascii="Times New Roman" w:hAnsi="Times New Roman"/>
        </w:rPr>
        <w:t>shall</w:t>
      </w:r>
      <w:r w:rsidRPr="008B2792">
        <w:rPr>
          <w:rFonts w:ascii="Times New Roman" w:hAnsi="Times New Roman"/>
        </w:rPr>
        <w:t xml:space="preserve"> be accounted for within the Governmental/Institutional tariff group. </w:t>
      </w:r>
      <w:r>
        <w:rPr>
          <w:rFonts w:ascii="Times New Roman" w:hAnsi="Times New Roman"/>
        </w:rPr>
        <w:t xml:space="preserve"> (</w:t>
      </w:r>
      <w:r w:rsidR="00840DEA">
        <w:rPr>
          <w:rFonts w:ascii="Times New Roman" w:hAnsi="Times New Roman"/>
        </w:rPr>
        <w:t xml:space="preserve">Proposed </w:t>
      </w:r>
      <w:r>
        <w:rPr>
          <w:rFonts w:ascii="Times New Roman" w:hAnsi="Times New Roman"/>
        </w:rPr>
        <w:t>Agreement Provision 25).</w:t>
      </w:r>
      <w:r w:rsidRPr="008B2792">
        <w:rPr>
          <w:rFonts w:ascii="Times New Roman" w:hAnsi="Times New Roman"/>
        </w:rPr>
        <w:t xml:space="preserve"> </w:t>
      </w:r>
    </w:p>
    <w:p w14:paraId="7D53B52C" w14:textId="77777777" w:rsidR="00777CB6" w:rsidRDefault="00777CB6" w:rsidP="00777CB6">
      <w:pPr>
        <w:jc w:val="both"/>
        <w:rPr>
          <w:rFonts w:ascii="Times New Roman" w:hAnsi="Times New Roman"/>
        </w:rPr>
      </w:pPr>
    </w:p>
    <w:p w14:paraId="0F5A4D0D" w14:textId="77777777" w:rsidR="00777CB6" w:rsidRDefault="00777CB6" w:rsidP="00777CB6">
      <w:pPr>
        <w:ind w:firstLine="720"/>
        <w:jc w:val="both"/>
        <w:rPr>
          <w:rFonts w:ascii="Times New Roman" w:hAnsi="Times New Roman"/>
        </w:rPr>
      </w:pPr>
      <w:r>
        <w:rPr>
          <w:rFonts w:ascii="Times New Roman" w:hAnsi="Times New Roman"/>
        </w:rPr>
        <w:t>The Commission finds and concludes that this tariff change is reasonable.</w:t>
      </w:r>
    </w:p>
    <w:p w14:paraId="480BABA6" w14:textId="6C0E2BED" w:rsidR="00905183" w:rsidRDefault="00905183" w:rsidP="003C0206">
      <w:pPr>
        <w:jc w:val="center"/>
        <w:rPr>
          <w:rFonts w:ascii="Times New Roman" w:hAnsi="Times New Roman"/>
        </w:rPr>
      </w:pPr>
    </w:p>
    <w:p w14:paraId="01CC6A62" w14:textId="1963DDD0" w:rsidR="00777CB6" w:rsidRDefault="00777CB6" w:rsidP="00777CB6">
      <w:pPr>
        <w:tabs>
          <w:tab w:val="left" w:pos="4406"/>
          <w:tab w:val="center" w:pos="4680"/>
        </w:tabs>
        <w:jc w:val="center"/>
        <w:rPr>
          <w:rFonts w:ascii="Times New Roman" w:hAnsi="Times New Roman"/>
        </w:rPr>
      </w:pPr>
      <w:r>
        <w:rPr>
          <w:rFonts w:ascii="Times New Roman" w:hAnsi="Times New Roman"/>
        </w:rPr>
        <w:t>2</w:t>
      </w:r>
      <w:r w:rsidR="009953E5">
        <w:rPr>
          <w:rFonts w:ascii="Times New Roman" w:hAnsi="Times New Roman"/>
        </w:rPr>
        <w:t>3</w:t>
      </w:r>
      <w:r>
        <w:rPr>
          <w:rFonts w:ascii="Times New Roman" w:hAnsi="Times New Roman"/>
        </w:rPr>
        <w:t>.</w:t>
      </w:r>
    </w:p>
    <w:p w14:paraId="1A19DCB0" w14:textId="77777777" w:rsidR="00777CB6" w:rsidRDefault="00777CB6" w:rsidP="00777CB6">
      <w:pPr>
        <w:jc w:val="center"/>
        <w:rPr>
          <w:rFonts w:ascii="Times New Roman" w:hAnsi="Times New Roman"/>
        </w:rPr>
      </w:pPr>
    </w:p>
    <w:p w14:paraId="6D34106C" w14:textId="0BE073DF" w:rsidR="00777CB6" w:rsidRDefault="00777CB6" w:rsidP="00777CB6">
      <w:pPr>
        <w:jc w:val="both"/>
        <w:rPr>
          <w:rFonts w:ascii="Times New Roman" w:hAnsi="Times New Roman"/>
        </w:rPr>
      </w:pPr>
      <w:r w:rsidRPr="0043058F">
        <w:rPr>
          <w:rFonts w:ascii="Times New Roman" w:hAnsi="Times New Roman"/>
        </w:rPr>
        <w:tab/>
      </w:r>
      <w:r>
        <w:rPr>
          <w:rFonts w:ascii="Times New Roman" w:hAnsi="Times New Roman"/>
        </w:rPr>
        <w:t xml:space="preserve">In accordance with the </w:t>
      </w:r>
      <w:r w:rsidR="00840DEA">
        <w:rPr>
          <w:rFonts w:ascii="Times New Roman" w:hAnsi="Times New Roman"/>
        </w:rPr>
        <w:t xml:space="preserve">Proposed </w:t>
      </w:r>
      <w:r>
        <w:rPr>
          <w:rFonts w:ascii="Times New Roman" w:hAnsi="Times New Roman"/>
        </w:rPr>
        <w:t>Agreement, t</w:t>
      </w:r>
      <w:r w:rsidRPr="0043058F">
        <w:rPr>
          <w:rFonts w:ascii="Times New Roman" w:hAnsi="Times New Roman"/>
        </w:rPr>
        <w:t>he</w:t>
      </w:r>
      <w:r>
        <w:rPr>
          <w:rFonts w:ascii="Times New Roman" w:hAnsi="Times New Roman"/>
        </w:rPr>
        <w:t xml:space="preserve"> Time of Use – Medium Business (“</w:t>
      </w:r>
      <w:r w:rsidRPr="0043058F">
        <w:rPr>
          <w:rFonts w:ascii="Times New Roman" w:hAnsi="Times New Roman"/>
        </w:rPr>
        <w:t>TOU-MB</w:t>
      </w:r>
      <w:r>
        <w:rPr>
          <w:rFonts w:ascii="Times New Roman" w:hAnsi="Times New Roman"/>
        </w:rPr>
        <w:t>”)</w:t>
      </w:r>
      <w:r w:rsidRPr="0043058F">
        <w:rPr>
          <w:rFonts w:ascii="Times New Roman" w:hAnsi="Times New Roman"/>
        </w:rPr>
        <w:t xml:space="preserve"> rate </w:t>
      </w:r>
      <w:r>
        <w:rPr>
          <w:rFonts w:ascii="Times New Roman" w:hAnsi="Times New Roman"/>
        </w:rPr>
        <w:t>shall</w:t>
      </w:r>
      <w:r w:rsidRPr="0043058F">
        <w:rPr>
          <w:rFonts w:ascii="Times New Roman" w:hAnsi="Times New Roman"/>
        </w:rPr>
        <w:t xml:space="preserve"> be made available to all food services and drinking places identified as 722 of the North American Classification System (NAICS).  A franchise with multiple accounts shall no longer be an applicability requirement. Any existing customers on TOU-MB not qualifying as 722 will be considered grandfathered on TOU-MB an allowed to remain on the rate.  During the term of the ARP</w:t>
      </w:r>
      <w:r>
        <w:rPr>
          <w:rFonts w:ascii="Times New Roman" w:hAnsi="Times New Roman"/>
        </w:rPr>
        <w:t>,</w:t>
      </w:r>
      <w:r w:rsidRPr="0043058F">
        <w:rPr>
          <w:rFonts w:ascii="Times New Roman" w:hAnsi="Times New Roman"/>
        </w:rPr>
        <w:t xml:space="preserve"> qualifying food services and drinking places will be accepted on TOU-MB on a first come, first allowed basis until the number of accounts on the rate equals 6,000.  The rate will be reviewed in the next base rate case. Any revenue erosion from the TOU-MB rate conversion during the term of the ARP will be captured in a regulatory asset account and recovered through rates in 2021 and 2022.  All revenue loss resulting from the imple</w:t>
      </w:r>
      <w:r>
        <w:rPr>
          <w:rFonts w:ascii="Times New Roman" w:hAnsi="Times New Roman"/>
        </w:rPr>
        <w:t>mentation of this provision shall</w:t>
      </w:r>
      <w:r w:rsidRPr="0043058F">
        <w:rPr>
          <w:rFonts w:ascii="Times New Roman" w:hAnsi="Times New Roman"/>
        </w:rPr>
        <w:t xml:space="preserve"> be recovered by the Company from the TOU- MB rate. </w:t>
      </w:r>
      <w:r w:rsidR="006B277D">
        <w:rPr>
          <w:rFonts w:ascii="Times New Roman" w:hAnsi="Times New Roman"/>
        </w:rPr>
        <w:t>(Agreement Provision 26).</w:t>
      </w:r>
    </w:p>
    <w:p w14:paraId="0166F0D4" w14:textId="77777777" w:rsidR="00777CB6" w:rsidRDefault="00777CB6" w:rsidP="00777CB6">
      <w:pPr>
        <w:jc w:val="both"/>
        <w:rPr>
          <w:rFonts w:ascii="Times New Roman" w:hAnsi="Times New Roman"/>
        </w:rPr>
      </w:pPr>
    </w:p>
    <w:p w14:paraId="6531B693" w14:textId="77777777" w:rsidR="00777CB6" w:rsidRDefault="00777CB6" w:rsidP="00777CB6">
      <w:pPr>
        <w:ind w:firstLine="720"/>
        <w:jc w:val="both"/>
        <w:rPr>
          <w:rFonts w:ascii="Times New Roman" w:hAnsi="Times New Roman"/>
        </w:rPr>
      </w:pPr>
      <w:r>
        <w:rPr>
          <w:rFonts w:ascii="Times New Roman" w:hAnsi="Times New Roman"/>
        </w:rPr>
        <w:t>GRA stated in their post hearing brief that it is unfair and anti-competitive for the TOU-MB rate schedule to only be offered to large chain restaurants. (GRA Post-Hearing Brief at p. 1). GRA also requested that the TOU-MB rate be frozen until the next rate case in order to move towards parity. (</w:t>
      </w:r>
      <w:r w:rsidRPr="00925FFE">
        <w:rPr>
          <w:rFonts w:ascii="Times New Roman" w:hAnsi="Times New Roman"/>
          <w:i/>
        </w:rPr>
        <w:t>Id</w:t>
      </w:r>
      <w:r>
        <w:rPr>
          <w:rFonts w:ascii="Times New Roman" w:hAnsi="Times New Roman"/>
        </w:rPr>
        <w:t xml:space="preserve">.). </w:t>
      </w:r>
    </w:p>
    <w:p w14:paraId="3F362322" w14:textId="77777777" w:rsidR="00777CB6" w:rsidRDefault="00777CB6" w:rsidP="00777CB6">
      <w:pPr>
        <w:ind w:firstLine="720"/>
        <w:jc w:val="both"/>
        <w:rPr>
          <w:rFonts w:ascii="Times New Roman" w:hAnsi="Times New Roman"/>
        </w:rPr>
      </w:pPr>
    </w:p>
    <w:p w14:paraId="1AEEACB7" w14:textId="3D56A1C3" w:rsidR="00777CB6" w:rsidRDefault="00777CB6" w:rsidP="00777CB6">
      <w:pPr>
        <w:ind w:firstLine="720"/>
        <w:jc w:val="both"/>
        <w:rPr>
          <w:rFonts w:ascii="Times New Roman" w:hAnsi="Times New Roman"/>
        </w:rPr>
      </w:pPr>
      <w:r>
        <w:rPr>
          <w:rFonts w:ascii="Times New Roman" w:hAnsi="Times New Roman"/>
        </w:rPr>
        <w:t>The Commission concludes that by opening the TOU-MB rate schedule to all food service and drinking places identified as 722 of the NAICS, smaller restaurants will be able to be more competitive with larger chain restaurants. GRA stated in their brief that there are currently approximately 3,000 customers currently on the TOU-MB rate. (</w:t>
      </w:r>
      <w:r>
        <w:rPr>
          <w:rFonts w:ascii="Times New Roman" w:hAnsi="Times New Roman"/>
          <w:i/>
        </w:rPr>
        <w:t xml:space="preserve">Id. </w:t>
      </w:r>
      <w:r>
        <w:rPr>
          <w:rFonts w:ascii="Times New Roman" w:hAnsi="Times New Roman"/>
        </w:rPr>
        <w:t xml:space="preserve">at 2). By allowing approximately 3,000 more customers to join the rate, the </w:t>
      </w:r>
      <w:r w:rsidR="00840DEA">
        <w:rPr>
          <w:rFonts w:ascii="Times New Roman" w:hAnsi="Times New Roman"/>
        </w:rPr>
        <w:t xml:space="preserve">Proposed </w:t>
      </w:r>
      <w:r>
        <w:rPr>
          <w:rFonts w:ascii="Times New Roman" w:hAnsi="Times New Roman"/>
        </w:rPr>
        <w:t xml:space="preserve">Agreement allows for smaller restaurants to be more competitive while balancing the interests of other ratepayers. As such, the Commission finds this provision of the </w:t>
      </w:r>
      <w:r w:rsidR="00840DEA">
        <w:rPr>
          <w:rFonts w:ascii="Times New Roman" w:hAnsi="Times New Roman"/>
        </w:rPr>
        <w:t xml:space="preserve">Proposed </w:t>
      </w:r>
      <w:r>
        <w:rPr>
          <w:rFonts w:ascii="Times New Roman" w:hAnsi="Times New Roman"/>
        </w:rPr>
        <w:t xml:space="preserve">Agreement to be reasonable. </w:t>
      </w:r>
    </w:p>
    <w:p w14:paraId="3F8891B4" w14:textId="77777777" w:rsidR="00F14061" w:rsidRDefault="00F14061" w:rsidP="00777CB6">
      <w:pPr>
        <w:ind w:firstLine="720"/>
        <w:jc w:val="both"/>
        <w:rPr>
          <w:rFonts w:ascii="Times New Roman" w:hAnsi="Times New Roman"/>
        </w:rPr>
      </w:pPr>
    </w:p>
    <w:p w14:paraId="5164A865" w14:textId="76A8C43E" w:rsidR="00777CB6" w:rsidRDefault="00777CB6" w:rsidP="00777CB6">
      <w:pPr>
        <w:jc w:val="center"/>
        <w:rPr>
          <w:rFonts w:ascii="Times New Roman" w:hAnsi="Times New Roman"/>
        </w:rPr>
      </w:pPr>
      <w:r>
        <w:rPr>
          <w:rFonts w:ascii="Times New Roman" w:hAnsi="Times New Roman"/>
        </w:rPr>
        <w:t>2</w:t>
      </w:r>
      <w:r w:rsidR="009953E5">
        <w:rPr>
          <w:rFonts w:ascii="Times New Roman" w:hAnsi="Times New Roman"/>
        </w:rPr>
        <w:t>4</w:t>
      </w:r>
      <w:r>
        <w:rPr>
          <w:rFonts w:ascii="Times New Roman" w:hAnsi="Times New Roman"/>
        </w:rPr>
        <w:t>.</w:t>
      </w:r>
    </w:p>
    <w:p w14:paraId="1D9D0236" w14:textId="77777777" w:rsidR="00777CB6" w:rsidRDefault="00777CB6" w:rsidP="00777CB6">
      <w:pPr>
        <w:ind w:firstLine="720"/>
        <w:jc w:val="both"/>
        <w:rPr>
          <w:rFonts w:ascii="Times New Roman" w:hAnsi="Times New Roman"/>
        </w:rPr>
      </w:pPr>
    </w:p>
    <w:p w14:paraId="2B6A8B17" w14:textId="37EB0DF2" w:rsidR="00777CB6" w:rsidRDefault="00777CB6" w:rsidP="00777CB6">
      <w:pPr>
        <w:jc w:val="both"/>
        <w:rPr>
          <w:rFonts w:ascii="Times New Roman" w:hAnsi="Times New Roman"/>
        </w:rPr>
      </w:pPr>
      <w:r>
        <w:rPr>
          <w:rFonts w:ascii="Times New Roman" w:hAnsi="Times New Roman"/>
        </w:rPr>
        <w:tab/>
        <w:t xml:space="preserve">The </w:t>
      </w:r>
      <w:r w:rsidR="00840DEA">
        <w:rPr>
          <w:rFonts w:ascii="Times New Roman" w:hAnsi="Times New Roman"/>
        </w:rPr>
        <w:t xml:space="preserve">Proposed </w:t>
      </w:r>
      <w:r>
        <w:rPr>
          <w:rFonts w:ascii="Times New Roman" w:hAnsi="Times New Roman"/>
        </w:rPr>
        <w:t>Agreement provides that t</w:t>
      </w:r>
      <w:r w:rsidRPr="0028338F">
        <w:rPr>
          <w:rFonts w:ascii="Times New Roman" w:hAnsi="Times New Roman"/>
        </w:rPr>
        <w:t>he Company agrees to evaluate an enhanced demand response program for Industrial Customers (spinning reserves, etc.) to determine if such a program would provide any value to all customers.  The Company will provide the results of the evaluation to interested Stipulating Parties within 180 days of the Order date.  The Company’s evaluation will include analysis quantifying the potential benefits and costs to interested customers including whether any additional steps are justified by the results of the evaluation.  If interested Stipulating Parties and the Company agree that an enhanced demand response program brings value to all customers, the Company agrees to seek Commission approval for a pilot program at least 12 months prior to the 2022 IRP.</w:t>
      </w:r>
      <w:r w:rsidR="006B277D">
        <w:rPr>
          <w:rFonts w:ascii="Times New Roman" w:hAnsi="Times New Roman"/>
        </w:rPr>
        <w:t xml:space="preserve"> (Agreement Provision 27).</w:t>
      </w:r>
    </w:p>
    <w:p w14:paraId="3166B10C" w14:textId="77777777" w:rsidR="00777CB6" w:rsidRDefault="00777CB6" w:rsidP="00777CB6">
      <w:pPr>
        <w:jc w:val="both"/>
        <w:rPr>
          <w:rFonts w:ascii="Times New Roman" w:hAnsi="Times New Roman"/>
        </w:rPr>
      </w:pPr>
    </w:p>
    <w:p w14:paraId="4BA2DBF8" w14:textId="77777777" w:rsidR="00777CB6" w:rsidRPr="0028338F" w:rsidRDefault="00777CB6" w:rsidP="00777CB6">
      <w:pPr>
        <w:jc w:val="both"/>
        <w:rPr>
          <w:rFonts w:ascii="Times New Roman" w:hAnsi="Times New Roman"/>
        </w:rPr>
      </w:pPr>
      <w:r>
        <w:rPr>
          <w:rFonts w:ascii="Times New Roman" w:hAnsi="Times New Roman"/>
        </w:rPr>
        <w:tab/>
        <w:t>The Commission finds and concludes that this evaluation process is reasonable.</w:t>
      </w:r>
    </w:p>
    <w:p w14:paraId="76B805C6" w14:textId="3163C258" w:rsidR="00905183" w:rsidRDefault="00905183" w:rsidP="003C0206">
      <w:pPr>
        <w:jc w:val="center"/>
        <w:rPr>
          <w:rFonts w:ascii="Times New Roman" w:hAnsi="Times New Roman"/>
        </w:rPr>
      </w:pPr>
    </w:p>
    <w:p w14:paraId="498D47BD" w14:textId="15C92E0E" w:rsidR="006B277D" w:rsidRDefault="006B277D" w:rsidP="006B277D">
      <w:pPr>
        <w:jc w:val="center"/>
        <w:rPr>
          <w:rFonts w:ascii="Times New Roman" w:hAnsi="Times New Roman"/>
        </w:rPr>
      </w:pPr>
      <w:r>
        <w:rPr>
          <w:rFonts w:ascii="Times New Roman" w:hAnsi="Times New Roman"/>
        </w:rPr>
        <w:t>2</w:t>
      </w:r>
      <w:r w:rsidR="009953E5">
        <w:rPr>
          <w:rFonts w:ascii="Times New Roman" w:hAnsi="Times New Roman"/>
        </w:rPr>
        <w:t>5</w:t>
      </w:r>
      <w:r>
        <w:rPr>
          <w:rFonts w:ascii="Times New Roman" w:hAnsi="Times New Roman"/>
        </w:rPr>
        <w:t>.</w:t>
      </w:r>
    </w:p>
    <w:p w14:paraId="61F87F43" w14:textId="77777777" w:rsidR="00F14061" w:rsidRDefault="00F14061" w:rsidP="006B277D">
      <w:pPr>
        <w:jc w:val="center"/>
        <w:rPr>
          <w:rFonts w:ascii="Times New Roman" w:hAnsi="Times New Roman"/>
        </w:rPr>
      </w:pPr>
    </w:p>
    <w:p w14:paraId="4C06037D" w14:textId="797EA00A" w:rsidR="006B277D" w:rsidRDefault="006B277D" w:rsidP="006B277D">
      <w:pPr>
        <w:ind w:firstLine="720"/>
        <w:jc w:val="both"/>
        <w:rPr>
          <w:rFonts w:ascii="Times New Roman" w:hAnsi="Times New Roman"/>
        </w:rPr>
      </w:pPr>
      <w:r>
        <w:rPr>
          <w:rFonts w:ascii="Times New Roman" w:hAnsi="Times New Roman"/>
        </w:rPr>
        <w:t xml:space="preserve">The </w:t>
      </w:r>
      <w:r w:rsidR="00840DEA">
        <w:rPr>
          <w:rFonts w:ascii="Times New Roman" w:hAnsi="Times New Roman"/>
        </w:rPr>
        <w:t xml:space="preserve">Proposed </w:t>
      </w:r>
      <w:r>
        <w:rPr>
          <w:rFonts w:ascii="Times New Roman" w:hAnsi="Times New Roman"/>
        </w:rPr>
        <w:t>Agreement provides that t</w:t>
      </w:r>
      <w:r w:rsidRPr="008B2792">
        <w:rPr>
          <w:rFonts w:ascii="Times New Roman" w:hAnsi="Times New Roman"/>
        </w:rPr>
        <w:t xml:space="preserve">he tariff language changes proposed by the Company to the </w:t>
      </w:r>
      <w:r>
        <w:rPr>
          <w:rFonts w:ascii="Times New Roman" w:hAnsi="Times New Roman"/>
        </w:rPr>
        <w:t>RTP Tariff in the Company’s filing shall</w:t>
      </w:r>
      <w:r w:rsidRPr="008B2792">
        <w:rPr>
          <w:rFonts w:ascii="Times New Roman" w:hAnsi="Times New Roman"/>
        </w:rPr>
        <w:t xml:space="preserve"> be modified as follow</w:t>
      </w:r>
      <w:r>
        <w:rPr>
          <w:rFonts w:ascii="Times New Roman" w:hAnsi="Times New Roman"/>
        </w:rPr>
        <w:t>s:</w:t>
      </w:r>
      <w:r w:rsidRPr="008B2792">
        <w:rPr>
          <w:rFonts w:ascii="Times New Roman" w:hAnsi="Times New Roman"/>
        </w:rPr>
        <w:t xml:space="preserve"> The definition for “Existing Load” </w:t>
      </w:r>
      <w:r>
        <w:rPr>
          <w:rFonts w:ascii="Times New Roman" w:hAnsi="Times New Roman"/>
        </w:rPr>
        <w:t>shall</w:t>
      </w:r>
      <w:r w:rsidRPr="008B2792">
        <w:rPr>
          <w:rFonts w:ascii="Times New Roman" w:hAnsi="Times New Roman"/>
        </w:rPr>
        <w:t xml:space="preserve"> be defined as load previously served by Georgia Power and shall include load moved from one location to another provided that the operation at the new location is substantially identical to the operation at the former location. The definition of “New Load” </w:t>
      </w:r>
      <w:r>
        <w:rPr>
          <w:rFonts w:ascii="Times New Roman" w:hAnsi="Times New Roman"/>
        </w:rPr>
        <w:t>shall</w:t>
      </w:r>
      <w:r w:rsidRPr="008B2792">
        <w:rPr>
          <w:rFonts w:ascii="Times New Roman" w:hAnsi="Times New Roman"/>
        </w:rPr>
        <w:t xml:space="preserve"> mean load not defined as “Existing Load.” “New Load” shall also include load at a location that has been vacant less than twenty-four months provided that the operation is not substantially identical to the previo</w:t>
      </w:r>
      <w:r>
        <w:rPr>
          <w:rFonts w:ascii="Times New Roman" w:hAnsi="Times New Roman"/>
        </w:rPr>
        <w:t xml:space="preserve">us operation at that location. </w:t>
      </w:r>
      <w:r w:rsidRPr="008B2792">
        <w:rPr>
          <w:rFonts w:ascii="Times New Roman" w:hAnsi="Times New Roman"/>
        </w:rPr>
        <w:t xml:space="preserve">Finally, CBL reductions </w:t>
      </w:r>
      <w:r>
        <w:rPr>
          <w:rFonts w:ascii="Times New Roman" w:hAnsi="Times New Roman"/>
        </w:rPr>
        <w:t>shall</w:t>
      </w:r>
      <w:r w:rsidRPr="008B2792">
        <w:rPr>
          <w:rFonts w:ascii="Times New Roman" w:hAnsi="Times New Roman"/>
        </w:rPr>
        <w:t xml:space="preserve"> be allowed to reflect the impact of equipment removal/replacement and energy efficiency improvements implemented during the initial Term of Contract that result in measurable reduction in electric power demand and/or energy usage, provided that the Company’s f</w:t>
      </w:r>
      <w:r>
        <w:rPr>
          <w:rFonts w:ascii="Times New Roman" w:hAnsi="Times New Roman"/>
        </w:rPr>
        <w:t xml:space="preserve">inancial requirements are met. </w:t>
      </w:r>
      <w:r w:rsidRPr="008B2792">
        <w:rPr>
          <w:rFonts w:ascii="Times New Roman" w:hAnsi="Times New Roman"/>
        </w:rPr>
        <w:t xml:space="preserve">This language </w:t>
      </w:r>
      <w:r>
        <w:rPr>
          <w:rFonts w:ascii="Times New Roman" w:hAnsi="Times New Roman"/>
        </w:rPr>
        <w:t>shall</w:t>
      </w:r>
      <w:r w:rsidRPr="008B2792">
        <w:rPr>
          <w:rFonts w:ascii="Times New Roman" w:hAnsi="Times New Roman"/>
        </w:rPr>
        <w:t xml:space="preserve"> be incorporated into the appropriate places within the RTP tariff.</w:t>
      </w:r>
      <w:r>
        <w:rPr>
          <w:rFonts w:ascii="Times New Roman" w:hAnsi="Times New Roman"/>
        </w:rPr>
        <w:t xml:space="preserve"> (</w:t>
      </w:r>
      <w:r w:rsidR="00840DEA">
        <w:rPr>
          <w:rFonts w:ascii="Times New Roman" w:hAnsi="Times New Roman"/>
        </w:rPr>
        <w:t xml:space="preserve">Proposed </w:t>
      </w:r>
      <w:r>
        <w:rPr>
          <w:rFonts w:ascii="Times New Roman" w:hAnsi="Times New Roman"/>
        </w:rPr>
        <w:t>Agreement Provision 28).</w:t>
      </w:r>
      <w:r w:rsidRPr="008B2792">
        <w:rPr>
          <w:rFonts w:ascii="Times New Roman" w:hAnsi="Times New Roman"/>
        </w:rPr>
        <w:t xml:space="preserve">     </w:t>
      </w:r>
    </w:p>
    <w:p w14:paraId="1DC0A67B" w14:textId="77777777" w:rsidR="006B277D" w:rsidRDefault="006B277D" w:rsidP="006B277D">
      <w:pPr>
        <w:ind w:firstLine="720"/>
        <w:jc w:val="both"/>
        <w:rPr>
          <w:rFonts w:ascii="Times New Roman" w:hAnsi="Times New Roman"/>
        </w:rPr>
      </w:pPr>
    </w:p>
    <w:p w14:paraId="6C4E793D" w14:textId="77777777" w:rsidR="006B277D" w:rsidRDefault="006B277D" w:rsidP="006B277D">
      <w:pPr>
        <w:ind w:firstLine="720"/>
        <w:jc w:val="both"/>
        <w:rPr>
          <w:rFonts w:ascii="Times New Roman" w:hAnsi="Times New Roman"/>
          <w:szCs w:val="24"/>
        </w:rPr>
      </w:pPr>
      <w:r>
        <w:rPr>
          <w:rFonts w:ascii="Times New Roman" w:hAnsi="Times New Roman"/>
          <w:szCs w:val="24"/>
        </w:rPr>
        <w:lastRenderedPageBreak/>
        <w:t xml:space="preserve">DOD/FEA requested that the Commission </w:t>
      </w:r>
      <w:r w:rsidRPr="0060150E">
        <w:rPr>
          <w:rFonts w:ascii="Times New Roman" w:hAnsi="Times New Roman"/>
          <w:szCs w:val="24"/>
        </w:rPr>
        <w:t xml:space="preserve">deny </w:t>
      </w:r>
      <w:r>
        <w:rPr>
          <w:rFonts w:ascii="Times New Roman" w:hAnsi="Times New Roman"/>
          <w:szCs w:val="24"/>
        </w:rPr>
        <w:t>the Company</w:t>
      </w:r>
      <w:r w:rsidRPr="0060150E">
        <w:rPr>
          <w:rFonts w:ascii="Times New Roman" w:hAnsi="Times New Roman"/>
          <w:szCs w:val="24"/>
        </w:rPr>
        <w:t xml:space="preserve">’s request to lengthen the time period for an RTP customer to establish a lower CBL without approved load removal. </w:t>
      </w:r>
      <w:r>
        <w:rPr>
          <w:rFonts w:ascii="Times New Roman" w:hAnsi="Times New Roman"/>
          <w:szCs w:val="24"/>
        </w:rPr>
        <w:t xml:space="preserve">DOD/FEA stated that the </w:t>
      </w:r>
      <w:r w:rsidRPr="0060150E">
        <w:rPr>
          <w:rFonts w:ascii="Times New Roman" w:hAnsi="Times New Roman"/>
          <w:szCs w:val="24"/>
        </w:rPr>
        <w:t xml:space="preserve">increased time period requirement is unnecessary </w:t>
      </w:r>
      <w:r>
        <w:rPr>
          <w:rFonts w:ascii="Times New Roman" w:hAnsi="Times New Roman"/>
          <w:szCs w:val="24"/>
        </w:rPr>
        <w:t>because</w:t>
      </w:r>
      <w:r w:rsidRPr="0060150E">
        <w:rPr>
          <w:rFonts w:ascii="Times New Roman" w:hAnsi="Times New Roman"/>
          <w:szCs w:val="24"/>
        </w:rPr>
        <w:t xml:space="preserve"> a customer must remove itself from the RTP </w:t>
      </w:r>
      <w:r>
        <w:rPr>
          <w:rFonts w:ascii="Times New Roman" w:hAnsi="Times New Roman"/>
          <w:szCs w:val="24"/>
        </w:rPr>
        <w:t xml:space="preserve">tariff </w:t>
      </w:r>
      <w:r w:rsidRPr="0060150E">
        <w:rPr>
          <w:rFonts w:ascii="Times New Roman" w:hAnsi="Times New Roman"/>
          <w:szCs w:val="24"/>
        </w:rPr>
        <w:t>for twelve months, which serves as sufficient credible commitment that it has achieved the reduced load</w:t>
      </w:r>
      <w:r>
        <w:rPr>
          <w:rFonts w:ascii="Times New Roman" w:hAnsi="Times New Roman"/>
          <w:szCs w:val="24"/>
        </w:rPr>
        <w:t>.</w:t>
      </w:r>
      <w:r w:rsidRPr="0060150E">
        <w:rPr>
          <w:rFonts w:ascii="Times New Roman" w:hAnsi="Times New Roman"/>
          <w:szCs w:val="24"/>
        </w:rPr>
        <w:t xml:space="preserve"> </w:t>
      </w:r>
    </w:p>
    <w:p w14:paraId="198DFE88" w14:textId="77777777" w:rsidR="006B277D" w:rsidRDefault="006B277D" w:rsidP="006B277D">
      <w:pPr>
        <w:ind w:firstLine="720"/>
        <w:jc w:val="both"/>
        <w:rPr>
          <w:rFonts w:ascii="Times New Roman" w:hAnsi="Times New Roman"/>
          <w:szCs w:val="24"/>
        </w:rPr>
      </w:pPr>
    </w:p>
    <w:p w14:paraId="776A68D1" w14:textId="77777777" w:rsidR="006B277D" w:rsidRDefault="006B277D" w:rsidP="006B277D">
      <w:pPr>
        <w:ind w:firstLine="720"/>
        <w:jc w:val="both"/>
        <w:rPr>
          <w:rFonts w:ascii="Times New Roman" w:hAnsi="Times New Roman"/>
          <w:szCs w:val="24"/>
        </w:rPr>
      </w:pPr>
      <w:r>
        <w:rPr>
          <w:rFonts w:ascii="Times New Roman" w:hAnsi="Times New Roman"/>
          <w:szCs w:val="24"/>
        </w:rPr>
        <w:t>RSM recommended that for every 1000 MW of solar in the system the Company utilize 150 MW of customer response via the marginal cost pricing mechanism already in place with its RTP rate. (RSM Brief at p. 1).</w:t>
      </w:r>
    </w:p>
    <w:p w14:paraId="7535B1FB" w14:textId="77777777" w:rsidR="006B277D" w:rsidRDefault="006B277D" w:rsidP="006B277D">
      <w:pPr>
        <w:ind w:firstLine="720"/>
        <w:jc w:val="both"/>
        <w:rPr>
          <w:rFonts w:ascii="Times New Roman" w:hAnsi="Times New Roman"/>
        </w:rPr>
      </w:pPr>
    </w:p>
    <w:p w14:paraId="27F9D7BB" w14:textId="4BDCE474" w:rsidR="006B277D" w:rsidRDefault="006B277D" w:rsidP="006B277D">
      <w:pPr>
        <w:ind w:firstLine="720"/>
        <w:jc w:val="both"/>
        <w:rPr>
          <w:rFonts w:ascii="Times New Roman" w:hAnsi="Times New Roman"/>
          <w:szCs w:val="24"/>
        </w:rPr>
      </w:pPr>
      <w:r>
        <w:rPr>
          <w:rFonts w:ascii="Times New Roman" w:hAnsi="Times New Roman"/>
          <w:szCs w:val="24"/>
        </w:rPr>
        <w:t xml:space="preserve">The Commission finds and concludes that the </w:t>
      </w:r>
      <w:r w:rsidR="00840DEA">
        <w:rPr>
          <w:rFonts w:ascii="Times New Roman" w:hAnsi="Times New Roman"/>
          <w:szCs w:val="24"/>
        </w:rPr>
        <w:t>Proposed</w:t>
      </w:r>
      <w:r>
        <w:rPr>
          <w:rFonts w:ascii="Times New Roman" w:hAnsi="Times New Roman"/>
          <w:szCs w:val="24"/>
        </w:rPr>
        <w:t xml:space="preserve"> Agreement’s modifications to the RTP Tariff language changes are reasonable. </w:t>
      </w:r>
      <w:r w:rsidRPr="0095371E">
        <w:rPr>
          <w:rFonts w:ascii="Times New Roman" w:hAnsi="Times New Roman"/>
          <w:szCs w:val="24"/>
        </w:rPr>
        <w:t>The proposal to extend the length of time a customer must stay off RTP before rejoining RTP and setting a new CBL is also approved.</w:t>
      </w:r>
    </w:p>
    <w:p w14:paraId="36D5E9FD" w14:textId="77777777" w:rsidR="006B277D" w:rsidRDefault="006B277D" w:rsidP="006B277D">
      <w:pPr>
        <w:ind w:firstLine="720"/>
        <w:jc w:val="both"/>
        <w:rPr>
          <w:rFonts w:ascii="Times New Roman" w:hAnsi="Times New Roman"/>
          <w:szCs w:val="24"/>
        </w:rPr>
      </w:pPr>
    </w:p>
    <w:p w14:paraId="477E6C92" w14:textId="729C5668" w:rsidR="006B277D" w:rsidRDefault="006B277D" w:rsidP="006B277D">
      <w:pPr>
        <w:jc w:val="center"/>
        <w:rPr>
          <w:rFonts w:ascii="Times New Roman" w:hAnsi="Times New Roman"/>
          <w:szCs w:val="24"/>
        </w:rPr>
      </w:pPr>
      <w:r>
        <w:rPr>
          <w:rFonts w:ascii="Times New Roman" w:hAnsi="Times New Roman"/>
          <w:szCs w:val="24"/>
        </w:rPr>
        <w:t>2</w:t>
      </w:r>
      <w:r w:rsidR="009953E5">
        <w:rPr>
          <w:rFonts w:ascii="Times New Roman" w:hAnsi="Times New Roman"/>
          <w:szCs w:val="24"/>
        </w:rPr>
        <w:t>6</w:t>
      </w:r>
      <w:r>
        <w:rPr>
          <w:rFonts w:ascii="Times New Roman" w:hAnsi="Times New Roman"/>
          <w:szCs w:val="24"/>
        </w:rPr>
        <w:t>.</w:t>
      </w:r>
    </w:p>
    <w:p w14:paraId="5817F8D3" w14:textId="77777777" w:rsidR="006B277D" w:rsidRDefault="006B277D" w:rsidP="006B277D">
      <w:pPr>
        <w:ind w:firstLine="720"/>
        <w:jc w:val="both"/>
        <w:rPr>
          <w:rFonts w:ascii="Times New Roman" w:hAnsi="Times New Roman"/>
          <w:szCs w:val="24"/>
        </w:rPr>
      </w:pPr>
    </w:p>
    <w:p w14:paraId="2AB1A40D" w14:textId="768E5906" w:rsidR="006B277D" w:rsidRDefault="006B277D" w:rsidP="006B277D">
      <w:pPr>
        <w:jc w:val="both"/>
        <w:rPr>
          <w:rFonts w:ascii="Times New Roman" w:hAnsi="Times New Roman"/>
          <w:szCs w:val="24"/>
        </w:rPr>
      </w:pPr>
      <w:r>
        <w:rPr>
          <w:rFonts w:ascii="Times New Roman" w:hAnsi="Times New Roman"/>
          <w:szCs w:val="24"/>
        </w:rPr>
        <w:tab/>
        <w:t xml:space="preserve">The </w:t>
      </w:r>
      <w:r w:rsidR="00840DEA">
        <w:rPr>
          <w:rFonts w:ascii="Times New Roman" w:hAnsi="Times New Roman"/>
          <w:szCs w:val="24"/>
        </w:rPr>
        <w:t xml:space="preserve">Proposed </w:t>
      </w:r>
      <w:r>
        <w:rPr>
          <w:rFonts w:ascii="Times New Roman" w:hAnsi="Times New Roman"/>
          <w:szCs w:val="24"/>
        </w:rPr>
        <w:t>Agreement provides that t</w:t>
      </w:r>
      <w:r w:rsidRPr="003B1F2E">
        <w:rPr>
          <w:rFonts w:ascii="Times New Roman" w:hAnsi="Times New Roman"/>
          <w:szCs w:val="24"/>
        </w:rPr>
        <w:t xml:space="preserve">he </w:t>
      </w:r>
      <w:r>
        <w:rPr>
          <w:rFonts w:ascii="Times New Roman" w:hAnsi="Times New Roman"/>
          <w:szCs w:val="24"/>
        </w:rPr>
        <w:t>Multiple Load Management (“</w:t>
      </w:r>
      <w:r w:rsidRPr="003B1F2E">
        <w:rPr>
          <w:rFonts w:ascii="Times New Roman" w:hAnsi="Times New Roman"/>
          <w:szCs w:val="24"/>
        </w:rPr>
        <w:t>MLM</w:t>
      </w:r>
      <w:r>
        <w:rPr>
          <w:rFonts w:ascii="Times New Roman" w:hAnsi="Times New Roman"/>
          <w:szCs w:val="24"/>
        </w:rPr>
        <w:t>”)</w:t>
      </w:r>
      <w:r w:rsidRPr="003B1F2E">
        <w:rPr>
          <w:rFonts w:ascii="Times New Roman" w:hAnsi="Times New Roman"/>
          <w:szCs w:val="24"/>
        </w:rPr>
        <w:t xml:space="preserve"> rate shall be eliminated as proposed by the Company, and customers moving from MLM will be moved in a revenue neutral manner to the Time of Use – Revenue Neutral (“TOU-RN”) tariff.  If a customer on MLM with RTP prefers to move their CBL to a rate other than TOU-RN, they will be permitted to select any tariff for which they meet the applicability requirements and move their CBL to that rate in a revenue neutral manner.</w:t>
      </w:r>
      <w:r>
        <w:rPr>
          <w:rFonts w:ascii="Times New Roman" w:hAnsi="Times New Roman"/>
          <w:szCs w:val="24"/>
        </w:rPr>
        <w:t xml:space="preserve"> (</w:t>
      </w:r>
      <w:r w:rsidR="00840DEA">
        <w:rPr>
          <w:rFonts w:ascii="Times New Roman" w:hAnsi="Times New Roman"/>
          <w:szCs w:val="24"/>
        </w:rPr>
        <w:t xml:space="preserve">Proposed </w:t>
      </w:r>
      <w:r>
        <w:rPr>
          <w:rFonts w:ascii="Times New Roman" w:hAnsi="Times New Roman"/>
          <w:szCs w:val="24"/>
        </w:rPr>
        <w:t>Agreement Provision 29).</w:t>
      </w:r>
    </w:p>
    <w:p w14:paraId="7BEF41B0" w14:textId="77777777" w:rsidR="006B277D" w:rsidRDefault="006B277D" w:rsidP="006B277D">
      <w:pPr>
        <w:jc w:val="both"/>
        <w:rPr>
          <w:rFonts w:ascii="Times New Roman" w:hAnsi="Times New Roman"/>
        </w:rPr>
      </w:pPr>
    </w:p>
    <w:p w14:paraId="24B7FB45" w14:textId="77777777" w:rsidR="006B277D" w:rsidRDefault="006B277D" w:rsidP="006B277D">
      <w:pPr>
        <w:jc w:val="both"/>
        <w:rPr>
          <w:rFonts w:ascii="Times New Roman" w:hAnsi="Times New Roman"/>
          <w:szCs w:val="24"/>
        </w:rPr>
      </w:pPr>
      <w:r>
        <w:rPr>
          <w:rFonts w:ascii="Times New Roman" w:hAnsi="Times New Roman"/>
        </w:rPr>
        <w:tab/>
        <w:t>The Commission finds and concludes that this tariff change is reasonable.</w:t>
      </w:r>
    </w:p>
    <w:p w14:paraId="5B23768B" w14:textId="40FB5A35" w:rsidR="00777CB6" w:rsidRDefault="00777CB6" w:rsidP="003C0206">
      <w:pPr>
        <w:jc w:val="center"/>
        <w:rPr>
          <w:rFonts w:ascii="Times New Roman" w:hAnsi="Times New Roman"/>
        </w:rPr>
      </w:pPr>
    </w:p>
    <w:p w14:paraId="5803875B" w14:textId="5F3EFFE8" w:rsidR="006B277D" w:rsidRDefault="006B277D" w:rsidP="006B277D">
      <w:pPr>
        <w:jc w:val="center"/>
        <w:rPr>
          <w:rFonts w:ascii="Times New Roman" w:hAnsi="Times New Roman"/>
        </w:rPr>
      </w:pPr>
      <w:r>
        <w:rPr>
          <w:rFonts w:ascii="Times New Roman" w:hAnsi="Times New Roman"/>
        </w:rPr>
        <w:t>2</w:t>
      </w:r>
      <w:r w:rsidR="009953E5">
        <w:rPr>
          <w:rFonts w:ascii="Times New Roman" w:hAnsi="Times New Roman"/>
        </w:rPr>
        <w:t>7</w:t>
      </w:r>
      <w:r>
        <w:rPr>
          <w:rFonts w:ascii="Times New Roman" w:hAnsi="Times New Roman"/>
        </w:rPr>
        <w:t>.</w:t>
      </w:r>
    </w:p>
    <w:p w14:paraId="1A6C8CD8" w14:textId="77777777" w:rsidR="006B277D" w:rsidRDefault="006B277D" w:rsidP="006B277D">
      <w:pPr>
        <w:jc w:val="center"/>
        <w:rPr>
          <w:rFonts w:ascii="Times New Roman" w:hAnsi="Times New Roman"/>
        </w:rPr>
      </w:pPr>
    </w:p>
    <w:p w14:paraId="51640BB1" w14:textId="7123CFF7" w:rsidR="006B277D" w:rsidRDefault="006B277D" w:rsidP="006B277D">
      <w:pPr>
        <w:ind w:firstLine="720"/>
        <w:jc w:val="both"/>
        <w:rPr>
          <w:rFonts w:ascii="Times New Roman" w:hAnsi="Times New Roman"/>
          <w:szCs w:val="24"/>
        </w:rPr>
      </w:pPr>
      <w:r>
        <w:rPr>
          <w:rFonts w:ascii="Times New Roman" w:hAnsi="Times New Roman"/>
          <w:szCs w:val="24"/>
        </w:rPr>
        <w:t xml:space="preserve">The </w:t>
      </w:r>
      <w:r w:rsidR="00454B3D">
        <w:rPr>
          <w:rFonts w:ascii="Times New Roman" w:hAnsi="Times New Roman"/>
          <w:szCs w:val="24"/>
        </w:rPr>
        <w:t xml:space="preserve">Proposed </w:t>
      </w:r>
      <w:r>
        <w:rPr>
          <w:rFonts w:ascii="Times New Roman" w:hAnsi="Times New Roman"/>
          <w:szCs w:val="24"/>
        </w:rPr>
        <w:t>Agreement provides that funds for electric vehicle infrastructure will be allowed as proposed by the Company with an additional $6 million per year to be invested in support of wire and transformer upgrades for customer sited charging stations. (</w:t>
      </w:r>
      <w:r w:rsidR="00454B3D">
        <w:rPr>
          <w:rFonts w:ascii="Times New Roman" w:hAnsi="Times New Roman"/>
          <w:szCs w:val="24"/>
        </w:rPr>
        <w:t xml:space="preserve">Proposed </w:t>
      </w:r>
      <w:r>
        <w:rPr>
          <w:rFonts w:ascii="Times New Roman" w:hAnsi="Times New Roman"/>
          <w:szCs w:val="24"/>
        </w:rPr>
        <w:t xml:space="preserve">Agreement Provision 30). </w:t>
      </w:r>
      <w:r w:rsidRPr="007B6E38">
        <w:rPr>
          <w:rFonts w:ascii="Times New Roman" w:hAnsi="Times New Roman"/>
          <w:szCs w:val="24"/>
        </w:rPr>
        <w:t>The Commission finds and concludes that the projected capital and O</w:t>
      </w:r>
      <w:r>
        <w:rPr>
          <w:rFonts w:ascii="Times New Roman" w:hAnsi="Times New Roman"/>
          <w:szCs w:val="24"/>
        </w:rPr>
        <w:t xml:space="preserve">peration </w:t>
      </w:r>
      <w:r w:rsidRPr="007B6E38">
        <w:rPr>
          <w:rFonts w:ascii="Times New Roman" w:hAnsi="Times New Roman"/>
          <w:szCs w:val="24"/>
        </w:rPr>
        <w:t>&amp;</w:t>
      </w:r>
      <w:r>
        <w:rPr>
          <w:rFonts w:ascii="Times New Roman" w:hAnsi="Times New Roman"/>
          <w:szCs w:val="24"/>
        </w:rPr>
        <w:t xml:space="preserve"> </w:t>
      </w:r>
      <w:r w:rsidRPr="007B6E38">
        <w:rPr>
          <w:rFonts w:ascii="Times New Roman" w:hAnsi="Times New Roman"/>
          <w:szCs w:val="24"/>
        </w:rPr>
        <w:t>M</w:t>
      </w:r>
      <w:r>
        <w:rPr>
          <w:rFonts w:ascii="Times New Roman" w:hAnsi="Times New Roman"/>
          <w:szCs w:val="24"/>
        </w:rPr>
        <w:t>aintenance</w:t>
      </w:r>
      <w:r w:rsidRPr="007B6E38">
        <w:rPr>
          <w:rFonts w:ascii="Times New Roman" w:hAnsi="Times New Roman"/>
          <w:szCs w:val="24"/>
        </w:rPr>
        <w:t xml:space="preserve"> </w:t>
      </w:r>
      <w:r>
        <w:rPr>
          <w:rFonts w:ascii="Times New Roman" w:hAnsi="Times New Roman"/>
          <w:szCs w:val="24"/>
        </w:rPr>
        <w:t>(“</w:t>
      </w:r>
      <w:r w:rsidRPr="007B6E38">
        <w:rPr>
          <w:rFonts w:ascii="Times New Roman" w:hAnsi="Times New Roman"/>
          <w:szCs w:val="24"/>
        </w:rPr>
        <w:t>O&amp;M</w:t>
      </w:r>
      <w:r>
        <w:rPr>
          <w:rFonts w:ascii="Times New Roman" w:hAnsi="Times New Roman"/>
          <w:szCs w:val="24"/>
        </w:rPr>
        <w:t>”)</w:t>
      </w:r>
      <w:r w:rsidRPr="007B6E38">
        <w:rPr>
          <w:rFonts w:ascii="Times New Roman" w:hAnsi="Times New Roman"/>
          <w:szCs w:val="24"/>
        </w:rPr>
        <w:t xml:space="preserve"> costs associated with electric </w:t>
      </w:r>
      <w:r w:rsidR="00887952">
        <w:rPr>
          <w:rFonts w:ascii="Times New Roman" w:hAnsi="Times New Roman"/>
          <w:szCs w:val="24"/>
        </w:rPr>
        <w:t>vehicle (“</w:t>
      </w:r>
      <w:r w:rsidR="00887952" w:rsidRPr="007B6E38">
        <w:rPr>
          <w:rFonts w:ascii="Times New Roman" w:hAnsi="Times New Roman"/>
          <w:szCs w:val="24"/>
        </w:rPr>
        <w:t>EV</w:t>
      </w:r>
      <w:r w:rsidR="00887952">
        <w:rPr>
          <w:rFonts w:ascii="Times New Roman" w:hAnsi="Times New Roman"/>
          <w:szCs w:val="24"/>
        </w:rPr>
        <w:t>”)</w:t>
      </w:r>
      <w:r w:rsidR="00887952" w:rsidRPr="007B6E38">
        <w:rPr>
          <w:rFonts w:ascii="Times New Roman" w:hAnsi="Times New Roman"/>
          <w:szCs w:val="24"/>
        </w:rPr>
        <w:t xml:space="preserve"> </w:t>
      </w:r>
      <w:r w:rsidR="00887952">
        <w:rPr>
          <w:rFonts w:ascii="Times New Roman" w:hAnsi="Times New Roman"/>
          <w:szCs w:val="24"/>
        </w:rPr>
        <w:t>infrastructure</w:t>
      </w:r>
      <w:r w:rsidRPr="007B6E38">
        <w:rPr>
          <w:rFonts w:ascii="Times New Roman" w:hAnsi="Times New Roman"/>
          <w:szCs w:val="24"/>
        </w:rPr>
        <w:t xml:space="preserve"> </w:t>
      </w:r>
      <w:r w:rsidR="00693DD0">
        <w:rPr>
          <w:rFonts w:ascii="Times New Roman" w:hAnsi="Times New Roman"/>
          <w:szCs w:val="24"/>
        </w:rPr>
        <w:t xml:space="preserve">proposed in the Company’s </w:t>
      </w:r>
      <w:r w:rsidR="00A141EF">
        <w:rPr>
          <w:rFonts w:ascii="Times New Roman" w:hAnsi="Times New Roman"/>
          <w:szCs w:val="24"/>
        </w:rPr>
        <w:t>filing</w:t>
      </w:r>
      <w:r w:rsidR="00693DD0">
        <w:rPr>
          <w:rFonts w:ascii="Times New Roman" w:hAnsi="Times New Roman"/>
          <w:szCs w:val="24"/>
        </w:rPr>
        <w:t xml:space="preserve"> </w:t>
      </w:r>
      <w:r w:rsidRPr="007B6E38">
        <w:rPr>
          <w:rFonts w:ascii="Times New Roman" w:hAnsi="Times New Roman"/>
          <w:szCs w:val="24"/>
        </w:rPr>
        <w:t>should be included in the Company’s cost of service.</w:t>
      </w:r>
      <w:r w:rsidR="00693DD0">
        <w:rPr>
          <w:rFonts w:ascii="Times New Roman" w:hAnsi="Times New Roman"/>
          <w:szCs w:val="24"/>
        </w:rPr>
        <w:t xml:space="preserve">  In addition, the Company should invest an additional $6 million per year in support of wire and transformer upgrades for customer sited charging stations</w:t>
      </w:r>
      <w:r w:rsidR="00887952">
        <w:rPr>
          <w:rFonts w:ascii="Times New Roman" w:hAnsi="Times New Roman"/>
          <w:szCs w:val="24"/>
        </w:rPr>
        <w:t>.</w:t>
      </w:r>
      <w:r w:rsidR="00693DD0">
        <w:rPr>
          <w:rFonts w:ascii="Times New Roman" w:hAnsi="Times New Roman"/>
          <w:szCs w:val="24"/>
        </w:rPr>
        <w:t xml:space="preserve"> </w:t>
      </w:r>
      <w:r w:rsidRPr="007B6E38">
        <w:rPr>
          <w:rFonts w:ascii="Times New Roman" w:hAnsi="Times New Roman"/>
          <w:szCs w:val="24"/>
        </w:rPr>
        <w:t xml:space="preserve"> Whether</w:t>
      </w:r>
      <w:r w:rsidR="00641A53">
        <w:rPr>
          <w:rFonts w:ascii="Times New Roman" w:hAnsi="Times New Roman"/>
          <w:szCs w:val="24"/>
        </w:rPr>
        <w:t xml:space="preserve"> </w:t>
      </w:r>
      <w:r w:rsidR="00E95713">
        <w:rPr>
          <w:rFonts w:ascii="Times New Roman" w:hAnsi="Times New Roman"/>
          <w:szCs w:val="24"/>
        </w:rPr>
        <w:t xml:space="preserve">costs for </w:t>
      </w:r>
      <w:r w:rsidR="00641A53">
        <w:rPr>
          <w:rFonts w:ascii="Times New Roman" w:hAnsi="Times New Roman"/>
          <w:szCs w:val="24"/>
        </w:rPr>
        <w:t xml:space="preserve">electric vehicle </w:t>
      </w:r>
      <w:r w:rsidR="00641A53" w:rsidRPr="007B6E38">
        <w:rPr>
          <w:rFonts w:ascii="Times New Roman" w:hAnsi="Times New Roman"/>
          <w:szCs w:val="24"/>
        </w:rPr>
        <w:t>charging facilit</w:t>
      </w:r>
      <w:r w:rsidR="00641A53">
        <w:rPr>
          <w:rFonts w:ascii="Times New Roman" w:hAnsi="Times New Roman"/>
          <w:szCs w:val="24"/>
        </w:rPr>
        <w:t xml:space="preserve">ies or </w:t>
      </w:r>
      <w:r w:rsidR="00887952">
        <w:rPr>
          <w:rFonts w:ascii="Times New Roman" w:hAnsi="Times New Roman"/>
          <w:szCs w:val="24"/>
        </w:rPr>
        <w:t>cos</w:t>
      </w:r>
      <w:r w:rsidR="00641A53">
        <w:rPr>
          <w:rFonts w:ascii="Times New Roman" w:hAnsi="Times New Roman"/>
          <w:szCs w:val="24"/>
        </w:rPr>
        <w:t xml:space="preserve">ts for </w:t>
      </w:r>
      <w:r w:rsidR="00887952">
        <w:rPr>
          <w:rFonts w:ascii="Times New Roman" w:hAnsi="Times New Roman"/>
          <w:szCs w:val="24"/>
        </w:rPr>
        <w:t xml:space="preserve">infrastructure supporting </w:t>
      </w:r>
      <w:r w:rsidR="00641A53">
        <w:rPr>
          <w:rFonts w:ascii="Times New Roman" w:hAnsi="Times New Roman"/>
          <w:szCs w:val="24"/>
        </w:rPr>
        <w:t xml:space="preserve">such </w:t>
      </w:r>
      <w:r w:rsidRPr="007B6E38">
        <w:rPr>
          <w:rFonts w:ascii="Times New Roman" w:hAnsi="Times New Roman"/>
          <w:szCs w:val="24"/>
        </w:rPr>
        <w:t>facilit</w:t>
      </w:r>
      <w:r w:rsidR="00641A53">
        <w:rPr>
          <w:rFonts w:ascii="Times New Roman" w:hAnsi="Times New Roman"/>
          <w:szCs w:val="24"/>
        </w:rPr>
        <w:t>ies</w:t>
      </w:r>
      <w:r w:rsidRPr="007B6E38">
        <w:rPr>
          <w:rFonts w:ascii="Times New Roman" w:hAnsi="Times New Roman"/>
          <w:szCs w:val="24"/>
        </w:rPr>
        <w:t xml:space="preserve"> </w:t>
      </w:r>
      <w:r w:rsidR="00641A53">
        <w:rPr>
          <w:rFonts w:ascii="Times New Roman" w:hAnsi="Times New Roman"/>
          <w:szCs w:val="24"/>
        </w:rPr>
        <w:t>should be included</w:t>
      </w:r>
      <w:r w:rsidRPr="007B6E38">
        <w:rPr>
          <w:rFonts w:ascii="Times New Roman" w:hAnsi="Times New Roman"/>
          <w:szCs w:val="24"/>
        </w:rPr>
        <w:t xml:space="preserve"> in the Company’s cost of service is a matter of policy to be decided by this Commission. This Commission finds that </w:t>
      </w:r>
      <w:r w:rsidR="00641A53">
        <w:rPr>
          <w:rFonts w:ascii="Times New Roman" w:hAnsi="Times New Roman"/>
          <w:szCs w:val="24"/>
        </w:rPr>
        <w:t xml:space="preserve">such costs </w:t>
      </w:r>
      <w:r w:rsidRPr="007B6E38">
        <w:rPr>
          <w:rFonts w:ascii="Times New Roman" w:hAnsi="Times New Roman"/>
          <w:szCs w:val="24"/>
        </w:rPr>
        <w:t xml:space="preserve">must not be examined in isolation: EV charging stations serve as much more than an additional source of revenue for the Company or any other business for that matter. EV charging stations provide public benefits above and beyond dollars and cents. For example, the overall grid benefits from EV drivers who routinely shift their load and place a positive benefit onto the grid. In addition, evidence presented by the Company indicates that residential and business/workplace rebate programs have positive </w:t>
      </w:r>
      <w:r>
        <w:rPr>
          <w:rFonts w:ascii="Times New Roman" w:hAnsi="Times New Roman"/>
          <w:szCs w:val="24"/>
        </w:rPr>
        <w:t>rate impact measure (“</w:t>
      </w:r>
      <w:r w:rsidRPr="007B6E38">
        <w:rPr>
          <w:rFonts w:ascii="Times New Roman" w:hAnsi="Times New Roman"/>
          <w:szCs w:val="24"/>
        </w:rPr>
        <w:t>RIM</w:t>
      </w:r>
      <w:r>
        <w:rPr>
          <w:rFonts w:ascii="Times New Roman" w:hAnsi="Times New Roman"/>
          <w:szCs w:val="24"/>
        </w:rPr>
        <w:t>”)</w:t>
      </w:r>
      <w:r w:rsidRPr="007B6E38">
        <w:rPr>
          <w:rFonts w:ascii="Times New Roman" w:hAnsi="Times New Roman"/>
          <w:szCs w:val="24"/>
        </w:rPr>
        <w:t xml:space="preserve"> values, which helps all customers by putting downward pressure on rates. </w:t>
      </w:r>
    </w:p>
    <w:p w14:paraId="06215B3F" w14:textId="77777777" w:rsidR="006B277D" w:rsidRDefault="006B277D" w:rsidP="006B277D">
      <w:pPr>
        <w:ind w:firstLine="720"/>
        <w:jc w:val="both"/>
        <w:rPr>
          <w:rFonts w:ascii="Times New Roman" w:hAnsi="Times New Roman"/>
          <w:szCs w:val="24"/>
        </w:rPr>
      </w:pPr>
    </w:p>
    <w:p w14:paraId="48B6407A" w14:textId="77777777" w:rsidR="006B277D" w:rsidRDefault="006B277D" w:rsidP="006B277D">
      <w:pPr>
        <w:ind w:firstLine="720"/>
        <w:jc w:val="both"/>
        <w:rPr>
          <w:rFonts w:ascii="Times New Roman" w:hAnsi="Times New Roman"/>
          <w:szCs w:val="24"/>
        </w:rPr>
      </w:pPr>
      <w:r>
        <w:rPr>
          <w:rFonts w:ascii="Times New Roman" w:hAnsi="Times New Roman"/>
          <w:szCs w:val="24"/>
        </w:rPr>
        <w:lastRenderedPageBreak/>
        <w:t xml:space="preserve">The Sierra Club argued that the $6 million per year in spending is just, reasonable, and prudent. (Sierra Club Post Hearing Brief p. 13). The Sierra Club also agree that sufficient public charging infrastructure provides a “backbone of infrastructure” necessary to support the emerging demand for EVs. (Tr. 2648; Poroch Rebuttal at 34.) </w:t>
      </w:r>
    </w:p>
    <w:p w14:paraId="12D451D4" w14:textId="77777777" w:rsidR="006B277D" w:rsidRDefault="006B277D" w:rsidP="006B277D">
      <w:pPr>
        <w:ind w:firstLine="720"/>
        <w:jc w:val="both"/>
        <w:rPr>
          <w:rFonts w:ascii="Times New Roman" w:hAnsi="Times New Roman"/>
          <w:szCs w:val="24"/>
        </w:rPr>
      </w:pPr>
    </w:p>
    <w:p w14:paraId="7653ECC2" w14:textId="28F26DD5" w:rsidR="006B277D" w:rsidRDefault="006B277D" w:rsidP="006B277D">
      <w:pPr>
        <w:ind w:firstLine="720"/>
        <w:jc w:val="both"/>
        <w:rPr>
          <w:rFonts w:ascii="Times New Roman" w:hAnsi="Times New Roman"/>
          <w:szCs w:val="24"/>
        </w:rPr>
      </w:pPr>
      <w:r>
        <w:rPr>
          <w:rFonts w:ascii="Times New Roman" w:hAnsi="Times New Roman"/>
          <w:szCs w:val="24"/>
        </w:rPr>
        <w:t xml:space="preserve">PIA Staff opposed </w:t>
      </w:r>
      <w:r w:rsidR="00693DD0">
        <w:rPr>
          <w:rFonts w:ascii="Times New Roman" w:hAnsi="Times New Roman"/>
          <w:szCs w:val="24"/>
        </w:rPr>
        <w:t xml:space="preserve">the </w:t>
      </w:r>
      <w:r w:rsidR="00593901">
        <w:rPr>
          <w:rFonts w:ascii="Times New Roman" w:hAnsi="Times New Roman"/>
          <w:szCs w:val="24"/>
        </w:rPr>
        <w:t xml:space="preserve">inclusion of </w:t>
      </w:r>
      <w:r>
        <w:rPr>
          <w:rFonts w:ascii="Times New Roman" w:hAnsi="Times New Roman"/>
          <w:szCs w:val="24"/>
        </w:rPr>
        <w:t>EV</w:t>
      </w:r>
      <w:r w:rsidR="00641A53">
        <w:rPr>
          <w:rFonts w:ascii="Times New Roman" w:hAnsi="Times New Roman"/>
          <w:szCs w:val="24"/>
        </w:rPr>
        <w:t xml:space="preserve"> related</w:t>
      </w:r>
      <w:r>
        <w:rPr>
          <w:rFonts w:ascii="Times New Roman" w:hAnsi="Times New Roman"/>
          <w:szCs w:val="24"/>
        </w:rPr>
        <w:t xml:space="preserve"> spending</w:t>
      </w:r>
      <w:r w:rsidR="00593901">
        <w:rPr>
          <w:rFonts w:ascii="Times New Roman" w:hAnsi="Times New Roman"/>
          <w:szCs w:val="24"/>
        </w:rPr>
        <w:t xml:space="preserve"> in rate base and cost of service</w:t>
      </w:r>
      <w:r>
        <w:rPr>
          <w:rFonts w:ascii="Times New Roman" w:hAnsi="Times New Roman"/>
          <w:szCs w:val="24"/>
        </w:rPr>
        <w:t xml:space="preserve"> and asserted that “the [public] charging stations will not generate enough revenue to cover O&amp;M expense and depreciation and allowing rate recovery would mean non-EV drivers would be subsidizing investments that only benefits EV-driving ratepayers.</w:t>
      </w:r>
      <w:r w:rsidR="00593901">
        <w:rPr>
          <w:rFonts w:ascii="Times New Roman" w:hAnsi="Times New Roman"/>
          <w:szCs w:val="24"/>
        </w:rPr>
        <w:t>”</w:t>
      </w:r>
      <w:r>
        <w:rPr>
          <w:rFonts w:ascii="Times New Roman" w:hAnsi="Times New Roman"/>
          <w:szCs w:val="24"/>
        </w:rPr>
        <w:t xml:space="preserve"> (Tr. 1228; Smith and Trokey Direct at 73). </w:t>
      </w:r>
    </w:p>
    <w:p w14:paraId="0CAEB7E7" w14:textId="77777777" w:rsidR="006B277D" w:rsidRDefault="006B277D" w:rsidP="006B277D">
      <w:pPr>
        <w:ind w:firstLine="720"/>
        <w:jc w:val="both"/>
        <w:rPr>
          <w:rFonts w:ascii="Times New Roman" w:hAnsi="Times New Roman"/>
          <w:szCs w:val="24"/>
        </w:rPr>
      </w:pPr>
    </w:p>
    <w:p w14:paraId="25D1E246" w14:textId="0CD7B285" w:rsidR="006B277D" w:rsidRPr="007B6E38" w:rsidRDefault="006B277D" w:rsidP="006B277D">
      <w:pPr>
        <w:ind w:firstLine="720"/>
        <w:jc w:val="both"/>
        <w:rPr>
          <w:rFonts w:ascii="Times New Roman" w:hAnsi="Times New Roman"/>
          <w:szCs w:val="24"/>
        </w:rPr>
      </w:pPr>
      <w:r>
        <w:rPr>
          <w:rFonts w:ascii="Times New Roman" w:hAnsi="Times New Roman"/>
          <w:szCs w:val="24"/>
        </w:rPr>
        <w:t xml:space="preserve">The Commission concludes that this policy decision extends beyond cost considerations and accordingly, </w:t>
      </w:r>
      <w:r w:rsidRPr="007B6E38">
        <w:rPr>
          <w:rFonts w:ascii="Times New Roman" w:hAnsi="Times New Roman"/>
          <w:szCs w:val="24"/>
        </w:rPr>
        <w:t xml:space="preserve">finds that allowing </w:t>
      </w:r>
      <w:r w:rsidR="002579F6">
        <w:rPr>
          <w:rFonts w:ascii="Times New Roman" w:hAnsi="Times New Roman"/>
          <w:szCs w:val="24"/>
        </w:rPr>
        <w:t xml:space="preserve">the proposed </w:t>
      </w:r>
      <w:r w:rsidRPr="007B6E38">
        <w:rPr>
          <w:rFonts w:ascii="Times New Roman" w:hAnsi="Times New Roman"/>
          <w:szCs w:val="24"/>
        </w:rPr>
        <w:t>EV charging station costs</w:t>
      </w:r>
      <w:r w:rsidR="002579F6">
        <w:rPr>
          <w:rFonts w:ascii="Times New Roman" w:hAnsi="Times New Roman"/>
          <w:szCs w:val="24"/>
        </w:rPr>
        <w:t>, as well as the additional supporting infrastructure costs,</w:t>
      </w:r>
      <w:r w:rsidRPr="007B6E38">
        <w:rPr>
          <w:rFonts w:ascii="Times New Roman" w:hAnsi="Times New Roman"/>
          <w:szCs w:val="24"/>
        </w:rPr>
        <w:t xml:space="preserve"> into rate base strikes the right balance </w:t>
      </w:r>
      <w:r>
        <w:rPr>
          <w:rFonts w:ascii="Times New Roman" w:hAnsi="Times New Roman"/>
          <w:szCs w:val="24"/>
        </w:rPr>
        <w:t xml:space="preserve">between </w:t>
      </w:r>
      <w:r w:rsidRPr="007B6E38">
        <w:rPr>
          <w:rFonts w:ascii="Times New Roman" w:hAnsi="Times New Roman"/>
          <w:szCs w:val="24"/>
        </w:rPr>
        <w:t xml:space="preserve">the monetary and non-monetary benefits associated with EV infrastructure deployment. </w:t>
      </w:r>
    </w:p>
    <w:p w14:paraId="05C08C28" w14:textId="42BA8895" w:rsidR="006B277D" w:rsidRDefault="006B277D" w:rsidP="003C0206">
      <w:pPr>
        <w:jc w:val="center"/>
        <w:rPr>
          <w:rFonts w:ascii="Times New Roman" w:hAnsi="Times New Roman"/>
        </w:rPr>
      </w:pPr>
    </w:p>
    <w:p w14:paraId="50AC2E33" w14:textId="24D15755" w:rsidR="006B277D" w:rsidRDefault="006B277D" w:rsidP="006B277D">
      <w:pPr>
        <w:jc w:val="center"/>
        <w:rPr>
          <w:rFonts w:ascii="Times New Roman" w:hAnsi="Times New Roman"/>
        </w:rPr>
      </w:pPr>
      <w:r>
        <w:rPr>
          <w:rFonts w:ascii="Times New Roman" w:hAnsi="Times New Roman"/>
        </w:rPr>
        <w:t>2</w:t>
      </w:r>
      <w:r w:rsidR="009953E5">
        <w:rPr>
          <w:rFonts w:ascii="Times New Roman" w:hAnsi="Times New Roman"/>
        </w:rPr>
        <w:t>8</w:t>
      </w:r>
      <w:r>
        <w:rPr>
          <w:rFonts w:ascii="Times New Roman" w:hAnsi="Times New Roman"/>
        </w:rPr>
        <w:t>.</w:t>
      </w:r>
    </w:p>
    <w:p w14:paraId="78754D17" w14:textId="77777777" w:rsidR="006B277D" w:rsidRDefault="006B277D" w:rsidP="006B277D">
      <w:pPr>
        <w:jc w:val="center"/>
        <w:rPr>
          <w:rFonts w:ascii="Times New Roman" w:hAnsi="Times New Roman"/>
        </w:rPr>
      </w:pPr>
    </w:p>
    <w:p w14:paraId="471B6125" w14:textId="4A46E2C1" w:rsidR="006B277D" w:rsidRDefault="006B277D" w:rsidP="006B277D">
      <w:pPr>
        <w:jc w:val="both"/>
        <w:rPr>
          <w:rFonts w:ascii="Times New Roman" w:hAnsi="Times New Roman"/>
        </w:rPr>
      </w:pPr>
      <w:r>
        <w:rPr>
          <w:rFonts w:ascii="Times New Roman" w:hAnsi="Times New Roman"/>
        </w:rPr>
        <w:tab/>
        <w:t xml:space="preserve">The </w:t>
      </w:r>
      <w:r w:rsidR="00E95713">
        <w:rPr>
          <w:rFonts w:ascii="Times New Roman" w:hAnsi="Times New Roman"/>
        </w:rPr>
        <w:t xml:space="preserve">Proposed </w:t>
      </w:r>
      <w:r>
        <w:rPr>
          <w:rFonts w:ascii="Times New Roman" w:hAnsi="Times New Roman"/>
        </w:rPr>
        <w:t>Agreement provides that</w:t>
      </w:r>
      <w:r w:rsidRPr="00C619E7">
        <w:rPr>
          <w:rFonts w:ascii="Times New Roman" w:hAnsi="Times New Roman"/>
        </w:rPr>
        <w:t xml:space="preserve"> the method for bi directional metering utilized by Georgia Power under the Georgia Cogeneration and Distributed Generation Act of 2001 (“Cogen Act”) O.C.G.A. § 46-3-51, </w:t>
      </w:r>
      <w:r>
        <w:rPr>
          <w:rFonts w:ascii="Times New Roman" w:hAnsi="Times New Roman"/>
        </w:rPr>
        <w:t>to</w:t>
      </w:r>
      <w:r w:rsidRPr="00C619E7">
        <w:rPr>
          <w:rFonts w:ascii="Times New Roman" w:hAnsi="Times New Roman"/>
        </w:rPr>
        <w:t xml:space="preserve"> be considered as part of the PIA Staff review of the Company’s methodology and computation of avoided cost in Docket No. 4822 that was provided for in the Commission’s Final Order issued in Docket Nos. 42310 and 42311. </w:t>
      </w:r>
      <w:r w:rsidR="00E95713">
        <w:rPr>
          <w:rFonts w:ascii="Times New Roman" w:hAnsi="Times New Roman"/>
        </w:rPr>
        <w:t>It further provides that t</w:t>
      </w:r>
      <w:r w:rsidRPr="00C619E7">
        <w:rPr>
          <w:rFonts w:ascii="Times New Roman" w:hAnsi="Times New Roman"/>
        </w:rPr>
        <w:t xml:space="preserve">o the extent Parties continue </w:t>
      </w:r>
      <w:r>
        <w:rPr>
          <w:rFonts w:ascii="Times New Roman" w:hAnsi="Times New Roman"/>
        </w:rPr>
        <w:t xml:space="preserve">to </w:t>
      </w:r>
      <w:r w:rsidRPr="00C619E7">
        <w:rPr>
          <w:rFonts w:ascii="Times New Roman" w:hAnsi="Times New Roman"/>
        </w:rPr>
        <w:t>raise such issues</w:t>
      </w:r>
      <w:r w:rsidR="008E30DF">
        <w:rPr>
          <w:rFonts w:ascii="Times New Roman" w:hAnsi="Times New Roman"/>
        </w:rPr>
        <w:t>,</w:t>
      </w:r>
      <w:r w:rsidRPr="00C619E7">
        <w:rPr>
          <w:rFonts w:ascii="Times New Roman" w:hAnsi="Times New Roman"/>
        </w:rPr>
        <w:t xml:space="preserve"> the Commission will consider the Company’s bi-directional metering practice as part of that review. </w:t>
      </w:r>
      <w:r>
        <w:rPr>
          <w:rFonts w:ascii="Times New Roman" w:hAnsi="Times New Roman"/>
        </w:rPr>
        <w:t>(Agreement Provision 31).</w:t>
      </w:r>
      <w:r w:rsidRPr="00C619E7">
        <w:rPr>
          <w:rFonts w:ascii="Times New Roman" w:hAnsi="Times New Roman"/>
        </w:rPr>
        <w:t xml:space="preserve">   </w:t>
      </w:r>
    </w:p>
    <w:p w14:paraId="006A909A" w14:textId="77777777" w:rsidR="006B277D" w:rsidRDefault="006B277D" w:rsidP="006B277D">
      <w:pPr>
        <w:jc w:val="both"/>
        <w:rPr>
          <w:rFonts w:ascii="Times New Roman" w:hAnsi="Times New Roman"/>
        </w:rPr>
      </w:pPr>
    </w:p>
    <w:p w14:paraId="133A145A" w14:textId="77777777" w:rsidR="006B277D" w:rsidRDefault="006B277D" w:rsidP="006B277D">
      <w:pPr>
        <w:jc w:val="both"/>
        <w:rPr>
          <w:rFonts w:ascii="Times New Roman" w:hAnsi="Times New Roman"/>
        </w:rPr>
      </w:pPr>
      <w:r>
        <w:rPr>
          <w:rFonts w:ascii="Times New Roman" w:hAnsi="Times New Roman"/>
        </w:rPr>
        <w:tab/>
        <w:t>During the proceeding and in their Post Hearing Brief, GIPL/Southface/Vote Solar maintained that the Cogen Act required monthly netting. They argued that m</w:t>
      </w:r>
      <w:r w:rsidRPr="00353F5A">
        <w:rPr>
          <w:rFonts w:ascii="Times New Roman" w:hAnsi="Times New Roman"/>
        </w:rPr>
        <w:t>onthly netting allows solar customers to properly receive full value from their private investments.</w:t>
      </w:r>
      <w:r>
        <w:rPr>
          <w:rFonts w:ascii="Times New Roman" w:hAnsi="Times New Roman"/>
        </w:rPr>
        <w:t xml:space="preserve"> (GIPL/Southface/Vote Solar Post Hearing Brief p. 15). </w:t>
      </w:r>
    </w:p>
    <w:p w14:paraId="362B8136" w14:textId="77777777" w:rsidR="006B277D" w:rsidRDefault="006B277D" w:rsidP="006B277D">
      <w:pPr>
        <w:jc w:val="both"/>
        <w:rPr>
          <w:rFonts w:ascii="Times New Roman" w:hAnsi="Times New Roman"/>
        </w:rPr>
      </w:pPr>
    </w:p>
    <w:p w14:paraId="3E08C2A8" w14:textId="77777777" w:rsidR="006B277D" w:rsidRDefault="006B277D" w:rsidP="006B277D">
      <w:pPr>
        <w:rPr>
          <w:rFonts w:ascii="Times New Roman" w:eastAsia="Calibri" w:hAnsi="Times New Roman"/>
          <w:szCs w:val="24"/>
        </w:rPr>
      </w:pPr>
      <w:r>
        <w:rPr>
          <w:rFonts w:ascii="Times New Roman" w:eastAsia="Calibri" w:hAnsi="Times New Roman"/>
          <w:szCs w:val="24"/>
        </w:rPr>
        <w:tab/>
      </w:r>
      <w:r w:rsidRPr="00057E4C">
        <w:rPr>
          <w:rFonts w:ascii="Times New Roman" w:eastAsia="Calibri" w:hAnsi="Times New Roman"/>
          <w:szCs w:val="24"/>
        </w:rPr>
        <w:t>GSEA/GSEIA</w:t>
      </w:r>
      <w:r>
        <w:rPr>
          <w:rFonts w:ascii="Times New Roman" w:eastAsia="Calibri" w:hAnsi="Times New Roman"/>
          <w:szCs w:val="24"/>
        </w:rPr>
        <w:t xml:space="preserve"> stated that t</w:t>
      </w:r>
      <w:r w:rsidRPr="00057E4C">
        <w:rPr>
          <w:rFonts w:ascii="Times New Roman" w:eastAsia="Calibri" w:hAnsi="Times New Roman"/>
          <w:szCs w:val="24"/>
        </w:rPr>
        <w:t xml:space="preserve">he Company’s </w:t>
      </w:r>
      <w:r>
        <w:rPr>
          <w:rFonts w:ascii="Times New Roman" w:eastAsia="Calibri" w:hAnsi="Times New Roman"/>
          <w:szCs w:val="24"/>
        </w:rPr>
        <w:t>Renewable and Non-Renewable (“</w:t>
      </w:r>
      <w:r w:rsidRPr="00057E4C">
        <w:rPr>
          <w:rFonts w:ascii="Times New Roman" w:eastAsia="Calibri" w:hAnsi="Times New Roman"/>
          <w:szCs w:val="24"/>
        </w:rPr>
        <w:t>RNR</w:t>
      </w:r>
      <w:r>
        <w:rPr>
          <w:rFonts w:ascii="Times New Roman" w:eastAsia="Calibri" w:hAnsi="Times New Roman"/>
          <w:szCs w:val="24"/>
        </w:rPr>
        <w:t>”)</w:t>
      </w:r>
      <w:r w:rsidRPr="00057E4C">
        <w:rPr>
          <w:rFonts w:ascii="Times New Roman" w:eastAsia="Calibri" w:hAnsi="Times New Roman"/>
          <w:szCs w:val="24"/>
        </w:rPr>
        <w:t xml:space="preserve"> tariffs, including RNR-10 if approved, are consistently silent on netting</w:t>
      </w:r>
      <w:r>
        <w:rPr>
          <w:rFonts w:ascii="Times New Roman" w:eastAsia="Calibri" w:hAnsi="Times New Roman"/>
          <w:szCs w:val="24"/>
        </w:rPr>
        <w:t xml:space="preserve"> and that</w:t>
      </w:r>
      <w:r w:rsidRPr="00057E4C">
        <w:rPr>
          <w:rFonts w:ascii="Times New Roman" w:eastAsia="Calibri" w:hAnsi="Times New Roman"/>
          <w:szCs w:val="24"/>
        </w:rPr>
        <w:t xml:space="preserve"> </w:t>
      </w:r>
      <w:r>
        <w:rPr>
          <w:rFonts w:ascii="Times New Roman" w:eastAsia="Calibri" w:hAnsi="Times New Roman"/>
          <w:szCs w:val="24"/>
        </w:rPr>
        <w:t>s</w:t>
      </w:r>
      <w:r w:rsidRPr="00057E4C">
        <w:rPr>
          <w:rFonts w:ascii="Times New Roman" w:eastAsia="Calibri" w:hAnsi="Times New Roman"/>
          <w:szCs w:val="24"/>
        </w:rPr>
        <w:t>ince RNR tariffs never identified a netting methodology, the Company cannot credibly claim that i</w:t>
      </w:r>
      <w:r>
        <w:rPr>
          <w:rFonts w:ascii="Times New Roman" w:eastAsia="Calibri" w:hAnsi="Times New Roman"/>
          <w:szCs w:val="24"/>
        </w:rPr>
        <w:t>t</w:t>
      </w:r>
      <w:r w:rsidRPr="00057E4C">
        <w:rPr>
          <w:rFonts w:ascii="Times New Roman" w:eastAsia="Calibri" w:hAnsi="Times New Roman"/>
          <w:szCs w:val="24"/>
        </w:rPr>
        <w:t>s netting methodology was approved as a part thereof.  GSEA/GSEIA</w:t>
      </w:r>
      <w:r>
        <w:rPr>
          <w:rFonts w:ascii="Times New Roman" w:eastAsia="Calibri" w:hAnsi="Times New Roman"/>
          <w:szCs w:val="24"/>
        </w:rPr>
        <w:t xml:space="preserve"> u</w:t>
      </w:r>
      <w:r w:rsidRPr="00057E4C">
        <w:rPr>
          <w:rFonts w:ascii="Times New Roman" w:eastAsia="Calibri" w:hAnsi="Times New Roman"/>
          <w:szCs w:val="24"/>
        </w:rPr>
        <w:t>rge</w:t>
      </w:r>
      <w:r>
        <w:rPr>
          <w:rFonts w:ascii="Times New Roman" w:eastAsia="Calibri" w:hAnsi="Times New Roman"/>
          <w:szCs w:val="24"/>
        </w:rPr>
        <w:t>d</w:t>
      </w:r>
      <w:r w:rsidRPr="00057E4C">
        <w:rPr>
          <w:rFonts w:ascii="Times New Roman" w:eastAsia="Calibri" w:hAnsi="Times New Roman"/>
          <w:szCs w:val="24"/>
        </w:rPr>
        <w:t xml:space="preserve"> the Commission to reject the Company’s instantaneous netting methodology and direct it to implement monthly netting consistent with normal metering practices during the billing period as required by the Co-Gen Act.</w:t>
      </w:r>
      <w:r>
        <w:rPr>
          <w:rFonts w:ascii="Times New Roman" w:eastAsia="Calibri" w:hAnsi="Times New Roman"/>
          <w:szCs w:val="24"/>
        </w:rPr>
        <w:t xml:space="preserve"> </w:t>
      </w:r>
    </w:p>
    <w:p w14:paraId="71207481" w14:textId="77777777" w:rsidR="006B277D" w:rsidRDefault="006B277D" w:rsidP="006B277D">
      <w:pPr>
        <w:rPr>
          <w:rFonts w:ascii="Times New Roman" w:eastAsia="Calibri" w:hAnsi="Times New Roman"/>
          <w:szCs w:val="24"/>
        </w:rPr>
      </w:pPr>
    </w:p>
    <w:p w14:paraId="05227207" w14:textId="77777777" w:rsidR="006B277D" w:rsidRDefault="006B277D" w:rsidP="006B277D">
      <w:pPr>
        <w:rPr>
          <w:rFonts w:ascii="Times New Roman" w:hAnsi="Times New Roman"/>
        </w:rPr>
      </w:pPr>
      <w:r>
        <w:rPr>
          <w:rFonts w:ascii="Times New Roman" w:eastAsia="Calibri" w:hAnsi="Times New Roman"/>
          <w:szCs w:val="24"/>
        </w:rPr>
        <w:tab/>
      </w:r>
      <w:r w:rsidRPr="00F5031E">
        <w:rPr>
          <w:rFonts w:ascii="Times New Roman" w:eastAsia="Calibri" w:hAnsi="Times New Roman"/>
          <w:szCs w:val="24"/>
        </w:rPr>
        <w:t>G</w:t>
      </w:r>
      <w:r>
        <w:rPr>
          <w:rFonts w:ascii="Times New Roman" w:eastAsia="Calibri" w:hAnsi="Times New Roman"/>
          <w:szCs w:val="24"/>
        </w:rPr>
        <w:t xml:space="preserve">eorgia </w:t>
      </w:r>
      <w:r w:rsidRPr="00F5031E">
        <w:rPr>
          <w:rFonts w:ascii="Times New Roman" w:eastAsia="Calibri" w:hAnsi="Times New Roman"/>
          <w:szCs w:val="24"/>
        </w:rPr>
        <w:t>P</w:t>
      </w:r>
      <w:r>
        <w:rPr>
          <w:rFonts w:ascii="Times New Roman" w:eastAsia="Calibri" w:hAnsi="Times New Roman"/>
          <w:szCs w:val="24"/>
        </w:rPr>
        <w:t>ower stated that the Company’s i</w:t>
      </w:r>
      <w:r w:rsidRPr="00F5031E">
        <w:rPr>
          <w:rFonts w:ascii="Times New Roman" w:eastAsia="Calibri" w:hAnsi="Times New Roman"/>
          <w:szCs w:val="24"/>
        </w:rPr>
        <w:t xml:space="preserve">mplementation of the RNR tariff </w:t>
      </w:r>
      <w:r>
        <w:rPr>
          <w:rFonts w:ascii="Times New Roman" w:eastAsia="Calibri" w:hAnsi="Times New Roman"/>
          <w:szCs w:val="24"/>
        </w:rPr>
        <w:t xml:space="preserve">is compliant with the Co-Gen Act </w:t>
      </w:r>
      <w:r w:rsidRPr="00F5031E">
        <w:rPr>
          <w:rFonts w:ascii="Times New Roman" w:eastAsia="Calibri" w:hAnsi="Times New Roman"/>
          <w:szCs w:val="24"/>
        </w:rPr>
        <w:t xml:space="preserve">and should not be overhauled to institute policy changes to increase payments to customer generators as argued by </w:t>
      </w:r>
      <w:r>
        <w:rPr>
          <w:rFonts w:ascii="Times New Roman" w:eastAsia="Calibri" w:hAnsi="Times New Roman"/>
          <w:szCs w:val="24"/>
        </w:rPr>
        <w:t>I</w:t>
      </w:r>
      <w:r w:rsidRPr="00F5031E">
        <w:rPr>
          <w:rFonts w:ascii="Times New Roman" w:eastAsia="Calibri" w:hAnsi="Times New Roman"/>
          <w:szCs w:val="24"/>
        </w:rPr>
        <w:t>ntervenors.</w:t>
      </w:r>
    </w:p>
    <w:p w14:paraId="157D1F15" w14:textId="77777777" w:rsidR="006B277D" w:rsidRDefault="006B277D" w:rsidP="006B277D">
      <w:pPr>
        <w:jc w:val="both"/>
        <w:rPr>
          <w:rFonts w:ascii="Times New Roman" w:hAnsi="Times New Roman"/>
        </w:rPr>
      </w:pPr>
    </w:p>
    <w:p w14:paraId="3C80494E" w14:textId="20D72C66" w:rsidR="00283994" w:rsidRDefault="006B277D" w:rsidP="00283994">
      <w:pPr>
        <w:jc w:val="both"/>
        <w:rPr>
          <w:rFonts w:ascii="Times New Roman" w:hAnsi="Times New Roman"/>
        </w:rPr>
      </w:pPr>
      <w:r>
        <w:rPr>
          <w:rFonts w:ascii="Times New Roman" w:hAnsi="Times New Roman"/>
        </w:rPr>
        <w:tab/>
        <w:t xml:space="preserve">The Commission </w:t>
      </w:r>
      <w:r w:rsidR="00AB07E9">
        <w:rPr>
          <w:rFonts w:ascii="Times New Roman" w:hAnsi="Times New Roman"/>
        </w:rPr>
        <w:t xml:space="preserve">finds and </w:t>
      </w:r>
      <w:r>
        <w:rPr>
          <w:rFonts w:ascii="Times New Roman" w:hAnsi="Times New Roman"/>
        </w:rPr>
        <w:t>concludes that</w:t>
      </w:r>
      <w:r w:rsidR="00AB07E9">
        <w:rPr>
          <w:rFonts w:ascii="Times New Roman" w:hAnsi="Times New Roman"/>
        </w:rPr>
        <w:t xml:space="preserve"> </w:t>
      </w:r>
      <w:r w:rsidR="00283994">
        <w:rPr>
          <w:rFonts w:ascii="Times New Roman" w:hAnsi="Times New Roman"/>
        </w:rPr>
        <w:t xml:space="preserve">the Proposed Agreement should be modified to provide that the “Behind the Meter” netting period length shall be changed from instant to monthly </w:t>
      </w:r>
      <w:r w:rsidR="00283994">
        <w:rPr>
          <w:rFonts w:ascii="Times New Roman" w:hAnsi="Times New Roman"/>
        </w:rPr>
        <w:lastRenderedPageBreak/>
        <w:t xml:space="preserve">for the first 5000 rooftop solar ratepayers or until the </w:t>
      </w:r>
      <w:r w:rsidR="002579F6">
        <w:rPr>
          <w:rFonts w:ascii="Times New Roman" w:hAnsi="Times New Roman"/>
        </w:rPr>
        <w:t xml:space="preserve">new </w:t>
      </w:r>
      <w:r w:rsidR="00283994">
        <w:rPr>
          <w:rFonts w:ascii="Times New Roman" w:hAnsi="Times New Roman"/>
        </w:rPr>
        <w:t xml:space="preserve">installed capacity reaches 32 MW, whichever comes first. Following that, any new rooftop solar ratepayers would be subject to the current scheme of instant net metering. </w:t>
      </w:r>
      <w:r w:rsidR="00A141EF">
        <w:rPr>
          <w:rFonts w:ascii="Times New Roman" w:hAnsi="Times New Roman"/>
        </w:rPr>
        <w:t>This will be re-evaluated in the next rate case.</w:t>
      </w:r>
    </w:p>
    <w:p w14:paraId="2BB2D7C4" w14:textId="19AE7CFA" w:rsidR="006B277D" w:rsidRDefault="006B277D" w:rsidP="00FF3FBC">
      <w:pPr>
        <w:jc w:val="both"/>
        <w:rPr>
          <w:rFonts w:ascii="Times New Roman" w:hAnsi="Times New Roman"/>
        </w:rPr>
      </w:pPr>
    </w:p>
    <w:p w14:paraId="0F2E8671" w14:textId="568A20A7" w:rsidR="00885071" w:rsidRDefault="00885071" w:rsidP="00885071">
      <w:pPr>
        <w:jc w:val="center"/>
        <w:rPr>
          <w:rFonts w:ascii="Times New Roman" w:hAnsi="Times New Roman"/>
        </w:rPr>
      </w:pPr>
      <w:r>
        <w:rPr>
          <w:rFonts w:ascii="Times New Roman" w:hAnsi="Times New Roman"/>
        </w:rPr>
        <w:t>2</w:t>
      </w:r>
      <w:r w:rsidR="009953E5">
        <w:rPr>
          <w:rFonts w:ascii="Times New Roman" w:hAnsi="Times New Roman"/>
        </w:rPr>
        <w:t>9</w:t>
      </w:r>
      <w:r>
        <w:rPr>
          <w:rFonts w:ascii="Times New Roman" w:hAnsi="Times New Roman"/>
        </w:rPr>
        <w:t>.</w:t>
      </w:r>
    </w:p>
    <w:p w14:paraId="06E84F8E" w14:textId="77777777" w:rsidR="00885071" w:rsidRDefault="00885071" w:rsidP="00885071">
      <w:pPr>
        <w:jc w:val="center"/>
        <w:rPr>
          <w:rFonts w:ascii="Times New Roman" w:hAnsi="Times New Roman"/>
        </w:rPr>
      </w:pPr>
    </w:p>
    <w:p w14:paraId="1940BE66" w14:textId="50DEC63E" w:rsidR="00885071" w:rsidRDefault="00A141EF" w:rsidP="00885071">
      <w:pPr>
        <w:ind w:firstLine="720"/>
        <w:jc w:val="both"/>
        <w:rPr>
          <w:rFonts w:ascii="Times New Roman" w:hAnsi="Times New Roman"/>
        </w:rPr>
      </w:pPr>
      <w:r>
        <w:rPr>
          <w:rFonts w:ascii="Times New Roman" w:hAnsi="Times New Roman"/>
        </w:rPr>
        <w:t>The Commission finds that t</w:t>
      </w:r>
      <w:r w:rsidR="00885071">
        <w:rPr>
          <w:rFonts w:ascii="Times New Roman" w:hAnsi="Times New Roman"/>
        </w:rPr>
        <w:t xml:space="preserve">he </w:t>
      </w:r>
      <w:r>
        <w:rPr>
          <w:rFonts w:ascii="Times New Roman" w:hAnsi="Times New Roman"/>
        </w:rPr>
        <w:t xml:space="preserve">Proposed </w:t>
      </w:r>
      <w:r w:rsidR="00885071">
        <w:rPr>
          <w:rFonts w:ascii="Times New Roman" w:hAnsi="Times New Roman"/>
        </w:rPr>
        <w:t xml:space="preserve">Agreement </w:t>
      </w:r>
      <w:r>
        <w:rPr>
          <w:rFonts w:ascii="Times New Roman" w:hAnsi="Times New Roman"/>
        </w:rPr>
        <w:t xml:space="preserve">should be </w:t>
      </w:r>
      <w:r w:rsidR="00885071">
        <w:rPr>
          <w:rFonts w:ascii="Times New Roman" w:hAnsi="Times New Roman"/>
        </w:rPr>
        <w:t>modified to provide that the fee for Analog Meter Ratepayers shall be dropped by $1.00 per month. The Commission will reevaluate the fee and this change in the next rate case.</w:t>
      </w:r>
    </w:p>
    <w:p w14:paraId="63D5114A" w14:textId="77777777" w:rsidR="00885071" w:rsidRDefault="00885071" w:rsidP="00885071">
      <w:pPr>
        <w:ind w:firstLine="720"/>
        <w:jc w:val="both"/>
        <w:rPr>
          <w:rFonts w:ascii="Times New Roman" w:hAnsi="Times New Roman"/>
        </w:rPr>
      </w:pPr>
    </w:p>
    <w:p w14:paraId="0005339B" w14:textId="67EBF2E9" w:rsidR="00885071" w:rsidRDefault="00885071" w:rsidP="00885071">
      <w:pPr>
        <w:ind w:firstLine="720"/>
        <w:jc w:val="both"/>
        <w:rPr>
          <w:rFonts w:ascii="Times New Roman" w:hAnsi="Times New Roman"/>
        </w:rPr>
      </w:pPr>
      <w:r>
        <w:rPr>
          <w:rFonts w:ascii="Times New Roman" w:hAnsi="Times New Roman"/>
        </w:rPr>
        <w:t>The Commission finds and concludes that this reduction to the analog meter fee is reasonable.</w:t>
      </w:r>
    </w:p>
    <w:p w14:paraId="54249564" w14:textId="77777777" w:rsidR="00885071" w:rsidRDefault="00885071" w:rsidP="00885071">
      <w:pPr>
        <w:jc w:val="both"/>
        <w:rPr>
          <w:rFonts w:ascii="Times New Roman" w:hAnsi="Times New Roman"/>
        </w:rPr>
      </w:pPr>
    </w:p>
    <w:p w14:paraId="77AA88B8" w14:textId="7C25EC96" w:rsidR="000253BA" w:rsidRDefault="000253BA" w:rsidP="000253BA">
      <w:pPr>
        <w:jc w:val="center"/>
        <w:rPr>
          <w:rFonts w:ascii="Times New Roman" w:hAnsi="Times New Roman"/>
        </w:rPr>
      </w:pPr>
      <w:r>
        <w:rPr>
          <w:rFonts w:ascii="Times New Roman" w:hAnsi="Times New Roman"/>
        </w:rPr>
        <w:t>3</w:t>
      </w:r>
      <w:r w:rsidR="00A141EF">
        <w:rPr>
          <w:rFonts w:ascii="Times New Roman" w:hAnsi="Times New Roman"/>
        </w:rPr>
        <w:t>0</w:t>
      </w:r>
      <w:r>
        <w:rPr>
          <w:rFonts w:ascii="Times New Roman" w:hAnsi="Times New Roman"/>
        </w:rPr>
        <w:t>.</w:t>
      </w:r>
    </w:p>
    <w:p w14:paraId="644C0576" w14:textId="77777777" w:rsidR="000253BA" w:rsidRDefault="000253BA" w:rsidP="000253BA">
      <w:pPr>
        <w:jc w:val="center"/>
        <w:rPr>
          <w:rFonts w:ascii="Times New Roman" w:hAnsi="Times New Roman"/>
        </w:rPr>
      </w:pPr>
    </w:p>
    <w:p w14:paraId="537A5B34" w14:textId="1781FF47" w:rsidR="000253BA" w:rsidRDefault="000253BA" w:rsidP="000253BA">
      <w:pPr>
        <w:rPr>
          <w:rFonts w:ascii="Times New Roman" w:eastAsia="Calibri" w:hAnsi="Times New Roman"/>
          <w:szCs w:val="24"/>
        </w:rPr>
      </w:pPr>
      <w:r>
        <w:rPr>
          <w:rFonts w:ascii="Times New Roman" w:eastAsia="Calibri" w:hAnsi="Times New Roman"/>
          <w:szCs w:val="24"/>
        </w:rPr>
        <w:tab/>
      </w:r>
      <w:r w:rsidR="00A141EF">
        <w:rPr>
          <w:rFonts w:ascii="Times New Roman" w:eastAsia="Calibri" w:hAnsi="Times New Roman"/>
          <w:szCs w:val="24"/>
        </w:rPr>
        <w:t>In its filing, which the Proposed Agreement accepts by reference, t</w:t>
      </w:r>
      <w:r w:rsidRPr="007D636F">
        <w:rPr>
          <w:rFonts w:ascii="Times New Roman" w:eastAsia="Calibri" w:hAnsi="Times New Roman"/>
          <w:szCs w:val="24"/>
        </w:rPr>
        <w:t xml:space="preserve">he Company </w:t>
      </w:r>
      <w:r>
        <w:rPr>
          <w:rFonts w:ascii="Times New Roman" w:eastAsia="Calibri" w:hAnsi="Times New Roman"/>
          <w:szCs w:val="24"/>
        </w:rPr>
        <w:t xml:space="preserve">proposed to </w:t>
      </w:r>
      <w:r w:rsidRPr="007D636F">
        <w:rPr>
          <w:rFonts w:ascii="Times New Roman" w:eastAsia="Calibri" w:hAnsi="Times New Roman"/>
          <w:szCs w:val="24"/>
        </w:rPr>
        <w:t xml:space="preserve">convert the </w:t>
      </w:r>
      <w:r w:rsidR="009D3560">
        <w:rPr>
          <w:rFonts w:ascii="Times New Roman" w:eastAsia="Calibri" w:hAnsi="Times New Roman"/>
          <w:szCs w:val="24"/>
        </w:rPr>
        <w:t>basic service charge</w:t>
      </w:r>
      <w:r w:rsidRPr="007D636F">
        <w:rPr>
          <w:rFonts w:ascii="Times New Roman" w:eastAsia="Calibri" w:hAnsi="Times New Roman"/>
          <w:szCs w:val="24"/>
        </w:rPr>
        <w:t xml:space="preserve"> in the tariffs within the Domestic Group to a daily amount.</w:t>
      </w:r>
      <w:r>
        <w:rPr>
          <w:rFonts w:ascii="Times New Roman" w:eastAsia="Calibri" w:hAnsi="Times New Roman"/>
          <w:szCs w:val="24"/>
        </w:rPr>
        <w:t xml:space="preserve"> Currently, a bill can be generated with the service period ranging from 25 to 36 days without being prorated.  This means that customers that experience a 36-day bill period incur the same basic service charge as a customer whose bill only includes 25 days of service.  Conversely, if a bill is calculated using a daily basic service charge amount, the result will be based on the exact number of days of service, which will make this portion of the bill more accurate and simpler for customer to understand. </w:t>
      </w:r>
      <w:r w:rsidR="00795D35">
        <w:rPr>
          <w:rFonts w:ascii="Times New Roman" w:eastAsia="Calibri" w:hAnsi="Times New Roman"/>
          <w:szCs w:val="24"/>
        </w:rPr>
        <w:t>(Tr. 757</w:t>
      </w:r>
      <w:r>
        <w:rPr>
          <w:rFonts w:ascii="Times New Roman" w:eastAsia="Calibri" w:hAnsi="Times New Roman"/>
          <w:szCs w:val="24"/>
        </w:rPr>
        <w:t>).</w:t>
      </w:r>
    </w:p>
    <w:p w14:paraId="1809C3D8" w14:textId="77777777" w:rsidR="000253BA" w:rsidRDefault="000253BA" w:rsidP="000253BA">
      <w:pPr>
        <w:rPr>
          <w:rFonts w:ascii="Times New Roman" w:eastAsia="Calibri" w:hAnsi="Times New Roman"/>
          <w:szCs w:val="24"/>
        </w:rPr>
      </w:pPr>
    </w:p>
    <w:p w14:paraId="49AAE2CD" w14:textId="66680571" w:rsidR="000253BA" w:rsidRPr="000F461F" w:rsidRDefault="000253BA" w:rsidP="000253BA">
      <w:pPr>
        <w:ind w:firstLine="720"/>
        <w:jc w:val="both"/>
        <w:rPr>
          <w:rFonts w:ascii="Times New Roman" w:eastAsia="Calibri" w:hAnsi="Times New Roman"/>
          <w:szCs w:val="24"/>
        </w:rPr>
      </w:pPr>
      <w:r w:rsidRPr="00FE78B3">
        <w:rPr>
          <w:rFonts w:ascii="Times New Roman" w:eastAsia="Calibri" w:hAnsi="Times New Roman"/>
          <w:szCs w:val="24"/>
        </w:rPr>
        <w:t>PIA S</w:t>
      </w:r>
      <w:r>
        <w:rPr>
          <w:rFonts w:ascii="Times New Roman" w:eastAsia="Calibri" w:hAnsi="Times New Roman"/>
          <w:szCs w:val="24"/>
        </w:rPr>
        <w:t>taff stated that the Company had not justified its request to prorate the BSC on a daily basis.  Currently, the BSC is the same for each month; it does not vary based on the number of days in the month. (Tr. 2919). PIA Staff contended the Commission should require the Company to continue the standard practice of 12 evenly monthly payments for customer</w:t>
      </w:r>
      <w:r w:rsidR="00536027">
        <w:rPr>
          <w:rFonts w:ascii="Times New Roman" w:eastAsia="Calibri" w:hAnsi="Times New Roman"/>
          <w:szCs w:val="24"/>
        </w:rPr>
        <w:t>s</w:t>
      </w:r>
      <w:r>
        <w:rPr>
          <w:rFonts w:ascii="Times New Roman" w:eastAsia="Calibri" w:hAnsi="Times New Roman"/>
          <w:szCs w:val="24"/>
        </w:rPr>
        <w:t xml:space="preserve"> who pay monthly bills.  (PIA Staff Brief at p. 46). </w:t>
      </w:r>
    </w:p>
    <w:p w14:paraId="3BCBA831" w14:textId="77777777" w:rsidR="000253BA" w:rsidRDefault="000253BA" w:rsidP="000253BA">
      <w:pPr>
        <w:ind w:firstLine="720"/>
        <w:rPr>
          <w:rFonts w:ascii="Times New Roman" w:eastAsia="Calibri" w:hAnsi="Times New Roman"/>
          <w:szCs w:val="24"/>
        </w:rPr>
      </w:pPr>
    </w:p>
    <w:p w14:paraId="0F0031DA" w14:textId="0DF6C54A" w:rsidR="000253BA" w:rsidRDefault="000253BA" w:rsidP="000253BA">
      <w:pPr>
        <w:ind w:firstLine="720"/>
        <w:jc w:val="both"/>
        <w:rPr>
          <w:rFonts w:ascii="Times New Roman" w:eastAsia="Calibri" w:hAnsi="Times New Roman"/>
          <w:szCs w:val="24"/>
        </w:rPr>
      </w:pPr>
      <w:r>
        <w:rPr>
          <w:rFonts w:ascii="Times New Roman" w:eastAsia="Calibri" w:hAnsi="Times New Roman"/>
          <w:szCs w:val="24"/>
        </w:rPr>
        <w:t xml:space="preserve">GIPL/Southface/Vote Solar stated that the Commission should reject the Company’s request to switch from a monthly BSC to a daily BSC. Changing to a daily basic service charge would “exacerbate monthly bill volatility, result in a charge that is less transparent and less understandable for customers,” and the Company “did not identify any clear need for the change.” Tr. 2082). </w:t>
      </w:r>
      <w:r w:rsidR="00AE4A24">
        <w:rPr>
          <w:rFonts w:ascii="Times New Roman" w:eastAsia="Calibri" w:hAnsi="Times New Roman"/>
          <w:szCs w:val="24"/>
        </w:rPr>
        <w:t xml:space="preserve">Further, </w:t>
      </w:r>
      <w:r w:rsidR="00514DAF">
        <w:rPr>
          <w:rFonts w:ascii="Times New Roman" w:eastAsia="Calibri" w:hAnsi="Times New Roman"/>
          <w:szCs w:val="24"/>
        </w:rPr>
        <w:t>t</w:t>
      </w:r>
      <w:r>
        <w:rPr>
          <w:rFonts w:ascii="Times New Roman" w:eastAsia="Calibri" w:hAnsi="Times New Roman"/>
          <w:szCs w:val="24"/>
        </w:rPr>
        <w:t xml:space="preserve">he Company stated that over the course of a year, any differences in billing period will even out-meaning, all customers will ultimately pay the same total amount in basic service charges without a switch to a daily charge. (Tr. 2920). </w:t>
      </w:r>
    </w:p>
    <w:p w14:paraId="158527B4" w14:textId="77777777" w:rsidR="000253BA" w:rsidRDefault="000253BA" w:rsidP="000253BA">
      <w:pPr>
        <w:ind w:firstLine="720"/>
        <w:rPr>
          <w:rFonts w:ascii="Times New Roman" w:eastAsia="Calibri" w:hAnsi="Times New Roman"/>
          <w:szCs w:val="24"/>
        </w:rPr>
      </w:pPr>
    </w:p>
    <w:p w14:paraId="3050DE03" w14:textId="61D783B7" w:rsidR="000253BA" w:rsidRDefault="000253BA" w:rsidP="000253BA">
      <w:pPr>
        <w:ind w:firstLine="720"/>
        <w:jc w:val="both"/>
        <w:rPr>
          <w:rFonts w:ascii="Times New Roman" w:eastAsia="Calibri" w:hAnsi="Times New Roman"/>
          <w:szCs w:val="24"/>
        </w:rPr>
      </w:pPr>
      <w:r>
        <w:rPr>
          <w:rFonts w:ascii="Times New Roman" w:eastAsia="Calibri" w:hAnsi="Times New Roman"/>
          <w:szCs w:val="24"/>
        </w:rPr>
        <w:t xml:space="preserve">The Commission finds that </w:t>
      </w:r>
      <w:r w:rsidRPr="006C5799">
        <w:rPr>
          <w:rFonts w:ascii="Times New Roman" w:eastAsia="Calibri" w:hAnsi="Times New Roman"/>
          <w:szCs w:val="24"/>
        </w:rPr>
        <w:t>convert</w:t>
      </w:r>
      <w:r>
        <w:rPr>
          <w:rFonts w:ascii="Times New Roman" w:eastAsia="Calibri" w:hAnsi="Times New Roman"/>
          <w:szCs w:val="24"/>
        </w:rPr>
        <w:t>ing</w:t>
      </w:r>
      <w:r w:rsidRPr="006C5799">
        <w:rPr>
          <w:rFonts w:ascii="Times New Roman" w:eastAsia="Calibri" w:hAnsi="Times New Roman"/>
          <w:szCs w:val="24"/>
        </w:rPr>
        <w:t xml:space="preserve"> the </w:t>
      </w:r>
      <w:r>
        <w:rPr>
          <w:rFonts w:ascii="Times New Roman" w:eastAsia="Calibri" w:hAnsi="Times New Roman"/>
          <w:szCs w:val="24"/>
        </w:rPr>
        <w:t>BSC</w:t>
      </w:r>
      <w:r w:rsidRPr="006C5799">
        <w:rPr>
          <w:rFonts w:ascii="Times New Roman" w:eastAsia="Calibri" w:hAnsi="Times New Roman"/>
          <w:szCs w:val="24"/>
        </w:rPr>
        <w:t xml:space="preserve"> in the tariffs within the Domestic Group to </w:t>
      </w:r>
      <w:r>
        <w:rPr>
          <w:rFonts w:ascii="Times New Roman" w:eastAsia="Calibri" w:hAnsi="Times New Roman"/>
          <w:szCs w:val="24"/>
        </w:rPr>
        <w:t xml:space="preserve">a </w:t>
      </w:r>
      <w:r w:rsidRPr="006C5799">
        <w:rPr>
          <w:rFonts w:ascii="Times New Roman" w:eastAsia="Calibri" w:hAnsi="Times New Roman"/>
          <w:szCs w:val="24"/>
        </w:rPr>
        <w:t>daily amount</w:t>
      </w:r>
      <w:r>
        <w:rPr>
          <w:rFonts w:ascii="Times New Roman" w:eastAsia="Calibri" w:hAnsi="Times New Roman"/>
          <w:szCs w:val="24"/>
        </w:rPr>
        <w:t xml:space="preserve"> </w:t>
      </w:r>
      <w:r w:rsidR="00AE4A24">
        <w:rPr>
          <w:rFonts w:ascii="Times New Roman" w:eastAsia="Calibri" w:hAnsi="Times New Roman"/>
          <w:szCs w:val="24"/>
        </w:rPr>
        <w:t xml:space="preserve">is reasonable </w:t>
      </w:r>
      <w:r>
        <w:rPr>
          <w:rFonts w:ascii="Times New Roman" w:eastAsia="Calibri" w:hAnsi="Times New Roman"/>
          <w:szCs w:val="24"/>
        </w:rPr>
        <w:t>is thus accepted.</w:t>
      </w:r>
    </w:p>
    <w:p w14:paraId="2961E6B8" w14:textId="77777777" w:rsidR="000253BA" w:rsidRDefault="000253BA" w:rsidP="000253BA">
      <w:pPr>
        <w:rPr>
          <w:rFonts w:ascii="Times New Roman" w:hAnsi="Times New Roman"/>
        </w:rPr>
      </w:pPr>
    </w:p>
    <w:p w14:paraId="0F11963F" w14:textId="798BD5D4" w:rsidR="00D05B33" w:rsidRDefault="00D05B33" w:rsidP="00D05B33">
      <w:pPr>
        <w:jc w:val="center"/>
        <w:rPr>
          <w:rFonts w:ascii="Times New Roman" w:hAnsi="Times New Roman"/>
        </w:rPr>
      </w:pPr>
      <w:r>
        <w:rPr>
          <w:rFonts w:ascii="Times New Roman" w:hAnsi="Times New Roman"/>
        </w:rPr>
        <w:t>3</w:t>
      </w:r>
      <w:r w:rsidR="0048337B">
        <w:rPr>
          <w:rFonts w:ascii="Times New Roman" w:hAnsi="Times New Roman"/>
        </w:rPr>
        <w:t>1</w:t>
      </w:r>
      <w:r w:rsidRPr="00993C6B">
        <w:rPr>
          <w:rFonts w:ascii="Times New Roman" w:hAnsi="Times New Roman"/>
        </w:rPr>
        <w:t>.</w:t>
      </w:r>
    </w:p>
    <w:p w14:paraId="30BD9853" w14:textId="77777777" w:rsidR="00D05B33" w:rsidRDefault="00D05B33" w:rsidP="00D05B33">
      <w:pPr>
        <w:jc w:val="center"/>
        <w:rPr>
          <w:rFonts w:ascii="Times New Roman" w:hAnsi="Times New Roman"/>
        </w:rPr>
      </w:pPr>
    </w:p>
    <w:p w14:paraId="6B815DFC" w14:textId="77777777" w:rsidR="00514DAF" w:rsidRDefault="00D05B33" w:rsidP="00D05B33">
      <w:pPr>
        <w:ind w:firstLine="720"/>
        <w:jc w:val="both"/>
        <w:rPr>
          <w:rFonts w:ascii="Times New Roman" w:hAnsi="Times New Roman"/>
          <w:szCs w:val="24"/>
        </w:rPr>
      </w:pPr>
      <w:r>
        <w:rPr>
          <w:rFonts w:ascii="Times New Roman" w:hAnsi="Times New Roman"/>
          <w:szCs w:val="24"/>
        </w:rPr>
        <w:t xml:space="preserve">Although PIA Staff accepted the Company’s proposed $63.5 million for the projection of storm damage charges for the test year and ARP years, they recommended a review of the recovery </w:t>
      </w:r>
      <w:r>
        <w:rPr>
          <w:rFonts w:ascii="Times New Roman" w:hAnsi="Times New Roman"/>
          <w:szCs w:val="24"/>
        </w:rPr>
        <w:lastRenderedPageBreak/>
        <w:t xml:space="preserve">mechanisms and that the Company’s storm damage costs be reviewed in detail. PIA Staff also adjusted the Company’s estimate of the December 31, 2019 deferred storm damage cost balance using actual charges for January through June 2019 in place of the Company’s estimates for those months. The adjustment resulted in a slightly lower December 31, 2019 balance, which PIA Staff recommended be amortized over a three-year period. </w:t>
      </w:r>
      <w:r w:rsidRPr="009945D5">
        <w:rPr>
          <w:rFonts w:ascii="Times New Roman" w:hAnsi="Times New Roman"/>
          <w:szCs w:val="24"/>
        </w:rPr>
        <w:t xml:space="preserve">(Tr. 1158; Smith and Trokey Direct at </w:t>
      </w:r>
      <w:r>
        <w:rPr>
          <w:rFonts w:ascii="Times New Roman" w:hAnsi="Times New Roman"/>
          <w:szCs w:val="24"/>
        </w:rPr>
        <w:t xml:space="preserve">pp. </w:t>
      </w:r>
      <w:r w:rsidRPr="009945D5">
        <w:rPr>
          <w:rFonts w:ascii="Times New Roman" w:hAnsi="Times New Roman"/>
          <w:szCs w:val="24"/>
        </w:rPr>
        <w:t>85-87)</w:t>
      </w:r>
      <w:r>
        <w:rPr>
          <w:rFonts w:ascii="Times New Roman" w:hAnsi="Times New Roman"/>
          <w:szCs w:val="24"/>
        </w:rPr>
        <w:t>.</w:t>
      </w:r>
    </w:p>
    <w:p w14:paraId="7AC09B09" w14:textId="77777777" w:rsidR="00514DAF" w:rsidRDefault="00514DAF" w:rsidP="00D05B33">
      <w:pPr>
        <w:ind w:firstLine="720"/>
        <w:jc w:val="both"/>
        <w:rPr>
          <w:rFonts w:ascii="Times New Roman" w:hAnsi="Times New Roman"/>
          <w:szCs w:val="24"/>
        </w:rPr>
      </w:pPr>
    </w:p>
    <w:p w14:paraId="716B6C0C" w14:textId="3E9DB537" w:rsidR="00D05B33" w:rsidRDefault="00D05B33" w:rsidP="00514DAF">
      <w:pPr>
        <w:ind w:firstLine="720"/>
        <w:jc w:val="both"/>
        <w:rPr>
          <w:rFonts w:ascii="Times New Roman" w:hAnsi="Times New Roman"/>
          <w:szCs w:val="24"/>
        </w:rPr>
      </w:pPr>
      <w:r>
        <w:rPr>
          <w:rFonts w:ascii="Times New Roman" w:hAnsi="Times New Roman"/>
          <w:szCs w:val="24"/>
        </w:rPr>
        <w:t xml:space="preserve">PIA Staff’s recommendation that the Company’s storm damage costs be reviewed in a separate investigation apart from the rate case stems from the fact that the Company’s deferred amount has built up to over $400 million and most of that from storms occurring in recent years since the Company’s 2013 rate case. The Company argued that a separate review and audit is unnecessary because existing internal and external review channels provide sufficient opportunity for the Company and Commission to audit the Company’s storm damage account balance. </w:t>
      </w:r>
    </w:p>
    <w:p w14:paraId="433DCA95" w14:textId="77777777" w:rsidR="00514DAF" w:rsidRDefault="00514DAF" w:rsidP="00514DAF">
      <w:pPr>
        <w:ind w:firstLine="720"/>
        <w:jc w:val="both"/>
        <w:rPr>
          <w:rFonts w:ascii="Times New Roman" w:hAnsi="Times New Roman"/>
          <w:szCs w:val="24"/>
        </w:rPr>
      </w:pPr>
    </w:p>
    <w:p w14:paraId="411CF588" w14:textId="77777777" w:rsidR="00D05B33" w:rsidRDefault="00D05B33" w:rsidP="00D05B33">
      <w:pPr>
        <w:ind w:firstLine="720"/>
        <w:jc w:val="both"/>
        <w:rPr>
          <w:rFonts w:ascii="Times New Roman" w:hAnsi="Times New Roman"/>
          <w:szCs w:val="24"/>
        </w:rPr>
      </w:pPr>
      <w:r>
        <w:rPr>
          <w:rFonts w:ascii="Times New Roman" w:hAnsi="Times New Roman"/>
          <w:szCs w:val="24"/>
        </w:rPr>
        <w:t xml:space="preserve">DOD/FEA recommended that the Commission approve an annual deferred cost recovery mechanism and recovery rider for storm damage costs, rather than the past and proposed Company practice in which it incorporates storm damage recovery directly in base rates. (DOD/FEA Brief at p 9). </w:t>
      </w:r>
    </w:p>
    <w:p w14:paraId="0F042EE9" w14:textId="77777777" w:rsidR="00D05B33" w:rsidRDefault="00D05B33" w:rsidP="00D05B33">
      <w:pPr>
        <w:jc w:val="both"/>
        <w:rPr>
          <w:rFonts w:ascii="Times New Roman" w:hAnsi="Times New Roman"/>
          <w:szCs w:val="24"/>
        </w:rPr>
      </w:pPr>
    </w:p>
    <w:p w14:paraId="2E886594" w14:textId="77777777" w:rsidR="00D05B33" w:rsidRDefault="00D05B33" w:rsidP="00D05B33">
      <w:pPr>
        <w:ind w:firstLine="720"/>
        <w:jc w:val="both"/>
        <w:rPr>
          <w:rFonts w:ascii="Times New Roman" w:hAnsi="Times New Roman"/>
          <w:szCs w:val="24"/>
        </w:rPr>
      </w:pPr>
      <w:r>
        <w:rPr>
          <w:rFonts w:ascii="Times New Roman" w:hAnsi="Times New Roman"/>
          <w:szCs w:val="24"/>
        </w:rPr>
        <w:t>The Commission finds that it is appropriate to approve the continuation of the current ratemaking treatment of such costs.</w:t>
      </w:r>
    </w:p>
    <w:p w14:paraId="0AAD376B" w14:textId="77777777" w:rsidR="00885071" w:rsidRDefault="00885071" w:rsidP="006B277D">
      <w:pPr>
        <w:jc w:val="center"/>
        <w:rPr>
          <w:rFonts w:ascii="Times New Roman" w:hAnsi="Times New Roman"/>
        </w:rPr>
      </w:pPr>
    </w:p>
    <w:p w14:paraId="0663204C" w14:textId="112B5B50" w:rsidR="00710B30" w:rsidRDefault="00710B30" w:rsidP="00710B30">
      <w:pPr>
        <w:jc w:val="center"/>
        <w:rPr>
          <w:rFonts w:ascii="Times New Roman" w:hAnsi="Times New Roman"/>
        </w:rPr>
      </w:pPr>
      <w:r>
        <w:rPr>
          <w:rFonts w:ascii="Times New Roman" w:hAnsi="Times New Roman"/>
        </w:rPr>
        <w:t>3</w:t>
      </w:r>
      <w:r w:rsidR="0048337B">
        <w:rPr>
          <w:rFonts w:ascii="Times New Roman" w:hAnsi="Times New Roman"/>
        </w:rPr>
        <w:t>2</w:t>
      </w:r>
      <w:r>
        <w:rPr>
          <w:rFonts w:ascii="Times New Roman" w:hAnsi="Times New Roman"/>
        </w:rPr>
        <w:t>.</w:t>
      </w:r>
    </w:p>
    <w:p w14:paraId="23DABDD5" w14:textId="77777777" w:rsidR="00710B30" w:rsidRDefault="00710B30" w:rsidP="00710B30">
      <w:pPr>
        <w:jc w:val="center"/>
        <w:rPr>
          <w:rFonts w:ascii="Times New Roman" w:hAnsi="Times New Roman"/>
        </w:rPr>
      </w:pPr>
    </w:p>
    <w:p w14:paraId="19B14D07" w14:textId="4CEF0418" w:rsidR="00710B30" w:rsidRDefault="00710B30" w:rsidP="00710B30">
      <w:pPr>
        <w:ind w:firstLine="720"/>
        <w:jc w:val="both"/>
        <w:rPr>
          <w:rFonts w:ascii="Times New Roman" w:hAnsi="Times New Roman"/>
          <w:szCs w:val="24"/>
        </w:rPr>
      </w:pPr>
      <w:r>
        <w:rPr>
          <w:rFonts w:ascii="Times New Roman" w:hAnsi="Times New Roman"/>
          <w:szCs w:val="24"/>
        </w:rPr>
        <w:t>PIA Staff recommended that the Company’s revenue requirement be adjusted by $272,000 on a retail jurisdictional basis to reflect interest credits on minimum bank balances stating that these interest credits offset its bank fees. The Company did not reflect these interest credits in its rate case filing because the amount of the credits is uncertain since it cannot exactly predict the minimum bank balances. (Tr. 309, 1226-27). PIA Staff argued that since the bank fees the Company must pay are included in revenue requirement and collected from ratepayers</w:t>
      </w:r>
      <w:r w:rsidR="00622EDA">
        <w:rPr>
          <w:rFonts w:ascii="Times New Roman" w:hAnsi="Times New Roman"/>
          <w:szCs w:val="24"/>
        </w:rPr>
        <w:t>,</w:t>
      </w:r>
      <w:r>
        <w:rPr>
          <w:rFonts w:ascii="Times New Roman" w:hAnsi="Times New Roman"/>
          <w:szCs w:val="24"/>
        </w:rPr>
        <w:t xml:space="preserve"> it would be unfair for the Company to be able to keep the interest credits that offset the bank fees.</w:t>
      </w:r>
    </w:p>
    <w:p w14:paraId="41E4C54F" w14:textId="77777777" w:rsidR="00710B30" w:rsidRDefault="00710B30" w:rsidP="00710B30">
      <w:pPr>
        <w:jc w:val="both"/>
        <w:rPr>
          <w:rFonts w:ascii="Times New Roman" w:hAnsi="Times New Roman"/>
          <w:szCs w:val="24"/>
        </w:rPr>
      </w:pPr>
    </w:p>
    <w:p w14:paraId="00723148" w14:textId="5AB5B03A" w:rsidR="00710B30" w:rsidRDefault="00E23A3C" w:rsidP="00710B30">
      <w:pPr>
        <w:ind w:firstLine="720"/>
        <w:jc w:val="both"/>
        <w:rPr>
          <w:rFonts w:ascii="Times New Roman" w:hAnsi="Times New Roman"/>
          <w:szCs w:val="24"/>
        </w:rPr>
      </w:pPr>
      <w:r>
        <w:rPr>
          <w:rFonts w:ascii="Times New Roman" w:hAnsi="Times New Roman"/>
          <w:szCs w:val="24"/>
        </w:rPr>
        <w:t>T</w:t>
      </w:r>
      <w:r w:rsidR="00710B30">
        <w:rPr>
          <w:rFonts w:ascii="Times New Roman" w:hAnsi="Times New Roman"/>
          <w:szCs w:val="24"/>
        </w:rPr>
        <w:t xml:space="preserve">he </w:t>
      </w:r>
      <w:r>
        <w:rPr>
          <w:rFonts w:ascii="Times New Roman" w:hAnsi="Times New Roman"/>
          <w:szCs w:val="24"/>
        </w:rPr>
        <w:t xml:space="preserve">Proposed </w:t>
      </w:r>
      <w:r w:rsidR="00710B30">
        <w:rPr>
          <w:rFonts w:ascii="Times New Roman" w:hAnsi="Times New Roman"/>
          <w:szCs w:val="24"/>
        </w:rPr>
        <w:t>Agreement does not include this adjustment</w:t>
      </w:r>
      <w:r>
        <w:rPr>
          <w:rFonts w:ascii="Times New Roman" w:hAnsi="Times New Roman"/>
          <w:szCs w:val="24"/>
        </w:rPr>
        <w:t xml:space="preserve"> and the Commission finds that the Settlement Agreement as Modified is reasonable as a whole</w:t>
      </w:r>
      <w:r w:rsidR="00710B30">
        <w:rPr>
          <w:rFonts w:ascii="Times New Roman" w:hAnsi="Times New Roman"/>
          <w:szCs w:val="24"/>
        </w:rPr>
        <w:t>. Therefore, PIA Staff’s recommendation is denied.</w:t>
      </w:r>
    </w:p>
    <w:p w14:paraId="37D958DF" w14:textId="77777777" w:rsidR="00710B30" w:rsidRDefault="00710B30" w:rsidP="00710B30">
      <w:pPr>
        <w:jc w:val="center"/>
        <w:rPr>
          <w:rFonts w:ascii="Times New Roman" w:hAnsi="Times New Roman"/>
        </w:rPr>
      </w:pPr>
    </w:p>
    <w:p w14:paraId="283321F4" w14:textId="776F7602" w:rsidR="00710B30" w:rsidRDefault="00710B30" w:rsidP="00710B30">
      <w:pPr>
        <w:jc w:val="center"/>
        <w:rPr>
          <w:rFonts w:ascii="Times New Roman" w:hAnsi="Times New Roman"/>
        </w:rPr>
      </w:pPr>
      <w:r>
        <w:rPr>
          <w:rFonts w:ascii="Times New Roman" w:hAnsi="Times New Roman"/>
        </w:rPr>
        <w:t>3</w:t>
      </w:r>
      <w:r w:rsidR="0048337B">
        <w:rPr>
          <w:rFonts w:ascii="Times New Roman" w:hAnsi="Times New Roman"/>
        </w:rPr>
        <w:t>3</w:t>
      </w:r>
      <w:r>
        <w:rPr>
          <w:rFonts w:ascii="Times New Roman" w:hAnsi="Times New Roman"/>
        </w:rPr>
        <w:t>.</w:t>
      </w:r>
    </w:p>
    <w:p w14:paraId="4CAA62C2" w14:textId="77777777" w:rsidR="00710B30" w:rsidRDefault="00710B30" w:rsidP="00710B30">
      <w:pPr>
        <w:jc w:val="center"/>
        <w:rPr>
          <w:rFonts w:ascii="Times New Roman" w:hAnsi="Times New Roman"/>
        </w:rPr>
      </w:pPr>
    </w:p>
    <w:p w14:paraId="3F9B9381" w14:textId="7ABF48A2" w:rsidR="00710B30" w:rsidRDefault="00710B30" w:rsidP="00710B30">
      <w:pPr>
        <w:ind w:firstLine="720"/>
        <w:jc w:val="both"/>
        <w:rPr>
          <w:rFonts w:ascii="Times New Roman" w:hAnsi="Times New Roman"/>
        </w:rPr>
      </w:pPr>
      <w:r>
        <w:rPr>
          <w:rFonts w:ascii="Times New Roman" w:hAnsi="Times New Roman"/>
        </w:rPr>
        <w:t>T</w:t>
      </w:r>
      <w:r w:rsidRPr="00036E01">
        <w:rPr>
          <w:rFonts w:ascii="Times New Roman" w:hAnsi="Times New Roman"/>
        </w:rPr>
        <w:t>he Company state</w:t>
      </w:r>
      <w:r>
        <w:rPr>
          <w:rFonts w:ascii="Times New Roman" w:hAnsi="Times New Roman"/>
        </w:rPr>
        <w:t>d</w:t>
      </w:r>
      <w:r w:rsidRPr="00036E01">
        <w:rPr>
          <w:rFonts w:ascii="Times New Roman" w:hAnsi="Times New Roman"/>
        </w:rPr>
        <w:t xml:space="preserve"> that the total compensation plan, including stock-based at-risk compensation is market competitive and appropriately balances operational with financial focus for both short-term and longer term to drive employee behavior in ways that balance the interests of customers and shareholders alike. (</w:t>
      </w:r>
      <w:r>
        <w:rPr>
          <w:rFonts w:ascii="Times New Roman" w:hAnsi="Times New Roman"/>
        </w:rPr>
        <w:t>GPC Post Hearing Brief pp. 49-55</w:t>
      </w:r>
      <w:r w:rsidRPr="00036E01">
        <w:rPr>
          <w:rFonts w:ascii="Times New Roman" w:hAnsi="Times New Roman"/>
        </w:rPr>
        <w:t>)</w:t>
      </w:r>
      <w:r>
        <w:rPr>
          <w:rFonts w:ascii="Times New Roman" w:hAnsi="Times New Roman"/>
        </w:rPr>
        <w:t>.</w:t>
      </w:r>
      <w:r w:rsidRPr="00036E01">
        <w:rPr>
          <w:rFonts w:ascii="Times New Roman" w:hAnsi="Times New Roman"/>
        </w:rPr>
        <w:t xml:space="preserve"> Furthermore, the Company state</w:t>
      </w:r>
      <w:r>
        <w:rPr>
          <w:rFonts w:ascii="Times New Roman" w:hAnsi="Times New Roman"/>
        </w:rPr>
        <w:t>d</w:t>
      </w:r>
      <w:r w:rsidRPr="00036E01">
        <w:rPr>
          <w:rFonts w:ascii="Times New Roman" w:hAnsi="Times New Roman"/>
        </w:rPr>
        <w:t xml:space="preserve"> that moving at-risk pay to base pay would not be in the best interest of customers, however, as it would encourage employees to focus solely on short-term operational performance with no balance or accountability to long-term operational costs and efficiencies. (</w:t>
      </w:r>
      <w:r w:rsidRPr="00993C6B">
        <w:rPr>
          <w:rFonts w:ascii="Times New Roman" w:hAnsi="Times New Roman"/>
          <w:i/>
        </w:rPr>
        <w:t>Id</w:t>
      </w:r>
      <w:r w:rsidRPr="00036E01">
        <w:rPr>
          <w:rFonts w:ascii="Times New Roman" w:hAnsi="Times New Roman"/>
        </w:rPr>
        <w:t>.)</w:t>
      </w:r>
      <w:r>
        <w:rPr>
          <w:rFonts w:ascii="Times New Roman" w:hAnsi="Times New Roman"/>
        </w:rPr>
        <w:t>.</w:t>
      </w:r>
      <w:r w:rsidRPr="00036E01">
        <w:rPr>
          <w:rFonts w:ascii="Times New Roman" w:hAnsi="Times New Roman"/>
        </w:rPr>
        <w:t xml:space="preserve"> Therefore, </w:t>
      </w:r>
      <w:r w:rsidRPr="00036E01">
        <w:rPr>
          <w:rFonts w:ascii="Times New Roman" w:hAnsi="Times New Roman"/>
        </w:rPr>
        <w:lastRenderedPageBreak/>
        <w:t>the Company believes that stock-based compensation should be included in the Company’s revenue requirements and recovered in retail rates.</w:t>
      </w:r>
    </w:p>
    <w:p w14:paraId="4E768C56" w14:textId="77777777" w:rsidR="00710B30" w:rsidRPr="00036E01" w:rsidRDefault="00710B30" w:rsidP="00710B30">
      <w:pPr>
        <w:ind w:firstLine="720"/>
        <w:jc w:val="both"/>
        <w:rPr>
          <w:rFonts w:ascii="Times New Roman" w:hAnsi="Times New Roman"/>
        </w:rPr>
      </w:pPr>
    </w:p>
    <w:p w14:paraId="34F29C3B" w14:textId="77777777" w:rsidR="00710B30" w:rsidRDefault="00710B30" w:rsidP="00710B30">
      <w:pPr>
        <w:ind w:firstLine="720"/>
        <w:jc w:val="both"/>
        <w:rPr>
          <w:rFonts w:ascii="Times New Roman" w:hAnsi="Times New Roman"/>
        </w:rPr>
      </w:pPr>
      <w:r w:rsidRPr="00036E01">
        <w:rPr>
          <w:rFonts w:ascii="Times New Roman" w:hAnsi="Times New Roman"/>
        </w:rPr>
        <w:t>PIA Staff state</w:t>
      </w:r>
      <w:r>
        <w:rPr>
          <w:rFonts w:ascii="Times New Roman" w:hAnsi="Times New Roman"/>
        </w:rPr>
        <w:t>d</w:t>
      </w:r>
      <w:r w:rsidRPr="00036E01">
        <w:rPr>
          <w:rFonts w:ascii="Times New Roman" w:hAnsi="Times New Roman"/>
        </w:rPr>
        <w:t xml:space="preserve"> in its post hearing brief that the Company incurs the costs of these incentive compensation programs in an effort to improve the Southern Company financial performance for the benefit of shareholders, not for the benefit of ratepayers.  “For instance, the purpose of these incentives is not to improve customer service or meet other regulated utility service requirements. To the contrary, the objectives of maximizing shareholder value on the one hand and minimizing costs to ratepayers on the other hand, are generally opposed to each other. And the fact that maximizing shareholder value frequently does not serve the ratepayer interest of lower rates for the service shows the fatal flaw in the argument that these financial incentives should be seen as merely part of a compensation package, and as such, should be recovered from ratepayers.”</w:t>
      </w:r>
    </w:p>
    <w:p w14:paraId="5A6046DE" w14:textId="77777777" w:rsidR="00710B30" w:rsidRDefault="00710B30" w:rsidP="00710B30">
      <w:pPr>
        <w:ind w:firstLine="720"/>
        <w:jc w:val="both"/>
        <w:rPr>
          <w:rFonts w:ascii="Times New Roman" w:hAnsi="Times New Roman"/>
        </w:rPr>
      </w:pPr>
    </w:p>
    <w:p w14:paraId="3A8B9EC5" w14:textId="569DA555" w:rsidR="00710B30" w:rsidRDefault="00E23A3C" w:rsidP="00710B30">
      <w:pPr>
        <w:ind w:firstLine="720"/>
        <w:jc w:val="both"/>
        <w:rPr>
          <w:rFonts w:ascii="Times New Roman" w:hAnsi="Times New Roman"/>
          <w:szCs w:val="24"/>
        </w:rPr>
      </w:pPr>
      <w:r>
        <w:rPr>
          <w:rFonts w:ascii="Times New Roman" w:hAnsi="Times New Roman"/>
          <w:szCs w:val="24"/>
        </w:rPr>
        <w:t>T</w:t>
      </w:r>
      <w:r w:rsidR="00710B30">
        <w:rPr>
          <w:rFonts w:ascii="Times New Roman" w:hAnsi="Times New Roman"/>
          <w:szCs w:val="24"/>
        </w:rPr>
        <w:t xml:space="preserve">he </w:t>
      </w:r>
      <w:r>
        <w:rPr>
          <w:rFonts w:ascii="Times New Roman" w:hAnsi="Times New Roman"/>
          <w:szCs w:val="24"/>
        </w:rPr>
        <w:t xml:space="preserve">Proposed </w:t>
      </w:r>
      <w:r w:rsidR="00710B30">
        <w:rPr>
          <w:rFonts w:ascii="Times New Roman" w:hAnsi="Times New Roman"/>
          <w:szCs w:val="24"/>
        </w:rPr>
        <w:t xml:space="preserve">Agreement </w:t>
      </w:r>
      <w:r>
        <w:rPr>
          <w:rFonts w:ascii="Times New Roman" w:hAnsi="Times New Roman"/>
          <w:szCs w:val="24"/>
        </w:rPr>
        <w:t>does not include this adjustment and the Commission finds that the Settlement Agreement as Modified is reasonable as a whole</w:t>
      </w:r>
      <w:r w:rsidR="00710B30">
        <w:rPr>
          <w:rFonts w:ascii="Times New Roman" w:hAnsi="Times New Roman"/>
          <w:szCs w:val="24"/>
        </w:rPr>
        <w:t>. Therefore, PIA Staff’s recommendation to remove the stock compensation plan from rate base is denied.</w:t>
      </w:r>
    </w:p>
    <w:p w14:paraId="1956C987" w14:textId="77777777" w:rsidR="00710B30" w:rsidRDefault="00710B30" w:rsidP="00710B30">
      <w:pPr>
        <w:ind w:firstLine="720"/>
        <w:jc w:val="both"/>
        <w:rPr>
          <w:rFonts w:ascii="Times New Roman" w:hAnsi="Times New Roman"/>
        </w:rPr>
      </w:pPr>
    </w:p>
    <w:p w14:paraId="317E1157" w14:textId="77777777" w:rsidR="00710B30" w:rsidRPr="002F708B" w:rsidRDefault="00710B30" w:rsidP="00710B30">
      <w:pPr>
        <w:ind w:firstLine="720"/>
        <w:jc w:val="both"/>
        <w:rPr>
          <w:rFonts w:ascii="Times New Roman" w:hAnsi="Times New Roman"/>
        </w:rPr>
      </w:pPr>
      <w:r w:rsidRPr="002F708B">
        <w:rPr>
          <w:rFonts w:ascii="Times New Roman" w:hAnsi="Times New Roman"/>
        </w:rPr>
        <w:t>In conjunction with its adjustment to remove stock-based compensation, PIA Staff recommended that the Company’s proposed ARP payroll tax expense be reduced by $1.484 million, $1.629 million and $1.732 million in 2020, 2021 and 2022, respectively. (Tr. 1239, PIA Staff Exhibit 9).</w:t>
      </w:r>
    </w:p>
    <w:p w14:paraId="4C6C1384" w14:textId="77777777" w:rsidR="00710B30" w:rsidRPr="002F708B" w:rsidRDefault="00710B30" w:rsidP="00710B30">
      <w:pPr>
        <w:ind w:firstLine="720"/>
        <w:jc w:val="both"/>
        <w:rPr>
          <w:rFonts w:ascii="Times New Roman" w:hAnsi="Times New Roman"/>
        </w:rPr>
      </w:pPr>
    </w:p>
    <w:p w14:paraId="693591C8" w14:textId="069C0530" w:rsidR="00710B30" w:rsidRDefault="00710B30" w:rsidP="00710B30">
      <w:pPr>
        <w:ind w:firstLine="720"/>
        <w:jc w:val="both"/>
        <w:rPr>
          <w:rFonts w:ascii="Times New Roman" w:hAnsi="Times New Roman"/>
        </w:rPr>
      </w:pPr>
      <w:r>
        <w:rPr>
          <w:rFonts w:ascii="Times New Roman" w:hAnsi="Times New Roman"/>
        </w:rPr>
        <w:t xml:space="preserve">For the same reasons that </w:t>
      </w:r>
      <w:r w:rsidRPr="002F708B">
        <w:rPr>
          <w:rFonts w:ascii="Times New Roman" w:hAnsi="Times New Roman"/>
        </w:rPr>
        <w:t>PIA Staff’s adjustment to remove stock-based compensation was not adopted by the Commission, the corresponding payroll tax expense adjustment is denied.</w:t>
      </w:r>
    </w:p>
    <w:p w14:paraId="2A7FAD39" w14:textId="77777777" w:rsidR="00B10FC3" w:rsidRDefault="00B10FC3" w:rsidP="00710B30">
      <w:pPr>
        <w:ind w:firstLine="720"/>
        <w:jc w:val="both"/>
        <w:rPr>
          <w:rFonts w:ascii="Times New Roman" w:hAnsi="Times New Roman"/>
        </w:rPr>
      </w:pPr>
    </w:p>
    <w:p w14:paraId="472695E6" w14:textId="77777777" w:rsidR="00710B30" w:rsidRDefault="00710B30" w:rsidP="00710B30">
      <w:pPr>
        <w:ind w:firstLine="720"/>
        <w:jc w:val="both"/>
        <w:rPr>
          <w:rFonts w:ascii="Times New Roman" w:hAnsi="Times New Roman"/>
        </w:rPr>
      </w:pPr>
    </w:p>
    <w:p w14:paraId="2E517624" w14:textId="0A7BC0DF" w:rsidR="00710B30" w:rsidRDefault="00710B30" w:rsidP="00710B30">
      <w:pPr>
        <w:jc w:val="center"/>
        <w:rPr>
          <w:rFonts w:ascii="Times New Roman" w:hAnsi="Times New Roman"/>
        </w:rPr>
      </w:pPr>
      <w:r>
        <w:rPr>
          <w:rFonts w:ascii="Times New Roman" w:hAnsi="Times New Roman"/>
        </w:rPr>
        <w:t>3</w:t>
      </w:r>
      <w:r w:rsidR="0048337B">
        <w:rPr>
          <w:rFonts w:ascii="Times New Roman" w:hAnsi="Times New Roman"/>
        </w:rPr>
        <w:t>4</w:t>
      </w:r>
      <w:r>
        <w:rPr>
          <w:rFonts w:ascii="Times New Roman" w:hAnsi="Times New Roman"/>
        </w:rPr>
        <w:t>.</w:t>
      </w:r>
    </w:p>
    <w:p w14:paraId="062E17E7" w14:textId="77777777" w:rsidR="00710B30" w:rsidRDefault="00710B30" w:rsidP="00710B30">
      <w:pPr>
        <w:jc w:val="center"/>
        <w:rPr>
          <w:rFonts w:ascii="Times New Roman" w:hAnsi="Times New Roman"/>
        </w:rPr>
      </w:pPr>
    </w:p>
    <w:p w14:paraId="094A09B7" w14:textId="3D9E9B6D" w:rsidR="00710B30" w:rsidRDefault="00710B30" w:rsidP="00703DE3">
      <w:pPr>
        <w:ind w:firstLine="720"/>
        <w:jc w:val="both"/>
        <w:rPr>
          <w:rFonts w:ascii="Times New Roman" w:hAnsi="Times New Roman"/>
        </w:rPr>
      </w:pPr>
      <w:r>
        <w:rPr>
          <w:rFonts w:ascii="Times New Roman" w:hAnsi="Times New Roman"/>
        </w:rPr>
        <w:t xml:space="preserve">PIA </w:t>
      </w:r>
      <w:r w:rsidRPr="002F708B">
        <w:rPr>
          <w:rFonts w:ascii="Times New Roman" w:hAnsi="Times New Roman"/>
        </w:rPr>
        <w:t>Staff recommend</w:t>
      </w:r>
      <w:r>
        <w:rPr>
          <w:rFonts w:ascii="Times New Roman" w:hAnsi="Times New Roman"/>
        </w:rPr>
        <w:t>ed</w:t>
      </w:r>
      <w:r w:rsidRPr="002F708B">
        <w:rPr>
          <w:rFonts w:ascii="Times New Roman" w:hAnsi="Times New Roman"/>
        </w:rPr>
        <w:t xml:space="preserve"> removal of expenses related to Georgia Power’s executive financial planning program, which provides personal financial planning, estate planning, investment advice and tax planning and preparation to Georgia Power’s Chief Executive Officer, Chief Operating Officer, Vice-Presidents and Directors. (Tr. 1234). </w:t>
      </w:r>
      <w:r>
        <w:rPr>
          <w:rFonts w:ascii="Times New Roman" w:hAnsi="Times New Roman"/>
        </w:rPr>
        <w:t xml:space="preserve">PIA </w:t>
      </w:r>
      <w:r w:rsidRPr="002F708B">
        <w:rPr>
          <w:rFonts w:ascii="Times New Roman" w:hAnsi="Times New Roman"/>
        </w:rPr>
        <w:t xml:space="preserve">Staff’s position does not prohibit the Company from offering its program to top executives. The Company’s position is that ratepayers should pay for this </w:t>
      </w:r>
      <w:r w:rsidR="00E23A3C">
        <w:rPr>
          <w:rFonts w:ascii="Times New Roman" w:hAnsi="Times New Roman"/>
        </w:rPr>
        <w:t>cost</w:t>
      </w:r>
      <w:r w:rsidR="00E23A3C" w:rsidRPr="002F708B">
        <w:rPr>
          <w:rFonts w:ascii="Times New Roman" w:hAnsi="Times New Roman"/>
        </w:rPr>
        <w:t xml:space="preserve"> </w:t>
      </w:r>
      <w:r w:rsidRPr="002F708B">
        <w:rPr>
          <w:rFonts w:ascii="Times New Roman" w:hAnsi="Times New Roman"/>
        </w:rPr>
        <w:t>for its top executives</w:t>
      </w:r>
      <w:r>
        <w:rPr>
          <w:rFonts w:ascii="Times New Roman" w:hAnsi="Times New Roman"/>
        </w:rPr>
        <w:t xml:space="preserve"> as those executives provide value to the ratepayers</w:t>
      </w:r>
      <w:r w:rsidRPr="002F708B">
        <w:rPr>
          <w:rFonts w:ascii="Times New Roman" w:hAnsi="Times New Roman"/>
        </w:rPr>
        <w:t xml:space="preserve">. </w:t>
      </w:r>
      <w:r>
        <w:rPr>
          <w:rFonts w:ascii="Times New Roman" w:hAnsi="Times New Roman"/>
        </w:rPr>
        <w:t xml:space="preserve">PIA </w:t>
      </w:r>
      <w:r w:rsidRPr="002F708B">
        <w:rPr>
          <w:rFonts w:ascii="Times New Roman" w:hAnsi="Times New Roman"/>
        </w:rPr>
        <w:t xml:space="preserve">Staff recommends that shareholders be held responsible for paying for the program because this program is not necessary for the provision of safe and reliable electric service.  </w:t>
      </w:r>
    </w:p>
    <w:p w14:paraId="3AE39297" w14:textId="77777777" w:rsidR="006A5041" w:rsidRDefault="00710B30" w:rsidP="006A5041">
      <w:pPr>
        <w:ind w:firstLine="720"/>
        <w:jc w:val="both"/>
        <w:rPr>
          <w:rFonts w:ascii="Times New Roman" w:hAnsi="Times New Roman"/>
          <w:szCs w:val="24"/>
        </w:rPr>
      </w:pPr>
      <w:r>
        <w:rPr>
          <w:rFonts w:ascii="Times New Roman" w:hAnsi="Times New Roman"/>
        </w:rPr>
        <w:t xml:space="preserve"> </w:t>
      </w:r>
    </w:p>
    <w:p w14:paraId="3039F7C8" w14:textId="1F0AF08D" w:rsidR="006A5041" w:rsidRDefault="006A5041" w:rsidP="006A5041">
      <w:pPr>
        <w:ind w:firstLine="720"/>
        <w:jc w:val="both"/>
        <w:rPr>
          <w:rFonts w:ascii="Times New Roman" w:hAnsi="Times New Roman"/>
          <w:szCs w:val="24"/>
        </w:rPr>
      </w:pPr>
      <w:r>
        <w:rPr>
          <w:rFonts w:ascii="Times New Roman" w:hAnsi="Times New Roman"/>
          <w:szCs w:val="24"/>
        </w:rPr>
        <w:t>The Proposed Agreement does not include this adjustment and the Commission finds that the Settlement Agreement as Modified is reasonable as a whole. Therefore, PIA Staff’s recommendation is denied.</w:t>
      </w:r>
    </w:p>
    <w:p w14:paraId="186419D5" w14:textId="77777777" w:rsidR="00710B30" w:rsidRPr="00036E01" w:rsidRDefault="00710B30" w:rsidP="00703DE3">
      <w:pPr>
        <w:jc w:val="both"/>
        <w:rPr>
          <w:rFonts w:ascii="Times New Roman" w:hAnsi="Times New Roman"/>
        </w:rPr>
      </w:pPr>
    </w:p>
    <w:p w14:paraId="533FCBD5" w14:textId="7EC7C7BA" w:rsidR="00710B30" w:rsidRDefault="00710B30" w:rsidP="00710B30">
      <w:pPr>
        <w:jc w:val="center"/>
        <w:rPr>
          <w:rFonts w:ascii="Times New Roman" w:hAnsi="Times New Roman"/>
        </w:rPr>
      </w:pPr>
      <w:r>
        <w:rPr>
          <w:rFonts w:ascii="Times New Roman" w:hAnsi="Times New Roman"/>
        </w:rPr>
        <w:t>3</w:t>
      </w:r>
      <w:r w:rsidR="0048337B">
        <w:rPr>
          <w:rFonts w:ascii="Times New Roman" w:hAnsi="Times New Roman"/>
        </w:rPr>
        <w:t>5</w:t>
      </w:r>
      <w:r>
        <w:rPr>
          <w:rFonts w:ascii="Times New Roman" w:hAnsi="Times New Roman"/>
        </w:rPr>
        <w:t>.</w:t>
      </w:r>
    </w:p>
    <w:p w14:paraId="517B80D8" w14:textId="77777777" w:rsidR="00710B30" w:rsidRDefault="00710B30" w:rsidP="00710B30">
      <w:pPr>
        <w:jc w:val="center"/>
        <w:rPr>
          <w:rFonts w:ascii="Times New Roman" w:hAnsi="Times New Roman"/>
        </w:rPr>
      </w:pPr>
    </w:p>
    <w:p w14:paraId="0A0ACFD7" w14:textId="77777777" w:rsidR="00710B30" w:rsidRDefault="00710B30" w:rsidP="00710B30">
      <w:pPr>
        <w:ind w:firstLine="720"/>
        <w:jc w:val="both"/>
        <w:rPr>
          <w:rFonts w:ascii="Times New Roman" w:hAnsi="Times New Roman"/>
          <w:szCs w:val="24"/>
        </w:rPr>
      </w:pPr>
      <w:r>
        <w:rPr>
          <w:rFonts w:ascii="Times New Roman" w:hAnsi="Times New Roman"/>
          <w:szCs w:val="24"/>
        </w:rPr>
        <w:t xml:space="preserve">PIA Staff recommended that the Commission reject the Company’s requested uncollectibles expense stating that it is inconsistent with its experience in recent years. Even </w:t>
      </w:r>
      <w:r>
        <w:rPr>
          <w:rFonts w:ascii="Times New Roman" w:hAnsi="Times New Roman"/>
          <w:szCs w:val="24"/>
        </w:rPr>
        <w:lastRenderedPageBreak/>
        <w:t>though the Company has incurred less than $12 million in uncollectibles expense in 2017 and 2018, it requested an uncollectibles expense of $13.445 million in the test year, $14.003 million in 2020 and 2021 and $14.004 million in 2022. (Tr. 1240). PIA Staff argued that the Company failed to identify a key driver for the inconsistency.</w:t>
      </w:r>
    </w:p>
    <w:p w14:paraId="5BD417C3" w14:textId="77777777" w:rsidR="00710B30" w:rsidRDefault="00710B30" w:rsidP="00710B30">
      <w:pPr>
        <w:jc w:val="both"/>
        <w:rPr>
          <w:rFonts w:ascii="Times New Roman" w:hAnsi="Times New Roman"/>
          <w:szCs w:val="24"/>
        </w:rPr>
      </w:pPr>
    </w:p>
    <w:p w14:paraId="72A07791" w14:textId="41D9E562" w:rsidR="00710B30" w:rsidRDefault="006A5041" w:rsidP="00703DE3">
      <w:pPr>
        <w:ind w:firstLine="720"/>
        <w:jc w:val="both"/>
        <w:rPr>
          <w:rFonts w:ascii="Times New Roman" w:hAnsi="Times New Roman"/>
          <w:szCs w:val="24"/>
        </w:rPr>
      </w:pPr>
      <w:r>
        <w:rPr>
          <w:rFonts w:ascii="Times New Roman" w:hAnsi="Times New Roman"/>
          <w:szCs w:val="24"/>
        </w:rPr>
        <w:t>The Proposed Agreement does not include this adjustment and the Commission finds that the Settlement Agreement as Modified is reasonable as a whole. Therefore, PIA Staff’s recommendation is denied.</w:t>
      </w:r>
    </w:p>
    <w:p w14:paraId="1117ECD1" w14:textId="77777777" w:rsidR="00710B30" w:rsidRDefault="00710B30" w:rsidP="00710B30">
      <w:pPr>
        <w:rPr>
          <w:rFonts w:ascii="Times New Roman" w:hAnsi="Times New Roman"/>
        </w:rPr>
      </w:pPr>
    </w:p>
    <w:p w14:paraId="5DE4BA35" w14:textId="1F47118A" w:rsidR="00710B30" w:rsidRDefault="00710B30" w:rsidP="00710B30">
      <w:pPr>
        <w:jc w:val="center"/>
        <w:rPr>
          <w:rFonts w:ascii="Times New Roman" w:hAnsi="Times New Roman"/>
        </w:rPr>
      </w:pPr>
      <w:r>
        <w:rPr>
          <w:rFonts w:ascii="Times New Roman" w:hAnsi="Times New Roman"/>
        </w:rPr>
        <w:t>3</w:t>
      </w:r>
      <w:r w:rsidR="0048337B">
        <w:rPr>
          <w:rFonts w:ascii="Times New Roman" w:hAnsi="Times New Roman"/>
        </w:rPr>
        <w:t>6</w:t>
      </w:r>
      <w:r>
        <w:rPr>
          <w:rFonts w:ascii="Times New Roman" w:hAnsi="Times New Roman"/>
        </w:rPr>
        <w:t>.</w:t>
      </w:r>
    </w:p>
    <w:p w14:paraId="2AC86A82" w14:textId="77777777" w:rsidR="00710B30" w:rsidRDefault="00710B30" w:rsidP="00710B30">
      <w:pPr>
        <w:jc w:val="both"/>
        <w:rPr>
          <w:rFonts w:ascii="Times New Roman" w:hAnsi="Times New Roman"/>
        </w:rPr>
      </w:pPr>
    </w:p>
    <w:p w14:paraId="65AABC3D" w14:textId="77777777" w:rsidR="00710B30" w:rsidRPr="0025127B" w:rsidRDefault="00710B30" w:rsidP="00710B30">
      <w:pPr>
        <w:ind w:firstLine="720"/>
        <w:jc w:val="both"/>
        <w:rPr>
          <w:rFonts w:ascii="Times New Roman" w:hAnsi="Times New Roman"/>
        </w:rPr>
      </w:pPr>
      <w:r w:rsidRPr="0025127B">
        <w:rPr>
          <w:rFonts w:ascii="Times New Roman" w:hAnsi="Times New Roman"/>
        </w:rPr>
        <w:t>PIA</w:t>
      </w:r>
      <w:r>
        <w:rPr>
          <w:rFonts w:ascii="Times New Roman" w:hAnsi="Times New Roman"/>
        </w:rPr>
        <w:t xml:space="preserve"> </w:t>
      </w:r>
      <w:r w:rsidRPr="0025127B">
        <w:rPr>
          <w:rFonts w:ascii="Times New Roman" w:hAnsi="Times New Roman"/>
        </w:rPr>
        <w:t>S</w:t>
      </w:r>
      <w:r>
        <w:rPr>
          <w:rFonts w:ascii="Times New Roman" w:hAnsi="Times New Roman"/>
        </w:rPr>
        <w:t>taff</w:t>
      </w:r>
      <w:r w:rsidRPr="0025127B">
        <w:rPr>
          <w:rFonts w:ascii="Times New Roman" w:hAnsi="Times New Roman"/>
        </w:rPr>
        <w:t xml:space="preserve"> proposed an adjustment to revenue requirement for property tax true-up.  Georgia Power has booked a property tax true-up in 14 of the past 17 years.  (Tr. 1235, 2718).  Yet, Georgia Power declined to account for such a true-up in its rate case filing because it claimed that the true-up cannot be predicted with certainty.  (Tr. 2715).  PIA</w:t>
      </w:r>
      <w:r>
        <w:rPr>
          <w:rFonts w:ascii="Times New Roman" w:hAnsi="Times New Roman"/>
        </w:rPr>
        <w:t xml:space="preserve"> </w:t>
      </w:r>
      <w:r w:rsidRPr="0025127B">
        <w:rPr>
          <w:rFonts w:ascii="Times New Roman" w:hAnsi="Times New Roman"/>
        </w:rPr>
        <w:t>S</w:t>
      </w:r>
      <w:r>
        <w:rPr>
          <w:rFonts w:ascii="Times New Roman" w:hAnsi="Times New Roman"/>
        </w:rPr>
        <w:t>taff</w:t>
      </w:r>
      <w:r w:rsidRPr="0025127B">
        <w:rPr>
          <w:rFonts w:ascii="Times New Roman" w:hAnsi="Times New Roman"/>
        </w:rPr>
        <w:t xml:space="preserve"> argued that the Company’s approach is inconsistent both with Commission precedent and with how the Company has addressed other items within this very rate case.  The Commission adopted an adjustment for property tax refunds in the 2010 rate case (Docket No. 31958).  Therefore, the PIA</w:t>
      </w:r>
      <w:r>
        <w:rPr>
          <w:rFonts w:ascii="Times New Roman" w:hAnsi="Times New Roman"/>
        </w:rPr>
        <w:t xml:space="preserve"> </w:t>
      </w:r>
      <w:r w:rsidRPr="0025127B">
        <w:rPr>
          <w:rFonts w:ascii="Times New Roman" w:hAnsi="Times New Roman"/>
        </w:rPr>
        <w:t>S</w:t>
      </w:r>
      <w:r>
        <w:rPr>
          <w:rFonts w:ascii="Times New Roman" w:hAnsi="Times New Roman"/>
        </w:rPr>
        <w:t>taff</w:t>
      </w:r>
      <w:r w:rsidRPr="0025127B">
        <w:rPr>
          <w:rFonts w:ascii="Times New Roman" w:hAnsi="Times New Roman"/>
        </w:rPr>
        <w:t xml:space="preserve"> recommended that the Commission adopt </w:t>
      </w:r>
      <w:r>
        <w:rPr>
          <w:rFonts w:ascii="Times New Roman" w:hAnsi="Times New Roman"/>
        </w:rPr>
        <w:t xml:space="preserve">PIA </w:t>
      </w:r>
      <w:r w:rsidRPr="0025127B">
        <w:rPr>
          <w:rFonts w:ascii="Times New Roman" w:hAnsi="Times New Roman"/>
        </w:rPr>
        <w:t>Staff’s recommended $2.604 million adjustment to reflect a reduction in the Company’s revenue requirement equal to the 17-year average for property tax refunds received by Georgia Power.</w:t>
      </w:r>
    </w:p>
    <w:p w14:paraId="62046725" w14:textId="77777777" w:rsidR="00710B30" w:rsidRPr="0025127B" w:rsidRDefault="00710B30" w:rsidP="00710B30">
      <w:pPr>
        <w:jc w:val="both"/>
        <w:rPr>
          <w:rFonts w:ascii="Times New Roman" w:hAnsi="Times New Roman"/>
        </w:rPr>
      </w:pPr>
    </w:p>
    <w:p w14:paraId="7F66D917" w14:textId="1CC42A6A" w:rsidR="006A5041" w:rsidRDefault="006A5041" w:rsidP="006A5041">
      <w:pPr>
        <w:ind w:firstLine="720"/>
        <w:jc w:val="both"/>
        <w:rPr>
          <w:rFonts w:ascii="Times New Roman" w:hAnsi="Times New Roman"/>
          <w:szCs w:val="24"/>
        </w:rPr>
      </w:pPr>
      <w:r>
        <w:rPr>
          <w:rFonts w:ascii="Times New Roman" w:hAnsi="Times New Roman"/>
          <w:szCs w:val="24"/>
        </w:rPr>
        <w:t>The Proposed Agreement does not include this adjustment and the Commission finds that the Settlement Agreement as Modified is reasonable as a whole. Therefore, PIA Staff’s recommendation is denied.</w:t>
      </w:r>
    </w:p>
    <w:p w14:paraId="4DF5DBA7" w14:textId="77777777" w:rsidR="00B10FC3" w:rsidRDefault="00B10FC3" w:rsidP="00710B30">
      <w:pPr>
        <w:ind w:firstLine="720"/>
        <w:jc w:val="both"/>
        <w:rPr>
          <w:rFonts w:ascii="Times New Roman" w:hAnsi="Times New Roman"/>
        </w:rPr>
      </w:pPr>
    </w:p>
    <w:p w14:paraId="2A0AB9A6" w14:textId="233E7377" w:rsidR="00710B30" w:rsidRDefault="00710B30" w:rsidP="00710B30">
      <w:pPr>
        <w:jc w:val="center"/>
        <w:rPr>
          <w:rFonts w:ascii="Times New Roman" w:hAnsi="Times New Roman"/>
        </w:rPr>
      </w:pPr>
      <w:r w:rsidRPr="00993C6B">
        <w:rPr>
          <w:rFonts w:ascii="Times New Roman" w:hAnsi="Times New Roman"/>
        </w:rPr>
        <w:t>3</w:t>
      </w:r>
      <w:r w:rsidR="0048337B">
        <w:rPr>
          <w:rFonts w:ascii="Times New Roman" w:hAnsi="Times New Roman"/>
        </w:rPr>
        <w:t>7</w:t>
      </w:r>
      <w:r w:rsidRPr="00993C6B">
        <w:rPr>
          <w:rFonts w:ascii="Times New Roman" w:hAnsi="Times New Roman"/>
        </w:rPr>
        <w:t>.</w:t>
      </w:r>
    </w:p>
    <w:p w14:paraId="7880CBD9" w14:textId="77777777" w:rsidR="00710B30" w:rsidRDefault="00710B30" w:rsidP="00710B30">
      <w:pPr>
        <w:jc w:val="center"/>
        <w:rPr>
          <w:rFonts w:ascii="Times New Roman" w:hAnsi="Times New Roman"/>
        </w:rPr>
      </w:pPr>
    </w:p>
    <w:p w14:paraId="00194D08" w14:textId="77777777" w:rsidR="00710B30" w:rsidRPr="0025127B" w:rsidRDefault="00710B30" w:rsidP="00710B30">
      <w:pPr>
        <w:ind w:firstLine="720"/>
        <w:jc w:val="both"/>
        <w:rPr>
          <w:rFonts w:ascii="Times New Roman" w:hAnsi="Times New Roman"/>
        </w:rPr>
      </w:pPr>
      <w:r>
        <w:rPr>
          <w:rFonts w:ascii="Times New Roman" w:hAnsi="Times New Roman"/>
        </w:rPr>
        <w:t>PIA Staff’s proposed recommendation regarding sharing of responsibility for the CCR ARO amount for Plant Kraft and the benefits of donating Plant Kraft land to the Georgia Port Authority</w:t>
      </w:r>
      <w:r w:rsidRPr="0025127B">
        <w:rPr>
          <w:rFonts w:ascii="Times New Roman" w:hAnsi="Times New Roman"/>
        </w:rPr>
        <w:t xml:space="preserve"> stems from the authorization received by the Company from the Commission, in Docket No. 36989, to donate a parcel of land at Plant Kraft to the Georgia Ports Authority.  PIA</w:t>
      </w:r>
      <w:r>
        <w:rPr>
          <w:rFonts w:ascii="Times New Roman" w:hAnsi="Times New Roman"/>
        </w:rPr>
        <w:t xml:space="preserve"> </w:t>
      </w:r>
      <w:r w:rsidRPr="0025127B">
        <w:rPr>
          <w:rFonts w:ascii="Times New Roman" w:hAnsi="Times New Roman"/>
        </w:rPr>
        <w:t>S</w:t>
      </w:r>
      <w:r>
        <w:rPr>
          <w:rFonts w:ascii="Times New Roman" w:hAnsi="Times New Roman"/>
        </w:rPr>
        <w:t>taff</w:t>
      </w:r>
      <w:r w:rsidRPr="0025127B">
        <w:rPr>
          <w:rFonts w:ascii="Times New Roman" w:hAnsi="Times New Roman"/>
        </w:rPr>
        <w:t xml:space="preserve"> argued that both the State of Georgia (through the receipt of the land by the Ports Authority) and Georgia Power (through a boost to its reputation as a good corporate citizen) will benefit from the donation of the land.  </w:t>
      </w:r>
      <w:r>
        <w:rPr>
          <w:rFonts w:ascii="Times New Roman" w:hAnsi="Times New Roman"/>
        </w:rPr>
        <w:t>PIA Staff argued that r</w:t>
      </w:r>
      <w:r w:rsidRPr="0025127B">
        <w:rPr>
          <w:rFonts w:ascii="Times New Roman" w:hAnsi="Times New Roman"/>
        </w:rPr>
        <w:t>atepayers should receive a benefit as well</w:t>
      </w:r>
      <w:r>
        <w:rPr>
          <w:rFonts w:ascii="Times New Roman" w:hAnsi="Times New Roman"/>
        </w:rPr>
        <w:t xml:space="preserve">. </w:t>
      </w:r>
      <w:r w:rsidRPr="0025127B">
        <w:rPr>
          <w:rFonts w:ascii="Times New Roman" w:hAnsi="Times New Roman"/>
        </w:rPr>
        <w:t>The Plant Kraft land that is to be donated includes the site of the</w:t>
      </w:r>
      <w:r>
        <w:rPr>
          <w:rFonts w:ascii="Times New Roman" w:hAnsi="Times New Roman"/>
        </w:rPr>
        <w:t xml:space="preserve"> coal</w:t>
      </w:r>
      <w:r w:rsidRPr="0025127B">
        <w:rPr>
          <w:rFonts w:ascii="Times New Roman" w:hAnsi="Times New Roman"/>
        </w:rPr>
        <w:t xml:space="preserve"> ash pond which</w:t>
      </w:r>
      <w:r>
        <w:rPr>
          <w:rFonts w:ascii="Times New Roman" w:hAnsi="Times New Roman"/>
        </w:rPr>
        <w:t xml:space="preserve"> </w:t>
      </w:r>
      <w:r w:rsidRPr="0025127B">
        <w:rPr>
          <w:rFonts w:ascii="Times New Roman" w:hAnsi="Times New Roman"/>
        </w:rPr>
        <w:t xml:space="preserve">appears to have been remediated.  In order to provide some benefit to ratepayers as well as the Company and the State, </w:t>
      </w:r>
      <w:r>
        <w:rPr>
          <w:rFonts w:ascii="Times New Roman" w:hAnsi="Times New Roman"/>
        </w:rPr>
        <w:t xml:space="preserve">PIA Staff recommended that </w:t>
      </w:r>
      <w:r w:rsidRPr="0025127B">
        <w:rPr>
          <w:rFonts w:ascii="Times New Roman" w:hAnsi="Times New Roman"/>
        </w:rPr>
        <w:t xml:space="preserve">the Commission and the Company should consider applying some of the donation-related tax savings that would otherwise be assigned below-the-line to addressing the Plant Kraft ash pond clean-up cost. In the alternative, if the full benefit of donating that land is to be retained by shareholders, </w:t>
      </w:r>
      <w:r>
        <w:rPr>
          <w:rFonts w:ascii="Times New Roman" w:hAnsi="Times New Roman"/>
        </w:rPr>
        <w:t xml:space="preserve">PIA </w:t>
      </w:r>
      <w:r w:rsidRPr="0025127B">
        <w:rPr>
          <w:rFonts w:ascii="Times New Roman" w:hAnsi="Times New Roman"/>
        </w:rPr>
        <w:t xml:space="preserve">Staff's alternative recommendation </w:t>
      </w:r>
      <w:r>
        <w:rPr>
          <w:rFonts w:ascii="Times New Roman" w:hAnsi="Times New Roman"/>
        </w:rPr>
        <w:t>was</w:t>
      </w:r>
      <w:r w:rsidRPr="0025127B">
        <w:rPr>
          <w:rFonts w:ascii="Times New Roman" w:hAnsi="Times New Roman"/>
        </w:rPr>
        <w:t xml:space="preserve"> that the related ash pond</w:t>
      </w:r>
      <w:r>
        <w:rPr>
          <w:rFonts w:ascii="Times New Roman" w:hAnsi="Times New Roman"/>
        </w:rPr>
        <w:t xml:space="preserve"> </w:t>
      </w:r>
      <w:r w:rsidRPr="0025127B">
        <w:rPr>
          <w:rFonts w:ascii="Times New Roman" w:hAnsi="Times New Roman"/>
        </w:rPr>
        <w:t xml:space="preserve">remediation costs also be allocated to shareholders.  </w:t>
      </w:r>
      <w:r>
        <w:rPr>
          <w:rFonts w:ascii="Times New Roman" w:hAnsi="Times New Roman"/>
        </w:rPr>
        <w:t>PIA Staff asserted that t</w:t>
      </w:r>
      <w:r w:rsidRPr="0025127B">
        <w:rPr>
          <w:rFonts w:ascii="Times New Roman" w:hAnsi="Times New Roman"/>
        </w:rPr>
        <w:t>his is equitable because the clean-up appears to have increased the market value of the plant land that is to be donated</w:t>
      </w:r>
      <w:r>
        <w:rPr>
          <w:rFonts w:ascii="Times New Roman" w:hAnsi="Times New Roman"/>
        </w:rPr>
        <w:t xml:space="preserve"> and that i</w:t>
      </w:r>
      <w:r w:rsidRPr="0025127B">
        <w:rPr>
          <w:rFonts w:ascii="Times New Roman" w:hAnsi="Times New Roman"/>
        </w:rPr>
        <w:t xml:space="preserve">t would be unfair for ratepayers to pay for the clean-up and shareholders reap </w:t>
      </w:r>
      <w:r w:rsidRPr="0025127B">
        <w:rPr>
          <w:rFonts w:ascii="Times New Roman" w:hAnsi="Times New Roman"/>
        </w:rPr>
        <w:lastRenderedPageBreak/>
        <w:t>the full benefit of donating the land that increased in value as a result of the clean-up. (PIA</w:t>
      </w:r>
      <w:r>
        <w:rPr>
          <w:rFonts w:ascii="Times New Roman" w:hAnsi="Times New Roman"/>
        </w:rPr>
        <w:t xml:space="preserve"> </w:t>
      </w:r>
      <w:r w:rsidRPr="0025127B">
        <w:rPr>
          <w:rFonts w:ascii="Times New Roman" w:hAnsi="Times New Roman"/>
        </w:rPr>
        <w:t>S</w:t>
      </w:r>
      <w:r>
        <w:rPr>
          <w:rFonts w:ascii="Times New Roman" w:hAnsi="Times New Roman"/>
        </w:rPr>
        <w:t>taff</w:t>
      </w:r>
      <w:r w:rsidRPr="0025127B">
        <w:rPr>
          <w:rFonts w:ascii="Times New Roman" w:hAnsi="Times New Roman"/>
        </w:rPr>
        <w:t xml:space="preserve"> Brief p</w:t>
      </w:r>
      <w:r>
        <w:rPr>
          <w:rFonts w:ascii="Times New Roman" w:hAnsi="Times New Roman"/>
        </w:rPr>
        <w:t>.</w:t>
      </w:r>
      <w:r w:rsidRPr="0025127B">
        <w:rPr>
          <w:rFonts w:ascii="Times New Roman" w:hAnsi="Times New Roman"/>
        </w:rPr>
        <w:t xml:space="preserve"> 37)</w:t>
      </w:r>
    </w:p>
    <w:p w14:paraId="65ACCF7F" w14:textId="77777777" w:rsidR="00710B30" w:rsidRPr="0025127B" w:rsidRDefault="00710B30" w:rsidP="00710B30">
      <w:pPr>
        <w:rPr>
          <w:rFonts w:ascii="Times New Roman" w:hAnsi="Times New Roman"/>
        </w:rPr>
      </w:pPr>
    </w:p>
    <w:p w14:paraId="31A11FB1" w14:textId="77777777" w:rsidR="00710B30" w:rsidRPr="0025127B" w:rsidRDefault="00710B30" w:rsidP="00710B30">
      <w:pPr>
        <w:ind w:firstLine="720"/>
        <w:jc w:val="both"/>
        <w:rPr>
          <w:rFonts w:ascii="Times New Roman" w:hAnsi="Times New Roman"/>
        </w:rPr>
      </w:pPr>
      <w:r w:rsidRPr="0025127B">
        <w:rPr>
          <w:rFonts w:ascii="Times New Roman" w:hAnsi="Times New Roman"/>
        </w:rPr>
        <w:t>The Company propose</w:t>
      </w:r>
      <w:r>
        <w:rPr>
          <w:rFonts w:ascii="Times New Roman" w:hAnsi="Times New Roman"/>
        </w:rPr>
        <w:t>d</w:t>
      </w:r>
      <w:r w:rsidRPr="0025127B">
        <w:rPr>
          <w:rFonts w:ascii="Times New Roman" w:hAnsi="Times New Roman"/>
        </w:rPr>
        <w:t xml:space="preserve"> to follow the accounting requirements and process outlined in the Commission’s October 16, 2018 Order Approving Donation of Tract-1 Land at Plant Kraft in Docket No. 36989, which </w:t>
      </w:r>
      <w:r>
        <w:rPr>
          <w:rFonts w:ascii="Times New Roman" w:hAnsi="Times New Roman"/>
        </w:rPr>
        <w:t xml:space="preserve">the Company argued </w:t>
      </w:r>
      <w:r w:rsidRPr="0025127B">
        <w:rPr>
          <w:rFonts w:ascii="Times New Roman" w:hAnsi="Times New Roman"/>
        </w:rPr>
        <w:t>approved the Company’s donation and</w:t>
      </w:r>
      <w:r>
        <w:rPr>
          <w:rFonts w:ascii="Times New Roman" w:hAnsi="Times New Roman"/>
        </w:rPr>
        <w:t xml:space="preserve"> the</w:t>
      </w:r>
      <w:r w:rsidRPr="0025127B">
        <w:rPr>
          <w:rFonts w:ascii="Times New Roman" w:hAnsi="Times New Roman"/>
        </w:rPr>
        <w:t xml:space="preserve"> proposed accounting treatment for the Plant Kraft land. See Order on Georgia Power Company’s 2016 Annual Surveillance Report, Docket No. 36989 (Jan. 19, 2018) at 2. </w:t>
      </w:r>
    </w:p>
    <w:p w14:paraId="0D49A7A4" w14:textId="77777777" w:rsidR="00710B30" w:rsidRPr="0025127B" w:rsidRDefault="00710B30" w:rsidP="00710B30">
      <w:pPr>
        <w:jc w:val="center"/>
        <w:rPr>
          <w:rFonts w:ascii="Times New Roman" w:hAnsi="Times New Roman"/>
        </w:rPr>
      </w:pPr>
    </w:p>
    <w:p w14:paraId="11C4C278" w14:textId="77777777" w:rsidR="006A5041" w:rsidRDefault="006A5041" w:rsidP="006A5041">
      <w:pPr>
        <w:ind w:firstLine="720"/>
        <w:jc w:val="both"/>
        <w:rPr>
          <w:rFonts w:ascii="Times New Roman" w:hAnsi="Times New Roman"/>
          <w:szCs w:val="24"/>
        </w:rPr>
      </w:pPr>
      <w:r>
        <w:rPr>
          <w:rFonts w:ascii="Times New Roman" w:hAnsi="Times New Roman"/>
          <w:szCs w:val="24"/>
        </w:rPr>
        <w:t>The Proposed Agreement does not include this adjustment and the Commission finds that the Settlement Agreement as Modified is reasonable as a whole. Therefore, PIA Staff’s recommendation is denied.</w:t>
      </w:r>
    </w:p>
    <w:p w14:paraId="5DB0E5FD" w14:textId="075FBF84" w:rsidR="00710B30" w:rsidRDefault="00710B30" w:rsidP="00710B30">
      <w:pPr>
        <w:ind w:firstLine="720"/>
        <w:jc w:val="both"/>
        <w:rPr>
          <w:rFonts w:ascii="Times New Roman" w:hAnsi="Times New Roman"/>
        </w:rPr>
      </w:pPr>
      <w:r w:rsidRPr="0025127B">
        <w:rPr>
          <w:rFonts w:ascii="Times New Roman" w:hAnsi="Times New Roman"/>
        </w:rPr>
        <w:t xml:space="preserve"> </w:t>
      </w:r>
    </w:p>
    <w:p w14:paraId="13AEE1F3" w14:textId="5B637100" w:rsidR="00224450" w:rsidRDefault="00710B30" w:rsidP="003C0206">
      <w:pPr>
        <w:jc w:val="center"/>
        <w:rPr>
          <w:rFonts w:ascii="Times New Roman" w:hAnsi="Times New Roman"/>
        </w:rPr>
      </w:pPr>
      <w:r>
        <w:rPr>
          <w:rFonts w:ascii="Times New Roman" w:hAnsi="Times New Roman"/>
        </w:rPr>
        <w:t>3</w:t>
      </w:r>
      <w:r w:rsidR="0048337B">
        <w:rPr>
          <w:rFonts w:ascii="Times New Roman" w:hAnsi="Times New Roman"/>
        </w:rPr>
        <w:t>8</w:t>
      </w:r>
      <w:r>
        <w:rPr>
          <w:rFonts w:ascii="Times New Roman" w:hAnsi="Times New Roman"/>
        </w:rPr>
        <w:t>.</w:t>
      </w:r>
    </w:p>
    <w:p w14:paraId="670D31BD" w14:textId="7420EAD3" w:rsidR="00224450" w:rsidRDefault="00224450" w:rsidP="003C0206">
      <w:pPr>
        <w:jc w:val="center"/>
        <w:rPr>
          <w:rFonts w:ascii="Times New Roman" w:hAnsi="Times New Roman"/>
        </w:rPr>
      </w:pPr>
    </w:p>
    <w:p w14:paraId="24037061" w14:textId="62E54099" w:rsidR="00224450" w:rsidRDefault="00224450" w:rsidP="00224450">
      <w:pPr>
        <w:ind w:firstLine="720"/>
        <w:jc w:val="both"/>
        <w:rPr>
          <w:rFonts w:ascii="Times New Roman" w:hAnsi="Times New Roman"/>
          <w:szCs w:val="24"/>
        </w:rPr>
      </w:pPr>
      <w:r>
        <w:rPr>
          <w:rFonts w:ascii="Times New Roman" w:hAnsi="Times New Roman"/>
          <w:szCs w:val="24"/>
        </w:rPr>
        <w:t xml:space="preserve">The Company used the minimum distribution system (“MDS”) methodology in its </w:t>
      </w:r>
      <w:r w:rsidR="00725AEA">
        <w:rPr>
          <w:rFonts w:ascii="Times New Roman" w:hAnsi="Times New Roman"/>
          <w:szCs w:val="24"/>
        </w:rPr>
        <w:t>Cost of Service Study (“</w:t>
      </w:r>
      <w:r>
        <w:rPr>
          <w:rFonts w:ascii="Times New Roman" w:hAnsi="Times New Roman"/>
          <w:szCs w:val="24"/>
        </w:rPr>
        <w:t>COSS</w:t>
      </w:r>
      <w:r w:rsidR="00725AEA">
        <w:rPr>
          <w:rFonts w:ascii="Times New Roman" w:hAnsi="Times New Roman"/>
          <w:szCs w:val="24"/>
        </w:rPr>
        <w:t>”)</w:t>
      </w:r>
      <w:r>
        <w:rPr>
          <w:rFonts w:ascii="Times New Roman" w:hAnsi="Times New Roman"/>
          <w:szCs w:val="24"/>
        </w:rPr>
        <w:t xml:space="preserve"> to separate customer-related distribution system costs from demand-related costs that customers place on the system. The Company explained that the MDS is a key input of its COSS as it separates the cost of line transformers, primary and secondary lines, and equipment, into demand-related costs, which are directly related to customer’s peak load requirements, and customer-related costs, which are independent of customers’ peak load requirements. Company Witness Vogt explained that Bonbright, NARUC, and several utilities around the country acknowledge MDS as an acceptable method for allocating customer-related distribution costs. </w:t>
      </w:r>
    </w:p>
    <w:p w14:paraId="32FAFDB9" w14:textId="77777777" w:rsidR="00224450" w:rsidRDefault="00224450" w:rsidP="00993C6B">
      <w:pPr>
        <w:ind w:firstLine="720"/>
        <w:jc w:val="both"/>
        <w:rPr>
          <w:rFonts w:ascii="Times New Roman" w:hAnsi="Times New Roman"/>
          <w:szCs w:val="24"/>
        </w:rPr>
      </w:pPr>
    </w:p>
    <w:p w14:paraId="61E47CCB" w14:textId="77777777" w:rsidR="00224450" w:rsidRDefault="00224450" w:rsidP="00993C6B">
      <w:pPr>
        <w:ind w:firstLine="720"/>
        <w:jc w:val="both"/>
        <w:rPr>
          <w:rFonts w:ascii="Times New Roman" w:hAnsi="Times New Roman"/>
          <w:szCs w:val="24"/>
        </w:rPr>
      </w:pPr>
      <w:r>
        <w:rPr>
          <w:rFonts w:ascii="Times New Roman" w:hAnsi="Times New Roman"/>
          <w:szCs w:val="24"/>
        </w:rPr>
        <w:t xml:space="preserve">PIA Staff, GIPL/Southface/Vote Solar, and Sierra Club recommended that the Commission require that the Company use the Basic Customer Method instead of MDS. PIA Staff disagreed with the Company’s use of MDS for determining distribution costs caused by the need to serve customers separate from customer demand placed on the system. Citing Bonbright, PIA Staff faults the MDS technique because it does not vary with the number of customers and loads customers with more fixed system costs. PIA Staff estimated that close to $8 of the $20.87/month customer costs calculated in the COSS are MDS related. PIA Staff recommended the Company remove the allocation of the MDS costs to customer service or strip out the MDS effects on the monthly basic service charge it proposes. </w:t>
      </w:r>
    </w:p>
    <w:p w14:paraId="159468BE" w14:textId="77777777" w:rsidR="00224450" w:rsidRDefault="00224450">
      <w:pPr>
        <w:ind w:firstLine="720"/>
        <w:jc w:val="both"/>
        <w:rPr>
          <w:rFonts w:ascii="Times New Roman" w:hAnsi="Times New Roman"/>
          <w:szCs w:val="24"/>
        </w:rPr>
      </w:pPr>
    </w:p>
    <w:p w14:paraId="7982F133" w14:textId="367BB0A9" w:rsidR="00224450" w:rsidRDefault="00224450">
      <w:pPr>
        <w:ind w:firstLine="720"/>
        <w:jc w:val="both"/>
        <w:rPr>
          <w:rFonts w:ascii="Times New Roman" w:hAnsi="Times New Roman"/>
          <w:szCs w:val="24"/>
        </w:rPr>
      </w:pPr>
      <w:r>
        <w:rPr>
          <w:rFonts w:ascii="Times New Roman" w:hAnsi="Times New Roman"/>
          <w:szCs w:val="24"/>
        </w:rPr>
        <w:t>The Company</w:t>
      </w:r>
      <w:r w:rsidR="007D388F">
        <w:rPr>
          <w:rFonts w:ascii="Times New Roman" w:hAnsi="Times New Roman"/>
          <w:szCs w:val="24"/>
        </w:rPr>
        <w:t>, in its rebuttal testimony</w:t>
      </w:r>
      <w:r w:rsidR="00807350">
        <w:rPr>
          <w:rFonts w:ascii="Times New Roman" w:hAnsi="Times New Roman"/>
          <w:szCs w:val="24"/>
        </w:rPr>
        <w:t>,</w:t>
      </w:r>
      <w:r w:rsidR="007D388F">
        <w:rPr>
          <w:rFonts w:ascii="Times New Roman" w:hAnsi="Times New Roman"/>
          <w:szCs w:val="24"/>
        </w:rPr>
        <w:t xml:space="preserve"> argued that </w:t>
      </w:r>
      <w:r>
        <w:rPr>
          <w:rFonts w:ascii="Times New Roman" w:hAnsi="Times New Roman"/>
          <w:szCs w:val="24"/>
        </w:rPr>
        <w:t>MDS is more comprehensive than the Basic Customer Method. According to the Company, MDS includes the costs identified using the Basic Customer Method, and also includes the cost of equipment necessary to provide safe and reliable service, which is not based on a customer’s demand and should be allocated as customer-related. (</w:t>
      </w:r>
      <w:r>
        <w:rPr>
          <w:rFonts w:ascii="Times New Roman" w:hAnsi="Times New Roman"/>
          <w:szCs w:val="24"/>
          <w:u w:val="single"/>
        </w:rPr>
        <w:t>See</w:t>
      </w:r>
      <w:r>
        <w:rPr>
          <w:rFonts w:ascii="Times New Roman" w:hAnsi="Times New Roman"/>
          <w:szCs w:val="24"/>
        </w:rPr>
        <w:t xml:space="preserve"> Tr. 2870.) The Company opposes classifying or collecting fixed customer-related costs through the variable energy portion of customer rates. The Company requests permission to continue relying upon the MDS methodology arguing that this approach yields a fair and equitable assignment of costs to customers. </w:t>
      </w:r>
    </w:p>
    <w:p w14:paraId="2F6C29DD" w14:textId="77777777" w:rsidR="00224450" w:rsidRDefault="00224450">
      <w:pPr>
        <w:jc w:val="both"/>
        <w:rPr>
          <w:rFonts w:ascii="Times New Roman" w:hAnsi="Times New Roman"/>
          <w:szCs w:val="24"/>
        </w:rPr>
      </w:pPr>
    </w:p>
    <w:p w14:paraId="2DDD9ED5" w14:textId="6B6A39B2" w:rsidR="00224450" w:rsidRDefault="00E21136" w:rsidP="00993C6B">
      <w:pPr>
        <w:ind w:firstLine="720"/>
        <w:jc w:val="both"/>
        <w:rPr>
          <w:rFonts w:ascii="Times New Roman" w:hAnsi="Times New Roman"/>
          <w:spacing w:val="-3"/>
          <w:szCs w:val="24"/>
        </w:rPr>
      </w:pPr>
      <w:r>
        <w:rPr>
          <w:rFonts w:ascii="Times New Roman" w:hAnsi="Times New Roman"/>
          <w:spacing w:val="-3"/>
          <w:szCs w:val="24"/>
        </w:rPr>
        <w:lastRenderedPageBreak/>
        <w:t>Commission approval of the Settlement Agreement as modified allows for</w:t>
      </w:r>
      <w:r w:rsidR="00224450">
        <w:rPr>
          <w:rFonts w:ascii="Times New Roman" w:hAnsi="Times New Roman"/>
          <w:spacing w:val="-3"/>
          <w:szCs w:val="24"/>
        </w:rPr>
        <w:t xml:space="preserve"> the Company’s continued use of the MDS methodology to determine the customer-related portion of distribution costs. </w:t>
      </w:r>
    </w:p>
    <w:p w14:paraId="154914A2" w14:textId="77777777" w:rsidR="00224450" w:rsidRDefault="00224450" w:rsidP="00224450">
      <w:pPr>
        <w:jc w:val="center"/>
        <w:rPr>
          <w:rFonts w:ascii="Times New Roman" w:hAnsi="Times New Roman"/>
        </w:rPr>
      </w:pPr>
    </w:p>
    <w:p w14:paraId="0E3C9F59" w14:textId="79B46528" w:rsidR="00710B30" w:rsidRDefault="0048337B" w:rsidP="00710B30">
      <w:pPr>
        <w:jc w:val="center"/>
        <w:rPr>
          <w:rFonts w:ascii="Times New Roman" w:hAnsi="Times New Roman"/>
        </w:rPr>
      </w:pPr>
      <w:r>
        <w:rPr>
          <w:rFonts w:ascii="Times New Roman" w:hAnsi="Times New Roman"/>
        </w:rPr>
        <w:t>39</w:t>
      </w:r>
      <w:r w:rsidR="00710B30">
        <w:rPr>
          <w:rFonts w:ascii="Times New Roman" w:hAnsi="Times New Roman"/>
        </w:rPr>
        <w:t>.</w:t>
      </w:r>
    </w:p>
    <w:p w14:paraId="46B9D127" w14:textId="77777777" w:rsidR="00710B30" w:rsidRDefault="00710B30" w:rsidP="00710B30">
      <w:pPr>
        <w:jc w:val="center"/>
        <w:rPr>
          <w:rFonts w:ascii="Times New Roman" w:hAnsi="Times New Roman"/>
        </w:rPr>
      </w:pPr>
    </w:p>
    <w:p w14:paraId="6199AB5E" w14:textId="43B6F299" w:rsidR="00710B30" w:rsidRPr="00BE40DE" w:rsidRDefault="00710B30" w:rsidP="00710B30">
      <w:pPr>
        <w:ind w:firstLine="720"/>
        <w:jc w:val="both"/>
        <w:rPr>
          <w:rFonts w:ascii="Times New Roman" w:hAnsi="Times New Roman"/>
        </w:rPr>
      </w:pPr>
      <w:r w:rsidRPr="00BE40DE">
        <w:rPr>
          <w:rFonts w:ascii="Times New Roman" w:hAnsi="Times New Roman"/>
        </w:rPr>
        <w:t>PIA Sta</w:t>
      </w:r>
      <w:r>
        <w:rPr>
          <w:rFonts w:ascii="Times New Roman" w:hAnsi="Times New Roman"/>
        </w:rPr>
        <w:t>ff</w:t>
      </w:r>
      <w:r w:rsidRPr="00BE40DE">
        <w:rPr>
          <w:rFonts w:ascii="Times New Roman" w:hAnsi="Times New Roman"/>
        </w:rPr>
        <w:t xml:space="preserve"> recommend</w:t>
      </w:r>
      <w:r>
        <w:rPr>
          <w:rFonts w:ascii="Times New Roman" w:hAnsi="Times New Roman"/>
        </w:rPr>
        <w:t>ed</w:t>
      </w:r>
      <w:r w:rsidRPr="00BE40DE">
        <w:rPr>
          <w:rFonts w:ascii="Times New Roman" w:hAnsi="Times New Roman"/>
        </w:rPr>
        <w:t xml:space="preserve"> that the Commission “require Georgia Power to perform an evaluation of the use of monthly coincident peaks to reflect more precisely the months where there is the potential for summer and winter peak demands to occur.</w:t>
      </w:r>
      <w:r w:rsidR="00E525B2">
        <w:rPr>
          <w:rFonts w:ascii="Times New Roman" w:hAnsi="Times New Roman"/>
        </w:rPr>
        <w:t>”</w:t>
      </w:r>
      <w:r w:rsidRPr="00BE40DE">
        <w:rPr>
          <w:rFonts w:ascii="Times New Roman" w:hAnsi="Times New Roman"/>
        </w:rPr>
        <w:t xml:space="preserve"> PIA Staff </w:t>
      </w:r>
      <w:r>
        <w:rPr>
          <w:rFonts w:ascii="Times New Roman" w:hAnsi="Times New Roman"/>
        </w:rPr>
        <w:t>further</w:t>
      </w:r>
      <w:r w:rsidRPr="00BE40DE">
        <w:rPr>
          <w:rFonts w:ascii="Times New Roman" w:hAnsi="Times New Roman"/>
        </w:rPr>
        <w:t xml:space="preserve"> explain</w:t>
      </w:r>
      <w:r>
        <w:rPr>
          <w:rFonts w:ascii="Times New Roman" w:hAnsi="Times New Roman"/>
        </w:rPr>
        <w:t>ed</w:t>
      </w:r>
      <w:r w:rsidRPr="00BE40DE">
        <w:rPr>
          <w:rFonts w:ascii="Times New Roman" w:hAnsi="Times New Roman"/>
        </w:rPr>
        <w:t xml:space="preserve"> that “this could be done by utilization of an up to 8 CP approach, reflecting a proper balance of assignment of fixed costs to both summertime and wintertime peaks.”  (PIA Staff Brief at pp. 43-44).</w:t>
      </w:r>
    </w:p>
    <w:p w14:paraId="5F502C0F" w14:textId="77777777" w:rsidR="00710B30" w:rsidRPr="00BE40DE" w:rsidRDefault="00710B30" w:rsidP="00710B30">
      <w:pPr>
        <w:jc w:val="center"/>
        <w:rPr>
          <w:rFonts w:ascii="Times New Roman" w:hAnsi="Times New Roman"/>
        </w:rPr>
      </w:pPr>
    </w:p>
    <w:p w14:paraId="21B71F68" w14:textId="172C8024" w:rsidR="00710B30" w:rsidRDefault="00710B30" w:rsidP="00710B30">
      <w:pPr>
        <w:ind w:firstLine="720"/>
        <w:jc w:val="both"/>
        <w:rPr>
          <w:rFonts w:ascii="Times New Roman" w:hAnsi="Times New Roman"/>
        </w:rPr>
      </w:pPr>
      <w:r w:rsidRPr="00BE40DE">
        <w:rPr>
          <w:rFonts w:ascii="Times New Roman" w:hAnsi="Times New Roman"/>
        </w:rPr>
        <w:t>The Company refutes the idea that a non-coincident peak is an inappropriate base for setting a demand charge. There are multiple demand costs to cover in a demand charge, including distribution costs, which are based on a non-coincident peak. (Id.) Using the Company’s existing time of use price signal keeps the rate simpler and easy to understand and helps customers avoid extreme bill swings in summer months. (Id.)  (Company Brief at p. 70).</w:t>
      </w:r>
    </w:p>
    <w:p w14:paraId="093C9819" w14:textId="77777777" w:rsidR="00710B30" w:rsidRDefault="00710B30" w:rsidP="00710B30">
      <w:pPr>
        <w:ind w:firstLine="720"/>
        <w:jc w:val="both"/>
        <w:rPr>
          <w:rFonts w:ascii="Times New Roman" w:hAnsi="Times New Roman"/>
        </w:rPr>
      </w:pPr>
    </w:p>
    <w:p w14:paraId="489EC16B" w14:textId="384E51B9" w:rsidR="00710B30" w:rsidRDefault="00170DA7" w:rsidP="003E7973">
      <w:pPr>
        <w:ind w:firstLine="720"/>
        <w:jc w:val="both"/>
        <w:rPr>
          <w:rFonts w:ascii="Times New Roman" w:hAnsi="Times New Roman"/>
        </w:rPr>
      </w:pPr>
      <w:r>
        <w:rPr>
          <w:rFonts w:ascii="Times New Roman" w:hAnsi="Times New Roman"/>
        </w:rPr>
        <w:t>T</w:t>
      </w:r>
      <w:r w:rsidR="00710B30">
        <w:rPr>
          <w:rFonts w:ascii="Times New Roman" w:hAnsi="Times New Roman"/>
        </w:rPr>
        <w:t xml:space="preserve">he Commission accepts the Settlement Agreement as modified and </w:t>
      </w:r>
      <w:r w:rsidR="00E21136">
        <w:rPr>
          <w:rFonts w:ascii="Times New Roman" w:hAnsi="Times New Roman"/>
        </w:rPr>
        <w:t>requires no changes at this time</w:t>
      </w:r>
      <w:r w:rsidR="00710B30">
        <w:rPr>
          <w:rFonts w:ascii="Times New Roman" w:hAnsi="Times New Roman"/>
        </w:rPr>
        <w:t xml:space="preserve"> as it relates to this issue. </w:t>
      </w:r>
    </w:p>
    <w:p w14:paraId="0D6F0901" w14:textId="77777777" w:rsidR="00710B30" w:rsidRDefault="00710B30" w:rsidP="00710B30">
      <w:pPr>
        <w:jc w:val="center"/>
        <w:rPr>
          <w:rFonts w:ascii="Times New Roman" w:hAnsi="Times New Roman"/>
        </w:rPr>
      </w:pPr>
    </w:p>
    <w:p w14:paraId="77B92AC0" w14:textId="72C13A05" w:rsidR="00710B30" w:rsidRDefault="00710B30" w:rsidP="00710B30">
      <w:pPr>
        <w:jc w:val="center"/>
        <w:rPr>
          <w:rFonts w:ascii="Times New Roman" w:hAnsi="Times New Roman"/>
        </w:rPr>
      </w:pPr>
      <w:r>
        <w:rPr>
          <w:rFonts w:ascii="Times New Roman" w:hAnsi="Times New Roman"/>
        </w:rPr>
        <w:t>4</w:t>
      </w:r>
      <w:r w:rsidR="0048337B">
        <w:rPr>
          <w:rFonts w:ascii="Times New Roman" w:hAnsi="Times New Roman"/>
        </w:rPr>
        <w:t>0</w:t>
      </w:r>
      <w:r>
        <w:rPr>
          <w:rFonts w:ascii="Times New Roman" w:hAnsi="Times New Roman"/>
        </w:rPr>
        <w:t>.</w:t>
      </w:r>
    </w:p>
    <w:p w14:paraId="15A9FB38" w14:textId="77777777" w:rsidR="00710B30" w:rsidRDefault="00710B30" w:rsidP="00710B30">
      <w:pPr>
        <w:jc w:val="center"/>
        <w:rPr>
          <w:rFonts w:ascii="Times New Roman" w:hAnsi="Times New Roman"/>
        </w:rPr>
      </w:pPr>
    </w:p>
    <w:p w14:paraId="35174360" w14:textId="77777777" w:rsidR="00710B30" w:rsidRPr="00BE40DE" w:rsidRDefault="00710B30" w:rsidP="00710B30">
      <w:pPr>
        <w:ind w:firstLine="720"/>
        <w:jc w:val="both"/>
        <w:rPr>
          <w:rFonts w:ascii="Times New Roman" w:hAnsi="Times New Roman"/>
        </w:rPr>
      </w:pPr>
      <w:r w:rsidRPr="00BE40DE">
        <w:rPr>
          <w:rFonts w:ascii="Times New Roman" w:hAnsi="Times New Roman"/>
        </w:rPr>
        <w:t>PIA Staff request</w:t>
      </w:r>
      <w:r>
        <w:rPr>
          <w:rFonts w:ascii="Times New Roman" w:hAnsi="Times New Roman"/>
        </w:rPr>
        <w:t>ed</w:t>
      </w:r>
      <w:r w:rsidRPr="00BE40DE">
        <w:rPr>
          <w:rFonts w:ascii="Times New Roman" w:hAnsi="Times New Roman"/>
        </w:rPr>
        <w:t xml:space="preserve"> that the Commission “order the Company to revise its wintertime declining block rates to a flat energy rate.  Just as the inclining block rate structure during the summer sends a price signal that as consumption increases, so likely do system costs, a declining block rate structure sends the opposite price signal that as consumption increases, system costs decline.”  (PIA </w:t>
      </w:r>
      <w:r>
        <w:rPr>
          <w:rFonts w:ascii="Times New Roman" w:hAnsi="Times New Roman"/>
        </w:rPr>
        <w:t>Staff Post Hearing</w:t>
      </w:r>
      <w:r w:rsidRPr="00BE40DE">
        <w:rPr>
          <w:rFonts w:ascii="Times New Roman" w:hAnsi="Times New Roman"/>
        </w:rPr>
        <w:t xml:space="preserve"> Brief at p. 44).</w:t>
      </w:r>
    </w:p>
    <w:p w14:paraId="58807DE9" w14:textId="77777777" w:rsidR="00710B30" w:rsidRPr="00BE40DE" w:rsidRDefault="00710B30" w:rsidP="00710B30">
      <w:pPr>
        <w:jc w:val="both"/>
        <w:rPr>
          <w:rFonts w:ascii="Times New Roman" w:hAnsi="Times New Roman"/>
        </w:rPr>
      </w:pPr>
    </w:p>
    <w:p w14:paraId="546B2AC9" w14:textId="77777777" w:rsidR="00710B30" w:rsidRDefault="00710B30" w:rsidP="00710B30">
      <w:pPr>
        <w:ind w:firstLine="720"/>
        <w:jc w:val="both"/>
        <w:rPr>
          <w:rFonts w:ascii="Times New Roman" w:hAnsi="Times New Roman"/>
        </w:rPr>
      </w:pPr>
      <w:r w:rsidRPr="00BE40DE">
        <w:rPr>
          <w:rFonts w:ascii="Times New Roman" w:hAnsi="Times New Roman"/>
        </w:rPr>
        <w:t>In response to PIA Staff, the Company stated</w:t>
      </w:r>
      <w:r>
        <w:rPr>
          <w:rFonts w:ascii="Times New Roman" w:hAnsi="Times New Roman"/>
        </w:rPr>
        <w:t xml:space="preserve"> that</w:t>
      </w:r>
      <w:r w:rsidRPr="00BE40DE">
        <w:rPr>
          <w:rFonts w:ascii="Times New Roman" w:hAnsi="Times New Roman"/>
        </w:rPr>
        <w:t xml:space="preserve"> it “originally designed the residential rate to reflect the seasonality of costs to serve residential customers.” (Tr. 2889.)  “The increasing price blocks in June through September reflect the fact that the Company’s costs are higher in the summer months. (Id.)  The declining block structure in the non-summer months recognizes that off peak costs are lower and provides price signals to reflect this reality. (Id.) The prices are set to more than cover the Company’s marginal costs and resulting revenues place downward pressure on rates for all customers. (Id.) The Commission should reject requests to change the declining block rate structure.”  (Company Brief at p. 61).</w:t>
      </w:r>
    </w:p>
    <w:p w14:paraId="2E554460" w14:textId="77777777" w:rsidR="00710B30" w:rsidRDefault="00710B30" w:rsidP="00710B30">
      <w:pPr>
        <w:ind w:firstLine="720"/>
        <w:jc w:val="both"/>
        <w:rPr>
          <w:rFonts w:ascii="Times New Roman" w:hAnsi="Times New Roman"/>
        </w:rPr>
      </w:pPr>
    </w:p>
    <w:p w14:paraId="182CEB2C" w14:textId="77777777" w:rsidR="00710B30" w:rsidRDefault="00710B30" w:rsidP="00710B30">
      <w:pPr>
        <w:ind w:firstLine="720"/>
        <w:jc w:val="both"/>
        <w:rPr>
          <w:rFonts w:ascii="Times New Roman" w:hAnsi="Times New Roman"/>
          <w:szCs w:val="24"/>
        </w:rPr>
      </w:pPr>
      <w:r>
        <w:rPr>
          <w:rFonts w:ascii="Times New Roman" w:hAnsi="Times New Roman"/>
          <w:szCs w:val="24"/>
        </w:rPr>
        <w:t xml:space="preserve">GIPL/Southface/Vote Solar witnesses argued that Georgia Power should eliminate the non-summer declining block portion and replace it with a flat tariff. </w:t>
      </w:r>
    </w:p>
    <w:p w14:paraId="0E46B7BA" w14:textId="77777777" w:rsidR="00710B30" w:rsidRDefault="00710B30" w:rsidP="00710B30">
      <w:pPr>
        <w:ind w:firstLine="720"/>
        <w:jc w:val="both"/>
        <w:rPr>
          <w:rFonts w:ascii="Times New Roman" w:hAnsi="Times New Roman"/>
        </w:rPr>
      </w:pPr>
    </w:p>
    <w:p w14:paraId="57755CC0" w14:textId="1402921B" w:rsidR="003E7973" w:rsidRPr="00B00963" w:rsidRDefault="00710B30" w:rsidP="0048337B">
      <w:pPr>
        <w:ind w:firstLine="720"/>
        <w:jc w:val="both"/>
        <w:rPr>
          <w:rFonts w:ascii="Times New Roman" w:hAnsi="Times New Roman"/>
        </w:rPr>
      </w:pPr>
      <w:r>
        <w:rPr>
          <w:rFonts w:ascii="Times New Roman" w:hAnsi="Times New Roman"/>
        </w:rPr>
        <w:t xml:space="preserve">The Commission finds that non-summer declining block portion is reasonable as filed and thus any change is denied. </w:t>
      </w:r>
    </w:p>
    <w:p w14:paraId="2BE9423B" w14:textId="5A239B96" w:rsidR="003C0206" w:rsidRPr="00B00963" w:rsidRDefault="003C0206" w:rsidP="00AB4177">
      <w:pPr>
        <w:tabs>
          <w:tab w:val="num" w:pos="0"/>
        </w:tabs>
        <w:jc w:val="both"/>
        <w:rPr>
          <w:rFonts w:ascii="Times New Roman" w:hAnsi="Times New Roman"/>
        </w:rPr>
      </w:pPr>
      <w:r w:rsidRPr="00B00963">
        <w:rPr>
          <w:rFonts w:ascii="Times New Roman" w:hAnsi="Times New Roman"/>
        </w:rPr>
        <w:tab/>
      </w:r>
    </w:p>
    <w:p w14:paraId="2E9EA6B4" w14:textId="5988161A" w:rsidR="003C0206" w:rsidRDefault="00710B30" w:rsidP="003C0206">
      <w:pPr>
        <w:jc w:val="center"/>
        <w:rPr>
          <w:rFonts w:ascii="Times New Roman" w:hAnsi="Times New Roman"/>
        </w:rPr>
      </w:pPr>
      <w:r>
        <w:rPr>
          <w:rFonts w:ascii="Times New Roman" w:hAnsi="Times New Roman"/>
        </w:rPr>
        <w:lastRenderedPageBreak/>
        <w:t>4</w:t>
      </w:r>
      <w:r w:rsidR="0048337B">
        <w:rPr>
          <w:rFonts w:ascii="Times New Roman" w:hAnsi="Times New Roman"/>
        </w:rPr>
        <w:t>1</w:t>
      </w:r>
      <w:r w:rsidR="003C0206" w:rsidRPr="00993C6B">
        <w:rPr>
          <w:rFonts w:ascii="Times New Roman" w:hAnsi="Times New Roman"/>
        </w:rPr>
        <w:t>.</w:t>
      </w:r>
    </w:p>
    <w:p w14:paraId="5328230C" w14:textId="01088472" w:rsidR="00BE40DE" w:rsidRDefault="00BE40DE" w:rsidP="003C0206">
      <w:pPr>
        <w:jc w:val="center"/>
        <w:rPr>
          <w:rFonts w:ascii="Times New Roman" w:hAnsi="Times New Roman"/>
        </w:rPr>
      </w:pPr>
    </w:p>
    <w:p w14:paraId="12EC3F34" w14:textId="470B835C" w:rsidR="00BE40DE" w:rsidRPr="00BE40DE" w:rsidRDefault="00BE40DE" w:rsidP="00BE40DE">
      <w:pPr>
        <w:ind w:firstLine="720"/>
        <w:jc w:val="both"/>
        <w:rPr>
          <w:rFonts w:ascii="Times New Roman" w:hAnsi="Times New Roman"/>
        </w:rPr>
      </w:pPr>
      <w:r w:rsidRPr="00BE40DE">
        <w:rPr>
          <w:rFonts w:ascii="Times New Roman" w:hAnsi="Times New Roman"/>
        </w:rPr>
        <w:t xml:space="preserve">The Company has proposed several changes in the wording of its Flat-5 tariff.  PIA </w:t>
      </w:r>
      <w:r w:rsidR="001D66F8">
        <w:rPr>
          <w:rFonts w:ascii="Times New Roman" w:hAnsi="Times New Roman"/>
        </w:rPr>
        <w:t xml:space="preserve">Staff </w:t>
      </w:r>
      <w:r w:rsidRPr="00BE40DE">
        <w:rPr>
          <w:rFonts w:ascii="Times New Roman" w:hAnsi="Times New Roman"/>
        </w:rPr>
        <w:t>state</w:t>
      </w:r>
      <w:r w:rsidR="001D66F8">
        <w:rPr>
          <w:rFonts w:ascii="Times New Roman" w:hAnsi="Times New Roman"/>
        </w:rPr>
        <w:t>d</w:t>
      </w:r>
      <w:r w:rsidRPr="00BE40DE">
        <w:rPr>
          <w:rFonts w:ascii="Times New Roman" w:hAnsi="Times New Roman"/>
        </w:rPr>
        <w:t xml:space="preserve"> that the Company</w:t>
      </w:r>
      <w:r w:rsidR="005A43B0">
        <w:rPr>
          <w:rFonts w:ascii="Times New Roman" w:hAnsi="Times New Roman"/>
        </w:rPr>
        <w:t>’s</w:t>
      </w:r>
      <w:r w:rsidRPr="00BE40DE">
        <w:rPr>
          <w:rFonts w:ascii="Times New Roman" w:hAnsi="Times New Roman"/>
        </w:rPr>
        <w:t xml:space="preserve"> proposed changes would remove the 12-month history requirement.   The effect would require “new Georgia Power customers, when establishing their account, to choose the FlatBill tariff and be charged a monthly bill based on that premises, another household’s, previous 12- month usage.” (Tr. 2924).  PIA Staff recommend</w:t>
      </w:r>
      <w:r w:rsidR="001D66F8">
        <w:rPr>
          <w:rFonts w:ascii="Times New Roman" w:hAnsi="Times New Roman"/>
        </w:rPr>
        <w:t>ed</w:t>
      </w:r>
      <w:r w:rsidRPr="00BE40DE">
        <w:rPr>
          <w:rFonts w:ascii="Times New Roman" w:hAnsi="Times New Roman"/>
        </w:rPr>
        <w:t xml:space="preserve"> that “the Commission reject these proposed revisions because the customer could end up with a higher or lower bill as compared to the Residential service rate because usage is not based on that resident’s actual historical 12-month usage.”  (PIA Staff Brief at p. 49).</w:t>
      </w:r>
    </w:p>
    <w:p w14:paraId="0C416F28" w14:textId="77777777" w:rsidR="00BE40DE" w:rsidRPr="00BE40DE" w:rsidRDefault="00BE40DE" w:rsidP="00BE40DE">
      <w:pPr>
        <w:jc w:val="both"/>
        <w:rPr>
          <w:rFonts w:ascii="Times New Roman" w:hAnsi="Times New Roman"/>
        </w:rPr>
      </w:pPr>
    </w:p>
    <w:p w14:paraId="45520D06" w14:textId="041DCD3F" w:rsidR="00BE40DE" w:rsidRPr="00BE40DE" w:rsidRDefault="00BE40DE" w:rsidP="00BE40DE">
      <w:pPr>
        <w:ind w:firstLine="720"/>
        <w:jc w:val="both"/>
        <w:rPr>
          <w:rFonts w:ascii="Times New Roman" w:hAnsi="Times New Roman"/>
        </w:rPr>
      </w:pPr>
      <w:r w:rsidRPr="00BE40DE">
        <w:rPr>
          <w:rFonts w:ascii="Times New Roman" w:hAnsi="Times New Roman"/>
        </w:rPr>
        <w:t>GIPL/Southface/Vote Solar believe that “FlatBill encourages wasteful use of electric service contrary to basic principles of rate design.”  GIPL/Southface/Vote Solar go on to argue that the “flat monthly amount is determined by billing under the R tariff (plus a “risk” adder of up to 10%), the very tariff the Company considers “antiquated” and proposes to move away from.”  (Tr. 1955).  GIPL/Southface/Vote Solar further recommend that the Commission “reject these less than ‘modern’ proposals.”  (GIPL/Southface/Vote Solar Brief at pp. 8-11).</w:t>
      </w:r>
    </w:p>
    <w:p w14:paraId="77CA818F" w14:textId="77777777" w:rsidR="00BE40DE" w:rsidRPr="00BE40DE" w:rsidRDefault="00BE40DE" w:rsidP="00BE40DE">
      <w:pPr>
        <w:jc w:val="both"/>
        <w:rPr>
          <w:rFonts w:ascii="Times New Roman" w:hAnsi="Times New Roman"/>
        </w:rPr>
      </w:pPr>
    </w:p>
    <w:p w14:paraId="01DB3B22" w14:textId="57D8662F" w:rsidR="006343C1" w:rsidRDefault="003E7973" w:rsidP="00894B4E">
      <w:pPr>
        <w:jc w:val="both"/>
        <w:rPr>
          <w:rFonts w:ascii="Times New Roman" w:hAnsi="Times New Roman"/>
        </w:rPr>
      </w:pPr>
      <w:r>
        <w:rPr>
          <w:rFonts w:ascii="Times New Roman" w:hAnsi="Times New Roman"/>
        </w:rPr>
        <w:tab/>
      </w:r>
      <w:r w:rsidR="00562FAF">
        <w:rPr>
          <w:rFonts w:ascii="Times New Roman" w:hAnsi="Times New Roman"/>
        </w:rPr>
        <w:t xml:space="preserve">In accordance with the Commission’s approval of the Settlement Agreement as </w:t>
      </w:r>
      <w:r w:rsidR="006A5041">
        <w:rPr>
          <w:rFonts w:ascii="Times New Roman" w:hAnsi="Times New Roman"/>
        </w:rPr>
        <w:t>M</w:t>
      </w:r>
      <w:r w:rsidR="00562FAF">
        <w:rPr>
          <w:rFonts w:ascii="Times New Roman" w:hAnsi="Times New Roman"/>
        </w:rPr>
        <w:t xml:space="preserve">odified, the Company’s proposed changes are accepted. </w:t>
      </w:r>
    </w:p>
    <w:p w14:paraId="1B3E2714" w14:textId="77777777" w:rsidR="003C0206" w:rsidRDefault="003C0206" w:rsidP="003C0206">
      <w:pPr>
        <w:jc w:val="center"/>
        <w:rPr>
          <w:rFonts w:ascii="Times New Roman" w:hAnsi="Times New Roman"/>
        </w:rPr>
      </w:pPr>
    </w:p>
    <w:p w14:paraId="3A6DEE00" w14:textId="40F59E12" w:rsidR="003C0206" w:rsidRDefault="00066009" w:rsidP="003C0206">
      <w:pPr>
        <w:jc w:val="center"/>
        <w:rPr>
          <w:rFonts w:ascii="Times New Roman" w:hAnsi="Times New Roman"/>
        </w:rPr>
      </w:pPr>
      <w:r>
        <w:rPr>
          <w:rFonts w:ascii="Times New Roman" w:hAnsi="Times New Roman"/>
        </w:rPr>
        <w:t>4</w:t>
      </w:r>
      <w:r w:rsidR="0048337B">
        <w:rPr>
          <w:rFonts w:ascii="Times New Roman" w:hAnsi="Times New Roman"/>
        </w:rPr>
        <w:t>2</w:t>
      </w:r>
      <w:r w:rsidR="003C0206">
        <w:rPr>
          <w:rFonts w:ascii="Times New Roman" w:hAnsi="Times New Roman"/>
        </w:rPr>
        <w:t>.</w:t>
      </w:r>
    </w:p>
    <w:p w14:paraId="733EAF53" w14:textId="77777777" w:rsidR="003C0206" w:rsidRPr="00B00963" w:rsidRDefault="003C0206" w:rsidP="003C0206">
      <w:pPr>
        <w:jc w:val="both"/>
        <w:rPr>
          <w:rFonts w:ascii="Times New Roman" w:hAnsi="Times New Roman"/>
        </w:rPr>
      </w:pPr>
    </w:p>
    <w:p w14:paraId="46D8FC50" w14:textId="1007B60F" w:rsidR="003C0206" w:rsidRPr="00B00963" w:rsidRDefault="00894B4E" w:rsidP="003C0206">
      <w:pPr>
        <w:ind w:firstLine="720"/>
        <w:jc w:val="both"/>
        <w:rPr>
          <w:rFonts w:ascii="Times New Roman" w:hAnsi="Times New Roman"/>
        </w:rPr>
      </w:pPr>
      <w:r>
        <w:rPr>
          <w:rFonts w:ascii="Times New Roman" w:hAnsi="Times New Roman"/>
        </w:rPr>
        <w:t>The Commission finds that t</w:t>
      </w:r>
      <w:r w:rsidR="003C0206" w:rsidRPr="00B00963">
        <w:rPr>
          <w:rFonts w:ascii="Times New Roman" w:hAnsi="Times New Roman"/>
        </w:rPr>
        <w:t xml:space="preserve">he date on which the rates pursuant to the </w:t>
      </w:r>
      <w:r w:rsidR="004C2E36">
        <w:rPr>
          <w:rFonts w:ascii="Times New Roman" w:hAnsi="Times New Roman"/>
        </w:rPr>
        <w:t xml:space="preserve">Settlement Agreement as </w:t>
      </w:r>
      <w:r w:rsidR="006A5041">
        <w:rPr>
          <w:rFonts w:ascii="Times New Roman" w:hAnsi="Times New Roman"/>
        </w:rPr>
        <w:t>M</w:t>
      </w:r>
      <w:r w:rsidR="004C2E36">
        <w:rPr>
          <w:rFonts w:ascii="Times New Roman" w:hAnsi="Times New Roman"/>
        </w:rPr>
        <w:t>odified</w:t>
      </w:r>
      <w:r w:rsidR="003C0206" w:rsidRPr="00B00963">
        <w:rPr>
          <w:rFonts w:ascii="Times New Roman" w:hAnsi="Times New Roman"/>
        </w:rPr>
        <w:t xml:space="preserve"> shall become effective is January 1, 2020.</w:t>
      </w:r>
    </w:p>
    <w:p w14:paraId="0D5457F7" w14:textId="77777777" w:rsidR="003C0206" w:rsidRPr="00B00963" w:rsidRDefault="003C0206" w:rsidP="003C0206">
      <w:pPr>
        <w:ind w:firstLine="720"/>
        <w:jc w:val="both"/>
        <w:rPr>
          <w:rFonts w:ascii="Times New Roman" w:hAnsi="Times New Roman"/>
        </w:rPr>
      </w:pPr>
    </w:p>
    <w:p w14:paraId="77BF5C78" w14:textId="2FBBDFA2" w:rsidR="003C0206" w:rsidRPr="00B00963" w:rsidRDefault="0048337B" w:rsidP="003C0206">
      <w:pPr>
        <w:jc w:val="center"/>
        <w:rPr>
          <w:rFonts w:ascii="Times New Roman" w:hAnsi="Times New Roman"/>
        </w:rPr>
      </w:pPr>
      <w:r>
        <w:rPr>
          <w:rFonts w:ascii="Times New Roman" w:hAnsi="Times New Roman"/>
        </w:rPr>
        <w:t>43</w:t>
      </w:r>
      <w:r w:rsidR="003C0206" w:rsidRPr="00B00963">
        <w:rPr>
          <w:rFonts w:ascii="Times New Roman" w:hAnsi="Times New Roman"/>
        </w:rPr>
        <w:t>.</w:t>
      </w:r>
    </w:p>
    <w:p w14:paraId="034B5B36" w14:textId="77777777" w:rsidR="003C0206" w:rsidRPr="00B00963" w:rsidRDefault="003C0206" w:rsidP="003C0206">
      <w:pPr>
        <w:jc w:val="both"/>
        <w:rPr>
          <w:rFonts w:ascii="Times New Roman" w:hAnsi="Times New Roman"/>
        </w:rPr>
      </w:pPr>
    </w:p>
    <w:p w14:paraId="7CF6E494" w14:textId="0013A5A5" w:rsidR="003C0206" w:rsidRPr="0043058F" w:rsidRDefault="003C0206" w:rsidP="003C0206">
      <w:pPr>
        <w:autoSpaceDE w:val="0"/>
        <w:autoSpaceDN w:val="0"/>
        <w:adjustRightInd w:val="0"/>
        <w:ind w:firstLine="720"/>
        <w:jc w:val="both"/>
        <w:rPr>
          <w:rFonts w:ascii="Times New Roman" w:hAnsi="Times New Roman"/>
        </w:rPr>
      </w:pPr>
      <w:r w:rsidRPr="00B00963">
        <w:rPr>
          <w:rFonts w:ascii="Times New Roman" w:hAnsi="Times New Roman"/>
        </w:rPr>
        <w:t xml:space="preserve">The Commission finds that a three-year term for the </w:t>
      </w:r>
      <w:r w:rsidR="004C2E36">
        <w:rPr>
          <w:rFonts w:ascii="Times New Roman" w:hAnsi="Times New Roman"/>
        </w:rPr>
        <w:t xml:space="preserve">Settlement Agreement as </w:t>
      </w:r>
      <w:r w:rsidR="006A5041">
        <w:rPr>
          <w:rFonts w:ascii="Times New Roman" w:hAnsi="Times New Roman"/>
        </w:rPr>
        <w:t>M</w:t>
      </w:r>
      <w:r w:rsidR="004C2E36">
        <w:rPr>
          <w:rFonts w:ascii="Times New Roman" w:hAnsi="Times New Roman"/>
        </w:rPr>
        <w:t>odified</w:t>
      </w:r>
      <w:r w:rsidRPr="00B00963">
        <w:rPr>
          <w:rFonts w:ascii="Times New Roman" w:hAnsi="Times New Roman"/>
        </w:rPr>
        <w:t xml:space="preserve"> ending December 31, </w:t>
      </w:r>
      <w:r w:rsidRPr="0043058F">
        <w:rPr>
          <w:rFonts w:ascii="Times New Roman" w:hAnsi="Times New Roman"/>
        </w:rPr>
        <w:t>2022 is reasonable.  By July 1, 2022, the Company shall file testimony and exhibits required in a general rate case along with supporting schedules required by the Commission to support a “traditional” rate case.  The test period utilized by the Company in its rate case filing shall be from August 1, 2022 to July 31, 2023.  The Company may propose to continue, modify or discontinue this Alternate Rate Plan.  The Company shall also file projected revenue requirements for calendar years 2023, 2024, and 2025.</w:t>
      </w:r>
      <w:r w:rsidR="00710B30">
        <w:rPr>
          <w:rFonts w:ascii="Times New Roman" w:hAnsi="Times New Roman"/>
        </w:rPr>
        <w:t xml:space="preserve"> (</w:t>
      </w:r>
      <w:r w:rsidR="006A5041">
        <w:rPr>
          <w:rFonts w:ascii="Times New Roman" w:hAnsi="Times New Roman"/>
        </w:rPr>
        <w:t xml:space="preserve">Proposed </w:t>
      </w:r>
      <w:r w:rsidR="00710B30">
        <w:rPr>
          <w:rFonts w:ascii="Times New Roman" w:hAnsi="Times New Roman"/>
        </w:rPr>
        <w:t>Agreement Provision 32).</w:t>
      </w:r>
    </w:p>
    <w:p w14:paraId="63F8B974" w14:textId="07EB5CE3" w:rsidR="003C0206" w:rsidRPr="00F14061" w:rsidRDefault="00F14061" w:rsidP="00F14061">
      <w:pPr>
        <w:spacing w:after="160" w:line="259" w:lineRule="auto"/>
        <w:rPr>
          <w:rFonts w:ascii="Times New Roman" w:hAnsi="Times New Roman"/>
          <w:b/>
          <w:u w:val="single"/>
        </w:rPr>
      </w:pPr>
      <w:r>
        <w:br w:type="page"/>
      </w:r>
      <w:bookmarkStart w:id="0" w:name="_GoBack"/>
      <w:bookmarkEnd w:id="0"/>
    </w:p>
    <w:p w14:paraId="3A1A9294" w14:textId="4BF945A3" w:rsidR="003C0206" w:rsidRPr="00B00963" w:rsidRDefault="003C0206" w:rsidP="00F14061">
      <w:pPr>
        <w:pStyle w:val="Heading5"/>
        <w:ind w:firstLine="0"/>
      </w:pPr>
      <w:r w:rsidRPr="00B00963">
        <w:lastRenderedPageBreak/>
        <w:t>CONCLUSIONS OF LAW</w:t>
      </w:r>
    </w:p>
    <w:p w14:paraId="287607DE" w14:textId="77777777" w:rsidR="003C0206" w:rsidRPr="00B00963" w:rsidRDefault="003C0206" w:rsidP="003C0206">
      <w:pPr>
        <w:ind w:firstLine="720"/>
        <w:jc w:val="both"/>
        <w:rPr>
          <w:rFonts w:ascii="Times New Roman" w:hAnsi="Times New Roman"/>
        </w:rPr>
      </w:pPr>
    </w:p>
    <w:p w14:paraId="531889CB" w14:textId="77777777" w:rsidR="003C0206" w:rsidRPr="00B00963" w:rsidRDefault="003C0206" w:rsidP="003C0206">
      <w:pPr>
        <w:jc w:val="center"/>
        <w:rPr>
          <w:rFonts w:ascii="Times New Roman" w:hAnsi="Times New Roman"/>
        </w:rPr>
      </w:pPr>
      <w:r w:rsidRPr="00B00963">
        <w:rPr>
          <w:rFonts w:ascii="Times New Roman" w:hAnsi="Times New Roman"/>
        </w:rPr>
        <w:t>1.</w:t>
      </w:r>
    </w:p>
    <w:p w14:paraId="6F6B08C9" w14:textId="77777777" w:rsidR="003C0206" w:rsidRPr="00B00963" w:rsidRDefault="003C0206" w:rsidP="003C0206">
      <w:pPr>
        <w:ind w:firstLine="720"/>
        <w:jc w:val="both"/>
        <w:rPr>
          <w:rFonts w:ascii="Times New Roman" w:hAnsi="Times New Roman"/>
        </w:rPr>
      </w:pPr>
    </w:p>
    <w:p w14:paraId="5500AD6C" w14:textId="766A1AB0" w:rsidR="003C0206" w:rsidRPr="00B00963" w:rsidRDefault="003C0206" w:rsidP="009E1303">
      <w:pPr>
        <w:ind w:firstLine="720"/>
        <w:jc w:val="both"/>
        <w:rPr>
          <w:rFonts w:ascii="Times New Roman" w:hAnsi="Times New Roman"/>
        </w:rPr>
      </w:pPr>
      <w:r w:rsidRPr="00B00963">
        <w:rPr>
          <w:rFonts w:ascii="Times New Roman" w:hAnsi="Times New Roman"/>
        </w:rPr>
        <w:t xml:space="preserve">The Georgia Public Service Commission has general ratemaking jurisdiction over Georgia Power Company under O.C.G.A. Ch. 2, T. 46. The Georgia Public Service Commission has general supervision over electric light and power companies.  O.C.G.A. §§ 46-2-20(a) and 46-2-21.  The Commission has “exclusive power to determine what are just and reasonable rates and charges to be made by any person, firm, or corporation subject to its jurisdiction.”  O.C.G.A. § 26-2-23; </w:t>
      </w:r>
      <w:r w:rsidRPr="00B00963">
        <w:rPr>
          <w:rFonts w:ascii="Times New Roman" w:hAnsi="Times New Roman"/>
          <w:u w:val="single"/>
        </w:rPr>
        <w:t>see also</w:t>
      </w:r>
      <w:r w:rsidRPr="00B00963">
        <w:rPr>
          <w:rFonts w:ascii="Times New Roman" w:hAnsi="Times New Roman"/>
          <w:i/>
        </w:rPr>
        <w:t xml:space="preserve"> </w:t>
      </w:r>
      <w:r w:rsidRPr="00B00963">
        <w:rPr>
          <w:rFonts w:ascii="Times New Roman" w:hAnsi="Times New Roman"/>
        </w:rPr>
        <w:t>O.C.G.A. §§ 46-1-1(5), 46-2-24, 46-2-25, 46-2-26.1, and 46-2-26.2.</w:t>
      </w:r>
    </w:p>
    <w:p w14:paraId="1609DB7C" w14:textId="77777777" w:rsidR="003C0206" w:rsidRPr="00B00963" w:rsidRDefault="003C0206" w:rsidP="003C0206">
      <w:pPr>
        <w:jc w:val="center"/>
        <w:rPr>
          <w:rFonts w:ascii="Times New Roman" w:hAnsi="Times New Roman"/>
        </w:rPr>
      </w:pPr>
      <w:r w:rsidRPr="00B00963">
        <w:rPr>
          <w:rFonts w:ascii="Times New Roman" w:hAnsi="Times New Roman"/>
        </w:rPr>
        <w:t>2.</w:t>
      </w:r>
    </w:p>
    <w:p w14:paraId="1335CFF5" w14:textId="77777777" w:rsidR="003C0206" w:rsidRPr="00B00963" w:rsidRDefault="003C0206" w:rsidP="003C0206">
      <w:pPr>
        <w:jc w:val="center"/>
        <w:rPr>
          <w:rFonts w:ascii="Times New Roman" w:hAnsi="Times New Roman"/>
        </w:rPr>
      </w:pPr>
    </w:p>
    <w:p w14:paraId="1277AE6B" w14:textId="553DAFEE" w:rsidR="003C0206" w:rsidRPr="00B00963" w:rsidRDefault="003C0206" w:rsidP="003C0206">
      <w:pPr>
        <w:rPr>
          <w:rFonts w:ascii="Times New Roman" w:hAnsi="Times New Roman"/>
          <w:szCs w:val="24"/>
        </w:rPr>
      </w:pPr>
      <w:r w:rsidRPr="00B00963">
        <w:rPr>
          <w:rFonts w:ascii="Times New Roman" w:hAnsi="Times New Roman"/>
          <w:szCs w:val="24"/>
        </w:rPr>
        <w:tab/>
        <w:t xml:space="preserve">The </w:t>
      </w:r>
      <w:r w:rsidR="004C2E36">
        <w:rPr>
          <w:rFonts w:ascii="Times New Roman" w:hAnsi="Times New Roman"/>
          <w:szCs w:val="24"/>
        </w:rPr>
        <w:t xml:space="preserve">Settlement Agreement as </w:t>
      </w:r>
      <w:r w:rsidR="006A5041">
        <w:rPr>
          <w:rFonts w:ascii="Times New Roman" w:hAnsi="Times New Roman"/>
          <w:szCs w:val="24"/>
        </w:rPr>
        <w:t>M</w:t>
      </w:r>
      <w:r w:rsidR="004C2E36">
        <w:rPr>
          <w:rFonts w:ascii="Times New Roman" w:hAnsi="Times New Roman"/>
          <w:szCs w:val="24"/>
        </w:rPr>
        <w:t>odified</w:t>
      </w:r>
      <w:r w:rsidRPr="00B00963">
        <w:rPr>
          <w:rFonts w:ascii="Times New Roman" w:hAnsi="Times New Roman"/>
          <w:szCs w:val="24"/>
        </w:rPr>
        <w:t xml:space="preserve"> complies with the test year statute for electric utilities which provides in relevant part:  </w:t>
      </w:r>
    </w:p>
    <w:p w14:paraId="146AEC21" w14:textId="77777777" w:rsidR="003C0206" w:rsidRPr="00B00963" w:rsidRDefault="003C0206" w:rsidP="003C0206">
      <w:pPr>
        <w:rPr>
          <w:rFonts w:ascii="Times New Roman" w:hAnsi="Times New Roman"/>
          <w:szCs w:val="24"/>
        </w:rPr>
      </w:pPr>
    </w:p>
    <w:p w14:paraId="64F17CBC" w14:textId="2193DFA3" w:rsidR="003C0206" w:rsidRPr="00B00963" w:rsidRDefault="003C0206" w:rsidP="003C0206">
      <w:pPr>
        <w:ind w:left="720" w:right="720"/>
        <w:jc w:val="both"/>
        <w:rPr>
          <w:rFonts w:ascii="Times New Roman" w:hAnsi="Times New Roman"/>
          <w:szCs w:val="24"/>
        </w:rPr>
      </w:pPr>
      <w:r w:rsidRPr="00B00963">
        <w:rPr>
          <w:rFonts w:ascii="Times New Roman" w:hAnsi="Times New Roman"/>
          <w:szCs w:val="24"/>
        </w:rPr>
        <w:t>In any proceeding to determine the rates to be charged by an electric utility, the electric utility shall file jurisdictionally allocated cost of service data on the basis of a test period, and the commission shall utilize a test period, consisting of actual data for the most recent 12</w:t>
      </w:r>
      <w:r w:rsidR="00894B4E">
        <w:rPr>
          <w:rFonts w:ascii="Times New Roman" w:hAnsi="Times New Roman"/>
          <w:szCs w:val="24"/>
        </w:rPr>
        <w:t>-</w:t>
      </w:r>
      <w:r w:rsidRPr="00B00963">
        <w:rPr>
          <w:rFonts w:ascii="Times New Roman" w:hAnsi="Times New Roman"/>
          <w:szCs w:val="24"/>
        </w:rPr>
        <w:t xml:space="preserve"> month period for which data are available, fully adjusted separately to reflect estimated operations during the 12 months following the utility's proposed effective date of the rates. After the initial filing and until new rates go into effect, the utility shall file actual cost of service data as they become available for each month following the actual data which were filed. The utility shall have the burden of explaining and supporting the reasonableness of all estimates and adjustments contained in its cost of service data.</w:t>
      </w:r>
    </w:p>
    <w:p w14:paraId="1F4B34D4" w14:textId="77777777" w:rsidR="003C0206" w:rsidRPr="00B00963" w:rsidRDefault="003C0206" w:rsidP="003C0206">
      <w:pPr>
        <w:rPr>
          <w:rFonts w:ascii="Times New Roman" w:hAnsi="Times New Roman"/>
          <w:szCs w:val="24"/>
        </w:rPr>
      </w:pPr>
    </w:p>
    <w:p w14:paraId="23367E83" w14:textId="77777777" w:rsidR="003C0206" w:rsidRPr="00B00963" w:rsidRDefault="003C0206" w:rsidP="003C0206">
      <w:pPr>
        <w:rPr>
          <w:rFonts w:ascii="Times New Roman" w:hAnsi="Times New Roman"/>
          <w:szCs w:val="24"/>
        </w:rPr>
      </w:pPr>
      <w:r w:rsidRPr="00B00963">
        <w:rPr>
          <w:rFonts w:ascii="Times New Roman" w:hAnsi="Times New Roman"/>
          <w:szCs w:val="24"/>
        </w:rPr>
        <w:t>(O.C.G.A. § 46-2-26.1(b))</w:t>
      </w:r>
    </w:p>
    <w:p w14:paraId="7CA024BA" w14:textId="77777777" w:rsidR="003C0206" w:rsidRPr="00B00963" w:rsidRDefault="003C0206" w:rsidP="003C0206">
      <w:pPr>
        <w:rPr>
          <w:rFonts w:ascii="Times New Roman" w:hAnsi="Times New Roman"/>
          <w:szCs w:val="24"/>
        </w:rPr>
      </w:pPr>
    </w:p>
    <w:p w14:paraId="26ADFC2B" w14:textId="145F902E" w:rsidR="003C0206" w:rsidRPr="00B00963" w:rsidRDefault="00894B4E" w:rsidP="003C0206">
      <w:pPr>
        <w:jc w:val="both"/>
        <w:rPr>
          <w:rFonts w:ascii="Times New Roman" w:hAnsi="Times New Roman"/>
          <w:szCs w:val="24"/>
        </w:rPr>
      </w:pPr>
      <w:r>
        <w:rPr>
          <w:rFonts w:ascii="Times New Roman" w:hAnsi="Times New Roman"/>
          <w:szCs w:val="24"/>
        </w:rPr>
        <w:tab/>
      </w:r>
      <w:r w:rsidR="003C0206" w:rsidRPr="00B00963">
        <w:rPr>
          <w:rFonts w:ascii="Times New Roman" w:hAnsi="Times New Roman"/>
          <w:szCs w:val="24"/>
        </w:rPr>
        <w:t xml:space="preserve">Georgia Power filed the requisite data on the basis of a test period, and the </w:t>
      </w:r>
      <w:r w:rsidR="004C2E36">
        <w:rPr>
          <w:rFonts w:ascii="Times New Roman" w:hAnsi="Times New Roman"/>
          <w:szCs w:val="24"/>
        </w:rPr>
        <w:t xml:space="preserve">Settlement Agreement as </w:t>
      </w:r>
      <w:r w:rsidR="006A5041">
        <w:rPr>
          <w:rFonts w:ascii="Times New Roman" w:hAnsi="Times New Roman"/>
          <w:szCs w:val="24"/>
        </w:rPr>
        <w:t>M</w:t>
      </w:r>
      <w:r w:rsidR="004C2E36">
        <w:rPr>
          <w:rFonts w:ascii="Times New Roman" w:hAnsi="Times New Roman"/>
          <w:szCs w:val="24"/>
        </w:rPr>
        <w:t>odified</w:t>
      </w:r>
      <w:r w:rsidR="003C0206" w:rsidRPr="00B00963">
        <w:rPr>
          <w:rFonts w:ascii="Times New Roman" w:hAnsi="Times New Roman"/>
          <w:szCs w:val="24"/>
        </w:rPr>
        <w:t xml:space="preserve"> uses the test period as a starting point and then makes necessary and appropriate adjustments to reflect operations during the 12 months following the utility’s proposed effective date of the rate.  The test period data serves as the benchmark from which adjustments are made for each year of the Alternative Rate Plan.  This methodology is consistent both with the statute and with Commission precedent in rate case proceedings dating back to 1998. </w:t>
      </w:r>
    </w:p>
    <w:p w14:paraId="7BAFB630" w14:textId="77777777" w:rsidR="003C0206" w:rsidRPr="00B00963" w:rsidRDefault="003C0206" w:rsidP="003C0206">
      <w:pPr>
        <w:jc w:val="center"/>
        <w:rPr>
          <w:rFonts w:ascii="Times New Roman" w:hAnsi="Times New Roman"/>
        </w:rPr>
      </w:pPr>
    </w:p>
    <w:p w14:paraId="1EED54F6" w14:textId="77777777" w:rsidR="003C0206" w:rsidRPr="00B00963" w:rsidRDefault="003C0206" w:rsidP="003C0206">
      <w:pPr>
        <w:jc w:val="center"/>
        <w:rPr>
          <w:rFonts w:ascii="Times New Roman" w:hAnsi="Times New Roman"/>
        </w:rPr>
      </w:pPr>
      <w:r w:rsidRPr="00B00963">
        <w:rPr>
          <w:rFonts w:ascii="Times New Roman" w:hAnsi="Times New Roman"/>
        </w:rPr>
        <w:t>3.</w:t>
      </w:r>
    </w:p>
    <w:p w14:paraId="11E12F39" w14:textId="77777777" w:rsidR="003C0206" w:rsidRPr="00B00963" w:rsidRDefault="003C0206" w:rsidP="003C0206">
      <w:pPr>
        <w:jc w:val="both"/>
        <w:rPr>
          <w:rFonts w:ascii="Times New Roman" w:hAnsi="Times New Roman"/>
        </w:rPr>
      </w:pPr>
    </w:p>
    <w:p w14:paraId="06DD469F" w14:textId="513AB012" w:rsidR="003C0206" w:rsidRPr="00B00963" w:rsidRDefault="003C0206" w:rsidP="003C0206">
      <w:pPr>
        <w:pStyle w:val="BodyTextIndent2"/>
      </w:pPr>
      <w:r w:rsidRPr="00B00963">
        <w:t xml:space="preserve">The rates resulting from the </w:t>
      </w:r>
      <w:r w:rsidR="004C2E36">
        <w:t xml:space="preserve">Settlement Agreement as </w:t>
      </w:r>
      <w:r w:rsidR="006A5041">
        <w:t>M</w:t>
      </w:r>
      <w:r w:rsidR="004C2E36">
        <w:t>odified</w:t>
      </w:r>
      <w:r w:rsidRPr="00B00963">
        <w:t xml:space="preserve"> are fair, just and reasonable.  By adopting the </w:t>
      </w:r>
      <w:r w:rsidR="004C2E36">
        <w:t xml:space="preserve">Settlement Agreement as </w:t>
      </w:r>
      <w:r w:rsidR="006A5041">
        <w:t>M</w:t>
      </w:r>
      <w:r w:rsidR="004C2E36">
        <w:t>odified</w:t>
      </w:r>
      <w:r w:rsidRPr="00B00963">
        <w:t>, the Commission retains its jurisdiction to ensure that the Company’s rates are fair, just and reasonable.</w:t>
      </w:r>
    </w:p>
    <w:p w14:paraId="71EAFBFA" w14:textId="77777777" w:rsidR="003C0206" w:rsidRPr="00B00963" w:rsidRDefault="003C0206" w:rsidP="003C0206">
      <w:pPr>
        <w:rPr>
          <w:rFonts w:ascii="Times New Roman" w:hAnsi="Times New Roman"/>
        </w:rPr>
      </w:pPr>
    </w:p>
    <w:p w14:paraId="5ED1AB31" w14:textId="77777777" w:rsidR="003C0206" w:rsidRPr="00B00963" w:rsidRDefault="003C0206" w:rsidP="003C0206">
      <w:pPr>
        <w:jc w:val="center"/>
        <w:rPr>
          <w:rFonts w:ascii="Times New Roman" w:hAnsi="Times New Roman"/>
        </w:rPr>
      </w:pPr>
      <w:r w:rsidRPr="00B00963">
        <w:rPr>
          <w:rFonts w:ascii="Times New Roman" w:hAnsi="Times New Roman"/>
        </w:rPr>
        <w:t>4.</w:t>
      </w:r>
    </w:p>
    <w:p w14:paraId="2CA15CEE" w14:textId="77777777" w:rsidR="003C0206" w:rsidRPr="00B00963" w:rsidRDefault="003C0206" w:rsidP="003C0206">
      <w:pPr>
        <w:ind w:firstLine="720"/>
        <w:jc w:val="both"/>
        <w:rPr>
          <w:rFonts w:ascii="Times New Roman" w:hAnsi="Times New Roman"/>
        </w:rPr>
      </w:pPr>
    </w:p>
    <w:p w14:paraId="4576E00A" w14:textId="74DD853A" w:rsidR="003C0206" w:rsidRPr="00B00963" w:rsidRDefault="003C0206" w:rsidP="003C0206">
      <w:pPr>
        <w:pStyle w:val="BodyTextIndent2"/>
      </w:pPr>
      <w:r w:rsidRPr="00B00963">
        <w:lastRenderedPageBreak/>
        <w:t xml:space="preserve">The remaining terms and conditions of the </w:t>
      </w:r>
      <w:r w:rsidR="004C2E36">
        <w:t xml:space="preserve">Settlement Agreement as </w:t>
      </w:r>
      <w:r w:rsidR="006A5041">
        <w:t>M</w:t>
      </w:r>
      <w:r w:rsidR="004C2E36">
        <w:t>odified</w:t>
      </w:r>
      <w:r w:rsidRPr="00B00963">
        <w:t xml:space="preserve"> are reasonable and appropriate.  By adopting the </w:t>
      </w:r>
      <w:r w:rsidR="004C2E36">
        <w:t xml:space="preserve">Settlement Agreement as </w:t>
      </w:r>
      <w:r w:rsidR="006A5041">
        <w:t>M</w:t>
      </w:r>
      <w:r w:rsidR="004C2E36">
        <w:t>odified</w:t>
      </w:r>
      <w:r w:rsidRPr="00B00963">
        <w:t>, the Commission adopts a reasonable resolution of the remaining issues in this docket.</w:t>
      </w:r>
    </w:p>
    <w:p w14:paraId="7C7DC7B4" w14:textId="77777777" w:rsidR="003C0206" w:rsidRPr="00B00963" w:rsidRDefault="003C0206" w:rsidP="003C0206">
      <w:pPr>
        <w:pStyle w:val="BodyTextIndent2"/>
        <w:ind w:firstLine="0"/>
        <w:jc w:val="center"/>
      </w:pPr>
    </w:p>
    <w:p w14:paraId="00635010" w14:textId="77777777" w:rsidR="003C0206" w:rsidRPr="00B00963" w:rsidRDefault="003C0206" w:rsidP="003C0206">
      <w:pPr>
        <w:pStyle w:val="BodyTextIndent2"/>
        <w:ind w:firstLine="0"/>
        <w:jc w:val="center"/>
      </w:pPr>
      <w:r w:rsidRPr="00B00963">
        <w:t>5.</w:t>
      </w:r>
    </w:p>
    <w:p w14:paraId="7D03191A" w14:textId="77777777" w:rsidR="003C0206" w:rsidRPr="00B00963" w:rsidRDefault="003C0206" w:rsidP="003C0206">
      <w:pPr>
        <w:pStyle w:val="BodyTextIndent2"/>
      </w:pPr>
    </w:p>
    <w:p w14:paraId="7AE6E97D" w14:textId="0AED4740" w:rsidR="003C0206" w:rsidRPr="00B00963" w:rsidRDefault="003C0206" w:rsidP="003C0206">
      <w:pPr>
        <w:pStyle w:val="BodyTextIndent2"/>
      </w:pPr>
      <w:r w:rsidRPr="00B00963">
        <w:t xml:space="preserve">The Commission retains its jurisdiction to ensure that the Company abides by and implements the rates, terms and conditions set forth in the </w:t>
      </w:r>
      <w:r w:rsidR="004C2E36">
        <w:t xml:space="preserve">Settlement Agreement as </w:t>
      </w:r>
      <w:r w:rsidR="006A5041">
        <w:t>M</w:t>
      </w:r>
      <w:r w:rsidR="004C2E36">
        <w:t>odified</w:t>
      </w:r>
      <w:r w:rsidRPr="00B00963">
        <w:t xml:space="preserve"> adopted herein, and to issue such further order or orders as this Commission may deem proper.</w:t>
      </w:r>
    </w:p>
    <w:p w14:paraId="07984FFB" w14:textId="77777777" w:rsidR="003C0206" w:rsidRPr="00B00963" w:rsidRDefault="003C0206" w:rsidP="003C0206">
      <w:pPr>
        <w:pStyle w:val="BodyTextIndent3"/>
        <w:jc w:val="both"/>
        <w:rPr>
          <w:rFonts w:ascii="Times New Roman" w:hAnsi="Times New Roman"/>
        </w:rPr>
      </w:pPr>
    </w:p>
    <w:p w14:paraId="7941157D" w14:textId="77777777" w:rsidR="003C0206" w:rsidRPr="00B00963" w:rsidRDefault="003C0206" w:rsidP="003C0206">
      <w:pPr>
        <w:pStyle w:val="BodyTextIndent3"/>
        <w:jc w:val="both"/>
        <w:rPr>
          <w:rFonts w:ascii="Times New Roman" w:hAnsi="Times New Roman"/>
        </w:rPr>
      </w:pPr>
    </w:p>
    <w:p w14:paraId="50E25D49" w14:textId="77777777" w:rsidR="003C0206" w:rsidRPr="00B00963" w:rsidRDefault="003C0206" w:rsidP="003C0206">
      <w:pPr>
        <w:pStyle w:val="BodyTextIndent3"/>
        <w:ind w:firstLine="0"/>
        <w:jc w:val="both"/>
        <w:rPr>
          <w:rFonts w:ascii="Times New Roman" w:hAnsi="Times New Roman"/>
          <w:b/>
        </w:rPr>
      </w:pPr>
      <w:r w:rsidRPr="00B00963">
        <w:rPr>
          <w:rFonts w:ascii="Times New Roman" w:hAnsi="Times New Roman"/>
          <w:b/>
        </w:rPr>
        <w:t>III.</w:t>
      </w:r>
      <w:r w:rsidRPr="00B00963">
        <w:rPr>
          <w:rFonts w:ascii="Times New Roman" w:hAnsi="Times New Roman"/>
          <w:b/>
        </w:rPr>
        <w:tab/>
        <w:t>ORDERING PARAGRAPHS</w:t>
      </w:r>
    </w:p>
    <w:p w14:paraId="1721A38C" w14:textId="77777777" w:rsidR="003C0206" w:rsidRPr="00B00963" w:rsidRDefault="003C0206" w:rsidP="003C0206">
      <w:pPr>
        <w:jc w:val="both"/>
        <w:rPr>
          <w:rFonts w:ascii="Times New Roman" w:hAnsi="Times New Roman"/>
        </w:rPr>
      </w:pPr>
    </w:p>
    <w:p w14:paraId="008BE62A" w14:textId="50E55B62" w:rsidR="003C0206" w:rsidRPr="00B00963" w:rsidRDefault="003C0206" w:rsidP="003C0206">
      <w:pPr>
        <w:ind w:firstLine="720"/>
        <w:jc w:val="both"/>
        <w:rPr>
          <w:rFonts w:ascii="Times New Roman" w:hAnsi="Times New Roman"/>
        </w:rPr>
      </w:pPr>
      <w:r w:rsidRPr="00B00963">
        <w:rPr>
          <w:rFonts w:ascii="Times New Roman" w:hAnsi="Times New Roman"/>
          <w:b/>
        </w:rPr>
        <w:t xml:space="preserve">WHEREFORE, IT IS ORDERED, </w:t>
      </w:r>
      <w:r w:rsidRPr="00B00963">
        <w:rPr>
          <w:rFonts w:ascii="Times New Roman" w:hAnsi="Times New Roman"/>
        </w:rPr>
        <w:t xml:space="preserve">that the </w:t>
      </w:r>
      <w:r w:rsidR="004C2E36">
        <w:rPr>
          <w:rFonts w:ascii="Times New Roman" w:hAnsi="Times New Roman"/>
        </w:rPr>
        <w:t xml:space="preserve">Settlement Agreement as </w:t>
      </w:r>
      <w:r w:rsidR="006A5041">
        <w:rPr>
          <w:rFonts w:ascii="Times New Roman" w:hAnsi="Times New Roman"/>
        </w:rPr>
        <w:t>M</w:t>
      </w:r>
      <w:r w:rsidR="004C2E36">
        <w:rPr>
          <w:rFonts w:ascii="Times New Roman" w:hAnsi="Times New Roman"/>
        </w:rPr>
        <w:t>odified</w:t>
      </w:r>
      <w:r w:rsidRPr="00B00963">
        <w:rPr>
          <w:rFonts w:ascii="Times New Roman" w:hAnsi="Times New Roman"/>
        </w:rPr>
        <w:t xml:space="preserve"> shall be and the same hereby is adopted, that its terms and conditions are fully incorporated herein, and that Georgia Power Company shall comply with said terms and conditions.  </w:t>
      </w:r>
    </w:p>
    <w:p w14:paraId="1209847F" w14:textId="77777777" w:rsidR="003C0206" w:rsidRPr="00B00963" w:rsidRDefault="003C0206" w:rsidP="003C0206">
      <w:pPr>
        <w:jc w:val="both"/>
        <w:rPr>
          <w:rFonts w:ascii="Times New Roman" w:hAnsi="Times New Roman"/>
        </w:rPr>
      </w:pPr>
    </w:p>
    <w:p w14:paraId="122CA833" w14:textId="2E437925" w:rsidR="003C0206" w:rsidRPr="00B00963" w:rsidRDefault="003C0206" w:rsidP="003C0206">
      <w:pPr>
        <w:ind w:firstLine="720"/>
        <w:jc w:val="both"/>
        <w:rPr>
          <w:rFonts w:ascii="Times New Roman" w:hAnsi="Times New Roman"/>
        </w:rPr>
      </w:pPr>
      <w:r w:rsidRPr="00B00963">
        <w:rPr>
          <w:rFonts w:ascii="Times New Roman" w:hAnsi="Times New Roman"/>
          <w:b/>
          <w:bCs/>
        </w:rPr>
        <w:t xml:space="preserve">ORDERED FURTHER, </w:t>
      </w:r>
      <w:r w:rsidRPr="00B00963">
        <w:rPr>
          <w:rFonts w:ascii="Times New Roman" w:hAnsi="Times New Roman"/>
        </w:rPr>
        <w:t xml:space="preserve">that the terms and conditions set forth in the </w:t>
      </w:r>
      <w:r w:rsidR="004C2E36">
        <w:rPr>
          <w:rFonts w:ascii="Times New Roman" w:hAnsi="Times New Roman"/>
        </w:rPr>
        <w:t>Settlement Agreement as modified</w:t>
      </w:r>
      <w:r w:rsidRPr="00B00963">
        <w:rPr>
          <w:rFonts w:ascii="Times New Roman" w:hAnsi="Times New Roman"/>
        </w:rPr>
        <w:t xml:space="preserve"> are just and reasonable and shall take effect for service rendered from and after January 1, 2020.</w:t>
      </w:r>
    </w:p>
    <w:p w14:paraId="563D6403" w14:textId="77777777" w:rsidR="003C0206" w:rsidRPr="00B00963" w:rsidRDefault="003C0206" w:rsidP="003C0206">
      <w:pPr>
        <w:jc w:val="both"/>
        <w:rPr>
          <w:rFonts w:ascii="Times New Roman" w:hAnsi="Times New Roman"/>
        </w:rPr>
      </w:pPr>
    </w:p>
    <w:p w14:paraId="0C32A11F" w14:textId="23E4D8FC" w:rsidR="003C0206" w:rsidRPr="00B00963" w:rsidRDefault="003C0206" w:rsidP="003C0206">
      <w:pPr>
        <w:jc w:val="both"/>
        <w:rPr>
          <w:rFonts w:ascii="Times New Roman" w:hAnsi="Times New Roman"/>
        </w:rPr>
      </w:pPr>
      <w:r w:rsidRPr="00B00963">
        <w:rPr>
          <w:rFonts w:ascii="Times New Roman" w:hAnsi="Times New Roman"/>
        </w:rPr>
        <w:tab/>
      </w:r>
      <w:r w:rsidRPr="00B00963">
        <w:rPr>
          <w:rFonts w:ascii="Times New Roman" w:hAnsi="Times New Roman"/>
          <w:b/>
        </w:rPr>
        <w:t xml:space="preserve">ORDERED FURTHER, </w:t>
      </w:r>
      <w:r w:rsidRPr="00B00963">
        <w:rPr>
          <w:rFonts w:ascii="Times New Roman" w:hAnsi="Times New Roman"/>
        </w:rPr>
        <w:t xml:space="preserve">that the tariffs implemented by Georgia Power to implement the aforesaid annual rate increase in the years 2020, the adjustments contemplated in 2021 and 2022, as well as the terms and conditions of the </w:t>
      </w:r>
      <w:r w:rsidR="004C2E36">
        <w:rPr>
          <w:rFonts w:ascii="Times New Roman" w:hAnsi="Times New Roman"/>
        </w:rPr>
        <w:t xml:space="preserve">Settlement Agreement as </w:t>
      </w:r>
      <w:r w:rsidR="00F76C87">
        <w:rPr>
          <w:rFonts w:ascii="Times New Roman" w:hAnsi="Times New Roman"/>
        </w:rPr>
        <w:t>M</w:t>
      </w:r>
      <w:r w:rsidR="004C2E36">
        <w:rPr>
          <w:rFonts w:ascii="Times New Roman" w:hAnsi="Times New Roman"/>
        </w:rPr>
        <w:t>odified</w:t>
      </w:r>
      <w:r w:rsidRPr="00B00963">
        <w:rPr>
          <w:rFonts w:ascii="Times New Roman" w:hAnsi="Times New Roman"/>
        </w:rPr>
        <w:t xml:space="preserve"> shall be subject to review by the Commission to ensure that such tariffs, as implemented, are proper and just.</w:t>
      </w:r>
    </w:p>
    <w:p w14:paraId="0D5BCBC7" w14:textId="77777777" w:rsidR="003C0206" w:rsidRPr="00B00963" w:rsidRDefault="003C0206" w:rsidP="003C0206">
      <w:pPr>
        <w:jc w:val="both"/>
        <w:rPr>
          <w:rFonts w:ascii="Times New Roman" w:hAnsi="Times New Roman"/>
        </w:rPr>
      </w:pPr>
    </w:p>
    <w:p w14:paraId="15A53689" w14:textId="77777777" w:rsidR="003C0206" w:rsidRPr="00B00963" w:rsidRDefault="003C0206" w:rsidP="003C0206">
      <w:pPr>
        <w:pStyle w:val="BodyText"/>
        <w:ind w:firstLine="720"/>
        <w:rPr>
          <w:rFonts w:ascii="Times New Roman" w:hAnsi="Times New Roman"/>
        </w:rPr>
      </w:pPr>
      <w:r w:rsidRPr="00B00963">
        <w:rPr>
          <w:rFonts w:ascii="Times New Roman" w:hAnsi="Times New Roman"/>
          <w:b/>
        </w:rPr>
        <w:t xml:space="preserve">ORDERED FURTHER, </w:t>
      </w:r>
      <w:r w:rsidRPr="00B00963">
        <w:rPr>
          <w:rFonts w:ascii="Times New Roman" w:hAnsi="Times New Roman"/>
        </w:rPr>
        <w:t xml:space="preserve">that for purposes of the rate increase in the year 2020, Georgia Power shall file compliance tariffs within 30 days of the issuance of this Order, reflecting rates to implement the rate increases ordered herein.  These tariffs shall reflect the rate allocations adopted in this Order, and shall be subject to the Commission's review for final approval. </w:t>
      </w:r>
    </w:p>
    <w:p w14:paraId="7E29E3CF" w14:textId="77777777" w:rsidR="003C0206" w:rsidRPr="00B00963" w:rsidRDefault="003C0206" w:rsidP="003C0206">
      <w:pPr>
        <w:pStyle w:val="BodyText"/>
        <w:ind w:firstLine="720"/>
        <w:rPr>
          <w:rFonts w:ascii="Times New Roman" w:hAnsi="Times New Roman"/>
        </w:rPr>
      </w:pPr>
    </w:p>
    <w:p w14:paraId="28156553" w14:textId="63062218" w:rsidR="003C0206" w:rsidRPr="00B00963" w:rsidRDefault="003C0206" w:rsidP="003C0206">
      <w:pPr>
        <w:pStyle w:val="BodyText"/>
        <w:ind w:firstLine="720"/>
        <w:rPr>
          <w:rFonts w:ascii="Times New Roman" w:hAnsi="Times New Roman"/>
        </w:rPr>
      </w:pPr>
      <w:r w:rsidRPr="00B00963">
        <w:rPr>
          <w:rFonts w:ascii="Times New Roman" w:hAnsi="Times New Roman"/>
          <w:b/>
        </w:rPr>
        <w:t xml:space="preserve">ORDERED FURTHER, </w:t>
      </w:r>
      <w:r w:rsidRPr="004537E3">
        <w:rPr>
          <w:rFonts w:ascii="Times New Roman" w:hAnsi="Times New Roman"/>
        </w:rPr>
        <w:t>that for purposes of the rate adjustments specified in</w:t>
      </w:r>
      <w:r w:rsidRPr="00B00963">
        <w:rPr>
          <w:rFonts w:ascii="Times New Roman" w:hAnsi="Times New Roman"/>
        </w:rPr>
        <w:t xml:space="preserve"> the </w:t>
      </w:r>
      <w:r w:rsidR="004C2E36">
        <w:rPr>
          <w:rFonts w:ascii="Times New Roman" w:hAnsi="Times New Roman"/>
        </w:rPr>
        <w:t xml:space="preserve">Settlement Agreement as </w:t>
      </w:r>
      <w:r w:rsidR="00F76C87">
        <w:rPr>
          <w:rFonts w:ascii="Times New Roman" w:hAnsi="Times New Roman"/>
        </w:rPr>
        <w:t>M</w:t>
      </w:r>
      <w:r w:rsidR="004C2E36">
        <w:rPr>
          <w:rFonts w:ascii="Times New Roman" w:hAnsi="Times New Roman"/>
        </w:rPr>
        <w:t>odified</w:t>
      </w:r>
      <w:r w:rsidRPr="00B00963">
        <w:rPr>
          <w:rFonts w:ascii="Times New Roman" w:hAnsi="Times New Roman"/>
        </w:rPr>
        <w:t>, the Company shall make compliance filings of the updated tariffs at least 90 days prior to the effective date of the tariffs.  Compliance filings shall be served upon all parties of record to this proceeding.  Upon receipt of such compliance filing, parties may offer input relative to the filing to the Commission.</w:t>
      </w:r>
    </w:p>
    <w:p w14:paraId="57DCF4FF" w14:textId="77777777" w:rsidR="003C0206" w:rsidRPr="00B00963" w:rsidRDefault="003C0206" w:rsidP="003C0206">
      <w:pPr>
        <w:pStyle w:val="BodyText"/>
        <w:rPr>
          <w:rFonts w:ascii="Times New Roman" w:hAnsi="Times New Roman"/>
          <w:b/>
        </w:rPr>
      </w:pPr>
    </w:p>
    <w:p w14:paraId="52AFBE4A" w14:textId="77777777" w:rsidR="003C0206" w:rsidRPr="00B00963" w:rsidRDefault="003C0206" w:rsidP="003C0206">
      <w:pPr>
        <w:jc w:val="both"/>
        <w:rPr>
          <w:rFonts w:ascii="Times New Roman" w:hAnsi="Times New Roman"/>
        </w:rPr>
      </w:pPr>
      <w:r w:rsidRPr="00B00963">
        <w:rPr>
          <w:rFonts w:ascii="Times New Roman" w:hAnsi="Times New Roman"/>
        </w:rPr>
        <w:tab/>
      </w:r>
      <w:r w:rsidRPr="00B00963">
        <w:rPr>
          <w:rFonts w:ascii="Times New Roman" w:hAnsi="Times New Roman"/>
          <w:b/>
        </w:rPr>
        <w:t>ORDERED FURTHER</w:t>
      </w:r>
      <w:r w:rsidRPr="00B00963">
        <w:rPr>
          <w:rFonts w:ascii="Times New Roman" w:hAnsi="Times New Roman"/>
        </w:rPr>
        <w:t>, that all findings, conclusions and decisions contained within the preceding sections of this Order are adopted as findings of fact, conclusions of law, and decisions of regulatory policy of this Commission.</w:t>
      </w:r>
    </w:p>
    <w:p w14:paraId="3B240D0D" w14:textId="77777777" w:rsidR="003C0206" w:rsidRPr="00B00963" w:rsidRDefault="003C0206" w:rsidP="003C0206">
      <w:pPr>
        <w:jc w:val="both"/>
        <w:rPr>
          <w:rFonts w:ascii="Times New Roman" w:hAnsi="Times New Roman"/>
        </w:rPr>
      </w:pPr>
    </w:p>
    <w:p w14:paraId="71158256" w14:textId="77777777" w:rsidR="003C0206" w:rsidRPr="00B00963" w:rsidRDefault="003C0206" w:rsidP="003C0206">
      <w:pPr>
        <w:jc w:val="both"/>
        <w:rPr>
          <w:rFonts w:ascii="Times New Roman" w:hAnsi="Times New Roman"/>
        </w:rPr>
      </w:pPr>
      <w:r w:rsidRPr="00B00963">
        <w:rPr>
          <w:rFonts w:ascii="Times New Roman" w:hAnsi="Times New Roman"/>
        </w:rPr>
        <w:tab/>
      </w:r>
      <w:r w:rsidRPr="00B00963">
        <w:rPr>
          <w:rFonts w:ascii="Times New Roman" w:hAnsi="Times New Roman"/>
          <w:b/>
        </w:rPr>
        <w:t xml:space="preserve">ORDERED FURTHER, </w:t>
      </w:r>
      <w:r w:rsidRPr="00B00963">
        <w:rPr>
          <w:rFonts w:ascii="Times New Roman" w:hAnsi="Times New Roman"/>
        </w:rPr>
        <w:t>that jurisdiction over this proceeding is expressly retained for the purpose of entering such further order or orders as this Commission may deem proper.</w:t>
      </w:r>
    </w:p>
    <w:p w14:paraId="61361C8B" w14:textId="77777777" w:rsidR="003C0206" w:rsidRPr="00B00963" w:rsidRDefault="003C0206" w:rsidP="003C0206">
      <w:pPr>
        <w:jc w:val="both"/>
        <w:rPr>
          <w:rFonts w:ascii="Times New Roman" w:hAnsi="Times New Roman"/>
        </w:rPr>
      </w:pPr>
    </w:p>
    <w:p w14:paraId="73F1F1B6" w14:textId="77777777" w:rsidR="003C0206" w:rsidRPr="00B00963" w:rsidRDefault="003C0206" w:rsidP="003C0206">
      <w:pPr>
        <w:jc w:val="both"/>
        <w:rPr>
          <w:rFonts w:ascii="Times New Roman" w:hAnsi="Times New Roman"/>
        </w:rPr>
      </w:pPr>
      <w:r w:rsidRPr="00B00963">
        <w:rPr>
          <w:rFonts w:ascii="Times New Roman" w:hAnsi="Times New Roman"/>
        </w:rPr>
        <w:lastRenderedPageBreak/>
        <w:tab/>
      </w:r>
      <w:r w:rsidRPr="00B00963">
        <w:rPr>
          <w:rFonts w:ascii="Times New Roman" w:hAnsi="Times New Roman"/>
          <w:b/>
        </w:rPr>
        <w:t xml:space="preserve">ORDERED FURTHER, </w:t>
      </w:r>
      <w:r w:rsidRPr="00B00963">
        <w:rPr>
          <w:rFonts w:ascii="Times New Roman" w:hAnsi="Times New Roman"/>
        </w:rPr>
        <w:t>any motion for reconsideration, rehearing, or oral argument shall not stay the effectiveness of this order unless expressly ordered by the Commission.</w:t>
      </w:r>
    </w:p>
    <w:p w14:paraId="23D2BE91" w14:textId="77777777" w:rsidR="003C0206" w:rsidRPr="00B00963" w:rsidRDefault="003C0206" w:rsidP="003C0206">
      <w:pPr>
        <w:jc w:val="both"/>
        <w:rPr>
          <w:rFonts w:ascii="Times New Roman" w:hAnsi="Times New Roman"/>
        </w:rPr>
      </w:pPr>
    </w:p>
    <w:p w14:paraId="66E5866F" w14:textId="448549F9" w:rsidR="003C0206" w:rsidRPr="00B00963" w:rsidRDefault="003C0206" w:rsidP="003C0206">
      <w:pPr>
        <w:jc w:val="both"/>
        <w:rPr>
          <w:rFonts w:ascii="Times New Roman" w:hAnsi="Times New Roman"/>
        </w:rPr>
      </w:pPr>
      <w:r w:rsidRPr="00B00963">
        <w:rPr>
          <w:rFonts w:ascii="Times New Roman" w:hAnsi="Times New Roman"/>
        </w:rPr>
        <w:tab/>
        <w:t>The above by action of the Commission in Administrative Session on the 17th of December, 2019</w:t>
      </w:r>
      <w:r w:rsidR="008160C9">
        <w:rPr>
          <w:rFonts w:ascii="Times New Roman" w:hAnsi="Times New Roman"/>
        </w:rPr>
        <w:t xml:space="preserve">, as clarified </w:t>
      </w:r>
      <w:r w:rsidR="008160C9" w:rsidRPr="00B00963">
        <w:rPr>
          <w:rFonts w:ascii="Times New Roman" w:hAnsi="Times New Roman"/>
        </w:rPr>
        <w:t xml:space="preserve">by action of the Commission in </w:t>
      </w:r>
      <w:r w:rsidR="008160C9">
        <w:rPr>
          <w:rFonts w:ascii="Times New Roman" w:hAnsi="Times New Roman"/>
        </w:rPr>
        <w:t>Administrative Session on the 4</w:t>
      </w:r>
      <w:r w:rsidR="008160C9" w:rsidRPr="00B00963">
        <w:rPr>
          <w:rFonts w:ascii="Times New Roman" w:hAnsi="Times New Roman"/>
        </w:rPr>
        <w:t xml:space="preserve">th of </w:t>
      </w:r>
      <w:r w:rsidR="008160C9">
        <w:rPr>
          <w:rFonts w:ascii="Times New Roman" w:hAnsi="Times New Roman"/>
        </w:rPr>
        <w:t>February 2020</w:t>
      </w:r>
      <w:r w:rsidRPr="00B00963">
        <w:rPr>
          <w:rFonts w:ascii="Times New Roman" w:hAnsi="Times New Roman"/>
        </w:rPr>
        <w:t>.</w:t>
      </w:r>
    </w:p>
    <w:p w14:paraId="0E632E4A" w14:textId="77777777" w:rsidR="003C0206" w:rsidRPr="00B00963" w:rsidRDefault="003C0206" w:rsidP="003C0206">
      <w:pPr>
        <w:jc w:val="both"/>
        <w:rPr>
          <w:rFonts w:ascii="Times New Roman" w:hAnsi="Times New Roman"/>
        </w:rPr>
      </w:pPr>
    </w:p>
    <w:p w14:paraId="0DF377D2" w14:textId="77777777" w:rsidR="003C0206" w:rsidRPr="00B00963" w:rsidRDefault="003C0206" w:rsidP="003C0206">
      <w:pPr>
        <w:jc w:val="both"/>
        <w:rPr>
          <w:rFonts w:ascii="Times New Roman" w:hAnsi="Times New Roman"/>
        </w:rPr>
      </w:pPr>
    </w:p>
    <w:p w14:paraId="504869D6" w14:textId="77777777" w:rsidR="003C0206" w:rsidRPr="00B00963" w:rsidRDefault="003C0206" w:rsidP="003C0206">
      <w:pPr>
        <w:jc w:val="both"/>
        <w:rPr>
          <w:rFonts w:ascii="Times New Roman" w:hAnsi="Times New Roman"/>
        </w:rPr>
      </w:pPr>
    </w:p>
    <w:p w14:paraId="05111994" w14:textId="77777777" w:rsidR="003C0206" w:rsidRPr="00B00963" w:rsidRDefault="003C0206" w:rsidP="003C0206">
      <w:pPr>
        <w:jc w:val="both"/>
        <w:rPr>
          <w:rFonts w:ascii="Times New Roman" w:hAnsi="Times New Roman"/>
        </w:rPr>
      </w:pPr>
      <w:r w:rsidRPr="00B00963">
        <w:rPr>
          <w:rFonts w:ascii="Times New Roman" w:hAnsi="Times New Roman"/>
        </w:rPr>
        <w:t>_________________________</w:t>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t>_________________________</w:t>
      </w:r>
    </w:p>
    <w:p w14:paraId="7C0EE647" w14:textId="6F99B61B" w:rsidR="003C0206" w:rsidRPr="00B00963" w:rsidRDefault="003C0206" w:rsidP="003C0206">
      <w:pPr>
        <w:tabs>
          <w:tab w:val="left" w:pos="-720"/>
        </w:tabs>
        <w:suppressAutoHyphens/>
        <w:jc w:val="both"/>
        <w:rPr>
          <w:rFonts w:ascii="Times New Roman" w:hAnsi="Times New Roman"/>
          <w:spacing w:val="-3"/>
          <w:szCs w:val="24"/>
        </w:rPr>
      </w:pPr>
      <w:r w:rsidRPr="00B00963">
        <w:rPr>
          <w:rFonts w:ascii="Times New Roman" w:hAnsi="Times New Roman"/>
        </w:rPr>
        <w:t>Reece McAlister</w:t>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00703DE3">
        <w:rPr>
          <w:rFonts w:ascii="Times New Roman" w:hAnsi="Times New Roman"/>
          <w:spacing w:val="-3"/>
          <w:szCs w:val="24"/>
        </w:rPr>
        <w:t>Chuck Eaton</w:t>
      </w:r>
    </w:p>
    <w:p w14:paraId="62A535BD" w14:textId="77777777" w:rsidR="003C0206" w:rsidRPr="00B00963" w:rsidRDefault="003C0206" w:rsidP="003C0206">
      <w:pPr>
        <w:tabs>
          <w:tab w:val="left" w:pos="5760"/>
        </w:tabs>
        <w:jc w:val="both"/>
        <w:rPr>
          <w:rFonts w:ascii="Times New Roman" w:hAnsi="Times New Roman"/>
        </w:rPr>
      </w:pPr>
      <w:r w:rsidRPr="00B00963">
        <w:rPr>
          <w:rFonts w:ascii="Times New Roman" w:hAnsi="Times New Roman"/>
        </w:rPr>
        <w:t>Executive Secretary</w:t>
      </w:r>
      <w:r w:rsidRPr="00B00963">
        <w:rPr>
          <w:rFonts w:ascii="Times New Roman" w:hAnsi="Times New Roman"/>
        </w:rPr>
        <w:tab/>
        <w:t>Chairman</w:t>
      </w:r>
    </w:p>
    <w:p w14:paraId="770B8EEA" w14:textId="77777777" w:rsidR="003C0206" w:rsidRPr="00B00963" w:rsidRDefault="003C0206" w:rsidP="003C0206">
      <w:pPr>
        <w:jc w:val="both"/>
        <w:rPr>
          <w:rFonts w:ascii="Times New Roman" w:hAnsi="Times New Roman"/>
        </w:rPr>
      </w:pPr>
    </w:p>
    <w:p w14:paraId="11769F7F" w14:textId="77777777" w:rsidR="003C0206" w:rsidRPr="00B00963" w:rsidRDefault="003C0206" w:rsidP="003C0206">
      <w:pPr>
        <w:jc w:val="both"/>
        <w:rPr>
          <w:rFonts w:ascii="Times New Roman" w:hAnsi="Times New Roman"/>
        </w:rPr>
      </w:pPr>
    </w:p>
    <w:p w14:paraId="0ED1819D" w14:textId="77777777" w:rsidR="003C0206" w:rsidRPr="00B00963" w:rsidRDefault="003C0206" w:rsidP="003C0206">
      <w:pPr>
        <w:jc w:val="both"/>
        <w:rPr>
          <w:rFonts w:ascii="Times New Roman" w:hAnsi="Times New Roman"/>
        </w:rPr>
      </w:pPr>
      <w:r w:rsidRPr="00B00963">
        <w:rPr>
          <w:rFonts w:ascii="Times New Roman" w:hAnsi="Times New Roman"/>
        </w:rPr>
        <w:t>_________________________</w:t>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t>__________________________</w:t>
      </w:r>
    </w:p>
    <w:p w14:paraId="16661989" w14:textId="77777777" w:rsidR="003C0206" w:rsidRPr="00B00963" w:rsidRDefault="003C0206" w:rsidP="003C0206">
      <w:pPr>
        <w:jc w:val="both"/>
        <w:rPr>
          <w:rFonts w:ascii="Times New Roman" w:hAnsi="Times New Roman"/>
        </w:rPr>
      </w:pPr>
      <w:r w:rsidRPr="00B00963">
        <w:rPr>
          <w:rFonts w:ascii="Times New Roman" w:hAnsi="Times New Roman"/>
        </w:rPr>
        <w:t>Date</w:t>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r>
      <w:r w:rsidRPr="00B00963">
        <w:rPr>
          <w:rFonts w:ascii="Times New Roman" w:hAnsi="Times New Roman"/>
        </w:rPr>
        <w:tab/>
        <w:t>Date</w:t>
      </w:r>
    </w:p>
    <w:p w14:paraId="65EE6AC5" w14:textId="77777777" w:rsidR="003C0206" w:rsidRDefault="003C0206"/>
    <w:sectPr w:rsidR="003C0206" w:rsidSect="00C45927">
      <w:footerReference w:type="even" r:id="rId8"/>
      <w:footerReference w:type="default" r:id="rId9"/>
      <w:footerReference w:type="first" r:id="rId10"/>
      <w:pgSz w:w="12240" w:h="15840" w:code="1"/>
      <w:pgMar w:top="1440" w:right="1440" w:bottom="1440" w:left="1440" w:header="720" w:footer="720" w:gutter="0"/>
      <w:paperSrc w:first="261" w:other="26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0D7E8" w16cid:durableId="21DBC2A4"/>
  <w16cid:commentId w16cid:paraId="593AA7E5" w16cid:durableId="21DBC2A5"/>
  <w16cid:commentId w16cid:paraId="0C1ACCCA" w16cid:durableId="21DBC2A6"/>
  <w16cid:commentId w16cid:paraId="19716105" w16cid:durableId="21DBC2A7"/>
  <w16cid:commentId w16cid:paraId="18ED1B32" w16cid:durableId="21DBC2A8"/>
  <w16cid:commentId w16cid:paraId="51866799" w16cid:durableId="21DBC2A9"/>
  <w16cid:commentId w16cid:paraId="7BABFAAE" w16cid:durableId="21DBC2AA"/>
  <w16cid:commentId w16cid:paraId="79FE1F35" w16cid:durableId="21DBC2AB"/>
  <w16cid:commentId w16cid:paraId="6FFC7761" w16cid:durableId="21DBC2AC"/>
  <w16cid:commentId w16cid:paraId="2BDCDB37" w16cid:durableId="21DBC2AD"/>
  <w16cid:commentId w16cid:paraId="3BA1393E" w16cid:durableId="21DBC2AE"/>
  <w16cid:commentId w16cid:paraId="413D4348" w16cid:durableId="21DBC2AF"/>
  <w16cid:commentId w16cid:paraId="27EDC171" w16cid:durableId="21DBC2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8836" w14:textId="77777777" w:rsidR="00CC352B" w:rsidRDefault="00CC352B" w:rsidP="00DE32F1">
      <w:r>
        <w:separator/>
      </w:r>
    </w:p>
  </w:endnote>
  <w:endnote w:type="continuationSeparator" w:id="0">
    <w:p w14:paraId="1FC9EC47" w14:textId="77777777" w:rsidR="00CC352B" w:rsidRDefault="00CC352B" w:rsidP="00DE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FD9D" w14:textId="74E2100C" w:rsidR="006A10D4" w:rsidRDefault="006A10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5E0">
      <w:rPr>
        <w:rStyle w:val="PageNumber"/>
        <w:noProof/>
      </w:rPr>
      <w:t>28</w:t>
    </w:r>
    <w:r>
      <w:rPr>
        <w:rStyle w:val="PageNumber"/>
      </w:rPr>
      <w:fldChar w:fldCharType="end"/>
    </w:r>
  </w:p>
  <w:p w14:paraId="5029575C" w14:textId="77777777" w:rsidR="006A10D4" w:rsidRDefault="006A10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C6211" w14:textId="77777777" w:rsidR="006A10D4" w:rsidRDefault="006A10D4" w:rsidP="00C45927">
    <w:pPr>
      <w:pStyle w:val="Footer"/>
      <w:rPr>
        <w:rFonts w:ascii="Times New Roman" w:hAnsi="Times New Roman"/>
      </w:rPr>
    </w:pPr>
    <w:r>
      <w:rPr>
        <w:rFonts w:ascii="Times New Roman" w:hAnsi="Times New Roman"/>
      </w:rPr>
      <w:tab/>
    </w:r>
  </w:p>
  <w:p w14:paraId="5DFB1179" w14:textId="77777777" w:rsidR="006A10D4" w:rsidRPr="00502472" w:rsidRDefault="006A10D4" w:rsidP="00C45927">
    <w:pPr>
      <w:pStyle w:val="Footer"/>
      <w:jc w:val="center"/>
      <w:rPr>
        <w:rFonts w:ascii="Times New Roman" w:hAnsi="Times New Roman"/>
        <w:b/>
        <w:sz w:val="20"/>
      </w:rPr>
    </w:pPr>
    <w:r w:rsidRPr="00502472">
      <w:rPr>
        <w:rFonts w:ascii="Times New Roman" w:hAnsi="Times New Roman"/>
        <w:b/>
        <w:sz w:val="20"/>
      </w:rPr>
      <w:t xml:space="preserve">Docket No. </w:t>
    </w:r>
    <w:r>
      <w:rPr>
        <w:rFonts w:ascii="Times New Roman" w:hAnsi="Times New Roman"/>
        <w:b/>
        <w:sz w:val="20"/>
      </w:rPr>
      <w:t>42516</w:t>
    </w:r>
  </w:p>
  <w:p w14:paraId="03DA2CFF" w14:textId="77777777" w:rsidR="006A10D4" w:rsidRDefault="006A10D4" w:rsidP="00C45927">
    <w:pPr>
      <w:pStyle w:val="Footer"/>
      <w:jc w:val="center"/>
      <w:rPr>
        <w:rFonts w:ascii="Times New Roman" w:hAnsi="Times New Roman"/>
        <w:b/>
        <w:sz w:val="20"/>
      </w:rPr>
    </w:pPr>
    <w:r w:rsidRPr="00502472">
      <w:rPr>
        <w:rFonts w:ascii="Times New Roman" w:hAnsi="Times New Roman"/>
        <w:b/>
        <w:sz w:val="20"/>
      </w:rPr>
      <w:t>O</w:t>
    </w:r>
    <w:r>
      <w:rPr>
        <w:rFonts w:ascii="Times New Roman" w:hAnsi="Times New Roman"/>
        <w:b/>
        <w:sz w:val="20"/>
      </w:rPr>
      <w:t>rder Adopting</w:t>
    </w:r>
  </w:p>
  <w:p w14:paraId="63FCE489" w14:textId="77777777" w:rsidR="006A10D4" w:rsidRPr="00502472" w:rsidRDefault="006A10D4" w:rsidP="00C45927">
    <w:pPr>
      <w:pStyle w:val="Footer"/>
      <w:jc w:val="center"/>
      <w:rPr>
        <w:rFonts w:ascii="Times New Roman" w:hAnsi="Times New Roman"/>
        <w:b/>
        <w:sz w:val="20"/>
      </w:rPr>
    </w:pPr>
    <w:r>
      <w:rPr>
        <w:rFonts w:ascii="Times New Roman" w:hAnsi="Times New Roman"/>
        <w:b/>
        <w:sz w:val="20"/>
      </w:rPr>
      <w:t xml:space="preserve">Settlement Agreement </w:t>
    </w:r>
  </w:p>
  <w:p w14:paraId="77D85AEB" w14:textId="34F86917" w:rsidR="006A10D4" w:rsidRPr="00502472" w:rsidRDefault="006A10D4" w:rsidP="00C45927">
    <w:pPr>
      <w:pStyle w:val="Footer"/>
      <w:jc w:val="center"/>
      <w:rPr>
        <w:rFonts w:ascii="Times New Roman" w:hAnsi="Times New Roman"/>
        <w:b/>
        <w:sz w:val="20"/>
      </w:rPr>
    </w:pPr>
    <w:r w:rsidRPr="00502472">
      <w:rPr>
        <w:rFonts w:ascii="Times New Roman" w:hAnsi="Times New Roman"/>
        <w:b/>
        <w:sz w:val="20"/>
      </w:rPr>
      <w:t xml:space="preserve">Page </w:t>
    </w:r>
    <w:r w:rsidRPr="00502472">
      <w:rPr>
        <w:rStyle w:val="PageNumber"/>
        <w:b/>
        <w:sz w:val="20"/>
      </w:rPr>
      <w:fldChar w:fldCharType="begin"/>
    </w:r>
    <w:r w:rsidRPr="00502472">
      <w:rPr>
        <w:rStyle w:val="PageNumber"/>
        <w:b/>
        <w:sz w:val="20"/>
      </w:rPr>
      <w:instrText xml:space="preserve"> PAGE </w:instrText>
    </w:r>
    <w:r w:rsidRPr="00502472">
      <w:rPr>
        <w:rStyle w:val="PageNumber"/>
        <w:b/>
        <w:sz w:val="20"/>
      </w:rPr>
      <w:fldChar w:fldCharType="separate"/>
    </w:r>
    <w:r w:rsidR="00F14061">
      <w:rPr>
        <w:rStyle w:val="PageNumber"/>
        <w:b/>
        <w:noProof/>
        <w:sz w:val="20"/>
      </w:rPr>
      <w:t>3</w:t>
    </w:r>
    <w:r w:rsidRPr="00502472">
      <w:rPr>
        <w:rStyle w:val="PageNumber"/>
        <w:b/>
        <w:sz w:val="20"/>
      </w:rPr>
      <w:fldChar w:fldCharType="end"/>
    </w:r>
    <w:r w:rsidRPr="00502472">
      <w:rPr>
        <w:rStyle w:val="PageNumber"/>
        <w:b/>
        <w:sz w:val="20"/>
      </w:rPr>
      <w:t xml:space="preserve"> of </w:t>
    </w:r>
    <w:r w:rsidRPr="00502472">
      <w:rPr>
        <w:rStyle w:val="PageNumber"/>
        <w:b/>
        <w:sz w:val="20"/>
      </w:rPr>
      <w:fldChar w:fldCharType="begin"/>
    </w:r>
    <w:r w:rsidRPr="00502472">
      <w:rPr>
        <w:rStyle w:val="PageNumber"/>
        <w:b/>
        <w:sz w:val="20"/>
      </w:rPr>
      <w:instrText xml:space="preserve"> NUMPAGES </w:instrText>
    </w:r>
    <w:r w:rsidRPr="00502472">
      <w:rPr>
        <w:rStyle w:val="PageNumber"/>
        <w:b/>
        <w:sz w:val="20"/>
      </w:rPr>
      <w:fldChar w:fldCharType="separate"/>
    </w:r>
    <w:r w:rsidR="00F14061">
      <w:rPr>
        <w:rStyle w:val="PageNumber"/>
        <w:b/>
        <w:noProof/>
        <w:sz w:val="20"/>
      </w:rPr>
      <w:t>29</w:t>
    </w:r>
    <w:r w:rsidRPr="00502472">
      <w:rPr>
        <w:rStyle w:val="PageNumber"/>
        <w:b/>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CDE9" w14:textId="77777777" w:rsidR="006A10D4" w:rsidRDefault="006A10D4" w:rsidP="00C45927">
    <w:pPr>
      <w:pStyle w:val="Footer"/>
      <w:jc w:val="center"/>
      <w:rPr>
        <w:rFonts w:ascii="Times New Roman" w:hAnsi="Times New Roman"/>
      </w:rPr>
    </w:pPr>
  </w:p>
  <w:p w14:paraId="01502CA1" w14:textId="77777777" w:rsidR="006A10D4" w:rsidRPr="00502472" w:rsidRDefault="006A10D4" w:rsidP="00C45927">
    <w:pPr>
      <w:pStyle w:val="Footer"/>
      <w:jc w:val="center"/>
      <w:rPr>
        <w:rFonts w:ascii="Times New Roman" w:hAnsi="Times New Roman"/>
        <w:b/>
        <w:sz w:val="20"/>
      </w:rPr>
    </w:pPr>
    <w:r w:rsidRPr="00502472">
      <w:rPr>
        <w:rFonts w:ascii="Times New Roman" w:hAnsi="Times New Roman"/>
        <w:b/>
        <w:sz w:val="20"/>
      </w:rPr>
      <w:t>Docket No. 36989</w:t>
    </w:r>
  </w:p>
  <w:p w14:paraId="7BCCCCD0" w14:textId="77777777" w:rsidR="006A10D4" w:rsidRPr="00502472" w:rsidRDefault="006A10D4" w:rsidP="00C45927">
    <w:pPr>
      <w:pStyle w:val="Footer"/>
      <w:jc w:val="center"/>
      <w:rPr>
        <w:rFonts w:ascii="Times New Roman" w:hAnsi="Times New Roman"/>
        <w:b/>
        <w:sz w:val="20"/>
      </w:rPr>
    </w:pPr>
    <w:r w:rsidRPr="00502472">
      <w:rPr>
        <w:rFonts w:ascii="Times New Roman" w:hAnsi="Times New Roman"/>
        <w:b/>
        <w:sz w:val="20"/>
      </w:rPr>
      <w:t>FINAL ORDER</w:t>
    </w:r>
  </w:p>
  <w:p w14:paraId="7ADA4DD5" w14:textId="43EC660A" w:rsidR="006A10D4" w:rsidRPr="00502472" w:rsidRDefault="006A10D4" w:rsidP="00C45927">
    <w:pPr>
      <w:pStyle w:val="Footer"/>
      <w:jc w:val="center"/>
      <w:rPr>
        <w:rFonts w:ascii="Times New Roman" w:hAnsi="Times New Roman"/>
        <w:b/>
        <w:sz w:val="20"/>
      </w:rPr>
    </w:pPr>
    <w:r w:rsidRPr="00502472">
      <w:rPr>
        <w:rFonts w:ascii="Times New Roman" w:hAnsi="Times New Roman"/>
        <w:b/>
        <w:sz w:val="20"/>
      </w:rPr>
      <w:t xml:space="preserve">Page </w:t>
    </w:r>
    <w:r w:rsidRPr="00502472">
      <w:rPr>
        <w:rStyle w:val="PageNumber"/>
        <w:b/>
        <w:sz w:val="20"/>
      </w:rPr>
      <w:fldChar w:fldCharType="begin"/>
    </w:r>
    <w:r w:rsidRPr="00502472">
      <w:rPr>
        <w:rStyle w:val="PageNumber"/>
        <w:b/>
        <w:sz w:val="20"/>
      </w:rPr>
      <w:instrText xml:space="preserve"> PAGE </w:instrText>
    </w:r>
    <w:r w:rsidRPr="00502472">
      <w:rPr>
        <w:rStyle w:val="PageNumber"/>
        <w:b/>
        <w:sz w:val="20"/>
      </w:rPr>
      <w:fldChar w:fldCharType="separate"/>
    </w:r>
    <w:r w:rsidR="00A665E0">
      <w:rPr>
        <w:rStyle w:val="PageNumber"/>
        <w:b/>
        <w:noProof/>
        <w:sz w:val="20"/>
      </w:rPr>
      <w:t>28</w:t>
    </w:r>
    <w:r w:rsidRPr="00502472">
      <w:rPr>
        <w:rStyle w:val="PageNumber"/>
        <w:b/>
        <w:sz w:val="20"/>
      </w:rPr>
      <w:fldChar w:fldCharType="end"/>
    </w:r>
    <w:r w:rsidRPr="00502472">
      <w:rPr>
        <w:rStyle w:val="PageNumber"/>
        <w:b/>
        <w:sz w:val="20"/>
      </w:rPr>
      <w:t xml:space="preserve"> of </w:t>
    </w:r>
    <w:r w:rsidRPr="00502472">
      <w:rPr>
        <w:rStyle w:val="PageNumber"/>
        <w:b/>
        <w:sz w:val="20"/>
      </w:rPr>
      <w:fldChar w:fldCharType="begin"/>
    </w:r>
    <w:r w:rsidRPr="00502472">
      <w:rPr>
        <w:rStyle w:val="PageNumber"/>
        <w:b/>
        <w:sz w:val="20"/>
      </w:rPr>
      <w:instrText xml:space="preserve"> NUMPAGES </w:instrText>
    </w:r>
    <w:r w:rsidRPr="00502472">
      <w:rPr>
        <w:rStyle w:val="PageNumber"/>
        <w:b/>
        <w:sz w:val="20"/>
      </w:rPr>
      <w:fldChar w:fldCharType="separate"/>
    </w:r>
    <w:r w:rsidR="00A665E0">
      <w:rPr>
        <w:rStyle w:val="PageNumber"/>
        <w:b/>
        <w:noProof/>
        <w:sz w:val="20"/>
      </w:rPr>
      <w:t>28</w:t>
    </w:r>
    <w:r w:rsidRPr="00502472">
      <w:rPr>
        <w:rStyle w:val="PageNumbe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C32BA" w14:textId="77777777" w:rsidR="00CC352B" w:rsidRDefault="00CC352B" w:rsidP="00DE32F1">
      <w:r>
        <w:separator/>
      </w:r>
    </w:p>
  </w:footnote>
  <w:footnote w:type="continuationSeparator" w:id="0">
    <w:p w14:paraId="459E6551" w14:textId="77777777" w:rsidR="00CC352B" w:rsidRDefault="00CC352B" w:rsidP="00DE32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C109E"/>
    <w:multiLevelType w:val="hybridMultilevel"/>
    <w:tmpl w:val="B1440A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04096D"/>
    <w:multiLevelType w:val="singleLevel"/>
    <w:tmpl w:val="F716A11C"/>
    <w:lvl w:ilvl="0">
      <w:start w:val="1"/>
      <w:numFmt w:val="upperRoman"/>
      <w:pStyle w:val="Heading7"/>
      <w:lvlText w:val="%1."/>
      <w:lvlJc w:val="left"/>
      <w:pPr>
        <w:tabs>
          <w:tab w:val="num" w:pos="720"/>
        </w:tabs>
        <w:ind w:left="720" w:hanging="72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06"/>
    <w:rsid w:val="000145AA"/>
    <w:rsid w:val="00016742"/>
    <w:rsid w:val="000253BA"/>
    <w:rsid w:val="00036E01"/>
    <w:rsid w:val="00050451"/>
    <w:rsid w:val="00051ACA"/>
    <w:rsid w:val="00053F3C"/>
    <w:rsid w:val="00066009"/>
    <w:rsid w:val="0008735E"/>
    <w:rsid w:val="000A0968"/>
    <w:rsid w:val="000A6534"/>
    <w:rsid w:val="000B2F4C"/>
    <w:rsid w:val="000B3EF3"/>
    <w:rsid w:val="000B56A6"/>
    <w:rsid w:val="000D501B"/>
    <w:rsid w:val="000F0CEA"/>
    <w:rsid w:val="000F461F"/>
    <w:rsid w:val="000F6577"/>
    <w:rsid w:val="00106850"/>
    <w:rsid w:val="00124FE6"/>
    <w:rsid w:val="001273C3"/>
    <w:rsid w:val="0013304A"/>
    <w:rsid w:val="00145645"/>
    <w:rsid w:val="00145EAC"/>
    <w:rsid w:val="001661BA"/>
    <w:rsid w:val="00170DA7"/>
    <w:rsid w:val="00181759"/>
    <w:rsid w:val="00182DB2"/>
    <w:rsid w:val="0019651A"/>
    <w:rsid w:val="001B6B1B"/>
    <w:rsid w:val="001D66F8"/>
    <w:rsid w:val="001E766F"/>
    <w:rsid w:val="001F426F"/>
    <w:rsid w:val="00213317"/>
    <w:rsid w:val="00215BBB"/>
    <w:rsid w:val="00220762"/>
    <w:rsid w:val="002227FF"/>
    <w:rsid w:val="00223F9B"/>
    <w:rsid w:val="00224450"/>
    <w:rsid w:val="00233FB2"/>
    <w:rsid w:val="0025127B"/>
    <w:rsid w:val="00252AB6"/>
    <w:rsid w:val="002579F6"/>
    <w:rsid w:val="0027224B"/>
    <w:rsid w:val="002739F9"/>
    <w:rsid w:val="00283994"/>
    <w:rsid w:val="002853FC"/>
    <w:rsid w:val="002A35A7"/>
    <w:rsid w:val="002B6BB2"/>
    <w:rsid w:val="002C5465"/>
    <w:rsid w:val="002D1462"/>
    <w:rsid w:val="002D5484"/>
    <w:rsid w:val="002E11E4"/>
    <w:rsid w:val="002E2F47"/>
    <w:rsid w:val="002F3AD7"/>
    <w:rsid w:val="002F5466"/>
    <w:rsid w:val="002F6012"/>
    <w:rsid w:val="002F708B"/>
    <w:rsid w:val="003005C6"/>
    <w:rsid w:val="0030136A"/>
    <w:rsid w:val="003219C5"/>
    <w:rsid w:val="00326C9A"/>
    <w:rsid w:val="00331288"/>
    <w:rsid w:val="00335C50"/>
    <w:rsid w:val="00341EEE"/>
    <w:rsid w:val="00352F54"/>
    <w:rsid w:val="00353135"/>
    <w:rsid w:val="00353F5A"/>
    <w:rsid w:val="0035667E"/>
    <w:rsid w:val="003566C8"/>
    <w:rsid w:val="0036163E"/>
    <w:rsid w:val="003A3413"/>
    <w:rsid w:val="003B1A84"/>
    <w:rsid w:val="003B73EF"/>
    <w:rsid w:val="003C0206"/>
    <w:rsid w:val="003C734E"/>
    <w:rsid w:val="003E7973"/>
    <w:rsid w:val="003F1CA6"/>
    <w:rsid w:val="003F5C89"/>
    <w:rsid w:val="003F6755"/>
    <w:rsid w:val="00407C9C"/>
    <w:rsid w:val="0042156F"/>
    <w:rsid w:val="0042669D"/>
    <w:rsid w:val="00441D67"/>
    <w:rsid w:val="004537E3"/>
    <w:rsid w:val="00454B3D"/>
    <w:rsid w:val="00455D70"/>
    <w:rsid w:val="0048337B"/>
    <w:rsid w:val="0048497E"/>
    <w:rsid w:val="00491F3A"/>
    <w:rsid w:val="00492B97"/>
    <w:rsid w:val="004C2E36"/>
    <w:rsid w:val="004E4268"/>
    <w:rsid w:val="004F1CFA"/>
    <w:rsid w:val="00507C26"/>
    <w:rsid w:val="00514DAF"/>
    <w:rsid w:val="00520AEB"/>
    <w:rsid w:val="00521942"/>
    <w:rsid w:val="00532D11"/>
    <w:rsid w:val="00534EFB"/>
    <w:rsid w:val="00536027"/>
    <w:rsid w:val="00551047"/>
    <w:rsid w:val="00557A95"/>
    <w:rsid w:val="00561D15"/>
    <w:rsid w:val="00562FAF"/>
    <w:rsid w:val="00573C10"/>
    <w:rsid w:val="00580012"/>
    <w:rsid w:val="005842A0"/>
    <w:rsid w:val="0058662D"/>
    <w:rsid w:val="00593901"/>
    <w:rsid w:val="005A43B0"/>
    <w:rsid w:val="0060539F"/>
    <w:rsid w:val="0061486F"/>
    <w:rsid w:val="00616AF5"/>
    <w:rsid w:val="00621B5C"/>
    <w:rsid w:val="00622EDA"/>
    <w:rsid w:val="00631C52"/>
    <w:rsid w:val="006343C1"/>
    <w:rsid w:val="006402B1"/>
    <w:rsid w:val="00641A53"/>
    <w:rsid w:val="006520D6"/>
    <w:rsid w:val="006526F8"/>
    <w:rsid w:val="006543A3"/>
    <w:rsid w:val="00656A5A"/>
    <w:rsid w:val="00660CC5"/>
    <w:rsid w:val="00693DD0"/>
    <w:rsid w:val="006940A2"/>
    <w:rsid w:val="00696FDE"/>
    <w:rsid w:val="006A10D4"/>
    <w:rsid w:val="006A3BA1"/>
    <w:rsid w:val="006A4850"/>
    <w:rsid w:val="006A5041"/>
    <w:rsid w:val="006A6D56"/>
    <w:rsid w:val="006B277D"/>
    <w:rsid w:val="006E4442"/>
    <w:rsid w:val="00701EA6"/>
    <w:rsid w:val="00703DE3"/>
    <w:rsid w:val="00707BAB"/>
    <w:rsid w:val="00710B30"/>
    <w:rsid w:val="00725AEA"/>
    <w:rsid w:val="00731375"/>
    <w:rsid w:val="00737E7D"/>
    <w:rsid w:val="00741A01"/>
    <w:rsid w:val="00746060"/>
    <w:rsid w:val="00762EA6"/>
    <w:rsid w:val="00765FF7"/>
    <w:rsid w:val="00773C3D"/>
    <w:rsid w:val="00777CB6"/>
    <w:rsid w:val="00777D08"/>
    <w:rsid w:val="0079234C"/>
    <w:rsid w:val="00795D35"/>
    <w:rsid w:val="007A4557"/>
    <w:rsid w:val="007A463C"/>
    <w:rsid w:val="007A4BF8"/>
    <w:rsid w:val="007C3561"/>
    <w:rsid w:val="007D388F"/>
    <w:rsid w:val="007D39F5"/>
    <w:rsid w:val="007D5497"/>
    <w:rsid w:val="007D636F"/>
    <w:rsid w:val="007E26DC"/>
    <w:rsid w:val="007F152B"/>
    <w:rsid w:val="0080058D"/>
    <w:rsid w:val="00802B27"/>
    <w:rsid w:val="00807350"/>
    <w:rsid w:val="008160C9"/>
    <w:rsid w:val="00816B9B"/>
    <w:rsid w:val="00823582"/>
    <w:rsid w:val="00826DDB"/>
    <w:rsid w:val="0083144B"/>
    <w:rsid w:val="00840DEA"/>
    <w:rsid w:val="008425B0"/>
    <w:rsid w:val="00855464"/>
    <w:rsid w:val="00857CEB"/>
    <w:rsid w:val="00866B00"/>
    <w:rsid w:val="00882C90"/>
    <w:rsid w:val="00885071"/>
    <w:rsid w:val="00885E7D"/>
    <w:rsid w:val="00887952"/>
    <w:rsid w:val="00894B4E"/>
    <w:rsid w:val="008B00ED"/>
    <w:rsid w:val="008C0074"/>
    <w:rsid w:val="008D0F2F"/>
    <w:rsid w:val="008E30DF"/>
    <w:rsid w:val="008F0CEC"/>
    <w:rsid w:val="008F565E"/>
    <w:rsid w:val="00905183"/>
    <w:rsid w:val="009072A9"/>
    <w:rsid w:val="00910143"/>
    <w:rsid w:val="00917A0F"/>
    <w:rsid w:val="00917BDC"/>
    <w:rsid w:val="00925FFE"/>
    <w:rsid w:val="0093442A"/>
    <w:rsid w:val="009372C6"/>
    <w:rsid w:val="00942D4A"/>
    <w:rsid w:val="00950452"/>
    <w:rsid w:val="0096564F"/>
    <w:rsid w:val="009745AD"/>
    <w:rsid w:val="009762BE"/>
    <w:rsid w:val="00976DE2"/>
    <w:rsid w:val="00993C6B"/>
    <w:rsid w:val="009945D5"/>
    <w:rsid w:val="009953E5"/>
    <w:rsid w:val="009C7B1D"/>
    <w:rsid w:val="009D3560"/>
    <w:rsid w:val="009E0BE2"/>
    <w:rsid w:val="009E1303"/>
    <w:rsid w:val="009E1C29"/>
    <w:rsid w:val="009E6681"/>
    <w:rsid w:val="009F2567"/>
    <w:rsid w:val="009F7BCD"/>
    <w:rsid w:val="00A00DF0"/>
    <w:rsid w:val="00A02D90"/>
    <w:rsid w:val="00A07371"/>
    <w:rsid w:val="00A11DFE"/>
    <w:rsid w:val="00A141EF"/>
    <w:rsid w:val="00A53181"/>
    <w:rsid w:val="00A57D9D"/>
    <w:rsid w:val="00A665E0"/>
    <w:rsid w:val="00A75529"/>
    <w:rsid w:val="00AB07E9"/>
    <w:rsid w:val="00AB0939"/>
    <w:rsid w:val="00AB4177"/>
    <w:rsid w:val="00AC5486"/>
    <w:rsid w:val="00AE3A00"/>
    <w:rsid w:val="00AE4A24"/>
    <w:rsid w:val="00B019F8"/>
    <w:rsid w:val="00B043C0"/>
    <w:rsid w:val="00B10FC3"/>
    <w:rsid w:val="00B13BFA"/>
    <w:rsid w:val="00B40971"/>
    <w:rsid w:val="00B5275D"/>
    <w:rsid w:val="00B572BB"/>
    <w:rsid w:val="00B6133A"/>
    <w:rsid w:val="00B63305"/>
    <w:rsid w:val="00B66D92"/>
    <w:rsid w:val="00B97176"/>
    <w:rsid w:val="00B97C4C"/>
    <w:rsid w:val="00BA38B7"/>
    <w:rsid w:val="00BA4E1F"/>
    <w:rsid w:val="00BC0383"/>
    <w:rsid w:val="00BD3021"/>
    <w:rsid w:val="00BE40DE"/>
    <w:rsid w:val="00BF5E33"/>
    <w:rsid w:val="00C05421"/>
    <w:rsid w:val="00C17DE1"/>
    <w:rsid w:val="00C20072"/>
    <w:rsid w:val="00C2564A"/>
    <w:rsid w:val="00C33784"/>
    <w:rsid w:val="00C425A7"/>
    <w:rsid w:val="00C43F50"/>
    <w:rsid w:val="00C45927"/>
    <w:rsid w:val="00C547C0"/>
    <w:rsid w:val="00C678DA"/>
    <w:rsid w:val="00C7015A"/>
    <w:rsid w:val="00C74DB1"/>
    <w:rsid w:val="00C81D4C"/>
    <w:rsid w:val="00C81DFD"/>
    <w:rsid w:val="00C827B9"/>
    <w:rsid w:val="00C82C30"/>
    <w:rsid w:val="00C85C31"/>
    <w:rsid w:val="00C92AF8"/>
    <w:rsid w:val="00CA0AA8"/>
    <w:rsid w:val="00CA1905"/>
    <w:rsid w:val="00CA2934"/>
    <w:rsid w:val="00CA33FB"/>
    <w:rsid w:val="00CC352B"/>
    <w:rsid w:val="00CD5DDC"/>
    <w:rsid w:val="00CE2C66"/>
    <w:rsid w:val="00CE64A3"/>
    <w:rsid w:val="00D0575A"/>
    <w:rsid w:val="00D05B33"/>
    <w:rsid w:val="00D10C39"/>
    <w:rsid w:val="00D11C07"/>
    <w:rsid w:val="00D20EFF"/>
    <w:rsid w:val="00D412B8"/>
    <w:rsid w:val="00D70A0D"/>
    <w:rsid w:val="00D77605"/>
    <w:rsid w:val="00D776CD"/>
    <w:rsid w:val="00D97EF9"/>
    <w:rsid w:val="00DA0B58"/>
    <w:rsid w:val="00DA4650"/>
    <w:rsid w:val="00DC5F90"/>
    <w:rsid w:val="00DD0273"/>
    <w:rsid w:val="00DD3D9D"/>
    <w:rsid w:val="00DD6ECC"/>
    <w:rsid w:val="00DE32F1"/>
    <w:rsid w:val="00E12791"/>
    <w:rsid w:val="00E15B0F"/>
    <w:rsid w:val="00E21136"/>
    <w:rsid w:val="00E23A3C"/>
    <w:rsid w:val="00E24FF1"/>
    <w:rsid w:val="00E33CB0"/>
    <w:rsid w:val="00E34C7F"/>
    <w:rsid w:val="00E377C6"/>
    <w:rsid w:val="00E525B2"/>
    <w:rsid w:val="00E572E4"/>
    <w:rsid w:val="00E62B84"/>
    <w:rsid w:val="00E72DE4"/>
    <w:rsid w:val="00E87401"/>
    <w:rsid w:val="00E95713"/>
    <w:rsid w:val="00EA2238"/>
    <w:rsid w:val="00EA730E"/>
    <w:rsid w:val="00ED0CD4"/>
    <w:rsid w:val="00EF05F1"/>
    <w:rsid w:val="00EF3304"/>
    <w:rsid w:val="00F0512D"/>
    <w:rsid w:val="00F14061"/>
    <w:rsid w:val="00F17D59"/>
    <w:rsid w:val="00F27BC9"/>
    <w:rsid w:val="00F43E8D"/>
    <w:rsid w:val="00F55F1A"/>
    <w:rsid w:val="00F56FC8"/>
    <w:rsid w:val="00F71187"/>
    <w:rsid w:val="00F76C87"/>
    <w:rsid w:val="00F83567"/>
    <w:rsid w:val="00F844FC"/>
    <w:rsid w:val="00F85D64"/>
    <w:rsid w:val="00FA64D2"/>
    <w:rsid w:val="00FC018A"/>
    <w:rsid w:val="00FC2B23"/>
    <w:rsid w:val="00FD6EED"/>
    <w:rsid w:val="00FF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6D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06"/>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3C0206"/>
    <w:pPr>
      <w:keepNext/>
      <w:outlineLvl w:val="0"/>
    </w:pPr>
    <w:rPr>
      <w:b/>
    </w:rPr>
  </w:style>
  <w:style w:type="paragraph" w:styleId="Heading4">
    <w:name w:val="heading 4"/>
    <w:basedOn w:val="Normal"/>
    <w:next w:val="Normal"/>
    <w:link w:val="Heading4Char"/>
    <w:uiPriority w:val="99"/>
    <w:qFormat/>
    <w:rsid w:val="003C0206"/>
    <w:pPr>
      <w:keepNext/>
      <w:ind w:firstLine="720"/>
      <w:jc w:val="center"/>
      <w:outlineLvl w:val="3"/>
    </w:pPr>
    <w:rPr>
      <w:rFonts w:ascii="Times New Roman" w:hAnsi="Times New Roman"/>
      <w:u w:val="single"/>
    </w:rPr>
  </w:style>
  <w:style w:type="paragraph" w:styleId="Heading5">
    <w:name w:val="heading 5"/>
    <w:basedOn w:val="Normal"/>
    <w:next w:val="Normal"/>
    <w:link w:val="Heading5Char"/>
    <w:uiPriority w:val="99"/>
    <w:qFormat/>
    <w:rsid w:val="003C0206"/>
    <w:pPr>
      <w:keepNext/>
      <w:ind w:firstLine="720"/>
      <w:jc w:val="center"/>
      <w:outlineLvl w:val="4"/>
    </w:pPr>
    <w:rPr>
      <w:rFonts w:ascii="Times New Roman" w:hAnsi="Times New Roman"/>
      <w:b/>
      <w:u w:val="single"/>
    </w:rPr>
  </w:style>
  <w:style w:type="paragraph" w:styleId="Heading7">
    <w:name w:val="heading 7"/>
    <w:basedOn w:val="Normal"/>
    <w:next w:val="Normal"/>
    <w:link w:val="Heading7Char"/>
    <w:uiPriority w:val="99"/>
    <w:qFormat/>
    <w:rsid w:val="003C0206"/>
    <w:pPr>
      <w:keepNext/>
      <w:numPr>
        <w:numId w:val="1"/>
      </w:numPr>
      <w:outlineLvl w:val="6"/>
    </w:pPr>
    <w:rPr>
      <w:rFonts w:ascii="Arial" w:hAnsi="Arial"/>
      <w:b/>
      <w:u w:val="single"/>
    </w:rPr>
  </w:style>
  <w:style w:type="paragraph" w:styleId="Heading9">
    <w:name w:val="heading 9"/>
    <w:basedOn w:val="Normal"/>
    <w:next w:val="Normal"/>
    <w:link w:val="Heading9Char"/>
    <w:uiPriority w:val="99"/>
    <w:qFormat/>
    <w:rsid w:val="003C0206"/>
    <w:pPr>
      <w:keepNext/>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206"/>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9"/>
    <w:rsid w:val="003C0206"/>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uiPriority w:val="99"/>
    <w:rsid w:val="003C0206"/>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uiPriority w:val="99"/>
    <w:rsid w:val="003C0206"/>
    <w:rPr>
      <w:rFonts w:ascii="Arial" w:eastAsia="Times New Roman" w:hAnsi="Arial" w:cs="Times New Roman"/>
      <w:b/>
      <w:sz w:val="24"/>
      <w:szCs w:val="20"/>
      <w:u w:val="single"/>
    </w:rPr>
  </w:style>
  <w:style w:type="character" w:customStyle="1" w:styleId="Heading9Char">
    <w:name w:val="Heading 9 Char"/>
    <w:basedOn w:val="DefaultParagraphFont"/>
    <w:link w:val="Heading9"/>
    <w:uiPriority w:val="99"/>
    <w:rsid w:val="003C0206"/>
    <w:rPr>
      <w:rFonts w:ascii="Arial" w:eastAsia="Times New Roman" w:hAnsi="Arial" w:cs="Times New Roman"/>
      <w:sz w:val="24"/>
      <w:szCs w:val="20"/>
    </w:rPr>
  </w:style>
  <w:style w:type="paragraph" w:customStyle="1" w:styleId="BodyText1">
    <w:name w:val="Body Text1"/>
    <w:basedOn w:val="Normal"/>
    <w:uiPriority w:val="99"/>
    <w:rsid w:val="003C0206"/>
    <w:pPr>
      <w:tabs>
        <w:tab w:val="left" w:pos="720"/>
      </w:tabs>
      <w:spacing w:line="480" w:lineRule="auto"/>
      <w:ind w:firstLine="720"/>
    </w:pPr>
  </w:style>
  <w:style w:type="paragraph" w:styleId="BodyTextIndent">
    <w:name w:val="Body Text Indent"/>
    <w:basedOn w:val="Normal"/>
    <w:link w:val="BodyTextIndentChar"/>
    <w:uiPriority w:val="99"/>
    <w:rsid w:val="003C0206"/>
    <w:pPr>
      <w:ind w:left="720" w:firstLine="720"/>
    </w:pPr>
    <w:rPr>
      <w:rFonts w:ascii="Arial" w:hAnsi="Arial"/>
      <w:sz w:val="20"/>
    </w:rPr>
  </w:style>
  <w:style w:type="character" w:customStyle="1" w:styleId="BodyTextIndentChar">
    <w:name w:val="Body Text Indent Char"/>
    <w:basedOn w:val="DefaultParagraphFont"/>
    <w:link w:val="BodyTextIndent"/>
    <w:uiPriority w:val="99"/>
    <w:rsid w:val="003C0206"/>
    <w:rPr>
      <w:rFonts w:ascii="Arial" w:eastAsia="Times New Roman" w:hAnsi="Arial" w:cs="Times New Roman"/>
      <w:sz w:val="20"/>
      <w:szCs w:val="20"/>
    </w:rPr>
  </w:style>
  <w:style w:type="paragraph" w:styleId="BodyTextIndent3">
    <w:name w:val="Body Text Indent 3"/>
    <w:basedOn w:val="Normal"/>
    <w:link w:val="BodyTextIndent3Char"/>
    <w:uiPriority w:val="99"/>
    <w:rsid w:val="003C0206"/>
    <w:pPr>
      <w:ind w:firstLine="720"/>
    </w:pPr>
    <w:rPr>
      <w:rFonts w:ascii="Arial" w:hAnsi="Arial"/>
    </w:rPr>
  </w:style>
  <w:style w:type="character" w:customStyle="1" w:styleId="BodyTextIndent3Char">
    <w:name w:val="Body Text Indent 3 Char"/>
    <w:basedOn w:val="DefaultParagraphFont"/>
    <w:link w:val="BodyTextIndent3"/>
    <w:uiPriority w:val="99"/>
    <w:rsid w:val="003C0206"/>
    <w:rPr>
      <w:rFonts w:ascii="Arial" w:eastAsia="Times New Roman" w:hAnsi="Arial" w:cs="Times New Roman"/>
      <w:sz w:val="24"/>
      <w:szCs w:val="20"/>
    </w:rPr>
  </w:style>
  <w:style w:type="paragraph" w:styleId="Footer">
    <w:name w:val="footer"/>
    <w:basedOn w:val="Normal"/>
    <w:link w:val="FooterChar"/>
    <w:uiPriority w:val="99"/>
    <w:rsid w:val="003C0206"/>
    <w:pPr>
      <w:tabs>
        <w:tab w:val="center" w:pos="4320"/>
        <w:tab w:val="right" w:pos="8640"/>
      </w:tabs>
    </w:pPr>
  </w:style>
  <w:style w:type="character" w:customStyle="1" w:styleId="FooterChar">
    <w:name w:val="Footer Char"/>
    <w:basedOn w:val="DefaultParagraphFont"/>
    <w:link w:val="Footer"/>
    <w:uiPriority w:val="99"/>
    <w:rsid w:val="003C0206"/>
    <w:rPr>
      <w:rFonts w:ascii="Courier New" w:eastAsia="Times New Roman" w:hAnsi="Courier New" w:cs="Times New Roman"/>
      <w:sz w:val="24"/>
      <w:szCs w:val="20"/>
    </w:rPr>
  </w:style>
  <w:style w:type="character" w:styleId="FootnoteReference">
    <w:name w:val="footnote reference"/>
    <w:basedOn w:val="DefaultParagraphFont"/>
    <w:uiPriority w:val="99"/>
    <w:semiHidden/>
    <w:rsid w:val="003C0206"/>
    <w:rPr>
      <w:rFonts w:ascii="Courier New" w:hAnsi="Courier New" w:cs="Times New Roman"/>
      <w:sz w:val="20"/>
      <w:vertAlign w:val="superscript"/>
    </w:rPr>
  </w:style>
  <w:style w:type="character" w:styleId="PageNumber">
    <w:name w:val="page number"/>
    <w:basedOn w:val="DefaultParagraphFont"/>
    <w:uiPriority w:val="99"/>
    <w:rsid w:val="003C0206"/>
    <w:rPr>
      <w:rFonts w:ascii="Times New Roman" w:hAnsi="Times New Roman" w:cs="Times New Roman"/>
      <w:sz w:val="24"/>
    </w:rPr>
  </w:style>
  <w:style w:type="paragraph" w:styleId="BodyText">
    <w:name w:val="Body Text"/>
    <w:basedOn w:val="Normal"/>
    <w:link w:val="BodyTextChar"/>
    <w:uiPriority w:val="99"/>
    <w:rsid w:val="003C0206"/>
    <w:pPr>
      <w:jc w:val="both"/>
    </w:pPr>
    <w:rPr>
      <w:rFonts w:ascii="Arial" w:hAnsi="Arial"/>
    </w:rPr>
  </w:style>
  <w:style w:type="character" w:customStyle="1" w:styleId="BodyTextChar">
    <w:name w:val="Body Text Char"/>
    <w:basedOn w:val="DefaultParagraphFont"/>
    <w:link w:val="BodyText"/>
    <w:uiPriority w:val="99"/>
    <w:rsid w:val="003C0206"/>
    <w:rPr>
      <w:rFonts w:ascii="Arial" w:eastAsia="Times New Roman" w:hAnsi="Arial" w:cs="Times New Roman"/>
      <w:sz w:val="24"/>
      <w:szCs w:val="20"/>
    </w:rPr>
  </w:style>
  <w:style w:type="paragraph" w:styleId="BodyTextIndent2">
    <w:name w:val="Body Text Indent 2"/>
    <w:basedOn w:val="Normal"/>
    <w:link w:val="BodyTextIndent2Char"/>
    <w:uiPriority w:val="99"/>
    <w:rsid w:val="003C0206"/>
    <w:pPr>
      <w:ind w:firstLine="720"/>
      <w:jc w:val="both"/>
    </w:pPr>
    <w:rPr>
      <w:rFonts w:ascii="Times New Roman" w:hAnsi="Times New Roman"/>
    </w:rPr>
  </w:style>
  <w:style w:type="character" w:customStyle="1" w:styleId="BodyTextIndent2Char">
    <w:name w:val="Body Text Indent 2 Char"/>
    <w:basedOn w:val="DefaultParagraphFont"/>
    <w:link w:val="BodyTextIndent2"/>
    <w:uiPriority w:val="99"/>
    <w:rsid w:val="003C0206"/>
    <w:rPr>
      <w:rFonts w:ascii="Times New Roman" w:eastAsia="Times New Roman" w:hAnsi="Times New Roman" w:cs="Times New Roman"/>
      <w:sz w:val="24"/>
      <w:szCs w:val="20"/>
    </w:rPr>
  </w:style>
  <w:style w:type="paragraph" w:styleId="BlockText">
    <w:name w:val="Block Text"/>
    <w:basedOn w:val="Normal"/>
    <w:uiPriority w:val="99"/>
    <w:rsid w:val="003C0206"/>
    <w:pPr>
      <w:ind w:left="1440" w:right="1440"/>
    </w:pPr>
    <w:rPr>
      <w:rFonts w:ascii="Arial" w:hAnsi="Arial"/>
      <w:sz w:val="20"/>
    </w:rPr>
  </w:style>
  <w:style w:type="paragraph" w:customStyle="1" w:styleId="TestimonyAnswer">
    <w:name w:val="Testimony Answer"/>
    <w:basedOn w:val="Normal"/>
    <w:uiPriority w:val="99"/>
    <w:rsid w:val="003C0206"/>
    <w:pPr>
      <w:tabs>
        <w:tab w:val="left" w:pos="720"/>
        <w:tab w:val="right" w:leader="dot" w:pos="8640"/>
        <w:tab w:val="left" w:pos="9240"/>
      </w:tabs>
      <w:spacing w:after="360" w:line="360" w:lineRule="auto"/>
      <w:ind w:left="720" w:hanging="720"/>
      <w:jc w:val="both"/>
    </w:pPr>
    <w:rPr>
      <w:rFonts w:ascii="Times New Roman" w:hAnsi="Times New Roman"/>
      <w:szCs w:val="24"/>
    </w:rPr>
  </w:style>
  <w:style w:type="paragraph" w:styleId="ListParagraph">
    <w:name w:val="List Paragraph"/>
    <w:basedOn w:val="Normal"/>
    <w:uiPriority w:val="1"/>
    <w:qFormat/>
    <w:rsid w:val="003C0206"/>
    <w:pPr>
      <w:ind w:left="720"/>
      <w:contextualSpacing/>
    </w:pPr>
    <w:rPr>
      <w:rFonts w:ascii="Times New Roman" w:hAnsi="Times New Roman"/>
      <w:szCs w:val="24"/>
    </w:rPr>
  </w:style>
  <w:style w:type="character" w:styleId="Hyperlink">
    <w:name w:val="Hyperlink"/>
    <w:basedOn w:val="DefaultParagraphFont"/>
    <w:rsid w:val="003C0206"/>
    <w:rPr>
      <w:color w:val="0000FF"/>
      <w:u w:val="single"/>
    </w:rPr>
  </w:style>
  <w:style w:type="character" w:styleId="Strong">
    <w:name w:val="Strong"/>
    <w:basedOn w:val="DefaultParagraphFont"/>
    <w:qFormat/>
    <w:rsid w:val="003C0206"/>
    <w:rPr>
      <w:b/>
    </w:rPr>
  </w:style>
  <w:style w:type="paragraph" w:styleId="Header">
    <w:name w:val="header"/>
    <w:basedOn w:val="Normal"/>
    <w:link w:val="HeaderChar"/>
    <w:uiPriority w:val="99"/>
    <w:unhideWhenUsed/>
    <w:rsid w:val="00DE32F1"/>
    <w:pPr>
      <w:tabs>
        <w:tab w:val="center" w:pos="4680"/>
        <w:tab w:val="right" w:pos="9360"/>
      </w:tabs>
    </w:pPr>
  </w:style>
  <w:style w:type="character" w:customStyle="1" w:styleId="HeaderChar">
    <w:name w:val="Header Char"/>
    <w:basedOn w:val="DefaultParagraphFont"/>
    <w:link w:val="Header"/>
    <w:uiPriority w:val="99"/>
    <w:rsid w:val="00DE32F1"/>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181759"/>
    <w:rPr>
      <w:sz w:val="16"/>
      <w:szCs w:val="16"/>
    </w:rPr>
  </w:style>
  <w:style w:type="paragraph" w:styleId="CommentText">
    <w:name w:val="annotation text"/>
    <w:basedOn w:val="Normal"/>
    <w:link w:val="CommentTextChar"/>
    <w:uiPriority w:val="99"/>
    <w:semiHidden/>
    <w:unhideWhenUsed/>
    <w:rsid w:val="00181759"/>
    <w:rPr>
      <w:sz w:val="20"/>
    </w:rPr>
  </w:style>
  <w:style w:type="character" w:customStyle="1" w:styleId="CommentTextChar">
    <w:name w:val="Comment Text Char"/>
    <w:basedOn w:val="DefaultParagraphFont"/>
    <w:link w:val="CommentText"/>
    <w:uiPriority w:val="99"/>
    <w:semiHidden/>
    <w:rsid w:val="00181759"/>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181759"/>
    <w:rPr>
      <w:b/>
      <w:bCs/>
    </w:rPr>
  </w:style>
  <w:style w:type="character" w:customStyle="1" w:styleId="CommentSubjectChar">
    <w:name w:val="Comment Subject Char"/>
    <w:basedOn w:val="CommentTextChar"/>
    <w:link w:val="CommentSubject"/>
    <w:uiPriority w:val="99"/>
    <w:semiHidden/>
    <w:rsid w:val="00181759"/>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181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759"/>
    <w:rPr>
      <w:rFonts w:ascii="Segoe UI" w:eastAsia="Times New Roman" w:hAnsi="Segoe UI" w:cs="Segoe UI"/>
      <w:sz w:val="18"/>
      <w:szCs w:val="18"/>
    </w:rPr>
  </w:style>
  <w:style w:type="paragraph" w:styleId="Revision">
    <w:name w:val="Revision"/>
    <w:hidden/>
    <w:uiPriority w:val="99"/>
    <w:semiHidden/>
    <w:rsid w:val="00765FF7"/>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0288">
      <w:bodyDiv w:val="1"/>
      <w:marLeft w:val="0"/>
      <w:marRight w:val="0"/>
      <w:marTop w:val="0"/>
      <w:marBottom w:val="0"/>
      <w:divBdr>
        <w:top w:val="none" w:sz="0" w:space="0" w:color="auto"/>
        <w:left w:val="none" w:sz="0" w:space="0" w:color="auto"/>
        <w:bottom w:val="none" w:sz="0" w:space="0" w:color="auto"/>
        <w:right w:val="none" w:sz="0" w:space="0" w:color="auto"/>
      </w:divBdr>
    </w:div>
    <w:div w:id="811603879">
      <w:bodyDiv w:val="1"/>
      <w:marLeft w:val="0"/>
      <w:marRight w:val="0"/>
      <w:marTop w:val="0"/>
      <w:marBottom w:val="0"/>
      <w:divBdr>
        <w:top w:val="none" w:sz="0" w:space="0" w:color="auto"/>
        <w:left w:val="none" w:sz="0" w:space="0" w:color="auto"/>
        <w:bottom w:val="none" w:sz="0" w:space="0" w:color="auto"/>
        <w:right w:val="none" w:sz="0" w:space="0" w:color="auto"/>
      </w:divBdr>
    </w:div>
    <w:div w:id="9292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83C0-B650-44B8-A3A0-C1DF1484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11561</Words>
  <Characters>65900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2020-02-06T11:33:00Z</dcterms:created>
  <dcterms:modified xsi:type="dcterms:W3CDTF">2020-02-06T11:33:00Z</dcterms:modified>
</cp:coreProperties>
</file>