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5006" w14:textId="77777777" w:rsidR="009E2283" w:rsidRDefault="009E2283" w:rsidP="00BD60E2">
      <w:pPr>
        <w:pStyle w:val="Title"/>
        <w:spacing w:line="240" w:lineRule="auto"/>
        <w:rPr>
          <w:rFonts w:ascii="Times New Roman" w:hAnsi="Times New Roman"/>
          <w:sz w:val="28"/>
          <w:szCs w:val="28"/>
        </w:rPr>
      </w:pPr>
      <w:bookmarkStart w:id="0" w:name="_Toc275350893"/>
    </w:p>
    <w:p w14:paraId="2EA44BDA" w14:textId="77777777" w:rsidR="009E2283" w:rsidRDefault="009E2283" w:rsidP="00BD60E2">
      <w:pPr>
        <w:pStyle w:val="Title"/>
        <w:spacing w:line="240" w:lineRule="auto"/>
        <w:rPr>
          <w:rFonts w:ascii="Times New Roman" w:hAnsi="Times New Roman"/>
          <w:sz w:val="28"/>
          <w:szCs w:val="28"/>
        </w:rPr>
      </w:pPr>
    </w:p>
    <w:p w14:paraId="6FFEBABE" w14:textId="77777777" w:rsidR="00DD5456" w:rsidRDefault="00DD5456" w:rsidP="00DD5456">
      <w:pPr>
        <w:pStyle w:val="BodyText"/>
      </w:pPr>
    </w:p>
    <w:p w14:paraId="1A4EEEFB" w14:textId="77777777" w:rsidR="00DD5456" w:rsidRPr="00DD5456" w:rsidRDefault="00DD5456" w:rsidP="00DD5456">
      <w:pPr>
        <w:pStyle w:val="BodyText"/>
      </w:pPr>
    </w:p>
    <w:p w14:paraId="6132D2A5" w14:textId="77777777" w:rsidR="00BD60E2" w:rsidRPr="008F4288" w:rsidRDefault="00BD60E2" w:rsidP="00BD60E2">
      <w:pPr>
        <w:pStyle w:val="Title"/>
        <w:spacing w:line="240" w:lineRule="auto"/>
        <w:rPr>
          <w:rFonts w:ascii="Times New Roman" w:hAnsi="Times New Roman"/>
          <w:sz w:val="28"/>
          <w:szCs w:val="28"/>
        </w:rPr>
      </w:pPr>
      <w:r w:rsidRPr="008F4288">
        <w:rPr>
          <w:rFonts w:ascii="Times New Roman" w:hAnsi="Times New Roman"/>
          <w:sz w:val="28"/>
          <w:szCs w:val="28"/>
        </w:rPr>
        <w:t>STATE OF GEORGIA</w:t>
      </w:r>
      <w:bookmarkEnd w:id="0"/>
    </w:p>
    <w:p w14:paraId="75C7FE5F" w14:textId="77777777" w:rsidR="00BD60E2" w:rsidRPr="008F4288" w:rsidRDefault="00BD60E2" w:rsidP="00BD60E2">
      <w:pPr>
        <w:pStyle w:val="Title"/>
        <w:spacing w:after="120" w:line="240" w:lineRule="auto"/>
        <w:rPr>
          <w:rFonts w:ascii="Times New Roman" w:hAnsi="Times New Roman"/>
          <w:sz w:val="28"/>
          <w:szCs w:val="28"/>
        </w:rPr>
      </w:pPr>
      <w:bookmarkStart w:id="1" w:name="_Toc275350894"/>
      <w:r w:rsidRPr="008F4288">
        <w:rPr>
          <w:rFonts w:ascii="Times New Roman" w:hAnsi="Times New Roman"/>
          <w:sz w:val="28"/>
          <w:szCs w:val="28"/>
        </w:rPr>
        <w:br/>
        <w:t>BEFORE THE GEORGIA PUBLIC SERVICE COMMISSION</w:t>
      </w:r>
      <w:bookmarkEnd w:id="1"/>
    </w:p>
    <w:p w14:paraId="14767B13" w14:textId="77777777" w:rsidR="00BD60E2" w:rsidRPr="008F4288" w:rsidRDefault="00BD60E2" w:rsidP="00BD60E2">
      <w:pPr>
        <w:pStyle w:val="Caption"/>
        <w:spacing w:line="240" w:lineRule="auto"/>
        <w:rPr>
          <w:b/>
          <w:sz w:val="28"/>
          <w:szCs w:val="28"/>
        </w:rPr>
      </w:pPr>
      <w:r w:rsidRPr="008F4288">
        <w:rPr>
          <w:b/>
          <w:sz w:val="28"/>
          <w:szCs w:val="28"/>
        </w:rPr>
        <w:tab/>
      </w:r>
    </w:p>
    <w:p w14:paraId="205C456C" w14:textId="77777777" w:rsidR="00BD60E2" w:rsidRPr="008F4288" w:rsidRDefault="00BD60E2" w:rsidP="00BD60E2">
      <w:pPr>
        <w:pStyle w:val="Caption"/>
        <w:spacing w:line="240" w:lineRule="auto"/>
        <w:rPr>
          <w:b/>
          <w:sz w:val="28"/>
          <w:szCs w:val="28"/>
        </w:rPr>
      </w:pPr>
      <w:r w:rsidRPr="008F4288">
        <w:rPr>
          <w:b/>
          <w:sz w:val="28"/>
          <w:szCs w:val="28"/>
        </w:rPr>
        <w:t>In RE:  Petition of Atlanta Gas Light</w:t>
      </w:r>
      <w:r w:rsidRPr="008F4288">
        <w:rPr>
          <w:b/>
          <w:sz w:val="28"/>
          <w:szCs w:val="28"/>
        </w:rPr>
        <w:tab/>
        <w:t>)</w:t>
      </w:r>
      <w:r w:rsidRPr="008F4288">
        <w:rPr>
          <w:sz w:val="28"/>
          <w:szCs w:val="28"/>
        </w:rPr>
        <w:br/>
      </w:r>
      <w:r w:rsidRPr="008F4288">
        <w:rPr>
          <w:b/>
          <w:sz w:val="28"/>
          <w:szCs w:val="28"/>
        </w:rPr>
        <w:t>Company for Approval of Adjustment</w:t>
      </w:r>
      <w:r w:rsidRPr="008F4288">
        <w:rPr>
          <w:b/>
          <w:sz w:val="28"/>
          <w:szCs w:val="28"/>
        </w:rPr>
        <w:tab/>
        <w:t>)</w:t>
      </w:r>
      <w:r w:rsidRPr="008F4288">
        <w:rPr>
          <w:b/>
          <w:sz w:val="28"/>
          <w:szCs w:val="28"/>
        </w:rPr>
        <w:tab/>
      </w:r>
      <w:r w:rsidRPr="008F4288">
        <w:rPr>
          <w:sz w:val="28"/>
          <w:szCs w:val="28"/>
        </w:rPr>
        <w:t xml:space="preserve">Docket No. </w:t>
      </w:r>
      <w:r w:rsidR="00944BDC">
        <w:rPr>
          <w:sz w:val="28"/>
          <w:szCs w:val="28"/>
        </w:rPr>
        <w:t>42315</w:t>
      </w:r>
      <w:r w:rsidRPr="008F4288">
        <w:rPr>
          <w:b/>
          <w:sz w:val="28"/>
          <w:szCs w:val="28"/>
        </w:rPr>
        <w:br/>
        <w:t>of its Rates and Revised Tariff</w:t>
      </w:r>
      <w:r w:rsidRPr="008F4288">
        <w:rPr>
          <w:b/>
          <w:sz w:val="28"/>
          <w:szCs w:val="28"/>
        </w:rPr>
        <w:tab/>
        <w:t>)</w:t>
      </w:r>
    </w:p>
    <w:p w14:paraId="535F0A60" w14:textId="77777777" w:rsidR="003C0D50" w:rsidRDefault="003C0D50" w:rsidP="00BD60E2">
      <w:pPr>
        <w:pStyle w:val="Title"/>
        <w:spacing w:line="240" w:lineRule="auto"/>
        <w:rPr>
          <w:rFonts w:ascii="Times New Roman" w:hAnsi="Times New Roman"/>
          <w:sz w:val="28"/>
          <w:szCs w:val="28"/>
          <w:u w:val="single"/>
        </w:rPr>
      </w:pPr>
      <w:bookmarkStart w:id="2" w:name="_Toc275350895"/>
    </w:p>
    <w:p w14:paraId="0EDFF895" w14:textId="71DA00D6" w:rsidR="00BD60E2" w:rsidRPr="008F4288" w:rsidRDefault="008F4288" w:rsidP="00BD60E2">
      <w:pPr>
        <w:pStyle w:val="Title"/>
        <w:spacing w:line="240" w:lineRule="auto"/>
        <w:rPr>
          <w:rFonts w:ascii="Times New Roman" w:hAnsi="Times New Roman"/>
          <w:sz w:val="28"/>
          <w:szCs w:val="28"/>
          <w:u w:val="single"/>
        </w:rPr>
      </w:pPr>
      <w:r>
        <w:rPr>
          <w:rFonts w:ascii="Times New Roman" w:hAnsi="Times New Roman"/>
          <w:sz w:val="28"/>
          <w:szCs w:val="28"/>
          <w:u w:val="single"/>
        </w:rPr>
        <w:t xml:space="preserve">SHORT </w:t>
      </w:r>
      <w:r w:rsidR="00BD60E2" w:rsidRPr="008F4288">
        <w:rPr>
          <w:rFonts w:ascii="Times New Roman" w:hAnsi="Times New Roman"/>
          <w:sz w:val="28"/>
          <w:szCs w:val="28"/>
          <w:u w:val="single"/>
        </w:rPr>
        <w:t xml:space="preserve">ORDER </w:t>
      </w:r>
      <w:bookmarkEnd w:id="2"/>
    </w:p>
    <w:p w14:paraId="41503662" w14:textId="77777777" w:rsidR="00BD60E2" w:rsidRPr="001E3908" w:rsidRDefault="00BD60E2" w:rsidP="00BD60E2">
      <w:pPr>
        <w:pStyle w:val="BodyTextNoIndentSS"/>
        <w:tabs>
          <w:tab w:val="right" w:pos="9360"/>
        </w:tabs>
        <w:spacing w:line="240" w:lineRule="auto"/>
      </w:pPr>
    </w:p>
    <w:p w14:paraId="3D4327AA" w14:textId="77777777" w:rsidR="00BD60E2" w:rsidRPr="001E3908" w:rsidRDefault="00BD60E2" w:rsidP="00940B55">
      <w:pPr>
        <w:pStyle w:val="Title"/>
        <w:spacing w:line="240" w:lineRule="auto"/>
        <w:rPr>
          <w:rFonts w:ascii="Times New Roman" w:hAnsi="Times New Roman"/>
          <w:szCs w:val="24"/>
        </w:rPr>
      </w:pPr>
      <w:bookmarkStart w:id="3" w:name="_Toc275350896"/>
      <w:r w:rsidRPr="001E3908">
        <w:rPr>
          <w:rFonts w:ascii="Times New Roman" w:hAnsi="Times New Roman"/>
          <w:szCs w:val="24"/>
        </w:rPr>
        <w:t>APPEARANCES</w:t>
      </w:r>
      <w:bookmarkEnd w:id="3"/>
    </w:p>
    <w:p w14:paraId="54558B55" w14:textId="5C2C8458" w:rsidR="00944BDC" w:rsidRPr="00CD2B74" w:rsidRDefault="00944BDC" w:rsidP="00944BDC">
      <w:pPr>
        <w:tabs>
          <w:tab w:val="left" w:pos="-720"/>
        </w:tabs>
        <w:suppressAutoHyphens/>
        <w:spacing w:line="240" w:lineRule="auto"/>
        <w:rPr>
          <w:rFonts w:ascii="Times New Roman" w:hAnsi="Times New Roman"/>
          <w:sz w:val="24"/>
          <w:szCs w:val="24"/>
        </w:rPr>
      </w:pPr>
      <w:bookmarkStart w:id="4" w:name="_Toc275350898"/>
      <w:r w:rsidRPr="00CD2B74">
        <w:rPr>
          <w:rFonts w:ascii="Times New Roman" w:hAnsi="Times New Roman"/>
          <w:sz w:val="24"/>
          <w:szCs w:val="24"/>
          <w:u w:val="single"/>
        </w:rPr>
        <w:t>On behalf of Atlanta Gas Light Company</w:t>
      </w:r>
      <w:r w:rsidRPr="00CD2B74">
        <w:rPr>
          <w:rFonts w:ascii="Times New Roman" w:hAnsi="Times New Roman"/>
          <w:sz w:val="24"/>
          <w:szCs w:val="24"/>
        </w:rPr>
        <w:t>:</w:t>
      </w:r>
    </w:p>
    <w:p w14:paraId="70CF2F44" w14:textId="5E723362" w:rsidR="00944BDC" w:rsidRPr="00CD2B74"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rPr>
        <w:t>ROBERT HIGHSMITH, Attorney</w:t>
      </w:r>
    </w:p>
    <w:p w14:paraId="5755396A" w14:textId="7114C549" w:rsidR="00944BDC" w:rsidRPr="00CD2B74"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rPr>
        <w:t>GRAHAM COATES, Attorney</w:t>
      </w:r>
    </w:p>
    <w:p w14:paraId="7B887F21" w14:textId="06948C27" w:rsidR="00944BDC" w:rsidRPr="00CD2B74"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rPr>
        <w:t>TODD F. KIMBROUGH, Attorney</w:t>
      </w:r>
    </w:p>
    <w:p w14:paraId="3E821D35" w14:textId="55EB21B0" w:rsidR="00944BDC"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rPr>
        <w:t xml:space="preserve">DANE </w:t>
      </w:r>
      <w:proofErr w:type="spellStart"/>
      <w:r w:rsidRPr="00CD2B74">
        <w:rPr>
          <w:rFonts w:ascii="Times New Roman" w:hAnsi="Times New Roman"/>
          <w:sz w:val="24"/>
          <w:szCs w:val="24"/>
        </w:rPr>
        <w:t>McKAUGHAN</w:t>
      </w:r>
      <w:proofErr w:type="spellEnd"/>
      <w:r w:rsidRPr="00CD2B74">
        <w:rPr>
          <w:rFonts w:ascii="Times New Roman" w:hAnsi="Times New Roman"/>
          <w:sz w:val="24"/>
          <w:szCs w:val="24"/>
        </w:rPr>
        <w:t>, Attorney</w:t>
      </w:r>
    </w:p>
    <w:p w14:paraId="1A64CF52" w14:textId="5C446790" w:rsidR="00A42A8C" w:rsidRPr="00A42A8C" w:rsidRDefault="00A42A8C" w:rsidP="00A42A8C">
      <w:pPr>
        <w:widowControl w:val="0"/>
        <w:tabs>
          <w:tab w:val="left" w:pos="-720"/>
        </w:tabs>
        <w:suppressAutoHyphens/>
        <w:autoSpaceDE w:val="0"/>
        <w:autoSpaceDN w:val="0"/>
        <w:adjustRightInd w:val="0"/>
        <w:spacing w:after="0" w:line="240" w:lineRule="atLeast"/>
        <w:rPr>
          <w:rFonts w:ascii="Times New Roman" w:eastAsia="Times New Roman" w:hAnsi="Times New Roman"/>
          <w:sz w:val="24"/>
          <w:szCs w:val="24"/>
        </w:rPr>
      </w:pPr>
      <w:r w:rsidRPr="00A42A8C">
        <w:rPr>
          <w:rFonts w:ascii="Times New Roman" w:eastAsia="Times New Roman" w:hAnsi="Times New Roman"/>
          <w:sz w:val="24"/>
          <w:szCs w:val="24"/>
        </w:rPr>
        <w:t>LINDSEY WILLIAMSON, Attorney</w:t>
      </w:r>
    </w:p>
    <w:p w14:paraId="3916BF31" w14:textId="77777777" w:rsidR="001775D4" w:rsidRDefault="001775D4" w:rsidP="00944BDC">
      <w:pPr>
        <w:tabs>
          <w:tab w:val="left" w:pos="-720"/>
        </w:tabs>
        <w:suppressAutoHyphens/>
        <w:spacing w:line="240" w:lineRule="auto"/>
        <w:rPr>
          <w:rFonts w:ascii="Times New Roman" w:hAnsi="Times New Roman"/>
          <w:sz w:val="24"/>
          <w:szCs w:val="24"/>
        </w:rPr>
      </w:pPr>
    </w:p>
    <w:p w14:paraId="20A75CC9" w14:textId="49220496" w:rsidR="00944BDC"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rPr>
        <w:tab/>
        <w:t>-and-</w:t>
      </w:r>
    </w:p>
    <w:p w14:paraId="4F9F5F63" w14:textId="2361E45E" w:rsidR="000F27D9"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rPr>
        <w:t>MARK CAUDILL, Attorney</w:t>
      </w:r>
      <w:r w:rsidRPr="00CD2B74">
        <w:rPr>
          <w:rFonts w:ascii="Times New Roman" w:hAnsi="Times New Roman"/>
          <w:sz w:val="24"/>
          <w:szCs w:val="24"/>
        </w:rPr>
        <w:tab/>
      </w:r>
    </w:p>
    <w:p w14:paraId="01BF90EE" w14:textId="77777777" w:rsidR="00AB11EC" w:rsidRDefault="00AB11EC" w:rsidP="00944BDC">
      <w:pPr>
        <w:tabs>
          <w:tab w:val="left" w:pos="-720"/>
        </w:tabs>
        <w:suppressAutoHyphens/>
        <w:spacing w:line="240" w:lineRule="auto"/>
        <w:rPr>
          <w:rFonts w:ascii="Times New Roman" w:hAnsi="Times New Roman"/>
          <w:sz w:val="24"/>
          <w:szCs w:val="24"/>
        </w:rPr>
      </w:pPr>
    </w:p>
    <w:p w14:paraId="08ACC060" w14:textId="62935BDE" w:rsidR="00944BDC" w:rsidRPr="00CD2B74"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u w:val="single"/>
        </w:rPr>
        <w:lastRenderedPageBreak/>
        <w:t>On behalf of Georgia Public Service Commission</w:t>
      </w:r>
      <w:r w:rsidRPr="00CD2B74">
        <w:rPr>
          <w:rFonts w:ascii="Times New Roman" w:hAnsi="Times New Roman"/>
          <w:sz w:val="24"/>
          <w:szCs w:val="24"/>
        </w:rPr>
        <w:t>:</w:t>
      </w:r>
    </w:p>
    <w:p w14:paraId="665CD0A7" w14:textId="3C7B2C1B" w:rsidR="00944BDC" w:rsidRPr="00CD2B74" w:rsidRDefault="00944BDC" w:rsidP="001C6FB5">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rPr>
        <w:t>DANIEL WALSH, Attorney</w:t>
      </w:r>
      <w:r w:rsidRPr="00CD2B74">
        <w:rPr>
          <w:rFonts w:ascii="Times New Roman" w:hAnsi="Times New Roman"/>
          <w:sz w:val="24"/>
          <w:szCs w:val="24"/>
        </w:rPr>
        <w:tab/>
      </w:r>
      <w:r w:rsidRPr="00CD2B74">
        <w:rPr>
          <w:rFonts w:ascii="Times New Roman" w:hAnsi="Times New Roman"/>
          <w:sz w:val="24"/>
          <w:szCs w:val="24"/>
        </w:rPr>
        <w:tab/>
      </w:r>
      <w:r w:rsidRPr="00CD2B74">
        <w:rPr>
          <w:rFonts w:ascii="Times New Roman" w:hAnsi="Times New Roman"/>
          <w:sz w:val="24"/>
          <w:szCs w:val="24"/>
        </w:rPr>
        <w:tab/>
      </w:r>
    </w:p>
    <w:p w14:paraId="11BD9633" w14:textId="2EAEC758" w:rsidR="007B494C" w:rsidRDefault="0039087E" w:rsidP="00944BDC">
      <w:pPr>
        <w:tabs>
          <w:tab w:val="left" w:pos="-720"/>
        </w:tabs>
        <w:suppressAutoHyphens/>
        <w:spacing w:line="240" w:lineRule="auto"/>
        <w:rPr>
          <w:rFonts w:ascii="Times New Roman" w:hAnsi="Times New Roman"/>
          <w:sz w:val="24"/>
          <w:szCs w:val="24"/>
        </w:rPr>
      </w:pPr>
      <w:r>
        <w:rPr>
          <w:rFonts w:ascii="Times New Roman" w:hAnsi="Times New Roman"/>
          <w:sz w:val="24"/>
          <w:szCs w:val="24"/>
        </w:rPr>
        <w:tab/>
      </w:r>
      <w:r w:rsidR="00944BDC" w:rsidRPr="00CD2B74">
        <w:rPr>
          <w:rFonts w:ascii="Times New Roman" w:hAnsi="Times New Roman"/>
          <w:sz w:val="24"/>
          <w:szCs w:val="24"/>
        </w:rPr>
        <w:t>-and-</w:t>
      </w:r>
    </w:p>
    <w:p w14:paraId="3137DBD9" w14:textId="44FDB485" w:rsidR="00944BDC" w:rsidRPr="00CD2B74"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rPr>
        <w:t>JEFFREY STAIR, Attorney</w:t>
      </w:r>
    </w:p>
    <w:p w14:paraId="46F9EBF3" w14:textId="7DA6335A" w:rsidR="00795718" w:rsidRPr="00795718" w:rsidRDefault="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rPr>
        <w:t>ADE ADENIYI, Attorney</w:t>
      </w:r>
    </w:p>
    <w:p w14:paraId="7CDD9421" w14:textId="268B4238" w:rsidR="00944BDC" w:rsidRPr="00CD2B74"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rPr>
        <w:t>JACKSON BRANCH, Attorney</w:t>
      </w:r>
      <w:r w:rsidRPr="00CD2B74">
        <w:rPr>
          <w:rFonts w:ascii="Times New Roman" w:hAnsi="Times New Roman"/>
          <w:sz w:val="24"/>
          <w:szCs w:val="24"/>
        </w:rPr>
        <w:tab/>
      </w:r>
      <w:r w:rsidRPr="00CD2B74">
        <w:rPr>
          <w:rFonts w:ascii="Times New Roman" w:hAnsi="Times New Roman"/>
          <w:sz w:val="24"/>
          <w:szCs w:val="24"/>
        </w:rPr>
        <w:tab/>
      </w:r>
      <w:r w:rsidRPr="00CD2B74">
        <w:rPr>
          <w:rFonts w:ascii="Times New Roman" w:hAnsi="Times New Roman"/>
          <w:sz w:val="24"/>
          <w:szCs w:val="24"/>
        </w:rPr>
        <w:tab/>
      </w:r>
    </w:p>
    <w:p w14:paraId="5B88A16F" w14:textId="0C2898DF" w:rsidR="00944BDC" w:rsidRPr="00CD2B74"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u w:val="single"/>
        </w:rPr>
        <w:t>On behalf of Gas South, LLC</w:t>
      </w:r>
      <w:r w:rsidRPr="00CD2B74">
        <w:rPr>
          <w:rFonts w:ascii="Times New Roman" w:hAnsi="Times New Roman"/>
          <w:sz w:val="24"/>
          <w:szCs w:val="24"/>
        </w:rPr>
        <w:t>:</w:t>
      </w:r>
    </w:p>
    <w:p w14:paraId="23A60B73" w14:textId="235E749B" w:rsidR="00944BDC" w:rsidRPr="00CD2B74"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rPr>
        <w:t>L. CRAIG DOWDY, Attorney</w:t>
      </w:r>
      <w:r w:rsidRPr="00CD2B74">
        <w:rPr>
          <w:rFonts w:ascii="Times New Roman" w:hAnsi="Times New Roman"/>
          <w:sz w:val="24"/>
          <w:szCs w:val="24"/>
        </w:rPr>
        <w:tab/>
      </w:r>
      <w:r w:rsidRPr="00CD2B74">
        <w:rPr>
          <w:rFonts w:ascii="Times New Roman" w:hAnsi="Times New Roman"/>
          <w:sz w:val="24"/>
          <w:szCs w:val="24"/>
        </w:rPr>
        <w:tab/>
      </w:r>
      <w:r w:rsidRPr="00CD2B74">
        <w:rPr>
          <w:rFonts w:ascii="Times New Roman" w:hAnsi="Times New Roman"/>
          <w:sz w:val="24"/>
          <w:szCs w:val="24"/>
        </w:rPr>
        <w:tab/>
      </w:r>
    </w:p>
    <w:p w14:paraId="3411F260" w14:textId="0A0655C3" w:rsidR="001C6FB5"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u w:val="single"/>
        </w:rPr>
        <w:t>On behalf of Georgia Watch</w:t>
      </w:r>
      <w:r w:rsidRPr="00CD2B74">
        <w:rPr>
          <w:rFonts w:ascii="Times New Roman" w:hAnsi="Times New Roman"/>
          <w:sz w:val="24"/>
          <w:szCs w:val="24"/>
        </w:rPr>
        <w:t>:</w:t>
      </w:r>
    </w:p>
    <w:p w14:paraId="2F8C1E2C" w14:textId="73D9C4AB" w:rsidR="00944BDC" w:rsidRPr="00CD2B74"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rPr>
        <w:t>LIZ COYLE</w:t>
      </w:r>
    </w:p>
    <w:p w14:paraId="2D6E5AE6" w14:textId="7C18C216" w:rsidR="00944BDC" w:rsidRPr="00CD2B74"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u w:val="single"/>
        </w:rPr>
        <w:t>On behalf of SCANA Energy Marketing, Inc.</w:t>
      </w:r>
      <w:r w:rsidRPr="00CD2B74">
        <w:rPr>
          <w:rFonts w:ascii="Times New Roman" w:hAnsi="Times New Roman"/>
          <w:sz w:val="24"/>
          <w:szCs w:val="24"/>
        </w:rPr>
        <w:t>:</w:t>
      </w:r>
    </w:p>
    <w:p w14:paraId="7DA1E605" w14:textId="749E0ED5" w:rsidR="00944BDC" w:rsidRPr="00CD2B74" w:rsidRDefault="00944BDC" w:rsidP="001C6FB5">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rPr>
        <w:t>WILLIAM BRADLEY CARVER, Attorney</w:t>
      </w:r>
      <w:r w:rsidRPr="00CD2B74">
        <w:rPr>
          <w:rFonts w:ascii="Times New Roman" w:hAnsi="Times New Roman"/>
          <w:sz w:val="24"/>
          <w:szCs w:val="24"/>
        </w:rPr>
        <w:tab/>
      </w:r>
    </w:p>
    <w:p w14:paraId="47023E0F" w14:textId="410C8563" w:rsidR="00944BDC" w:rsidRPr="00CD2B74" w:rsidRDefault="00944BDC" w:rsidP="00944BDC">
      <w:pPr>
        <w:tabs>
          <w:tab w:val="left" w:pos="-720"/>
        </w:tabs>
        <w:suppressAutoHyphens/>
        <w:spacing w:line="240" w:lineRule="auto"/>
        <w:rPr>
          <w:rFonts w:ascii="Times New Roman" w:hAnsi="Times New Roman"/>
          <w:sz w:val="24"/>
          <w:szCs w:val="24"/>
          <w:u w:val="single"/>
        </w:rPr>
      </w:pPr>
      <w:r w:rsidRPr="00CD2B74">
        <w:rPr>
          <w:rFonts w:ascii="Times New Roman" w:hAnsi="Times New Roman"/>
          <w:sz w:val="24"/>
          <w:szCs w:val="24"/>
          <w:u w:val="single"/>
        </w:rPr>
        <w:t xml:space="preserve">On behalf of </w:t>
      </w:r>
      <w:proofErr w:type="spellStart"/>
      <w:r w:rsidRPr="00CD2B74">
        <w:rPr>
          <w:rFonts w:ascii="Times New Roman" w:hAnsi="Times New Roman"/>
          <w:sz w:val="24"/>
          <w:szCs w:val="24"/>
          <w:u w:val="single"/>
        </w:rPr>
        <w:t>SouthStar</w:t>
      </w:r>
      <w:proofErr w:type="spellEnd"/>
      <w:r w:rsidRPr="00CD2B74">
        <w:rPr>
          <w:rFonts w:ascii="Times New Roman" w:hAnsi="Times New Roman"/>
          <w:sz w:val="24"/>
          <w:szCs w:val="24"/>
          <w:u w:val="single"/>
        </w:rPr>
        <w:t xml:space="preserve"> Energy Services, LLC</w:t>
      </w:r>
    </w:p>
    <w:p w14:paraId="3C13A32F" w14:textId="35FD2B34" w:rsidR="00944BDC" w:rsidRPr="00CD2B74" w:rsidRDefault="00944BDC" w:rsidP="00944BD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u w:val="single"/>
        </w:rPr>
        <w:t>d/b/a Georgia Natural Gas</w:t>
      </w:r>
      <w:r w:rsidRPr="00CD2B74">
        <w:rPr>
          <w:rFonts w:ascii="Times New Roman" w:hAnsi="Times New Roman"/>
          <w:sz w:val="24"/>
          <w:szCs w:val="24"/>
        </w:rPr>
        <w:t>:</w:t>
      </w:r>
    </w:p>
    <w:p w14:paraId="586824D4" w14:textId="0241C719" w:rsidR="00AA3C0D" w:rsidRDefault="00944BDC" w:rsidP="007B494C">
      <w:pPr>
        <w:tabs>
          <w:tab w:val="left" w:pos="-720"/>
        </w:tabs>
        <w:suppressAutoHyphens/>
        <w:spacing w:line="240" w:lineRule="auto"/>
        <w:rPr>
          <w:rFonts w:ascii="Times New Roman" w:hAnsi="Times New Roman"/>
          <w:sz w:val="24"/>
          <w:szCs w:val="24"/>
        </w:rPr>
      </w:pPr>
      <w:r w:rsidRPr="00CD2B74">
        <w:rPr>
          <w:rFonts w:ascii="Times New Roman" w:hAnsi="Times New Roman"/>
          <w:sz w:val="24"/>
          <w:szCs w:val="24"/>
        </w:rPr>
        <w:t>RACHEL BISHOP, Attorney</w:t>
      </w:r>
      <w:r w:rsidRPr="00CD2B74">
        <w:rPr>
          <w:rFonts w:ascii="Times New Roman" w:hAnsi="Times New Roman"/>
          <w:sz w:val="24"/>
          <w:szCs w:val="24"/>
        </w:rPr>
        <w:tab/>
      </w:r>
    </w:p>
    <w:p w14:paraId="447F7297" w14:textId="4325A799" w:rsidR="00AA3C0D" w:rsidRPr="00AA3C0D" w:rsidRDefault="00AA3C0D" w:rsidP="001775D4">
      <w:pPr>
        <w:spacing w:before="1169" w:line="316" w:lineRule="exact"/>
        <w:jc w:val="center"/>
        <w:textAlignment w:val="baseline"/>
        <w:rPr>
          <w:rFonts w:ascii="Times New Roman" w:eastAsia="Times New Roman" w:hAnsi="Times New Roman"/>
          <w:b/>
          <w:color w:val="000000"/>
          <w:sz w:val="28"/>
        </w:rPr>
      </w:pPr>
      <w:r w:rsidRPr="00AA3C0D">
        <w:rPr>
          <w:rFonts w:ascii="Times New Roman" w:eastAsia="Times New Roman" w:hAnsi="Times New Roman"/>
          <w:b/>
          <w:color w:val="000000"/>
          <w:sz w:val="28"/>
        </w:rPr>
        <w:t>BACKGROUND</w:t>
      </w:r>
    </w:p>
    <w:p w14:paraId="685BDF4C" w14:textId="42D6D1A1" w:rsidR="00AA3C0D" w:rsidRDefault="00AA3C0D" w:rsidP="00AA3C0D">
      <w:pPr>
        <w:spacing w:before="551" w:after="0" w:line="279" w:lineRule="exact"/>
        <w:ind w:firstLine="720"/>
        <w:jc w:val="both"/>
        <w:textAlignment w:val="baseline"/>
        <w:rPr>
          <w:rFonts w:ascii="Times New Roman" w:eastAsia="Times New Roman" w:hAnsi="Times New Roman"/>
          <w:color w:val="000000"/>
          <w:spacing w:val="4"/>
          <w:sz w:val="24"/>
        </w:rPr>
      </w:pPr>
      <w:r w:rsidRPr="00AA3C0D">
        <w:rPr>
          <w:rFonts w:ascii="Times New Roman" w:eastAsia="Times New Roman" w:hAnsi="Times New Roman"/>
          <w:color w:val="000000"/>
          <w:spacing w:val="4"/>
          <w:sz w:val="24"/>
        </w:rPr>
        <w:t xml:space="preserve">On June 5, 2018, the Commission approved a </w:t>
      </w:r>
      <w:hyperlink r:id="rId8" w:history="1">
        <w:r w:rsidRPr="00AA3C0D">
          <w:rPr>
            <w:rFonts w:ascii="Times New Roman" w:eastAsia="Times New Roman" w:hAnsi="Times New Roman"/>
            <w:color w:val="0563C1"/>
            <w:spacing w:val="4"/>
            <w:sz w:val="24"/>
            <w:u w:val="single"/>
          </w:rPr>
          <w:t>Stipulation</w:t>
        </w:r>
      </w:hyperlink>
      <w:r w:rsidRPr="00AA3C0D">
        <w:rPr>
          <w:rFonts w:ascii="Times New Roman" w:eastAsia="Times New Roman" w:hAnsi="Times New Roman"/>
          <w:color w:val="000000"/>
          <w:spacing w:val="4"/>
          <w:sz w:val="24"/>
        </w:rPr>
        <w:t xml:space="preserve"> between Atlanta Gas Light Company (“AGL” or  “Company”) and</w:t>
      </w:r>
      <w:r w:rsidR="00C27A78">
        <w:rPr>
          <w:rFonts w:ascii="Times New Roman" w:eastAsia="Times New Roman" w:hAnsi="Times New Roman"/>
          <w:color w:val="000000"/>
          <w:spacing w:val="4"/>
          <w:sz w:val="24"/>
        </w:rPr>
        <w:t xml:space="preserve"> </w:t>
      </w:r>
      <w:r w:rsidR="00B91099">
        <w:rPr>
          <w:rFonts w:ascii="Times New Roman" w:eastAsia="Times New Roman" w:hAnsi="Times New Roman"/>
          <w:color w:val="000000"/>
          <w:spacing w:val="4"/>
          <w:sz w:val="24"/>
        </w:rPr>
        <w:t>Public</w:t>
      </w:r>
      <w:r w:rsidR="00C27A78">
        <w:rPr>
          <w:rFonts w:ascii="Times New Roman" w:eastAsia="Times New Roman" w:hAnsi="Times New Roman"/>
          <w:color w:val="000000"/>
          <w:spacing w:val="4"/>
          <w:sz w:val="24"/>
        </w:rPr>
        <w:t xml:space="preserve"> Interest Advocacy</w:t>
      </w:r>
      <w:r w:rsidRPr="00AA3C0D">
        <w:rPr>
          <w:rFonts w:ascii="Times New Roman" w:eastAsia="Times New Roman" w:hAnsi="Times New Roman"/>
          <w:color w:val="000000"/>
          <w:spacing w:val="4"/>
          <w:sz w:val="24"/>
        </w:rPr>
        <w:t xml:space="preserve"> Staff</w:t>
      </w:r>
      <w:r w:rsidR="00C27A78">
        <w:rPr>
          <w:rFonts w:ascii="Times New Roman" w:eastAsia="Times New Roman" w:hAnsi="Times New Roman"/>
          <w:color w:val="000000"/>
          <w:spacing w:val="4"/>
          <w:sz w:val="24"/>
        </w:rPr>
        <w:t xml:space="preserve"> (“</w:t>
      </w:r>
      <w:r w:rsidR="00F2584A">
        <w:rPr>
          <w:rFonts w:ascii="Times New Roman" w:eastAsia="Times New Roman" w:hAnsi="Times New Roman"/>
          <w:color w:val="000000"/>
          <w:spacing w:val="4"/>
          <w:sz w:val="24"/>
        </w:rPr>
        <w:t xml:space="preserve">PIA </w:t>
      </w:r>
      <w:r w:rsidR="00C27A78">
        <w:rPr>
          <w:rFonts w:ascii="Times New Roman" w:eastAsia="Times New Roman" w:hAnsi="Times New Roman"/>
          <w:color w:val="000000"/>
          <w:spacing w:val="4"/>
          <w:sz w:val="24"/>
        </w:rPr>
        <w:t>Staff”)</w:t>
      </w:r>
      <w:r w:rsidRPr="00AA3C0D">
        <w:rPr>
          <w:rFonts w:ascii="Times New Roman" w:eastAsia="Times New Roman" w:hAnsi="Times New Roman"/>
          <w:color w:val="000000"/>
          <w:spacing w:val="4"/>
          <w:sz w:val="24"/>
        </w:rPr>
        <w:t xml:space="preserve"> in Docket No. 40828.  In that Stipulation, AGL agreed that it “shall file a traditional rate case (the “Rate Case”) no later than June 1, 2019 with a proposed rate effective date of August 1, 2019, for rates that become effective on January 1, 2020 (following a five-month suspension by the Commission pursuant to O.C.G.A. § 46-2-25).” Stipulation, p.4.  </w:t>
      </w:r>
    </w:p>
    <w:p w14:paraId="27925BA6" w14:textId="77777777" w:rsidR="00AA3C0D" w:rsidRPr="00AA3C0D" w:rsidRDefault="00AA3C0D" w:rsidP="00AA3C0D">
      <w:pPr>
        <w:spacing w:before="551" w:after="0" w:line="279" w:lineRule="exact"/>
        <w:ind w:firstLine="720"/>
        <w:jc w:val="both"/>
        <w:textAlignment w:val="baseline"/>
        <w:rPr>
          <w:rFonts w:ascii="Times New Roman" w:eastAsia="Times New Roman" w:hAnsi="Times New Roman"/>
          <w:color w:val="000000"/>
          <w:spacing w:val="4"/>
          <w:sz w:val="24"/>
        </w:rPr>
      </w:pPr>
      <w:r w:rsidRPr="00AA3C0D">
        <w:rPr>
          <w:rFonts w:ascii="Times New Roman" w:eastAsia="Times New Roman" w:hAnsi="Times New Roman"/>
          <w:color w:val="000000"/>
          <w:spacing w:val="4"/>
          <w:sz w:val="24"/>
        </w:rPr>
        <w:t xml:space="preserve">The Stipulation further provided that “AGL shall file a forward-looking test year for the Rate Case that utilizes the twelve-month period of August 1, 2019 to July 31, 2020. In addition, AGL may propose a forward-looking test year using the 2020 calendar year, or any other periods that AGL may wish to submit for the Commission’s consideration.” </w:t>
      </w:r>
      <w:r w:rsidRPr="0039193E">
        <w:rPr>
          <w:rFonts w:ascii="Times New Roman" w:eastAsia="Times New Roman" w:hAnsi="Times New Roman"/>
          <w:i/>
          <w:color w:val="000000"/>
          <w:spacing w:val="4"/>
          <w:sz w:val="24"/>
        </w:rPr>
        <w:t>Id</w:t>
      </w:r>
      <w:r w:rsidRPr="00E94E61">
        <w:rPr>
          <w:rFonts w:ascii="Times New Roman" w:eastAsia="Times New Roman" w:hAnsi="Times New Roman"/>
          <w:color w:val="000000"/>
          <w:spacing w:val="4"/>
          <w:sz w:val="24"/>
        </w:rPr>
        <w:t>.</w:t>
      </w:r>
    </w:p>
    <w:p w14:paraId="34D2BE81" w14:textId="5D320E33" w:rsidR="00AA3C0D" w:rsidRPr="00AA3C0D" w:rsidRDefault="00AA3C0D" w:rsidP="00AA3C0D">
      <w:pPr>
        <w:spacing w:before="551" w:after="0" w:line="279" w:lineRule="exact"/>
        <w:ind w:firstLine="720"/>
        <w:jc w:val="both"/>
        <w:textAlignment w:val="baseline"/>
        <w:rPr>
          <w:rFonts w:ascii="Times New Roman" w:eastAsia="Times New Roman" w:hAnsi="Times New Roman"/>
          <w:color w:val="000000"/>
          <w:spacing w:val="4"/>
          <w:sz w:val="24"/>
          <w:u w:val="single"/>
        </w:rPr>
      </w:pPr>
      <w:r w:rsidRPr="00AA3C0D">
        <w:rPr>
          <w:rFonts w:ascii="Times New Roman" w:eastAsia="Times New Roman" w:hAnsi="Times New Roman"/>
          <w:color w:val="000000"/>
          <w:spacing w:val="4"/>
          <w:sz w:val="24"/>
        </w:rPr>
        <w:lastRenderedPageBreak/>
        <w:t xml:space="preserve">In addition, the Company “may propose to continue or modify </w:t>
      </w:r>
      <w:r w:rsidR="00475878" w:rsidRPr="00AA3C0D">
        <w:rPr>
          <w:rFonts w:ascii="Times New Roman" w:eastAsia="Times New Roman" w:hAnsi="Times New Roman"/>
          <w:color w:val="000000"/>
          <w:spacing w:val="4"/>
          <w:sz w:val="24"/>
        </w:rPr>
        <w:t xml:space="preserve">the </w:t>
      </w:r>
      <w:r w:rsidR="00475878">
        <w:rPr>
          <w:rFonts w:ascii="Times New Roman" w:eastAsia="Times New Roman" w:hAnsi="Times New Roman"/>
          <w:color w:val="000000"/>
          <w:spacing w:val="4"/>
          <w:sz w:val="24"/>
        </w:rPr>
        <w:t>Georgia</w:t>
      </w:r>
      <w:r w:rsidR="00604CEF">
        <w:rPr>
          <w:rFonts w:ascii="Times New Roman" w:eastAsia="Times New Roman" w:hAnsi="Times New Roman"/>
          <w:color w:val="000000"/>
          <w:spacing w:val="4"/>
          <w:sz w:val="24"/>
        </w:rPr>
        <w:t xml:space="preserve"> R</w:t>
      </w:r>
      <w:r w:rsidR="00820D12">
        <w:rPr>
          <w:rFonts w:ascii="Times New Roman" w:eastAsia="Times New Roman" w:hAnsi="Times New Roman"/>
          <w:color w:val="000000"/>
          <w:spacing w:val="4"/>
          <w:sz w:val="24"/>
        </w:rPr>
        <w:t>ate</w:t>
      </w:r>
      <w:r w:rsidR="00604CEF">
        <w:rPr>
          <w:rFonts w:ascii="Times New Roman" w:eastAsia="Times New Roman" w:hAnsi="Times New Roman"/>
          <w:color w:val="000000"/>
          <w:spacing w:val="4"/>
          <w:sz w:val="24"/>
        </w:rPr>
        <w:t xml:space="preserve"> Adjustment Mechanism (“</w:t>
      </w:r>
      <w:r w:rsidRPr="00AA3C0D">
        <w:rPr>
          <w:rFonts w:ascii="Times New Roman" w:eastAsia="Times New Roman" w:hAnsi="Times New Roman"/>
          <w:color w:val="000000"/>
          <w:spacing w:val="4"/>
          <w:sz w:val="24"/>
        </w:rPr>
        <w:t>GRAM</w:t>
      </w:r>
      <w:r w:rsidR="00604CEF">
        <w:rPr>
          <w:rFonts w:ascii="Times New Roman" w:eastAsia="Times New Roman" w:hAnsi="Times New Roman"/>
          <w:color w:val="000000"/>
          <w:spacing w:val="4"/>
          <w:sz w:val="24"/>
        </w:rPr>
        <w:t>”)</w:t>
      </w:r>
      <w:r w:rsidRPr="00AA3C0D">
        <w:rPr>
          <w:rFonts w:ascii="Times New Roman" w:eastAsia="Times New Roman" w:hAnsi="Times New Roman"/>
          <w:color w:val="000000"/>
          <w:spacing w:val="4"/>
          <w:sz w:val="24"/>
        </w:rPr>
        <w:t xml:space="preserve">.  AGL may propose some other form of alternative ratemaking. If AGL proposes any form of alternative ratemaking, </w:t>
      </w:r>
      <w:r w:rsidR="00F2584A">
        <w:rPr>
          <w:rFonts w:ascii="Times New Roman" w:eastAsia="Times New Roman" w:hAnsi="Times New Roman"/>
          <w:color w:val="000000"/>
          <w:spacing w:val="4"/>
          <w:sz w:val="24"/>
        </w:rPr>
        <w:t xml:space="preserve">PIA </w:t>
      </w:r>
      <w:r w:rsidRPr="00AA3C0D">
        <w:rPr>
          <w:rFonts w:ascii="Times New Roman" w:eastAsia="Times New Roman" w:hAnsi="Times New Roman"/>
          <w:color w:val="000000"/>
          <w:spacing w:val="4"/>
          <w:sz w:val="24"/>
        </w:rPr>
        <w:t xml:space="preserve">Staff may propose modifications to or denial of the proposal.” </w:t>
      </w:r>
      <w:r w:rsidRPr="0039193E">
        <w:rPr>
          <w:rFonts w:ascii="Times New Roman" w:eastAsia="Times New Roman" w:hAnsi="Times New Roman"/>
          <w:i/>
          <w:color w:val="000000"/>
          <w:spacing w:val="4"/>
          <w:sz w:val="24"/>
        </w:rPr>
        <w:t>Id.</w:t>
      </w:r>
    </w:p>
    <w:p w14:paraId="13E3347B" w14:textId="1B7F79E7" w:rsidR="00944BDC" w:rsidRPr="00CD2B74" w:rsidRDefault="00AA3C0D" w:rsidP="00E04054">
      <w:pPr>
        <w:spacing w:before="551" w:after="0" w:line="279" w:lineRule="exact"/>
        <w:ind w:firstLine="720"/>
        <w:jc w:val="both"/>
        <w:textAlignment w:val="baseline"/>
        <w:rPr>
          <w:rFonts w:ascii="Times New Roman" w:hAnsi="Times New Roman"/>
          <w:sz w:val="24"/>
          <w:szCs w:val="24"/>
        </w:rPr>
      </w:pPr>
      <w:r w:rsidRPr="00AA3C0D">
        <w:rPr>
          <w:rFonts w:ascii="Times New Roman" w:eastAsia="Times New Roman" w:hAnsi="Times New Roman"/>
          <w:color w:val="000000"/>
          <w:spacing w:val="4"/>
          <w:sz w:val="24"/>
        </w:rPr>
        <w:t>Due to the complexity of the matters to be addressed in this docket, and</w:t>
      </w:r>
      <w:r w:rsidR="00E350F5">
        <w:rPr>
          <w:rFonts w:ascii="Times New Roman" w:eastAsia="Times New Roman" w:hAnsi="Times New Roman"/>
          <w:color w:val="000000"/>
          <w:spacing w:val="4"/>
          <w:sz w:val="24"/>
        </w:rPr>
        <w:t xml:space="preserve"> with previous requests for rate relief</w:t>
      </w:r>
      <w:r w:rsidRPr="00AA3C0D">
        <w:rPr>
          <w:rFonts w:ascii="Times New Roman" w:eastAsia="Times New Roman" w:hAnsi="Times New Roman"/>
          <w:color w:val="000000"/>
          <w:spacing w:val="4"/>
          <w:sz w:val="24"/>
        </w:rPr>
        <w:t>, the Commission suspended the filing as contemplated by O.C.G.A. -2-25 for a five-month period for rates to become effective on January 1, 2020.</w:t>
      </w:r>
    </w:p>
    <w:p w14:paraId="0E610F74" w14:textId="77777777" w:rsidR="001E3908" w:rsidRDefault="001E3908" w:rsidP="00940B55">
      <w:pPr>
        <w:pStyle w:val="Title"/>
        <w:spacing w:line="240" w:lineRule="auto"/>
        <w:rPr>
          <w:rFonts w:ascii="Times New Roman" w:hAnsi="Times New Roman"/>
          <w:szCs w:val="24"/>
        </w:rPr>
      </w:pPr>
    </w:p>
    <w:p w14:paraId="3C9A9488" w14:textId="77777777" w:rsidR="00BD60E2" w:rsidRDefault="00BD60E2" w:rsidP="00940B55">
      <w:pPr>
        <w:pStyle w:val="Title"/>
        <w:spacing w:line="240" w:lineRule="auto"/>
        <w:rPr>
          <w:rFonts w:ascii="Times New Roman" w:hAnsi="Times New Roman"/>
          <w:szCs w:val="24"/>
        </w:rPr>
      </w:pPr>
      <w:r w:rsidRPr="001E3908">
        <w:rPr>
          <w:rFonts w:ascii="Times New Roman" w:hAnsi="Times New Roman"/>
          <w:szCs w:val="24"/>
        </w:rPr>
        <w:t>STATEMENT OF PROCEEDINGS</w:t>
      </w:r>
      <w:bookmarkEnd w:id="4"/>
    </w:p>
    <w:p w14:paraId="1140F283" w14:textId="77777777" w:rsidR="00B322F7" w:rsidRDefault="0068297D" w:rsidP="00B322F7">
      <w:pPr>
        <w:spacing w:before="551" w:after="0" w:line="279" w:lineRule="exact"/>
        <w:ind w:firstLine="720"/>
        <w:textAlignment w:val="baseline"/>
        <w:rPr>
          <w:rFonts w:ascii="Times New Roman" w:eastAsia="Times New Roman" w:hAnsi="Times New Roman"/>
          <w:color w:val="000000"/>
          <w:spacing w:val="4"/>
          <w:sz w:val="24"/>
        </w:rPr>
      </w:pPr>
      <w:r>
        <w:rPr>
          <w:rFonts w:ascii="Times New Roman" w:eastAsia="Times New Roman" w:hAnsi="Times New Roman"/>
          <w:color w:val="000000"/>
          <w:spacing w:val="4"/>
          <w:sz w:val="24"/>
        </w:rPr>
        <w:t xml:space="preserve">AGL </w:t>
      </w:r>
      <w:r w:rsidR="00E04054" w:rsidRPr="00E04054">
        <w:rPr>
          <w:rFonts w:ascii="Times New Roman" w:eastAsia="Times New Roman" w:hAnsi="Times New Roman"/>
          <w:color w:val="000000"/>
          <w:spacing w:val="4"/>
          <w:sz w:val="24"/>
        </w:rPr>
        <w:t>filed its Petition for Approval of Adjustment of Rates and Revised Tariff and Application for Approval of an Alternative Form of Regulation on June 3, 2019. The Commission developed the hearing process</w:t>
      </w:r>
      <w:r w:rsidR="00CE2EFF">
        <w:rPr>
          <w:rFonts w:ascii="Times New Roman" w:eastAsia="Times New Roman" w:hAnsi="Times New Roman"/>
          <w:color w:val="000000"/>
          <w:spacing w:val="4"/>
          <w:sz w:val="24"/>
        </w:rPr>
        <w:t xml:space="preserve"> which it </w:t>
      </w:r>
      <w:r w:rsidR="00DD30A1">
        <w:rPr>
          <w:rFonts w:ascii="Times New Roman" w:eastAsia="Times New Roman" w:hAnsi="Times New Roman"/>
          <w:color w:val="000000"/>
          <w:spacing w:val="4"/>
          <w:sz w:val="24"/>
        </w:rPr>
        <w:t>issued in</w:t>
      </w:r>
      <w:r w:rsidR="00E04054" w:rsidRPr="00E04054">
        <w:rPr>
          <w:rFonts w:ascii="Times New Roman" w:eastAsia="Times New Roman" w:hAnsi="Times New Roman"/>
          <w:color w:val="000000"/>
          <w:spacing w:val="4"/>
          <w:sz w:val="24"/>
        </w:rPr>
        <w:t xml:space="preserve"> a Procedural and Scheduling Order</w:t>
      </w:r>
      <w:r w:rsidR="00982548">
        <w:rPr>
          <w:rFonts w:ascii="Times New Roman" w:eastAsia="Times New Roman" w:hAnsi="Times New Roman"/>
          <w:color w:val="000000"/>
          <w:spacing w:val="4"/>
          <w:sz w:val="24"/>
        </w:rPr>
        <w:t xml:space="preserve"> (“PSO”)</w:t>
      </w:r>
      <w:r w:rsidR="00E04054" w:rsidRPr="00E04054">
        <w:rPr>
          <w:rFonts w:ascii="Times New Roman" w:eastAsia="Times New Roman" w:hAnsi="Times New Roman"/>
          <w:color w:val="000000"/>
          <w:spacing w:val="4"/>
          <w:sz w:val="24"/>
        </w:rPr>
        <w:t xml:space="preserve"> on June 8, 2019</w:t>
      </w:r>
      <w:bookmarkStart w:id="5" w:name="_Toc275350899"/>
      <w:r w:rsidR="00B322F7">
        <w:rPr>
          <w:rFonts w:ascii="Times New Roman" w:eastAsia="Times New Roman" w:hAnsi="Times New Roman"/>
          <w:color w:val="000000"/>
          <w:spacing w:val="4"/>
          <w:sz w:val="24"/>
        </w:rPr>
        <w:t>.</w:t>
      </w:r>
    </w:p>
    <w:p w14:paraId="03A43B8C" w14:textId="1F64E0D2" w:rsidR="00656BF3" w:rsidRDefault="00B322F7" w:rsidP="00656BF3">
      <w:pPr>
        <w:spacing w:before="551" w:after="0" w:line="279" w:lineRule="exact"/>
        <w:ind w:firstLine="720"/>
        <w:textAlignment w:val="baseline"/>
        <w:rPr>
          <w:rFonts w:ascii="Times New Roman" w:eastAsia="Times New Roman" w:hAnsi="Times New Roman"/>
          <w:color w:val="000000"/>
          <w:spacing w:val="4"/>
          <w:sz w:val="24"/>
        </w:rPr>
      </w:pPr>
      <w:r>
        <w:rPr>
          <w:rFonts w:ascii="Times New Roman" w:eastAsia="Times New Roman" w:hAnsi="Times New Roman"/>
          <w:color w:val="000000"/>
          <w:spacing w:val="4"/>
          <w:sz w:val="24"/>
        </w:rPr>
        <w:t xml:space="preserve"> On</w:t>
      </w:r>
      <w:r w:rsidRPr="00B322F7">
        <w:rPr>
          <w:rFonts w:ascii="Times New Roman" w:eastAsia="Times New Roman" w:hAnsi="Times New Roman"/>
          <w:color w:val="000000"/>
          <w:spacing w:val="4"/>
          <w:sz w:val="24"/>
        </w:rPr>
        <w:t xml:space="preserve"> September 10, 2019 through September 12, 2019</w:t>
      </w:r>
      <w:r>
        <w:rPr>
          <w:rFonts w:ascii="Times New Roman" w:eastAsia="Times New Roman" w:hAnsi="Times New Roman"/>
          <w:color w:val="000000"/>
          <w:spacing w:val="4"/>
          <w:sz w:val="24"/>
        </w:rPr>
        <w:t xml:space="preserve">, the Commission heard the direct case presented by the Company. </w:t>
      </w:r>
      <w:r w:rsidR="00F2584A">
        <w:rPr>
          <w:rFonts w:ascii="Times New Roman" w:eastAsia="Times New Roman" w:hAnsi="Times New Roman"/>
          <w:color w:val="000000"/>
          <w:spacing w:val="4"/>
          <w:sz w:val="24"/>
        </w:rPr>
        <w:t xml:space="preserve">PIA </w:t>
      </w:r>
      <w:r>
        <w:rPr>
          <w:rFonts w:ascii="Times New Roman" w:eastAsia="Times New Roman" w:hAnsi="Times New Roman"/>
          <w:color w:val="000000"/>
          <w:spacing w:val="4"/>
          <w:sz w:val="24"/>
        </w:rPr>
        <w:t>Staff and Intervenors</w:t>
      </w:r>
      <w:r w:rsidR="00D344E1">
        <w:rPr>
          <w:rFonts w:ascii="Times New Roman" w:eastAsia="Times New Roman" w:hAnsi="Times New Roman"/>
          <w:color w:val="000000"/>
          <w:spacing w:val="4"/>
          <w:sz w:val="24"/>
        </w:rPr>
        <w:t xml:space="preserve"> put forth their direct testimony and exhibits on</w:t>
      </w:r>
      <w:r w:rsidR="00117096" w:rsidRPr="00117096">
        <w:rPr>
          <w:rFonts w:ascii="Times New Roman" w:eastAsia="Times New Roman" w:hAnsi="Times New Roman"/>
          <w:color w:val="000000"/>
          <w:spacing w:val="4"/>
          <w:sz w:val="24"/>
        </w:rPr>
        <w:t xml:space="preserve"> October 23, 2019 through October 24, 2019.</w:t>
      </w:r>
      <w:r w:rsidR="008C54D5" w:rsidRPr="008C54D5">
        <w:rPr>
          <w:rFonts w:ascii="Times New Roman" w:eastAsia="Times New Roman" w:hAnsi="Times New Roman"/>
          <w:color w:val="000000"/>
          <w:spacing w:val="4"/>
          <w:sz w:val="24"/>
        </w:rPr>
        <w:t xml:space="preserve"> </w:t>
      </w:r>
      <w:r w:rsidR="008A692B">
        <w:rPr>
          <w:rFonts w:ascii="Times New Roman" w:eastAsia="Times New Roman" w:hAnsi="Times New Roman"/>
          <w:color w:val="000000"/>
          <w:spacing w:val="4"/>
          <w:sz w:val="24"/>
        </w:rPr>
        <w:t xml:space="preserve">Company rebuttal hearings took place </w:t>
      </w:r>
      <w:r w:rsidR="008C54D5" w:rsidRPr="008C54D5">
        <w:rPr>
          <w:rFonts w:ascii="Times New Roman" w:eastAsia="Times New Roman" w:hAnsi="Times New Roman"/>
          <w:color w:val="000000"/>
          <w:spacing w:val="4"/>
          <w:sz w:val="24"/>
        </w:rPr>
        <w:t>November 21, 2019 through November 22, 2019</w:t>
      </w:r>
      <w:r w:rsidR="008C54D5">
        <w:rPr>
          <w:rFonts w:ascii="Times New Roman" w:eastAsia="Times New Roman" w:hAnsi="Times New Roman"/>
          <w:color w:val="000000"/>
          <w:spacing w:val="4"/>
          <w:sz w:val="24"/>
        </w:rPr>
        <w:t>.</w:t>
      </w:r>
      <w:r w:rsidR="008C54D5" w:rsidRPr="008C54D5">
        <w:t xml:space="preserve"> </w:t>
      </w:r>
      <w:r w:rsidR="008C54D5" w:rsidRPr="008C54D5">
        <w:rPr>
          <w:rFonts w:ascii="Times New Roman" w:eastAsia="Times New Roman" w:hAnsi="Times New Roman"/>
          <w:color w:val="000000"/>
          <w:spacing w:val="4"/>
          <w:sz w:val="24"/>
        </w:rPr>
        <w:t>All recommendations, briefs and proposed Orders</w:t>
      </w:r>
      <w:r w:rsidR="008C54D5">
        <w:rPr>
          <w:rFonts w:ascii="Times New Roman" w:eastAsia="Times New Roman" w:hAnsi="Times New Roman"/>
          <w:color w:val="000000"/>
          <w:spacing w:val="4"/>
          <w:sz w:val="24"/>
        </w:rPr>
        <w:t xml:space="preserve"> were</w:t>
      </w:r>
      <w:r w:rsidR="008C54D5" w:rsidRPr="008C54D5">
        <w:rPr>
          <w:rFonts w:ascii="Times New Roman" w:eastAsia="Times New Roman" w:hAnsi="Times New Roman"/>
          <w:color w:val="000000"/>
          <w:spacing w:val="4"/>
          <w:sz w:val="24"/>
        </w:rPr>
        <w:t xml:space="preserve"> due</w:t>
      </w:r>
      <w:r w:rsidR="008C54D5">
        <w:rPr>
          <w:rFonts w:ascii="Times New Roman" w:eastAsia="Times New Roman" w:hAnsi="Times New Roman"/>
          <w:color w:val="000000"/>
          <w:spacing w:val="4"/>
          <w:sz w:val="24"/>
        </w:rPr>
        <w:t xml:space="preserve"> on December </w:t>
      </w:r>
      <w:r w:rsidR="00656BF3">
        <w:rPr>
          <w:rFonts w:ascii="Times New Roman" w:eastAsia="Times New Roman" w:hAnsi="Times New Roman"/>
          <w:color w:val="000000"/>
          <w:spacing w:val="4"/>
          <w:sz w:val="24"/>
        </w:rPr>
        <w:t>9, 2019.</w:t>
      </w:r>
    </w:p>
    <w:p w14:paraId="4E8D26ED" w14:textId="132BBD34" w:rsidR="00656BF3" w:rsidRDefault="00656BF3" w:rsidP="00656BF3">
      <w:pPr>
        <w:spacing w:before="551" w:after="0" w:line="279" w:lineRule="exact"/>
        <w:ind w:firstLine="720"/>
        <w:textAlignment w:val="baseline"/>
        <w:rPr>
          <w:rFonts w:ascii="Times New Roman" w:eastAsia="Times New Roman" w:hAnsi="Times New Roman"/>
          <w:color w:val="000000"/>
          <w:spacing w:val="4"/>
          <w:sz w:val="24"/>
        </w:rPr>
      </w:pPr>
      <w:r>
        <w:rPr>
          <w:rFonts w:ascii="Times New Roman" w:eastAsia="Times New Roman" w:hAnsi="Times New Roman"/>
          <w:color w:val="000000"/>
          <w:spacing w:val="4"/>
          <w:sz w:val="24"/>
        </w:rPr>
        <w:t xml:space="preserve">The Commission </w:t>
      </w:r>
      <w:r w:rsidR="0078697C">
        <w:rPr>
          <w:rFonts w:ascii="Times New Roman" w:eastAsia="Times New Roman" w:hAnsi="Times New Roman"/>
          <w:color w:val="000000"/>
          <w:spacing w:val="4"/>
          <w:sz w:val="24"/>
        </w:rPr>
        <w:t xml:space="preserve">voted to </w:t>
      </w:r>
      <w:r>
        <w:rPr>
          <w:rFonts w:ascii="Times New Roman" w:eastAsia="Times New Roman" w:hAnsi="Times New Roman"/>
          <w:color w:val="000000"/>
          <w:spacing w:val="4"/>
          <w:sz w:val="24"/>
        </w:rPr>
        <w:t xml:space="preserve">adopt </w:t>
      </w:r>
      <w:r w:rsidR="00317A68">
        <w:rPr>
          <w:rFonts w:ascii="Times New Roman" w:eastAsia="Times New Roman" w:hAnsi="Times New Roman"/>
          <w:color w:val="000000"/>
          <w:spacing w:val="4"/>
          <w:sz w:val="24"/>
        </w:rPr>
        <w:t xml:space="preserve">a </w:t>
      </w:r>
      <w:r w:rsidR="00C53CB6">
        <w:rPr>
          <w:rFonts w:ascii="Times New Roman" w:eastAsia="Times New Roman" w:hAnsi="Times New Roman"/>
          <w:color w:val="000000"/>
          <w:spacing w:val="4"/>
          <w:sz w:val="24"/>
        </w:rPr>
        <w:t>Commissioner Motion</w:t>
      </w:r>
      <w:r>
        <w:rPr>
          <w:rFonts w:ascii="Times New Roman" w:eastAsia="Times New Roman" w:hAnsi="Times New Roman"/>
          <w:color w:val="000000"/>
          <w:spacing w:val="4"/>
          <w:sz w:val="24"/>
        </w:rPr>
        <w:t xml:space="preserve"> </w:t>
      </w:r>
      <w:r w:rsidR="009F499F">
        <w:rPr>
          <w:rFonts w:ascii="Times New Roman" w:eastAsia="Times New Roman" w:hAnsi="Times New Roman"/>
          <w:color w:val="000000"/>
          <w:spacing w:val="4"/>
          <w:sz w:val="24"/>
        </w:rPr>
        <w:t xml:space="preserve">resolving this matter </w:t>
      </w:r>
      <w:r w:rsidR="00DC3ACA">
        <w:rPr>
          <w:rFonts w:ascii="Times New Roman" w:eastAsia="Times New Roman" w:hAnsi="Times New Roman"/>
          <w:color w:val="000000"/>
          <w:spacing w:val="4"/>
          <w:sz w:val="24"/>
        </w:rPr>
        <w:t>a</w:t>
      </w:r>
      <w:r w:rsidR="009F499F">
        <w:rPr>
          <w:rFonts w:ascii="Times New Roman" w:eastAsia="Times New Roman" w:hAnsi="Times New Roman"/>
          <w:color w:val="000000"/>
          <w:spacing w:val="4"/>
          <w:sz w:val="24"/>
        </w:rPr>
        <w:t>t its</w:t>
      </w:r>
      <w:r w:rsidR="00DC3ACA">
        <w:rPr>
          <w:rFonts w:ascii="Times New Roman" w:eastAsia="Times New Roman" w:hAnsi="Times New Roman"/>
          <w:color w:val="000000"/>
          <w:spacing w:val="4"/>
          <w:sz w:val="24"/>
        </w:rPr>
        <w:t xml:space="preserve"> Special </w:t>
      </w:r>
      <w:r>
        <w:rPr>
          <w:rFonts w:ascii="Times New Roman" w:eastAsia="Times New Roman" w:hAnsi="Times New Roman"/>
          <w:color w:val="000000"/>
          <w:spacing w:val="4"/>
          <w:sz w:val="24"/>
        </w:rPr>
        <w:t>Administrative Session on December 19</w:t>
      </w:r>
      <w:r w:rsidR="0078697C">
        <w:rPr>
          <w:rFonts w:ascii="Times New Roman" w:eastAsia="Times New Roman" w:hAnsi="Times New Roman"/>
          <w:color w:val="000000"/>
          <w:spacing w:val="4"/>
          <w:sz w:val="24"/>
        </w:rPr>
        <w:t xml:space="preserve">, </w:t>
      </w:r>
      <w:r>
        <w:rPr>
          <w:rFonts w:ascii="Times New Roman" w:eastAsia="Times New Roman" w:hAnsi="Times New Roman"/>
          <w:color w:val="000000"/>
          <w:spacing w:val="4"/>
          <w:sz w:val="24"/>
        </w:rPr>
        <w:t>2019.</w:t>
      </w:r>
    </w:p>
    <w:p w14:paraId="181B2D5D" w14:textId="77777777" w:rsidR="00B322F7" w:rsidRPr="00786C53" w:rsidRDefault="00B322F7" w:rsidP="00B322F7">
      <w:pPr>
        <w:spacing w:before="551" w:after="0" w:line="279" w:lineRule="exact"/>
        <w:ind w:firstLine="720"/>
        <w:textAlignment w:val="baseline"/>
      </w:pPr>
    </w:p>
    <w:p w14:paraId="65A80566" w14:textId="77777777" w:rsidR="00BD60E2" w:rsidRPr="001E3908" w:rsidRDefault="00BD60E2" w:rsidP="00BD60E2">
      <w:pPr>
        <w:pStyle w:val="Title"/>
        <w:rPr>
          <w:rFonts w:ascii="Times New Roman" w:hAnsi="Times New Roman"/>
          <w:szCs w:val="24"/>
        </w:rPr>
      </w:pPr>
      <w:r w:rsidRPr="001E3908">
        <w:rPr>
          <w:rFonts w:ascii="Times New Roman" w:hAnsi="Times New Roman"/>
          <w:szCs w:val="24"/>
        </w:rPr>
        <w:t xml:space="preserve">FINDINGS OF FACT </w:t>
      </w:r>
      <w:bookmarkEnd w:id="5"/>
    </w:p>
    <w:p w14:paraId="79E4183B" w14:textId="77777777" w:rsidR="00BD60E2" w:rsidRPr="001E3908" w:rsidRDefault="00BD60E2" w:rsidP="00940B55">
      <w:pPr>
        <w:pStyle w:val="Title"/>
        <w:spacing w:line="240" w:lineRule="auto"/>
        <w:rPr>
          <w:rFonts w:ascii="Times New Roman" w:hAnsi="Times New Roman"/>
          <w:b w:val="0"/>
          <w:szCs w:val="24"/>
        </w:rPr>
      </w:pPr>
      <w:r w:rsidRPr="001E3908">
        <w:rPr>
          <w:rFonts w:ascii="Times New Roman" w:hAnsi="Times New Roman"/>
          <w:b w:val="0"/>
          <w:szCs w:val="24"/>
        </w:rPr>
        <w:t xml:space="preserve">1. </w:t>
      </w:r>
    </w:p>
    <w:p w14:paraId="3E828B24" w14:textId="77777777" w:rsidR="00BD60E2" w:rsidRPr="00A72962" w:rsidRDefault="00BD60E2" w:rsidP="00940B55">
      <w:pPr>
        <w:pStyle w:val="BodyText"/>
        <w:spacing w:line="240" w:lineRule="auto"/>
        <w:rPr>
          <w:sz w:val="24"/>
        </w:rPr>
      </w:pPr>
      <w:r w:rsidRPr="00A72962">
        <w:rPr>
          <w:sz w:val="24"/>
        </w:rPr>
        <w:t xml:space="preserve">The Commission finds as a matter of fact that the test period utilized in resolving this matter is the </w:t>
      </w:r>
      <w:r w:rsidR="0039193E" w:rsidRPr="00A72962">
        <w:rPr>
          <w:sz w:val="24"/>
        </w:rPr>
        <w:t>twelve-month</w:t>
      </w:r>
      <w:r w:rsidRPr="00A72962">
        <w:rPr>
          <w:sz w:val="24"/>
        </w:rPr>
        <w:t xml:space="preserve"> period ending</w:t>
      </w:r>
      <w:r w:rsidR="00725716" w:rsidRPr="00A72962">
        <w:rPr>
          <w:sz w:val="24"/>
        </w:rPr>
        <w:t xml:space="preserve"> </w:t>
      </w:r>
      <w:r w:rsidR="00DC3ACA">
        <w:rPr>
          <w:sz w:val="24"/>
        </w:rPr>
        <w:t>July 31, 2020</w:t>
      </w:r>
      <w:r w:rsidRPr="00A72962">
        <w:rPr>
          <w:sz w:val="24"/>
        </w:rPr>
        <w:t xml:space="preserve">.  </w:t>
      </w:r>
    </w:p>
    <w:p w14:paraId="3120B9B9" w14:textId="779D68D1" w:rsidR="00940B55" w:rsidRPr="00A72962" w:rsidRDefault="0006577F" w:rsidP="00940B55">
      <w:pPr>
        <w:pStyle w:val="Title"/>
        <w:spacing w:line="240" w:lineRule="auto"/>
        <w:rPr>
          <w:rFonts w:ascii="Times New Roman" w:hAnsi="Times New Roman"/>
          <w:b w:val="0"/>
          <w:szCs w:val="24"/>
        </w:rPr>
      </w:pPr>
      <w:r>
        <w:rPr>
          <w:rFonts w:ascii="Times New Roman" w:hAnsi="Times New Roman"/>
          <w:b w:val="0"/>
          <w:szCs w:val="24"/>
        </w:rPr>
        <w:t>2.</w:t>
      </w:r>
      <w:r w:rsidR="00940B55" w:rsidRPr="00A72962">
        <w:rPr>
          <w:rFonts w:ascii="Times New Roman" w:hAnsi="Times New Roman"/>
          <w:b w:val="0"/>
          <w:szCs w:val="24"/>
        </w:rPr>
        <w:t xml:space="preserve"> </w:t>
      </w:r>
    </w:p>
    <w:p w14:paraId="3029CBE4" w14:textId="751844EC" w:rsidR="00F333C0" w:rsidRPr="00A72962" w:rsidRDefault="00940B55" w:rsidP="00700EDA">
      <w:pPr>
        <w:pStyle w:val="BodyText"/>
        <w:spacing w:line="240" w:lineRule="auto"/>
        <w:rPr>
          <w:b/>
        </w:rPr>
      </w:pPr>
      <w:bookmarkStart w:id="6" w:name="_Hlk27649967"/>
      <w:r w:rsidRPr="00A72962">
        <w:rPr>
          <w:sz w:val="24"/>
        </w:rPr>
        <w:t>The Commission finds as a matter of fact that the appropriate</w:t>
      </w:r>
      <w:r w:rsidR="008A692B">
        <w:rPr>
          <w:sz w:val="24"/>
        </w:rPr>
        <w:t>,</w:t>
      </w:r>
      <w:r w:rsidRPr="00A72962">
        <w:rPr>
          <w:sz w:val="24"/>
        </w:rPr>
        <w:t xml:space="preserve"> and just</w:t>
      </w:r>
      <w:r w:rsidR="008A692B">
        <w:rPr>
          <w:sz w:val="24"/>
        </w:rPr>
        <w:t xml:space="preserve"> and</w:t>
      </w:r>
      <w:r w:rsidRPr="00A72962">
        <w:rPr>
          <w:sz w:val="24"/>
        </w:rPr>
        <w:t xml:space="preserve"> reasonable return on common equity for the Company is 10.</w:t>
      </w:r>
      <w:r w:rsidR="00CA7F8E" w:rsidRPr="00A72962">
        <w:rPr>
          <w:sz w:val="24"/>
        </w:rPr>
        <w:t>2</w:t>
      </w:r>
      <w:r w:rsidRPr="00A72962">
        <w:rPr>
          <w:sz w:val="24"/>
        </w:rPr>
        <w:t>5%</w:t>
      </w:r>
      <w:r w:rsidR="00ED25A7" w:rsidRPr="00A72962">
        <w:rPr>
          <w:sz w:val="24"/>
        </w:rPr>
        <w:t>.</w:t>
      </w:r>
      <w:r w:rsidRPr="00A72962">
        <w:rPr>
          <w:sz w:val="24"/>
        </w:rPr>
        <w:t xml:space="preserve">  The Commission further finds that </w:t>
      </w:r>
      <w:r w:rsidR="00F333C0" w:rsidRPr="00A72962">
        <w:rPr>
          <w:sz w:val="24"/>
        </w:rPr>
        <w:t xml:space="preserve">the appropriate </w:t>
      </w:r>
      <w:r w:rsidRPr="00A72962">
        <w:rPr>
          <w:sz w:val="24"/>
        </w:rPr>
        <w:t xml:space="preserve">cost of long-term debt </w:t>
      </w:r>
      <w:r w:rsidR="00F333C0" w:rsidRPr="00A72962">
        <w:rPr>
          <w:sz w:val="24"/>
        </w:rPr>
        <w:t xml:space="preserve">is </w:t>
      </w:r>
      <w:r w:rsidR="00C56670" w:rsidRPr="00A72962">
        <w:rPr>
          <w:sz w:val="24"/>
        </w:rPr>
        <w:t>4.</w:t>
      </w:r>
      <w:r w:rsidR="008745F9" w:rsidRPr="00A72962">
        <w:rPr>
          <w:sz w:val="24"/>
        </w:rPr>
        <w:t>7</w:t>
      </w:r>
      <w:r w:rsidR="008745F9">
        <w:rPr>
          <w:sz w:val="24"/>
        </w:rPr>
        <w:t>4</w:t>
      </w:r>
      <w:r w:rsidR="00F333C0" w:rsidRPr="00A72962">
        <w:rPr>
          <w:sz w:val="24"/>
        </w:rPr>
        <w:t>% and the appropriate</w:t>
      </w:r>
      <w:r w:rsidRPr="00A72962">
        <w:rPr>
          <w:sz w:val="24"/>
        </w:rPr>
        <w:t xml:space="preserve"> cost of s</w:t>
      </w:r>
      <w:r w:rsidR="00F333C0" w:rsidRPr="00A72962">
        <w:rPr>
          <w:sz w:val="24"/>
        </w:rPr>
        <w:t>hort</w:t>
      </w:r>
      <w:r w:rsidR="00026120" w:rsidRPr="00A72962">
        <w:rPr>
          <w:sz w:val="24"/>
        </w:rPr>
        <w:t>-</w:t>
      </w:r>
      <w:r w:rsidR="00F333C0" w:rsidRPr="00A72962">
        <w:rPr>
          <w:sz w:val="24"/>
        </w:rPr>
        <w:t>term debt is</w:t>
      </w:r>
      <w:r w:rsidRPr="00A72962">
        <w:rPr>
          <w:sz w:val="24"/>
        </w:rPr>
        <w:t xml:space="preserve"> 2.</w:t>
      </w:r>
      <w:r w:rsidR="00CA7F8E" w:rsidRPr="00A72962">
        <w:rPr>
          <w:sz w:val="24"/>
        </w:rPr>
        <w:t>51</w:t>
      </w:r>
      <w:r w:rsidRPr="00A72962">
        <w:rPr>
          <w:sz w:val="24"/>
        </w:rPr>
        <w:t>%</w:t>
      </w:r>
      <w:r w:rsidR="00F333C0" w:rsidRPr="00A72962">
        <w:rPr>
          <w:sz w:val="24"/>
        </w:rPr>
        <w:t>. The Commission further finds that the appropriate capital structure</w:t>
      </w:r>
      <w:r w:rsidR="00CA2327" w:rsidRPr="00A72962">
        <w:rPr>
          <w:sz w:val="24"/>
        </w:rPr>
        <w:t xml:space="preserve"> </w:t>
      </w:r>
      <w:r w:rsidR="00F333C0" w:rsidRPr="00A72962">
        <w:rPr>
          <w:sz w:val="24"/>
        </w:rPr>
        <w:t>is</w:t>
      </w:r>
      <w:r w:rsidR="00070E97">
        <w:rPr>
          <w:sz w:val="24"/>
        </w:rPr>
        <w:t xml:space="preserve"> </w:t>
      </w:r>
      <w:r w:rsidR="00F333C0" w:rsidRPr="00A72962">
        <w:rPr>
          <w:sz w:val="24"/>
        </w:rPr>
        <w:t>5</w:t>
      </w:r>
      <w:r w:rsidR="006E7F68" w:rsidRPr="00A72962">
        <w:rPr>
          <w:sz w:val="24"/>
        </w:rPr>
        <w:t>6</w:t>
      </w:r>
      <w:r w:rsidR="00F333C0" w:rsidRPr="00A72962">
        <w:rPr>
          <w:sz w:val="24"/>
        </w:rPr>
        <w:t xml:space="preserve">% common equity, </w:t>
      </w:r>
      <w:r w:rsidR="008745F9">
        <w:rPr>
          <w:sz w:val="24"/>
        </w:rPr>
        <w:lastRenderedPageBreak/>
        <w:t>39.21</w:t>
      </w:r>
      <w:r w:rsidR="00F333C0" w:rsidRPr="00A72962">
        <w:rPr>
          <w:sz w:val="24"/>
        </w:rPr>
        <w:t xml:space="preserve">% long term debt and </w:t>
      </w:r>
      <w:r w:rsidR="008745F9">
        <w:rPr>
          <w:sz w:val="24"/>
        </w:rPr>
        <w:t>4.79</w:t>
      </w:r>
      <w:r w:rsidR="00F333C0" w:rsidRPr="00A72962">
        <w:rPr>
          <w:sz w:val="24"/>
        </w:rPr>
        <w:t>% short term debt</w:t>
      </w:r>
      <w:r w:rsidRPr="00A72962">
        <w:rPr>
          <w:sz w:val="24"/>
        </w:rPr>
        <w:t xml:space="preserve">. </w:t>
      </w:r>
      <w:r w:rsidR="00F333C0" w:rsidRPr="00A72962">
        <w:rPr>
          <w:sz w:val="24"/>
        </w:rPr>
        <w:t xml:space="preserve">The Commission further finds that the appropriate overall return is </w:t>
      </w:r>
      <w:r w:rsidR="004A227A">
        <w:rPr>
          <w:sz w:val="24"/>
        </w:rPr>
        <w:t>7.718</w:t>
      </w:r>
      <w:r w:rsidR="00F333C0" w:rsidRPr="00A72962">
        <w:rPr>
          <w:sz w:val="24"/>
        </w:rPr>
        <w:t>%</w:t>
      </w:r>
      <w:r w:rsidR="00A72962">
        <w:rPr>
          <w:sz w:val="24"/>
        </w:rPr>
        <w:t>.</w:t>
      </w:r>
      <w:bookmarkEnd w:id="6"/>
      <w:r w:rsidR="00F333C0" w:rsidRPr="00A72962">
        <w:t xml:space="preserve"> </w:t>
      </w:r>
    </w:p>
    <w:p w14:paraId="294D72FE" w14:textId="4A6B4B82" w:rsidR="00E04184" w:rsidRPr="001E3908" w:rsidRDefault="001775D4" w:rsidP="00E04184">
      <w:pPr>
        <w:pStyle w:val="Title"/>
        <w:spacing w:line="240" w:lineRule="auto"/>
        <w:rPr>
          <w:rFonts w:ascii="Times New Roman" w:hAnsi="Times New Roman"/>
          <w:b w:val="0"/>
          <w:szCs w:val="24"/>
        </w:rPr>
      </w:pPr>
      <w:r>
        <w:rPr>
          <w:rFonts w:ascii="Times New Roman" w:hAnsi="Times New Roman"/>
          <w:b w:val="0"/>
          <w:szCs w:val="24"/>
        </w:rPr>
        <w:t>3</w:t>
      </w:r>
      <w:r w:rsidR="00E04184" w:rsidRPr="00A72962">
        <w:rPr>
          <w:rFonts w:ascii="Times New Roman" w:hAnsi="Times New Roman"/>
          <w:b w:val="0"/>
          <w:szCs w:val="24"/>
        </w:rPr>
        <w:t>.</w:t>
      </w:r>
      <w:r w:rsidR="00E04184" w:rsidRPr="001E3908">
        <w:rPr>
          <w:rFonts w:ascii="Times New Roman" w:hAnsi="Times New Roman"/>
          <w:b w:val="0"/>
          <w:szCs w:val="24"/>
        </w:rPr>
        <w:t xml:space="preserve"> </w:t>
      </w:r>
    </w:p>
    <w:p w14:paraId="3022DDCD" w14:textId="36607B3F" w:rsidR="00E04184" w:rsidRDefault="00EF5B5C" w:rsidP="0075446F">
      <w:pPr>
        <w:widowControl w:val="0"/>
        <w:tabs>
          <w:tab w:val="left" w:pos="-720"/>
        </w:tabs>
        <w:suppressAutoHyphen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00E04184" w:rsidRPr="001E3908">
        <w:rPr>
          <w:rFonts w:ascii="Times New Roman" w:hAnsi="Times New Roman"/>
          <w:sz w:val="24"/>
          <w:szCs w:val="24"/>
        </w:rPr>
        <w:t xml:space="preserve">The Commission finds as a matter of fact that the appropriate total revenue increase for the Company is </w:t>
      </w:r>
      <w:r w:rsidR="00BF2461">
        <w:rPr>
          <w:rFonts w:ascii="Times New Roman" w:hAnsi="Times New Roman"/>
          <w:sz w:val="24"/>
          <w:szCs w:val="24"/>
        </w:rPr>
        <w:t xml:space="preserve">$65.3 </w:t>
      </w:r>
      <w:r w:rsidR="00060278">
        <w:rPr>
          <w:rFonts w:ascii="Times New Roman" w:hAnsi="Times New Roman"/>
          <w:sz w:val="24"/>
          <w:szCs w:val="24"/>
        </w:rPr>
        <w:t>Million as</w:t>
      </w:r>
      <w:r w:rsidR="004364C3">
        <w:rPr>
          <w:rFonts w:ascii="Times New Roman" w:hAnsi="Times New Roman"/>
          <w:sz w:val="24"/>
          <w:szCs w:val="24"/>
        </w:rPr>
        <w:t xml:space="preserve"> outlined in the </w:t>
      </w:r>
      <w:r w:rsidR="00CB7753">
        <w:rPr>
          <w:rFonts w:ascii="Times New Roman" w:hAnsi="Times New Roman"/>
          <w:sz w:val="24"/>
          <w:szCs w:val="24"/>
        </w:rPr>
        <w:t xml:space="preserve">attached </w:t>
      </w:r>
      <w:r w:rsidR="00CD125C">
        <w:rPr>
          <w:rFonts w:ascii="Times New Roman" w:hAnsi="Times New Roman"/>
          <w:sz w:val="24"/>
          <w:szCs w:val="24"/>
        </w:rPr>
        <w:t>Motion</w:t>
      </w:r>
      <w:r w:rsidR="00CB7753">
        <w:rPr>
          <w:rFonts w:ascii="Times New Roman" w:hAnsi="Times New Roman"/>
          <w:sz w:val="24"/>
          <w:szCs w:val="24"/>
        </w:rPr>
        <w:t xml:space="preserve">.  </w:t>
      </w:r>
      <w:r w:rsidR="00E04184" w:rsidRPr="001E3908">
        <w:rPr>
          <w:rFonts w:ascii="Times New Roman" w:hAnsi="Times New Roman"/>
          <w:sz w:val="24"/>
          <w:szCs w:val="24"/>
        </w:rPr>
        <w:t xml:space="preserve">  </w:t>
      </w:r>
      <w:r w:rsidR="00627C7B" w:rsidRPr="001E3908">
        <w:rPr>
          <w:rFonts w:ascii="Times New Roman" w:eastAsia="Times New Roman" w:hAnsi="Times New Roman"/>
          <w:sz w:val="24"/>
          <w:szCs w:val="24"/>
        </w:rPr>
        <w:t xml:space="preserve">The Company’s </w:t>
      </w:r>
      <w:r w:rsidR="00C06B97">
        <w:rPr>
          <w:rFonts w:ascii="Times New Roman" w:eastAsia="Times New Roman" w:hAnsi="Times New Roman"/>
          <w:sz w:val="24"/>
          <w:szCs w:val="24"/>
        </w:rPr>
        <w:t>as-filed requested increase shall be adjusted as follow</w:t>
      </w:r>
      <w:r w:rsidR="001A3F40">
        <w:rPr>
          <w:rFonts w:ascii="Times New Roman" w:eastAsia="Times New Roman" w:hAnsi="Times New Roman"/>
          <w:sz w:val="24"/>
          <w:szCs w:val="24"/>
        </w:rPr>
        <w:t xml:space="preserve">s.  </w:t>
      </w:r>
      <w:r w:rsidR="00E32061">
        <w:rPr>
          <w:rFonts w:ascii="Times New Roman" w:eastAsia="Times New Roman" w:hAnsi="Times New Roman"/>
          <w:sz w:val="24"/>
          <w:szCs w:val="24"/>
        </w:rPr>
        <w:t>T</w:t>
      </w:r>
      <w:r w:rsidR="001A3F40">
        <w:rPr>
          <w:rFonts w:ascii="Times New Roman" w:eastAsia="Times New Roman" w:hAnsi="Times New Roman"/>
          <w:sz w:val="24"/>
          <w:szCs w:val="24"/>
        </w:rPr>
        <w:t>he Commission shall use the $90 million revenue deficiency based on the errata and other adjustments made in the rebuttal phase as the starting point and shall further mod</w:t>
      </w:r>
      <w:r w:rsidR="00E32061">
        <w:rPr>
          <w:rFonts w:ascii="Times New Roman" w:eastAsia="Times New Roman" w:hAnsi="Times New Roman"/>
          <w:sz w:val="24"/>
          <w:szCs w:val="24"/>
        </w:rPr>
        <w:t>ify that amount</w:t>
      </w:r>
      <w:r w:rsidR="001A3F40">
        <w:rPr>
          <w:rFonts w:ascii="Times New Roman" w:eastAsia="Times New Roman" w:hAnsi="Times New Roman"/>
          <w:sz w:val="24"/>
          <w:szCs w:val="24"/>
        </w:rPr>
        <w:t xml:space="preserve"> to include the following additional adjustments: </w:t>
      </w:r>
      <w:r w:rsidR="00E32061">
        <w:rPr>
          <w:rFonts w:ascii="Times New Roman" w:eastAsia="Times New Roman" w:hAnsi="Times New Roman"/>
          <w:sz w:val="24"/>
          <w:szCs w:val="24"/>
        </w:rPr>
        <w:t>an $11.7 million reduction to reflect the change in ROE from 10.75% to 10.25%; a $2.9 million increase to reflect an increase in the capital structure equity percentage from 55% to 56% to satisfy proper FFO to debt ratio; a $5 million reduction in O&amp;M for cross bore capitalization; a $4 million reduction by accepting PIA Staff’s proposed depreciation rates; a $5 million</w:t>
      </w:r>
      <w:r w:rsidR="00CD125C">
        <w:rPr>
          <w:rFonts w:ascii="Times New Roman" w:eastAsia="Times New Roman" w:hAnsi="Times New Roman"/>
          <w:sz w:val="24"/>
          <w:szCs w:val="24"/>
        </w:rPr>
        <w:t xml:space="preserve"> reduction</w:t>
      </w:r>
      <w:r w:rsidR="00E32061">
        <w:rPr>
          <w:rFonts w:ascii="Times New Roman" w:eastAsia="Times New Roman" w:hAnsi="Times New Roman"/>
          <w:sz w:val="24"/>
          <w:szCs w:val="24"/>
        </w:rPr>
        <w:t xml:space="preserve"> </w:t>
      </w:r>
      <w:r w:rsidR="00CD125C">
        <w:rPr>
          <w:rFonts w:ascii="Times New Roman" w:eastAsia="Times New Roman" w:hAnsi="Times New Roman"/>
          <w:sz w:val="24"/>
          <w:szCs w:val="24"/>
        </w:rPr>
        <w:t xml:space="preserve">by accepting PIA Staff’s proposal for a 5-year EDIT Amortization; an $8 million additional cut to revenue requirement; a $1 million increase for supplemental low-income assistance to be implemented by Staff, AGL, and Georgia Watch; a $5.1 million increase for additional funding for Customer Fulfillment. </w:t>
      </w:r>
    </w:p>
    <w:p w14:paraId="2E64EA5E" w14:textId="77777777" w:rsidR="0075446F" w:rsidRPr="001E3908" w:rsidRDefault="0075446F" w:rsidP="0075446F">
      <w:pPr>
        <w:widowControl w:val="0"/>
        <w:tabs>
          <w:tab w:val="left" w:pos="-720"/>
        </w:tabs>
        <w:suppressAutoHyphens/>
        <w:autoSpaceDE w:val="0"/>
        <w:autoSpaceDN w:val="0"/>
        <w:adjustRightInd w:val="0"/>
        <w:spacing w:after="0" w:line="240" w:lineRule="auto"/>
        <w:rPr>
          <w:sz w:val="24"/>
        </w:rPr>
      </w:pPr>
    </w:p>
    <w:p w14:paraId="6C6C0D95" w14:textId="030F8F1C" w:rsidR="000E1BFD" w:rsidRDefault="001775D4" w:rsidP="001775D4">
      <w:pPr>
        <w:pStyle w:val="Title"/>
        <w:spacing w:line="240" w:lineRule="auto"/>
        <w:rPr>
          <w:rFonts w:ascii="Times New Roman" w:hAnsi="Times New Roman"/>
          <w:b w:val="0"/>
          <w:szCs w:val="24"/>
        </w:rPr>
      </w:pPr>
      <w:r>
        <w:rPr>
          <w:rFonts w:ascii="Times New Roman" w:hAnsi="Times New Roman"/>
          <w:b w:val="0"/>
          <w:szCs w:val="24"/>
        </w:rPr>
        <w:t>4</w:t>
      </w:r>
      <w:r w:rsidR="000E1BFD" w:rsidRPr="001E3908">
        <w:rPr>
          <w:rFonts w:ascii="Times New Roman" w:hAnsi="Times New Roman"/>
          <w:b w:val="0"/>
          <w:szCs w:val="24"/>
        </w:rPr>
        <w:t>.</w:t>
      </w:r>
    </w:p>
    <w:p w14:paraId="0851F249" w14:textId="77777777" w:rsidR="00C736E8" w:rsidRPr="00C736E8" w:rsidRDefault="0047298B" w:rsidP="00C736E8">
      <w:pPr>
        <w:pStyle w:val="BodyText"/>
        <w:spacing w:line="276" w:lineRule="auto"/>
        <w:rPr>
          <w:sz w:val="24"/>
        </w:rPr>
      </w:pPr>
      <w:r>
        <w:rPr>
          <w:sz w:val="24"/>
        </w:rPr>
        <w:t>The Commission finds that the</w:t>
      </w:r>
      <w:r w:rsidR="00A16DBA">
        <w:rPr>
          <w:sz w:val="24"/>
        </w:rPr>
        <w:t xml:space="preserve"> following</w:t>
      </w:r>
      <w:r>
        <w:rPr>
          <w:sz w:val="24"/>
        </w:rPr>
        <w:t xml:space="preserve"> </w:t>
      </w:r>
      <w:r w:rsidR="00C736E8" w:rsidRPr="00C736E8">
        <w:rPr>
          <w:sz w:val="24"/>
        </w:rPr>
        <w:t>Tariff Revisions</w:t>
      </w:r>
      <w:r w:rsidR="006C6042">
        <w:rPr>
          <w:sz w:val="24"/>
        </w:rPr>
        <w:t xml:space="preserve"> are appropriate:</w:t>
      </w:r>
    </w:p>
    <w:p w14:paraId="4AC89663" w14:textId="0BA185F1" w:rsidR="00C736E8" w:rsidRPr="00C736E8" w:rsidRDefault="00C736E8" w:rsidP="006C6042">
      <w:pPr>
        <w:pStyle w:val="BodyText"/>
        <w:spacing w:line="276" w:lineRule="auto"/>
        <w:rPr>
          <w:sz w:val="24"/>
        </w:rPr>
      </w:pPr>
      <w:r w:rsidRPr="00C736E8">
        <w:rPr>
          <w:sz w:val="24"/>
        </w:rPr>
        <w:t xml:space="preserve">The Commission accepts all tariff revisions proposed by AGL except for the connection and reconnection charges. </w:t>
      </w:r>
      <w:r w:rsidR="009E1225">
        <w:rPr>
          <w:sz w:val="24"/>
        </w:rPr>
        <w:t>With respect to t</w:t>
      </w:r>
      <w:r w:rsidRPr="00C736E8">
        <w:rPr>
          <w:sz w:val="24"/>
        </w:rPr>
        <w:t>he connection and reconnection charges, only the changes to the seasonal reconnection charges that were proposed by AGL</w:t>
      </w:r>
      <w:r w:rsidR="004B6DC3">
        <w:rPr>
          <w:sz w:val="24"/>
        </w:rPr>
        <w:t>, discussed at the E</w:t>
      </w:r>
      <w:r w:rsidRPr="00C736E8">
        <w:rPr>
          <w:sz w:val="24"/>
        </w:rPr>
        <w:t xml:space="preserve">nergy Committee on </w:t>
      </w:r>
      <w:r w:rsidR="00BF2461">
        <w:rPr>
          <w:sz w:val="24"/>
        </w:rPr>
        <w:t>December 17, 2019</w:t>
      </w:r>
      <w:r w:rsidRPr="00C736E8">
        <w:rPr>
          <w:sz w:val="24"/>
        </w:rPr>
        <w:t>, and supported by the Marketers are approved</w:t>
      </w:r>
      <w:r w:rsidR="003C0146">
        <w:rPr>
          <w:sz w:val="24"/>
        </w:rPr>
        <w:t xml:space="preserve"> the Commission</w:t>
      </w:r>
      <w:r w:rsidR="002F1936" w:rsidRPr="0039193E">
        <w:rPr>
          <w:i/>
          <w:sz w:val="24"/>
        </w:rPr>
        <w:t xml:space="preserve"> (</w:t>
      </w:r>
      <w:r w:rsidR="008223BF" w:rsidRPr="0039193E">
        <w:rPr>
          <w:i/>
          <w:sz w:val="24"/>
        </w:rPr>
        <w:t>Video Broadcast available at psc.state.ga.us/</w:t>
      </w:r>
      <w:r w:rsidR="004B6DC3">
        <w:rPr>
          <w:i/>
          <w:sz w:val="24"/>
        </w:rPr>
        <w:t>)</w:t>
      </w:r>
      <w:r w:rsidR="006C6042">
        <w:rPr>
          <w:sz w:val="24"/>
        </w:rPr>
        <w:t xml:space="preserve"> </w:t>
      </w:r>
    </w:p>
    <w:p w14:paraId="5DD91C18" w14:textId="74DE2653" w:rsidR="0075446F" w:rsidRDefault="006C6042" w:rsidP="00C736E8">
      <w:pPr>
        <w:pStyle w:val="BodyText"/>
        <w:spacing w:line="276" w:lineRule="auto"/>
        <w:rPr>
          <w:sz w:val="24"/>
        </w:rPr>
      </w:pPr>
      <w:r>
        <w:rPr>
          <w:sz w:val="24"/>
        </w:rPr>
        <w:t xml:space="preserve">The Commission finds it necessary for </w:t>
      </w:r>
      <w:r w:rsidR="00C736E8" w:rsidRPr="00C736E8">
        <w:rPr>
          <w:sz w:val="24"/>
        </w:rPr>
        <w:t xml:space="preserve">AGL </w:t>
      </w:r>
      <w:r>
        <w:rPr>
          <w:sz w:val="24"/>
        </w:rPr>
        <w:t xml:space="preserve">to </w:t>
      </w:r>
      <w:r w:rsidR="00C736E8" w:rsidRPr="00C736E8">
        <w:rPr>
          <w:sz w:val="24"/>
        </w:rPr>
        <w:t xml:space="preserve">work with </w:t>
      </w:r>
      <w:r w:rsidR="00F2584A">
        <w:rPr>
          <w:sz w:val="24"/>
        </w:rPr>
        <w:t xml:space="preserve">PIA </w:t>
      </w:r>
      <w:r w:rsidR="00C736E8" w:rsidRPr="00C736E8">
        <w:rPr>
          <w:sz w:val="24"/>
        </w:rPr>
        <w:t xml:space="preserve">Staff to develop a </w:t>
      </w:r>
      <w:r w:rsidR="00F2584A">
        <w:rPr>
          <w:sz w:val="24"/>
        </w:rPr>
        <w:t>t</w:t>
      </w:r>
      <w:r w:rsidR="00C736E8" w:rsidRPr="00C736E8">
        <w:rPr>
          <w:sz w:val="24"/>
        </w:rPr>
        <w:t>ariff that provides for a Premium Reconnect Service. The cost of this service shall be paid for solely by the customers that choose to use the service and shall not be subsidized by other customers and/or AGL.</w:t>
      </w:r>
    </w:p>
    <w:p w14:paraId="4930A0D8" w14:textId="1141E03C" w:rsidR="00EE7413" w:rsidRPr="00C736E8" w:rsidRDefault="001775D4" w:rsidP="001775D4">
      <w:pPr>
        <w:pStyle w:val="BodyText"/>
        <w:spacing w:line="276" w:lineRule="auto"/>
        <w:ind w:firstLine="0"/>
        <w:jc w:val="center"/>
        <w:rPr>
          <w:sz w:val="24"/>
        </w:rPr>
      </w:pPr>
      <w:r>
        <w:rPr>
          <w:sz w:val="24"/>
        </w:rPr>
        <w:t>5</w:t>
      </w:r>
      <w:r w:rsidR="00EE7413">
        <w:rPr>
          <w:sz w:val="24"/>
        </w:rPr>
        <w:t>.</w:t>
      </w:r>
    </w:p>
    <w:p w14:paraId="6997504A" w14:textId="76CFD940" w:rsidR="00C736E8" w:rsidRPr="00C95AB6" w:rsidRDefault="00EE7413" w:rsidP="00EE7413">
      <w:pPr>
        <w:pStyle w:val="BodyText"/>
        <w:spacing w:line="240" w:lineRule="auto"/>
        <w:rPr>
          <w:sz w:val="24"/>
        </w:rPr>
      </w:pPr>
      <w:r>
        <w:rPr>
          <w:sz w:val="24"/>
        </w:rPr>
        <w:t xml:space="preserve">The Commission finds that </w:t>
      </w:r>
      <w:r w:rsidR="00D74AA9">
        <w:rPr>
          <w:sz w:val="24"/>
        </w:rPr>
        <w:t xml:space="preserve">it is appropriate to </w:t>
      </w:r>
      <w:r w:rsidR="00947410">
        <w:rPr>
          <w:sz w:val="24"/>
        </w:rPr>
        <w:t xml:space="preserve">advance </w:t>
      </w:r>
      <w:r w:rsidR="00F2584A">
        <w:rPr>
          <w:sz w:val="24"/>
        </w:rPr>
        <w:t xml:space="preserve">the </w:t>
      </w:r>
      <w:r w:rsidR="00C736E8" w:rsidRPr="00C95AB6">
        <w:rPr>
          <w:sz w:val="24"/>
        </w:rPr>
        <w:t>Customer Fulfillmen</w:t>
      </w:r>
      <w:r w:rsidR="00C36CE8">
        <w:rPr>
          <w:sz w:val="24"/>
        </w:rPr>
        <w:t>t proposal</w:t>
      </w:r>
      <w:r w:rsidR="004C5C2E">
        <w:rPr>
          <w:sz w:val="24"/>
        </w:rPr>
        <w:t>.</w:t>
      </w:r>
    </w:p>
    <w:p w14:paraId="6CF00E35" w14:textId="77777777" w:rsidR="00C736E8" w:rsidRPr="00C95AB6" w:rsidRDefault="00947410" w:rsidP="00EE7413">
      <w:pPr>
        <w:pStyle w:val="BodyText"/>
        <w:spacing w:line="240" w:lineRule="auto"/>
        <w:rPr>
          <w:sz w:val="24"/>
        </w:rPr>
      </w:pPr>
      <w:r>
        <w:rPr>
          <w:sz w:val="24"/>
        </w:rPr>
        <w:t>As such, t</w:t>
      </w:r>
      <w:r w:rsidR="00C736E8" w:rsidRPr="00C95AB6">
        <w:rPr>
          <w:sz w:val="24"/>
        </w:rPr>
        <w:t>he Company shall immediately begin and shall fully implement the following within 3 years of the date of this Order:</w:t>
      </w:r>
    </w:p>
    <w:p w14:paraId="505DF399" w14:textId="77777777" w:rsidR="00C736E8" w:rsidRPr="00C95AB6" w:rsidRDefault="00C736E8" w:rsidP="00EE7413">
      <w:pPr>
        <w:pStyle w:val="BodyText"/>
        <w:spacing w:line="240" w:lineRule="auto"/>
        <w:rPr>
          <w:sz w:val="24"/>
        </w:rPr>
      </w:pPr>
      <w:proofErr w:type="spellStart"/>
      <w:r w:rsidRPr="00C95AB6">
        <w:rPr>
          <w:sz w:val="24"/>
        </w:rPr>
        <w:t>i</w:t>
      </w:r>
      <w:proofErr w:type="spellEnd"/>
      <w:r w:rsidRPr="00C95AB6">
        <w:rPr>
          <w:sz w:val="24"/>
        </w:rPr>
        <w:t>.</w:t>
      </w:r>
      <w:r w:rsidRPr="00C95AB6">
        <w:rPr>
          <w:sz w:val="24"/>
        </w:rPr>
        <w:tab/>
        <w:t>A two-day service standard as detailed in the Company filing</w:t>
      </w:r>
      <w:r w:rsidR="004C5C2E">
        <w:rPr>
          <w:sz w:val="24"/>
        </w:rPr>
        <w:t>;</w:t>
      </w:r>
    </w:p>
    <w:p w14:paraId="3F572799" w14:textId="6E1155AD" w:rsidR="00C736E8" w:rsidRPr="00C95AB6" w:rsidRDefault="00C736E8" w:rsidP="0039193E">
      <w:pPr>
        <w:pStyle w:val="BodyText"/>
        <w:spacing w:line="240" w:lineRule="auto"/>
        <w:ind w:left="1440" w:hanging="720"/>
        <w:rPr>
          <w:sz w:val="24"/>
        </w:rPr>
      </w:pPr>
      <w:r w:rsidRPr="00C95AB6">
        <w:rPr>
          <w:sz w:val="24"/>
        </w:rPr>
        <w:t>ii.</w:t>
      </w:r>
      <w:r w:rsidRPr="00C95AB6">
        <w:rPr>
          <w:sz w:val="24"/>
        </w:rPr>
        <w:tab/>
      </w:r>
      <w:r w:rsidR="005A375B" w:rsidRPr="00C95AB6">
        <w:rPr>
          <w:sz w:val="24"/>
        </w:rPr>
        <w:t>Ex</w:t>
      </w:r>
      <w:r w:rsidR="005A375B">
        <w:rPr>
          <w:sz w:val="24"/>
        </w:rPr>
        <w:t>pand</w:t>
      </w:r>
      <w:r w:rsidR="00AB2DAD">
        <w:rPr>
          <w:sz w:val="24"/>
        </w:rPr>
        <w:t xml:space="preserve"> </w:t>
      </w:r>
      <w:r w:rsidR="004C5C2E">
        <w:rPr>
          <w:sz w:val="24"/>
        </w:rPr>
        <w:t>the</w:t>
      </w:r>
      <w:r w:rsidRPr="00C95AB6">
        <w:rPr>
          <w:sz w:val="24"/>
        </w:rPr>
        <w:t xml:space="preserve"> </w:t>
      </w:r>
      <w:r w:rsidR="004C5C2E">
        <w:rPr>
          <w:sz w:val="24"/>
        </w:rPr>
        <w:t>“</w:t>
      </w:r>
      <w:r w:rsidRPr="00C95AB6">
        <w:rPr>
          <w:sz w:val="24"/>
        </w:rPr>
        <w:t>Keep Me Informed</w:t>
      </w:r>
      <w:r w:rsidR="004C5C2E">
        <w:rPr>
          <w:sz w:val="24"/>
        </w:rPr>
        <w:t>” program</w:t>
      </w:r>
      <w:r w:rsidRPr="00C95AB6">
        <w:rPr>
          <w:sz w:val="24"/>
        </w:rPr>
        <w:t xml:space="preserve"> to all regions of AGL’s service territory</w:t>
      </w:r>
      <w:r w:rsidR="004C5C2E">
        <w:rPr>
          <w:sz w:val="24"/>
        </w:rPr>
        <w:t>;</w:t>
      </w:r>
    </w:p>
    <w:p w14:paraId="0D96EB75" w14:textId="77777777" w:rsidR="00C736E8" w:rsidRPr="00C95AB6" w:rsidRDefault="00C736E8" w:rsidP="00EE7413">
      <w:pPr>
        <w:pStyle w:val="BodyText"/>
        <w:spacing w:line="240" w:lineRule="auto"/>
        <w:rPr>
          <w:sz w:val="24"/>
        </w:rPr>
      </w:pPr>
      <w:r w:rsidRPr="00C95AB6">
        <w:rPr>
          <w:sz w:val="24"/>
        </w:rPr>
        <w:t>iii.</w:t>
      </w:r>
      <w:r w:rsidRPr="00C95AB6">
        <w:rPr>
          <w:sz w:val="24"/>
        </w:rPr>
        <w:tab/>
        <w:t>Increase the target for scheduling customer appointments within a 4- hour</w:t>
      </w:r>
    </w:p>
    <w:p w14:paraId="71D396EE" w14:textId="77777777" w:rsidR="00C736E8" w:rsidRPr="00C95AB6" w:rsidRDefault="00C736E8" w:rsidP="0039193E">
      <w:pPr>
        <w:pStyle w:val="BodyText"/>
        <w:spacing w:line="240" w:lineRule="auto"/>
        <w:ind w:left="720"/>
        <w:rPr>
          <w:sz w:val="24"/>
        </w:rPr>
      </w:pPr>
      <w:r w:rsidRPr="00C95AB6">
        <w:rPr>
          <w:sz w:val="24"/>
        </w:rPr>
        <w:lastRenderedPageBreak/>
        <w:t>window from 40% to 80%</w:t>
      </w:r>
      <w:r w:rsidR="004C5C2E">
        <w:rPr>
          <w:sz w:val="24"/>
        </w:rPr>
        <w:t>;</w:t>
      </w:r>
    </w:p>
    <w:p w14:paraId="5D5227D6" w14:textId="2A10AD75" w:rsidR="00C736E8" w:rsidRPr="00C95AB6" w:rsidRDefault="00C736E8" w:rsidP="00EE7413">
      <w:pPr>
        <w:pStyle w:val="BodyText"/>
        <w:spacing w:line="240" w:lineRule="auto"/>
        <w:rPr>
          <w:sz w:val="24"/>
        </w:rPr>
      </w:pPr>
      <w:r w:rsidRPr="00C95AB6">
        <w:rPr>
          <w:sz w:val="24"/>
        </w:rPr>
        <w:t>iv.</w:t>
      </w:r>
      <w:r w:rsidRPr="00C95AB6">
        <w:rPr>
          <w:sz w:val="24"/>
        </w:rPr>
        <w:tab/>
        <w:t>Improve average leak response time to 25 minutes or less</w:t>
      </w:r>
      <w:r w:rsidR="009B5C52">
        <w:rPr>
          <w:sz w:val="24"/>
        </w:rPr>
        <w:t xml:space="preserve">; </w:t>
      </w:r>
    </w:p>
    <w:p w14:paraId="33CF34DA" w14:textId="5CDB32A6" w:rsidR="00C736E8" w:rsidRPr="00C95AB6" w:rsidRDefault="00860201" w:rsidP="0039193E">
      <w:pPr>
        <w:pStyle w:val="BodyText"/>
        <w:spacing w:line="240" w:lineRule="auto"/>
        <w:ind w:left="1440" w:hanging="720"/>
        <w:rPr>
          <w:sz w:val="24"/>
        </w:rPr>
      </w:pPr>
      <w:r>
        <w:rPr>
          <w:sz w:val="24"/>
        </w:rPr>
        <w:t>v</w:t>
      </w:r>
      <w:r w:rsidR="00C736E8" w:rsidRPr="00C95AB6">
        <w:rPr>
          <w:sz w:val="24"/>
        </w:rPr>
        <w:t>.</w:t>
      </w:r>
      <w:r w:rsidR="00C736E8" w:rsidRPr="00C95AB6">
        <w:rPr>
          <w:sz w:val="24"/>
        </w:rPr>
        <w:tab/>
        <w:t>Increase the availability of 4-hour appointments within the 4:00 PM to 8:00 PM time window by 25%</w:t>
      </w:r>
      <w:r w:rsidR="009B5C52">
        <w:rPr>
          <w:sz w:val="24"/>
        </w:rPr>
        <w:t>; and</w:t>
      </w:r>
    </w:p>
    <w:p w14:paraId="2F2B6F8E" w14:textId="6032FFA4" w:rsidR="00C736E8" w:rsidRDefault="00860201" w:rsidP="00EE7413">
      <w:pPr>
        <w:pStyle w:val="BodyText"/>
        <w:spacing w:line="240" w:lineRule="auto"/>
        <w:rPr>
          <w:sz w:val="24"/>
        </w:rPr>
      </w:pPr>
      <w:r>
        <w:rPr>
          <w:sz w:val="24"/>
        </w:rPr>
        <w:t>v</w:t>
      </w:r>
      <w:r w:rsidR="00C736E8" w:rsidRPr="00C95AB6">
        <w:rPr>
          <w:sz w:val="24"/>
        </w:rPr>
        <w:t>i.</w:t>
      </w:r>
      <w:r w:rsidR="00C736E8" w:rsidRPr="00C95AB6">
        <w:rPr>
          <w:sz w:val="24"/>
        </w:rPr>
        <w:tab/>
      </w:r>
      <w:r w:rsidR="009B5C52">
        <w:rPr>
          <w:sz w:val="24"/>
        </w:rPr>
        <w:t xml:space="preserve">Develop </w:t>
      </w:r>
      <w:r w:rsidR="00C736E8" w:rsidRPr="00C95AB6">
        <w:rPr>
          <w:sz w:val="24"/>
        </w:rPr>
        <w:t>Saturday reconnection appointments available during the day.</w:t>
      </w:r>
    </w:p>
    <w:p w14:paraId="306364B1" w14:textId="61E36CCB" w:rsidR="005C5B68" w:rsidRPr="00C95AB6" w:rsidRDefault="001775D4" w:rsidP="001775D4">
      <w:pPr>
        <w:pStyle w:val="BodyText"/>
        <w:spacing w:line="240" w:lineRule="auto"/>
        <w:ind w:firstLine="0"/>
        <w:jc w:val="center"/>
        <w:rPr>
          <w:sz w:val="24"/>
        </w:rPr>
      </w:pPr>
      <w:r>
        <w:rPr>
          <w:sz w:val="24"/>
        </w:rPr>
        <w:t>6</w:t>
      </w:r>
      <w:r w:rsidR="002847EC">
        <w:rPr>
          <w:sz w:val="24"/>
        </w:rPr>
        <w:t>.</w:t>
      </w:r>
    </w:p>
    <w:p w14:paraId="224B5ADE" w14:textId="42DBA445" w:rsidR="00D44687" w:rsidRPr="00C95AB6" w:rsidRDefault="005C5B68" w:rsidP="006F4299">
      <w:pPr>
        <w:pStyle w:val="BodyText"/>
        <w:spacing w:line="240" w:lineRule="auto"/>
        <w:rPr>
          <w:sz w:val="24"/>
        </w:rPr>
      </w:pPr>
      <w:r>
        <w:rPr>
          <w:sz w:val="24"/>
        </w:rPr>
        <w:t xml:space="preserve">The Commission finds that the development of a </w:t>
      </w:r>
      <w:r w:rsidR="00C736E8" w:rsidRPr="00C95AB6">
        <w:rPr>
          <w:sz w:val="24"/>
        </w:rPr>
        <w:t>Long-Range Planning Tool</w:t>
      </w:r>
      <w:r w:rsidR="004B5E64">
        <w:rPr>
          <w:sz w:val="24"/>
        </w:rPr>
        <w:t xml:space="preserve"> w</w:t>
      </w:r>
      <w:r w:rsidR="00B67470">
        <w:rPr>
          <w:sz w:val="24"/>
        </w:rPr>
        <w:t>ill</w:t>
      </w:r>
      <w:r w:rsidR="004B5E64">
        <w:rPr>
          <w:sz w:val="24"/>
        </w:rPr>
        <w:t xml:space="preserve"> assist </w:t>
      </w:r>
      <w:r w:rsidR="00947410">
        <w:rPr>
          <w:sz w:val="24"/>
        </w:rPr>
        <w:t xml:space="preserve">in the </w:t>
      </w:r>
      <w:r w:rsidR="008F0A8F">
        <w:rPr>
          <w:sz w:val="24"/>
        </w:rPr>
        <w:t>integration</w:t>
      </w:r>
      <w:r w:rsidR="00947410">
        <w:rPr>
          <w:sz w:val="24"/>
        </w:rPr>
        <w:t xml:space="preserve"> of the </w:t>
      </w:r>
      <w:r w:rsidR="00530EC9">
        <w:rPr>
          <w:sz w:val="24"/>
        </w:rPr>
        <w:t>Company’s C</w:t>
      </w:r>
      <w:r w:rsidR="00947410">
        <w:rPr>
          <w:sz w:val="24"/>
        </w:rPr>
        <w:t xml:space="preserve">apacity </w:t>
      </w:r>
      <w:r w:rsidR="00530EC9">
        <w:rPr>
          <w:sz w:val="24"/>
        </w:rPr>
        <w:t>S</w:t>
      </w:r>
      <w:r w:rsidR="00947410">
        <w:rPr>
          <w:sz w:val="24"/>
        </w:rPr>
        <w:t xml:space="preserve">upply </w:t>
      </w:r>
      <w:r w:rsidR="00530EC9">
        <w:rPr>
          <w:sz w:val="24"/>
        </w:rPr>
        <w:t>P</w:t>
      </w:r>
      <w:r w:rsidR="00947410">
        <w:rPr>
          <w:sz w:val="24"/>
        </w:rPr>
        <w:t xml:space="preserve">lan with an infrastructure delivery </w:t>
      </w:r>
      <w:r w:rsidR="00530EC9">
        <w:rPr>
          <w:sz w:val="24"/>
        </w:rPr>
        <w:t>apparatus</w:t>
      </w:r>
      <w:r w:rsidR="009E1225">
        <w:rPr>
          <w:sz w:val="24"/>
        </w:rPr>
        <w:t xml:space="preserve">.  </w:t>
      </w:r>
      <w:r w:rsidR="00C736E8" w:rsidRPr="00C95AB6">
        <w:rPr>
          <w:sz w:val="24"/>
        </w:rPr>
        <w:t xml:space="preserve">AGL shall propose, no later than January 31, 2020, a Notice of Proposed Rulemaking </w:t>
      </w:r>
      <w:r w:rsidR="004B5064">
        <w:rPr>
          <w:sz w:val="24"/>
        </w:rPr>
        <w:t xml:space="preserve">(“NOPR”) </w:t>
      </w:r>
      <w:r w:rsidR="00C736E8" w:rsidRPr="00C95AB6">
        <w:rPr>
          <w:sz w:val="24"/>
        </w:rPr>
        <w:t>that establishes a proceeding, which shall be open to all interested parties</w:t>
      </w:r>
      <w:r w:rsidR="004B5064">
        <w:rPr>
          <w:sz w:val="24"/>
        </w:rPr>
        <w:t>. This proceeding shall</w:t>
      </w:r>
      <w:r w:rsidR="00C736E8" w:rsidRPr="00C95AB6">
        <w:rPr>
          <w:sz w:val="24"/>
        </w:rPr>
        <w:t xml:space="preserve"> integrate the Capacity Supply Plan</w:t>
      </w:r>
      <w:r w:rsidR="00D44687">
        <w:rPr>
          <w:sz w:val="24"/>
        </w:rPr>
        <w:t xml:space="preserve"> </w:t>
      </w:r>
      <w:r w:rsidR="00C736E8" w:rsidRPr="00C95AB6">
        <w:rPr>
          <w:sz w:val="24"/>
        </w:rPr>
        <w:t>with an infrastructure delivery plan. The Commission will examine and approve parameters for capital budgets (including related O&amp;M spending) associated with multi-year outlooks. The first proceeding</w:t>
      </w:r>
      <w:r w:rsidR="00087334">
        <w:rPr>
          <w:sz w:val="24"/>
        </w:rPr>
        <w:t>,</w:t>
      </w:r>
      <w:r w:rsidR="00C736E8" w:rsidRPr="00C95AB6">
        <w:rPr>
          <w:sz w:val="24"/>
        </w:rPr>
        <w:t xml:space="preserve"> following the effective date of the new </w:t>
      </w:r>
      <w:r w:rsidR="004861CE">
        <w:rPr>
          <w:sz w:val="24"/>
        </w:rPr>
        <w:t>r</w:t>
      </w:r>
      <w:r w:rsidR="00C736E8" w:rsidRPr="00C95AB6">
        <w:rPr>
          <w:sz w:val="24"/>
        </w:rPr>
        <w:t xml:space="preserve">ules establishing the </w:t>
      </w:r>
      <w:r w:rsidR="00610051">
        <w:rPr>
          <w:sz w:val="24"/>
        </w:rPr>
        <w:t>L</w:t>
      </w:r>
      <w:r w:rsidR="00C736E8" w:rsidRPr="00C95AB6">
        <w:rPr>
          <w:sz w:val="24"/>
        </w:rPr>
        <w:t>ong-</w:t>
      </w:r>
      <w:r w:rsidR="00610051">
        <w:rPr>
          <w:sz w:val="24"/>
        </w:rPr>
        <w:t>R</w:t>
      </w:r>
      <w:r w:rsidR="00C736E8" w:rsidRPr="00C95AB6">
        <w:rPr>
          <w:sz w:val="24"/>
        </w:rPr>
        <w:t xml:space="preserve">ange </w:t>
      </w:r>
      <w:r w:rsidR="00610051">
        <w:rPr>
          <w:sz w:val="24"/>
        </w:rPr>
        <w:t>P</w:t>
      </w:r>
      <w:r w:rsidR="00C736E8" w:rsidRPr="00C95AB6">
        <w:rPr>
          <w:sz w:val="24"/>
        </w:rPr>
        <w:t xml:space="preserve">lanning </w:t>
      </w:r>
      <w:r w:rsidR="00610051">
        <w:rPr>
          <w:sz w:val="24"/>
        </w:rPr>
        <w:t>T</w:t>
      </w:r>
      <w:r w:rsidR="00C736E8" w:rsidRPr="00C95AB6">
        <w:rPr>
          <w:sz w:val="24"/>
        </w:rPr>
        <w:t>ool</w:t>
      </w:r>
      <w:r w:rsidR="00087334">
        <w:rPr>
          <w:sz w:val="24"/>
        </w:rPr>
        <w:t>,</w:t>
      </w:r>
      <w:r w:rsidR="00C736E8" w:rsidRPr="00C95AB6">
        <w:rPr>
          <w:sz w:val="24"/>
        </w:rPr>
        <w:t xml:space="preserve"> will be decided by this Commission within 8 months of AGL’s first </w:t>
      </w:r>
      <w:r w:rsidR="00610051">
        <w:rPr>
          <w:sz w:val="24"/>
        </w:rPr>
        <w:t>Plan</w:t>
      </w:r>
      <w:r w:rsidR="00C736E8" w:rsidRPr="00C95AB6">
        <w:rPr>
          <w:sz w:val="24"/>
        </w:rPr>
        <w:t xml:space="preserve"> filing.</w:t>
      </w:r>
    </w:p>
    <w:p w14:paraId="3FE9B656" w14:textId="478A755E" w:rsidR="002E4544" w:rsidRPr="00761636" w:rsidRDefault="001775D4" w:rsidP="001775D4">
      <w:pPr>
        <w:pStyle w:val="BodyText"/>
        <w:ind w:firstLine="0"/>
        <w:jc w:val="center"/>
        <w:rPr>
          <w:rFonts w:eastAsia="Calibri"/>
        </w:rPr>
      </w:pPr>
      <w:r>
        <w:rPr>
          <w:bCs/>
          <w:caps/>
          <w:kern w:val="28"/>
          <w:sz w:val="24"/>
        </w:rPr>
        <w:t>7</w:t>
      </w:r>
      <w:r w:rsidR="00350A50" w:rsidRPr="00761636">
        <w:rPr>
          <w:bCs/>
          <w:caps/>
          <w:kern w:val="28"/>
          <w:sz w:val="24"/>
        </w:rPr>
        <w:t>.</w:t>
      </w:r>
    </w:p>
    <w:p w14:paraId="0404EA39" w14:textId="77777777" w:rsidR="002E4544" w:rsidRPr="0039193E" w:rsidRDefault="002E4544" w:rsidP="0039193E">
      <w:pPr>
        <w:pStyle w:val="BodyText"/>
        <w:rPr>
          <w:rFonts w:eastAsia="Calibri"/>
          <w:sz w:val="24"/>
        </w:rPr>
      </w:pPr>
      <w:r>
        <w:rPr>
          <w:rFonts w:eastAsia="Calibri"/>
        </w:rPr>
        <w:t xml:space="preserve"> </w:t>
      </w:r>
      <w:r>
        <w:rPr>
          <w:rFonts w:eastAsia="Calibri"/>
          <w:sz w:val="24"/>
        </w:rPr>
        <w:t>The Commission finds as a matter of fact that it is appropriate to continue the GRAM.</w:t>
      </w:r>
    </w:p>
    <w:p w14:paraId="4B9A2C2D" w14:textId="45C05C23" w:rsidR="00BA3EB2" w:rsidRDefault="006E37F9" w:rsidP="00BA3EB2">
      <w:pPr>
        <w:pStyle w:val="BodyText"/>
        <w:spacing w:line="240" w:lineRule="auto"/>
        <w:rPr>
          <w:sz w:val="24"/>
        </w:rPr>
      </w:pPr>
      <w:r>
        <w:rPr>
          <w:sz w:val="24"/>
        </w:rPr>
        <w:t>A.</w:t>
      </w:r>
      <w:r w:rsidR="00BA3EB2" w:rsidRPr="00BA3EB2">
        <w:rPr>
          <w:sz w:val="24"/>
        </w:rPr>
        <w:tab/>
        <w:t>AGL shall continue under GRAM with the mechanism automatically adjusting and producing lower revenue requirement for the upcoming year for any underspending of sums approved in this case.</w:t>
      </w:r>
    </w:p>
    <w:p w14:paraId="49A7823E" w14:textId="0594EBF0" w:rsidR="004B6DC3" w:rsidRPr="00BA3EB2" w:rsidRDefault="004B6DC3" w:rsidP="00BA3EB2">
      <w:pPr>
        <w:pStyle w:val="BodyText"/>
        <w:spacing w:line="240" w:lineRule="auto"/>
        <w:rPr>
          <w:sz w:val="24"/>
        </w:rPr>
      </w:pPr>
      <w:r>
        <w:rPr>
          <w:sz w:val="24"/>
        </w:rPr>
        <w:t>B.</w:t>
      </w:r>
      <w:r>
        <w:rPr>
          <w:sz w:val="24"/>
        </w:rPr>
        <w:tab/>
        <w:t xml:space="preserve">The Earnings Band </w:t>
      </w:r>
      <w:r w:rsidR="00B97474">
        <w:rPr>
          <w:sz w:val="24"/>
        </w:rPr>
        <w:t>shall have a low of 10.05% ROE and a high of 10.45% ROE, with the midpoint at 10.25%.  AGL will establish a regulatory liability for any “over-collection” as measured against the upper end of the earnings band.  This will address any event where AGL’s actual total revenue requirements for the test year the resulting rates are effective are less than the maximum incremental revenue requirement upon which such rates were set.  AGL will not, however, establish a regulatory asset for any “under-collection” as measured against the lower end of the earnings band.</w:t>
      </w:r>
    </w:p>
    <w:p w14:paraId="749D9F46" w14:textId="63C5A6A9" w:rsidR="00BA3EB2" w:rsidRPr="00BA3EB2" w:rsidRDefault="004B6DC3" w:rsidP="00BA3EB2">
      <w:pPr>
        <w:pStyle w:val="BodyText"/>
        <w:spacing w:line="240" w:lineRule="auto"/>
        <w:rPr>
          <w:sz w:val="24"/>
        </w:rPr>
      </w:pPr>
      <w:r>
        <w:rPr>
          <w:sz w:val="24"/>
        </w:rPr>
        <w:t>C</w:t>
      </w:r>
      <w:r w:rsidR="00F24A09">
        <w:rPr>
          <w:sz w:val="24"/>
        </w:rPr>
        <w:t>.</w:t>
      </w:r>
      <w:r w:rsidR="00BA3EB2" w:rsidRPr="00BA3EB2">
        <w:rPr>
          <w:sz w:val="24"/>
        </w:rPr>
        <w:tab/>
        <w:t xml:space="preserve">GRAM and the parameters set forth in the GRAM tariff will </w:t>
      </w:r>
      <w:r w:rsidR="00F24A09" w:rsidRPr="00BA3EB2">
        <w:rPr>
          <w:sz w:val="24"/>
        </w:rPr>
        <w:t>continue</w:t>
      </w:r>
      <w:r w:rsidR="00E94E61">
        <w:rPr>
          <w:sz w:val="24"/>
        </w:rPr>
        <w:t xml:space="preserve"> </w:t>
      </w:r>
      <w:r w:rsidR="00D703CE">
        <w:rPr>
          <w:sz w:val="24"/>
        </w:rPr>
        <w:t>on</w:t>
      </w:r>
      <w:r w:rsidR="00BA3EB2" w:rsidRPr="00BA3EB2">
        <w:rPr>
          <w:sz w:val="24"/>
        </w:rPr>
        <w:t xml:space="preserve"> a calendar year basis as modified by the order in this docket beginning January 1, 2020 until terminated by order of the Commission. The order in this docket will be the new “Final Order” for GRAM. When Annual GRAM Filings show that rates need to be adjusted up or down, the adjustment will be made to bring the ROE back to the midpoint of the Earnings Band established above. Annual GRAM filings will be made no later than July 1 for each succeeding calendar year implementation.</w:t>
      </w:r>
    </w:p>
    <w:p w14:paraId="5DF433F8" w14:textId="76C75BEA" w:rsidR="00BA3EB2" w:rsidRPr="00BA3EB2" w:rsidRDefault="004B6DC3" w:rsidP="00BA3EB2">
      <w:pPr>
        <w:pStyle w:val="BodyText"/>
        <w:spacing w:line="240" w:lineRule="auto"/>
        <w:rPr>
          <w:sz w:val="24"/>
        </w:rPr>
      </w:pPr>
      <w:r>
        <w:rPr>
          <w:sz w:val="24"/>
        </w:rPr>
        <w:t>D</w:t>
      </w:r>
      <w:r w:rsidR="00BA3EB2" w:rsidRPr="00BA3EB2">
        <w:rPr>
          <w:sz w:val="24"/>
        </w:rPr>
        <w:t>.</w:t>
      </w:r>
      <w:r w:rsidR="00BA3EB2" w:rsidRPr="00BA3EB2">
        <w:rPr>
          <w:sz w:val="24"/>
        </w:rPr>
        <w:tab/>
        <w:t xml:space="preserve">Pending the outcome of the first long-range planning proceeding referenced above, in 2020 AGL will manage its capital and operations and maintenance budgets so as not to exceed </w:t>
      </w:r>
      <w:r w:rsidR="00BA3EB2" w:rsidRPr="00BA3EB2">
        <w:rPr>
          <w:sz w:val="24"/>
        </w:rPr>
        <w:lastRenderedPageBreak/>
        <w:t xml:space="preserve">5% growth rate in base rates to be effective January 1, 2021. </w:t>
      </w:r>
      <w:r w:rsidR="00B55EF2" w:rsidRPr="00BA3EB2">
        <w:rPr>
          <w:sz w:val="24"/>
        </w:rPr>
        <w:t>The Company</w:t>
      </w:r>
      <w:r w:rsidR="00BA3EB2" w:rsidRPr="00BA3EB2">
        <w:rPr>
          <w:sz w:val="24"/>
        </w:rPr>
        <w:t xml:space="preserve"> will not seek recovery through base rates in any GRAM proceeding </w:t>
      </w:r>
      <w:r w:rsidR="00F24A09" w:rsidRPr="00BA3EB2">
        <w:rPr>
          <w:sz w:val="24"/>
        </w:rPr>
        <w:t>of investments</w:t>
      </w:r>
      <w:r w:rsidR="00BA3EB2" w:rsidRPr="00BA3EB2">
        <w:rPr>
          <w:sz w:val="24"/>
        </w:rPr>
        <w:t xml:space="preserve"> and expenditures that contribute to base rates exceeding 5% growth in 2021 from 2020 levels until the next general rate case (this works as a </w:t>
      </w:r>
      <w:r w:rsidR="00F24A09" w:rsidRPr="00BA3EB2">
        <w:rPr>
          <w:sz w:val="24"/>
        </w:rPr>
        <w:t>disincentive for</w:t>
      </w:r>
      <w:r w:rsidR="00BA3EB2" w:rsidRPr="00BA3EB2">
        <w:rPr>
          <w:sz w:val="24"/>
        </w:rPr>
        <w:t xml:space="preserve"> the </w:t>
      </w:r>
      <w:r w:rsidR="007E0837">
        <w:rPr>
          <w:sz w:val="24"/>
        </w:rPr>
        <w:t>C</w:t>
      </w:r>
      <w:r w:rsidR="007E0837" w:rsidRPr="00BA3EB2">
        <w:rPr>
          <w:sz w:val="24"/>
        </w:rPr>
        <w:t xml:space="preserve">ompany </w:t>
      </w:r>
      <w:r w:rsidR="00BA3EB2" w:rsidRPr="00BA3EB2">
        <w:rPr>
          <w:sz w:val="24"/>
        </w:rPr>
        <w:t xml:space="preserve">to spend outside of this level as it must absorb the carrying </w:t>
      </w:r>
      <w:r w:rsidR="00F24A09" w:rsidRPr="00BA3EB2">
        <w:rPr>
          <w:sz w:val="24"/>
        </w:rPr>
        <w:t>costs over</w:t>
      </w:r>
      <w:r w:rsidR="00BA3EB2" w:rsidRPr="00BA3EB2">
        <w:rPr>
          <w:sz w:val="24"/>
        </w:rPr>
        <w:t xml:space="preserve"> multiple years). This 5% limitation is not to be construed as precedent in any future rate proceeding for AGL. The deferral accounts within the existing GRAM shall continue to be used without interruption.</w:t>
      </w:r>
    </w:p>
    <w:p w14:paraId="7C7A8E87" w14:textId="2E76CEC9" w:rsidR="00BA3EB2" w:rsidRPr="00BA3EB2" w:rsidRDefault="004B6DC3" w:rsidP="00BA3EB2">
      <w:pPr>
        <w:pStyle w:val="BodyText"/>
        <w:spacing w:line="240" w:lineRule="auto"/>
        <w:rPr>
          <w:sz w:val="24"/>
        </w:rPr>
      </w:pPr>
      <w:r>
        <w:rPr>
          <w:sz w:val="24"/>
        </w:rPr>
        <w:t>E</w:t>
      </w:r>
      <w:r w:rsidR="005413C4">
        <w:rPr>
          <w:sz w:val="24"/>
        </w:rPr>
        <w:t>.</w:t>
      </w:r>
      <w:r w:rsidR="00BA3EB2" w:rsidRPr="00BA3EB2">
        <w:rPr>
          <w:sz w:val="24"/>
        </w:rPr>
        <w:tab/>
      </w:r>
      <w:r w:rsidR="001E5D6A">
        <w:rPr>
          <w:sz w:val="24"/>
        </w:rPr>
        <w:t xml:space="preserve">The Commission finds that </w:t>
      </w:r>
      <w:r w:rsidR="00BA3EB2" w:rsidRPr="00BA3EB2">
        <w:rPr>
          <w:sz w:val="24"/>
        </w:rPr>
        <w:t xml:space="preserve">AGL will make a second compliance filing on or before July 1, 2020 for rates to be effective January 1, 2021. </w:t>
      </w:r>
      <w:r w:rsidR="00860201">
        <w:rPr>
          <w:sz w:val="24"/>
        </w:rPr>
        <w:t xml:space="preserve">PIA </w:t>
      </w:r>
      <w:r w:rsidR="00BA3EB2" w:rsidRPr="00BA3EB2">
        <w:rPr>
          <w:sz w:val="24"/>
        </w:rPr>
        <w:t>Staff will review and, if appropriate, challenge the associated GRAM schedules and bring to the Commission any dispute, otherwise the compliance filing shall be deemed approved for the 2021 calendar year without further action by the Commission.</w:t>
      </w:r>
    </w:p>
    <w:p w14:paraId="04BABE4B" w14:textId="53D81BFC" w:rsidR="00BA3EB2" w:rsidRPr="00BA3EB2" w:rsidRDefault="001775D4" w:rsidP="001775D4">
      <w:pPr>
        <w:pStyle w:val="BodyText"/>
        <w:spacing w:line="240" w:lineRule="auto"/>
        <w:ind w:firstLine="0"/>
        <w:jc w:val="center"/>
        <w:rPr>
          <w:sz w:val="24"/>
        </w:rPr>
      </w:pPr>
      <w:r>
        <w:rPr>
          <w:sz w:val="24"/>
        </w:rPr>
        <w:t>8</w:t>
      </w:r>
      <w:r w:rsidR="00B97474">
        <w:rPr>
          <w:sz w:val="24"/>
        </w:rPr>
        <w:t>.</w:t>
      </w:r>
    </w:p>
    <w:p w14:paraId="0B22F06E" w14:textId="6FE88345" w:rsidR="00BA3EB2" w:rsidRDefault="00465801" w:rsidP="00BA3EB2">
      <w:pPr>
        <w:pStyle w:val="BodyText"/>
        <w:spacing w:line="240" w:lineRule="auto"/>
        <w:rPr>
          <w:sz w:val="24"/>
        </w:rPr>
      </w:pPr>
      <w:r>
        <w:rPr>
          <w:sz w:val="24"/>
        </w:rPr>
        <w:t>The Commission finds that, o</w:t>
      </w:r>
      <w:r w:rsidR="00BA3EB2" w:rsidRPr="00BA3EB2">
        <w:rPr>
          <w:sz w:val="24"/>
        </w:rPr>
        <w:t>ther than the issues addressed above</w:t>
      </w:r>
      <w:r w:rsidR="00584A2D">
        <w:rPr>
          <w:sz w:val="24"/>
        </w:rPr>
        <w:t xml:space="preserve">, </w:t>
      </w:r>
      <w:r>
        <w:rPr>
          <w:sz w:val="24"/>
        </w:rPr>
        <w:t xml:space="preserve">it is appropriate to </w:t>
      </w:r>
      <w:r w:rsidR="005413C4">
        <w:rPr>
          <w:sz w:val="24"/>
        </w:rPr>
        <w:t xml:space="preserve">accept </w:t>
      </w:r>
      <w:r w:rsidR="005413C4" w:rsidRPr="00BA3EB2">
        <w:rPr>
          <w:sz w:val="24"/>
        </w:rPr>
        <w:t>the</w:t>
      </w:r>
      <w:r w:rsidR="00BA3EB2" w:rsidRPr="00BA3EB2">
        <w:rPr>
          <w:sz w:val="24"/>
        </w:rPr>
        <w:t xml:space="preserve"> Company's filing</w:t>
      </w:r>
      <w:r w:rsidR="00860201">
        <w:rPr>
          <w:sz w:val="24"/>
        </w:rPr>
        <w:t>.</w:t>
      </w:r>
    </w:p>
    <w:p w14:paraId="4600CF19" w14:textId="5082109F" w:rsidR="00860201" w:rsidRPr="00BA3EB2" w:rsidRDefault="001775D4" w:rsidP="001775D4">
      <w:pPr>
        <w:pStyle w:val="BodyText"/>
        <w:spacing w:line="240" w:lineRule="auto"/>
        <w:ind w:firstLine="0"/>
        <w:jc w:val="center"/>
        <w:rPr>
          <w:sz w:val="24"/>
        </w:rPr>
      </w:pPr>
      <w:r>
        <w:rPr>
          <w:sz w:val="24"/>
        </w:rPr>
        <w:t>9</w:t>
      </w:r>
      <w:r w:rsidR="00860201">
        <w:rPr>
          <w:sz w:val="24"/>
        </w:rPr>
        <w:t>.</w:t>
      </w:r>
    </w:p>
    <w:p w14:paraId="1D90024F" w14:textId="24467D98" w:rsidR="00AF626D" w:rsidRDefault="00BA3EB2" w:rsidP="007B0304">
      <w:pPr>
        <w:pStyle w:val="BodyText"/>
        <w:spacing w:line="240" w:lineRule="auto"/>
      </w:pPr>
      <w:r w:rsidRPr="00BA3EB2">
        <w:rPr>
          <w:sz w:val="24"/>
        </w:rPr>
        <w:t>AGL shall make an initial compliance filing to this order prior to rates becoming effective for bills rendered on or after January 1, 2020.</w:t>
      </w:r>
      <w:r w:rsidR="00360867" w:rsidRPr="001E3908">
        <w:t xml:space="preserve"> </w:t>
      </w:r>
    </w:p>
    <w:p w14:paraId="3F4D082F" w14:textId="77777777" w:rsidR="00700EDA" w:rsidRDefault="00700EDA" w:rsidP="007B0304">
      <w:pPr>
        <w:pStyle w:val="BodyText"/>
        <w:spacing w:line="240" w:lineRule="auto"/>
      </w:pPr>
    </w:p>
    <w:p w14:paraId="4BF08DE5" w14:textId="77777777" w:rsidR="007B0304" w:rsidRDefault="00BD60E2" w:rsidP="007B0304">
      <w:pPr>
        <w:pStyle w:val="BodyText"/>
        <w:ind w:firstLine="0"/>
        <w:jc w:val="center"/>
        <w:rPr>
          <w:b/>
          <w:sz w:val="24"/>
        </w:rPr>
      </w:pPr>
      <w:r w:rsidRPr="001E3908">
        <w:rPr>
          <w:b/>
          <w:sz w:val="24"/>
        </w:rPr>
        <w:t>CONCLUSIONS OF LAW</w:t>
      </w:r>
    </w:p>
    <w:p w14:paraId="67652325" w14:textId="31C1C816" w:rsidR="001775D4" w:rsidRDefault="001775D4" w:rsidP="001775D4">
      <w:pPr>
        <w:pStyle w:val="BodyText"/>
        <w:spacing w:line="240" w:lineRule="auto"/>
        <w:ind w:firstLine="0"/>
        <w:jc w:val="center"/>
        <w:rPr>
          <w:sz w:val="24"/>
        </w:rPr>
      </w:pPr>
      <w:r>
        <w:rPr>
          <w:sz w:val="24"/>
        </w:rPr>
        <w:t>1.</w:t>
      </w:r>
    </w:p>
    <w:p w14:paraId="048B0959" w14:textId="65BEE507" w:rsidR="005044E7" w:rsidRDefault="00D55B9F" w:rsidP="005044E7">
      <w:pPr>
        <w:pStyle w:val="BodyText"/>
        <w:spacing w:line="240" w:lineRule="auto"/>
        <w:jc w:val="left"/>
        <w:rPr>
          <w:sz w:val="24"/>
        </w:rPr>
      </w:pPr>
      <w:r w:rsidRPr="001E3908">
        <w:rPr>
          <w:sz w:val="24"/>
        </w:rPr>
        <w:t>O.C.G.A. § 46-2-20(a) provides that the Commission has general supervisory authority over gas</w:t>
      </w:r>
      <w:r w:rsidR="00804815">
        <w:rPr>
          <w:sz w:val="24"/>
        </w:rPr>
        <w:t xml:space="preserve"> c</w:t>
      </w:r>
      <w:r w:rsidRPr="001E3908">
        <w:rPr>
          <w:sz w:val="24"/>
        </w:rPr>
        <w:t xml:space="preserve">ompanies. </w:t>
      </w:r>
    </w:p>
    <w:p w14:paraId="08B6A3EB" w14:textId="536C9DE6" w:rsidR="001775D4" w:rsidRDefault="001775D4" w:rsidP="001775D4">
      <w:pPr>
        <w:pStyle w:val="BodyText"/>
        <w:spacing w:line="240" w:lineRule="auto"/>
        <w:ind w:firstLine="0"/>
        <w:jc w:val="center"/>
        <w:rPr>
          <w:sz w:val="24"/>
        </w:rPr>
      </w:pPr>
      <w:r>
        <w:rPr>
          <w:sz w:val="24"/>
        </w:rPr>
        <w:t>2.</w:t>
      </w:r>
    </w:p>
    <w:p w14:paraId="0117D8F6" w14:textId="6395E673" w:rsidR="00D55B9F" w:rsidRPr="001E3908" w:rsidRDefault="00D55B9F" w:rsidP="005044E7">
      <w:pPr>
        <w:pStyle w:val="BodyText"/>
        <w:spacing w:line="240" w:lineRule="auto"/>
        <w:jc w:val="left"/>
        <w:rPr>
          <w:i/>
          <w:iCs/>
          <w:sz w:val="24"/>
        </w:rPr>
      </w:pPr>
      <w:r w:rsidRPr="001E3908">
        <w:rPr>
          <w:sz w:val="24"/>
        </w:rPr>
        <w:t xml:space="preserve">O.C.G.A. § 46-2-23 provides that the Commission has exclusive power to determine what are just and reasonable rates and charges to be made by any person, firm or corporation subject to its jurisdiction.  The rates for firm distribution service and ancillary services rendered by an electing distribution </w:t>
      </w:r>
      <w:r w:rsidR="00036083">
        <w:rPr>
          <w:sz w:val="24"/>
        </w:rPr>
        <w:t>c</w:t>
      </w:r>
      <w:r w:rsidR="00471CC1" w:rsidRPr="001E3908">
        <w:rPr>
          <w:sz w:val="24"/>
        </w:rPr>
        <w:t>ompany</w:t>
      </w:r>
      <w:r w:rsidRPr="001E3908">
        <w:rPr>
          <w:sz w:val="24"/>
        </w:rPr>
        <w:t xml:space="preserve"> must be established in accordance with Article 5 of Title 46, O.C.G.A. § 46-4-151 </w:t>
      </w:r>
      <w:r w:rsidRPr="001E3908">
        <w:rPr>
          <w:i/>
          <w:iCs/>
          <w:sz w:val="24"/>
        </w:rPr>
        <w:t>et seq.</w:t>
      </w:r>
    </w:p>
    <w:p w14:paraId="0AEB08D9" w14:textId="77777777" w:rsidR="00D55B9F" w:rsidRPr="001E3908" w:rsidRDefault="00D55B9F" w:rsidP="005044E7">
      <w:pPr>
        <w:widowControl w:val="0"/>
        <w:tabs>
          <w:tab w:val="left" w:pos="-720"/>
        </w:tabs>
        <w:suppressAutoHyphens/>
        <w:autoSpaceDE w:val="0"/>
        <w:autoSpaceDN w:val="0"/>
        <w:adjustRightInd w:val="0"/>
        <w:spacing w:after="0" w:line="240" w:lineRule="auto"/>
        <w:jc w:val="center"/>
        <w:rPr>
          <w:rFonts w:ascii="Times New Roman" w:hAnsi="Times New Roman"/>
          <w:sz w:val="24"/>
          <w:szCs w:val="24"/>
        </w:rPr>
      </w:pPr>
      <w:r w:rsidRPr="001E3908">
        <w:rPr>
          <w:rFonts w:ascii="Times New Roman" w:hAnsi="Times New Roman"/>
          <w:sz w:val="24"/>
          <w:szCs w:val="24"/>
        </w:rPr>
        <w:t>3.</w:t>
      </w:r>
    </w:p>
    <w:p w14:paraId="75BF1824" w14:textId="77777777" w:rsidR="00D55B9F" w:rsidRPr="001E3908" w:rsidRDefault="00D55B9F" w:rsidP="005044E7">
      <w:pPr>
        <w:pStyle w:val="BodyText"/>
        <w:spacing w:after="0" w:line="240" w:lineRule="auto"/>
        <w:rPr>
          <w:sz w:val="24"/>
        </w:rPr>
      </w:pPr>
    </w:p>
    <w:p w14:paraId="25D62B93" w14:textId="0E5CC35F" w:rsidR="00E56CBF" w:rsidRDefault="00D55B9F" w:rsidP="00D55B9F">
      <w:pPr>
        <w:pStyle w:val="BodyText"/>
        <w:spacing w:after="0" w:line="240" w:lineRule="auto"/>
        <w:rPr>
          <w:sz w:val="24"/>
        </w:rPr>
      </w:pPr>
      <w:r w:rsidRPr="001E3908">
        <w:rPr>
          <w:sz w:val="24"/>
        </w:rPr>
        <w:t xml:space="preserve">O.C.G.A. § 46-2-25 provides in pertinent part that whenever any new rate schedule is filed, the Commission shall have authority, upon reasonable notice to the utility, to enter a hearing concerning the lawfulness of such rate, charge, classification, or service. </w:t>
      </w:r>
    </w:p>
    <w:p w14:paraId="17BFDDC5" w14:textId="36AB8245" w:rsidR="00D54973" w:rsidRDefault="00D54973" w:rsidP="00D55B9F">
      <w:pPr>
        <w:pStyle w:val="BodyText"/>
        <w:spacing w:after="0" w:line="240" w:lineRule="auto"/>
        <w:rPr>
          <w:sz w:val="24"/>
        </w:rPr>
      </w:pPr>
    </w:p>
    <w:p w14:paraId="01023D12" w14:textId="77777777" w:rsidR="00D55B9F" w:rsidRPr="001E3908" w:rsidRDefault="00D55B9F" w:rsidP="00D55B9F">
      <w:pPr>
        <w:widowControl w:val="0"/>
        <w:tabs>
          <w:tab w:val="left" w:pos="-720"/>
        </w:tabs>
        <w:suppressAutoHyphens/>
        <w:autoSpaceDE w:val="0"/>
        <w:autoSpaceDN w:val="0"/>
        <w:adjustRightInd w:val="0"/>
        <w:spacing w:after="0" w:line="240" w:lineRule="auto"/>
        <w:jc w:val="center"/>
        <w:rPr>
          <w:rFonts w:ascii="Times New Roman" w:hAnsi="Times New Roman"/>
          <w:sz w:val="24"/>
          <w:szCs w:val="24"/>
        </w:rPr>
      </w:pPr>
      <w:bookmarkStart w:id="7" w:name="_GoBack"/>
      <w:bookmarkEnd w:id="7"/>
      <w:r w:rsidRPr="001E3908">
        <w:rPr>
          <w:rFonts w:ascii="Times New Roman" w:hAnsi="Times New Roman"/>
          <w:sz w:val="24"/>
          <w:szCs w:val="24"/>
        </w:rPr>
        <w:lastRenderedPageBreak/>
        <w:t>4.</w:t>
      </w:r>
    </w:p>
    <w:p w14:paraId="4DED7AEF" w14:textId="77777777" w:rsidR="00D55B9F" w:rsidRPr="001E3908" w:rsidRDefault="00D55B9F" w:rsidP="00D55B9F">
      <w:pPr>
        <w:pStyle w:val="BodyText"/>
        <w:spacing w:after="0" w:line="240" w:lineRule="auto"/>
        <w:rPr>
          <w:sz w:val="24"/>
        </w:rPr>
      </w:pPr>
    </w:p>
    <w:p w14:paraId="2A9200C9" w14:textId="77777777" w:rsidR="00D55B9F" w:rsidRPr="001E3908" w:rsidRDefault="00D55B9F" w:rsidP="00D55B9F">
      <w:pPr>
        <w:pStyle w:val="BodyText"/>
        <w:spacing w:after="0" w:line="240" w:lineRule="auto"/>
        <w:rPr>
          <w:sz w:val="24"/>
        </w:rPr>
      </w:pPr>
      <w:r w:rsidRPr="001E3908">
        <w:rPr>
          <w:sz w:val="24"/>
        </w:rPr>
        <w:t xml:space="preserve">O.C.G.A. § 46-2-26.4 provides for the accounting treatments to be used in any proceeding before the </w:t>
      </w:r>
      <w:r w:rsidR="005F453A">
        <w:rPr>
          <w:sz w:val="24"/>
        </w:rPr>
        <w:t>C</w:t>
      </w:r>
      <w:r w:rsidRPr="001E3908">
        <w:rPr>
          <w:sz w:val="24"/>
        </w:rPr>
        <w:t xml:space="preserve">ommission to determine the rates to be charged by a gas utility.  Subsection (b) provides as follows:  </w:t>
      </w:r>
    </w:p>
    <w:p w14:paraId="3E34FBC8" w14:textId="77777777" w:rsidR="00D55B9F" w:rsidRPr="001E3908" w:rsidRDefault="00D55B9F" w:rsidP="00D55B9F">
      <w:pPr>
        <w:pStyle w:val="BodyText"/>
        <w:spacing w:after="0" w:line="240" w:lineRule="auto"/>
        <w:rPr>
          <w:sz w:val="24"/>
        </w:rPr>
      </w:pPr>
    </w:p>
    <w:p w14:paraId="11ABFC8E" w14:textId="77777777" w:rsidR="00D55B9F" w:rsidRPr="001E3908" w:rsidRDefault="00D55B9F" w:rsidP="00D55B9F">
      <w:pPr>
        <w:pStyle w:val="BodyText"/>
        <w:spacing w:after="0" w:line="240" w:lineRule="auto"/>
        <w:ind w:left="1440" w:right="1080" w:firstLine="0"/>
        <w:rPr>
          <w:sz w:val="24"/>
        </w:rPr>
      </w:pPr>
      <w:r w:rsidRPr="001E3908">
        <w:rPr>
          <w:sz w:val="24"/>
        </w:rPr>
        <w:t>In any proceeding commenced after April 1, 2002, to determine the rates to be charged by a gas utility, the gas utility shall file jurisdictionally allocated cost of service data on the basis of a test period, and the commission shall utilize a test period, consisting of actual data for the most recent 12 month period for which data are available, fully adjusted separately to reflect estimated operations during the 12 months following the proposed effective date of the rates.  After the initial filing, and until new rates go into effect, the utility shall file actual cost of service data as they become available for each month following the actual data which were filed.  The utility shall have the burden of explaining and supporting the reasonableness of all estimates and adjustments contained in its cost of service data.</w:t>
      </w:r>
    </w:p>
    <w:p w14:paraId="0E047F59" w14:textId="77777777" w:rsidR="00002302" w:rsidRPr="001E3908" w:rsidRDefault="00002302">
      <w:pPr>
        <w:rPr>
          <w:rFonts w:ascii="Times New Roman" w:hAnsi="Times New Roman"/>
          <w:sz w:val="24"/>
          <w:szCs w:val="24"/>
        </w:rPr>
      </w:pPr>
    </w:p>
    <w:p w14:paraId="3FF8A934" w14:textId="77777777" w:rsidR="00306367" w:rsidRPr="001E3908" w:rsidRDefault="00306367" w:rsidP="00306367">
      <w:pPr>
        <w:widowControl w:val="0"/>
        <w:tabs>
          <w:tab w:val="left" w:pos="-720"/>
        </w:tabs>
        <w:suppressAutoHyphens/>
        <w:autoSpaceDE w:val="0"/>
        <w:autoSpaceDN w:val="0"/>
        <w:adjustRightInd w:val="0"/>
        <w:spacing w:after="0" w:line="240" w:lineRule="auto"/>
        <w:jc w:val="center"/>
        <w:rPr>
          <w:rFonts w:ascii="Times New Roman" w:hAnsi="Times New Roman"/>
          <w:sz w:val="24"/>
          <w:szCs w:val="24"/>
        </w:rPr>
      </w:pPr>
      <w:r w:rsidRPr="001E3908">
        <w:rPr>
          <w:rFonts w:ascii="Times New Roman" w:hAnsi="Times New Roman"/>
          <w:sz w:val="24"/>
          <w:szCs w:val="24"/>
        </w:rPr>
        <w:t>5.</w:t>
      </w:r>
    </w:p>
    <w:p w14:paraId="417FF473" w14:textId="77777777" w:rsidR="00306367" w:rsidRPr="001E3908" w:rsidRDefault="00306367" w:rsidP="00306367">
      <w:pPr>
        <w:pStyle w:val="BodyText"/>
        <w:spacing w:after="0" w:line="240" w:lineRule="auto"/>
        <w:rPr>
          <w:sz w:val="24"/>
        </w:rPr>
      </w:pPr>
    </w:p>
    <w:p w14:paraId="64D1C155" w14:textId="7B433AB8" w:rsidR="00306367" w:rsidRPr="001E3908" w:rsidRDefault="00306367" w:rsidP="00306367">
      <w:pPr>
        <w:pStyle w:val="BodyText"/>
        <w:spacing w:after="0" w:line="240" w:lineRule="auto"/>
        <w:rPr>
          <w:sz w:val="24"/>
        </w:rPr>
      </w:pPr>
      <w:r>
        <w:rPr>
          <w:sz w:val="24"/>
        </w:rPr>
        <w:t>O.C.G.A. § 46-2-23.1</w:t>
      </w:r>
      <w:r w:rsidRPr="001E3908">
        <w:rPr>
          <w:sz w:val="24"/>
        </w:rPr>
        <w:t xml:space="preserve"> provides </w:t>
      </w:r>
      <w:r>
        <w:rPr>
          <w:sz w:val="24"/>
        </w:rPr>
        <w:t>that the Commission has the authority to approve, modify, or reject alternative forms of regulation for gas companies.</w:t>
      </w:r>
    </w:p>
    <w:p w14:paraId="5DF2C6C0" w14:textId="77777777" w:rsidR="00306367" w:rsidRPr="001E3908" w:rsidRDefault="00306367" w:rsidP="00306367">
      <w:pPr>
        <w:pStyle w:val="BodyText"/>
        <w:spacing w:after="0" w:line="240" w:lineRule="auto"/>
        <w:rPr>
          <w:sz w:val="24"/>
        </w:rPr>
      </w:pPr>
    </w:p>
    <w:p w14:paraId="5D962FCE" w14:textId="6D6B8076" w:rsidR="00D55B9F" w:rsidRPr="001E3908" w:rsidRDefault="00306367" w:rsidP="00D55B9F">
      <w:pPr>
        <w:widowControl w:val="0"/>
        <w:tabs>
          <w:tab w:val="left" w:pos="-720"/>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00D55B9F" w:rsidRPr="001E3908">
        <w:rPr>
          <w:rFonts w:ascii="Times New Roman" w:hAnsi="Times New Roman"/>
          <w:sz w:val="24"/>
          <w:szCs w:val="24"/>
        </w:rPr>
        <w:t>.</w:t>
      </w:r>
    </w:p>
    <w:p w14:paraId="65B4CDB2" w14:textId="77777777" w:rsidR="00D55B9F" w:rsidRPr="001E3908" w:rsidRDefault="00D55B9F" w:rsidP="00D55B9F">
      <w:pPr>
        <w:pStyle w:val="BodyText"/>
        <w:spacing w:after="0" w:line="240" w:lineRule="auto"/>
        <w:rPr>
          <w:sz w:val="24"/>
        </w:rPr>
      </w:pPr>
    </w:p>
    <w:p w14:paraId="64441A07" w14:textId="77777777" w:rsidR="00D55B9F" w:rsidRPr="001E3908" w:rsidRDefault="00D55B9F" w:rsidP="00D55B9F">
      <w:pPr>
        <w:pStyle w:val="BodyText"/>
        <w:spacing w:after="0" w:line="240" w:lineRule="auto"/>
        <w:rPr>
          <w:sz w:val="24"/>
        </w:rPr>
      </w:pPr>
      <w:r w:rsidRPr="001E3908">
        <w:rPr>
          <w:sz w:val="24"/>
        </w:rPr>
        <w:t>The Commission concludes as a matter of law that the Company has met its burden of proof to substantiate a revenue deficiency</w:t>
      </w:r>
      <w:r w:rsidR="00A16706" w:rsidRPr="001E3908">
        <w:rPr>
          <w:sz w:val="24"/>
        </w:rPr>
        <w:t>, which the Commission found as a matter of fact to equal</w:t>
      </w:r>
      <w:r w:rsidRPr="001E3908">
        <w:rPr>
          <w:sz w:val="24"/>
        </w:rPr>
        <w:t xml:space="preserve"> $</w:t>
      </w:r>
      <w:r w:rsidR="00FC1F9A">
        <w:rPr>
          <w:sz w:val="24"/>
        </w:rPr>
        <w:t>65.3 million</w:t>
      </w:r>
      <w:r w:rsidRPr="001E3908">
        <w:rPr>
          <w:sz w:val="24"/>
        </w:rPr>
        <w:t>.</w:t>
      </w:r>
    </w:p>
    <w:p w14:paraId="23A75BC1" w14:textId="77777777" w:rsidR="00A16706" w:rsidRPr="001E3908" w:rsidRDefault="00A16706" w:rsidP="00D55B9F">
      <w:pPr>
        <w:pStyle w:val="BodyText"/>
        <w:spacing w:after="0" w:line="240" w:lineRule="auto"/>
        <w:rPr>
          <w:sz w:val="24"/>
        </w:rPr>
      </w:pPr>
    </w:p>
    <w:p w14:paraId="6677D374" w14:textId="3D2C00AC" w:rsidR="00A16706" w:rsidRPr="001E3908" w:rsidRDefault="00306367" w:rsidP="00A16706">
      <w:pPr>
        <w:widowControl w:val="0"/>
        <w:tabs>
          <w:tab w:val="left" w:pos="-720"/>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A16706" w:rsidRPr="001E3908">
        <w:rPr>
          <w:rFonts w:ascii="Times New Roman" w:hAnsi="Times New Roman"/>
          <w:sz w:val="24"/>
          <w:szCs w:val="24"/>
        </w:rPr>
        <w:t>.</w:t>
      </w:r>
    </w:p>
    <w:p w14:paraId="1DF7E8E7" w14:textId="77777777" w:rsidR="00A16706" w:rsidRPr="001E3908" w:rsidRDefault="00A16706" w:rsidP="00A16706">
      <w:pPr>
        <w:pStyle w:val="BodyText"/>
        <w:spacing w:after="0" w:line="240" w:lineRule="auto"/>
        <w:rPr>
          <w:sz w:val="24"/>
        </w:rPr>
      </w:pPr>
    </w:p>
    <w:p w14:paraId="4AAE9EA3" w14:textId="77777777" w:rsidR="00A16706" w:rsidRPr="001E3908" w:rsidRDefault="00A16706" w:rsidP="00D55B9F">
      <w:pPr>
        <w:pStyle w:val="BodyText"/>
        <w:spacing w:after="0" w:line="240" w:lineRule="auto"/>
        <w:rPr>
          <w:sz w:val="24"/>
        </w:rPr>
      </w:pPr>
      <w:r w:rsidRPr="001E3908">
        <w:rPr>
          <w:sz w:val="24"/>
        </w:rPr>
        <w:t>The Commission concludes as a matter of law that the Company should be allowed to charge rates calculated to allow the Company an opportunity to recovery this deficiency and that such award will allow the Company the opportunity to earn a return on its assets which is not confiscatory, unjust or unreasonable.</w:t>
      </w:r>
    </w:p>
    <w:p w14:paraId="2808C050" w14:textId="5C229FF3" w:rsidR="00A16706" w:rsidRPr="001E3908" w:rsidRDefault="00306367" w:rsidP="00A16706">
      <w:pPr>
        <w:widowControl w:val="0"/>
        <w:tabs>
          <w:tab w:val="left" w:pos="-720"/>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00A16706" w:rsidRPr="001E3908">
        <w:rPr>
          <w:rFonts w:ascii="Times New Roman" w:hAnsi="Times New Roman"/>
          <w:sz w:val="24"/>
          <w:szCs w:val="24"/>
        </w:rPr>
        <w:t>.</w:t>
      </w:r>
    </w:p>
    <w:p w14:paraId="72C68285" w14:textId="77777777" w:rsidR="00A16706" w:rsidRPr="001E3908" w:rsidRDefault="00A16706" w:rsidP="00A16706">
      <w:pPr>
        <w:pStyle w:val="BodyText"/>
        <w:spacing w:after="0" w:line="240" w:lineRule="auto"/>
        <w:rPr>
          <w:sz w:val="24"/>
        </w:rPr>
      </w:pPr>
    </w:p>
    <w:p w14:paraId="448A10C4" w14:textId="6988042E" w:rsidR="00A16706" w:rsidRDefault="00A16706" w:rsidP="00A16706">
      <w:pPr>
        <w:pStyle w:val="BodyText"/>
        <w:spacing w:after="0" w:line="240" w:lineRule="auto"/>
        <w:rPr>
          <w:sz w:val="24"/>
        </w:rPr>
      </w:pPr>
      <w:r w:rsidRPr="001E3908">
        <w:rPr>
          <w:sz w:val="24"/>
        </w:rPr>
        <w:t>The Commission concludes as a matter of law that the provisions of this decision related to the allocation of the additional revenue requirement and the specific charges set by the Commission will provide the most equitable distribution of the additional revenue requirement mandated by the record.</w:t>
      </w:r>
    </w:p>
    <w:p w14:paraId="22154E6D" w14:textId="77777777" w:rsidR="00D54973" w:rsidRDefault="00D54973" w:rsidP="00A16706">
      <w:pPr>
        <w:pStyle w:val="BodyText"/>
        <w:spacing w:after="0" w:line="240" w:lineRule="auto"/>
        <w:rPr>
          <w:sz w:val="24"/>
        </w:rPr>
      </w:pPr>
    </w:p>
    <w:p w14:paraId="599BAD2E" w14:textId="77777777" w:rsidR="009E2283" w:rsidRDefault="009E2283" w:rsidP="00A16706">
      <w:pPr>
        <w:pStyle w:val="BodyTextIndent3"/>
        <w:spacing w:after="0" w:line="240" w:lineRule="auto"/>
        <w:jc w:val="both"/>
        <w:rPr>
          <w:b/>
          <w:sz w:val="24"/>
          <w:szCs w:val="24"/>
        </w:rPr>
      </w:pPr>
    </w:p>
    <w:p w14:paraId="444FAC61" w14:textId="77777777" w:rsidR="009E2283" w:rsidRDefault="009E2283" w:rsidP="00A16706">
      <w:pPr>
        <w:pStyle w:val="BodyTextIndent3"/>
        <w:spacing w:after="0" w:line="240" w:lineRule="auto"/>
        <w:jc w:val="both"/>
        <w:rPr>
          <w:b/>
          <w:sz w:val="24"/>
          <w:szCs w:val="24"/>
        </w:rPr>
      </w:pPr>
    </w:p>
    <w:p w14:paraId="3F94E9F1" w14:textId="77777777" w:rsidR="00842539" w:rsidRDefault="00A16706" w:rsidP="00A16706">
      <w:pPr>
        <w:pStyle w:val="BodyTextIndent3"/>
        <w:spacing w:after="0" w:line="240" w:lineRule="auto"/>
        <w:jc w:val="both"/>
        <w:rPr>
          <w:sz w:val="24"/>
          <w:szCs w:val="24"/>
        </w:rPr>
      </w:pPr>
      <w:r w:rsidRPr="001E3908">
        <w:rPr>
          <w:b/>
          <w:sz w:val="24"/>
          <w:szCs w:val="24"/>
        </w:rPr>
        <w:lastRenderedPageBreak/>
        <w:t>WHEREFORE IT IS ORDERED</w:t>
      </w:r>
      <w:r w:rsidRPr="001E3908">
        <w:rPr>
          <w:sz w:val="24"/>
          <w:szCs w:val="24"/>
        </w:rPr>
        <w:t xml:space="preserve"> that</w:t>
      </w:r>
      <w:r w:rsidR="00842539">
        <w:rPr>
          <w:sz w:val="24"/>
          <w:szCs w:val="24"/>
        </w:rPr>
        <w:t>:</w:t>
      </w:r>
    </w:p>
    <w:p w14:paraId="4EDFA12F" w14:textId="77777777" w:rsidR="00A16706" w:rsidRPr="001E3908" w:rsidRDefault="00842539" w:rsidP="00A16706">
      <w:pPr>
        <w:pStyle w:val="BodyTextIndent3"/>
        <w:spacing w:after="0" w:line="240" w:lineRule="auto"/>
        <w:jc w:val="both"/>
        <w:rPr>
          <w:sz w:val="24"/>
          <w:szCs w:val="24"/>
        </w:rPr>
      </w:pPr>
      <w:r>
        <w:rPr>
          <w:sz w:val="24"/>
          <w:szCs w:val="24"/>
        </w:rPr>
        <w:t xml:space="preserve"> </w:t>
      </w:r>
    </w:p>
    <w:p w14:paraId="743771B8" w14:textId="6E0247AF" w:rsidR="00842539" w:rsidRDefault="00A16706" w:rsidP="00BB6989">
      <w:pPr>
        <w:pStyle w:val="StandardL3"/>
        <w:spacing w:after="0" w:line="276" w:lineRule="auto"/>
        <w:jc w:val="both"/>
        <w:rPr>
          <w:szCs w:val="24"/>
        </w:rPr>
      </w:pPr>
      <w:r w:rsidRPr="001E3908">
        <w:rPr>
          <w:szCs w:val="24"/>
        </w:rPr>
        <w:t xml:space="preserve">Atlanta Gas Light Company is </w:t>
      </w:r>
      <w:r w:rsidR="00D523B3">
        <w:rPr>
          <w:szCs w:val="24"/>
        </w:rPr>
        <w:t>allowed</w:t>
      </w:r>
      <w:r w:rsidRPr="001E3908">
        <w:rPr>
          <w:szCs w:val="24"/>
        </w:rPr>
        <w:t xml:space="preserve"> to increase rates to produce an increase in revenues in the amount of $</w:t>
      </w:r>
      <w:r w:rsidR="00FC1F9A">
        <w:rPr>
          <w:szCs w:val="24"/>
        </w:rPr>
        <w:t>65.3 million</w:t>
      </w:r>
      <w:r w:rsidRPr="001E3908">
        <w:rPr>
          <w:szCs w:val="24"/>
        </w:rPr>
        <w:t xml:space="preserve">, consistent with the provisions of this Order, with said rates to be effective for service rendered on and after </w:t>
      </w:r>
      <w:r w:rsidR="00FC1F9A">
        <w:rPr>
          <w:szCs w:val="24"/>
        </w:rPr>
        <w:t>January 1, 2020</w:t>
      </w:r>
      <w:r w:rsidRPr="001E3908">
        <w:rPr>
          <w:szCs w:val="24"/>
        </w:rPr>
        <w:t>.</w:t>
      </w:r>
    </w:p>
    <w:p w14:paraId="6884F916" w14:textId="77777777" w:rsidR="008C1C84" w:rsidRPr="006F4299" w:rsidRDefault="008C1C84" w:rsidP="006F4299">
      <w:pPr>
        <w:pStyle w:val="BodyText"/>
      </w:pPr>
    </w:p>
    <w:p w14:paraId="0E12A465" w14:textId="5054AC37" w:rsidR="00A16706" w:rsidRDefault="00A16706" w:rsidP="00BB6989">
      <w:pPr>
        <w:pStyle w:val="StandardL3"/>
        <w:spacing w:after="0" w:line="276" w:lineRule="auto"/>
        <w:jc w:val="both"/>
        <w:rPr>
          <w:szCs w:val="24"/>
        </w:rPr>
      </w:pPr>
      <w:r w:rsidRPr="001E3908">
        <w:rPr>
          <w:szCs w:val="24"/>
        </w:rPr>
        <w:t>The tariffs implemented by the Company to collect the aforesaid increased revenues of $</w:t>
      </w:r>
      <w:r w:rsidR="00FC1F9A">
        <w:rPr>
          <w:szCs w:val="24"/>
        </w:rPr>
        <w:t>65.3 million</w:t>
      </w:r>
      <w:r w:rsidRPr="001E3908">
        <w:rPr>
          <w:szCs w:val="24"/>
        </w:rPr>
        <w:t xml:space="preserve"> shall be submitted as a compliance filing with</w:t>
      </w:r>
      <w:r w:rsidR="001E3908" w:rsidRPr="001E3908">
        <w:rPr>
          <w:szCs w:val="24"/>
        </w:rPr>
        <w:t>in 30 days of the date of this O</w:t>
      </w:r>
      <w:r w:rsidRPr="001E3908">
        <w:rPr>
          <w:szCs w:val="24"/>
        </w:rPr>
        <w:t>rder subject to review by the Commission to ensure that such tariffs, as implemented, are proper and just.</w:t>
      </w:r>
      <w:r w:rsidR="00C246EC" w:rsidRPr="00C246EC">
        <w:rPr>
          <w:szCs w:val="24"/>
        </w:rPr>
        <w:t xml:space="preserve"> </w:t>
      </w:r>
      <w:r w:rsidR="00C246EC" w:rsidRPr="001E3908">
        <w:rPr>
          <w:szCs w:val="24"/>
        </w:rPr>
        <w:t>The rates shall be consistent with the findings of the Commission regarding Revenue Requirements in this Order utilizing the rate design methodology approved in this Order.</w:t>
      </w:r>
    </w:p>
    <w:p w14:paraId="5B5F910C" w14:textId="77777777" w:rsidR="008C1C84" w:rsidRPr="006F4299" w:rsidRDefault="008C1C84" w:rsidP="006F4299">
      <w:pPr>
        <w:pStyle w:val="BodyText"/>
      </w:pPr>
    </w:p>
    <w:p w14:paraId="7C39769A" w14:textId="3861B7D1" w:rsidR="00A16706" w:rsidRDefault="001E3908" w:rsidP="00BB6989">
      <w:pPr>
        <w:pStyle w:val="StandardL3"/>
        <w:spacing w:after="0" w:line="276" w:lineRule="auto"/>
        <w:jc w:val="both"/>
        <w:rPr>
          <w:szCs w:val="24"/>
        </w:rPr>
      </w:pPr>
      <w:r w:rsidRPr="001E3908">
        <w:rPr>
          <w:szCs w:val="24"/>
        </w:rPr>
        <w:t>The Company shall comply with all ruling and directives contained in the body of this Order</w:t>
      </w:r>
      <w:r w:rsidR="00A16706" w:rsidRPr="001E3908">
        <w:rPr>
          <w:szCs w:val="24"/>
        </w:rPr>
        <w:t>.</w:t>
      </w:r>
    </w:p>
    <w:p w14:paraId="17D5A0B3" w14:textId="77777777" w:rsidR="0050439F" w:rsidRPr="0050439F" w:rsidRDefault="0050439F" w:rsidP="0050439F">
      <w:pPr>
        <w:pStyle w:val="BodyText"/>
      </w:pPr>
    </w:p>
    <w:p w14:paraId="4387EFD3" w14:textId="58F68A9C" w:rsidR="001E3908" w:rsidRDefault="001E3908" w:rsidP="00BB6989">
      <w:pPr>
        <w:pStyle w:val="StandardL3"/>
        <w:spacing w:after="0" w:line="276" w:lineRule="auto"/>
        <w:jc w:val="both"/>
        <w:rPr>
          <w:szCs w:val="24"/>
        </w:rPr>
      </w:pPr>
      <w:r>
        <w:rPr>
          <w:szCs w:val="24"/>
        </w:rPr>
        <w:t xml:space="preserve">Due to the complexity of this matter and the </w:t>
      </w:r>
      <w:r w:rsidR="00C246EC">
        <w:rPr>
          <w:szCs w:val="24"/>
        </w:rPr>
        <w:t xml:space="preserve">short </w:t>
      </w:r>
      <w:r>
        <w:rPr>
          <w:szCs w:val="24"/>
        </w:rPr>
        <w:t xml:space="preserve">statutory deadline for the issuance of an </w:t>
      </w:r>
      <w:r w:rsidR="0045280E">
        <w:rPr>
          <w:szCs w:val="24"/>
        </w:rPr>
        <w:t>O</w:t>
      </w:r>
      <w:r>
        <w:rPr>
          <w:szCs w:val="24"/>
        </w:rPr>
        <w:t xml:space="preserve">rder, the Commission issues this order as a </w:t>
      </w:r>
      <w:r w:rsidR="0050439F">
        <w:rPr>
          <w:szCs w:val="24"/>
        </w:rPr>
        <w:t>S</w:t>
      </w:r>
      <w:r>
        <w:rPr>
          <w:szCs w:val="24"/>
        </w:rPr>
        <w:t xml:space="preserve">hort </w:t>
      </w:r>
      <w:r w:rsidR="0050439F">
        <w:rPr>
          <w:szCs w:val="24"/>
        </w:rPr>
        <w:t>O</w:t>
      </w:r>
      <w:r>
        <w:rPr>
          <w:szCs w:val="24"/>
        </w:rPr>
        <w:t>rder.  The Commission will issue a more detailed order in this matter further explaining its decisions, findings and conclusions</w:t>
      </w:r>
      <w:r w:rsidRPr="001E3908">
        <w:rPr>
          <w:szCs w:val="24"/>
        </w:rPr>
        <w:t>.</w:t>
      </w:r>
    </w:p>
    <w:p w14:paraId="55299C65" w14:textId="77777777" w:rsidR="0050439F" w:rsidRPr="0050439F" w:rsidRDefault="0050439F" w:rsidP="0050439F">
      <w:pPr>
        <w:pStyle w:val="BodyText"/>
      </w:pPr>
    </w:p>
    <w:p w14:paraId="5108517C" w14:textId="64EBD530" w:rsidR="00A16706" w:rsidRDefault="00A16706" w:rsidP="00BB6989">
      <w:pPr>
        <w:pStyle w:val="StandardL3"/>
        <w:spacing w:after="0" w:line="276" w:lineRule="auto"/>
        <w:jc w:val="both"/>
        <w:rPr>
          <w:szCs w:val="24"/>
        </w:rPr>
      </w:pPr>
      <w:r w:rsidRPr="001E3908">
        <w:rPr>
          <w:szCs w:val="24"/>
        </w:rPr>
        <w:t>All findings, conclusions and statements made by the Commission and contained in the foregoing sections of this Order are hereby adopted as findings of fact, conclusions of law, and statements of regulatory policy of this Commission.</w:t>
      </w:r>
    </w:p>
    <w:p w14:paraId="465E79D7" w14:textId="77777777" w:rsidR="00744B1D" w:rsidRPr="00744B1D" w:rsidRDefault="00744B1D" w:rsidP="00744B1D">
      <w:pPr>
        <w:pStyle w:val="BodyText"/>
      </w:pPr>
    </w:p>
    <w:p w14:paraId="472AE819" w14:textId="3174FA0F" w:rsidR="00A16706" w:rsidRDefault="00A16706" w:rsidP="00BB6989">
      <w:pPr>
        <w:pStyle w:val="StandardL3"/>
        <w:spacing w:after="0" w:line="276" w:lineRule="auto"/>
        <w:jc w:val="both"/>
        <w:rPr>
          <w:szCs w:val="24"/>
        </w:rPr>
      </w:pPr>
      <w:r w:rsidRPr="001E3908">
        <w:rPr>
          <w:szCs w:val="24"/>
        </w:rPr>
        <w:t>Unless specified otherwise in this Order, the decisions adopted herein shall be effective immediately.</w:t>
      </w:r>
    </w:p>
    <w:p w14:paraId="6FA9D9D4" w14:textId="77777777" w:rsidR="00744B1D" w:rsidRPr="00744B1D" w:rsidRDefault="00744B1D" w:rsidP="00744B1D">
      <w:pPr>
        <w:pStyle w:val="BodyText"/>
      </w:pPr>
    </w:p>
    <w:p w14:paraId="5416F00E" w14:textId="621685B0" w:rsidR="00A16706" w:rsidRDefault="00A16706" w:rsidP="00BB6989">
      <w:pPr>
        <w:pStyle w:val="StandardL3"/>
        <w:spacing w:after="0" w:line="276" w:lineRule="auto"/>
        <w:jc w:val="both"/>
        <w:rPr>
          <w:szCs w:val="24"/>
        </w:rPr>
      </w:pPr>
      <w:r w:rsidRPr="001E3908">
        <w:rPr>
          <w:szCs w:val="24"/>
        </w:rPr>
        <w:t>Any motion for reconsideration, rehearing or oral argument or any other motion shall not stay the effective date of this Order, unless otherwise ordered by the Commission.</w:t>
      </w:r>
    </w:p>
    <w:p w14:paraId="15138B87" w14:textId="77777777" w:rsidR="00744B1D" w:rsidRPr="00744B1D" w:rsidRDefault="00744B1D" w:rsidP="00744B1D">
      <w:pPr>
        <w:pStyle w:val="BodyText"/>
      </w:pPr>
    </w:p>
    <w:p w14:paraId="0F043549" w14:textId="77777777" w:rsidR="00A16706" w:rsidRPr="001E3908" w:rsidRDefault="00A16706" w:rsidP="00BB6989">
      <w:pPr>
        <w:pStyle w:val="StandardL3"/>
        <w:spacing w:after="0" w:line="276" w:lineRule="auto"/>
        <w:jc w:val="both"/>
        <w:rPr>
          <w:szCs w:val="24"/>
        </w:rPr>
      </w:pPr>
      <w:r w:rsidRPr="001E3908">
        <w:rPr>
          <w:szCs w:val="24"/>
        </w:rPr>
        <w:lastRenderedPageBreak/>
        <w:t>Jurisdiction over this matter is expressly retained for the purpose of entering such further Order or Orders as this Commission may deem just and proper.</w:t>
      </w:r>
    </w:p>
    <w:p w14:paraId="2F7CF016" w14:textId="77777777" w:rsidR="00A16706" w:rsidRPr="001E3908" w:rsidRDefault="00A16706" w:rsidP="00BB6989">
      <w:pPr>
        <w:pStyle w:val="BodyText"/>
        <w:spacing w:after="0" w:line="276" w:lineRule="auto"/>
        <w:rPr>
          <w:sz w:val="24"/>
        </w:rPr>
      </w:pPr>
    </w:p>
    <w:p w14:paraId="6713492B" w14:textId="6A4C11AD" w:rsidR="001E3908" w:rsidRPr="001F4C24" w:rsidRDefault="001E3908" w:rsidP="00BB6989">
      <w:pPr>
        <w:spacing w:after="0"/>
        <w:ind w:firstLine="720"/>
        <w:jc w:val="both"/>
        <w:rPr>
          <w:rFonts w:ascii="Times New Roman" w:eastAsia="Times New Roman" w:hAnsi="Times New Roman"/>
          <w:sz w:val="24"/>
          <w:szCs w:val="24"/>
        </w:rPr>
      </w:pPr>
      <w:r w:rsidRPr="001F4C24">
        <w:rPr>
          <w:rFonts w:ascii="Times New Roman" w:eastAsia="Times New Roman" w:hAnsi="Times New Roman"/>
          <w:sz w:val="24"/>
          <w:szCs w:val="24"/>
        </w:rPr>
        <w:t xml:space="preserve">The above by action of the Commission in Special Administrative Session on the </w:t>
      </w:r>
      <w:r w:rsidR="00CE6812">
        <w:rPr>
          <w:rFonts w:ascii="Times New Roman" w:eastAsia="Times New Roman" w:hAnsi="Times New Roman"/>
          <w:sz w:val="24"/>
          <w:szCs w:val="24"/>
        </w:rPr>
        <w:t>1</w:t>
      </w:r>
      <w:r w:rsidR="00CF05A8">
        <w:rPr>
          <w:rFonts w:ascii="Times New Roman" w:eastAsia="Times New Roman" w:hAnsi="Times New Roman"/>
          <w:sz w:val="24"/>
          <w:szCs w:val="24"/>
        </w:rPr>
        <w:t>9</w:t>
      </w:r>
      <w:r w:rsidRPr="001F4C24">
        <w:rPr>
          <w:rFonts w:ascii="Times New Roman" w:eastAsia="Times New Roman" w:hAnsi="Times New Roman"/>
          <w:sz w:val="24"/>
          <w:szCs w:val="24"/>
          <w:vertAlign w:val="superscript"/>
        </w:rPr>
        <w:t>th</w:t>
      </w:r>
      <w:r w:rsidRPr="001F4C24">
        <w:rPr>
          <w:rFonts w:ascii="Times New Roman" w:eastAsia="Times New Roman" w:hAnsi="Times New Roman"/>
          <w:sz w:val="24"/>
          <w:szCs w:val="24"/>
        </w:rPr>
        <w:t xml:space="preserve"> day of </w:t>
      </w:r>
      <w:r w:rsidR="007D0D59">
        <w:rPr>
          <w:rFonts w:ascii="Times New Roman" w:eastAsia="Times New Roman" w:hAnsi="Times New Roman"/>
          <w:sz w:val="24"/>
          <w:szCs w:val="24"/>
        </w:rPr>
        <w:t>December</w:t>
      </w:r>
      <w:r w:rsidRPr="001F4C24">
        <w:rPr>
          <w:rFonts w:ascii="Times New Roman" w:eastAsia="Times New Roman" w:hAnsi="Times New Roman"/>
          <w:sz w:val="24"/>
          <w:szCs w:val="24"/>
        </w:rPr>
        <w:t xml:space="preserve">, </w:t>
      </w:r>
      <w:r w:rsidR="00B05A8E">
        <w:rPr>
          <w:rFonts w:ascii="Times New Roman" w:eastAsia="Times New Roman" w:hAnsi="Times New Roman"/>
          <w:sz w:val="24"/>
          <w:szCs w:val="24"/>
        </w:rPr>
        <w:t>2019</w:t>
      </w:r>
      <w:r w:rsidRPr="001F4C24">
        <w:rPr>
          <w:rFonts w:ascii="Times New Roman" w:eastAsia="Times New Roman" w:hAnsi="Times New Roman"/>
          <w:sz w:val="24"/>
          <w:szCs w:val="24"/>
        </w:rPr>
        <w:t>.</w:t>
      </w:r>
    </w:p>
    <w:p w14:paraId="69EAD3E8" w14:textId="77777777" w:rsidR="001E3908" w:rsidRPr="001F4C24" w:rsidRDefault="001E3908" w:rsidP="00BB6989">
      <w:pPr>
        <w:spacing w:after="0"/>
        <w:jc w:val="both"/>
        <w:rPr>
          <w:rFonts w:ascii="Times New Roman" w:eastAsia="Times New Roman" w:hAnsi="Times New Roman"/>
          <w:sz w:val="24"/>
          <w:szCs w:val="24"/>
        </w:rPr>
      </w:pPr>
    </w:p>
    <w:p w14:paraId="70D04A96" w14:textId="77777777" w:rsidR="001E3908" w:rsidRPr="001F4C24" w:rsidRDefault="001E3908" w:rsidP="001E3908">
      <w:pPr>
        <w:tabs>
          <w:tab w:val="left" w:pos="-720"/>
        </w:tabs>
        <w:suppressAutoHyphens/>
        <w:spacing w:after="0" w:line="240" w:lineRule="auto"/>
        <w:jc w:val="both"/>
        <w:rPr>
          <w:rFonts w:ascii="Times New Roman" w:eastAsia="Times New Roman" w:hAnsi="Times New Roman"/>
          <w:b/>
          <w:spacing w:val="-3"/>
          <w:sz w:val="24"/>
          <w:szCs w:val="24"/>
        </w:rPr>
      </w:pPr>
    </w:p>
    <w:p w14:paraId="01CA5E7F" w14:textId="77777777" w:rsidR="001E3908" w:rsidRPr="001F4C24" w:rsidRDefault="001E3908" w:rsidP="001E3908">
      <w:pPr>
        <w:tabs>
          <w:tab w:val="left" w:pos="-720"/>
        </w:tabs>
        <w:suppressAutoHyphens/>
        <w:spacing w:after="0" w:line="240" w:lineRule="auto"/>
        <w:jc w:val="both"/>
        <w:rPr>
          <w:rFonts w:ascii="Times New Roman" w:eastAsia="Times New Roman" w:hAnsi="Times New Roman"/>
          <w:spacing w:val="-3"/>
          <w:sz w:val="24"/>
          <w:szCs w:val="24"/>
        </w:rPr>
      </w:pPr>
    </w:p>
    <w:p w14:paraId="4B97E74E" w14:textId="77777777" w:rsidR="001E3908" w:rsidRPr="001F4C24" w:rsidRDefault="001E3908" w:rsidP="001E3908">
      <w:pPr>
        <w:tabs>
          <w:tab w:val="left" w:pos="-720"/>
        </w:tabs>
        <w:suppressAutoHyphens/>
        <w:spacing w:after="0" w:line="240" w:lineRule="auto"/>
        <w:jc w:val="both"/>
        <w:rPr>
          <w:rFonts w:ascii="Times New Roman" w:eastAsia="Times New Roman" w:hAnsi="Times New Roman"/>
          <w:spacing w:val="-3"/>
          <w:sz w:val="24"/>
          <w:szCs w:val="24"/>
          <w:u w:val="single"/>
        </w:rPr>
      </w:pPr>
      <w:r w:rsidRPr="001F4C24">
        <w:rPr>
          <w:rFonts w:ascii="Times New Roman" w:eastAsia="Times New Roman" w:hAnsi="Times New Roman"/>
          <w:spacing w:val="-3"/>
          <w:sz w:val="24"/>
          <w:szCs w:val="24"/>
          <w:u w:val="single"/>
        </w:rPr>
        <w:tab/>
      </w:r>
      <w:r w:rsidRPr="001F4C24">
        <w:rPr>
          <w:rFonts w:ascii="Times New Roman" w:eastAsia="Times New Roman" w:hAnsi="Times New Roman"/>
          <w:spacing w:val="-3"/>
          <w:sz w:val="24"/>
          <w:szCs w:val="24"/>
          <w:u w:val="single"/>
        </w:rPr>
        <w:tab/>
      </w:r>
      <w:r w:rsidRPr="001F4C24">
        <w:rPr>
          <w:rFonts w:ascii="Times New Roman" w:eastAsia="Times New Roman" w:hAnsi="Times New Roman"/>
          <w:spacing w:val="-3"/>
          <w:sz w:val="24"/>
          <w:szCs w:val="24"/>
          <w:u w:val="single"/>
        </w:rPr>
        <w:tab/>
      </w:r>
      <w:r w:rsidRPr="001F4C24">
        <w:rPr>
          <w:rFonts w:ascii="Times New Roman" w:eastAsia="Times New Roman" w:hAnsi="Times New Roman"/>
          <w:spacing w:val="-3"/>
          <w:sz w:val="24"/>
          <w:szCs w:val="24"/>
          <w:u w:val="single"/>
        </w:rPr>
        <w:tab/>
      </w:r>
      <w:r w:rsidRPr="001F4C24">
        <w:rPr>
          <w:rFonts w:ascii="Times New Roman" w:eastAsia="Times New Roman" w:hAnsi="Times New Roman"/>
          <w:spacing w:val="-3"/>
          <w:sz w:val="24"/>
          <w:szCs w:val="24"/>
          <w:u w:val="single"/>
        </w:rPr>
        <w:tab/>
      </w:r>
      <w:r w:rsidRPr="001F4C24">
        <w:rPr>
          <w:rFonts w:ascii="Times New Roman" w:eastAsia="Times New Roman" w:hAnsi="Times New Roman"/>
          <w:spacing w:val="-3"/>
          <w:sz w:val="24"/>
          <w:szCs w:val="24"/>
        </w:rPr>
        <w:tab/>
      </w:r>
      <w:r w:rsidRPr="001F4C24">
        <w:rPr>
          <w:rFonts w:ascii="Times New Roman" w:eastAsia="Times New Roman" w:hAnsi="Times New Roman"/>
          <w:spacing w:val="-3"/>
          <w:sz w:val="24"/>
          <w:szCs w:val="24"/>
        </w:rPr>
        <w:tab/>
      </w:r>
      <w:r w:rsidRPr="001F4C24">
        <w:rPr>
          <w:rFonts w:ascii="Times New Roman" w:eastAsia="Times New Roman" w:hAnsi="Times New Roman"/>
          <w:spacing w:val="-3"/>
          <w:sz w:val="24"/>
          <w:szCs w:val="24"/>
          <w:u w:val="single"/>
        </w:rPr>
        <w:tab/>
      </w:r>
      <w:r w:rsidRPr="001F4C24">
        <w:rPr>
          <w:rFonts w:ascii="Times New Roman" w:eastAsia="Times New Roman" w:hAnsi="Times New Roman"/>
          <w:spacing w:val="-3"/>
          <w:sz w:val="24"/>
          <w:szCs w:val="24"/>
          <w:u w:val="single"/>
        </w:rPr>
        <w:tab/>
      </w:r>
      <w:r w:rsidRPr="001F4C24">
        <w:rPr>
          <w:rFonts w:ascii="Times New Roman" w:eastAsia="Times New Roman" w:hAnsi="Times New Roman"/>
          <w:spacing w:val="-3"/>
          <w:sz w:val="24"/>
          <w:szCs w:val="24"/>
          <w:u w:val="single"/>
        </w:rPr>
        <w:tab/>
      </w:r>
      <w:r w:rsidRPr="001F4C24">
        <w:rPr>
          <w:rFonts w:ascii="Times New Roman" w:eastAsia="Times New Roman" w:hAnsi="Times New Roman"/>
          <w:spacing w:val="-3"/>
          <w:sz w:val="24"/>
          <w:szCs w:val="24"/>
          <w:u w:val="single"/>
        </w:rPr>
        <w:tab/>
      </w:r>
      <w:r w:rsidRPr="001F4C24">
        <w:rPr>
          <w:rFonts w:ascii="Times New Roman" w:eastAsia="Times New Roman" w:hAnsi="Times New Roman"/>
          <w:spacing w:val="-3"/>
          <w:sz w:val="24"/>
          <w:szCs w:val="24"/>
          <w:u w:val="single"/>
        </w:rPr>
        <w:tab/>
      </w:r>
      <w:r w:rsidRPr="001F4C24">
        <w:rPr>
          <w:rFonts w:ascii="Times New Roman" w:eastAsia="Times New Roman" w:hAnsi="Times New Roman"/>
          <w:spacing w:val="-3"/>
          <w:sz w:val="24"/>
          <w:szCs w:val="24"/>
          <w:u w:val="single"/>
        </w:rPr>
        <w:tab/>
      </w:r>
    </w:p>
    <w:p w14:paraId="1D918BE2" w14:textId="34B3B657" w:rsidR="001E3908" w:rsidRPr="001F4C24" w:rsidRDefault="001E3908" w:rsidP="001E3908">
      <w:pPr>
        <w:tabs>
          <w:tab w:val="left" w:pos="-720"/>
        </w:tabs>
        <w:suppressAutoHyphens/>
        <w:spacing w:after="0" w:line="240" w:lineRule="auto"/>
        <w:jc w:val="both"/>
        <w:rPr>
          <w:rFonts w:ascii="Times New Roman" w:eastAsia="Times New Roman" w:hAnsi="Times New Roman"/>
          <w:spacing w:val="-3"/>
          <w:sz w:val="24"/>
          <w:szCs w:val="24"/>
        </w:rPr>
      </w:pPr>
      <w:r w:rsidRPr="001F4C24">
        <w:rPr>
          <w:rFonts w:ascii="Times New Roman" w:eastAsia="Times New Roman" w:hAnsi="Times New Roman"/>
          <w:spacing w:val="-3"/>
          <w:sz w:val="24"/>
          <w:szCs w:val="24"/>
        </w:rPr>
        <w:t>Reece McAlister</w:t>
      </w:r>
      <w:r w:rsidRPr="001F4C24">
        <w:rPr>
          <w:rFonts w:ascii="Times New Roman" w:eastAsia="Times New Roman" w:hAnsi="Times New Roman"/>
          <w:spacing w:val="-3"/>
          <w:sz w:val="24"/>
          <w:szCs w:val="24"/>
        </w:rPr>
        <w:tab/>
      </w:r>
      <w:r w:rsidRPr="001F4C24">
        <w:rPr>
          <w:rFonts w:ascii="Times New Roman" w:eastAsia="Times New Roman" w:hAnsi="Times New Roman"/>
          <w:spacing w:val="-3"/>
          <w:sz w:val="24"/>
          <w:szCs w:val="24"/>
        </w:rPr>
        <w:tab/>
      </w:r>
      <w:r w:rsidRPr="001F4C24">
        <w:rPr>
          <w:rFonts w:ascii="Times New Roman" w:eastAsia="Times New Roman" w:hAnsi="Times New Roman"/>
          <w:spacing w:val="-3"/>
          <w:sz w:val="24"/>
          <w:szCs w:val="24"/>
        </w:rPr>
        <w:tab/>
      </w:r>
      <w:r w:rsidRPr="001F4C24">
        <w:rPr>
          <w:rFonts w:ascii="Times New Roman" w:eastAsia="Times New Roman" w:hAnsi="Times New Roman"/>
          <w:spacing w:val="-3"/>
          <w:sz w:val="24"/>
          <w:szCs w:val="24"/>
        </w:rPr>
        <w:tab/>
      </w:r>
      <w:r w:rsidRPr="001F4C24">
        <w:rPr>
          <w:rFonts w:ascii="Times New Roman" w:eastAsia="Times New Roman" w:hAnsi="Times New Roman"/>
          <w:spacing w:val="-3"/>
          <w:sz w:val="24"/>
          <w:szCs w:val="24"/>
        </w:rPr>
        <w:tab/>
        <w:t xml:space="preserve">Lauren </w:t>
      </w:r>
      <w:r w:rsidR="00DD5456">
        <w:rPr>
          <w:rFonts w:ascii="Times New Roman" w:eastAsia="Times New Roman" w:hAnsi="Times New Roman"/>
          <w:spacing w:val="-3"/>
          <w:sz w:val="24"/>
          <w:szCs w:val="24"/>
        </w:rPr>
        <w:t xml:space="preserve">“Bubba” </w:t>
      </w:r>
      <w:r w:rsidRPr="001F4C24">
        <w:rPr>
          <w:rFonts w:ascii="Times New Roman" w:eastAsia="Times New Roman" w:hAnsi="Times New Roman"/>
          <w:spacing w:val="-3"/>
          <w:sz w:val="24"/>
          <w:szCs w:val="24"/>
        </w:rPr>
        <w:t>McDonald</w:t>
      </w:r>
    </w:p>
    <w:p w14:paraId="73B020D5" w14:textId="77777777" w:rsidR="001F4C24" w:rsidRDefault="001E3908" w:rsidP="001E3908">
      <w:pPr>
        <w:tabs>
          <w:tab w:val="left" w:pos="-720"/>
        </w:tabs>
        <w:suppressAutoHyphens/>
        <w:spacing w:after="0" w:line="240" w:lineRule="auto"/>
        <w:jc w:val="both"/>
        <w:rPr>
          <w:rFonts w:ascii="Times New Roman" w:eastAsia="Times New Roman" w:hAnsi="Times New Roman"/>
          <w:spacing w:val="-3"/>
          <w:sz w:val="24"/>
          <w:szCs w:val="24"/>
        </w:rPr>
      </w:pPr>
      <w:r w:rsidRPr="001F4C24">
        <w:rPr>
          <w:rFonts w:ascii="Times New Roman" w:eastAsia="Times New Roman" w:hAnsi="Times New Roman"/>
          <w:spacing w:val="-3"/>
          <w:sz w:val="24"/>
          <w:szCs w:val="24"/>
        </w:rPr>
        <w:t>Executive Secretary</w:t>
      </w:r>
      <w:r w:rsidRPr="001F4C24">
        <w:rPr>
          <w:rFonts w:ascii="Times New Roman" w:eastAsia="Times New Roman" w:hAnsi="Times New Roman"/>
          <w:spacing w:val="-3"/>
          <w:sz w:val="24"/>
          <w:szCs w:val="24"/>
        </w:rPr>
        <w:tab/>
      </w:r>
      <w:r w:rsidRPr="001F4C24">
        <w:rPr>
          <w:rFonts w:ascii="Times New Roman" w:eastAsia="Times New Roman" w:hAnsi="Times New Roman"/>
          <w:spacing w:val="-3"/>
          <w:sz w:val="24"/>
          <w:szCs w:val="24"/>
        </w:rPr>
        <w:tab/>
      </w:r>
      <w:r w:rsidRPr="001F4C24">
        <w:rPr>
          <w:rFonts w:ascii="Times New Roman" w:eastAsia="Times New Roman" w:hAnsi="Times New Roman"/>
          <w:spacing w:val="-3"/>
          <w:sz w:val="24"/>
          <w:szCs w:val="24"/>
        </w:rPr>
        <w:tab/>
      </w:r>
      <w:r w:rsidRPr="001F4C24">
        <w:rPr>
          <w:rFonts w:ascii="Times New Roman" w:eastAsia="Times New Roman" w:hAnsi="Times New Roman"/>
          <w:spacing w:val="-3"/>
          <w:sz w:val="24"/>
          <w:szCs w:val="24"/>
        </w:rPr>
        <w:tab/>
      </w:r>
      <w:r w:rsidRPr="001F4C24">
        <w:rPr>
          <w:rFonts w:ascii="Times New Roman" w:eastAsia="Times New Roman" w:hAnsi="Times New Roman"/>
          <w:spacing w:val="-3"/>
          <w:sz w:val="24"/>
          <w:szCs w:val="24"/>
        </w:rPr>
        <w:tab/>
        <w:t>Chairman</w:t>
      </w:r>
    </w:p>
    <w:p w14:paraId="46E89360" w14:textId="77777777" w:rsidR="001F4C24" w:rsidRDefault="001F4C24" w:rsidP="001E3908">
      <w:pPr>
        <w:tabs>
          <w:tab w:val="left" w:pos="-720"/>
        </w:tabs>
        <w:suppressAutoHyphens/>
        <w:spacing w:after="0" w:line="240" w:lineRule="auto"/>
        <w:jc w:val="both"/>
        <w:rPr>
          <w:rFonts w:ascii="Times New Roman" w:eastAsia="Times New Roman" w:hAnsi="Times New Roman"/>
          <w:spacing w:val="-3"/>
          <w:sz w:val="24"/>
          <w:szCs w:val="24"/>
        </w:rPr>
      </w:pPr>
    </w:p>
    <w:p w14:paraId="636A976D" w14:textId="77777777" w:rsidR="001F4C24" w:rsidRDefault="001F4C24" w:rsidP="001E3908">
      <w:pPr>
        <w:tabs>
          <w:tab w:val="left" w:pos="-720"/>
        </w:tabs>
        <w:suppressAutoHyphens/>
        <w:spacing w:after="0" w:line="240" w:lineRule="auto"/>
        <w:jc w:val="both"/>
        <w:rPr>
          <w:rFonts w:ascii="Times New Roman" w:eastAsia="Times New Roman" w:hAnsi="Times New Roman"/>
          <w:spacing w:val="-3"/>
          <w:sz w:val="24"/>
          <w:szCs w:val="24"/>
        </w:rPr>
      </w:pPr>
    </w:p>
    <w:p w14:paraId="0B400A5E" w14:textId="77777777" w:rsidR="00396BC5" w:rsidRDefault="00396BC5" w:rsidP="001E3908">
      <w:pPr>
        <w:tabs>
          <w:tab w:val="left" w:pos="-720"/>
        </w:tabs>
        <w:suppressAutoHyphens/>
        <w:spacing w:after="0" w:line="240" w:lineRule="auto"/>
        <w:jc w:val="both"/>
        <w:rPr>
          <w:rFonts w:ascii="Times New Roman" w:eastAsia="Times New Roman" w:hAnsi="Times New Roman"/>
          <w:spacing w:val="-3"/>
          <w:sz w:val="24"/>
          <w:szCs w:val="24"/>
        </w:rPr>
      </w:pPr>
    </w:p>
    <w:p w14:paraId="32DA5C7D" w14:textId="77777777" w:rsidR="001F4C24" w:rsidRDefault="001F4C24" w:rsidP="001E3908">
      <w:pPr>
        <w:tabs>
          <w:tab w:val="left" w:pos="-720"/>
        </w:tabs>
        <w:suppressAutoHyphens/>
        <w:spacing w:after="0" w:line="240" w:lineRule="auto"/>
        <w:jc w:val="both"/>
        <w:rPr>
          <w:rFonts w:ascii="Times New Roman" w:eastAsia="Times New Roman" w:hAnsi="Times New Roman"/>
          <w:spacing w:val="-3"/>
          <w:sz w:val="24"/>
          <w:szCs w:val="24"/>
        </w:rPr>
      </w:pPr>
    </w:p>
    <w:p w14:paraId="7E1B04EB" w14:textId="77777777" w:rsidR="001E3908" w:rsidRPr="001F4C24" w:rsidRDefault="001E3908" w:rsidP="001E3908">
      <w:pPr>
        <w:tabs>
          <w:tab w:val="left" w:pos="-720"/>
        </w:tabs>
        <w:suppressAutoHyphens/>
        <w:spacing w:after="0" w:line="240" w:lineRule="auto"/>
        <w:jc w:val="both"/>
        <w:rPr>
          <w:rFonts w:ascii="Times New Roman" w:eastAsia="Times New Roman" w:hAnsi="Times New Roman"/>
          <w:spacing w:val="-3"/>
          <w:sz w:val="24"/>
          <w:szCs w:val="24"/>
        </w:rPr>
      </w:pPr>
      <w:r w:rsidRPr="001E3908">
        <w:rPr>
          <w:rFonts w:ascii="Times New Roman" w:eastAsia="Times New Roman" w:hAnsi="Times New Roman"/>
          <w:color w:val="000000"/>
          <w:spacing w:val="-3"/>
          <w:sz w:val="24"/>
          <w:szCs w:val="24"/>
          <w:u w:val="single"/>
        </w:rPr>
        <w:tab/>
      </w:r>
      <w:r w:rsidRPr="001E3908">
        <w:rPr>
          <w:rFonts w:ascii="Times New Roman" w:eastAsia="Times New Roman" w:hAnsi="Times New Roman"/>
          <w:color w:val="000000"/>
          <w:spacing w:val="-3"/>
          <w:sz w:val="24"/>
          <w:szCs w:val="24"/>
          <w:u w:val="single"/>
        </w:rPr>
        <w:tab/>
      </w:r>
      <w:r w:rsidRPr="001E3908">
        <w:rPr>
          <w:rFonts w:ascii="Times New Roman" w:eastAsia="Times New Roman" w:hAnsi="Times New Roman"/>
          <w:color w:val="000000"/>
          <w:spacing w:val="-3"/>
          <w:sz w:val="24"/>
          <w:szCs w:val="24"/>
          <w:u w:val="single"/>
        </w:rPr>
        <w:tab/>
      </w:r>
      <w:r w:rsidRPr="001E3908">
        <w:rPr>
          <w:rFonts w:ascii="Times New Roman" w:eastAsia="Times New Roman" w:hAnsi="Times New Roman"/>
          <w:color w:val="000000"/>
          <w:spacing w:val="-3"/>
          <w:sz w:val="24"/>
          <w:szCs w:val="24"/>
          <w:u w:val="single"/>
        </w:rPr>
        <w:tab/>
      </w:r>
      <w:r w:rsidRPr="001E3908">
        <w:rPr>
          <w:rFonts w:ascii="Times New Roman" w:eastAsia="Times New Roman" w:hAnsi="Times New Roman"/>
          <w:color w:val="000000"/>
          <w:spacing w:val="-3"/>
          <w:sz w:val="24"/>
          <w:szCs w:val="24"/>
          <w:u w:val="single"/>
        </w:rPr>
        <w:tab/>
      </w:r>
      <w:r w:rsidRPr="001E3908">
        <w:rPr>
          <w:rFonts w:ascii="Times New Roman" w:eastAsia="Times New Roman" w:hAnsi="Times New Roman"/>
          <w:color w:val="000000"/>
          <w:spacing w:val="-3"/>
          <w:sz w:val="24"/>
          <w:szCs w:val="24"/>
        </w:rPr>
        <w:tab/>
      </w:r>
      <w:r w:rsidRPr="001E3908">
        <w:rPr>
          <w:rFonts w:ascii="Times New Roman" w:eastAsia="Times New Roman" w:hAnsi="Times New Roman"/>
          <w:color w:val="000000"/>
          <w:spacing w:val="-3"/>
          <w:sz w:val="24"/>
          <w:szCs w:val="24"/>
        </w:rPr>
        <w:tab/>
      </w:r>
      <w:r w:rsidRPr="001E3908">
        <w:rPr>
          <w:rFonts w:ascii="Times New Roman" w:eastAsia="Times New Roman" w:hAnsi="Times New Roman"/>
          <w:color w:val="000000"/>
          <w:spacing w:val="-3"/>
          <w:sz w:val="24"/>
          <w:szCs w:val="24"/>
          <w:u w:val="single"/>
        </w:rPr>
        <w:tab/>
      </w:r>
      <w:r w:rsidRPr="001E3908">
        <w:rPr>
          <w:rFonts w:ascii="Times New Roman" w:eastAsia="Times New Roman" w:hAnsi="Times New Roman"/>
          <w:color w:val="000000"/>
          <w:spacing w:val="-3"/>
          <w:sz w:val="24"/>
          <w:szCs w:val="24"/>
          <w:u w:val="single"/>
        </w:rPr>
        <w:tab/>
      </w:r>
      <w:r w:rsidRPr="001E3908">
        <w:rPr>
          <w:rFonts w:ascii="Times New Roman" w:eastAsia="Times New Roman" w:hAnsi="Times New Roman"/>
          <w:color w:val="000000"/>
          <w:spacing w:val="-3"/>
          <w:sz w:val="24"/>
          <w:szCs w:val="24"/>
          <w:u w:val="single"/>
        </w:rPr>
        <w:tab/>
      </w:r>
      <w:r w:rsidRPr="001E3908">
        <w:rPr>
          <w:rFonts w:ascii="Times New Roman" w:eastAsia="Times New Roman" w:hAnsi="Times New Roman"/>
          <w:color w:val="000000"/>
          <w:spacing w:val="-3"/>
          <w:sz w:val="24"/>
          <w:szCs w:val="24"/>
          <w:u w:val="single"/>
        </w:rPr>
        <w:tab/>
      </w:r>
      <w:r w:rsidRPr="001E3908">
        <w:rPr>
          <w:rFonts w:ascii="Times New Roman" w:eastAsia="Times New Roman" w:hAnsi="Times New Roman"/>
          <w:color w:val="000000"/>
          <w:spacing w:val="-3"/>
          <w:sz w:val="24"/>
          <w:szCs w:val="24"/>
          <w:u w:val="single"/>
        </w:rPr>
        <w:tab/>
      </w:r>
      <w:r w:rsidRPr="001E3908">
        <w:rPr>
          <w:rFonts w:ascii="Times New Roman" w:eastAsia="Times New Roman" w:hAnsi="Times New Roman"/>
          <w:color w:val="000000"/>
          <w:spacing w:val="-3"/>
          <w:sz w:val="24"/>
          <w:szCs w:val="24"/>
          <w:u w:val="single"/>
        </w:rPr>
        <w:tab/>
      </w:r>
    </w:p>
    <w:p w14:paraId="6D989F95" w14:textId="77777777" w:rsidR="001E3908" w:rsidRPr="001E3908" w:rsidRDefault="001E3908" w:rsidP="001E3908">
      <w:pPr>
        <w:tabs>
          <w:tab w:val="left" w:pos="-720"/>
        </w:tabs>
        <w:suppressAutoHyphens/>
        <w:spacing w:after="0" w:line="240" w:lineRule="auto"/>
        <w:jc w:val="both"/>
        <w:rPr>
          <w:rFonts w:ascii="Times New Roman" w:eastAsia="Times New Roman" w:hAnsi="Times New Roman"/>
          <w:color w:val="000000"/>
          <w:sz w:val="24"/>
          <w:szCs w:val="24"/>
        </w:rPr>
      </w:pPr>
      <w:r w:rsidRPr="001E3908">
        <w:rPr>
          <w:rFonts w:ascii="Times New Roman" w:eastAsia="Times New Roman" w:hAnsi="Times New Roman"/>
          <w:sz w:val="24"/>
          <w:szCs w:val="24"/>
        </w:rPr>
        <w:t>Date</w:t>
      </w:r>
      <w:r w:rsidRPr="001E3908">
        <w:rPr>
          <w:rFonts w:ascii="Times New Roman" w:eastAsia="Times New Roman" w:hAnsi="Times New Roman"/>
          <w:sz w:val="24"/>
          <w:szCs w:val="24"/>
        </w:rPr>
        <w:tab/>
      </w:r>
      <w:r w:rsidRPr="001E3908">
        <w:rPr>
          <w:rFonts w:ascii="Times New Roman" w:eastAsia="Times New Roman" w:hAnsi="Times New Roman"/>
          <w:sz w:val="24"/>
          <w:szCs w:val="24"/>
        </w:rPr>
        <w:tab/>
      </w:r>
      <w:r w:rsidRPr="001E3908">
        <w:rPr>
          <w:rFonts w:ascii="Times New Roman" w:eastAsia="Times New Roman" w:hAnsi="Times New Roman"/>
          <w:sz w:val="24"/>
          <w:szCs w:val="24"/>
        </w:rPr>
        <w:tab/>
      </w:r>
      <w:r w:rsidRPr="001E3908">
        <w:rPr>
          <w:rFonts w:ascii="Times New Roman" w:eastAsia="Times New Roman" w:hAnsi="Times New Roman"/>
          <w:sz w:val="24"/>
          <w:szCs w:val="24"/>
        </w:rPr>
        <w:tab/>
      </w:r>
      <w:r w:rsidRPr="001E3908">
        <w:rPr>
          <w:rFonts w:ascii="Times New Roman" w:eastAsia="Times New Roman" w:hAnsi="Times New Roman"/>
          <w:sz w:val="24"/>
          <w:szCs w:val="24"/>
        </w:rPr>
        <w:tab/>
      </w:r>
      <w:r w:rsidRPr="001E3908">
        <w:rPr>
          <w:rFonts w:ascii="Times New Roman" w:eastAsia="Times New Roman" w:hAnsi="Times New Roman"/>
          <w:sz w:val="24"/>
          <w:szCs w:val="24"/>
        </w:rPr>
        <w:tab/>
      </w:r>
      <w:r w:rsidRPr="001E3908">
        <w:rPr>
          <w:rFonts w:ascii="Times New Roman" w:eastAsia="Times New Roman" w:hAnsi="Times New Roman"/>
          <w:sz w:val="24"/>
          <w:szCs w:val="24"/>
        </w:rPr>
        <w:tab/>
      </w:r>
      <w:proofErr w:type="spellStart"/>
      <w:r w:rsidRPr="001E3908">
        <w:rPr>
          <w:rFonts w:ascii="Times New Roman" w:eastAsia="Times New Roman" w:hAnsi="Times New Roman"/>
          <w:sz w:val="24"/>
          <w:szCs w:val="24"/>
        </w:rPr>
        <w:t>Date</w:t>
      </w:r>
      <w:proofErr w:type="spellEnd"/>
    </w:p>
    <w:p w14:paraId="132F0CD8" w14:textId="77777777" w:rsidR="00D55B9F" w:rsidRPr="008F4288" w:rsidRDefault="00D55B9F">
      <w:pPr>
        <w:rPr>
          <w:rFonts w:ascii="Times New Roman" w:hAnsi="Times New Roman"/>
          <w:sz w:val="24"/>
          <w:szCs w:val="24"/>
        </w:rPr>
      </w:pPr>
    </w:p>
    <w:sectPr w:rsidR="00D55B9F" w:rsidRPr="008F42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2B08E" w14:textId="77777777" w:rsidR="00837296" w:rsidRDefault="00837296" w:rsidP="009323B5">
      <w:pPr>
        <w:spacing w:after="0" w:line="240" w:lineRule="auto"/>
      </w:pPr>
      <w:r>
        <w:separator/>
      </w:r>
    </w:p>
  </w:endnote>
  <w:endnote w:type="continuationSeparator" w:id="0">
    <w:p w14:paraId="0786D9F7" w14:textId="77777777" w:rsidR="00837296" w:rsidRDefault="00837296" w:rsidP="0093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8754" w14:textId="77777777" w:rsidR="009323B5" w:rsidRPr="00944BDC" w:rsidRDefault="009323B5" w:rsidP="00912D09">
    <w:pPr>
      <w:pStyle w:val="Footer"/>
      <w:spacing w:after="0" w:line="240" w:lineRule="auto"/>
      <w:jc w:val="center"/>
      <w:rPr>
        <w:rFonts w:ascii="Times New Roman" w:hAnsi="Times New Roman"/>
      </w:rPr>
    </w:pPr>
    <w:r w:rsidRPr="00944BDC">
      <w:rPr>
        <w:rFonts w:ascii="Times New Roman" w:hAnsi="Times New Roman"/>
      </w:rPr>
      <w:t>Short Order</w:t>
    </w:r>
  </w:p>
  <w:p w14:paraId="3A6D6B78" w14:textId="77777777" w:rsidR="009323B5" w:rsidRPr="00944BDC" w:rsidRDefault="00036083" w:rsidP="00912D09">
    <w:pPr>
      <w:pStyle w:val="Footer"/>
      <w:spacing w:after="0" w:line="240" w:lineRule="auto"/>
      <w:jc w:val="center"/>
      <w:rPr>
        <w:rFonts w:ascii="Times New Roman" w:hAnsi="Times New Roman"/>
      </w:rPr>
    </w:pPr>
    <w:r w:rsidRPr="00944BDC">
      <w:rPr>
        <w:rFonts w:ascii="Times New Roman" w:hAnsi="Times New Roman"/>
      </w:rPr>
      <w:t>D</w:t>
    </w:r>
    <w:r w:rsidR="009323B5" w:rsidRPr="00944BDC">
      <w:rPr>
        <w:rFonts w:ascii="Times New Roman" w:hAnsi="Times New Roman"/>
      </w:rPr>
      <w:t xml:space="preserve">ocket No. </w:t>
    </w:r>
    <w:r w:rsidR="00944BDC" w:rsidRPr="00944BDC">
      <w:rPr>
        <w:rFonts w:ascii="Times New Roman" w:hAnsi="Times New Roman"/>
      </w:rPr>
      <w:t>42315</w:t>
    </w:r>
  </w:p>
  <w:p w14:paraId="12C0BF27" w14:textId="6A050FE1" w:rsidR="009323B5" w:rsidRPr="00944BDC" w:rsidRDefault="009323B5" w:rsidP="00912D09">
    <w:pPr>
      <w:pStyle w:val="Footer"/>
      <w:spacing w:after="0" w:line="240" w:lineRule="auto"/>
      <w:jc w:val="center"/>
      <w:rPr>
        <w:rFonts w:ascii="Times New Roman" w:hAnsi="Times New Roman"/>
      </w:rPr>
    </w:pPr>
    <w:r w:rsidRPr="00944BDC">
      <w:rPr>
        <w:rFonts w:ascii="Times New Roman" w:hAnsi="Times New Roman"/>
      </w:rPr>
      <w:t xml:space="preserve">Page </w:t>
    </w:r>
    <w:r w:rsidR="001B7EDF" w:rsidRPr="00944BDC">
      <w:rPr>
        <w:rFonts w:ascii="Times New Roman" w:hAnsi="Times New Roman"/>
      </w:rPr>
      <w:fldChar w:fldCharType="begin"/>
    </w:r>
    <w:r w:rsidR="001B7EDF" w:rsidRPr="00944BDC">
      <w:rPr>
        <w:rFonts w:ascii="Times New Roman" w:hAnsi="Times New Roman"/>
      </w:rPr>
      <w:instrText xml:space="preserve"> PAGE   \* MERGEFORMAT </w:instrText>
    </w:r>
    <w:r w:rsidR="001B7EDF" w:rsidRPr="00944BDC">
      <w:rPr>
        <w:rFonts w:ascii="Times New Roman" w:hAnsi="Times New Roman"/>
      </w:rPr>
      <w:fldChar w:fldCharType="separate"/>
    </w:r>
    <w:r w:rsidR="003A72BA">
      <w:rPr>
        <w:rFonts w:ascii="Times New Roman" w:hAnsi="Times New Roman"/>
        <w:noProof/>
      </w:rPr>
      <w:t>9</w:t>
    </w:r>
    <w:r w:rsidR="001B7EDF" w:rsidRPr="00944BDC">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0CD3C" w14:textId="77777777" w:rsidR="00837296" w:rsidRDefault="00837296" w:rsidP="009323B5">
      <w:pPr>
        <w:spacing w:after="0" w:line="240" w:lineRule="auto"/>
      </w:pPr>
      <w:r>
        <w:separator/>
      </w:r>
    </w:p>
  </w:footnote>
  <w:footnote w:type="continuationSeparator" w:id="0">
    <w:p w14:paraId="6F8C1D1C" w14:textId="77777777" w:rsidR="00837296" w:rsidRDefault="00837296" w:rsidP="00932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35952"/>
    <w:multiLevelType w:val="hybridMultilevel"/>
    <w:tmpl w:val="E53CEA2A"/>
    <w:lvl w:ilvl="0" w:tplc="10DC0F30">
      <w:start w:val="1"/>
      <w:numFmt w:val="bullet"/>
      <w:lvlText w:val=""/>
      <w:lvlJc w:val="left"/>
      <w:pPr>
        <w:tabs>
          <w:tab w:val="num" w:pos="720"/>
        </w:tabs>
        <w:ind w:left="720" w:hanging="360"/>
      </w:pPr>
      <w:rPr>
        <w:rFonts w:ascii="Symbol" w:hAnsi="Symbol" w:hint="default"/>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0A4B3D"/>
    <w:multiLevelType w:val="multilevel"/>
    <w:tmpl w:val="7AE08A8C"/>
    <w:name w:val="zzmpOutline||Outline|2|3|1|1|0|1||1|0|1||1|0|1||1|0|1||1|0|0||1|0|0||1|0|0||1|0|0||1|0|0||"/>
    <w:lvl w:ilvl="0">
      <w:start w:val="1"/>
      <w:numFmt w:val="upperRoman"/>
      <w:pStyle w:val="OutlineL1"/>
      <w:lvlText w:val="%1."/>
      <w:lvlJc w:val="left"/>
      <w:pPr>
        <w:tabs>
          <w:tab w:val="num" w:pos="720"/>
        </w:tabs>
        <w:ind w:left="0" w:firstLine="0"/>
      </w:pPr>
      <w:rPr>
        <w:rFonts w:ascii="Times New Roman" w:eastAsia="Times New Roman" w:hAnsi="Times New Roman" w:cs="Times New Roman"/>
        <w:b/>
        <w:i w:val="0"/>
        <w:caps/>
        <w:smallCaps w:val="0"/>
        <w:strike w:val="0"/>
        <w:dstrike w:val="0"/>
        <w:color w:val="auto"/>
        <w:sz w:val="24"/>
        <w:u w:val="none"/>
        <w:effect w:val="none"/>
      </w:rPr>
    </w:lvl>
    <w:lvl w:ilvl="1">
      <w:start w:val="1"/>
      <w:numFmt w:val="upperLetter"/>
      <w:pStyle w:val="OutlineL2"/>
      <w:lvlText w:val="%2."/>
      <w:lvlJc w:val="left"/>
      <w:pPr>
        <w:tabs>
          <w:tab w:val="num" w:pos="1440"/>
        </w:tabs>
        <w:ind w:left="0" w:firstLine="720"/>
      </w:pPr>
      <w:rPr>
        <w:rFonts w:ascii="Times New Roman" w:eastAsia="Times New Roman" w:hAnsi="Times New Roman" w:cs="Times New Roman"/>
        <w:b/>
        <w:i w:val="0"/>
        <w:caps w:val="0"/>
        <w:smallCaps w:val="0"/>
        <w:strike w:val="0"/>
        <w:dstrike w:val="0"/>
        <w:color w:val="auto"/>
        <w:sz w:val="24"/>
        <w:u w:val="none"/>
        <w:effect w:val="none"/>
      </w:rPr>
    </w:lvl>
    <w:lvl w:ilvl="2">
      <w:start w:val="1"/>
      <w:numFmt w:val="decimal"/>
      <w:pStyle w:val="OutlineL3"/>
      <w:lvlText w:val="%3."/>
      <w:lvlJc w:val="left"/>
      <w:pPr>
        <w:tabs>
          <w:tab w:val="num" w:pos="2160"/>
        </w:tabs>
        <w:ind w:left="0" w:firstLine="1440"/>
      </w:pPr>
      <w:rPr>
        <w:rFonts w:ascii="Times New Roman" w:eastAsia="Times New Roman" w:hAnsi="Times New Roman" w:cs="Times New Roman"/>
        <w:b/>
        <w:i w:val="0"/>
        <w:caps w:val="0"/>
        <w:smallCaps w:val="0"/>
        <w:strike w:val="0"/>
        <w:dstrike w:val="0"/>
        <w:color w:val="auto"/>
        <w:sz w:val="24"/>
        <w:u w:val="none"/>
        <w:effect w:val="none"/>
      </w:rPr>
    </w:lvl>
    <w:lvl w:ilvl="3">
      <w:start w:val="1"/>
      <w:numFmt w:val="lowerLetter"/>
      <w:pStyle w:val="OutlineL4"/>
      <w:lvlText w:val="%4."/>
      <w:lvlJc w:val="left"/>
      <w:pPr>
        <w:tabs>
          <w:tab w:val="num" w:pos="2880"/>
        </w:tabs>
        <w:ind w:left="0" w:firstLine="2160"/>
      </w:pPr>
      <w:rPr>
        <w:rFonts w:ascii="Times New Roman" w:eastAsia="Times New Roman" w:hAnsi="Times New Roman" w:cs="Times New Roman"/>
        <w:b/>
        <w:i w:val="0"/>
        <w:caps w:val="0"/>
        <w:smallCaps w:val="0"/>
        <w:strike w:val="0"/>
        <w:dstrike w:val="0"/>
        <w:color w:val="auto"/>
        <w:sz w:val="24"/>
        <w:u w:val="none"/>
        <w:effect w:val="none"/>
      </w:rPr>
    </w:lvl>
    <w:lvl w:ilvl="4">
      <w:start w:val="1"/>
      <w:numFmt w:val="lowerLetter"/>
      <w:pStyle w:val="OutlineL5"/>
      <w:lvlText w:val="%5)"/>
      <w:lvlJc w:val="left"/>
      <w:pPr>
        <w:tabs>
          <w:tab w:val="num" w:pos="1440"/>
        </w:tabs>
        <w:ind w:left="0" w:firstLine="720"/>
      </w:pPr>
      <w:rPr>
        <w:rFonts w:ascii="Times New Roman" w:eastAsia="Times New Roman" w:hAnsi="Times New Roman" w:cs="Times New Roman"/>
        <w:b w:val="0"/>
        <w:i w:val="0"/>
        <w:caps w:val="0"/>
        <w:smallCaps w:val="0"/>
        <w:strike w:val="0"/>
        <w:dstrike w:val="0"/>
        <w:color w:val="auto"/>
        <w:sz w:val="24"/>
        <w:u w:val="none"/>
        <w:effect w:val="none"/>
      </w:rPr>
    </w:lvl>
    <w:lvl w:ilvl="5">
      <w:start w:val="1"/>
      <w:numFmt w:val="lowerLetter"/>
      <w:pStyle w:val="OutlineL6"/>
      <w:lvlText w:val="(%6)"/>
      <w:lvlJc w:val="left"/>
      <w:pPr>
        <w:tabs>
          <w:tab w:val="num" w:pos="4320"/>
        </w:tabs>
        <w:ind w:left="0" w:firstLine="3600"/>
      </w:pPr>
      <w:rPr>
        <w:rFonts w:ascii="Times New Roman" w:eastAsia="Times New Roman" w:hAnsi="Times New Roman" w:cs="Times New Roman"/>
        <w:b w:val="0"/>
        <w:i w:val="0"/>
        <w:caps w:val="0"/>
        <w:smallCaps w:val="0"/>
        <w:strike w:val="0"/>
        <w:dstrike w:val="0"/>
        <w:color w:val="auto"/>
        <w:sz w:val="24"/>
        <w:u w:val="none"/>
        <w:effect w:val="none"/>
      </w:rPr>
    </w:lvl>
    <w:lvl w:ilvl="6">
      <w:start w:val="1"/>
      <w:numFmt w:val="decimal"/>
      <w:pStyle w:val="OutlineL7"/>
      <w:lvlText w:val="(%7)"/>
      <w:lvlJc w:val="left"/>
      <w:pPr>
        <w:tabs>
          <w:tab w:val="num" w:pos="5040"/>
        </w:tabs>
        <w:ind w:left="0" w:firstLine="4320"/>
      </w:pPr>
      <w:rPr>
        <w:rFonts w:ascii="Times New Roman" w:eastAsia="Times New Roman" w:hAnsi="Times New Roman" w:cs="Times New Roman"/>
        <w:b w:val="0"/>
        <w:i w:val="0"/>
        <w:caps w:val="0"/>
        <w:smallCaps w:val="0"/>
        <w:strike w:val="0"/>
        <w:dstrike w:val="0"/>
        <w:color w:val="auto"/>
        <w:sz w:val="24"/>
        <w:u w:val="none"/>
        <w:effect w:val="none"/>
      </w:rPr>
    </w:lvl>
    <w:lvl w:ilvl="7">
      <w:start w:val="1"/>
      <w:numFmt w:val="lowerRoman"/>
      <w:pStyle w:val="OutlineL8"/>
      <w:lvlText w:val="%8)"/>
      <w:lvlJc w:val="left"/>
      <w:pPr>
        <w:tabs>
          <w:tab w:val="num" w:pos="5760"/>
        </w:tabs>
        <w:ind w:left="0" w:firstLine="5040"/>
      </w:pPr>
      <w:rPr>
        <w:rFonts w:ascii="Times New Roman" w:eastAsia="Times New Roman" w:hAnsi="Times New Roman" w:cs="Times New Roman"/>
        <w:b w:val="0"/>
        <w:i w:val="0"/>
        <w:caps w:val="0"/>
        <w:smallCaps w:val="0"/>
        <w:strike w:val="0"/>
        <w:dstrike w:val="0"/>
        <w:color w:val="auto"/>
        <w:sz w:val="24"/>
        <w:u w:val="none"/>
        <w:effect w:val="none"/>
      </w:rPr>
    </w:lvl>
    <w:lvl w:ilvl="8">
      <w:start w:val="1"/>
      <w:numFmt w:val="lowerLetter"/>
      <w:pStyle w:val="OutlineL9"/>
      <w:lvlText w:val="%9)"/>
      <w:lvlJc w:val="left"/>
      <w:pPr>
        <w:tabs>
          <w:tab w:val="num" w:pos="6480"/>
        </w:tabs>
        <w:ind w:left="0" w:firstLine="5760"/>
      </w:pPr>
      <w:rPr>
        <w:rFonts w:ascii="Times New Roman" w:eastAsia="Times New Roman" w:hAnsi="Times New Roman" w:cs="Times New Roman"/>
        <w:b w:val="0"/>
        <w:i w:val="0"/>
        <w:caps w:val="0"/>
        <w:smallCaps w:val="0"/>
        <w:strike w:val="0"/>
        <w:dstrike w:val="0"/>
        <w:color w:val="auto"/>
        <w:sz w:val="24"/>
        <w:u w:val="none"/>
        <w:effect w:val="none"/>
      </w:rPr>
    </w:lvl>
  </w:abstractNum>
  <w:abstractNum w:abstractNumId="2" w15:restartNumberingAfterBreak="0">
    <w:nsid w:val="39B51487"/>
    <w:multiLevelType w:val="hybridMultilevel"/>
    <w:tmpl w:val="753C1E1E"/>
    <w:lvl w:ilvl="0" w:tplc="998C2D4C">
      <w:start w:val="1"/>
      <w:numFmt w:val="lowerLetter"/>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D6D68CD"/>
    <w:multiLevelType w:val="multilevel"/>
    <w:tmpl w:val="16CABE16"/>
    <w:name w:val="zzmpStandard||Standard|2|3|1|1|0|0||1|0|0||1|0|0||1|0|1||1|0|0||1|0|0||1|0|0||1|0|0||1|0|0||"/>
    <w:lvl w:ilvl="0">
      <w:start w:val="1"/>
      <w:numFmt w:val="lowerLetter"/>
      <w:pStyle w:val="StandardL1"/>
      <w:lvlText w:val="%1)"/>
      <w:lvlJc w:val="left"/>
      <w:pPr>
        <w:tabs>
          <w:tab w:val="num" w:pos="1440"/>
        </w:tabs>
        <w:ind w:left="0" w:firstLine="720"/>
      </w:pPr>
      <w:rPr>
        <w:rFonts w:ascii="Times New Roman" w:eastAsia="Times New Roman" w:hAnsi="Times New Roman" w:cs="Times New Roman"/>
        <w:b w:val="0"/>
        <w:i w:val="0"/>
        <w:caps w:val="0"/>
        <w:smallCaps w:val="0"/>
        <w:strike w:val="0"/>
        <w:dstrike w:val="0"/>
        <w:color w:val="auto"/>
        <w:sz w:val="24"/>
        <w:u w:val="none"/>
        <w:effect w:val="none"/>
      </w:rPr>
    </w:lvl>
    <w:lvl w:ilvl="1">
      <w:start w:val="1"/>
      <w:numFmt w:val="decimal"/>
      <w:pStyle w:val="StandardL2"/>
      <w:lvlText w:val="%2."/>
      <w:lvlJc w:val="left"/>
      <w:pPr>
        <w:tabs>
          <w:tab w:val="num" w:pos="2160"/>
        </w:tabs>
        <w:ind w:left="2160" w:hanging="720"/>
      </w:pPr>
      <w:rPr>
        <w:rFonts w:ascii="Times New Roman" w:eastAsia="Times New Roman" w:hAnsi="Times New Roman" w:cs="Times New Roman"/>
        <w:b w:val="0"/>
        <w:i w:val="0"/>
        <w:caps w:val="0"/>
        <w:smallCaps w:val="0"/>
        <w:strike w:val="0"/>
        <w:dstrike w:val="0"/>
        <w:color w:val="auto"/>
        <w:sz w:val="28"/>
        <w:szCs w:val="28"/>
        <w:u w:val="none"/>
        <w:effect w:val="none"/>
      </w:rPr>
    </w:lvl>
    <w:lvl w:ilvl="2">
      <w:start w:val="1"/>
      <w:numFmt w:val="upperLetter"/>
      <w:pStyle w:val="StandardL3"/>
      <w:lvlText w:val="%3."/>
      <w:lvlJc w:val="left"/>
      <w:pPr>
        <w:tabs>
          <w:tab w:val="num" w:pos="1440"/>
        </w:tabs>
        <w:ind w:left="0" w:firstLine="720"/>
      </w:pPr>
      <w:rPr>
        <w:rFonts w:ascii="Times New Roman" w:eastAsia="Times New Roman" w:hAnsi="Times New Roman" w:cs="Times New Roman"/>
        <w:b w:val="0"/>
        <w:i w:val="0"/>
        <w:caps w:val="0"/>
        <w:smallCaps w:val="0"/>
        <w:strike w:val="0"/>
        <w:dstrike w:val="0"/>
        <w:color w:val="auto"/>
        <w:sz w:val="28"/>
        <w:szCs w:val="28"/>
        <w:u w:val="none"/>
        <w:effect w:val="none"/>
      </w:rPr>
    </w:lvl>
    <w:lvl w:ilvl="3">
      <w:start w:val="1"/>
      <w:numFmt w:val="decimal"/>
      <w:pStyle w:val="StandardL4"/>
      <w:lvlText w:val="(%4)"/>
      <w:lvlJc w:val="left"/>
      <w:pPr>
        <w:tabs>
          <w:tab w:val="num" w:pos="2880"/>
        </w:tabs>
        <w:ind w:left="0" w:firstLine="2160"/>
      </w:pPr>
      <w:rPr>
        <w:rFonts w:ascii="Times New Roman" w:eastAsia="Times New Roman" w:hAnsi="Times New Roman" w:cs="Times New Roman"/>
        <w:b w:val="0"/>
        <w:i w:val="0"/>
        <w:caps w:val="0"/>
        <w:smallCaps w:val="0"/>
        <w:strike w:val="0"/>
        <w:dstrike w:val="0"/>
        <w:color w:val="auto"/>
        <w:sz w:val="24"/>
        <w:u w:val="none"/>
        <w:effect w:val="none"/>
      </w:rPr>
    </w:lvl>
    <w:lvl w:ilvl="4">
      <w:start w:val="1"/>
      <w:numFmt w:val="lowerLetter"/>
      <w:pStyle w:val="StandardL5"/>
      <w:lvlText w:val="%5."/>
      <w:lvlJc w:val="left"/>
      <w:pPr>
        <w:tabs>
          <w:tab w:val="num" w:pos="3600"/>
        </w:tabs>
        <w:ind w:left="0" w:firstLine="2880"/>
      </w:pPr>
      <w:rPr>
        <w:rFonts w:ascii="Times New Roman" w:eastAsia="Times New Roman" w:hAnsi="Times New Roman" w:cs="Times New Roman"/>
        <w:b w:val="0"/>
        <w:i w:val="0"/>
        <w:caps w:val="0"/>
        <w:smallCaps w:val="0"/>
        <w:strike w:val="0"/>
        <w:dstrike w:val="0"/>
        <w:color w:val="auto"/>
        <w:sz w:val="24"/>
        <w:u w:val="none"/>
        <w:effect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b w:val="0"/>
        <w:i w:val="0"/>
        <w:caps w:val="0"/>
        <w:smallCaps w:val="0"/>
        <w:strike w:val="0"/>
        <w:dstrike w:val="0"/>
        <w:color w:val="auto"/>
        <w:sz w:val="24"/>
        <w:u w:val="none"/>
        <w:effect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b w:val="0"/>
        <w:i w:val="0"/>
        <w:caps w:val="0"/>
        <w:smallCaps w:val="0"/>
        <w:strike w:val="0"/>
        <w:dstrike w:val="0"/>
        <w:color w:val="auto"/>
        <w:sz w:val="24"/>
        <w:u w:val="none"/>
        <w:effect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b w:val="0"/>
        <w:i w:val="0"/>
        <w:caps w:val="0"/>
        <w:smallCaps w:val="0"/>
        <w:strike w:val="0"/>
        <w:dstrike w:val="0"/>
        <w:color w:val="auto"/>
        <w:sz w:val="24"/>
        <w:u w:val="none"/>
        <w:effect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b w:val="0"/>
        <w:i w:val="0"/>
        <w:caps w:val="0"/>
        <w:smallCaps w:val="0"/>
        <w:strike w:val="0"/>
        <w:dstrike w:val="0"/>
        <w:color w:val="auto"/>
        <w:sz w:val="24"/>
        <w:u w:val="none"/>
        <w:effect w:val="none"/>
      </w:rPr>
    </w:lvl>
  </w:abstractNum>
  <w:abstractNum w:abstractNumId="4" w15:restartNumberingAfterBreak="0">
    <w:nsid w:val="62884914"/>
    <w:multiLevelType w:val="hybridMultilevel"/>
    <w:tmpl w:val="86C26544"/>
    <w:lvl w:ilvl="0" w:tplc="D5C46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F0691D"/>
    <w:multiLevelType w:val="singleLevel"/>
    <w:tmpl w:val="5880A9A0"/>
    <w:lvl w:ilvl="0">
      <w:start w:val="1"/>
      <w:numFmt w:val="none"/>
      <w:pStyle w:val="BodyText3"/>
      <w:lvlText w:val="%1A."/>
      <w:lvlJc w:val="left"/>
      <w:pPr>
        <w:tabs>
          <w:tab w:val="num" w:pos="720"/>
        </w:tabs>
        <w:ind w:left="36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E2"/>
    <w:rsid w:val="00002302"/>
    <w:rsid w:val="00004D89"/>
    <w:rsid w:val="00010F33"/>
    <w:rsid w:val="00026120"/>
    <w:rsid w:val="00031FF1"/>
    <w:rsid w:val="00036083"/>
    <w:rsid w:val="00043861"/>
    <w:rsid w:val="00060278"/>
    <w:rsid w:val="0006577F"/>
    <w:rsid w:val="00070E97"/>
    <w:rsid w:val="000805BC"/>
    <w:rsid w:val="00087334"/>
    <w:rsid w:val="00092F21"/>
    <w:rsid w:val="000A62DA"/>
    <w:rsid w:val="000B00EE"/>
    <w:rsid w:val="000B4A02"/>
    <w:rsid w:val="000E1BFD"/>
    <w:rsid w:val="000F27D9"/>
    <w:rsid w:val="00114015"/>
    <w:rsid w:val="00116376"/>
    <w:rsid w:val="00116FDC"/>
    <w:rsid w:val="00117096"/>
    <w:rsid w:val="00134CE1"/>
    <w:rsid w:val="001555C0"/>
    <w:rsid w:val="001677A9"/>
    <w:rsid w:val="001775D4"/>
    <w:rsid w:val="001953A1"/>
    <w:rsid w:val="001A3F40"/>
    <w:rsid w:val="001A5562"/>
    <w:rsid w:val="001B77A7"/>
    <w:rsid w:val="001B7EDF"/>
    <w:rsid w:val="001C3863"/>
    <w:rsid w:val="001C6FB5"/>
    <w:rsid w:val="001D72AE"/>
    <w:rsid w:val="001E32E0"/>
    <w:rsid w:val="001E3908"/>
    <w:rsid w:val="001E4E6B"/>
    <w:rsid w:val="001E5D6A"/>
    <w:rsid w:val="001F0865"/>
    <w:rsid w:val="001F4C24"/>
    <w:rsid w:val="00212395"/>
    <w:rsid w:val="00223062"/>
    <w:rsid w:val="00230B0F"/>
    <w:rsid w:val="00244733"/>
    <w:rsid w:val="00246474"/>
    <w:rsid w:val="00256125"/>
    <w:rsid w:val="002847EC"/>
    <w:rsid w:val="002B4CBA"/>
    <w:rsid w:val="002B66E1"/>
    <w:rsid w:val="002B75A6"/>
    <w:rsid w:val="002D6FCC"/>
    <w:rsid w:val="002E4544"/>
    <w:rsid w:val="002F1936"/>
    <w:rsid w:val="00306367"/>
    <w:rsid w:val="00314378"/>
    <w:rsid w:val="00317A68"/>
    <w:rsid w:val="00350A50"/>
    <w:rsid w:val="0036045E"/>
    <w:rsid w:val="00360867"/>
    <w:rsid w:val="0038056E"/>
    <w:rsid w:val="0039087E"/>
    <w:rsid w:val="0039193E"/>
    <w:rsid w:val="00393319"/>
    <w:rsid w:val="00396BC5"/>
    <w:rsid w:val="003A72BA"/>
    <w:rsid w:val="003B5358"/>
    <w:rsid w:val="003C0146"/>
    <w:rsid w:val="003C0D50"/>
    <w:rsid w:val="003F38A4"/>
    <w:rsid w:val="004241E0"/>
    <w:rsid w:val="004246B2"/>
    <w:rsid w:val="004364C3"/>
    <w:rsid w:val="004400A4"/>
    <w:rsid w:val="0045280E"/>
    <w:rsid w:val="00453937"/>
    <w:rsid w:val="00453FA8"/>
    <w:rsid w:val="00465801"/>
    <w:rsid w:val="00471CC1"/>
    <w:rsid w:val="0047298B"/>
    <w:rsid w:val="00475878"/>
    <w:rsid w:val="004861CE"/>
    <w:rsid w:val="004915D5"/>
    <w:rsid w:val="004A227A"/>
    <w:rsid w:val="004A7711"/>
    <w:rsid w:val="004B0ADE"/>
    <w:rsid w:val="004B5064"/>
    <w:rsid w:val="004B5E64"/>
    <w:rsid w:val="004B6DC3"/>
    <w:rsid w:val="004C5C2E"/>
    <w:rsid w:val="004D75ED"/>
    <w:rsid w:val="004F4C51"/>
    <w:rsid w:val="0050439F"/>
    <w:rsid w:val="005044E7"/>
    <w:rsid w:val="00515E2E"/>
    <w:rsid w:val="00523751"/>
    <w:rsid w:val="00530EC9"/>
    <w:rsid w:val="005413C4"/>
    <w:rsid w:val="00545DC8"/>
    <w:rsid w:val="00547DDA"/>
    <w:rsid w:val="005646E3"/>
    <w:rsid w:val="00584A2D"/>
    <w:rsid w:val="00590C82"/>
    <w:rsid w:val="0059249F"/>
    <w:rsid w:val="005A2387"/>
    <w:rsid w:val="005A375B"/>
    <w:rsid w:val="005A5834"/>
    <w:rsid w:val="005B3FC7"/>
    <w:rsid w:val="005C18A6"/>
    <w:rsid w:val="005C2D39"/>
    <w:rsid w:val="005C316F"/>
    <w:rsid w:val="005C5B68"/>
    <w:rsid w:val="005D0449"/>
    <w:rsid w:val="005D4F07"/>
    <w:rsid w:val="005E210D"/>
    <w:rsid w:val="005F0CA7"/>
    <w:rsid w:val="005F12B3"/>
    <w:rsid w:val="005F453A"/>
    <w:rsid w:val="00604CEF"/>
    <w:rsid w:val="00607AC3"/>
    <w:rsid w:val="00610051"/>
    <w:rsid w:val="00612868"/>
    <w:rsid w:val="00620297"/>
    <w:rsid w:val="00621654"/>
    <w:rsid w:val="00624C8F"/>
    <w:rsid w:val="00627C7B"/>
    <w:rsid w:val="00656BF3"/>
    <w:rsid w:val="0066040C"/>
    <w:rsid w:val="00665376"/>
    <w:rsid w:val="0066720F"/>
    <w:rsid w:val="0068297D"/>
    <w:rsid w:val="006A0C35"/>
    <w:rsid w:val="006A3560"/>
    <w:rsid w:val="006C6042"/>
    <w:rsid w:val="006E37F9"/>
    <w:rsid w:val="006E7F68"/>
    <w:rsid w:val="006F4299"/>
    <w:rsid w:val="00700576"/>
    <w:rsid w:val="00700EDA"/>
    <w:rsid w:val="00701657"/>
    <w:rsid w:val="00725716"/>
    <w:rsid w:val="00727320"/>
    <w:rsid w:val="007336F8"/>
    <w:rsid w:val="00744B1D"/>
    <w:rsid w:val="0075446F"/>
    <w:rsid w:val="00761636"/>
    <w:rsid w:val="00776352"/>
    <w:rsid w:val="00776A69"/>
    <w:rsid w:val="00784D67"/>
    <w:rsid w:val="0078697C"/>
    <w:rsid w:val="00786C53"/>
    <w:rsid w:val="00795718"/>
    <w:rsid w:val="007B0304"/>
    <w:rsid w:val="007B494C"/>
    <w:rsid w:val="007D0D59"/>
    <w:rsid w:val="007E0837"/>
    <w:rsid w:val="007E08D7"/>
    <w:rsid w:val="00804815"/>
    <w:rsid w:val="00813CBF"/>
    <w:rsid w:val="00820D12"/>
    <w:rsid w:val="008223BF"/>
    <w:rsid w:val="00837296"/>
    <w:rsid w:val="00842539"/>
    <w:rsid w:val="00847E43"/>
    <w:rsid w:val="00860201"/>
    <w:rsid w:val="0086463D"/>
    <w:rsid w:val="00870E85"/>
    <w:rsid w:val="008745F9"/>
    <w:rsid w:val="00884884"/>
    <w:rsid w:val="008A692B"/>
    <w:rsid w:val="008C1C84"/>
    <w:rsid w:val="008C54D5"/>
    <w:rsid w:val="008D24D3"/>
    <w:rsid w:val="008E222C"/>
    <w:rsid w:val="008E5738"/>
    <w:rsid w:val="008E5E7D"/>
    <w:rsid w:val="008F0A8F"/>
    <w:rsid w:val="008F4288"/>
    <w:rsid w:val="008F4E49"/>
    <w:rsid w:val="0090253C"/>
    <w:rsid w:val="00910D9B"/>
    <w:rsid w:val="00912D09"/>
    <w:rsid w:val="0092556C"/>
    <w:rsid w:val="0093139F"/>
    <w:rsid w:val="009323B5"/>
    <w:rsid w:val="00932995"/>
    <w:rsid w:val="00935D79"/>
    <w:rsid w:val="00940B55"/>
    <w:rsid w:val="00944BDC"/>
    <w:rsid w:val="00947410"/>
    <w:rsid w:val="009651C7"/>
    <w:rsid w:val="00982548"/>
    <w:rsid w:val="009924DD"/>
    <w:rsid w:val="009B4AD7"/>
    <w:rsid w:val="009B5C52"/>
    <w:rsid w:val="009E1225"/>
    <w:rsid w:val="009E2283"/>
    <w:rsid w:val="009E4E3F"/>
    <w:rsid w:val="009E5929"/>
    <w:rsid w:val="009F499F"/>
    <w:rsid w:val="00A10BB4"/>
    <w:rsid w:val="00A16706"/>
    <w:rsid w:val="00A16DBA"/>
    <w:rsid w:val="00A32802"/>
    <w:rsid w:val="00A33969"/>
    <w:rsid w:val="00A33E00"/>
    <w:rsid w:val="00A42A8C"/>
    <w:rsid w:val="00A46DA7"/>
    <w:rsid w:val="00A47770"/>
    <w:rsid w:val="00A5524C"/>
    <w:rsid w:val="00A72962"/>
    <w:rsid w:val="00A755AA"/>
    <w:rsid w:val="00AA3C0D"/>
    <w:rsid w:val="00AB11EC"/>
    <w:rsid w:val="00AB2DAD"/>
    <w:rsid w:val="00AD2663"/>
    <w:rsid w:val="00AF626D"/>
    <w:rsid w:val="00B05A8E"/>
    <w:rsid w:val="00B071E0"/>
    <w:rsid w:val="00B278D5"/>
    <w:rsid w:val="00B322F7"/>
    <w:rsid w:val="00B37EE2"/>
    <w:rsid w:val="00B55121"/>
    <w:rsid w:val="00B55EF2"/>
    <w:rsid w:val="00B67470"/>
    <w:rsid w:val="00B7750A"/>
    <w:rsid w:val="00B85B3D"/>
    <w:rsid w:val="00B86BFD"/>
    <w:rsid w:val="00B91099"/>
    <w:rsid w:val="00B93734"/>
    <w:rsid w:val="00B97474"/>
    <w:rsid w:val="00BA3EB2"/>
    <w:rsid w:val="00BB6989"/>
    <w:rsid w:val="00BC0A10"/>
    <w:rsid w:val="00BC3C76"/>
    <w:rsid w:val="00BD60E2"/>
    <w:rsid w:val="00BF06F8"/>
    <w:rsid w:val="00BF2461"/>
    <w:rsid w:val="00C06B97"/>
    <w:rsid w:val="00C246EC"/>
    <w:rsid w:val="00C27A78"/>
    <w:rsid w:val="00C36CE8"/>
    <w:rsid w:val="00C521EB"/>
    <w:rsid w:val="00C53CB6"/>
    <w:rsid w:val="00C56670"/>
    <w:rsid w:val="00C572CD"/>
    <w:rsid w:val="00C736E8"/>
    <w:rsid w:val="00C9483F"/>
    <w:rsid w:val="00C95AB6"/>
    <w:rsid w:val="00CA1940"/>
    <w:rsid w:val="00CA2327"/>
    <w:rsid w:val="00CA7F8E"/>
    <w:rsid w:val="00CB7753"/>
    <w:rsid w:val="00CD00F5"/>
    <w:rsid w:val="00CD125C"/>
    <w:rsid w:val="00CD3C94"/>
    <w:rsid w:val="00CD64AA"/>
    <w:rsid w:val="00CE1456"/>
    <w:rsid w:val="00CE250A"/>
    <w:rsid w:val="00CE2EFF"/>
    <w:rsid w:val="00CE6812"/>
    <w:rsid w:val="00CF05A8"/>
    <w:rsid w:val="00D12D5F"/>
    <w:rsid w:val="00D344E1"/>
    <w:rsid w:val="00D44687"/>
    <w:rsid w:val="00D523B3"/>
    <w:rsid w:val="00D54973"/>
    <w:rsid w:val="00D55B9F"/>
    <w:rsid w:val="00D70013"/>
    <w:rsid w:val="00D703CE"/>
    <w:rsid w:val="00D74AA9"/>
    <w:rsid w:val="00DA5735"/>
    <w:rsid w:val="00DB520F"/>
    <w:rsid w:val="00DC247B"/>
    <w:rsid w:val="00DC3ACA"/>
    <w:rsid w:val="00DD30A1"/>
    <w:rsid w:val="00DD5456"/>
    <w:rsid w:val="00DE10EB"/>
    <w:rsid w:val="00DF2AEA"/>
    <w:rsid w:val="00DF4579"/>
    <w:rsid w:val="00E0386E"/>
    <w:rsid w:val="00E04054"/>
    <w:rsid w:val="00E04184"/>
    <w:rsid w:val="00E2322C"/>
    <w:rsid w:val="00E27A72"/>
    <w:rsid w:val="00E32061"/>
    <w:rsid w:val="00E350F5"/>
    <w:rsid w:val="00E56CBF"/>
    <w:rsid w:val="00E77E35"/>
    <w:rsid w:val="00E828B5"/>
    <w:rsid w:val="00E94E61"/>
    <w:rsid w:val="00ED25A7"/>
    <w:rsid w:val="00ED6838"/>
    <w:rsid w:val="00EE7413"/>
    <w:rsid w:val="00EF5B5C"/>
    <w:rsid w:val="00EF6ADA"/>
    <w:rsid w:val="00F060CA"/>
    <w:rsid w:val="00F24A09"/>
    <w:rsid w:val="00F2584A"/>
    <w:rsid w:val="00F333C0"/>
    <w:rsid w:val="00F7046C"/>
    <w:rsid w:val="00F74DBD"/>
    <w:rsid w:val="00F75B33"/>
    <w:rsid w:val="00F83284"/>
    <w:rsid w:val="00F9463B"/>
    <w:rsid w:val="00FA2A3A"/>
    <w:rsid w:val="00FC1F9A"/>
    <w:rsid w:val="00FC714F"/>
    <w:rsid w:val="00FD4F8D"/>
    <w:rsid w:val="00FF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89416"/>
  <w15:docId w15:val="{F25AE346-43E7-4CA6-9D1A-F121EDDF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BD60E2"/>
    <w:pPr>
      <w:keepLines/>
      <w:tabs>
        <w:tab w:val="right" w:leader="dot" w:pos="9288"/>
      </w:tabs>
      <w:spacing w:after="120" w:line="480" w:lineRule="auto"/>
      <w:ind w:left="720" w:right="720" w:hanging="720"/>
    </w:pPr>
    <w:rPr>
      <w:rFonts w:ascii="Times New Roman" w:eastAsia="Times New Roman" w:hAnsi="Times New Roman"/>
      <w:sz w:val="24"/>
      <w:szCs w:val="20"/>
    </w:rPr>
  </w:style>
  <w:style w:type="paragraph" w:styleId="TOC2">
    <w:name w:val="toc 2"/>
    <w:basedOn w:val="Normal"/>
    <w:next w:val="Normal"/>
    <w:autoRedefine/>
    <w:semiHidden/>
    <w:unhideWhenUsed/>
    <w:rsid w:val="00BD60E2"/>
    <w:pPr>
      <w:keepLines/>
      <w:tabs>
        <w:tab w:val="right" w:leader="dot" w:pos="9288"/>
      </w:tabs>
      <w:spacing w:after="120" w:line="480" w:lineRule="auto"/>
      <w:ind w:left="1440" w:right="720" w:hanging="720"/>
    </w:pPr>
    <w:rPr>
      <w:rFonts w:ascii="Times New Roman" w:eastAsia="Times New Roman" w:hAnsi="Times New Roman"/>
      <w:sz w:val="24"/>
      <w:szCs w:val="20"/>
    </w:rPr>
  </w:style>
  <w:style w:type="paragraph" w:styleId="TOC3">
    <w:name w:val="toc 3"/>
    <w:basedOn w:val="Normal"/>
    <w:next w:val="Normal"/>
    <w:autoRedefine/>
    <w:semiHidden/>
    <w:unhideWhenUsed/>
    <w:rsid w:val="00BD60E2"/>
    <w:pPr>
      <w:keepLines/>
      <w:tabs>
        <w:tab w:val="right" w:leader="dot" w:pos="9288"/>
      </w:tabs>
      <w:spacing w:after="120" w:line="480" w:lineRule="auto"/>
      <w:ind w:left="2160" w:right="720" w:hanging="720"/>
    </w:pPr>
    <w:rPr>
      <w:rFonts w:ascii="Times New Roman" w:eastAsia="Times New Roman" w:hAnsi="Times New Roman"/>
      <w:sz w:val="24"/>
      <w:szCs w:val="20"/>
    </w:rPr>
  </w:style>
  <w:style w:type="paragraph" w:styleId="Caption">
    <w:name w:val="caption"/>
    <w:basedOn w:val="Normal"/>
    <w:next w:val="Normal"/>
    <w:qFormat/>
    <w:rsid w:val="00BD60E2"/>
    <w:pPr>
      <w:tabs>
        <w:tab w:val="left" w:pos="5040"/>
        <w:tab w:val="left" w:pos="6480"/>
      </w:tabs>
      <w:spacing w:after="240" w:line="480" w:lineRule="auto"/>
    </w:pPr>
    <w:rPr>
      <w:rFonts w:ascii="Times New Roman" w:eastAsia="Times New Roman" w:hAnsi="Times New Roman"/>
      <w:bCs/>
      <w:sz w:val="24"/>
      <w:szCs w:val="24"/>
    </w:rPr>
  </w:style>
  <w:style w:type="paragraph" w:styleId="BodyText">
    <w:name w:val="Body Text"/>
    <w:aliases w:val="bt"/>
    <w:basedOn w:val="Normal"/>
    <w:link w:val="BodyTextChar"/>
    <w:unhideWhenUsed/>
    <w:rsid w:val="00BD60E2"/>
    <w:pPr>
      <w:spacing w:after="240" w:line="480" w:lineRule="auto"/>
      <w:ind w:firstLine="720"/>
      <w:jc w:val="both"/>
    </w:pPr>
    <w:rPr>
      <w:rFonts w:ascii="Times New Roman" w:eastAsia="Times New Roman" w:hAnsi="Times New Roman"/>
      <w:sz w:val="28"/>
      <w:szCs w:val="24"/>
    </w:rPr>
  </w:style>
  <w:style w:type="character" w:customStyle="1" w:styleId="BodyTextChar">
    <w:name w:val="Body Text Char"/>
    <w:aliases w:val="bt Char"/>
    <w:link w:val="BodyText"/>
    <w:rsid w:val="00BD60E2"/>
    <w:rPr>
      <w:rFonts w:ascii="Times New Roman" w:eastAsia="Times New Roman" w:hAnsi="Times New Roman"/>
      <w:sz w:val="28"/>
      <w:szCs w:val="24"/>
    </w:rPr>
  </w:style>
  <w:style w:type="character" w:customStyle="1" w:styleId="TitleChar">
    <w:name w:val="Title Char"/>
    <w:aliases w:val="t Char"/>
    <w:link w:val="Title"/>
    <w:locked/>
    <w:rsid w:val="00BD60E2"/>
    <w:rPr>
      <w:rFonts w:ascii="Arial" w:hAnsi="Arial" w:cs="Arial"/>
      <w:b/>
      <w:bCs/>
      <w:caps/>
      <w:kern w:val="28"/>
      <w:sz w:val="24"/>
      <w:szCs w:val="32"/>
    </w:rPr>
  </w:style>
  <w:style w:type="paragraph" w:styleId="Title">
    <w:name w:val="Title"/>
    <w:aliases w:val="t"/>
    <w:basedOn w:val="Normal"/>
    <w:next w:val="BodyText"/>
    <w:link w:val="TitleChar"/>
    <w:qFormat/>
    <w:rsid w:val="00BD60E2"/>
    <w:pPr>
      <w:keepNext/>
      <w:spacing w:after="240" w:line="480" w:lineRule="auto"/>
      <w:jc w:val="center"/>
      <w:outlineLvl w:val="0"/>
    </w:pPr>
    <w:rPr>
      <w:rFonts w:ascii="Arial" w:hAnsi="Arial"/>
      <w:b/>
      <w:bCs/>
      <w:caps/>
      <w:kern w:val="28"/>
      <w:sz w:val="24"/>
      <w:szCs w:val="32"/>
    </w:rPr>
  </w:style>
  <w:style w:type="character" w:customStyle="1" w:styleId="TitleChar1">
    <w:name w:val="Title Char1"/>
    <w:uiPriority w:val="10"/>
    <w:rsid w:val="00BD60E2"/>
    <w:rPr>
      <w:rFonts w:ascii="Cambria" w:eastAsia="Times New Roman" w:hAnsi="Cambria" w:cs="Times New Roman"/>
      <w:b/>
      <w:bCs/>
      <w:kern w:val="28"/>
      <w:sz w:val="32"/>
      <w:szCs w:val="32"/>
    </w:rPr>
  </w:style>
  <w:style w:type="paragraph" w:customStyle="1" w:styleId="BodyTextNoIndentSS">
    <w:name w:val="Body Text No Indent SS"/>
    <w:aliases w:val="btn"/>
    <w:basedOn w:val="Normal"/>
    <w:rsid w:val="00BD60E2"/>
    <w:pPr>
      <w:spacing w:after="240" w:line="480" w:lineRule="auto"/>
    </w:pPr>
    <w:rPr>
      <w:rFonts w:ascii="Times New Roman" w:eastAsia="Times New Roman" w:hAnsi="Times New Roman"/>
      <w:sz w:val="24"/>
      <w:szCs w:val="24"/>
    </w:rPr>
  </w:style>
  <w:style w:type="paragraph" w:styleId="BodyTextIndent3">
    <w:name w:val="Body Text Indent 3"/>
    <w:basedOn w:val="Normal"/>
    <w:link w:val="BodyTextIndent3Char"/>
    <w:unhideWhenUsed/>
    <w:rsid w:val="00A16706"/>
    <w:pPr>
      <w:spacing w:after="120" w:line="48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A16706"/>
    <w:rPr>
      <w:rFonts w:ascii="Times New Roman" w:eastAsia="Times New Roman" w:hAnsi="Times New Roman"/>
      <w:sz w:val="16"/>
      <w:szCs w:val="16"/>
    </w:rPr>
  </w:style>
  <w:style w:type="paragraph" w:customStyle="1" w:styleId="OutlineL1">
    <w:name w:val="Outline_L1"/>
    <w:basedOn w:val="Normal"/>
    <w:next w:val="BodyText"/>
    <w:rsid w:val="00A16706"/>
    <w:pPr>
      <w:keepNext/>
      <w:numPr>
        <w:numId w:val="2"/>
      </w:numPr>
      <w:spacing w:after="240" w:line="480" w:lineRule="auto"/>
      <w:outlineLvl w:val="0"/>
    </w:pPr>
    <w:rPr>
      <w:rFonts w:ascii="Times New Roman" w:eastAsia="Times New Roman" w:hAnsi="Times New Roman"/>
      <w:sz w:val="24"/>
      <w:szCs w:val="20"/>
    </w:rPr>
  </w:style>
  <w:style w:type="paragraph" w:customStyle="1" w:styleId="OutlineL2">
    <w:name w:val="Outline_L2"/>
    <w:basedOn w:val="OutlineL1"/>
    <w:next w:val="BodyText"/>
    <w:rsid w:val="00A16706"/>
    <w:pPr>
      <w:numPr>
        <w:ilvl w:val="1"/>
      </w:numPr>
      <w:outlineLvl w:val="1"/>
    </w:pPr>
  </w:style>
  <w:style w:type="paragraph" w:customStyle="1" w:styleId="OutlineL3">
    <w:name w:val="Outline_L3"/>
    <w:basedOn w:val="OutlineL2"/>
    <w:next w:val="BodyText"/>
    <w:rsid w:val="00A16706"/>
    <w:pPr>
      <w:numPr>
        <w:ilvl w:val="2"/>
      </w:numPr>
      <w:outlineLvl w:val="2"/>
    </w:pPr>
  </w:style>
  <w:style w:type="paragraph" w:customStyle="1" w:styleId="OutlineL4">
    <w:name w:val="Outline_L4"/>
    <w:basedOn w:val="OutlineL3"/>
    <w:next w:val="BodyText"/>
    <w:rsid w:val="00A16706"/>
    <w:pPr>
      <w:numPr>
        <w:ilvl w:val="3"/>
      </w:numPr>
      <w:outlineLvl w:val="3"/>
    </w:pPr>
  </w:style>
  <w:style w:type="paragraph" w:customStyle="1" w:styleId="OutlineL5">
    <w:name w:val="Outline_L5"/>
    <w:basedOn w:val="OutlineL4"/>
    <w:next w:val="BodyText"/>
    <w:rsid w:val="00A16706"/>
    <w:pPr>
      <w:keepNext w:val="0"/>
      <w:numPr>
        <w:ilvl w:val="4"/>
      </w:numPr>
      <w:outlineLvl w:val="4"/>
    </w:pPr>
  </w:style>
  <w:style w:type="paragraph" w:customStyle="1" w:styleId="OutlineL6">
    <w:name w:val="Outline_L6"/>
    <w:basedOn w:val="OutlineL5"/>
    <w:next w:val="BodyText"/>
    <w:rsid w:val="00A16706"/>
    <w:pPr>
      <w:numPr>
        <w:ilvl w:val="5"/>
      </w:numPr>
      <w:spacing w:after="0"/>
      <w:outlineLvl w:val="5"/>
    </w:pPr>
  </w:style>
  <w:style w:type="paragraph" w:customStyle="1" w:styleId="OutlineL7">
    <w:name w:val="Outline_L7"/>
    <w:basedOn w:val="OutlineL6"/>
    <w:next w:val="BodyText"/>
    <w:rsid w:val="00A16706"/>
    <w:pPr>
      <w:numPr>
        <w:ilvl w:val="6"/>
      </w:numPr>
      <w:outlineLvl w:val="6"/>
    </w:pPr>
  </w:style>
  <w:style w:type="paragraph" w:customStyle="1" w:styleId="OutlineL8">
    <w:name w:val="Outline_L8"/>
    <w:basedOn w:val="OutlineL7"/>
    <w:next w:val="BodyText"/>
    <w:rsid w:val="00A16706"/>
    <w:pPr>
      <w:numPr>
        <w:ilvl w:val="7"/>
      </w:numPr>
      <w:outlineLvl w:val="7"/>
    </w:pPr>
  </w:style>
  <w:style w:type="paragraph" w:customStyle="1" w:styleId="OutlineL9">
    <w:name w:val="Outline_L9"/>
    <w:basedOn w:val="OutlineL8"/>
    <w:next w:val="BodyText"/>
    <w:rsid w:val="00A16706"/>
    <w:pPr>
      <w:numPr>
        <w:ilvl w:val="8"/>
      </w:numPr>
      <w:outlineLvl w:val="8"/>
    </w:pPr>
  </w:style>
  <w:style w:type="paragraph" w:customStyle="1" w:styleId="StandardL1">
    <w:name w:val="Standard_L1"/>
    <w:basedOn w:val="Normal"/>
    <w:next w:val="BodyText"/>
    <w:rsid w:val="00A16706"/>
    <w:pPr>
      <w:numPr>
        <w:numId w:val="3"/>
      </w:numPr>
      <w:spacing w:after="240" w:line="480" w:lineRule="auto"/>
      <w:outlineLvl w:val="0"/>
    </w:pPr>
    <w:rPr>
      <w:rFonts w:ascii="Times New Roman" w:eastAsia="Times New Roman" w:hAnsi="Times New Roman"/>
      <w:sz w:val="24"/>
      <w:szCs w:val="20"/>
    </w:rPr>
  </w:style>
  <w:style w:type="paragraph" w:customStyle="1" w:styleId="StandardL2">
    <w:name w:val="Standard_L2"/>
    <w:basedOn w:val="StandardL1"/>
    <w:next w:val="BodyText"/>
    <w:rsid w:val="00A16706"/>
    <w:pPr>
      <w:numPr>
        <w:ilvl w:val="1"/>
      </w:numPr>
      <w:outlineLvl w:val="1"/>
    </w:pPr>
  </w:style>
  <w:style w:type="paragraph" w:customStyle="1" w:styleId="StandardL3">
    <w:name w:val="Standard_L3"/>
    <w:basedOn w:val="StandardL2"/>
    <w:next w:val="BodyText"/>
    <w:rsid w:val="00A16706"/>
    <w:pPr>
      <w:numPr>
        <w:ilvl w:val="2"/>
      </w:numPr>
      <w:outlineLvl w:val="2"/>
    </w:pPr>
  </w:style>
  <w:style w:type="paragraph" w:customStyle="1" w:styleId="StandardL4">
    <w:name w:val="Standard_L4"/>
    <w:basedOn w:val="StandardL3"/>
    <w:next w:val="BodyText"/>
    <w:rsid w:val="00A16706"/>
    <w:pPr>
      <w:numPr>
        <w:ilvl w:val="3"/>
      </w:numPr>
      <w:outlineLvl w:val="3"/>
    </w:pPr>
  </w:style>
  <w:style w:type="paragraph" w:customStyle="1" w:styleId="StandardL5">
    <w:name w:val="Standard_L5"/>
    <w:basedOn w:val="StandardL4"/>
    <w:next w:val="BodyText"/>
    <w:rsid w:val="00A16706"/>
    <w:pPr>
      <w:numPr>
        <w:ilvl w:val="4"/>
      </w:numPr>
      <w:outlineLvl w:val="4"/>
    </w:pPr>
  </w:style>
  <w:style w:type="paragraph" w:customStyle="1" w:styleId="StandardL6">
    <w:name w:val="Standard_L6"/>
    <w:basedOn w:val="StandardL5"/>
    <w:next w:val="BodyText"/>
    <w:rsid w:val="00A16706"/>
    <w:pPr>
      <w:numPr>
        <w:ilvl w:val="5"/>
      </w:numPr>
      <w:outlineLvl w:val="5"/>
    </w:pPr>
  </w:style>
  <w:style w:type="paragraph" w:customStyle="1" w:styleId="StandardL7">
    <w:name w:val="Standard_L7"/>
    <w:basedOn w:val="StandardL6"/>
    <w:next w:val="BodyText"/>
    <w:rsid w:val="00A16706"/>
    <w:pPr>
      <w:numPr>
        <w:ilvl w:val="6"/>
      </w:numPr>
      <w:outlineLvl w:val="6"/>
    </w:pPr>
  </w:style>
  <w:style w:type="paragraph" w:customStyle="1" w:styleId="StandardL8">
    <w:name w:val="Standard_L8"/>
    <w:basedOn w:val="StandardL7"/>
    <w:next w:val="BodyText"/>
    <w:rsid w:val="00A16706"/>
    <w:pPr>
      <w:numPr>
        <w:ilvl w:val="7"/>
      </w:numPr>
      <w:outlineLvl w:val="7"/>
    </w:pPr>
  </w:style>
  <w:style w:type="paragraph" w:customStyle="1" w:styleId="StandardL9">
    <w:name w:val="Standard_L9"/>
    <w:basedOn w:val="StandardL8"/>
    <w:next w:val="BodyText"/>
    <w:rsid w:val="00A16706"/>
    <w:pPr>
      <w:numPr>
        <w:ilvl w:val="8"/>
      </w:numPr>
      <w:outlineLvl w:val="8"/>
    </w:pPr>
  </w:style>
  <w:style w:type="paragraph" w:styleId="BodyText3">
    <w:name w:val="Body Text 3"/>
    <w:basedOn w:val="Normal"/>
    <w:link w:val="BodyText3Char"/>
    <w:rsid w:val="001E3908"/>
    <w:pPr>
      <w:numPr>
        <w:numId w:val="5"/>
      </w:numPr>
      <w:tabs>
        <w:tab w:val="clear" w:pos="720"/>
        <w:tab w:val="left" w:pos="-720"/>
      </w:tabs>
      <w:suppressAutoHyphens/>
      <w:spacing w:after="0" w:line="240" w:lineRule="auto"/>
      <w:ind w:left="0" w:firstLine="0"/>
      <w:jc w:val="both"/>
    </w:pPr>
    <w:rPr>
      <w:rFonts w:ascii="Arial" w:eastAsia="Times New Roman" w:hAnsi="Arial"/>
      <w:color w:val="000000"/>
      <w:sz w:val="24"/>
      <w:szCs w:val="20"/>
    </w:rPr>
  </w:style>
  <w:style w:type="character" w:customStyle="1" w:styleId="BodyText3Char">
    <w:name w:val="Body Text 3 Char"/>
    <w:link w:val="BodyText3"/>
    <w:rsid w:val="001E3908"/>
    <w:rPr>
      <w:rFonts w:ascii="Arial" w:eastAsia="Times New Roman" w:hAnsi="Arial"/>
      <w:color w:val="000000"/>
      <w:sz w:val="24"/>
    </w:rPr>
  </w:style>
  <w:style w:type="paragraph" w:styleId="Header">
    <w:name w:val="header"/>
    <w:basedOn w:val="Normal"/>
    <w:link w:val="HeaderChar"/>
    <w:uiPriority w:val="99"/>
    <w:unhideWhenUsed/>
    <w:rsid w:val="009323B5"/>
    <w:pPr>
      <w:tabs>
        <w:tab w:val="center" w:pos="4680"/>
        <w:tab w:val="right" w:pos="9360"/>
      </w:tabs>
    </w:pPr>
  </w:style>
  <w:style w:type="character" w:customStyle="1" w:styleId="HeaderChar">
    <w:name w:val="Header Char"/>
    <w:basedOn w:val="DefaultParagraphFont"/>
    <w:link w:val="Header"/>
    <w:uiPriority w:val="99"/>
    <w:rsid w:val="009323B5"/>
    <w:rPr>
      <w:sz w:val="22"/>
      <w:szCs w:val="22"/>
    </w:rPr>
  </w:style>
  <w:style w:type="paragraph" w:styleId="Footer">
    <w:name w:val="footer"/>
    <w:basedOn w:val="Normal"/>
    <w:link w:val="FooterChar"/>
    <w:uiPriority w:val="99"/>
    <w:unhideWhenUsed/>
    <w:rsid w:val="009323B5"/>
    <w:pPr>
      <w:tabs>
        <w:tab w:val="center" w:pos="4680"/>
        <w:tab w:val="right" w:pos="9360"/>
      </w:tabs>
    </w:pPr>
  </w:style>
  <w:style w:type="character" w:customStyle="1" w:styleId="FooterChar">
    <w:name w:val="Footer Char"/>
    <w:basedOn w:val="DefaultParagraphFont"/>
    <w:link w:val="Footer"/>
    <w:uiPriority w:val="99"/>
    <w:rsid w:val="009323B5"/>
    <w:rPr>
      <w:sz w:val="22"/>
      <w:szCs w:val="22"/>
    </w:rPr>
  </w:style>
  <w:style w:type="paragraph" w:styleId="BalloonText">
    <w:name w:val="Balloon Text"/>
    <w:basedOn w:val="Normal"/>
    <w:link w:val="BalloonTextChar"/>
    <w:uiPriority w:val="99"/>
    <w:semiHidden/>
    <w:unhideWhenUsed/>
    <w:rsid w:val="0093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3B5"/>
    <w:rPr>
      <w:rFonts w:ascii="Tahoma" w:hAnsi="Tahoma" w:cs="Tahoma"/>
      <w:sz w:val="16"/>
      <w:szCs w:val="16"/>
    </w:rPr>
  </w:style>
  <w:style w:type="character" w:styleId="CommentReference">
    <w:name w:val="annotation reference"/>
    <w:basedOn w:val="DefaultParagraphFont"/>
    <w:uiPriority w:val="99"/>
    <w:semiHidden/>
    <w:unhideWhenUsed/>
    <w:rsid w:val="00F2584A"/>
    <w:rPr>
      <w:sz w:val="16"/>
      <w:szCs w:val="16"/>
    </w:rPr>
  </w:style>
  <w:style w:type="paragraph" w:styleId="CommentText">
    <w:name w:val="annotation text"/>
    <w:basedOn w:val="Normal"/>
    <w:link w:val="CommentTextChar"/>
    <w:uiPriority w:val="99"/>
    <w:semiHidden/>
    <w:unhideWhenUsed/>
    <w:rsid w:val="00F2584A"/>
    <w:pPr>
      <w:spacing w:line="240" w:lineRule="auto"/>
    </w:pPr>
    <w:rPr>
      <w:sz w:val="20"/>
      <w:szCs w:val="20"/>
    </w:rPr>
  </w:style>
  <w:style w:type="character" w:customStyle="1" w:styleId="CommentTextChar">
    <w:name w:val="Comment Text Char"/>
    <w:basedOn w:val="DefaultParagraphFont"/>
    <w:link w:val="CommentText"/>
    <w:uiPriority w:val="99"/>
    <w:semiHidden/>
    <w:rsid w:val="00F2584A"/>
  </w:style>
  <w:style w:type="paragraph" w:styleId="CommentSubject">
    <w:name w:val="annotation subject"/>
    <w:basedOn w:val="CommentText"/>
    <w:next w:val="CommentText"/>
    <w:link w:val="CommentSubjectChar"/>
    <w:uiPriority w:val="99"/>
    <w:semiHidden/>
    <w:unhideWhenUsed/>
    <w:rsid w:val="00F2584A"/>
    <w:rPr>
      <w:b/>
      <w:bCs/>
    </w:rPr>
  </w:style>
  <w:style w:type="character" w:customStyle="1" w:styleId="CommentSubjectChar">
    <w:name w:val="Comment Subject Char"/>
    <w:basedOn w:val="CommentTextChar"/>
    <w:link w:val="CommentSubject"/>
    <w:uiPriority w:val="99"/>
    <w:semiHidden/>
    <w:rsid w:val="00F25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032394">
      <w:bodyDiv w:val="1"/>
      <w:marLeft w:val="0"/>
      <w:marRight w:val="0"/>
      <w:marTop w:val="0"/>
      <w:marBottom w:val="0"/>
      <w:divBdr>
        <w:top w:val="none" w:sz="0" w:space="0" w:color="auto"/>
        <w:left w:val="none" w:sz="0" w:space="0" w:color="auto"/>
        <w:bottom w:val="none" w:sz="0" w:space="0" w:color="auto"/>
        <w:right w:val="none" w:sz="0" w:space="0" w:color="auto"/>
      </w:divBdr>
    </w:div>
    <w:div w:id="1341465577">
      <w:bodyDiv w:val="1"/>
      <w:marLeft w:val="0"/>
      <w:marRight w:val="0"/>
      <w:marTop w:val="0"/>
      <w:marBottom w:val="0"/>
      <w:divBdr>
        <w:top w:val="none" w:sz="0" w:space="0" w:color="auto"/>
        <w:left w:val="none" w:sz="0" w:space="0" w:color="auto"/>
        <w:bottom w:val="none" w:sz="0" w:space="0" w:color="auto"/>
        <w:right w:val="none" w:sz="0" w:space="0" w:color="auto"/>
      </w:divBdr>
    </w:div>
    <w:div w:id="19676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state.ga.us/factsv2/Document.aspx?documentNumber=1728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8C55-B636-4D9F-91C7-F2D74BC4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STATE OF GEORGIA</vt:lpstr>
    </vt:vector>
  </TitlesOfParts>
  <Company>Microsoft</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GEORGIA</dc:title>
  <dc:creator>tomb</dc:creator>
  <cp:lastModifiedBy>Reece McAlister</cp:lastModifiedBy>
  <cp:revision>2</cp:revision>
  <cp:lastPrinted>2019-12-31T19:47:00Z</cp:lastPrinted>
  <dcterms:created xsi:type="dcterms:W3CDTF">2019-12-31T19:49:00Z</dcterms:created>
  <dcterms:modified xsi:type="dcterms:W3CDTF">2019-12-31T19:49:00Z</dcterms:modified>
</cp:coreProperties>
</file>