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C4BC" w14:textId="77777777" w:rsidR="00763BC9" w:rsidRPr="007B6E38" w:rsidRDefault="00763BC9" w:rsidP="00763BC9">
      <w:pPr>
        <w:tabs>
          <w:tab w:val="left" w:pos="0"/>
        </w:tabs>
        <w:spacing w:line="480" w:lineRule="auto"/>
        <w:jc w:val="center"/>
        <w:rPr>
          <w:rFonts w:ascii="Times New Roman" w:hAnsi="Times New Roman"/>
          <w:b/>
          <w:szCs w:val="24"/>
        </w:rPr>
      </w:pPr>
      <w:r w:rsidRPr="007B6E38">
        <w:rPr>
          <w:rFonts w:ascii="Times New Roman" w:hAnsi="Times New Roman"/>
          <w:b/>
          <w:szCs w:val="24"/>
        </w:rPr>
        <w:t>Docket No. 42516</w:t>
      </w:r>
    </w:p>
    <w:p w14:paraId="009F4322" w14:textId="77777777" w:rsidR="00763BC9" w:rsidRPr="007B6E38" w:rsidRDefault="00763BC9" w:rsidP="00763BC9">
      <w:pPr>
        <w:tabs>
          <w:tab w:val="left" w:pos="0"/>
        </w:tabs>
        <w:jc w:val="center"/>
        <w:rPr>
          <w:rFonts w:ascii="Times New Roman" w:hAnsi="Times New Roman"/>
          <w:b/>
          <w:szCs w:val="24"/>
        </w:rPr>
      </w:pPr>
    </w:p>
    <w:p w14:paraId="78DF12DD" w14:textId="77777777" w:rsidR="00763BC9" w:rsidRPr="007B6E38" w:rsidRDefault="00763BC9" w:rsidP="00763BC9">
      <w:pPr>
        <w:tabs>
          <w:tab w:val="left" w:pos="0"/>
          <w:tab w:val="left" w:pos="720"/>
        </w:tabs>
        <w:jc w:val="both"/>
        <w:rPr>
          <w:rFonts w:ascii="Times New Roman" w:hAnsi="Times New Roman"/>
          <w:b/>
          <w:szCs w:val="24"/>
        </w:rPr>
      </w:pPr>
      <w:r w:rsidRPr="007B6E38">
        <w:rPr>
          <w:rFonts w:ascii="Times New Roman" w:hAnsi="Times New Roman"/>
          <w:b/>
          <w:szCs w:val="24"/>
        </w:rPr>
        <w:tab/>
      </w:r>
    </w:p>
    <w:p w14:paraId="20E3AC3D" w14:textId="77777777" w:rsidR="00763BC9" w:rsidRPr="007B6E38" w:rsidRDefault="00763BC9" w:rsidP="00763BC9">
      <w:pPr>
        <w:tabs>
          <w:tab w:val="left" w:pos="0"/>
          <w:tab w:val="left" w:pos="720"/>
        </w:tabs>
        <w:jc w:val="both"/>
        <w:rPr>
          <w:rFonts w:ascii="Times New Roman" w:hAnsi="Times New Roman"/>
          <w:b/>
          <w:szCs w:val="24"/>
        </w:rPr>
      </w:pPr>
      <w:r w:rsidRPr="007B6E38">
        <w:rPr>
          <w:rFonts w:ascii="Times New Roman" w:hAnsi="Times New Roman"/>
          <w:b/>
          <w:szCs w:val="24"/>
        </w:rPr>
        <w:tab/>
        <w:t>In Re:</w:t>
      </w:r>
      <w:r w:rsidRPr="007B6E38">
        <w:rPr>
          <w:rFonts w:ascii="Times New Roman" w:hAnsi="Times New Roman"/>
          <w:b/>
          <w:szCs w:val="24"/>
        </w:rPr>
        <w:tab/>
      </w:r>
      <w:r w:rsidRPr="007B6E38">
        <w:rPr>
          <w:rFonts w:ascii="Times New Roman" w:hAnsi="Times New Roman"/>
          <w:b/>
          <w:szCs w:val="24"/>
        </w:rPr>
        <w:tab/>
        <w:t>Georgia Power Company’s 2019 Rate Case</w:t>
      </w:r>
    </w:p>
    <w:p w14:paraId="59535A3A" w14:textId="77777777" w:rsidR="00763BC9" w:rsidRPr="007B6E38" w:rsidRDefault="00763BC9" w:rsidP="00763BC9">
      <w:pPr>
        <w:jc w:val="both"/>
        <w:rPr>
          <w:rFonts w:ascii="Times New Roman" w:hAnsi="Times New Roman"/>
          <w:color w:val="000000"/>
          <w:szCs w:val="24"/>
        </w:rPr>
      </w:pPr>
    </w:p>
    <w:p w14:paraId="6DB95A81" w14:textId="77777777" w:rsidR="00763BC9" w:rsidRPr="007B6E38" w:rsidRDefault="00763BC9" w:rsidP="00763BC9">
      <w:pPr>
        <w:jc w:val="center"/>
        <w:rPr>
          <w:rFonts w:ascii="Times New Roman" w:hAnsi="Times New Roman"/>
          <w:b/>
          <w:color w:val="000000"/>
          <w:szCs w:val="24"/>
          <w:u w:val="single"/>
        </w:rPr>
      </w:pPr>
    </w:p>
    <w:p w14:paraId="7AD1F53B" w14:textId="77777777" w:rsidR="00763BC9" w:rsidRPr="007B6E38" w:rsidRDefault="00763BC9" w:rsidP="00763BC9">
      <w:pPr>
        <w:jc w:val="center"/>
        <w:rPr>
          <w:rFonts w:ascii="Times New Roman" w:hAnsi="Times New Roman"/>
          <w:b/>
          <w:color w:val="000000"/>
          <w:szCs w:val="24"/>
          <w:u w:val="single"/>
        </w:rPr>
      </w:pPr>
    </w:p>
    <w:p w14:paraId="63B9C7B3" w14:textId="77777777" w:rsidR="00763BC9" w:rsidRPr="007B6E38" w:rsidRDefault="00763BC9" w:rsidP="00763BC9">
      <w:pPr>
        <w:jc w:val="center"/>
        <w:rPr>
          <w:rFonts w:ascii="Times New Roman" w:hAnsi="Times New Roman"/>
          <w:b/>
          <w:color w:val="000000"/>
          <w:szCs w:val="24"/>
          <w:u w:val="single"/>
        </w:rPr>
      </w:pPr>
      <w:r w:rsidRPr="007B6E38">
        <w:rPr>
          <w:rFonts w:ascii="Times New Roman" w:hAnsi="Times New Roman"/>
          <w:b/>
          <w:color w:val="000000"/>
          <w:szCs w:val="24"/>
          <w:u w:val="single"/>
        </w:rPr>
        <w:t>PROPOSED ORDER OF GEORGIA POWER COMPANY</w:t>
      </w:r>
    </w:p>
    <w:p w14:paraId="692F1430" w14:textId="77777777" w:rsidR="00763BC9" w:rsidRPr="007B6E38" w:rsidRDefault="00763BC9" w:rsidP="00763BC9">
      <w:pPr>
        <w:jc w:val="center"/>
        <w:rPr>
          <w:rFonts w:ascii="Times New Roman" w:hAnsi="Times New Roman"/>
          <w:b/>
          <w:color w:val="000000"/>
          <w:szCs w:val="24"/>
          <w:u w:val="single"/>
        </w:rPr>
      </w:pPr>
    </w:p>
    <w:p w14:paraId="4E26606F" w14:textId="77777777" w:rsidR="00763BC9" w:rsidRPr="007B6E38" w:rsidRDefault="00763BC9" w:rsidP="00763BC9">
      <w:pPr>
        <w:jc w:val="center"/>
        <w:rPr>
          <w:rFonts w:ascii="Times New Roman" w:hAnsi="Times New Roman"/>
          <w:b/>
          <w:color w:val="000000"/>
          <w:szCs w:val="24"/>
          <w:u w:val="single"/>
        </w:rPr>
      </w:pPr>
    </w:p>
    <w:p w14:paraId="314E6ADA" w14:textId="77777777" w:rsidR="00763BC9" w:rsidRPr="007B6E38" w:rsidRDefault="00763BC9" w:rsidP="00763BC9">
      <w:pPr>
        <w:jc w:val="both"/>
        <w:rPr>
          <w:rFonts w:ascii="Times New Roman" w:hAnsi="Times New Roman"/>
          <w:color w:val="000000"/>
          <w:szCs w:val="24"/>
        </w:rPr>
      </w:pPr>
      <w:r w:rsidRPr="007B6E38">
        <w:rPr>
          <w:rFonts w:ascii="Times New Roman" w:hAnsi="Times New Roman"/>
          <w:color w:val="000000"/>
          <w:szCs w:val="24"/>
        </w:rPr>
        <w:t>Record Submitted:</w:t>
      </w:r>
      <w:r w:rsidRPr="007B6E38">
        <w:rPr>
          <w:rFonts w:ascii="Times New Roman" w:hAnsi="Times New Roman"/>
          <w:color w:val="000000"/>
          <w:szCs w:val="24"/>
        </w:rPr>
        <w:tab/>
        <w:t xml:space="preserve">December ___, 2019                    Decided: </w:t>
      </w:r>
      <w:r w:rsidRPr="007B6E38">
        <w:rPr>
          <w:rFonts w:ascii="Times New Roman" w:hAnsi="Times New Roman"/>
          <w:color w:val="000000"/>
          <w:szCs w:val="24"/>
        </w:rPr>
        <w:tab/>
        <w:t>December __, 2019</w:t>
      </w:r>
    </w:p>
    <w:p w14:paraId="2865EF95" w14:textId="77777777" w:rsidR="00763BC9" w:rsidRPr="007B6E38" w:rsidRDefault="00763BC9" w:rsidP="00763BC9">
      <w:pPr>
        <w:jc w:val="both"/>
        <w:rPr>
          <w:rFonts w:ascii="Times New Roman" w:hAnsi="Times New Roman"/>
          <w:color w:val="000000"/>
          <w:szCs w:val="24"/>
        </w:rPr>
      </w:pPr>
    </w:p>
    <w:p w14:paraId="69A4FE6B" w14:textId="77777777" w:rsidR="00763BC9" w:rsidRPr="007B6E38" w:rsidRDefault="00763BC9" w:rsidP="00763BC9">
      <w:pPr>
        <w:jc w:val="both"/>
        <w:rPr>
          <w:rFonts w:ascii="Times New Roman" w:hAnsi="Times New Roman"/>
          <w:color w:val="000000"/>
          <w:szCs w:val="24"/>
        </w:rPr>
      </w:pPr>
    </w:p>
    <w:p w14:paraId="79C14029" w14:textId="77777777" w:rsidR="00763BC9" w:rsidRPr="007B6E38" w:rsidRDefault="00763BC9" w:rsidP="00763BC9">
      <w:pPr>
        <w:jc w:val="both"/>
        <w:rPr>
          <w:rFonts w:ascii="Times New Roman" w:hAnsi="Times New Roman"/>
          <w:color w:val="000000"/>
          <w:szCs w:val="24"/>
        </w:rPr>
      </w:pPr>
    </w:p>
    <w:p w14:paraId="05C75750" w14:textId="77777777" w:rsidR="00763BC9" w:rsidRPr="007B6E38" w:rsidRDefault="00763BC9" w:rsidP="00763BC9">
      <w:pPr>
        <w:pStyle w:val="Heading9"/>
        <w:ind w:hanging="2070"/>
        <w:rPr>
          <w:rFonts w:ascii="Times New Roman" w:hAnsi="Times New Roman" w:cs="Times New Roman"/>
          <w:b/>
          <w:bCs/>
          <w:color w:val="000000"/>
          <w:szCs w:val="24"/>
          <w:u w:val="single"/>
        </w:rPr>
      </w:pPr>
      <w:r w:rsidRPr="007B6E38">
        <w:rPr>
          <w:rFonts w:ascii="Times New Roman" w:hAnsi="Times New Roman" w:cs="Times New Roman"/>
          <w:b/>
          <w:bCs/>
          <w:color w:val="000000"/>
          <w:szCs w:val="24"/>
          <w:u w:val="single"/>
        </w:rPr>
        <w:t>APPEARANCES</w:t>
      </w:r>
    </w:p>
    <w:p w14:paraId="4B6D59A0"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Georgia Public Service Commission Public Interest Advocacy Staff</w:t>
      </w:r>
      <w:r w:rsidRPr="007B6E38">
        <w:rPr>
          <w:rFonts w:ascii="Times New Roman" w:hAnsi="Times New Roman"/>
          <w:szCs w:val="24"/>
        </w:rPr>
        <w:t>:</w:t>
      </w:r>
    </w:p>
    <w:p w14:paraId="3D14267E" w14:textId="77777777" w:rsidR="00763BC9" w:rsidRPr="007B6E38" w:rsidRDefault="00763BC9" w:rsidP="00763BC9">
      <w:pPr>
        <w:tabs>
          <w:tab w:val="left" w:pos="-720"/>
        </w:tabs>
        <w:suppressAutoHyphens/>
        <w:spacing w:line="240" w:lineRule="atLeast"/>
        <w:rPr>
          <w:rFonts w:ascii="Times New Roman" w:hAnsi="Times New Roman"/>
          <w:szCs w:val="24"/>
        </w:rPr>
      </w:pPr>
    </w:p>
    <w:p w14:paraId="491581AB"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JEFFREY STAIR, Attorney</w:t>
      </w:r>
    </w:p>
    <w:p w14:paraId="591C6B6A"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PRESTON THOMAS, Attorney</w:t>
      </w:r>
    </w:p>
    <w:p w14:paraId="3251A9BC"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b/>
        <w:t>- and -</w:t>
      </w:r>
    </w:p>
    <w:p w14:paraId="01E95E2D"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DAN WALSH, Attorney</w:t>
      </w:r>
    </w:p>
    <w:p w14:paraId="70CEA5C2"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Office of the Attorney General</w:t>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p>
    <w:p w14:paraId="42B9F346" w14:textId="77777777" w:rsidR="00763BC9" w:rsidRPr="007B6E38" w:rsidRDefault="00763BC9" w:rsidP="00763BC9">
      <w:pPr>
        <w:tabs>
          <w:tab w:val="left" w:pos="-720"/>
        </w:tabs>
        <w:suppressAutoHyphens/>
        <w:spacing w:line="240" w:lineRule="atLeast"/>
        <w:rPr>
          <w:rFonts w:ascii="Times New Roman" w:hAnsi="Times New Roman"/>
          <w:szCs w:val="24"/>
          <w:u w:val="single"/>
        </w:rPr>
      </w:pPr>
    </w:p>
    <w:p w14:paraId="72B68F48"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Georgia Power Company</w:t>
      </w:r>
      <w:r w:rsidRPr="007B6E38">
        <w:rPr>
          <w:rFonts w:ascii="Times New Roman" w:hAnsi="Times New Roman"/>
          <w:szCs w:val="24"/>
        </w:rPr>
        <w:t>:</w:t>
      </w:r>
    </w:p>
    <w:p w14:paraId="60A3A89A" w14:textId="77777777" w:rsidR="00763BC9" w:rsidRPr="007B6E38" w:rsidRDefault="00763BC9" w:rsidP="00763BC9">
      <w:pPr>
        <w:tabs>
          <w:tab w:val="left" w:pos="-720"/>
        </w:tabs>
        <w:suppressAutoHyphens/>
        <w:spacing w:line="240" w:lineRule="atLeast"/>
        <w:rPr>
          <w:rFonts w:ascii="Times New Roman" w:hAnsi="Times New Roman"/>
          <w:szCs w:val="24"/>
        </w:rPr>
      </w:pPr>
    </w:p>
    <w:p w14:paraId="01880812"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KEVIN C. GREENE, Attorney</w:t>
      </w:r>
    </w:p>
    <w:p w14:paraId="5AAA5222" w14:textId="5955E9DA"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BRANDON</w:t>
      </w:r>
      <w:r w:rsidR="008F11F8">
        <w:rPr>
          <w:rFonts w:ascii="Times New Roman" w:hAnsi="Times New Roman"/>
          <w:szCs w:val="24"/>
        </w:rPr>
        <w:t xml:space="preserve"> F.</w:t>
      </w:r>
      <w:r w:rsidRPr="007B6E38">
        <w:rPr>
          <w:rFonts w:ascii="Times New Roman" w:hAnsi="Times New Roman"/>
          <w:szCs w:val="24"/>
        </w:rPr>
        <w:t xml:space="preserve"> MARZO, Attorney</w:t>
      </w:r>
    </w:p>
    <w:p w14:paraId="531DDA03" w14:textId="4BFC9F15"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STEVE</w:t>
      </w:r>
      <w:r w:rsidR="008F11F8">
        <w:rPr>
          <w:rFonts w:ascii="Times New Roman" w:hAnsi="Times New Roman"/>
          <w:szCs w:val="24"/>
        </w:rPr>
        <w:t>N J.</w:t>
      </w:r>
      <w:r w:rsidRPr="007B6E38">
        <w:rPr>
          <w:rFonts w:ascii="Times New Roman" w:hAnsi="Times New Roman"/>
          <w:szCs w:val="24"/>
        </w:rPr>
        <w:t xml:space="preserve"> HEWITSON, Attorney</w:t>
      </w:r>
    </w:p>
    <w:p w14:paraId="3B418D77" w14:textId="77777777" w:rsidR="00763BC9" w:rsidRPr="007B6E38" w:rsidRDefault="00763BC9" w:rsidP="00763BC9">
      <w:pPr>
        <w:tabs>
          <w:tab w:val="left" w:pos="-720"/>
        </w:tabs>
        <w:suppressAutoHyphens/>
        <w:spacing w:line="240" w:lineRule="atLeast"/>
        <w:rPr>
          <w:rFonts w:ascii="Times New Roman" w:hAnsi="Times New Roman"/>
          <w:szCs w:val="24"/>
        </w:rPr>
      </w:pPr>
    </w:p>
    <w:p w14:paraId="5CDCE90B"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City of Atlanta</w:t>
      </w:r>
      <w:r w:rsidRPr="007B6E38">
        <w:rPr>
          <w:rFonts w:ascii="Times New Roman" w:hAnsi="Times New Roman"/>
          <w:szCs w:val="24"/>
        </w:rPr>
        <w:t>:</w:t>
      </w:r>
    </w:p>
    <w:p w14:paraId="21E52A88" w14:textId="77777777" w:rsidR="00763BC9" w:rsidRPr="007B6E38" w:rsidRDefault="00763BC9" w:rsidP="00763BC9">
      <w:pPr>
        <w:tabs>
          <w:tab w:val="left" w:pos="-720"/>
        </w:tabs>
        <w:suppressAutoHyphens/>
        <w:spacing w:line="240" w:lineRule="atLeast"/>
        <w:rPr>
          <w:rFonts w:ascii="Times New Roman" w:hAnsi="Times New Roman"/>
          <w:szCs w:val="24"/>
          <w:u w:val="single"/>
        </w:rPr>
      </w:pPr>
    </w:p>
    <w:p w14:paraId="6F9D6D95"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Nina R. Hickson, A</w:t>
      </w:r>
      <w:r w:rsidRPr="007B6E38">
        <w:rPr>
          <w:rFonts w:ascii="Times New Roman" w:hAnsi="Times New Roman"/>
          <w:szCs w:val="24"/>
        </w:rPr>
        <w:t>ttorney</w:t>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r w:rsidRPr="007B6E38">
        <w:rPr>
          <w:rFonts w:ascii="Times New Roman" w:hAnsi="Times New Roman"/>
          <w:caps/>
          <w:szCs w:val="24"/>
        </w:rPr>
        <w:tab/>
      </w:r>
    </w:p>
    <w:p w14:paraId="0581E697" w14:textId="77777777" w:rsidR="00763BC9" w:rsidRPr="007B6E38" w:rsidRDefault="00763BC9" w:rsidP="00763BC9">
      <w:pPr>
        <w:rPr>
          <w:rFonts w:ascii="Times New Roman" w:hAnsi="Times New Roman"/>
          <w:szCs w:val="24"/>
        </w:rPr>
      </w:pPr>
      <w:r w:rsidRPr="007B6E38">
        <w:rPr>
          <w:rFonts w:ascii="Times New Roman" w:hAnsi="Times New Roman"/>
          <w:caps/>
          <w:szCs w:val="24"/>
        </w:rPr>
        <w:t xml:space="preserve">Newton M. Galloway, </w:t>
      </w:r>
      <w:r w:rsidRPr="007B6E38">
        <w:rPr>
          <w:rFonts w:ascii="Times New Roman" w:hAnsi="Times New Roman"/>
          <w:szCs w:val="24"/>
        </w:rPr>
        <w:t>Attorney</w:t>
      </w:r>
    </w:p>
    <w:p w14:paraId="6377F343" w14:textId="77777777" w:rsidR="00763BC9" w:rsidRPr="007B6E38" w:rsidRDefault="00763BC9" w:rsidP="00763BC9">
      <w:pPr>
        <w:rPr>
          <w:rFonts w:ascii="Times New Roman" w:hAnsi="Times New Roman"/>
          <w:szCs w:val="24"/>
        </w:rPr>
      </w:pPr>
      <w:r w:rsidRPr="007B6E38">
        <w:rPr>
          <w:rFonts w:ascii="Times New Roman" w:hAnsi="Times New Roman"/>
          <w:caps/>
          <w:szCs w:val="24"/>
        </w:rPr>
        <w:t>Terri M. Lyndall</w:t>
      </w:r>
      <w:r w:rsidRPr="007B6E38">
        <w:rPr>
          <w:rFonts w:ascii="Times New Roman" w:hAnsi="Times New Roman"/>
          <w:szCs w:val="24"/>
        </w:rPr>
        <w:t>, Attorney</w:t>
      </w:r>
    </w:p>
    <w:p w14:paraId="0BBC4B54" w14:textId="77777777" w:rsidR="00763BC9" w:rsidRPr="007B6E38" w:rsidRDefault="00763BC9" w:rsidP="00763BC9">
      <w:pPr>
        <w:tabs>
          <w:tab w:val="left" w:pos="-720"/>
        </w:tabs>
        <w:suppressAutoHyphens/>
        <w:spacing w:line="240" w:lineRule="atLeast"/>
        <w:rPr>
          <w:rFonts w:ascii="Times New Roman" w:hAnsi="Times New Roman"/>
          <w:szCs w:val="24"/>
        </w:rPr>
      </w:pPr>
    </w:p>
    <w:p w14:paraId="51A27DE7"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Commercial Group</w:t>
      </w:r>
      <w:r w:rsidRPr="007B6E38">
        <w:rPr>
          <w:rFonts w:ascii="Times New Roman" w:hAnsi="Times New Roman"/>
          <w:szCs w:val="24"/>
        </w:rPr>
        <w:t>:</w:t>
      </w:r>
    </w:p>
    <w:p w14:paraId="61C4DD15" w14:textId="77777777" w:rsidR="00763BC9" w:rsidRPr="007B6E38" w:rsidRDefault="00763BC9" w:rsidP="00763BC9">
      <w:pPr>
        <w:tabs>
          <w:tab w:val="left" w:pos="-720"/>
        </w:tabs>
        <w:suppressAutoHyphens/>
        <w:spacing w:line="240" w:lineRule="atLeast"/>
        <w:rPr>
          <w:rFonts w:ascii="Times New Roman" w:hAnsi="Times New Roman"/>
          <w:szCs w:val="24"/>
        </w:rPr>
      </w:pPr>
    </w:p>
    <w:p w14:paraId="58626A7C"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ALAN R. JENKINS, Attorney</w:t>
      </w:r>
    </w:p>
    <w:p w14:paraId="529BFA8D" w14:textId="77777777" w:rsidR="00763BC9" w:rsidRPr="007B6E38" w:rsidRDefault="00763BC9" w:rsidP="00763BC9">
      <w:pPr>
        <w:tabs>
          <w:tab w:val="left" w:pos="-720"/>
        </w:tabs>
        <w:suppressAutoHyphens/>
        <w:spacing w:line="240" w:lineRule="atLeast"/>
        <w:rPr>
          <w:rFonts w:ascii="Times New Roman" w:hAnsi="Times New Roman"/>
          <w:szCs w:val="24"/>
        </w:rPr>
      </w:pPr>
    </w:p>
    <w:p w14:paraId="44E7D574"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Concerned Ratepayers of Georgia</w:t>
      </w:r>
      <w:r w:rsidRPr="007B6E38">
        <w:rPr>
          <w:rFonts w:ascii="Times New Roman" w:hAnsi="Times New Roman"/>
          <w:szCs w:val="24"/>
        </w:rPr>
        <w:t>:</w:t>
      </w:r>
    </w:p>
    <w:p w14:paraId="0CF4A201" w14:textId="77777777" w:rsidR="00763BC9" w:rsidRPr="007B6E38" w:rsidRDefault="00763BC9" w:rsidP="00763BC9">
      <w:pPr>
        <w:tabs>
          <w:tab w:val="left" w:pos="-720"/>
        </w:tabs>
        <w:suppressAutoHyphens/>
        <w:spacing w:line="240" w:lineRule="atLeast"/>
        <w:rPr>
          <w:rFonts w:ascii="Times New Roman" w:hAnsi="Times New Roman"/>
          <w:szCs w:val="24"/>
        </w:rPr>
      </w:pPr>
    </w:p>
    <w:p w14:paraId="1FF7B231"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Steven C. Prenovitz</w:t>
      </w:r>
    </w:p>
    <w:p w14:paraId="7C7BD39E" w14:textId="77777777" w:rsidR="00763BC9" w:rsidRPr="007B6E38" w:rsidRDefault="00763BC9" w:rsidP="00763BC9">
      <w:pPr>
        <w:tabs>
          <w:tab w:val="left" w:pos="-720"/>
        </w:tabs>
        <w:suppressAutoHyphens/>
        <w:spacing w:line="240" w:lineRule="atLeast"/>
        <w:rPr>
          <w:rFonts w:ascii="Times New Roman" w:hAnsi="Times New Roman"/>
          <w:caps/>
          <w:szCs w:val="24"/>
          <w:u w:val="single"/>
        </w:rPr>
      </w:pPr>
      <w:r w:rsidRPr="007B6E38">
        <w:rPr>
          <w:rFonts w:ascii="Times New Roman" w:hAnsi="Times New Roman"/>
          <w:caps/>
          <w:szCs w:val="24"/>
        </w:rPr>
        <w:t>Ben J. Stockton</w:t>
      </w:r>
    </w:p>
    <w:p w14:paraId="35726217" w14:textId="77777777" w:rsidR="00763BC9" w:rsidRPr="007B6E38" w:rsidRDefault="00763BC9" w:rsidP="00763BC9">
      <w:pPr>
        <w:tabs>
          <w:tab w:val="left" w:pos="-720"/>
        </w:tabs>
        <w:suppressAutoHyphens/>
        <w:spacing w:line="240" w:lineRule="atLeast"/>
        <w:rPr>
          <w:rFonts w:ascii="Times New Roman" w:hAnsi="Times New Roman"/>
          <w:szCs w:val="24"/>
          <w:u w:val="single"/>
        </w:rPr>
      </w:pPr>
    </w:p>
    <w:p w14:paraId="0029D26B" w14:textId="77777777" w:rsidR="00763BC9" w:rsidRPr="007B6E38" w:rsidRDefault="00763BC9" w:rsidP="00763BC9">
      <w:pPr>
        <w:keepNext/>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lastRenderedPageBreak/>
        <w:t>On behalf of the Georgia Association of Manufacturers</w:t>
      </w:r>
      <w:r w:rsidRPr="007B6E38">
        <w:rPr>
          <w:rFonts w:ascii="Times New Roman" w:hAnsi="Times New Roman"/>
          <w:szCs w:val="24"/>
        </w:rPr>
        <w:t>:</w:t>
      </w:r>
    </w:p>
    <w:p w14:paraId="5F79FFFA" w14:textId="77777777" w:rsidR="00763BC9" w:rsidRPr="007B6E38" w:rsidRDefault="00763BC9" w:rsidP="00763BC9">
      <w:pPr>
        <w:keepNext/>
        <w:tabs>
          <w:tab w:val="left" w:pos="-720"/>
        </w:tabs>
        <w:suppressAutoHyphens/>
        <w:spacing w:line="240" w:lineRule="atLeast"/>
        <w:rPr>
          <w:rFonts w:ascii="Times New Roman" w:hAnsi="Times New Roman"/>
          <w:szCs w:val="24"/>
        </w:rPr>
      </w:pPr>
    </w:p>
    <w:p w14:paraId="665E00FF" w14:textId="77777777" w:rsidR="00763BC9" w:rsidRPr="007B6E38" w:rsidRDefault="00763BC9" w:rsidP="00763BC9">
      <w:pPr>
        <w:keepNext/>
        <w:tabs>
          <w:tab w:val="left" w:pos="-720"/>
        </w:tabs>
        <w:suppressAutoHyphens/>
        <w:spacing w:line="240" w:lineRule="atLeast"/>
        <w:rPr>
          <w:rFonts w:ascii="Times New Roman" w:hAnsi="Times New Roman"/>
          <w:caps/>
          <w:szCs w:val="24"/>
        </w:rPr>
      </w:pPr>
      <w:r w:rsidRPr="007B6E38">
        <w:rPr>
          <w:rFonts w:ascii="Times New Roman" w:hAnsi="Times New Roman"/>
          <w:szCs w:val="24"/>
        </w:rPr>
        <w:t>CHARLES B. JONES, III, Attorney</w:t>
      </w:r>
    </w:p>
    <w:p w14:paraId="3F59236F" w14:textId="77777777" w:rsidR="00763BC9" w:rsidRPr="007B6E38" w:rsidRDefault="00763BC9" w:rsidP="00763BC9">
      <w:pPr>
        <w:tabs>
          <w:tab w:val="left" w:pos="-720"/>
        </w:tabs>
        <w:suppressAutoHyphens/>
        <w:spacing w:line="240" w:lineRule="atLeast"/>
        <w:rPr>
          <w:rFonts w:ascii="Times New Roman" w:hAnsi="Times New Roman"/>
          <w:szCs w:val="24"/>
        </w:rPr>
      </w:pPr>
    </w:p>
    <w:p w14:paraId="59B12945"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Georgia Industrial Group</w:t>
      </w:r>
      <w:r w:rsidRPr="007B6E38">
        <w:rPr>
          <w:rFonts w:ascii="Times New Roman" w:hAnsi="Times New Roman"/>
          <w:szCs w:val="24"/>
        </w:rPr>
        <w:t>:</w:t>
      </w:r>
    </w:p>
    <w:p w14:paraId="7C8934FF" w14:textId="77777777" w:rsidR="00763BC9" w:rsidRPr="007B6E38" w:rsidRDefault="00763BC9" w:rsidP="00763BC9">
      <w:pPr>
        <w:tabs>
          <w:tab w:val="left" w:pos="-720"/>
        </w:tabs>
        <w:suppressAutoHyphens/>
        <w:spacing w:line="240" w:lineRule="atLeast"/>
        <w:rPr>
          <w:rFonts w:ascii="Times New Roman" w:hAnsi="Times New Roman"/>
          <w:szCs w:val="24"/>
        </w:rPr>
      </w:pPr>
    </w:p>
    <w:p w14:paraId="36C32149"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RANDALL D. QUINTRELL, Attorney</w:t>
      </w:r>
    </w:p>
    <w:p w14:paraId="76E0B0BA"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Jeffry Pollock</w:t>
      </w:r>
    </w:p>
    <w:p w14:paraId="24E8CD27" w14:textId="77777777" w:rsidR="00763BC9" w:rsidRPr="007B6E38" w:rsidRDefault="00763BC9" w:rsidP="00763BC9">
      <w:pPr>
        <w:tabs>
          <w:tab w:val="left" w:pos="-720"/>
        </w:tabs>
        <w:suppressAutoHyphens/>
        <w:spacing w:line="240" w:lineRule="atLeast"/>
        <w:rPr>
          <w:rFonts w:ascii="Times New Roman" w:hAnsi="Times New Roman"/>
          <w:szCs w:val="24"/>
          <w:u w:val="single"/>
        </w:rPr>
      </w:pPr>
    </w:p>
    <w:p w14:paraId="12131522"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Georgia Interfaith Power &amp; Light, Southface Energy Institute, and Vote Solar</w:t>
      </w:r>
      <w:r w:rsidRPr="007B6E38">
        <w:rPr>
          <w:rFonts w:ascii="Times New Roman" w:hAnsi="Times New Roman"/>
          <w:szCs w:val="24"/>
        </w:rPr>
        <w:t>:</w:t>
      </w:r>
    </w:p>
    <w:p w14:paraId="011E632A" w14:textId="77777777" w:rsidR="00763BC9" w:rsidRPr="007B6E38" w:rsidRDefault="00763BC9" w:rsidP="00763BC9">
      <w:pPr>
        <w:tabs>
          <w:tab w:val="left" w:pos="-720"/>
        </w:tabs>
        <w:suppressAutoHyphens/>
        <w:spacing w:line="240" w:lineRule="atLeast"/>
        <w:rPr>
          <w:rFonts w:ascii="Times New Roman" w:hAnsi="Times New Roman"/>
          <w:szCs w:val="24"/>
        </w:rPr>
      </w:pPr>
    </w:p>
    <w:p w14:paraId="05CF0360" w14:textId="77777777" w:rsidR="00763BC9" w:rsidRPr="007B6E38" w:rsidRDefault="00763BC9" w:rsidP="00763BC9">
      <w:pPr>
        <w:tabs>
          <w:tab w:val="left" w:pos="-720"/>
        </w:tabs>
        <w:suppressAutoHyphens/>
        <w:spacing w:line="240" w:lineRule="atLeast"/>
        <w:rPr>
          <w:rFonts w:ascii="Times New Roman" w:hAnsi="Times New Roman"/>
          <w:caps/>
          <w:szCs w:val="24"/>
        </w:rPr>
      </w:pPr>
      <w:r w:rsidRPr="007B6E38">
        <w:rPr>
          <w:rFonts w:ascii="Times New Roman" w:hAnsi="Times New Roman"/>
          <w:caps/>
          <w:szCs w:val="24"/>
        </w:rPr>
        <w:t>Kurt Ebersbach, A</w:t>
      </w:r>
      <w:r w:rsidRPr="007B6E38">
        <w:rPr>
          <w:rFonts w:ascii="Times New Roman" w:hAnsi="Times New Roman"/>
          <w:szCs w:val="24"/>
        </w:rPr>
        <w:t>ttorney</w:t>
      </w:r>
    </w:p>
    <w:p w14:paraId="71C1276E"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caps/>
          <w:szCs w:val="24"/>
        </w:rPr>
        <w:t xml:space="preserve">Stacy Shelton, </w:t>
      </w:r>
      <w:r w:rsidRPr="007B6E38">
        <w:rPr>
          <w:rFonts w:ascii="Times New Roman" w:hAnsi="Times New Roman"/>
          <w:szCs w:val="24"/>
        </w:rPr>
        <w:t>Attorney</w:t>
      </w:r>
    </w:p>
    <w:p w14:paraId="1A129D15" w14:textId="77777777" w:rsidR="00763BC9" w:rsidRPr="007B6E38" w:rsidRDefault="00763BC9" w:rsidP="00763BC9">
      <w:pPr>
        <w:tabs>
          <w:tab w:val="left" w:pos="-720"/>
        </w:tabs>
        <w:suppressAutoHyphens/>
        <w:spacing w:line="240" w:lineRule="atLeast"/>
        <w:rPr>
          <w:rFonts w:ascii="Times New Roman" w:hAnsi="Times New Roman"/>
          <w:caps/>
          <w:szCs w:val="24"/>
        </w:rPr>
      </w:pPr>
      <w:r w:rsidRPr="007B6E38">
        <w:rPr>
          <w:rFonts w:ascii="Times New Roman" w:hAnsi="Times New Roman"/>
          <w:caps/>
          <w:szCs w:val="24"/>
        </w:rPr>
        <w:t>Jillian Kysor, A</w:t>
      </w:r>
      <w:r w:rsidRPr="007B6E38">
        <w:rPr>
          <w:rFonts w:ascii="Times New Roman" w:hAnsi="Times New Roman"/>
          <w:szCs w:val="24"/>
        </w:rPr>
        <w:t>ttorney</w:t>
      </w:r>
    </w:p>
    <w:p w14:paraId="5720FB6E"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p>
    <w:p w14:paraId="275A8BC5" w14:textId="77777777" w:rsidR="00763BC9" w:rsidRPr="007B6E38" w:rsidRDefault="00763BC9" w:rsidP="00763BC9">
      <w:pPr>
        <w:tabs>
          <w:tab w:val="left" w:pos="-720"/>
        </w:tabs>
        <w:suppressAutoHyphens/>
        <w:spacing w:line="240" w:lineRule="atLeast"/>
        <w:rPr>
          <w:rFonts w:ascii="Times New Roman" w:hAnsi="Times New Roman"/>
          <w:szCs w:val="24"/>
          <w:u w:val="single"/>
        </w:rPr>
      </w:pPr>
      <w:r w:rsidRPr="007B6E38">
        <w:rPr>
          <w:rFonts w:ascii="Times New Roman" w:hAnsi="Times New Roman"/>
          <w:szCs w:val="24"/>
          <w:u w:val="single"/>
        </w:rPr>
        <w:t>On behalf of Georgia Solar Energy Industries Association, Inc. and Georgia Solar Energy Association, Inc.</w:t>
      </w:r>
      <w:r w:rsidRPr="007B6E38">
        <w:rPr>
          <w:rFonts w:ascii="Times New Roman" w:hAnsi="Times New Roman"/>
          <w:szCs w:val="24"/>
        </w:rPr>
        <w:t>:</w:t>
      </w:r>
    </w:p>
    <w:p w14:paraId="57B0D21E" w14:textId="77777777" w:rsidR="00763BC9" w:rsidRPr="007B6E38" w:rsidRDefault="00763BC9" w:rsidP="00763BC9">
      <w:pPr>
        <w:tabs>
          <w:tab w:val="left" w:pos="-720"/>
        </w:tabs>
        <w:suppressAutoHyphens/>
        <w:spacing w:line="240" w:lineRule="atLeast"/>
        <w:rPr>
          <w:rFonts w:ascii="Times New Roman" w:hAnsi="Times New Roman"/>
          <w:szCs w:val="24"/>
        </w:rPr>
      </w:pPr>
    </w:p>
    <w:p w14:paraId="3579A2AA"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NEWTON M. GALLOWAY, Attorney</w:t>
      </w:r>
    </w:p>
    <w:p w14:paraId="16621E77"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TERRI M. LYNDALL, Attorney</w:t>
      </w:r>
    </w:p>
    <w:p w14:paraId="4D377261" w14:textId="77777777" w:rsidR="00763BC9" w:rsidRPr="007B6E38" w:rsidRDefault="00763BC9" w:rsidP="00763BC9">
      <w:pPr>
        <w:tabs>
          <w:tab w:val="left" w:pos="-720"/>
        </w:tabs>
        <w:suppressAutoHyphens/>
        <w:spacing w:line="240" w:lineRule="atLeast"/>
        <w:rPr>
          <w:rFonts w:ascii="Times New Roman" w:hAnsi="Times New Roman"/>
          <w:szCs w:val="24"/>
        </w:rPr>
      </w:pPr>
    </w:p>
    <w:p w14:paraId="632BC116"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Georgia Restaurant Association</w:t>
      </w:r>
      <w:r w:rsidRPr="007B6E38">
        <w:rPr>
          <w:rFonts w:ascii="Times New Roman" w:hAnsi="Times New Roman"/>
          <w:szCs w:val="24"/>
        </w:rPr>
        <w:t>:</w:t>
      </w:r>
    </w:p>
    <w:p w14:paraId="209B5EA2" w14:textId="77777777" w:rsidR="00763BC9" w:rsidRPr="007B6E38" w:rsidRDefault="00763BC9" w:rsidP="00763BC9">
      <w:pPr>
        <w:tabs>
          <w:tab w:val="left" w:pos="-720"/>
        </w:tabs>
        <w:suppressAutoHyphens/>
        <w:spacing w:line="240" w:lineRule="atLeast"/>
        <w:rPr>
          <w:rFonts w:ascii="Times New Roman" w:hAnsi="Times New Roman"/>
          <w:szCs w:val="24"/>
        </w:rPr>
      </w:pPr>
    </w:p>
    <w:p w14:paraId="038A2713"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Perry J. McGuire, A</w:t>
      </w:r>
      <w:r w:rsidRPr="007B6E38">
        <w:rPr>
          <w:rFonts w:ascii="Times New Roman" w:hAnsi="Times New Roman"/>
          <w:szCs w:val="24"/>
        </w:rPr>
        <w:t>ttorney</w:t>
      </w:r>
    </w:p>
    <w:p w14:paraId="6609BC8C"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caps/>
          <w:szCs w:val="24"/>
        </w:rPr>
        <w:t>Vickie C. Rusek, A</w:t>
      </w:r>
      <w:r w:rsidRPr="007B6E38">
        <w:rPr>
          <w:rFonts w:ascii="Times New Roman" w:hAnsi="Times New Roman"/>
          <w:szCs w:val="24"/>
        </w:rPr>
        <w:t>ttorney</w:t>
      </w:r>
    </w:p>
    <w:p w14:paraId="1E932CFD"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b/>
      </w:r>
      <w:r w:rsidRPr="007B6E38">
        <w:rPr>
          <w:rFonts w:ascii="Times New Roman" w:hAnsi="Times New Roman"/>
          <w:szCs w:val="24"/>
        </w:rPr>
        <w:tab/>
      </w:r>
    </w:p>
    <w:p w14:paraId="0F31AF7E"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Georgia Watch</w:t>
      </w:r>
      <w:r w:rsidRPr="007B6E38">
        <w:rPr>
          <w:rFonts w:ascii="Times New Roman" w:hAnsi="Times New Roman"/>
          <w:szCs w:val="24"/>
        </w:rPr>
        <w:t>:</w:t>
      </w:r>
    </w:p>
    <w:p w14:paraId="0026367D" w14:textId="77777777" w:rsidR="00763BC9" w:rsidRPr="007B6E38" w:rsidRDefault="00763BC9" w:rsidP="00763BC9">
      <w:pPr>
        <w:tabs>
          <w:tab w:val="left" w:pos="-720"/>
        </w:tabs>
        <w:suppressAutoHyphens/>
        <w:spacing w:line="240" w:lineRule="atLeast"/>
        <w:rPr>
          <w:rFonts w:ascii="Times New Roman" w:hAnsi="Times New Roman"/>
          <w:caps/>
          <w:szCs w:val="24"/>
        </w:rPr>
      </w:pPr>
    </w:p>
    <w:p w14:paraId="55051859" w14:textId="77777777" w:rsidR="00763BC9" w:rsidRPr="007B6E38" w:rsidRDefault="00763BC9" w:rsidP="00763BC9">
      <w:pPr>
        <w:tabs>
          <w:tab w:val="left" w:pos="-720"/>
        </w:tabs>
        <w:suppressAutoHyphens/>
        <w:spacing w:line="240" w:lineRule="atLeast"/>
        <w:rPr>
          <w:rFonts w:ascii="Times New Roman" w:hAnsi="Times New Roman"/>
          <w:caps/>
          <w:szCs w:val="24"/>
        </w:rPr>
      </w:pPr>
      <w:r w:rsidRPr="007B6E38">
        <w:rPr>
          <w:rFonts w:ascii="Times New Roman" w:hAnsi="Times New Roman"/>
          <w:caps/>
          <w:szCs w:val="24"/>
        </w:rPr>
        <w:t xml:space="preserve">Liz Coyle </w:t>
      </w:r>
    </w:p>
    <w:p w14:paraId="3F83FE5A" w14:textId="77777777" w:rsidR="00763BC9" w:rsidRPr="007B6E38" w:rsidRDefault="00763BC9" w:rsidP="00763BC9">
      <w:pPr>
        <w:tabs>
          <w:tab w:val="left" w:pos="-720"/>
        </w:tabs>
        <w:suppressAutoHyphens/>
        <w:spacing w:line="240" w:lineRule="atLeast"/>
        <w:rPr>
          <w:rFonts w:ascii="Times New Roman" w:hAnsi="Times New Roman"/>
          <w:caps/>
          <w:szCs w:val="24"/>
        </w:rPr>
      </w:pPr>
      <w:r w:rsidRPr="007B6E38">
        <w:rPr>
          <w:rFonts w:ascii="Times New Roman" w:hAnsi="Times New Roman"/>
          <w:caps/>
          <w:szCs w:val="24"/>
        </w:rPr>
        <w:t>Berneta L. Haynes, A</w:t>
      </w:r>
      <w:r w:rsidRPr="007B6E38">
        <w:rPr>
          <w:rFonts w:ascii="Times New Roman" w:hAnsi="Times New Roman"/>
          <w:szCs w:val="24"/>
        </w:rPr>
        <w:t>ttorney</w:t>
      </w:r>
    </w:p>
    <w:p w14:paraId="45C199C3"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p>
    <w:p w14:paraId="2F34AA3A"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The Kroger Company</w:t>
      </w:r>
      <w:r w:rsidRPr="007B6E38">
        <w:rPr>
          <w:rFonts w:ascii="Times New Roman" w:hAnsi="Times New Roman"/>
          <w:szCs w:val="24"/>
        </w:rPr>
        <w:t>:</w:t>
      </w:r>
    </w:p>
    <w:p w14:paraId="12734B7D" w14:textId="77777777" w:rsidR="00763BC9" w:rsidRPr="007B6E38" w:rsidRDefault="00763BC9" w:rsidP="00763BC9">
      <w:pPr>
        <w:tabs>
          <w:tab w:val="left" w:pos="-720"/>
        </w:tabs>
        <w:suppressAutoHyphens/>
        <w:spacing w:line="240" w:lineRule="atLeast"/>
        <w:rPr>
          <w:rFonts w:ascii="Times New Roman" w:hAnsi="Times New Roman"/>
          <w:szCs w:val="24"/>
        </w:rPr>
      </w:pPr>
    </w:p>
    <w:p w14:paraId="6C23BAC5"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KURT J. BOEHM, Attorney</w:t>
      </w:r>
    </w:p>
    <w:p w14:paraId="31C118E5" w14:textId="77777777" w:rsidR="00763BC9" w:rsidRPr="007B6E38" w:rsidRDefault="00763BC9" w:rsidP="00763BC9">
      <w:pPr>
        <w:tabs>
          <w:tab w:val="left" w:pos="-720"/>
        </w:tabs>
        <w:suppressAutoHyphens/>
        <w:spacing w:line="240" w:lineRule="atLeast"/>
        <w:rPr>
          <w:rFonts w:ascii="Times New Roman" w:hAnsi="Times New Roman"/>
          <w:caps/>
          <w:szCs w:val="24"/>
        </w:rPr>
      </w:pPr>
      <w:r w:rsidRPr="007B6E38">
        <w:rPr>
          <w:rFonts w:ascii="Times New Roman" w:hAnsi="Times New Roman"/>
          <w:szCs w:val="24"/>
        </w:rPr>
        <w:t>J</w:t>
      </w:r>
      <w:r w:rsidRPr="007B6E38">
        <w:rPr>
          <w:rFonts w:ascii="Times New Roman" w:hAnsi="Times New Roman"/>
          <w:caps/>
          <w:szCs w:val="24"/>
        </w:rPr>
        <w:t>ody Kyler Cohn, A</w:t>
      </w:r>
      <w:r w:rsidRPr="007B6E38">
        <w:rPr>
          <w:rFonts w:ascii="Times New Roman" w:hAnsi="Times New Roman"/>
          <w:szCs w:val="24"/>
        </w:rPr>
        <w:t>ttorney</w:t>
      </w:r>
    </w:p>
    <w:p w14:paraId="57E4D072" w14:textId="77777777" w:rsidR="00763BC9" w:rsidRPr="007B6E38" w:rsidRDefault="00763BC9" w:rsidP="00763BC9">
      <w:pPr>
        <w:tabs>
          <w:tab w:val="left" w:pos="-720"/>
        </w:tabs>
        <w:suppressAutoHyphens/>
        <w:spacing w:line="240" w:lineRule="atLeast"/>
        <w:rPr>
          <w:rFonts w:ascii="Times New Roman" w:hAnsi="Times New Roman"/>
          <w:szCs w:val="24"/>
        </w:rPr>
      </w:pPr>
    </w:p>
    <w:p w14:paraId="001D9BA8" w14:textId="77777777" w:rsidR="00763BC9" w:rsidRPr="007B6E38" w:rsidRDefault="00763BC9" w:rsidP="00763BC9">
      <w:pPr>
        <w:tabs>
          <w:tab w:val="left" w:pos="-720"/>
        </w:tabs>
        <w:suppressAutoHyphens/>
        <w:spacing w:line="240" w:lineRule="atLeast"/>
        <w:rPr>
          <w:rFonts w:ascii="Times New Roman" w:hAnsi="Times New Roman"/>
          <w:szCs w:val="24"/>
          <w:u w:val="single"/>
        </w:rPr>
      </w:pPr>
      <w:r w:rsidRPr="007B6E38">
        <w:rPr>
          <w:rFonts w:ascii="Times New Roman" w:hAnsi="Times New Roman"/>
          <w:szCs w:val="24"/>
          <w:u w:val="single"/>
        </w:rPr>
        <w:t>On behalf of the Metropolitan Atlanta Rapid Transit Authority</w:t>
      </w:r>
      <w:r w:rsidRPr="007B6E38">
        <w:rPr>
          <w:rFonts w:ascii="Times New Roman" w:hAnsi="Times New Roman"/>
          <w:szCs w:val="24"/>
        </w:rPr>
        <w:t>:</w:t>
      </w:r>
    </w:p>
    <w:p w14:paraId="0AE92146" w14:textId="77777777" w:rsidR="00763BC9" w:rsidRPr="007B6E38" w:rsidRDefault="00763BC9" w:rsidP="00763BC9">
      <w:pPr>
        <w:tabs>
          <w:tab w:val="left" w:pos="-720"/>
        </w:tabs>
        <w:suppressAutoHyphens/>
        <w:spacing w:line="240" w:lineRule="atLeast"/>
        <w:rPr>
          <w:rFonts w:ascii="Times New Roman" w:hAnsi="Times New Roman"/>
          <w:szCs w:val="24"/>
        </w:rPr>
      </w:pPr>
    </w:p>
    <w:p w14:paraId="2CAE3879" w14:textId="77777777" w:rsidR="00763BC9" w:rsidRPr="007B6E38" w:rsidRDefault="00763BC9" w:rsidP="00763BC9">
      <w:pPr>
        <w:rPr>
          <w:rFonts w:ascii="Times New Roman" w:hAnsi="Times New Roman"/>
          <w:szCs w:val="24"/>
        </w:rPr>
      </w:pPr>
      <w:r w:rsidRPr="007B6E38">
        <w:rPr>
          <w:rFonts w:ascii="Times New Roman" w:hAnsi="Times New Roman"/>
          <w:szCs w:val="24"/>
        </w:rPr>
        <w:t>ROBERT B. BAKER, JR., Attorney</w:t>
      </w:r>
    </w:p>
    <w:p w14:paraId="32B94B19" w14:textId="77777777" w:rsidR="00763BC9" w:rsidRPr="007B6E38" w:rsidRDefault="00763BC9" w:rsidP="00763BC9">
      <w:pPr>
        <w:tabs>
          <w:tab w:val="left" w:pos="-720"/>
        </w:tabs>
        <w:suppressAutoHyphens/>
        <w:spacing w:line="240" w:lineRule="atLeast"/>
        <w:rPr>
          <w:rFonts w:ascii="Times New Roman" w:hAnsi="Times New Roman"/>
          <w:b/>
          <w:caps/>
          <w:szCs w:val="24"/>
        </w:rPr>
      </w:pPr>
      <w:r w:rsidRPr="007B6E38">
        <w:rPr>
          <w:rFonts w:ascii="Times New Roman" w:hAnsi="Times New Roman"/>
          <w:caps/>
          <w:szCs w:val="24"/>
        </w:rPr>
        <w:t>Elizabeth M. O’Neill</w:t>
      </w:r>
    </w:p>
    <w:p w14:paraId="0982BDD0" w14:textId="77777777" w:rsidR="00763BC9" w:rsidRPr="007B6E38" w:rsidRDefault="00763BC9" w:rsidP="00763BC9">
      <w:pPr>
        <w:tabs>
          <w:tab w:val="left" w:pos="-720"/>
        </w:tabs>
        <w:suppressAutoHyphens/>
        <w:spacing w:line="240" w:lineRule="atLeast"/>
        <w:rPr>
          <w:rFonts w:ascii="Times New Roman" w:hAnsi="Times New Roman"/>
          <w:szCs w:val="24"/>
          <w:lang w:val="de-DE"/>
        </w:rPr>
      </w:pPr>
      <w:r w:rsidRPr="007B6E38">
        <w:rPr>
          <w:rFonts w:ascii="Times New Roman" w:hAnsi="Times New Roman"/>
          <w:szCs w:val="24"/>
          <w:lang w:val="de-DE"/>
        </w:rPr>
        <w:tab/>
      </w:r>
      <w:r w:rsidRPr="007B6E38">
        <w:rPr>
          <w:rFonts w:ascii="Times New Roman" w:hAnsi="Times New Roman"/>
          <w:szCs w:val="24"/>
          <w:lang w:val="de-DE"/>
        </w:rPr>
        <w:tab/>
      </w:r>
      <w:r w:rsidRPr="007B6E38">
        <w:rPr>
          <w:rFonts w:ascii="Times New Roman" w:hAnsi="Times New Roman"/>
          <w:szCs w:val="24"/>
          <w:lang w:val="de-DE"/>
        </w:rPr>
        <w:tab/>
      </w:r>
    </w:p>
    <w:p w14:paraId="77B88779"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t>On behalf of Resource Supply Management</w:t>
      </w:r>
      <w:r w:rsidRPr="007B6E38">
        <w:rPr>
          <w:rFonts w:ascii="Times New Roman" w:hAnsi="Times New Roman"/>
          <w:szCs w:val="24"/>
        </w:rPr>
        <w:t>:</w:t>
      </w:r>
    </w:p>
    <w:p w14:paraId="7D322A45" w14:textId="77777777" w:rsidR="00763BC9" w:rsidRPr="007B6E38" w:rsidRDefault="00763BC9" w:rsidP="00763BC9">
      <w:pPr>
        <w:tabs>
          <w:tab w:val="left" w:pos="-720"/>
        </w:tabs>
        <w:suppressAutoHyphens/>
        <w:spacing w:line="240" w:lineRule="atLeast"/>
        <w:rPr>
          <w:rFonts w:ascii="Times New Roman" w:hAnsi="Times New Roman"/>
          <w:szCs w:val="24"/>
        </w:rPr>
      </w:pPr>
    </w:p>
    <w:p w14:paraId="088CA4A9"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JIM CLARKSON</w:t>
      </w:r>
      <w:r w:rsidRPr="007B6E38">
        <w:rPr>
          <w:rFonts w:ascii="Times New Roman" w:hAnsi="Times New Roman"/>
          <w:szCs w:val="24"/>
        </w:rPr>
        <w:tab/>
      </w:r>
    </w:p>
    <w:p w14:paraId="1695AA29" w14:textId="77777777" w:rsidR="00763BC9" w:rsidRPr="007B6E38" w:rsidRDefault="00763BC9" w:rsidP="00763BC9">
      <w:pPr>
        <w:tabs>
          <w:tab w:val="left" w:pos="-720"/>
        </w:tabs>
        <w:suppressAutoHyphens/>
        <w:spacing w:line="240" w:lineRule="atLeast"/>
        <w:rPr>
          <w:rFonts w:ascii="Times New Roman" w:hAnsi="Times New Roman"/>
          <w:szCs w:val="24"/>
          <w:u w:val="single"/>
        </w:rPr>
      </w:pPr>
    </w:p>
    <w:p w14:paraId="06AD944E" w14:textId="77777777" w:rsidR="00763BC9" w:rsidRPr="007B6E38" w:rsidRDefault="00763BC9" w:rsidP="00763BC9">
      <w:pPr>
        <w:keepNext/>
        <w:tabs>
          <w:tab w:val="left" w:pos="-720"/>
        </w:tabs>
        <w:suppressAutoHyphens/>
        <w:spacing w:line="240" w:lineRule="atLeast"/>
        <w:rPr>
          <w:rFonts w:ascii="Times New Roman" w:hAnsi="Times New Roman"/>
          <w:szCs w:val="24"/>
        </w:rPr>
      </w:pPr>
      <w:r w:rsidRPr="007B6E38">
        <w:rPr>
          <w:rFonts w:ascii="Times New Roman" w:hAnsi="Times New Roman"/>
          <w:szCs w:val="24"/>
          <w:u w:val="single"/>
        </w:rPr>
        <w:lastRenderedPageBreak/>
        <w:t>On behalf of the Sierra Club</w:t>
      </w:r>
      <w:r w:rsidRPr="007B6E38">
        <w:rPr>
          <w:rFonts w:ascii="Times New Roman" w:hAnsi="Times New Roman"/>
          <w:szCs w:val="24"/>
        </w:rPr>
        <w:t>:</w:t>
      </w:r>
    </w:p>
    <w:p w14:paraId="4C1F2AA9" w14:textId="77777777" w:rsidR="00763BC9" w:rsidRPr="007B6E38" w:rsidRDefault="00763BC9" w:rsidP="00763BC9">
      <w:pPr>
        <w:keepNext/>
        <w:rPr>
          <w:rFonts w:ascii="Times New Roman" w:hAnsi="Times New Roman"/>
          <w:caps/>
          <w:szCs w:val="24"/>
        </w:rPr>
      </w:pPr>
    </w:p>
    <w:p w14:paraId="62B46351" w14:textId="77777777" w:rsidR="00763BC9" w:rsidRPr="007B6E38" w:rsidRDefault="00763BC9" w:rsidP="00763BC9">
      <w:pPr>
        <w:keepNext/>
        <w:rPr>
          <w:rFonts w:ascii="Times New Roman" w:hAnsi="Times New Roman"/>
          <w:caps/>
          <w:szCs w:val="24"/>
        </w:rPr>
      </w:pPr>
      <w:r w:rsidRPr="007B6E38">
        <w:rPr>
          <w:rFonts w:ascii="Times New Roman" w:hAnsi="Times New Roman"/>
          <w:caps/>
          <w:szCs w:val="24"/>
        </w:rPr>
        <w:t>Robert Jackson, A</w:t>
      </w:r>
      <w:r w:rsidRPr="007B6E38">
        <w:rPr>
          <w:rFonts w:ascii="Times New Roman" w:hAnsi="Times New Roman"/>
          <w:szCs w:val="24"/>
        </w:rPr>
        <w:t>ttorney</w:t>
      </w:r>
    </w:p>
    <w:p w14:paraId="3D531708"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Zachary M. Fabish, A</w:t>
      </w:r>
      <w:r w:rsidRPr="007B6E38">
        <w:rPr>
          <w:rFonts w:ascii="Times New Roman" w:hAnsi="Times New Roman"/>
          <w:szCs w:val="24"/>
        </w:rPr>
        <w:t>ttorney</w:t>
      </w:r>
    </w:p>
    <w:p w14:paraId="37A76A5E" w14:textId="77777777" w:rsidR="00763BC9" w:rsidRPr="007B6E38" w:rsidRDefault="00763BC9" w:rsidP="00763BC9">
      <w:pPr>
        <w:rPr>
          <w:rFonts w:ascii="Times New Roman" w:hAnsi="Times New Roman"/>
          <w:caps/>
          <w:szCs w:val="24"/>
        </w:rPr>
      </w:pPr>
      <w:r w:rsidRPr="007B6E38">
        <w:rPr>
          <w:rFonts w:ascii="Times New Roman" w:hAnsi="Times New Roman"/>
          <w:caps/>
          <w:szCs w:val="24"/>
        </w:rPr>
        <w:t>Dorothy Jaffe, A</w:t>
      </w:r>
      <w:r w:rsidRPr="007B6E38">
        <w:rPr>
          <w:rFonts w:ascii="Times New Roman" w:hAnsi="Times New Roman"/>
          <w:szCs w:val="24"/>
        </w:rPr>
        <w:t>ttorney</w:t>
      </w:r>
    </w:p>
    <w:p w14:paraId="2CA87789" w14:textId="77777777" w:rsidR="00763BC9" w:rsidRPr="007B6E38" w:rsidRDefault="00763BC9" w:rsidP="00763BC9">
      <w:pPr>
        <w:tabs>
          <w:tab w:val="left" w:pos="-720"/>
        </w:tabs>
        <w:suppressAutoHyphens/>
        <w:spacing w:line="240" w:lineRule="atLeast"/>
        <w:rPr>
          <w:rFonts w:ascii="Times New Roman" w:hAnsi="Times New Roman"/>
          <w:szCs w:val="24"/>
        </w:rPr>
      </w:pP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p>
    <w:p w14:paraId="55FE7F03" w14:textId="77777777" w:rsidR="00763BC9" w:rsidRPr="007B6E38" w:rsidRDefault="00763BC9" w:rsidP="00763BC9">
      <w:pPr>
        <w:tabs>
          <w:tab w:val="left" w:pos="-720"/>
        </w:tabs>
        <w:suppressAutoHyphens/>
        <w:spacing w:line="240" w:lineRule="atLeast"/>
        <w:rPr>
          <w:rFonts w:ascii="Times New Roman" w:hAnsi="Times New Roman"/>
          <w:szCs w:val="24"/>
          <w:u w:val="single"/>
        </w:rPr>
      </w:pPr>
      <w:r w:rsidRPr="007B6E38">
        <w:rPr>
          <w:rFonts w:ascii="Times New Roman" w:hAnsi="Times New Roman"/>
          <w:szCs w:val="24"/>
          <w:u w:val="single"/>
        </w:rPr>
        <w:t>On behalf of the U.S. Department of Defense and other affected Federal Executive Agencies</w:t>
      </w:r>
      <w:r w:rsidRPr="007B6E38">
        <w:rPr>
          <w:rFonts w:ascii="Times New Roman" w:hAnsi="Times New Roman"/>
          <w:szCs w:val="24"/>
        </w:rPr>
        <w:t>:</w:t>
      </w:r>
    </w:p>
    <w:p w14:paraId="1F5B716E" w14:textId="77777777" w:rsidR="00763BC9" w:rsidRPr="007B6E38" w:rsidRDefault="00763BC9" w:rsidP="00763BC9">
      <w:pPr>
        <w:rPr>
          <w:rFonts w:ascii="Times New Roman" w:hAnsi="Times New Roman"/>
          <w:caps/>
          <w:szCs w:val="24"/>
        </w:rPr>
      </w:pPr>
    </w:p>
    <w:p w14:paraId="121B4C8D" w14:textId="77777777" w:rsidR="00763BC9" w:rsidRPr="007B6E38" w:rsidRDefault="00763BC9" w:rsidP="00763BC9">
      <w:pPr>
        <w:rPr>
          <w:rFonts w:ascii="Times New Roman" w:hAnsi="Times New Roman"/>
          <w:szCs w:val="24"/>
        </w:rPr>
      </w:pPr>
      <w:r w:rsidRPr="007B6E38">
        <w:rPr>
          <w:rFonts w:ascii="Times New Roman" w:hAnsi="Times New Roman"/>
          <w:caps/>
          <w:szCs w:val="24"/>
        </w:rPr>
        <w:t>Emily W. Medlyn, A</w:t>
      </w:r>
      <w:r w:rsidRPr="007B6E38">
        <w:rPr>
          <w:rFonts w:ascii="Times New Roman" w:hAnsi="Times New Roman"/>
          <w:szCs w:val="24"/>
        </w:rPr>
        <w:t>ttorney</w:t>
      </w:r>
    </w:p>
    <w:p w14:paraId="3C546A8E" w14:textId="77777777" w:rsidR="00763BC9" w:rsidRPr="007B6E38" w:rsidRDefault="00763BC9" w:rsidP="00763BC9">
      <w:pPr>
        <w:rPr>
          <w:rFonts w:ascii="Times New Roman" w:hAnsi="Times New Roman"/>
          <w:szCs w:val="24"/>
        </w:rPr>
      </w:pPr>
    </w:p>
    <w:p w14:paraId="0D889F4F" w14:textId="77777777" w:rsidR="00763BC9" w:rsidRPr="007B6E38" w:rsidRDefault="00763BC9" w:rsidP="00763BC9">
      <w:pPr>
        <w:widowControl w:val="0"/>
        <w:tabs>
          <w:tab w:val="left" w:pos="-720"/>
        </w:tabs>
        <w:suppressAutoHyphens/>
        <w:autoSpaceDE w:val="0"/>
        <w:autoSpaceDN w:val="0"/>
        <w:adjustRightInd w:val="0"/>
        <w:spacing w:line="240" w:lineRule="atLeast"/>
        <w:rPr>
          <w:rFonts w:ascii="Times New Roman" w:eastAsiaTheme="minorHAnsi" w:hAnsi="Times New Roman"/>
          <w:b/>
          <w:szCs w:val="24"/>
          <w:u w:val="single"/>
        </w:rPr>
      </w:pPr>
      <w:r w:rsidRPr="007B6E38">
        <w:rPr>
          <w:rFonts w:ascii="Times New Roman" w:eastAsiaTheme="minorHAnsi" w:hAnsi="Times New Roman"/>
          <w:b/>
          <w:szCs w:val="24"/>
          <w:u w:val="single"/>
        </w:rPr>
        <w:t>____________________________________________________________________________</w:t>
      </w:r>
    </w:p>
    <w:p w14:paraId="4D544562" w14:textId="77777777" w:rsidR="00763BC9" w:rsidRPr="007B6E38" w:rsidRDefault="00763BC9" w:rsidP="00763BC9">
      <w:pPr>
        <w:widowControl w:val="0"/>
        <w:tabs>
          <w:tab w:val="left" w:pos="-720"/>
        </w:tabs>
        <w:suppressAutoHyphens/>
        <w:autoSpaceDE w:val="0"/>
        <w:autoSpaceDN w:val="0"/>
        <w:adjustRightInd w:val="0"/>
        <w:spacing w:line="240" w:lineRule="atLeast"/>
        <w:rPr>
          <w:rFonts w:ascii="Times New Roman" w:eastAsiaTheme="minorHAnsi" w:hAnsi="Times New Roman"/>
          <w:szCs w:val="24"/>
        </w:rPr>
      </w:pPr>
    </w:p>
    <w:p w14:paraId="34F69678" w14:textId="77777777" w:rsidR="00763BC9" w:rsidRPr="007B6E38" w:rsidRDefault="00763BC9" w:rsidP="00763BC9">
      <w:pPr>
        <w:rPr>
          <w:rFonts w:ascii="Times New Roman" w:hAnsi="Times New Roman"/>
          <w:szCs w:val="24"/>
        </w:rPr>
      </w:pPr>
    </w:p>
    <w:p w14:paraId="72F75993" w14:textId="77777777" w:rsidR="00763BC9" w:rsidRPr="007B6E38" w:rsidRDefault="00763BC9" w:rsidP="00763BC9">
      <w:pPr>
        <w:rPr>
          <w:rFonts w:ascii="Times New Roman" w:hAnsi="Times New Roman"/>
          <w:b/>
          <w:szCs w:val="24"/>
        </w:rPr>
      </w:pPr>
      <w:r w:rsidRPr="007B6E38">
        <w:rPr>
          <w:rFonts w:ascii="Times New Roman" w:hAnsi="Times New Roman"/>
          <w:b/>
          <w:szCs w:val="24"/>
        </w:rPr>
        <w:t>BY THE COMMISSION:</w:t>
      </w:r>
    </w:p>
    <w:p w14:paraId="16345065" w14:textId="77777777" w:rsidR="00763BC9" w:rsidRPr="007B6E38" w:rsidRDefault="00763BC9" w:rsidP="00763BC9">
      <w:pPr>
        <w:rPr>
          <w:rFonts w:ascii="Times New Roman" w:hAnsi="Times New Roman"/>
          <w:b/>
          <w:szCs w:val="24"/>
        </w:rPr>
      </w:pPr>
    </w:p>
    <w:p w14:paraId="6FFCED0F" w14:textId="77777777" w:rsidR="00763BC9" w:rsidRPr="007B6E38" w:rsidRDefault="00763BC9" w:rsidP="00763BC9">
      <w:pPr>
        <w:tabs>
          <w:tab w:val="left" w:pos="-720"/>
        </w:tabs>
        <w:suppressAutoHyphens/>
        <w:rPr>
          <w:rFonts w:ascii="Times New Roman" w:hAnsi="Times New Roman"/>
          <w:spacing w:val="-3"/>
          <w:szCs w:val="24"/>
          <w:u w:val="single"/>
        </w:rPr>
      </w:pPr>
      <w:r w:rsidRPr="007B6E38">
        <w:rPr>
          <w:rFonts w:ascii="Times New Roman" w:hAnsi="Times New Roman"/>
          <w:b/>
          <w:spacing w:val="-3"/>
          <w:szCs w:val="24"/>
        </w:rPr>
        <w:fldChar w:fldCharType="begin"/>
      </w:r>
      <w:r w:rsidRPr="007B6E38">
        <w:rPr>
          <w:rFonts w:ascii="Times New Roman" w:hAnsi="Times New Roman"/>
          <w:b/>
          <w:spacing w:val="-3"/>
          <w:szCs w:val="24"/>
        </w:rPr>
        <w:instrText>seq level0 \r1 \*ROMAN</w:instrText>
      </w:r>
      <w:r w:rsidRPr="007B6E38">
        <w:rPr>
          <w:rFonts w:ascii="Times New Roman" w:hAnsi="Times New Roman"/>
          <w:b/>
          <w:spacing w:val="-3"/>
          <w:szCs w:val="24"/>
        </w:rPr>
        <w:fldChar w:fldCharType="separate"/>
      </w:r>
      <w:r w:rsidRPr="007B6E38">
        <w:rPr>
          <w:rFonts w:ascii="Times New Roman" w:hAnsi="Times New Roman"/>
          <w:b/>
          <w:noProof/>
          <w:spacing w:val="-3"/>
          <w:szCs w:val="24"/>
        </w:rPr>
        <w:t>I</w:t>
      </w:r>
      <w:r w:rsidRPr="007B6E38">
        <w:rPr>
          <w:rFonts w:ascii="Times New Roman" w:hAnsi="Times New Roman"/>
          <w:b/>
          <w:spacing w:val="-3"/>
          <w:szCs w:val="24"/>
        </w:rPr>
        <w:fldChar w:fldCharType="end"/>
      </w:r>
      <w:r w:rsidRPr="007B6E38">
        <w:rPr>
          <w:rFonts w:ascii="Times New Roman" w:hAnsi="Times New Roman"/>
          <w:b/>
          <w:spacing w:val="-3"/>
          <w:szCs w:val="24"/>
        </w:rPr>
        <w:t xml:space="preserve">. </w:t>
      </w:r>
      <w:r w:rsidRPr="007B6E38">
        <w:rPr>
          <w:rFonts w:ascii="Times New Roman" w:hAnsi="Times New Roman"/>
          <w:b/>
          <w:spacing w:val="-3"/>
          <w:szCs w:val="24"/>
        </w:rPr>
        <w:tab/>
      </w:r>
      <w:r w:rsidRPr="007B6E38">
        <w:rPr>
          <w:rFonts w:ascii="Times New Roman" w:hAnsi="Times New Roman"/>
          <w:b/>
          <w:spacing w:val="-3"/>
          <w:szCs w:val="24"/>
          <w:u w:val="single"/>
        </w:rPr>
        <w:t>GEORGIA POWER COMPANY’S 2019 RATE CASE</w:t>
      </w:r>
    </w:p>
    <w:p w14:paraId="551F4565" w14:textId="77777777" w:rsidR="00763BC9" w:rsidRPr="007B6E38" w:rsidRDefault="00763BC9" w:rsidP="00763BC9">
      <w:pPr>
        <w:tabs>
          <w:tab w:val="left" w:pos="-720"/>
        </w:tabs>
        <w:suppressAutoHyphens/>
        <w:jc w:val="both"/>
        <w:rPr>
          <w:rFonts w:ascii="Times New Roman" w:hAnsi="Times New Roman"/>
          <w:spacing w:val="-3"/>
          <w:szCs w:val="24"/>
        </w:rPr>
      </w:pPr>
      <w:r w:rsidRPr="007B6E38">
        <w:rPr>
          <w:rFonts w:ascii="Times New Roman" w:hAnsi="Times New Roman"/>
          <w:spacing w:val="-3"/>
          <w:szCs w:val="24"/>
        </w:rPr>
        <w:tab/>
      </w:r>
    </w:p>
    <w:p w14:paraId="2BB611BA" w14:textId="42F4CF19"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On June 28, 2019, Georgia Power Company (</w:t>
      </w:r>
      <w:r w:rsidR="00824511">
        <w:rPr>
          <w:rFonts w:ascii="Times New Roman" w:hAnsi="Times New Roman"/>
          <w:szCs w:val="24"/>
        </w:rPr>
        <w:t xml:space="preserve">the </w:t>
      </w:r>
      <w:r w:rsidRPr="007B6E38">
        <w:rPr>
          <w:rFonts w:ascii="Times New Roman" w:hAnsi="Times New Roman"/>
          <w:szCs w:val="24"/>
        </w:rPr>
        <w:t xml:space="preserve">“Company” </w:t>
      </w:r>
      <w:r w:rsidR="00AB0AFB">
        <w:rPr>
          <w:rFonts w:ascii="Times New Roman" w:hAnsi="Times New Roman"/>
          <w:szCs w:val="24"/>
        </w:rPr>
        <w:t>or</w:t>
      </w:r>
      <w:r w:rsidR="00AB0AFB" w:rsidRPr="007B6E38">
        <w:rPr>
          <w:rFonts w:ascii="Times New Roman" w:hAnsi="Times New Roman"/>
          <w:szCs w:val="24"/>
        </w:rPr>
        <w:t xml:space="preserve"> </w:t>
      </w:r>
      <w:r w:rsidRPr="007B6E38">
        <w:rPr>
          <w:rFonts w:ascii="Times New Roman" w:hAnsi="Times New Roman"/>
          <w:szCs w:val="24"/>
        </w:rPr>
        <w:t xml:space="preserve">“Georgia Power”) filed a </w:t>
      </w:r>
      <w:r w:rsidR="00C41B20">
        <w:rPr>
          <w:rFonts w:ascii="Times New Roman" w:hAnsi="Times New Roman"/>
          <w:szCs w:val="24"/>
        </w:rPr>
        <w:t>this</w:t>
      </w:r>
      <w:r w:rsidRPr="007B6E38">
        <w:rPr>
          <w:rFonts w:ascii="Times New Roman" w:hAnsi="Times New Roman"/>
          <w:szCs w:val="24"/>
        </w:rPr>
        <w:t xml:space="preserve"> rate case pursuant to the terms and conditions of the Georgia Public Service Commission’s (the “Commission”) December 23, 2013 Order Adopting Settlement Agreement in Georgia Power’s 2013 Rate Case in Docket No. 36989 (“2013 Rate Case Final Order”). In the 2013 Rate Case Final Order, the Commission provided Georgia Power </w:t>
      </w:r>
      <w:r w:rsidRPr="007B6E38">
        <w:rPr>
          <w:rFonts w:ascii="Times New Roman" w:hAnsi="Times New Roman"/>
          <w:bCs/>
          <w:szCs w:val="24"/>
        </w:rPr>
        <w:t xml:space="preserve">with specific instructions for its next filing as follows: </w:t>
      </w:r>
    </w:p>
    <w:p w14:paraId="02D2E4D7" w14:textId="77777777" w:rsidR="00763BC9" w:rsidRPr="007B6E38" w:rsidRDefault="00763BC9" w:rsidP="00763BC9">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firstLine="720"/>
        <w:jc w:val="both"/>
        <w:rPr>
          <w:rFonts w:ascii="Times New Roman" w:hAnsi="Times New Roman"/>
          <w:szCs w:val="24"/>
        </w:rPr>
      </w:pPr>
    </w:p>
    <w:p w14:paraId="6FA1BE88" w14:textId="77777777" w:rsidR="00763BC9" w:rsidRPr="007B6E38" w:rsidRDefault="00763BC9" w:rsidP="00763BC9">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1440" w:right="720"/>
        <w:jc w:val="both"/>
        <w:rPr>
          <w:rFonts w:ascii="Times New Roman" w:hAnsi="Times New Roman"/>
          <w:szCs w:val="24"/>
        </w:rPr>
      </w:pPr>
      <w:r w:rsidRPr="007B6E38">
        <w:rPr>
          <w:rFonts w:ascii="Times New Roman" w:hAnsi="Times New Roman"/>
          <w:szCs w:val="24"/>
        </w:rPr>
        <w:t>The Commission finds that a three-year term for the Stipulation ending December 31, 2016 is reasonable. The Company shall file a general rate case by July 1, 2016. As part of its consideration of that general rate case, the Commission will determine whether to continue, modify or discontinue the Stipulation beyond December 31, 2016.</w:t>
      </w:r>
    </w:p>
    <w:p w14:paraId="2B174A9E" w14:textId="77777777" w:rsidR="00763BC9" w:rsidRPr="007B6E38" w:rsidRDefault="00763BC9" w:rsidP="00763BC9">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1440" w:right="720"/>
        <w:jc w:val="both"/>
        <w:rPr>
          <w:rFonts w:ascii="Times New Roman" w:hAnsi="Times New Roman"/>
          <w:szCs w:val="24"/>
        </w:rPr>
      </w:pPr>
    </w:p>
    <w:p w14:paraId="3DD0AEF0" w14:textId="77777777" w:rsidR="008F11F8" w:rsidRDefault="00763BC9" w:rsidP="00763BC9">
      <w:pPr>
        <w:autoSpaceDE w:val="0"/>
        <w:autoSpaceDN w:val="0"/>
        <w:adjustRightInd w:val="0"/>
        <w:ind w:left="1440" w:right="720"/>
        <w:jc w:val="both"/>
        <w:rPr>
          <w:rFonts w:ascii="Times New Roman" w:hAnsi="Times New Roman"/>
          <w:spacing w:val="-5"/>
          <w:szCs w:val="24"/>
        </w:rPr>
      </w:pPr>
      <w:r w:rsidRPr="007B6E38">
        <w:rPr>
          <w:rFonts w:ascii="Times New Roman" w:hAnsi="Times New Roman"/>
          <w:spacing w:val="-5"/>
          <w:szCs w:val="24"/>
        </w:rPr>
        <w:t xml:space="preserve">By July 1, 2016, the Company shall file testimony and exhibits required in a general rate case along with supporting schedules required by the Commission to support a “traditional” rate case.  The test period utilized by the Company in its rate case filing shall be from August 1, 2016 to July 31, 2017.  The Company may propose to continue, modify or discontinue this Alternate Rate Plan.  The Company shall also file projected revenue requirements for calendar years 2017, 2018, and 2019. </w:t>
      </w:r>
    </w:p>
    <w:p w14:paraId="261B8959" w14:textId="77777777" w:rsidR="008F11F8" w:rsidRDefault="008F11F8" w:rsidP="008F11F8">
      <w:pPr>
        <w:autoSpaceDE w:val="0"/>
        <w:autoSpaceDN w:val="0"/>
        <w:adjustRightInd w:val="0"/>
        <w:ind w:right="720"/>
        <w:jc w:val="both"/>
        <w:rPr>
          <w:rFonts w:ascii="Times New Roman" w:hAnsi="Times New Roman"/>
          <w:spacing w:val="-5"/>
          <w:szCs w:val="24"/>
        </w:rPr>
      </w:pPr>
    </w:p>
    <w:p w14:paraId="37964679" w14:textId="09D406F5" w:rsidR="00763BC9" w:rsidRPr="007B6E38" w:rsidRDefault="00763BC9" w:rsidP="008F11F8">
      <w:pPr>
        <w:autoSpaceDE w:val="0"/>
        <w:autoSpaceDN w:val="0"/>
        <w:adjustRightInd w:val="0"/>
        <w:ind w:right="720"/>
        <w:jc w:val="both"/>
        <w:rPr>
          <w:rFonts w:ascii="Times New Roman" w:hAnsi="Times New Roman"/>
          <w:spacing w:val="-5"/>
          <w:szCs w:val="24"/>
        </w:rPr>
      </w:pPr>
      <w:r w:rsidRPr="007B6E38">
        <w:rPr>
          <w:rFonts w:ascii="Times New Roman" w:hAnsi="Times New Roman"/>
          <w:spacing w:val="-5"/>
          <w:szCs w:val="24"/>
        </w:rPr>
        <w:t>Docket No. 36989, Order Adopting Settlement Agreement</w:t>
      </w:r>
    </w:p>
    <w:p w14:paraId="1B1A56D7" w14:textId="77777777" w:rsidR="00763BC9" w:rsidRPr="007B6E38" w:rsidRDefault="00763BC9" w:rsidP="00763BC9">
      <w:pPr>
        <w:rPr>
          <w:rFonts w:ascii="Times New Roman" w:hAnsi="Times New Roman"/>
          <w:b/>
          <w:szCs w:val="24"/>
        </w:rPr>
      </w:pPr>
    </w:p>
    <w:p w14:paraId="5C824980" w14:textId="77777777" w:rsidR="00763BC9" w:rsidRPr="007B6E38" w:rsidRDefault="00763BC9" w:rsidP="0000712A">
      <w:pPr>
        <w:ind w:firstLine="720"/>
        <w:jc w:val="both"/>
        <w:rPr>
          <w:rFonts w:ascii="Times New Roman" w:hAnsi="Times New Roman"/>
          <w:bCs/>
          <w:szCs w:val="24"/>
        </w:rPr>
      </w:pPr>
      <w:r w:rsidRPr="007B6E38">
        <w:rPr>
          <w:rFonts w:ascii="Times New Roman" w:hAnsi="Times New Roman"/>
          <w:szCs w:val="24"/>
        </w:rPr>
        <w:t xml:space="preserve">Subsequently, the Commission established in its May 12, 2016 Order Adopting Settlement Agreement in Docket No. 39971, the </w:t>
      </w:r>
      <w:r w:rsidRPr="007B6E38">
        <w:rPr>
          <w:rFonts w:ascii="Times New Roman" w:hAnsi="Times New Roman"/>
          <w:bCs/>
          <w:szCs w:val="24"/>
        </w:rPr>
        <w:t>Joint Request of Atlanta Gas Light Company, AGL Resources Inc., and The Southern Company for a Finding that Southern Company’s Merger with AGL Resources Complies with Applicable Law that:</w:t>
      </w:r>
    </w:p>
    <w:p w14:paraId="0D4A93B6" w14:textId="77777777" w:rsidR="00763BC9" w:rsidRPr="007B6E38" w:rsidRDefault="00763BC9" w:rsidP="00763BC9">
      <w:pPr>
        <w:rPr>
          <w:rFonts w:ascii="Times New Roman" w:hAnsi="Times New Roman"/>
          <w:bCs/>
          <w:szCs w:val="24"/>
        </w:rPr>
      </w:pPr>
    </w:p>
    <w:p w14:paraId="0111694A" w14:textId="77777777" w:rsidR="00763BC9" w:rsidRPr="007B6E38" w:rsidRDefault="00763BC9" w:rsidP="00763BC9">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1440" w:right="720"/>
        <w:jc w:val="both"/>
        <w:rPr>
          <w:rFonts w:ascii="Times New Roman" w:hAnsi="Times New Roman"/>
          <w:szCs w:val="24"/>
        </w:rPr>
      </w:pPr>
      <w:r w:rsidRPr="007B6E38">
        <w:rPr>
          <w:rFonts w:ascii="Times New Roman" w:hAnsi="Times New Roman"/>
          <w:szCs w:val="24"/>
        </w:rPr>
        <w:t>In furtherance of securing an agreement on the merger application, and in light of the fact that this merger presents the unique combination of an electric utility and a gas utility both under the jurisdiction of this Commission, the current 2013 Georgia Power accounting order shall continue in effect without further rate adjustments under Paragraph 6 of Attachment 1 of that Accounting Order until December 31, 2019 and Georgia Power shall file its next retail rate case, or request for an accounting order, on July 1, 2019.</w:t>
      </w:r>
    </w:p>
    <w:p w14:paraId="1400E9E4" w14:textId="77777777" w:rsidR="00763BC9" w:rsidRPr="007B6E38" w:rsidRDefault="00763BC9" w:rsidP="00763BC9">
      <w:pPr>
        <w:autoSpaceDE w:val="0"/>
        <w:autoSpaceDN w:val="0"/>
        <w:adjustRightInd w:val="0"/>
        <w:ind w:left="2880" w:right="1440"/>
        <w:contextualSpacing/>
        <w:jc w:val="both"/>
        <w:rPr>
          <w:rFonts w:ascii="Times New Roman" w:hAnsi="Times New Roman"/>
          <w:i/>
          <w:spacing w:val="-5"/>
          <w:szCs w:val="24"/>
        </w:rPr>
      </w:pPr>
    </w:p>
    <w:p w14:paraId="0219978A"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Commission has general ratemaking jurisdiction over Georgia Power Company under O.C.G.A. Ch. 2, T. 46. The Georgia Public Service Commission has general supervision over electric light and power companies.  O.C.G.A. §§ 46-2-20(a) and 46-2-21.  The Commission has “exclusive power to determine what are just and reasonable rates and charges to be made by any person, firm, or corporation subject to its jurisdiction.”  O.C.G.A. § 26-2-23; </w:t>
      </w:r>
      <w:r w:rsidRPr="007B6E38">
        <w:rPr>
          <w:rFonts w:ascii="Times New Roman" w:hAnsi="Times New Roman"/>
          <w:szCs w:val="24"/>
          <w:u w:val="single"/>
        </w:rPr>
        <w:t xml:space="preserve">see also </w:t>
      </w:r>
      <w:r w:rsidRPr="007B6E38">
        <w:rPr>
          <w:rFonts w:ascii="Times New Roman" w:hAnsi="Times New Roman"/>
          <w:szCs w:val="24"/>
        </w:rPr>
        <w:t>O.C.G.A. §§ 46-1-1(5), 46-2-24, 46-2-25, 46-2-26.1, and 46-2-26.2.</w:t>
      </w:r>
    </w:p>
    <w:p w14:paraId="2AD74198" w14:textId="77777777" w:rsidR="00763BC9" w:rsidRPr="007B6E38" w:rsidRDefault="00763BC9" w:rsidP="00763BC9">
      <w:pPr>
        <w:jc w:val="both"/>
        <w:rPr>
          <w:rFonts w:ascii="Times New Roman" w:hAnsi="Times New Roman"/>
          <w:szCs w:val="24"/>
        </w:rPr>
      </w:pPr>
    </w:p>
    <w:p w14:paraId="1EFC25C0" w14:textId="77FBFB47"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 xml:space="preserve">The Company’s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 xml:space="preserve">ase filing was made in compliance with the May 24, 2019 Procedural and Scheduling Order (“PSO”) for the Company’s 2019 Rate </w:t>
      </w:r>
      <w:r w:rsidR="00510F66" w:rsidRPr="007B6E38">
        <w:rPr>
          <w:rFonts w:ascii="Times New Roman" w:hAnsi="Times New Roman"/>
          <w:szCs w:val="24"/>
        </w:rPr>
        <w:t>Case that</w:t>
      </w:r>
      <w:r w:rsidRPr="007B6E38">
        <w:rPr>
          <w:rFonts w:ascii="Times New Roman" w:hAnsi="Times New Roman"/>
          <w:szCs w:val="24"/>
        </w:rPr>
        <w:t xml:space="preserve"> identified the procedures to be followed in this docket along with corresponding dates on which designated events were set to occur with respect to the Company’s filing. In the body of the PSO, the Commission, pursuant to O.C.G.A. § 46-2-25, suspended the subject matter of Georgia Power’s filing for a period of five months ending January 1, 2020. In addition, the Commission determined that the proceedings on the Company’s filing constituted complex litigation, as that term is defined in O.C.G.A. § 9-11-33. The Company’s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 xml:space="preserve">ase filing included information responsive to the Commission’s rule regarding Minimum Filing Requirements (“MFRs”); exhibits reflecting Georgia Power’s cost of service study, sales and revenue forecast, depreciation rates, and cash working capital; and the testimony and exhibits of W. Paul Bowers, the panel of David P. Poroch, Sarah P. Adams and Michael B. Robinson, James H. Vander Weide, Ph.D., Steven M. Fetter, Lawrence J. Vogt, Ahmad Faruqui, Ph.D., and Larry T. Legg. On September 24, 2019, Georgia Power filed an errata to reflect the revenue requirement impacts from various items included in the amended Stipulation approved by the Commission in the Company’s 2019 Integrated Resource Plan (“IRP”) and DSM Certification proceedings in Docket Nos. 42310 and 42311 (“Errata”). </w:t>
      </w:r>
    </w:p>
    <w:p w14:paraId="4A40E817" w14:textId="73DAF825"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Georgia Power’s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ase filing, as amended by the Errata, requests approval to continue the three-year alternate rate plan (“ARP”) structure and requests rate increases of $560, $144 and $233 million to be effective January 1, 2020, 2021 and 2022, respectively. These proposed increases include a one-time levelized adjustment for traditional base and ECCR tariffs and annual increases to recover compliance costs associated with ash pond closure as well as the demand side management and municipal franchise fee tariffs. Hearings on Georgia Power’s direct case in support of its filing were held September 30, 2019 through October 2, 2019.</w:t>
      </w:r>
    </w:p>
    <w:p w14:paraId="3714986E" w14:textId="77777777" w:rsidR="00763BC9" w:rsidRPr="007B6E38" w:rsidRDefault="00763BC9" w:rsidP="00763BC9">
      <w:pPr>
        <w:ind w:firstLine="720"/>
        <w:jc w:val="both"/>
        <w:rPr>
          <w:rFonts w:ascii="Times New Roman" w:hAnsi="Times New Roman"/>
          <w:szCs w:val="24"/>
        </w:rPr>
      </w:pPr>
    </w:p>
    <w:p w14:paraId="2C287C7E" w14:textId="03C2F991"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In addition to the Commission’s Public Interest Advocacy (“PIA”) Staff, which has a statutory right to participate in this proceeding, intervention</w:t>
      </w:r>
      <w:r w:rsidR="008241EA">
        <w:rPr>
          <w:rFonts w:ascii="Times New Roman" w:hAnsi="Times New Roman"/>
          <w:szCs w:val="24"/>
        </w:rPr>
        <w:t xml:space="preserve">s </w:t>
      </w:r>
      <w:r w:rsidRPr="007B6E38">
        <w:rPr>
          <w:rFonts w:ascii="Times New Roman" w:hAnsi="Times New Roman"/>
          <w:szCs w:val="24"/>
        </w:rPr>
        <w:t>were filed by a number of interested parties. These interested parties included the City of Atlanta; the Commercial Group; Concerned Ratepayers of Georgia;  the U.S. Department of Defense (on behalf of all Other Federal Executive Agencies) (“DOD”); Georgia Association of Manufacturers (“GAM”); Georgia Industrial Group (“GIG”); Georgia Interfaith Power &amp; Light, Inc. (“GIPL”), Southface Energy Institute, Inc. (“Southface”), and Vote Solar, Inc.; the Georgia Solar Energy Association, Inc. (“GSEA”) and Georgia Solar Energy Industries Association (“GSEIA”); Georgia Restaurant Association (“GRA”); Georgia Watch; The Kroger Company (“Kroger”); Metropolitan Atlanta Rapid Transit Authority (“MARTA”); Resource Supply Management (“RSM”); and the Sierra Club.</w:t>
      </w:r>
      <w:r w:rsidR="0000712A">
        <w:rPr>
          <w:rStyle w:val="FootnoteReference"/>
          <w:rFonts w:ascii="Times New Roman" w:hAnsi="Times New Roman"/>
          <w:szCs w:val="24"/>
        </w:rPr>
        <w:footnoteReference w:id="1"/>
      </w:r>
      <w:r w:rsidRPr="007B6E38">
        <w:rPr>
          <w:rFonts w:ascii="Times New Roman" w:hAnsi="Times New Roman"/>
          <w:szCs w:val="24"/>
        </w:rPr>
        <w:t xml:space="preserve"> Thereafter, on October 17, 2019, PIA Staff and </w:t>
      </w:r>
      <w:r w:rsidR="00E86C6F">
        <w:rPr>
          <w:rFonts w:ascii="Times New Roman" w:hAnsi="Times New Roman"/>
          <w:szCs w:val="24"/>
        </w:rPr>
        <w:t>I</w:t>
      </w:r>
      <w:r w:rsidRPr="007B6E38">
        <w:rPr>
          <w:rFonts w:ascii="Times New Roman" w:hAnsi="Times New Roman"/>
          <w:szCs w:val="24"/>
        </w:rPr>
        <w:t xml:space="preserve">ntervenors filed testimony and exhibits presenting their respective direct cases. With the exception of Concerned Ratepayers of Georgia, GSEIA/GSEA, and Georgia Watch, all other parties to this case filed testimony in this proceeding. Hearings on PIA Staff and Intervenors’ direct cases were held November 4-6, 2019. </w:t>
      </w:r>
    </w:p>
    <w:p w14:paraId="283CC105" w14:textId="3DAC1BD0"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 xml:space="preserve">On November 15, 2019, the Company filed the rebuttal testimony of the panel of David P. Poroch and Sarah P. Adams, James Vander Weide, Ph.D., Steven M. Fetter, and the panel of </w:t>
      </w:r>
      <w:r w:rsidR="00510F66" w:rsidRPr="007B6E38">
        <w:rPr>
          <w:rFonts w:ascii="Times New Roman" w:hAnsi="Times New Roman"/>
          <w:szCs w:val="24"/>
        </w:rPr>
        <w:t xml:space="preserve">Larry T. Legg </w:t>
      </w:r>
      <w:r w:rsidR="00510F66">
        <w:rPr>
          <w:rFonts w:ascii="Times New Roman" w:hAnsi="Times New Roman"/>
          <w:szCs w:val="24"/>
        </w:rPr>
        <w:t xml:space="preserve">and </w:t>
      </w:r>
      <w:r w:rsidRPr="007B6E38">
        <w:rPr>
          <w:rFonts w:ascii="Times New Roman" w:hAnsi="Times New Roman"/>
          <w:szCs w:val="24"/>
        </w:rPr>
        <w:t>Lawrence J. Vogt</w:t>
      </w:r>
      <w:r w:rsidR="00510F66">
        <w:rPr>
          <w:rFonts w:ascii="Times New Roman" w:hAnsi="Times New Roman"/>
          <w:szCs w:val="24"/>
        </w:rPr>
        <w:t xml:space="preserve"> </w:t>
      </w:r>
      <w:r w:rsidRPr="007B6E38">
        <w:rPr>
          <w:rFonts w:ascii="Times New Roman" w:hAnsi="Times New Roman"/>
          <w:szCs w:val="24"/>
        </w:rPr>
        <w:t xml:space="preserve">in response to the positions advocated by PIA Staff and various Intervenors in their direct cases. Hearings regarding the Company’s rebuttal testimony were held November 25-26, 2019.  </w:t>
      </w:r>
    </w:p>
    <w:p w14:paraId="3DC5AF17" w14:textId="69ECDB82"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At each phase of the hearing of evidence in this case, the Commission also heard from numerous public witnesses who expressed their views on the Company’s application, either individually or on behalf of specific groups</w:t>
      </w:r>
      <w:r w:rsidR="008241EA">
        <w:rPr>
          <w:rFonts w:ascii="Times New Roman" w:hAnsi="Times New Roman"/>
          <w:szCs w:val="24"/>
        </w:rPr>
        <w:t>.</w:t>
      </w:r>
    </w:p>
    <w:p w14:paraId="63DAC9C3" w14:textId="77777777" w:rsidR="00763BC9" w:rsidRPr="007B6E38" w:rsidRDefault="00763BC9" w:rsidP="00763BC9">
      <w:pPr>
        <w:jc w:val="both"/>
        <w:rPr>
          <w:rFonts w:ascii="Times New Roman" w:hAnsi="Times New Roman"/>
          <w:szCs w:val="24"/>
        </w:rPr>
      </w:pPr>
    </w:p>
    <w:p w14:paraId="5B7B37D2" w14:textId="77777777" w:rsidR="00763BC9" w:rsidRPr="007B6E38" w:rsidRDefault="00763BC9" w:rsidP="00763BC9">
      <w:pPr>
        <w:keepNext/>
        <w:outlineLvl w:val="3"/>
        <w:rPr>
          <w:rFonts w:ascii="Times New Roman" w:hAnsi="Times New Roman"/>
          <w:b/>
          <w:noProof/>
          <w:spacing w:val="-3"/>
          <w:szCs w:val="24"/>
        </w:rPr>
      </w:pPr>
      <w:r w:rsidRPr="007B6E38">
        <w:rPr>
          <w:rFonts w:ascii="Times New Roman" w:hAnsi="Times New Roman"/>
          <w:b/>
          <w:noProof/>
          <w:spacing w:val="-3"/>
          <w:szCs w:val="24"/>
        </w:rPr>
        <w:t>II.</w:t>
      </w:r>
      <w:r w:rsidRPr="007B6E38">
        <w:rPr>
          <w:rFonts w:ascii="Times New Roman" w:hAnsi="Times New Roman"/>
          <w:b/>
          <w:noProof/>
          <w:spacing w:val="-3"/>
          <w:szCs w:val="24"/>
        </w:rPr>
        <w:tab/>
        <w:t>FINDINGS OF FACT AND CONCLUSIONS OF LAW</w:t>
      </w:r>
    </w:p>
    <w:p w14:paraId="21196867" w14:textId="77777777" w:rsidR="00763BC9" w:rsidRPr="007B6E38" w:rsidRDefault="00763BC9" w:rsidP="00763BC9">
      <w:pPr>
        <w:jc w:val="both"/>
        <w:rPr>
          <w:rFonts w:ascii="Times New Roman" w:hAnsi="Times New Roman"/>
          <w:szCs w:val="24"/>
        </w:rPr>
      </w:pPr>
    </w:p>
    <w:p w14:paraId="7D6108FB" w14:textId="77777777" w:rsidR="00763BC9" w:rsidRPr="007B6E38" w:rsidRDefault="00763BC9" w:rsidP="00763BC9">
      <w:pPr>
        <w:spacing w:before="240" w:after="240"/>
        <w:jc w:val="both"/>
        <w:rPr>
          <w:rFonts w:ascii="Times New Roman" w:hAnsi="Times New Roman"/>
          <w:b/>
          <w:spacing w:val="-3"/>
          <w:szCs w:val="24"/>
        </w:rPr>
      </w:pPr>
      <w:r w:rsidRPr="007B6E38">
        <w:rPr>
          <w:rFonts w:ascii="Times New Roman" w:hAnsi="Times New Roman"/>
          <w:b/>
          <w:spacing w:val="-3"/>
          <w:szCs w:val="24"/>
        </w:rPr>
        <w:t>A.</w:t>
      </w:r>
      <w:r w:rsidRPr="007B6E38">
        <w:rPr>
          <w:rFonts w:ascii="Times New Roman" w:hAnsi="Times New Roman"/>
          <w:b/>
          <w:spacing w:val="-3"/>
          <w:szCs w:val="24"/>
        </w:rPr>
        <w:tab/>
        <w:t xml:space="preserve">ROE, Capital Structure, Cost of Debt, and Financial Integrity </w:t>
      </w:r>
    </w:p>
    <w:p w14:paraId="0EA28F0E" w14:textId="77777777" w:rsidR="00763BC9" w:rsidRPr="007B6E38" w:rsidRDefault="00763BC9" w:rsidP="00763BC9">
      <w:pPr>
        <w:jc w:val="both"/>
        <w:rPr>
          <w:rFonts w:ascii="Times New Roman" w:hAnsi="Times New Roman"/>
          <w:spacing w:val="-3"/>
          <w:szCs w:val="24"/>
        </w:rPr>
      </w:pPr>
      <w:r w:rsidRPr="007B6E38">
        <w:rPr>
          <w:rFonts w:ascii="Times New Roman" w:hAnsi="Times New Roman"/>
          <w:spacing w:val="-3"/>
          <w:szCs w:val="24"/>
        </w:rPr>
        <w:tab/>
        <w:t xml:space="preserve">To ensure that the competing interests of all parties were properly considered, the Commission has carefully analyzed all evidence of record including the testimony given and the various exhibits entered by all the parties. As set forth hereinafter, the Commission makes findings of fact and conclusions of law based on the evidentiary record created.   </w:t>
      </w:r>
    </w:p>
    <w:p w14:paraId="0D56C7F5" w14:textId="77777777" w:rsidR="00763BC9" w:rsidRPr="007B6E38" w:rsidRDefault="00763BC9" w:rsidP="00763BC9">
      <w:pPr>
        <w:pStyle w:val="ListParagraph"/>
        <w:numPr>
          <w:ilvl w:val="0"/>
          <w:numId w:val="21"/>
        </w:numPr>
        <w:spacing w:before="240" w:after="240"/>
        <w:ind w:left="1440" w:hanging="720"/>
        <w:jc w:val="both"/>
        <w:rPr>
          <w:rFonts w:ascii="Times New Roman" w:hAnsi="Times New Roman"/>
          <w:spacing w:val="-3"/>
          <w:szCs w:val="24"/>
          <w:u w:val="single"/>
        </w:rPr>
      </w:pPr>
      <w:r w:rsidRPr="007B6E38">
        <w:rPr>
          <w:rFonts w:ascii="Times New Roman" w:hAnsi="Times New Roman"/>
          <w:spacing w:val="-3"/>
          <w:szCs w:val="24"/>
          <w:u w:val="single"/>
        </w:rPr>
        <w:t xml:space="preserve">Commission Determination Regarding Return on Equity (“ROE”). </w:t>
      </w:r>
    </w:p>
    <w:p w14:paraId="5541BA80" w14:textId="36012EAE" w:rsidR="00763BC9" w:rsidRPr="007B6E38" w:rsidRDefault="00763BC9" w:rsidP="00763BC9">
      <w:pPr>
        <w:ind w:firstLine="720"/>
        <w:jc w:val="both"/>
        <w:rPr>
          <w:rFonts w:ascii="Times New Roman" w:hAnsi="Times New Roman"/>
          <w:spacing w:val="-3"/>
          <w:szCs w:val="24"/>
        </w:rPr>
      </w:pPr>
      <w:r w:rsidRPr="007B6E38">
        <w:rPr>
          <w:rFonts w:ascii="Times New Roman" w:hAnsi="Times New Roman"/>
          <w:spacing w:val="-3"/>
          <w:szCs w:val="24"/>
        </w:rPr>
        <w:t>The difference between the respective ROE recommendations of Georgia Power and PIA Staff were significant. Georgia Power requested an ROE of 10.9%; whereas</w:t>
      </w:r>
      <w:r w:rsidR="008241EA">
        <w:rPr>
          <w:rFonts w:ascii="Times New Roman" w:hAnsi="Times New Roman"/>
          <w:spacing w:val="-3"/>
          <w:szCs w:val="24"/>
        </w:rPr>
        <w:t xml:space="preserve"> </w:t>
      </w:r>
      <w:r w:rsidRPr="007B6E38">
        <w:rPr>
          <w:rFonts w:ascii="Times New Roman" w:hAnsi="Times New Roman"/>
          <w:spacing w:val="-3"/>
          <w:szCs w:val="24"/>
        </w:rPr>
        <w:t>PIA Staff Witness, Michael Gorman recommended an ROE of 9.2% and DOD Witness Reno recommended an ROE of 9.1%.</w:t>
      </w:r>
    </w:p>
    <w:p w14:paraId="559C98B1" w14:textId="77777777" w:rsidR="00763BC9" w:rsidRPr="007B6E38" w:rsidRDefault="00763BC9" w:rsidP="00763BC9">
      <w:pPr>
        <w:ind w:firstLine="720"/>
        <w:jc w:val="both"/>
        <w:rPr>
          <w:rFonts w:ascii="Times New Roman" w:hAnsi="Times New Roman"/>
          <w:spacing w:val="-3"/>
          <w:szCs w:val="24"/>
        </w:rPr>
      </w:pPr>
    </w:p>
    <w:p w14:paraId="739A901F" w14:textId="5C2AD034" w:rsidR="00763BC9" w:rsidRPr="007B6E38" w:rsidRDefault="00763BC9" w:rsidP="00763BC9">
      <w:pPr>
        <w:ind w:firstLine="720"/>
        <w:jc w:val="both"/>
        <w:rPr>
          <w:rFonts w:ascii="Times New Roman" w:hAnsi="Times New Roman"/>
          <w:spacing w:val="-3"/>
          <w:szCs w:val="24"/>
        </w:rPr>
      </w:pPr>
      <w:r w:rsidRPr="007B6E38">
        <w:rPr>
          <w:rFonts w:ascii="Times New Roman" w:hAnsi="Times New Roman"/>
          <w:spacing w:val="-3"/>
          <w:szCs w:val="24"/>
        </w:rPr>
        <w:t xml:space="preserve">Georgia Power </w:t>
      </w:r>
      <w:r w:rsidR="00830EB8">
        <w:rPr>
          <w:rFonts w:ascii="Times New Roman" w:hAnsi="Times New Roman"/>
          <w:spacing w:val="-3"/>
          <w:szCs w:val="24"/>
        </w:rPr>
        <w:t>W</w:t>
      </w:r>
      <w:r w:rsidRPr="007B6E38">
        <w:rPr>
          <w:rFonts w:ascii="Times New Roman" w:hAnsi="Times New Roman"/>
          <w:spacing w:val="-3"/>
          <w:szCs w:val="24"/>
        </w:rPr>
        <w:t>itness Dr. Vander Weide relied on the following widely accepted models to develop his ROE determination: the Discounted Cash Flow (“DCF”)</w:t>
      </w:r>
      <w:r w:rsidR="00830EB8">
        <w:rPr>
          <w:rFonts w:ascii="Times New Roman" w:hAnsi="Times New Roman"/>
          <w:spacing w:val="-3"/>
          <w:szCs w:val="24"/>
        </w:rPr>
        <w:t>;</w:t>
      </w:r>
      <w:r w:rsidRPr="007B6E38">
        <w:rPr>
          <w:rFonts w:ascii="Times New Roman" w:hAnsi="Times New Roman"/>
          <w:spacing w:val="-3"/>
          <w:szCs w:val="24"/>
        </w:rPr>
        <w:t xml:space="preserve"> the Ex Ante Risk Premium, Ex Post Risk Premium</w:t>
      </w:r>
      <w:r w:rsidR="00830EB8">
        <w:rPr>
          <w:rFonts w:ascii="Times New Roman" w:hAnsi="Times New Roman"/>
          <w:spacing w:val="-3"/>
          <w:szCs w:val="24"/>
        </w:rPr>
        <w:t>;</w:t>
      </w:r>
      <w:r w:rsidRPr="007B6E38">
        <w:rPr>
          <w:rFonts w:ascii="Times New Roman" w:hAnsi="Times New Roman"/>
          <w:spacing w:val="-3"/>
          <w:szCs w:val="24"/>
        </w:rPr>
        <w:t xml:space="preserve"> the Capital Asset Pricing Model (“CAPM”)</w:t>
      </w:r>
      <w:r w:rsidR="00830EB8">
        <w:rPr>
          <w:rFonts w:ascii="Times New Roman" w:hAnsi="Times New Roman"/>
          <w:spacing w:val="-3"/>
          <w:szCs w:val="24"/>
        </w:rPr>
        <w:t>;</w:t>
      </w:r>
      <w:r w:rsidRPr="007B6E38">
        <w:rPr>
          <w:rFonts w:ascii="Times New Roman" w:hAnsi="Times New Roman"/>
          <w:spacing w:val="-3"/>
          <w:szCs w:val="24"/>
        </w:rPr>
        <w:t xml:space="preserve"> Historical CAPM—DCF Based</w:t>
      </w:r>
      <w:r w:rsidR="00830EB8">
        <w:rPr>
          <w:rFonts w:ascii="Times New Roman" w:hAnsi="Times New Roman"/>
          <w:spacing w:val="-3"/>
          <w:szCs w:val="24"/>
        </w:rPr>
        <w:t>;</w:t>
      </w:r>
      <w:r w:rsidRPr="007B6E38">
        <w:rPr>
          <w:rFonts w:ascii="Times New Roman" w:hAnsi="Times New Roman"/>
          <w:spacing w:val="-3"/>
          <w:szCs w:val="24"/>
        </w:rPr>
        <w:t xml:space="preserve"> and Comparable Earnings. In addition to his econometric models and evaluation of capital market risks, Witness Vander Weide also considered several Company-specific business risks in arriving at his final ROE recommendation. Based on that analysis, Dr. Vander Weide estimated the cost of equity to run from 9.3% to 11.7%, with an average of 10.4%. Dr. Vander Weide then adjusted the 10.4% average cost of equity to reflect the greater financial risk in the Company’s proposed capital structure to ensure Georgia Power has the </w:t>
      </w:r>
      <w:r w:rsidRPr="00763BC9">
        <w:rPr>
          <w:rFonts w:ascii="Times New Roman" w:hAnsi="Times New Roman"/>
          <w:spacing w:val="-3"/>
          <w:szCs w:val="24"/>
        </w:rPr>
        <w:t>same weighted average cost of capital (“WACC”)</w:t>
      </w:r>
      <w:r w:rsidRPr="00BA456D">
        <w:rPr>
          <w:rFonts w:ascii="Times New Roman" w:hAnsi="Times New Roman"/>
          <w:spacing w:val="-3"/>
          <w:szCs w:val="24"/>
        </w:rPr>
        <w:t xml:space="preserve"> as the average cost of capital for the proxy group. </w:t>
      </w:r>
      <w:r w:rsidRPr="00824511">
        <w:rPr>
          <w:rFonts w:ascii="Times New Roman" w:hAnsi="Times New Roman"/>
          <w:szCs w:val="24"/>
        </w:rPr>
        <w:t xml:space="preserve">As such, Dr. Vander Weide recommends an allowed ROE equal to 10.9% for Georgia Power in this proceeding. </w:t>
      </w:r>
    </w:p>
    <w:p w14:paraId="0B97DC97" w14:textId="77777777" w:rsidR="00763BC9" w:rsidRPr="007B6E38" w:rsidRDefault="00763BC9" w:rsidP="00763BC9">
      <w:pPr>
        <w:ind w:firstLine="720"/>
        <w:jc w:val="both"/>
        <w:rPr>
          <w:rFonts w:ascii="Times New Roman" w:hAnsi="Times New Roman"/>
          <w:spacing w:val="-3"/>
          <w:szCs w:val="24"/>
        </w:rPr>
      </w:pPr>
    </w:p>
    <w:p w14:paraId="1E2BB8DD" w14:textId="5E3CF4BD" w:rsidR="00D92964" w:rsidRDefault="00763BC9" w:rsidP="00763BC9">
      <w:pPr>
        <w:ind w:firstLine="720"/>
        <w:jc w:val="both"/>
        <w:rPr>
          <w:rFonts w:ascii="Times New Roman" w:hAnsi="Times New Roman"/>
          <w:szCs w:val="24"/>
        </w:rPr>
      </w:pPr>
      <w:r w:rsidRPr="007B6E38">
        <w:rPr>
          <w:rFonts w:ascii="Times New Roman" w:hAnsi="Times New Roman"/>
          <w:szCs w:val="24"/>
        </w:rPr>
        <w:t xml:space="preserve">DOD Witness Reno recommended an ROE of 9.1% </w:t>
      </w:r>
      <w:r w:rsidR="009E21E0">
        <w:rPr>
          <w:rFonts w:ascii="Times New Roman" w:hAnsi="Times New Roman"/>
          <w:szCs w:val="24"/>
        </w:rPr>
        <w:t xml:space="preserve">with a </w:t>
      </w:r>
      <w:r w:rsidRPr="007B6E38">
        <w:rPr>
          <w:rFonts w:ascii="Times New Roman" w:hAnsi="Times New Roman"/>
          <w:szCs w:val="24"/>
        </w:rPr>
        <w:t xml:space="preserve"> </w:t>
      </w:r>
      <w:r w:rsidR="009E21E0">
        <w:rPr>
          <w:rFonts w:ascii="Times New Roman" w:hAnsi="Times New Roman"/>
          <w:szCs w:val="24"/>
        </w:rPr>
        <w:t xml:space="preserve">rate of return </w:t>
      </w:r>
      <w:r w:rsidRPr="007B6E38">
        <w:rPr>
          <w:rFonts w:ascii="Times New Roman" w:hAnsi="Times New Roman"/>
          <w:szCs w:val="24"/>
        </w:rPr>
        <w:t>of 6.92%, an embedded cost of long-term debt of 4.14%, and an assumed capital structure comprised of 43.92% long-term debt and 56.08% common equity. Ms. Reno based her ROE recommendation on the higher end of an 8.9—9.1</w:t>
      </w:r>
      <w:r w:rsidR="00D92964">
        <w:rPr>
          <w:rFonts w:ascii="Times New Roman" w:hAnsi="Times New Roman"/>
          <w:szCs w:val="24"/>
        </w:rPr>
        <w:t>%</w:t>
      </w:r>
      <w:r w:rsidRPr="007B6E38">
        <w:rPr>
          <w:rFonts w:ascii="Times New Roman" w:hAnsi="Times New Roman"/>
          <w:szCs w:val="24"/>
        </w:rPr>
        <w:t xml:space="preserve">range derived from her mean estimates of market-based cost of equity methodologies using a proxy group of comparable risk </w:t>
      </w:r>
      <w:r w:rsidR="00D92964">
        <w:rPr>
          <w:rFonts w:ascii="Times New Roman" w:hAnsi="Times New Roman"/>
          <w:szCs w:val="24"/>
        </w:rPr>
        <w:t>utilities</w:t>
      </w:r>
      <w:r w:rsidRPr="007B6E38">
        <w:rPr>
          <w:rFonts w:ascii="Times New Roman" w:hAnsi="Times New Roman"/>
          <w:szCs w:val="24"/>
        </w:rPr>
        <w:t xml:space="preserve">. Witness Reno developed her ROE recommendations using the DCF model, CAPM, </w:t>
      </w:r>
      <w:r w:rsidR="00AB0AFB">
        <w:rPr>
          <w:rFonts w:ascii="Times New Roman" w:hAnsi="Times New Roman"/>
          <w:szCs w:val="24"/>
        </w:rPr>
        <w:t xml:space="preserve">and </w:t>
      </w:r>
      <w:r w:rsidRPr="007B6E38">
        <w:rPr>
          <w:rFonts w:ascii="Times New Roman" w:hAnsi="Times New Roman"/>
          <w:szCs w:val="24"/>
        </w:rPr>
        <w:t>Empirical CAPM</w:t>
      </w:r>
      <w:r w:rsidR="00AB0AFB">
        <w:rPr>
          <w:rFonts w:ascii="Times New Roman" w:hAnsi="Times New Roman"/>
          <w:szCs w:val="24"/>
        </w:rPr>
        <w:t xml:space="preserve">. </w:t>
      </w:r>
      <w:r w:rsidR="00D92964">
        <w:rPr>
          <w:rFonts w:ascii="Times New Roman" w:hAnsi="Times New Roman"/>
          <w:szCs w:val="24"/>
        </w:rPr>
        <w:t>In addition, Witness Reno conducted a comparable earnings analysis that produced a 10.86% ROE estimation. Despite</w:t>
      </w:r>
      <w:r w:rsidR="00AB0AFB">
        <w:rPr>
          <w:rFonts w:ascii="Times New Roman" w:hAnsi="Times New Roman"/>
          <w:szCs w:val="24"/>
        </w:rPr>
        <w:t xml:space="preserve"> conduct</w:t>
      </w:r>
      <w:r w:rsidR="00D92964">
        <w:rPr>
          <w:rFonts w:ascii="Times New Roman" w:hAnsi="Times New Roman"/>
          <w:szCs w:val="24"/>
        </w:rPr>
        <w:t>ing</w:t>
      </w:r>
      <w:r w:rsidR="00AB0AFB">
        <w:rPr>
          <w:rFonts w:ascii="Times New Roman" w:hAnsi="Times New Roman"/>
          <w:szCs w:val="24"/>
        </w:rPr>
        <w:t xml:space="preserve"> </w:t>
      </w:r>
      <w:r w:rsidR="00D92964">
        <w:rPr>
          <w:rFonts w:ascii="Times New Roman" w:hAnsi="Times New Roman"/>
          <w:szCs w:val="24"/>
        </w:rPr>
        <w:t>this</w:t>
      </w:r>
      <w:r w:rsidR="00AB0AFB">
        <w:rPr>
          <w:rFonts w:ascii="Times New Roman" w:hAnsi="Times New Roman"/>
          <w:szCs w:val="24"/>
        </w:rPr>
        <w:t xml:space="preserve"> </w:t>
      </w:r>
      <w:r w:rsidRPr="007B6E38">
        <w:rPr>
          <w:rFonts w:ascii="Times New Roman" w:hAnsi="Times New Roman"/>
          <w:szCs w:val="24"/>
        </w:rPr>
        <w:t>earnings</w:t>
      </w:r>
      <w:r w:rsidR="00AB0AFB">
        <w:rPr>
          <w:rFonts w:ascii="Times New Roman" w:hAnsi="Times New Roman"/>
          <w:szCs w:val="24"/>
        </w:rPr>
        <w:t xml:space="preserve"> analysis</w:t>
      </w:r>
      <w:r w:rsidR="00D92964">
        <w:rPr>
          <w:rFonts w:ascii="Times New Roman" w:hAnsi="Times New Roman"/>
          <w:szCs w:val="24"/>
        </w:rPr>
        <w:t xml:space="preserve"> and including the results in her summary page</w:t>
      </w:r>
      <w:r w:rsidR="00AB0AFB">
        <w:rPr>
          <w:rFonts w:ascii="Times New Roman" w:hAnsi="Times New Roman"/>
          <w:szCs w:val="24"/>
        </w:rPr>
        <w:t xml:space="preserve">, she expressly did not consider the results of her </w:t>
      </w:r>
      <w:r w:rsidR="00D92964">
        <w:rPr>
          <w:rFonts w:ascii="Times New Roman" w:hAnsi="Times New Roman"/>
          <w:szCs w:val="24"/>
        </w:rPr>
        <w:t xml:space="preserve">comparable earnings </w:t>
      </w:r>
      <w:r w:rsidR="00AB0AFB">
        <w:rPr>
          <w:rFonts w:ascii="Times New Roman" w:hAnsi="Times New Roman"/>
          <w:szCs w:val="24"/>
        </w:rPr>
        <w:t>analysis in making her recommendation</w:t>
      </w:r>
      <w:r w:rsidRPr="007B6E38">
        <w:rPr>
          <w:rFonts w:ascii="Times New Roman" w:hAnsi="Times New Roman"/>
          <w:szCs w:val="24"/>
        </w:rPr>
        <w:t xml:space="preserve">.  </w:t>
      </w:r>
    </w:p>
    <w:p w14:paraId="69290D01" w14:textId="77777777" w:rsidR="00D92964" w:rsidRDefault="00D92964" w:rsidP="00D92964">
      <w:pPr>
        <w:ind w:firstLine="720"/>
        <w:jc w:val="both"/>
        <w:rPr>
          <w:rFonts w:ascii="Times New Roman" w:hAnsi="Times New Roman"/>
          <w:spacing w:val="-3"/>
          <w:szCs w:val="24"/>
        </w:rPr>
      </w:pPr>
    </w:p>
    <w:p w14:paraId="7A3EAC46" w14:textId="5B40A5E4" w:rsidR="00D92964" w:rsidRDefault="00D92964" w:rsidP="00D92964">
      <w:pPr>
        <w:ind w:firstLine="720"/>
        <w:jc w:val="both"/>
        <w:rPr>
          <w:rFonts w:ascii="Times New Roman" w:hAnsi="Times New Roman"/>
          <w:szCs w:val="24"/>
        </w:rPr>
      </w:pPr>
      <w:r w:rsidRPr="007B6E38">
        <w:rPr>
          <w:rFonts w:ascii="Times New Roman" w:hAnsi="Times New Roman"/>
          <w:spacing w:val="-3"/>
          <w:szCs w:val="24"/>
        </w:rPr>
        <w:t>PIA Staff Witness Gorman used the DCF Model using sustainable growth rate estimates Multi-Stage growth DCF Model Risk-Premium Model</w:t>
      </w:r>
      <w:r w:rsidR="00187465">
        <w:rPr>
          <w:rFonts w:ascii="Times New Roman" w:hAnsi="Times New Roman"/>
          <w:spacing w:val="-3"/>
          <w:szCs w:val="24"/>
        </w:rPr>
        <w:t xml:space="preserve">, </w:t>
      </w:r>
      <w:r w:rsidRPr="007B6E38">
        <w:rPr>
          <w:rFonts w:ascii="Times New Roman" w:hAnsi="Times New Roman"/>
          <w:spacing w:val="-3"/>
          <w:szCs w:val="24"/>
        </w:rPr>
        <w:t xml:space="preserve">and the CAPM to estimate the Company’s ROE. Witness Gorman </w:t>
      </w:r>
      <w:r w:rsidRPr="007B6E38">
        <w:rPr>
          <w:rFonts w:ascii="Times New Roman" w:hAnsi="Times New Roman"/>
          <w:szCs w:val="24"/>
        </w:rPr>
        <w:t xml:space="preserve">recommends that the Commission reject Dr. Vander Weide’s recommended ROE of 10.9% as excessive and unreasonable. </w:t>
      </w:r>
      <w:r>
        <w:rPr>
          <w:rFonts w:ascii="Times New Roman" w:hAnsi="Times New Roman"/>
          <w:szCs w:val="24"/>
        </w:rPr>
        <w:t xml:space="preserve">Notably, unlike prior PIA Staff witnesses, Mr. Gorman refused to conduct a comparable earnings analysis rejecting the approach as irrelevant for not being based on market evidence. </w:t>
      </w:r>
    </w:p>
    <w:p w14:paraId="09A6D0FF" w14:textId="77777777" w:rsidR="00D92964" w:rsidRDefault="00D92964" w:rsidP="00763BC9">
      <w:pPr>
        <w:ind w:firstLine="720"/>
        <w:jc w:val="both"/>
        <w:rPr>
          <w:rFonts w:ascii="Times New Roman" w:hAnsi="Times New Roman"/>
          <w:szCs w:val="24"/>
        </w:rPr>
      </w:pPr>
    </w:p>
    <w:p w14:paraId="5BF652E9" w14:textId="58E6776F"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GIG/GAM Witness Pollock did not separately calculate or recommend a specific ROE</w:t>
      </w:r>
      <w:r w:rsidR="00AB0AFB">
        <w:rPr>
          <w:rFonts w:ascii="Times New Roman" w:hAnsi="Times New Roman"/>
          <w:szCs w:val="24"/>
        </w:rPr>
        <w:t>. He asserted</w:t>
      </w:r>
      <w:r w:rsidRPr="007B6E38">
        <w:rPr>
          <w:rFonts w:ascii="Times New Roman" w:hAnsi="Times New Roman"/>
          <w:szCs w:val="24"/>
        </w:rPr>
        <w:t xml:space="preserve"> that removing the floatation cost and financial risk adjustments proposed by Dr. Vander Weide results in an ROE that better aligns with industry trends. Further, Witness Pollock disagrees with Dr. Vander Weide’s use of a financial risk adjustment and argued there is no basis for including such an adjustment. </w:t>
      </w:r>
    </w:p>
    <w:p w14:paraId="13D7AE7B" w14:textId="77777777" w:rsidR="00763BC9" w:rsidRPr="007B6E38" w:rsidRDefault="00763BC9" w:rsidP="00763BC9">
      <w:pPr>
        <w:ind w:firstLine="720"/>
        <w:jc w:val="both"/>
        <w:rPr>
          <w:rFonts w:ascii="Times New Roman" w:hAnsi="Times New Roman"/>
          <w:szCs w:val="24"/>
        </w:rPr>
      </w:pPr>
    </w:p>
    <w:p w14:paraId="544D657F" w14:textId="77777777" w:rsidR="00763BC9" w:rsidRPr="007B6E38" w:rsidRDefault="00763BC9" w:rsidP="00763BC9">
      <w:pPr>
        <w:ind w:firstLine="720"/>
        <w:jc w:val="both"/>
        <w:rPr>
          <w:rFonts w:ascii="Times New Roman" w:hAnsi="Times New Roman"/>
          <w:spacing w:val="-3"/>
          <w:szCs w:val="24"/>
        </w:rPr>
      </w:pPr>
      <w:r w:rsidRPr="007B6E38">
        <w:rPr>
          <w:rFonts w:ascii="Times New Roman" w:hAnsi="Times New Roman"/>
          <w:spacing w:val="-3"/>
          <w:szCs w:val="24"/>
        </w:rPr>
        <w:t xml:space="preserve">As in every rate case, the Commission understands its obligation to provide a fair rate of return to the regulated utility. A fair rate of return is normally interpreted to mean that an efficient and economically managed utility will be able to maintain its financial integrity, attract capital, and have an opportunity to earn comparable returns to those of similar risk investments. These concepts are derived from economic and financial theory and are generally implemented using financial models and economic concepts. In determining a fair rate of return in the present case, the Commission is mindful of the standards established by the United States Supreme Court in </w:t>
      </w:r>
      <w:r w:rsidRPr="007B6E38">
        <w:rPr>
          <w:rFonts w:ascii="Times New Roman" w:hAnsi="Times New Roman"/>
          <w:spacing w:val="-3"/>
          <w:szCs w:val="24"/>
          <w:u w:val="single"/>
        </w:rPr>
        <w:t>Bluefield Water Works and Improvement Co. v. Public Serv. Comm’n of West Virginia</w:t>
      </w:r>
      <w:r w:rsidRPr="007B6E38">
        <w:rPr>
          <w:rFonts w:ascii="Times New Roman" w:hAnsi="Times New Roman"/>
          <w:spacing w:val="-3"/>
          <w:szCs w:val="24"/>
        </w:rPr>
        <w:t xml:space="preserve">, 262 U.S. 679 (1923), and </w:t>
      </w:r>
      <w:r w:rsidRPr="007B6E38">
        <w:rPr>
          <w:rFonts w:ascii="Times New Roman" w:hAnsi="Times New Roman"/>
          <w:spacing w:val="-3"/>
          <w:szCs w:val="24"/>
          <w:u w:val="single"/>
        </w:rPr>
        <w:t>Federal Power Comm’n v. Hope Natural Gas Co.</w:t>
      </w:r>
      <w:r w:rsidRPr="007B6E38">
        <w:rPr>
          <w:rFonts w:ascii="Times New Roman" w:hAnsi="Times New Roman"/>
          <w:spacing w:val="-3"/>
          <w:szCs w:val="24"/>
        </w:rPr>
        <w:t>, 320 U.S. 591 (1942).</w:t>
      </w:r>
      <w:r w:rsidRPr="007B6E38">
        <w:rPr>
          <w:rFonts w:ascii="Times New Roman" w:hAnsi="Times New Roman"/>
          <w:color w:val="000000"/>
          <w:szCs w:val="24"/>
        </w:rPr>
        <w:t xml:space="preserve"> </w:t>
      </w:r>
    </w:p>
    <w:p w14:paraId="383B978C" w14:textId="77777777" w:rsidR="00763BC9" w:rsidRPr="007B6E38" w:rsidRDefault="00763BC9" w:rsidP="00763BC9">
      <w:pPr>
        <w:spacing w:after="120"/>
        <w:jc w:val="both"/>
        <w:rPr>
          <w:rFonts w:ascii="Times New Roman" w:hAnsi="Times New Roman"/>
          <w:spacing w:val="-3"/>
          <w:szCs w:val="24"/>
        </w:rPr>
      </w:pPr>
    </w:p>
    <w:p w14:paraId="6C5A7006" w14:textId="618EAECE" w:rsidR="00BA456D" w:rsidRDefault="00763BC9" w:rsidP="00BA456D">
      <w:pPr>
        <w:ind w:firstLine="720"/>
        <w:jc w:val="both"/>
        <w:rPr>
          <w:rFonts w:ascii="Times New Roman" w:hAnsi="Times New Roman"/>
          <w:spacing w:val="-3"/>
          <w:szCs w:val="24"/>
        </w:rPr>
      </w:pPr>
      <w:r w:rsidRPr="007B6E38">
        <w:rPr>
          <w:rFonts w:ascii="Times New Roman" w:hAnsi="Times New Roman"/>
          <w:spacing w:val="-3"/>
          <w:szCs w:val="24"/>
        </w:rPr>
        <w:t xml:space="preserve">Consistent with the </w:t>
      </w:r>
      <w:r w:rsidRPr="007B6E38">
        <w:rPr>
          <w:rFonts w:ascii="Times New Roman" w:hAnsi="Times New Roman"/>
          <w:spacing w:val="-3"/>
          <w:szCs w:val="24"/>
          <w:u w:val="single"/>
        </w:rPr>
        <w:t>Bluefield</w:t>
      </w:r>
      <w:r w:rsidRPr="00187465">
        <w:rPr>
          <w:rFonts w:ascii="Times New Roman" w:hAnsi="Times New Roman"/>
          <w:spacing w:val="-3"/>
          <w:szCs w:val="24"/>
        </w:rPr>
        <w:t xml:space="preserve"> </w:t>
      </w:r>
      <w:r w:rsidRPr="007B6E38">
        <w:rPr>
          <w:rFonts w:ascii="Times New Roman" w:hAnsi="Times New Roman"/>
          <w:spacing w:val="-3"/>
          <w:szCs w:val="24"/>
        </w:rPr>
        <w:t xml:space="preserve">and </w:t>
      </w:r>
      <w:r w:rsidRPr="007B6E38">
        <w:rPr>
          <w:rFonts w:ascii="Times New Roman" w:hAnsi="Times New Roman"/>
          <w:spacing w:val="-3"/>
          <w:szCs w:val="24"/>
          <w:u w:val="single"/>
        </w:rPr>
        <w:t>Hope</w:t>
      </w:r>
      <w:r w:rsidRPr="007B6E38">
        <w:rPr>
          <w:rFonts w:ascii="Times New Roman" w:hAnsi="Times New Roman"/>
          <w:spacing w:val="-3"/>
          <w:szCs w:val="24"/>
        </w:rPr>
        <w:t xml:space="preserve"> decisions, the Commission has considered comparable earnings, financial integrity, and capital attraction in reaching the decision that the 10.9% ROE recommended by Dr. Vander Weide is just and reasonable. </w:t>
      </w:r>
      <w:r w:rsidR="00BA456D">
        <w:rPr>
          <w:rFonts w:ascii="Times New Roman" w:hAnsi="Times New Roman"/>
          <w:szCs w:val="24"/>
        </w:rPr>
        <w:t>A 10.9% ROE is a</w:t>
      </w:r>
      <w:r w:rsidR="00BA456D" w:rsidRPr="00E85527">
        <w:rPr>
          <w:rFonts w:ascii="Times New Roman" w:hAnsi="Times New Roman"/>
          <w:szCs w:val="24"/>
        </w:rPr>
        <w:t xml:space="preserve"> fair</w:t>
      </w:r>
      <w:r w:rsidR="00BA456D">
        <w:rPr>
          <w:rFonts w:ascii="Times New Roman" w:hAnsi="Times New Roman"/>
          <w:szCs w:val="24"/>
        </w:rPr>
        <w:t>, forward looking</w:t>
      </w:r>
      <w:r w:rsidR="00BA456D" w:rsidRPr="00E85527">
        <w:rPr>
          <w:rFonts w:ascii="Times New Roman" w:hAnsi="Times New Roman"/>
          <w:szCs w:val="24"/>
        </w:rPr>
        <w:t xml:space="preserve"> rate of return on equity that provides </w:t>
      </w:r>
      <w:r w:rsidR="00BA456D">
        <w:rPr>
          <w:rFonts w:ascii="Times New Roman" w:hAnsi="Times New Roman"/>
          <w:szCs w:val="24"/>
        </w:rPr>
        <w:t>the Company</w:t>
      </w:r>
      <w:r w:rsidR="00BA456D" w:rsidRPr="00E85527">
        <w:rPr>
          <w:rFonts w:ascii="Times New Roman" w:hAnsi="Times New Roman"/>
          <w:szCs w:val="24"/>
        </w:rPr>
        <w:t xml:space="preserve"> with an opportunity to earn a return on its investment over the period in which rates are in effect commensurate with returns that investors expect to earn on other investments of similar risk. </w:t>
      </w:r>
      <w:r w:rsidR="00BA456D">
        <w:rPr>
          <w:rFonts w:ascii="Times New Roman" w:hAnsi="Times New Roman"/>
          <w:szCs w:val="24"/>
        </w:rPr>
        <w:t xml:space="preserve">Accordingly, </w:t>
      </w:r>
      <w:r w:rsidR="00BA456D">
        <w:rPr>
          <w:rFonts w:ascii="Times New Roman" w:hAnsi="Times New Roman"/>
          <w:spacing w:val="-3"/>
          <w:szCs w:val="24"/>
        </w:rPr>
        <w:t>t</w:t>
      </w:r>
      <w:r w:rsidRPr="007B6E38">
        <w:rPr>
          <w:rFonts w:ascii="Times New Roman" w:hAnsi="Times New Roman"/>
          <w:spacing w:val="-3"/>
          <w:szCs w:val="24"/>
        </w:rPr>
        <w:t xml:space="preserve">he Commission finds and concludes that the ROE </w:t>
      </w:r>
      <w:r w:rsidR="00187465">
        <w:rPr>
          <w:rFonts w:ascii="Times New Roman" w:hAnsi="Times New Roman"/>
          <w:spacing w:val="-3"/>
          <w:szCs w:val="24"/>
        </w:rPr>
        <w:t xml:space="preserve">proposed </w:t>
      </w:r>
      <w:r w:rsidRPr="007B6E38">
        <w:rPr>
          <w:rFonts w:ascii="Times New Roman" w:hAnsi="Times New Roman"/>
          <w:spacing w:val="-3"/>
          <w:szCs w:val="24"/>
        </w:rPr>
        <w:t xml:space="preserve">by Dr. Vander Weide’s recommendation will allow the Company to continue accessing capital markets at competitive rates and on reasonable terms. </w:t>
      </w:r>
    </w:p>
    <w:p w14:paraId="632CAB51" w14:textId="77777777" w:rsidR="00BA456D" w:rsidRDefault="00BA456D" w:rsidP="00BA456D">
      <w:pPr>
        <w:ind w:firstLine="720"/>
        <w:jc w:val="both"/>
        <w:rPr>
          <w:rFonts w:ascii="Times New Roman" w:hAnsi="Times New Roman"/>
          <w:spacing w:val="-3"/>
          <w:szCs w:val="24"/>
        </w:rPr>
      </w:pPr>
    </w:p>
    <w:p w14:paraId="3ED4523C" w14:textId="2C35FA65" w:rsidR="00BA456D" w:rsidRDefault="00AB0AFB" w:rsidP="00BA456D">
      <w:pPr>
        <w:ind w:firstLine="720"/>
        <w:jc w:val="both"/>
        <w:rPr>
          <w:rFonts w:ascii="Times New Roman" w:hAnsi="Times New Roman"/>
          <w:szCs w:val="24"/>
        </w:rPr>
      </w:pPr>
      <w:r>
        <w:rPr>
          <w:rFonts w:ascii="Times New Roman" w:hAnsi="Times New Roman"/>
          <w:spacing w:val="-3"/>
          <w:szCs w:val="24"/>
        </w:rPr>
        <w:t xml:space="preserve">Dr. Vander Weide’s testimony in this case supported his quantification and application of equity flotation costs and </w:t>
      </w:r>
      <w:r w:rsidR="00BA456D">
        <w:rPr>
          <w:rFonts w:ascii="Times New Roman" w:hAnsi="Times New Roman"/>
          <w:spacing w:val="-3"/>
          <w:szCs w:val="24"/>
        </w:rPr>
        <w:t xml:space="preserve">a </w:t>
      </w:r>
      <w:r>
        <w:rPr>
          <w:rFonts w:ascii="Times New Roman" w:hAnsi="Times New Roman"/>
          <w:spacing w:val="-3"/>
          <w:szCs w:val="24"/>
        </w:rPr>
        <w:t xml:space="preserve">financial risk adjustment. PIA Staff Witness Gorman and DOD Witness Reno presented no contrary analysis. </w:t>
      </w:r>
      <w:r w:rsidR="00BA456D" w:rsidRPr="00C811ED">
        <w:rPr>
          <w:rFonts w:ascii="Times New Roman" w:hAnsi="Times New Roman"/>
          <w:szCs w:val="24"/>
        </w:rPr>
        <w:t>Contrary to arguments against including flotation costs, Dr. Vander Weide calculates</w:t>
      </w:r>
      <w:r w:rsidR="00BA456D" w:rsidRPr="00C811ED">
        <w:rPr>
          <w:rFonts w:ascii="Times New Roman" w:hAnsi="Times New Roman"/>
          <w:i/>
          <w:szCs w:val="24"/>
        </w:rPr>
        <w:t xml:space="preserve"> </w:t>
      </w:r>
      <w:r w:rsidR="00BA456D" w:rsidRPr="00C811ED">
        <w:rPr>
          <w:rFonts w:ascii="Times New Roman" w:hAnsi="Times New Roman"/>
          <w:szCs w:val="24"/>
        </w:rPr>
        <w:t xml:space="preserve">flotation costs based upon economic evidence. </w:t>
      </w:r>
      <w:r w:rsidR="00BA456D">
        <w:rPr>
          <w:rFonts w:ascii="Times New Roman" w:hAnsi="Times New Roman"/>
          <w:szCs w:val="24"/>
        </w:rPr>
        <w:t>Mr. Gorman failed</w:t>
      </w:r>
      <w:r w:rsidR="00BA456D" w:rsidRPr="00C811ED">
        <w:rPr>
          <w:rFonts w:ascii="Times New Roman" w:hAnsi="Times New Roman"/>
          <w:szCs w:val="24"/>
        </w:rPr>
        <w:t xml:space="preserve"> to address this evidence. DOD Witness Reno accepts the reasonableness of including flotation costs, albeit at a lower level</w:t>
      </w:r>
      <w:r w:rsidR="00BA456D">
        <w:rPr>
          <w:rFonts w:ascii="Times New Roman" w:hAnsi="Times New Roman"/>
          <w:szCs w:val="24"/>
        </w:rPr>
        <w:t xml:space="preserve">, but </w:t>
      </w:r>
      <w:r w:rsidR="00BA456D" w:rsidRPr="00C811ED">
        <w:rPr>
          <w:rFonts w:ascii="Times New Roman" w:hAnsi="Times New Roman"/>
          <w:szCs w:val="24"/>
        </w:rPr>
        <w:t>provid</w:t>
      </w:r>
      <w:r w:rsidR="00BA456D">
        <w:rPr>
          <w:rFonts w:ascii="Times New Roman" w:hAnsi="Times New Roman"/>
          <w:szCs w:val="24"/>
        </w:rPr>
        <w:t>ed</w:t>
      </w:r>
      <w:r w:rsidR="00BA456D" w:rsidRPr="00C811ED">
        <w:rPr>
          <w:rFonts w:ascii="Times New Roman" w:hAnsi="Times New Roman"/>
          <w:szCs w:val="24"/>
        </w:rPr>
        <w:t xml:space="preserve"> no calculations or economic evidence to support an estimate lower than Dr. Vander Weide’s. </w:t>
      </w:r>
    </w:p>
    <w:p w14:paraId="12F43CFC" w14:textId="77777777" w:rsidR="00BA456D" w:rsidRDefault="00BA456D" w:rsidP="00BA456D">
      <w:pPr>
        <w:ind w:firstLine="720"/>
        <w:jc w:val="both"/>
        <w:rPr>
          <w:rFonts w:ascii="Times New Roman" w:hAnsi="Times New Roman"/>
          <w:spacing w:val="-3"/>
          <w:szCs w:val="24"/>
        </w:rPr>
      </w:pPr>
    </w:p>
    <w:p w14:paraId="58614070" w14:textId="2AB76490" w:rsidR="00BA456D" w:rsidRPr="00987299" w:rsidRDefault="00BA456D" w:rsidP="00987299">
      <w:pPr>
        <w:ind w:firstLine="720"/>
        <w:jc w:val="both"/>
        <w:rPr>
          <w:rFonts w:ascii="Times New Roman" w:hAnsi="Times New Roman"/>
          <w:szCs w:val="24"/>
        </w:rPr>
      </w:pPr>
      <w:r w:rsidRPr="00C811ED">
        <w:rPr>
          <w:rFonts w:ascii="Times New Roman" w:hAnsi="Times New Roman"/>
          <w:szCs w:val="24"/>
        </w:rPr>
        <w:t>Dr. Vander Weide’s use of market capital structure adjustment to correct for financial risk differences between the proxy group’s market capital structure and the book regulatory capital structure proposed for Georgia Power</w:t>
      </w:r>
      <w:r>
        <w:rPr>
          <w:rFonts w:ascii="Times New Roman" w:hAnsi="Times New Roman"/>
          <w:szCs w:val="24"/>
        </w:rPr>
        <w:t xml:space="preserve"> is appropriate</w:t>
      </w:r>
      <w:r w:rsidRPr="00C811ED">
        <w:rPr>
          <w:rFonts w:ascii="Times New Roman" w:hAnsi="Times New Roman"/>
          <w:szCs w:val="24"/>
        </w:rPr>
        <w:t>. Dr. Vander Weide</w:t>
      </w:r>
      <w:r w:rsidR="00987299">
        <w:rPr>
          <w:rFonts w:ascii="Times New Roman" w:hAnsi="Times New Roman"/>
          <w:szCs w:val="24"/>
        </w:rPr>
        <w:t>’s</w:t>
      </w:r>
      <w:r w:rsidRPr="00C811ED">
        <w:rPr>
          <w:rFonts w:ascii="Times New Roman" w:hAnsi="Times New Roman"/>
          <w:szCs w:val="24"/>
        </w:rPr>
        <w:t xml:space="preserve"> adjustment </w:t>
      </w:r>
      <w:r>
        <w:rPr>
          <w:rFonts w:ascii="Times New Roman" w:hAnsi="Times New Roman"/>
          <w:szCs w:val="24"/>
        </w:rPr>
        <w:t>is</w:t>
      </w:r>
      <w:r w:rsidRPr="00C811ED">
        <w:rPr>
          <w:rFonts w:ascii="Times New Roman" w:hAnsi="Times New Roman"/>
          <w:szCs w:val="24"/>
        </w:rPr>
        <w:t xml:space="preserve"> correct and necessary to provide an overall cost of capital commensurate with market expectations. </w:t>
      </w:r>
      <w:r>
        <w:rPr>
          <w:rFonts w:ascii="Times New Roman" w:hAnsi="Times New Roman"/>
          <w:spacing w:val="-3"/>
          <w:szCs w:val="24"/>
        </w:rPr>
        <w:t>Neither Witness Gorman nor Witness Reno contested his testimony that his financial risk adjustment reflected universally accepted financial economic theory underlying estimations of the of the cost of capital.</w:t>
      </w:r>
      <w:r w:rsidRPr="007B6E38">
        <w:rPr>
          <w:rFonts w:ascii="Times New Roman" w:hAnsi="Times New Roman"/>
          <w:spacing w:val="-3"/>
          <w:szCs w:val="24"/>
        </w:rPr>
        <w:t xml:space="preserve"> </w:t>
      </w:r>
    </w:p>
    <w:p w14:paraId="68415239" w14:textId="77777777" w:rsidR="00BA456D" w:rsidRDefault="00BA456D" w:rsidP="00BA456D">
      <w:pPr>
        <w:ind w:firstLine="720"/>
        <w:jc w:val="both"/>
        <w:rPr>
          <w:rFonts w:ascii="Times New Roman" w:hAnsi="Times New Roman"/>
          <w:szCs w:val="24"/>
        </w:rPr>
      </w:pPr>
    </w:p>
    <w:p w14:paraId="5B796E4F" w14:textId="61DDFD26" w:rsidR="00C11344" w:rsidRDefault="00453E0E" w:rsidP="00C11344">
      <w:pPr>
        <w:ind w:firstLine="720"/>
        <w:jc w:val="both"/>
        <w:rPr>
          <w:rFonts w:ascii="Times New Roman" w:hAnsi="Times New Roman"/>
          <w:szCs w:val="24"/>
        </w:rPr>
      </w:pPr>
      <w:r>
        <w:rPr>
          <w:rFonts w:ascii="Times New Roman" w:hAnsi="Times New Roman"/>
          <w:spacing w:val="-3"/>
          <w:szCs w:val="24"/>
        </w:rPr>
        <w:t>T</w:t>
      </w:r>
      <w:r w:rsidR="00AB0AFB">
        <w:rPr>
          <w:rFonts w:ascii="Times New Roman" w:hAnsi="Times New Roman"/>
          <w:spacing w:val="-3"/>
          <w:szCs w:val="24"/>
        </w:rPr>
        <w:t xml:space="preserve">he recommendations of </w:t>
      </w:r>
      <w:r w:rsidR="006D29D7">
        <w:rPr>
          <w:rFonts w:ascii="Times New Roman" w:hAnsi="Times New Roman"/>
          <w:spacing w:val="-3"/>
          <w:szCs w:val="24"/>
        </w:rPr>
        <w:t>W</w:t>
      </w:r>
      <w:r w:rsidR="00AB0AFB">
        <w:rPr>
          <w:rFonts w:ascii="Times New Roman" w:hAnsi="Times New Roman"/>
          <w:spacing w:val="-3"/>
          <w:szCs w:val="24"/>
        </w:rPr>
        <w:t xml:space="preserve">itnesses Reno and Gorman are unreasonably low under the governing </w:t>
      </w:r>
      <w:r w:rsidR="00AB0AFB" w:rsidRPr="00987299">
        <w:rPr>
          <w:rFonts w:ascii="Times New Roman" w:hAnsi="Times New Roman"/>
          <w:spacing w:val="-3"/>
          <w:szCs w:val="24"/>
          <w:u w:val="single"/>
        </w:rPr>
        <w:t>Hope</w:t>
      </w:r>
      <w:r w:rsidR="00AB0AFB">
        <w:rPr>
          <w:rFonts w:ascii="Times New Roman" w:hAnsi="Times New Roman"/>
          <w:spacing w:val="-3"/>
          <w:szCs w:val="24"/>
        </w:rPr>
        <w:t xml:space="preserve"> and </w:t>
      </w:r>
      <w:r w:rsidR="00AB0AFB" w:rsidRPr="00987299">
        <w:rPr>
          <w:rFonts w:ascii="Times New Roman" w:hAnsi="Times New Roman"/>
          <w:spacing w:val="-3"/>
          <w:szCs w:val="24"/>
          <w:u w:val="single"/>
        </w:rPr>
        <w:t>Bluefield</w:t>
      </w:r>
      <w:r w:rsidR="00AB0AFB">
        <w:rPr>
          <w:rFonts w:ascii="Times New Roman" w:hAnsi="Times New Roman"/>
          <w:i/>
          <w:spacing w:val="-3"/>
          <w:szCs w:val="24"/>
        </w:rPr>
        <w:t xml:space="preserve"> </w:t>
      </w:r>
      <w:r w:rsidR="00AB0AFB">
        <w:rPr>
          <w:rFonts w:ascii="Times New Roman" w:hAnsi="Times New Roman"/>
          <w:spacing w:val="-3"/>
          <w:szCs w:val="24"/>
        </w:rPr>
        <w:t>standard</w:t>
      </w:r>
      <w:r w:rsidR="006D29D7">
        <w:rPr>
          <w:rFonts w:ascii="Times New Roman" w:hAnsi="Times New Roman"/>
          <w:spacing w:val="-3"/>
          <w:szCs w:val="24"/>
        </w:rPr>
        <w:t>s, as</w:t>
      </w:r>
      <w:r w:rsidR="00AB0AFB">
        <w:rPr>
          <w:rFonts w:ascii="Times New Roman" w:hAnsi="Times New Roman"/>
          <w:spacing w:val="-3"/>
          <w:szCs w:val="24"/>
        </w:rPr>
        <w:t xml:space="preserve"> was shown by the prospective comparable earnings analysis presented by </w:t>
      </w:r>
      <w:r w:rsidR="006D29D7">
        <w:rPr>
          <w:rFonts w:ascii="Times New Roman" w:hAnsi="Times New Roman"/>
          <w:spacing w:val="-3"/>
          <w:szCs w:val="24"/>
        </w:rPr>
        <w:t>W</w:t>
      </w:r>
      <w:r w:rsidR="00AB0AFB">
        <w:rPr>
          <w:rFonts w:ascii="Times New Roman" w:hAnsi="Times New Roman"/>
          <w:spacing w:val="-3"/>
          <w:szCs w:val="24"/>
        </w:rPr>
        <w:t xml:space="preserve">itness Reno and Dr. Vander Weide. Although every methodology for estimating the </w:t>
      </w:r>
      <w:r w:rsidR="006D29D7">
        <w:rPr>
          <w:rFonts w:ascii="Times New Roman" w:hAnsi="Times New Roman"/>
          <w:spacing w:val="-3"/>
          <w:szCs w:val="24"/>
        </w:rPr>
        <w:t>cost of equity</w:t>
      </w:r>
      <w:r w:rsidR="00AB0AFB">
        <w:rPr>
          <w:rFonts w:ascii="Times New Roman" w:hAnsi="Times New Roman"/>
          <w:spacing w:val="-3"/>
          <w:szCs w:val="24"/>
        </w:rPr>
        <w:t xml:space="preserve"> has its limitations</w:t>
      </w:r>
      <w:r w:rsidR="006D29D7">
        <w:rPr>
          <w:rFonts w:ascii="Times New Roman" w:hAnsi="Times New Roman"/>
          <w:spacing w:val="-3"/>
          <w:szCs w:val="24"/>
        </w:rPr>
        <w:t>,</w:t>
      </w:r>
      <w:r w:rsidR="00AB0AFB">
        <w:rPr>
          <w:rFonts w:ascii="Times New Roman" w:hAnsi="Times New Roman"/>
          <w:spacing w:val="-3"/>
          <w:szCs w:val="24"/>
        </w:rPr>
        <w:t xml:space="preserve"> no witness presented a</w:t>
      </w:r>
      <w:r w:rsidR="006D29D7">
        <w:rPr>
          <w:rFonts w:ascii="Times New Roman" w:hAnsi="Times New Roman"/>
          <w:spacing w:val="-3"/>
          <w:szCs w:val="24"/>
        </w:rPr>
        <w:t xml:space="preserve"> sufficient</w:t>
      </w:r>
      <w:r w:rsidR="00AB0AFB">
        <w:rPr>
          <w:rFonts w:ascii="Times New Roman" w:hAnsi="Times New Roman"/>
          <w:spacing w:val="-3"/>
          <w:szCs w:val="24"/>
        </w:rPr>
        <w:t xml:space="preserve"> justification for the Commission to depart from its </w:t>
      </w:r>
      <w:r w:rsidR="00763BC9">
        <w:rPr>
          <w:rFonts w:ascii="Times New Roman" w:hAnsi="Times New Roman"/>
          <w:spacing w:val="-3"/>
          <w:szCs w:val="24"/>
        </w:rPr>
        <w:t>long history of affording</w:t>
      </w:r>
      <w:r w:rsidR="00AB0AFB">
        <w:rPr>
          <w:rFonts w:ascii="Times New Roman" w:hAnsi="Times New Roman"/>
          <w:spacing w:val="-3"/>
          <w:szCs w:val="24"/>
        </w:rPr>
        <w:t xml:space="preserve"> due weight to a prospective comparable earnings assessment using the expected performance of a reasonable and representative  proxy group</w:t>
      </w:r>
      <w:r w:rsidR="006D29D7">
        <w:rPr>
          <w:rFonts w:ascii="Times New Roman" w:hAnsi="Times New Roman"/>
          <w:spacing w:val="-3"/>
          <w:szCs w:val="24"/>
        </w:rPr>
        <w:t xml:space="preserve"> of utilities</w:t>
      </w:r>
      <w:r w:rsidR="00AB0AFB">
        <w:rPr>
          <w:rFonts w:ascii="Times New Roman" w:hAnsi="Times New Roman"/>
          <w:spacing w:val="-3"/>
          <w:szCs w:val="24"/>
        </w:rPr>
        <w:t>.</w:t>
      </w:r>
      <w:r w:rsidR="00836458">
        <w:rPr>
          <w:rFonts w:ascii="Times New Roman" w:hAnsi="Times New Roman"/>
          <w:spacing w:val="-3"/>
          <w:szCs w:val="24"/>
        </w:rPr>
        <w:t xml:space="preserve"> The Commission considered the fact that PIA Staff Gorman ignored the comparable earnings analysis, which has been one of the traditional cost of equity analyses employed by prior PIA Staff witnesses and accepted by this Commission. </w:t>
      </w:r>
      <w:r w:rsidR="00987299">
        <w:rPr>
          <w:rFonts w:ascii="Times New Roman" w:hAnsi="Times New Roman"/>
          <w:spacing w:val="-3"/>
          <w:szCs w:val="24"/>
        </w:rPr>
        <w:t xml:space="preserve">Although </w:t>
      </w:r>
      <w:r w:rsidR="00BA456D" w:rsidRPr="00C811ED">
        <w:rPr>
          <w:rFonts w:ascii="Times New Roman" w:hAnsi="Times New Roman"/>
          <w:szCs w:val="24"/>
        </w:rPr>
        <w:t xml:space="preserve">Witness Reno conducted a comparable earnings analysis, </w:t>
      </w:r>
      <w:r w:rsidR="00987299">
        <w:rPr>
          <w:rFonts w:ascii="Times New Roman" w:hAnsi="Times New Roman"/>
          <w:szCs w:val="24"/>
        </w:rPr>
        <w:t>she provided no justification for</w:t>
      </w:r>
      <w:r w:rsidR="00BA456D" w:rsidRPr="00C811ED">
        <w:rPr>
          <w:rFonts w:ascii="Times New Roman" w:hAnsi="Times New Roman"/>
          <w:szCs w:val="24"/>
        </w:rPr>
        <w:t xml:space="preserve"> ignor</w:t>
      </w:r>
      <w:r w:rsidR="00987299">
        <w:rPr>
          <w:rFonts w:ascii="Times New Roman" w:hAnsi="Times New Roman"/>
          <w:szCs w:val="24"/>
        </w:rPr>
        <w:t>ing</w:t>
      </w:r>
      <w:r w:rsidR="00BA456D" w:rsidRPr="00C811ED">
        <w:rPr>
          <w:rFonts w:ascii="Times New Roman" w:hAnsi="Times New Roman"/>
          <w:szCs w:val="24"/>
        </w:rPr>
        <w:t xml:space="preserve"> the results.</w:t>
      </w:r>
      <w:r w:rsidR="00BA456D">
        <w:rPr>
          <w:rFonts w:ascii="Times New Roman" w:hAnsi="Times New Roman"/>
          <w:szCs w:val="24"/>
        </w:rPr>
        <w:t xml:space="preserve"> </w:t>
      </w:r>
    </w:p>
    <w:p w14:paraId="2B9DE194" w14:textId="77777777" w:rsidR="00C11344" w:rsidRDefault="00C11344" w:rsidP="00C11344">
      <w:pPr>
        <w:ind w:firstLine="720"/>
        <w:jc w:val="both"/>
        <w:rPr>
          <w:rFonts w:ascii="Times New Roman" w:hAnsi="Times New Roman"/>
          <w:szCs w:val="24"/>
        </w:rPr>
      </w:pPr>
    </w:p>
    <w:p w14:paraId="6131AA9A" w14:textId="757D63A2" w:rsidR="00763BC9" w:rsidRPr="007B6E38" w:rsidRDefault="00987299" w:rsidP="003F04C1">
      <w:pPr>
        <w:ind w:firstLine="720"/>
        <w:jc w:val="both"/>
        <w:rPr>
          <w:rFonts w:ascii="Times New Roman" w:hAnsi="Times New Roman"/>
          <w:spacing w:val="-3"/>
          <w:szCs w:val="24"/>
        </w:rPr>
      </w:pPr>
      <w:r>
        <w:rPr>
          <w:rFonts w:ascii="Times New Roman" w:hAnsi="Times New Roman"/>
          <w:spacing w:val="-3"/>
          <w:szCs w:val="24"/>
        </w:rPr>
        <w:t xml:space="preserve">After careful consideration of the evidence presented by the parties, this Commission concludes that a 9.1% or 9.2% ROE is unjustifiably low and could impede the Company’s ability to attract and access capital at reasonable rates and on reasonable terms. </w:t>
      </w:r>
      <w:r w:rsidR="00C11344">
        <w:rPr>
          <w:rFonts w:ascii="Times New Roman" w:hAnsi="Times New Roman"/>
          <w:spacing w:val="-3"/>
          <w:szCs w:val="24"/>
        </w:rPr>
        <w:t xml:space="preserve">The corrected calculation of the cash flows available to the Company after debt service further confirm that a 9.2% ROE on the existing capital structure is unreasonably low and likely would result in financial harm detrimental to the interests of customers and the public. Through the ROE it awards, the Commission has historically acknowledged the Company’s long-standing history of excellent performance and customer service as being above industry average. Witnesses Gorman and Reno disregard this Commission’s well-established precedent and policy without explanation. </w:t>
      </w:r>
      <w:r w:rsidR="00887DA0">
        <w:rPr>
          <w:rFonts w:ascii="Times New Roman" w:hAnsi="Times New Roman"/>
          <w:spacing w:val="-3"/>
          <w:szCs w:val="24"/>
        </w:rPr>
        <w:t xml:space="preserve">In light of the increased risk the Company assumes by agreeing to be bound by an ARP, this Commission has included additional basis points in its awarded ROE. Witnesses Gorman and Reno disregard this Commission’s well-established precedent and policy without explanation. </w:t>
      </w:r>
      <w:r w:rsidR="00573803">
        <w:rPr>
          <w:rFonts w:ascii="Times New Roman" w:hAnsi="Times New Roman"/>
          <w:spacing w:val="-3"/>
          <w:szCs w:val="24"/>
        </w:rPr>
        <w:t xml:space="preserve">PIA Staff and DOD’s recommendations would result in at least a 175 basis point reduction in ROE, which ignores and contradicts this </w:t>
      </w:r>
      <w:r w:rsidR="00887DA0">
        <w:rPr>
          <w:rFonts w:ascii="Times New Roman" w:hAnsi="Times New Roman"/>
          <w:spacing w:val="-3"/>
          <w:szCs w:val="24"/>
        </w:rPr>
        <w:t xml:space="preserve">Commission’s </w:t>
      </w:r>
      <w:r w:rsidR="00573803">
        <w:rPr>
          <w:rFonts w:ascii="Times New Roman" w:hAnsi="Times New Roman"/>
          <w:spacing w:val="-3"/>
          <w:szCs w:val="24"/>
        </w:rPr>
        <w:t xml:space="preserve">policy of gradualism. Therefore, the </w:t>
      </w:r>
      <w:r>
        <w:rPr>
          <w:rFonts w:ascii="Times New Roman" w:hAnsi="Times New Roman"/>
          <w:spacing w:val="-3"/>
          <w:szCs w:val="24"/>
        </w:rPr>
        <w:t>Commission approves a 10.9% ROE, as supported by Company Witness Vander Weide.</w:t>
      </w:r>
    </w:p>
    <w:p w14:paraId="496AC07E" w14:textId="77777777" w:rsidR="00763BC9" w:rsidRPr="007B6E38" w:rsidRDefault="00763BC9" w:rsidP="00763BC9">
      <w:pPr>
        <w:pStyle w:val="ListParagraph"/>
        <w:numPr>
          <w:ilvl w:val="0"/>
          <w:numId w:val="21"/>
        </w:numPr>
        <w:spacing w:before="240" w:after="240"/>
        <w:ind w:left="1440" w:hanging="720"/>
        <w:jc w:val="both"/>
        <w:rPr>
          <w:rFonts w:ascii="Times New Roman" w:hAnsi="Times New Roman"/>
          <w:spacing w:val="-3"/>
          <w:szCs w:val="24"/>
          <w:u w:val="single"/>
        </w:rPr>
      </w:pPr>
      <w:r w:rsidRPr="007B6E38">
        <w:rPr>
          <w:rFonts w:ascii="Times New Roman" w:hAnsi="Times New Roman"/>
          <w:spacing w:val="-3"/>
          <w:szCs w:val="24"/>
          <w:u w:val="single"/>
        </w:rPr>
        <w:t xml:space="preserve">Commission Determination Regarding Capital Structure. </w:t>
      </w:r>
    </w:p>
    <w:p w14:paraId="1F6786DB" w14:textId="4B3CA87E" w:rsidR="00763BC9" w:rsidRDefault="00763BC9" w:rsidP="0004228C">
      <w:pPr>
        <w:ind w:firstLine="720"/>
        <w:jc w:val="both"/>
        <w:rPr>
          <w:rFonts w:ascii="Times New Roman" w:hAnsi="Times New Roman"/>
          <w:szCs w:val="24"/>
        </w:rPr>
      </w:pPr>
      <w:r w:rsidRPr="007B6E38">
        <w:rPr>
          <w:rFonts w:ascii="Times New Roman" w:hAnsi="Times New Roman"/>
          <w:spacing w:val="-3"/>
          <w:szCs w:val="24"/>
        </w:rPr>
        <w:t>Georgia Power proposed</w:t>
      </w:r>
      <w:r w:rsidR="00AA3EC1">
        <w:rPr>
          <w:rFonts w:ascii="Times New Roman" w:hAnsi="Times New Roman"/>
          <w:spacing w:val="-3"/>
          <w:szCs w:val="24"/>
        </w:rPr>
        <w:t xml:space="preserve"> that</w:t>
      </w:r>
      <w:r w:rsidRPr="007B6E38">
        <w:rPr>
          <w:rFonts w:ascii="Times New Roman" w:hAnsi="Times New Roman"/>
          <w:spacing w:val="-3"/>
          <w:szCs w:val="24"/>
        </w:rPr>
        <w:t xml:space="preserve"> a capital structure containing approximately 44% debt and 56% common equity be used for ratemaking purposes in this proceeding. The Company maintains that the proposed 10.9% ROE and 56% equity ratio will ensure that Georgia Power has access to capital whenever necessary, provides the opportunity to earn a fair return for its investors and does so at rates favorable to customers. The Company highlights that </w:t>
      </w:r>
      <w:r w:rsidR="00AA3EC1">
        <w:rPr>
          <w:rFonts w:ascii="Times New Roman" w:hAnsi="Times New Roman"/>
          <w:spacing w:val="-3"/>
          <w:szCs w:val="24"/>
        </w:rPr>
        <w:t>its</w:t>
      </w:r>
      <w:r w:rsidRPr="007B6E38">
        <w:rPr>
          <w:rFonts w:ascii="Times New Roman" w:hAnsi="Times New Roman"/>
          <w:spacing w:val="-3"/>
          <w:szCs w:val="24"/>
        </w:rPr>
        <w:t xml:space="preserve"> allowed equity was reviewed in 2018 following the passage of the Tax Cuts &amp; Jobs Act which lowered the federal income tax rate from 35% to 21%.</w:t>
      </w:r>
      <w:r w:rsidRPr="007B6E38">
        <w:rPr>
          <w:rFonts w:ascii="Times New Roman" w:hAnsi="Times New Roman"/>
          <w:bCs/>
          <w:szCs w:val="24"/>
        </w:rPr>
        <w:t xml:space="preserve"> As pointed out by the Company, in April 2018, this Commission adjusted </w:t>
      </w:r>
      <w:r w:rsidRPr="007B6E38">
        <w:rPr>
          <w:rFonts w:ascii="Times New Roman" w:hAnsi="Times New Roman"/>
          <w:spacing w:val="-3"/>
          <w:szCs w:val="24"/>
        </w:rPr>
        <w:t xml:space="preserve">the Company’s equity ratio upward from the 51%, which was previously approved in the 2013 </w:t>
      </w:r>
      <w:r w:rsidR="00824511">
        <w:rPr>
          <w:rFonts w:ascii="Times New Roman" w:hAnsi="Times New Roman"/>
          <w:spacing w:val="-3"/>
          <w:szCs w:val="24"/>
        </w:rPr>
        <w:t>R</w:t>
      </w:r>
      <w:r w:rsidRPr="007B6E38">
        <w:rPr>
          <w:rFonts w:ascii="Times New Roman" w:hAnsi="Times New Roman"/>
          <w:spacing w:val="-3"/>
          <w:szCs w:val="24"/>
        </w:rPr>
        <w:t xml:space="preserve">ate </w:t>
      </w:r>
      <w:r w:rsidR="00824511">
        <w:rPr>
          <w:rFonts w:ascii="Times New Roman" w:hAnsi="Times New Roman"/>
          <w:spacing w:val="-3"/>
          <w:szCs w:val="24"/>
        </w:rPr>
        <w:t>C</w:t>
      </w:r>
      <w:r w:rsidRPr="007B6E38">
        <w:rPr>
          <w:rFonts w:ascii="Times New Roman" w:hAnsi="Times New Roman"/>
          <w:spacing w:val="-3"/>
          <w:szCs w:val="24"/>
        </w:rPr>
        <w:t xml:space="preserve">ase, to 55% as a part of the Tax Cuts &amp; Jobs Act settlement between the Company and Commission Staff in Docket No. 36989 (“Tax Reform Settlement”). The equity adjustment approved in the Tax Reform Settlement was implemented to address the negative implications of tax reform, provide support for maintaining the Company’s credit profile, and allow the Company timely access to capital markets and the ability to borrow at reasonable interest rates. </w:t>
      </w:r>
      <w:r w:rsidR="006D29D7">
        <w:rPr>
          <w:rFonts w:ascii="Times New Roman" w:hAnsi="Times New Roman"/>
          <w:spacing w:val="-3"/>
          <w:szCs w:val="24"/>
        </w:rPr>
        <w:t>The slight increase in the Company’s proposed equity capitalization from that previously approved by the Commission (55%) reflects a</w:t>
      </w:r>
      <w:r w:rsidR="00FA19E2">
        <w:rPr>
          <w:rFonts w:ascii="Times New Roman" w:hAnsi="Times New Roman"/>
          <w:spacing w:val="-3"/>
          <w:szCs w:val="24"/>
        </w:rPr>
        <w:t>n</w:t>
      </w:r>
      <w:r w:rsidR="006D29D7">
        <w:rPr>
          <w:rFonts w:ascii="Times New Roman" w:hAnsi="Times New Roman"/>
          <w:spacing w:val="-3"/>
          <w:szCs w:val="24"/>
        </w:rPr>
        <w:t xml:space="preserve"> adjustment commensurate with lowering the allowed return on equity to 10.9% instead of 10.95%. </w:t>
      </w:r>
      <w:r w:rsidRPr="007B6E38">
        <w:rPr>
          <w:rFonts w:ascii="Times New Roman" w:hAnsi="Times New Roman"/>
          <w:szCs w:val="24"/>
        </w:rPr>
        <w:t>Witness Reno accepted the Company’s proposed capital structure for the purposes of her analysis.</w:t>
      </w:r>
    </w:p>
    <w:p w14:paraId="7118C1D0" w14:textId="77777777" w:rsidR="0004228C" w:rsidRPr="007B6E38" w:rsidRDefault="0004228C" w:rsidP="0004228C">
      <w:pPr>
        <w:ind w:firstLine="720"/>
        <w:jc w:val="both"/>
        <w:rPr>
          <w:rFonts w:ascii="Times New Roman" w:hAnsi="Times New Roman"/>
          <w:bCs/>
          <w:szCs w:val="24"/>
        </w:rPr>
      </w:pPr>
    </w:p>
    <w:p w14:paraId="61AD344E" w14:textId="5DD032CF" w:rsidR="00763BC9" w:rsidRDefault="00763BC9" w:rsidP="0004228C">
      <w:pPr>
        <w:ind w:firstLine="720"/>
        <w:jc w:val="both"/>
        <w:rPr>
          <w:rFonts w:ascii="Times New Roman" w:hAnsi="Times New Roman"/>
          <w:szCs w:val="24"/>
        </w:rPr>
      </w:pPr>
      <w:r w:rsidRPr="007B6E38">
        <w:rPr>
          <w:rFonts w:ascii="Times New Roman" w:hAnsi="Times New Roman"/>
          <w:spacing w:val="-3"/>
          <w:szCs w:val="24"/>
        </w:rPr>
        <w:t xml:space="preserve">Staff Witness Gorman recommends that the Commission lower the Company’s equity ratio to 51% common equity consistent with the ratio approved in the 2013 </w:t>
      </w:r>
      <w:r w:rsidR="00824511">
        <w:rPr>
          <w:rFonts w:ascii="Times New Roman" w:hAnsi="Times New Roman"/>
          <w:spacing w:val="-3"/>
          <w:szCs w:val="24"/>
        </w:rPr>
        <w:t>R</w:t>
      </w:r>
      <w:r w:rsidRPr="007B6E38">
        <w:rPr>
          <w:rFonts w:ascii="Times New Roman" w:hAnsi="Times New Roman"/>
          <w:spacing w:val="-3"/>
          <w:szCs w:val="24"/>
        </w:rPr>
        <w:t xml:space="preserve">ate </w:t>
      </w:r>
      <w:r w:rsidR="00824511">
        <w:rPr>
          <w:rFonts w:ascii="Times New Roman" w:hAnsi="Times New Roman"/>
          <w:spacing w:val="-3"/>
          <w:szCs w:val="24"/>
        </w:rPr>
        <w:t>C</w:t>
      </w:r>
      <w:r w:rsidRPr="007B6E38">
        <w:rPr>
          <w:rFonts w:ascii="Times New Roman" w:hAnsi="Times New Roman"/>
          <w:spacing w:val="-3"/>
          <w:szCs w:val="24"/>
        </w:rPr>
        <w:t xml:space="preserve">ase. According to Witness Gorman, his recommendations support credit metrics that will significantly improve and strengthen over time after the </w:t>
      </w:r>
      <w:r w:rsidR="00AA3EC1">
        <w:rPr>
          <w:rFonts w:ascii="Times New Roman" w:hAnsi="Times New Roman"/>
          <w:spacing w:val="-3"/>
          <w:szCs w:val="24"/>
        </w:rPr>
        <w:t>start-up</w:t>
      </w:r>
      <w:r w:rsidRPr="007B6E38">
        <w:rPr>
          <w:rFonts w:ascii="Times New Roman" w:hAnsi="Times New Roman"/>
          <w:spacing w:val="-3"/>
          <w:szCs w:val="24"/>
        </w:rPr>
        <w:t xml:space="preserve"> and inclusion in rates of Vogtle Units 3 and 4 and cash flow from coal ash amortization expense. Witness Gorman further explained that the Tax Cuts &amp; Jobs Act will not increase the cost of equity for utilities. According to Witness Gorman, the effects of the Tax Cuts &amp; Jobs Act are fully observable in the market data where a majority of utilities have stable credit rating outlooks because they have adequate cash flow supporting their bond ratings. </w:t>
      </w:r>
      <w:r w:rsidRPr="007B6E38">
        <w:rPr>
          <w:rFonts w:ascii="Times New Roman" w:hAnsi="Times New Roman"/>
          <w:szCs w:val="24"/>
        </w:rPr>
        <w:t>Witness Gorman contends that Dr. Vander Weide failed to accurately compare the capital structure weights for the electric utility industry followed by Value Line and Georgia Power</w:t>
      </w:r>
      <w:r w:rsidR="00AA3EC1">
        <w:rPr>
          <w:rFonts w:ascii="Times New Roman" w:hAnsi="Times New Roman"/>
          <w:szCs w:val="24"/>
        </w:rPr>
        <w:t xml:space="preserve">, that </w:t>
      </w:r>
      <w:r w:rsidRPr="007B6E38">
        <w:rPr>
          <w:rFonts w:ascii="Times New Roman" w:hAnsi="Times New Roman"/>
          <w:szCs w:val="24"/>
        </w:rPr>
        <w:t xml:space="preserve">a 60% common equity ratio is simply excessive for a low-risk electric regulated utility. </w:t>
      </w:r>
    </w:p>
    <w:p w14:paraId="173A1EEC" w14:textId="77777777" w:rsidR="0004228C" w:rsidRPr="007B6E38" w:rsidRDefault="0004228C" w:rsidP="0004228C">
      <w:pPr>
        <w:ind w:firstLine="720"/>
        <w:jc w:val="both"/>
        <w:rPr>
          <w:rFonts w:ascii="Times New Roman" w:hAnsi="Times New Roman"/>
          <w:szCs w:val="24"/>
        </w:rPr>
      </w:pPr>
    </w:p>
    <w:p w14:paraId="4CBC8FBE" w14:textId="2BC0F08B" w:rsidR="00763BC9" w:rsidRDefault="00763BC9" w:rsidP="0004228C">
      <w:pPr>
        <w:ind w:firstLine="720"/>
        <w:jc w:val="both"/>
        <w:rPr>
          <w:rFonts w:ascii="Times New Roman" w:hAnsi="Times New Roman"/>
          <w:spacing w:val="-3"/>
          <w:szCs w:val="24"/>
        </w:rPr>
      </w:pPr>
      <w:r w:rsidRPr="007B6E38">
        <w:rPr>
          <w:rFonts w:ascii="Times New Roman" w:hAnsi="Times New Roman"/>
          <w:spacing w:val="-3"/>
          <w:szCs w:val="24"/>
        </w:rPr>
        <w:t xml:space="preserve">GIG/GAM Witness Jeffrey Pollock argues that Georgia Power does not need a 56% common equity ratio to maintain financial integrity because: (1) the average </w:t>
      </w:r>
      <w:r w:rsidR="004806A4">
        <w:rPr>
          <w:rFonts w:ascii="Times New Roman" w:hAnsi="Times New Roman"/>
          <w:spacing w:val="-3"/>
          <w:szCs w:val="24"/>
        </w:rPr>
        <w:t xml:space="preserve">book </w:t>
      </w:r>
      <w:r w:rsidRPr="007B6E38">
        <w:rPr>
          <w:rFonts w:ascii="Times New Roman" w:hAnsi="Times New Roman"/>
          <w:spacing w:val="-3"/>
          <w:szCs w:val="24"/>
        </w:rPr>
        <w:t>common equity ratio of Dr. Vander Weide’s proxy group is 53.5%; (2) the authorized common equity ratio in rate cases since 2014 ranged from 50.3% to 52.4%; and (3) the 56% common equity ratio is not necessary to achieve the cash flow credit metrics recommended by Moody’s.</w:t>
      </w:r>
    </w:p>
    <w:p w14:paraId="23D8CFCD" w14:textId="77777777" w:rsidR="0004228C" w:rsidRPr="007B6E38" w:rsidRDefault="0004228C" w:rsidP="0004228C">
      <w:pPr>
        <w:ind w:firstLine="720"/>
        <w:jc w:val="both"/>
        <w:rPr>
          <w:rFonts w:ascii="Times New Roman" w:hAnsi="Times New Roman"/>
          <w:spacing w:val="-3"/>
          <w:szCs w:val="24"/>
        </w:rPr>
      </w:pPr>
    </w:p>
    <w:p w14:paraId="42EA9639" w14:textId="454627BD" w:rsidR="00763BC9" w:rsidRPr="00F41BAF" w:rsidRDefault="00482C55" w:rsidP="00F41BAF">
      <w:pPr>
        <w:ind w:firstLine="720"/>
        <w:jc w:val="both"/>
        <w:rPr>
          <w:rFonts w:ascii="Times New Roman" w:hAnsi="Times New Roman"/>
          <w:szCs w:val="24"/>
        </w:rPr>
      </w:pPr>
      <w:r>
        <w:rPr>
          <w:rFonts w:ascii="Times New Roman" w:hAnsi="Times New Roman"/>
          <w:spacing w:val="-3"/>
          <w:szCs w:val="24"/>
        </w:rPr>
        <w:t>The Commission finds and concludes that a</w:t>
      </w:r>
      <w:r w:rsidR="00763BC9" w:rsidRPr="007B6E38">
        <w:rPr>
          <w:rFonts w:ascii="Times New Roman" w:hAnsi="Times New Roman"/>
          <w:spacing w:val="-3"/>
          <w:szCs w:val="24"/>
        </w:rPr>
        <w:t>doption of PIA Staff and Intervenors</w:t>
      </w:r>
      <w:r w:rsidR="008744FB">
        <w:rPr>
          <w:rFonts w:ascii="Times New Roman" w:hAnsi="Times New Roman"/>
          <w:spacing w:val="-3"/>
          <w:szCs w:val="24"/>
        </w:rPr>
        <w:t>’</w:t>
      </w:r>
      <w:r w:rsidR="00763BC9" w:rsidRPr="007B6E38">
        <w:rPr>
          <w:rFonts w:ascii="Times New Roman" w:hAnsi="Times New Roman"/>
          <w:spacing w:val="-3"/>
          <w:szCs w:val="24"/>
        </w:rPr>
        <w:t xml:space="preserve"> cost of capital positions would contradict this Commission’s history of consistent and predictable regulation and harm the Company’s financial integrity. </w:t>
      </w:r>
      <w:r>
        <w:rPr>
          <w:rFonts w:ascii="Times New Roman" w:hAnsi="Times New Roman"/>
          <w:spacing w:val="-3"/>
          <w:szCs w:val="24"/>
        </w:rPr>
        <w:t xml:space="preserve">The Commission </w:t>
      </w:r>
      <w:r w:rsidR="00763BC9">
        <w:rPr>
          <w:rFonts w:ascii="Times New Roman" w:hAnsi="Times New Roman"/>
          <w:spacing w:val="-3"/>
          <w:szCs w:val="24"/>
        </w:rPr>
        <w:t>understands</w:t>
      </w:r>
      <w:r>
        <w:rPr>
          <w:rFonts w:ascii="Times New Roman" w:hAnsi="Times New Roman"/>
          <w:spacing w:val="-3"/>
          <w:szCs w:val="24"/>
        </w:rPr>
        <w:t xml:space="preserve"> that its constructive</w:t>
      </w:r>
      <w:r w:rsidR="00763BC9" w:rsidRPr="007B6E38">
        <w:rPr>
          <w:rFonts w:ascii="Times New Roman" w:hAnsi="Times New Roman"/>
          <w:spacing w:val="-3"/>
          <w:szCs w:val="24"/>
        </w:rPr>
        <w:t xml:space="preserve"> regulation is </w:t>
      </w:r>
      <w:r>
        <w:rPr>
          <w:rFonts w:ascii="Times New Roman" w:hAnsi="Times New Roman"/>
          <w:spacing w:val="-3"/>
          <w:szCs w:val="24"/>
        </w:rPr>
        <w:t>a component of the credit rating agencies’ assessment of Georgi</w:t>
      </w:r>
      <w:r w:rsidR="00763BC9" w:rsidRPr="007B6E38">
        <w:rPr>
          <w:rFonts w:ascii="Times New Roman" w:hAnsi="Times New Roman"/>
          <w:spacing w:val="-3"/>
          <w:szCs w:val="24"/>
        </w:rPr>
        <w:t xml:space="preserve">a </w:t>
      </w:r>
      <w:r>
        <w:rPr>
          <w:rFonts w:ascii="Times New Roman" w:hAnsi="Times New Roman"/>
          <w:spacing w:val="-3"/>
          <w:szCs w:val="24"/>
        </w:rPr>
        <w:t>Power</w:t>
      </w:r>
      <w:r w:rsidR="00763BC9" w:rsidRPr="007B6E38">
        <w:rPr>
          <w:rFonts w:ascii="Times New Roman" w:hAnsi="Times New Roman"/>
          <w:spacing w:val="-3"/>
          <w:szCs w:val="24"/>
        </w:rPr>
        <w:t xml:space="preserve">’s credit profile because </w:t>
      </w:r>
      <w:r>
        <w:rPr>
          <w:rFonts w:ascii="Times New Roman" w:hAnsi="Times New Roman"/>
          <w:spacing w:val="-3"/>
          <w:szCs w:val="24"/>
        </w:rPr>
        <w:t xml:space="preserve">it </w:t>
      </w:r>
      <w:r w:rsidR="00763BC9" w:rsidRPr="007B6E38">
        <w:rPr>
          <w:rFonts w:ascii="Times New Roman" w:hAnsi="Times New Roman"/>
          <w:spacing w:val="-3"/>
          <w:szCs w:val="24"/>
        </w:rPr>
        <w:t>determine</w:t>
      </w:r>
      <w:r>
        <w:rPr>
          <w:rFonts w:ascii="Times New Roman" w:hAnsi="Times New Roman"/>
          <w:spacing w:val="-3"/>
          <w:szCs w:val="24"/>
        </w:rPr>
        <w:t>s the Company’s</w:t>
      </w:r>
      <w:r w:rsidR="00763BC9" w:rsidRPr="007B6E38">
        <w:rPr>
          <w:rFonts w:ascii="Times New Roman" w:hAnsi="Times New Roman"/>
          <w:spacing w:val="-3"/>
          <w:szCs w:val="24"/>
        </w:rPr>
        <w:t xml:space="preserve"> rate levels</w:t>
      </w:r>
      <w:r>
        <w:rPr>
          <w:rFonts w:ascii="Times New Roman" w:hAnsi="Times New Roman"/>
          <w:spacing w:val="-3"/>
          <w:szCs w:val="24"/>
        </w:rPr>
        <w:t xml:space="preserve"> necessary to recover expenses such as </w:t>
      </w:r>
      <w:r w:rsidR="00763BC9" w:rsidRPr="007B6E38">
        <w:rPr>
          <w:rFonts w:ascii="Times New Roman" w:hAnsi="Times New Roman"/>
          <w:spacing w:val="-3"/>
          <w:szCs w:val="24"/>
        </w:rPr>
        <w:t>depreciation</w:t>
      </w:r>
      <w:r>
        <w:rPr>
          <w:rFonts w:ascii="Times New Roman" w:hAnsi="Times New Roman"/>
          <w:spacing w:val="-3"/>
          <w:szCs w:val="24"/>
        </w:rPr>
        <w:t xml:space="preserve">, </w:t>
      </w:r>
      <w:r w:rsidR="00763BC9" w:rsidRPr="007B6E38">
        <w:rPr>
          <w:rFonts w:ascii="Times New Roman" w:hAnsi="Times New Roman"/>
          <w:spacing w:val="-3"/>
          <w:szCs w:val="24"/>
        </w:rPr>
        <w:t xml:space="preserve">O&amp;M, </w:t>
      </w:r>
      <w:r>
        <w:rPr>
          <w:rFonts w:ascii="Times New Roman" w:hAnsi="Times New Roman"/>
          <w:spacing w:val="-3"/>
          <w:szCs w:val="24"/>
        </w:rPr>
        <w:t>storm damage cost recovery</w:t>
      </w:r>
      <w:r w:rsidR="00763BC9" w:rsidRPr="007B6E38">
        <w:rPr>
          <w:rFonts w:ascii="Times New Roman" w:hAnsi="Times New Roman"/>
          <w:spacing w:val="-3"/>
          <w:szCs w:val="24"/>
        </w:rPr>
        <w:t xml:space="preserve">, and return on investment </w:t>
      </w:r>
      <w:r>
        <w:rPr>
          <w:rFonts w:ascii="Times New Roman" w:hAnsi="Times New Roman"/>
          <w:spacing w:val="-3"/>
          <w:szCs w:val="24"/>
        </w:rPr>
        <w:t>as well as</w:t>
      </w:r>
      <w:r w:rsidRPr="007B6E38">
        <w:rPr>
          <w:rFonts w:ascii="Times New Roman" w:hAnsi="Times New Roman"/>
          <w:spacing w:val="-3"/>
          <w:szCs w:val="24"/>
        </w:rPr>
        <w:t xml:space="preserve"> </w:t>
      </w:r>
      <w:r w:rsidR="00763BC9" w:rsidRPr="007B6E38">
        <w:rPr>
          <w:rFonts w:ascii="Times New Roman" w:hAnsi="Times New Roman"/>
          <w:spacing w:val="-3"/>
          <w:szCs w:val="24"/>
        </w:rPr>
        <w:t xml:space="preserve">the terms and conditions of </w:t>
      </w:r>
      <w:r>
        <w:rPr>
          <w:rFonts w:ascii="Times New Roman" w:hAnsi="Times New Roman"/>
          <w:spacing w:val="-3"/>
          <w:szCs w:val="24"/>
        </w:rPr>
        <w:t xml:space="preserve">electric </w:t>
      </w:r>
      <w:r w:rsidR="00763BC9" w:rsidRPr="007B6E38">
        <w:rPr>
          <w:rFonts w:ascii="Times New Roman" w:hAnsi="Times New Roman"/>
          <w:spacing w:val="-3"/>
          <w:szCs w:val="24"/>
        </w:rPr>
        <w:t>service.</w:t>
      </w:r>
      <w:r>
        <w:rPr>
          <w:rFonts w:ascii="Times New Roman" w:hAnsi="Times New Roman"/>
          <w:spacing w:val="-3"/>
          <w:szCs w:val="24"/>
        </w:rPr>
        <w:t xml:space="preserve"> This Commission reviewed</w:t>
      </w:r>
      <w:r w:rsidR="00932CF7">
        <w:rPr>
          <w:rFonts w:ascii="Times New Roman" w:hAnsi="Times New Roman"/>
          <w:spacing w:val="-3"/>
          <w:szCs w:val="24"/>
        </w:rPr>
        <w:t xml:space="preserve"> the Company’s equity ratio in light of the Tax Cuts and Jobs Act less than two years ago and determined that an increase in equity capitalization was necessary to counter balance the negative effects of tax reform on the Company’s cash flows</w:t>
      </w:r>
      <w:r w:rsidR="0094679E">
        <w:rPr>
          <w:rFonts w:ascii="Times New Roman" w:hAnsi="Times New Roman"/>
          <w:spacing w:val="-3"/>
          <w:szCs w:val="24"/>
        </w:rPr>
        <w:t>.</w:t>
      </w:r>
      <w:r w:rsidR="00763BC9" w:rsidRPr="007B6E38">
        <w:rPr>
          <w:rFonts w:ascii="Times New Roman" w:hAnsi="Times New Roman"/>
          <w:spacing w:val="-3"/>
          <w:szCs w:val="24"/>
        </w:rPr>
        <w:t xml:space="preserve"> </w:t>
      </w:r>
      <w:r w:rsidR="00763BC9" w:rsidRPr="007B6E38">
        <w:rPr>
          <w:rFonts w:ascii="Times New Roman" w:hAnsi="Times New Roman"/>
          <w:szCs w:val="24"/>
        </w:rPr>
        <w:t xml:space="preserve">Although </w:t>
      </w:r>
      <w:r w:rsidR="0094679E">
        <w:rPr>
          <w:rFonts w:ascii="Times New Roman" w:hAnsi="Times New Roman"/>
          <w:szCs w:val="24"/>
        </w:rPr>
        <w:t>the</w:t>
      </w:r>
      <w:r w:rsidR="00932CF7">
        <w:rPr>
          <w:rFonts w:ascii="Times New Roman" w:hAnsi="Times New Roman"/>
          <w:szCs w:val="24"/>
        </w:rPr>
        <w:t xml:space="preserve"> </w:t>
      </w:r>
      <w:r w:rsidR="00763BC9" w:rsidRPr="007B6E38">
        <w:rPr>
          <w:rFonts w:ascii="Times New Roman" w:hAnsi="Times New Roman"/>
          <w:szCs w:val="24"/>
        </w:rPr>
        <w:t>Tax Reform Settlement reserved the Commission’s right to address the appropriate equity level in the Company’s capital structure</w:t>
      </w:r>
      <w:r w:rsidR="00932CF7">
        <w:rPr>
          <w:rFonts w:ascii="Times New Roman" w:hAnsi="Times New Roman"/>
          <w:szCs w:val="24"/>
        </w:rPr>
        <w:t xml:space="preserve"> in this proceeding</w:t>
      </w:r>
      <w:r w:rsidR="00763BC9" w:rsidRPr="007B6E38">
        <w:rPr>
          <w:rFonts w:ascii="Times New Roman" w:hAnsi="Times New Roman"/>
          <w:szCs w:val="24"/>
        </w:rPr>
        <w:t xml:space="preserve">, </w:t>
      </w:r>
      <w:r w:rsidR="00932CF7">
        <w:rPr>
          <w:rFonts w:ascii="Times New Roman" w:hAnsi="Times New Roman"/>
          <w:szCs w:val="24"/>
        </w:rPr>
        <w:t>no</w:t>
      </w:r>
      <w:r w:rsidR="00763BC9" w:rsidRPr="007B6E38">
        <w:rPr>
          <w:rFonts w:ascii="Times New Roman" w:hAnsi="Times New Roman"/>
          <w:szCs w:val="24"/>
        </w:rPr>
        <w:t xml:space="preserve"> change</w:t>
      </w:r>
      <w:r w:rsidR="00932CF7">
        <w:rPr>
          <w:rFonts w:ascii="Times New Roman" w:hAnsi="Times New Roman"/>
          <w:szCs w:val="24"/>
        </w:rPr>
        <w:t xml:space="preserve"> in </w:t>
      </w:r>
      <w:r w:rsidR="00763BC9" w:rsidRPr="007B6E38">
        <w:rPr>
          <w:rFonts w:ascii="Times New Roman" w:hAnsi="Times New Roman"/>
          <w:szCs w:val="24"/>
        </w:rPr>
        <w:t>circumstances</w:t>
      </w:r>
      <w:r w:rsidR="00932CF7">
        <w:rPr>
          <w:rFonts w:ascii="Times New Roman" w:hAnsi="Times New Roman"/>
          <w:szCs w:val="24"/>
        </w:rPr>
        <w:t xml:space="preserve"> or the tax law</w:t>
      </w:r>
      <w:r w:rsidR="00763BC9" w:rsidRPr="007B6E38">
        <w:rPr>
          <w:rFonts w:ascii="Times New Roman" w:hAnsi="Times New Roman"/>
          <w:szCs w:val="24"/>
        </w:rPr>
        <w:t xml:space="preserve"> warrant</w:t>
      </w:r>
      <w:r w:rsidR="00932CF7">
        <w:rPr>
          <w:rFonts w:ascii="Times New Roman" w:hAnsi="Times New Roman"/>
          <w:szCs w:val="24"/>
        </w:rPr>
        <w:t>s</w:t>
      </w:r>
      <w:r w:rsidR="00763BC9" w:rsidRPr="007B6E38">
        <w:rPr>
          <w:rFonts w:ascii="Times New Roman" w:hAnsi="Times New Roman"/>
          <w:szCs w:val="24"/>
        </w:rPr>
        <w:t xml:space="preserve"> a reduction to the </w:t>
      </w:r>
      <w:r w:rsidR="00932CF7">
        <w:rPr>
          <w:rFonts w:ascii="Times New Roman" w:hAnsi="Times New Roman"/>
          <w:szCs w:val="24"/>
        </w:rPr>
        <w:t xml:space="preserve">Company’s </w:t>
      </w:r>
      <w:r w:rsidR="00763BC9" w:rsidRPr="007B6E38">
        <w:rPr>
          <w:rFonts w:ascii="Times New Roman" w:hAnsi="Times New Roman"/>
          <w:szCs w:val="24"/>
        </w:rPr>
        <w:t>equity level</w:t>
      </w:r>
      <w:r w:rsidR="00932CF7">
        <w:rPr>
          <w:rFonts w:ascii="Times New Roman" w:hAnsi="Times New Roman"/>
          <w:szCs w:val="24"/>
        </w:rPr>
        <w:t xml:space="preserve"> at this time. Further, P</w:t>
      </w:r>
      <w:r w:rsidR="00763BC9" w:rsidRPr="007B6E38">
        <w:rPr>
          <w:rFonts w:ascii="Times New Roman" w:hAnsi="Times New Roman"/>
          <w:szCs w:val="24"/>
        </w:rPr>
        <w:t xml:space="preserve">IA Staff </w:t>
      </w:r>
      <w:r w:rsidR="00932CF7">
        <w:rPr>
          <w:rFonts w:ascii="Times New Roman" w:hAnsi="Times New Roman"/>
          <w:szCs w:val="24"/>
        </w:rPr>
        <w:t>has</w:t>
      </w:r>
      <w:r w:rsidR="00763BC9" w:rsidRPr="007B6E38">
        <w:rPr>
          <w:rFonts w:ascii="Times New Roman" w:hAnsi="Times New Roman"/>
          <w:szCs w:val="24"/>
        </w:rPr>
        <w:t xml:space="preserve"> not articulated a justifiable reason to depart from the currently approved 55% equity level. </w:t>
      </w:r>
      <w:r w:rsidRPr="007B6E38">
        <w:rPr>
          <w:rFonts w:ascii="Times New Roman" w:hAnsi="Times New Roman"/>
          <w:spacing w:val="-3"/>
          <w:szCs w:val="24"/>
        </w:rPr>
        <w:t>The Company argued that r</w:t>
      </w:r>
      <w:r w:rsidRPr="007B6E38">
        <w:rPr>
          <w:rFonts w:ascii="Times New Roman" w:hAnsi="Times New Roman"/>
          <w:szCs w:val="24"/>
        </w:rPr>
        <w:t>educing its equity level by 400 basis points back to the pre-tax reform level approved in 2013 is significant enough to trigger a revised negative outlook from the credit agencies and threatens a downgrade</w:t>
      </w:r>
      <w:r w:rsidR="0094679E">
        <w:rPr>
          <w:rFonts w:ascii="Times New Roman" w:hAnsi="Times New Roman"/>
          <w:szCs w:val="24"/>
        </w:rPr>
        <w:t xml:space="preserve">. As highlighted by </w:t>
      </w:r>
      <w:r w:rsidR="00AB3341">
        <w:rPr>
          <w:rFonts w:ascii="Times New Roman" w:hAnsi="Times New Roman"/>
          <w:szCs w:val="24"/>
        </w:rPr>
        <w:t>Georgia Power</w:t>
      </w:r>
      <w:r w:rsidR="0094679E">
        <w:rPr>
          <w:rFonts w:ascii="Times New Roman" w:hAnsi="Times New Roman"/>
          <w:szCs w:val="24"/>
        </w:rPr>
        <w:t>,</w:t>
      </w:r>
      <w:r w:rsidR="00AB3341">
        <w:rPr>
          <w:rFonts w:ascii="Times New Roman" w:hAnsi="Times New Roman"/>
          <w:szCs w:val="24"/>
        </w:rPr>
        <w:t xml:space="preserve"> each of the </w:t>
      </w:r>
      <w:r w:rsidR="00AB3341" w:rsidRPr="00AB3341">
        <w:rPr>
          <w:rFonts w:ascii="Times New Roman" w:hAnsi="Times New Roman"/>
          <w:szCs w:val="24"/>
        </w:rPr>
        <w:t>three credit rating agencies have issued a Georgia Power-specific credit opinion since the Tax Reform Settlement was approved.</w:t>
      </w:r>
      <w:r w:rsidR="00F41BAF">
        <w:rPr>
          <w:rFonts w:ascii="Times New Roman" w:hAnsi="Times New Roman"/>
          <w:szCs w:val="24"/>
        </w:rPr>
        <w:t xml:space="preserve"> Based on the evidence presented, t</w:t>
      </w:r>
      <w:r w:rsidR="00763BC9" w:rsidRPr="007B6E38">
        <w:rPr>
          <w:rFonts w:ascii="Times New Roman" w:hAnsi="Times New Roman"/>
          <w:spacing w:val="-3"/>
          <w:szCs w:val="24"/>
        </w:rPr>
        <w:t>he Commission finds and concludes that the recommended capital structure of 56% common equity level is just and reasonable to all parties</w:t>
      </w:r>
      <w:r w:rsidR="00B670D3">
        <w:rPr>
          <w:rFonts w:ascii="Times New Roman" w:hAnsi="Times New Roman"/>
          <w:spacing w:val="-3"/>
          <w:szCs w:val="24"/>
        </w:rPr>
        <w:t xml:space="preserve"> considering</w:t>
      </w:r>
      <w:r w:rsidR="00763BC9" w:rsidRPr="007B6E38">
        <w:rPr>
          <w:rFonts w:ascii="Times New Roman" w:hAnsi="Times New Roman"/>
          <w:spacing w:val="-3"/>
          <w:szCs w:val="24"/>
        </w:rPr>
        <w:t xml:space="preserve"> all the evidence presented</w:t>
      </w:r>
      <w:r w:rsidR="00B670D3">
        <w:rPr>
          <w:rFonts w:ascii="Times New Roman" w:hAnsi="Times New Roman"/>
          <w:spacing w:val="-3"/>
          <w:szCs w:val="24"/>
        </w:rPr>
        <w:t xml:space="preserve"> and is necessary </w:t>
      </w:r>
      <w:r w:rsidR="00B670D3">
        <w:rPr>
          <w:rFonts w:ascii="Times New Roman" w:hAnsi="Times New Roman"/>
          <w:szCs w:val="24"/>
        </w:rPr>
        <w:t>to avoid a credit rating downgrade</w:t>
      </w:r>
      <w:r w:rsidR="00763BC9" w:rsidRPr="007B6E38">
        <w:rPr>
          <w:rFonts w:ascii="Times New Roman" w:hAnsi="Times New Roman"/>
          <w:spacing w:val="-3"/>
          <w:szCs w:val="24"/>
        </w:rPr>
        <w:t xml:space="preserve">. </w:t>
      </w:r>
    </w:p>
    <w:p w14:paraId="3C91E565" w14:textId="77777777" w:rsidR="00763BC9" w:rsidRPr="007B6E38" w:rsidRDefault="00763BC9" w:rsidP="00763BC9">
      <w:pPr>
        <w:pStyle w:val="ListParagraph"/>
        <w:numPr>
          <w:ilvl w:val="0"/>
          <w:numId w:val="21"/>
        </w:numPr>
        <w:spacing w:before="240" w:after="240"/>
        <w:ind w:left="1440" w:hanging="720"/>
        <w:jc w:val="both"/>
        <w:rPr>
          <w:rFonts w:ascii="Times New Roman" w:hAnsi="Times New Roman"/>
          <w:spacing w:val="-3"/>
          <w:szCs w:val="24"/>
          <w:u w:val="single"/>
        </w:rPr>
      </w:pPr>
      <w:r w:rsidRPr="007B6E38">
        <w:rPr>
          <w:rFonts w:ascii="Times New Roman" w:hAnsi="Times New Roman"/>
          <w:spacing w:val="-3"/>
          <w:szCs w:val="24"/>
          <w:u w:val="single"/>
        </w:rPr>
        <w:t xml:space="preserve">Commission Determination Regarding Cost of Debt. </w:t>
      </w:r>
    </w:p>
    <w:p w14:paraId="441A219E" w14:textId="740C895F" w:rsidR="00763BC9" w:rsidRDefault="00763BC9" w:rsidP="00316928">
      <w:pPr>
        <w:ind w:firstLine="720"/>
        <w:jc w:val="both"/>
        <w:rPr>
          <w:rFonts w:ascii="Times New Roman" w:hAnsi="Times New Roman"/>
          <w:spacing w:val="-3"/>
          <w:szCs w:val="24"/>
        </w:rPr>
      </w:pPr>
      <w:r w:rsidRPr="007B6E38">
        <w:rPr>
          <w:rFonts w:ascii="Times New Roman" w:hAnsi="Times New Roman"/>
          <w:spacing w:val="-3"/>
          <w:szCs w:val="24"/>
        </w:rPr>
        <w:t xml:space="preserve">Georgia Power recommended a </w:t>
      </w:r>
      <w:r w:rsidRPr="001A0DDB">
        <w:rPr>
          <w:rFonts w:ascii="Times New Roman" w:hAnsi="Times New Roman"/>
          <w:spacing w:val="-3"/>
          <w:szCs w:val="24"/>
        </w:rPr>
        <w:t>4.14%</w:t>
      </w:r>
      <w:r w:rsidRPr="007B6E38">
        <w:rPr>
          <w:rFonts w:ascii="Times New Roman" w:hAnsi="Times New Roman"/>
          <w:spacing w:val="-3"/>
          <w:szCs w:val="24"/>
        </w:rPr>
        <w:t xml:space="preserve"> cost of debt be used for ratemaking purposes in this proceeding. PIA Staff Witness Gorman makes recommend</w:t>
      </w:r>
      <w:r w:rsidR="00297462">
        <w:rPr>
          <w:rFonts w:ascii="Times New Roman" w:hAnsi="Times New Roman"/>
          <w:spacing w:val="-3"/>
          <w:szCs w:val="24"/>
        </w:rPr>
        <w:t>ed</w:t>
      </w:r>
      <w:r w:rsidRPr="007B6E38">
        <w:rPr>
          <w:rFonts w:ascii="Times New Roman" w:hAnsi="Times New Roman"/>
          <w:spacing w:val="-3"/>
          <w:szCs w:val="24"/>
        </w:rPr>
        <w:t xml:space="preserve"> two major adjustments to the Company’s filed cost of debt: (1) he updates the coupon rates for two debt issuances; and (2) he adjusts the projected cost of debt to 3.65% for projected issuances beyond March 2020. DOD Witness Reno recommends that the Commission reject the Company’s proposed cost of long-term debt. According to Witness Reno, market and economic indicators do not support the increasing cost of debt in the ARP. Instead, Witness Reno recommends that for purposes of the ARP, the Commission require that the Company use the cost of long-term debt for the test year (4.14 </w:t>
      </w:r>
      <w:r w:rsidR="0077729D">
        <w:rPr>
          <w:rFonts w:ascii="Times New Roman" w:hAnsi="Times New Roman"/>
          <w:spacing w:val="-3"/>
          <w:szCs w:val="24"/>
        </w:rPr>
        <w:t>%</w:t>
      </w:r>
      <w:r w:rsidRPr="007B6E38">
        <w:rPr>
          <w:rFonts w:ascii="Times New Roman" w:hAnsi="Times New Roman"/>
          <w:spacing w:val="-3"/>
          <w:szCs w:val="24"/>
        </w:rPr>
        <w:t xml:space="preserve">). </w:t>
      </w:r>
    </w:p>
    <w:p w14:paraId="27FC1462" w14:textId="77777777" w:rsidR="00316928" w:rsidRPr="007B6E38" w:rsidRDefault="00316928" w:rsidP="00316928">
      <w:pPr>
        <w:jc w:val="both"/>
        <w:rPr>
          <w:rFonts w:ascii="Times New Roman" w:hAnsi="Times New Roman"/>
          <w:spacing w:val="-3"/>
          <w:szCs w:val="24"/>
        </w:rPr>
      </w:pPr>
    </w:p>
    <w:p w14:paraId="36A4855F" w14:textId="47F06FD7" w:rsidR="00E25166" w:rsidRDefault="00316928" w:rsidP="00E25166">
      <w:pPr>
        <w:keepNext/>
        <w:tabs>
          <w:tab w:val="left" w:pos="0"/>
        </w:tabs>
        <w:jc w:val="both"/>
        <w:rPr>
          <w:rFonts w:ascii="Times New Roman" w:hAnsi="Times New Roman"/>
          <w:szCs w:val="24"/>
        </w:rPr>
      </w:pPr>
      <w:r>
        <w:rPr>
          <w:rFonts w:ascii="Times New Roman" w:hAnsi="Times New Roman"/>
          <w:szCs w:val="24"/>
        </w:rPr>
        <w:tab/>
        <w:t xml:space="preserve">As it pertains to </w:t>
      </w:r>
      <w:r w:rsidRPr="00444332">
        <w:rPr>
          <w:rFonts w:ascii="Times New Roman" w:hAnsi="Times New Roman"/>
          <w:szCs w:val="24"/>
        </w:rPr>
        <w:t>Witness Gorman</w:t>
      </w:r>
      <w:r w:rsidR="0077729D">
        <w:rPr>
          <w:rFonts w:ascii="Times New Roman" w:hAnsi="Times New Roman"/>
          <w:szCs w:val="24"/>
        </w:rPr>
        <w:t>,</w:t>
      </w:r>
      <w:r>
        <w:rPr>
          <w:rFonts w:ascii="Times New Roman" w:hAnsi="Times New Roman"/>
          <w:szCs w:val="24"/>
        </w:rPr>
        <w:t xml:space="preserve"> his</w:t>
      </w:r>
      <w:r w:rsidRPr="00444332">
        <w:rPr>
          <w:rFonts w:ascii="Times New Roman" w:hAnsi="Times New Roman"/>
          <w:szCs w:val="24"/>
        </w:rPr>
        <w:t xml:space="preserve"> recommended adjustment to the cost of debt</w:t>
      </w:r>
      <w:r w:rsidR="00E25166">
        <w:rPr>
          <w:rFonts w:ascii="Times New Roman" w:hAnsi="Times New Roman"/>
          <w:szCs w:val="24"/>
        </w:rPr>
        <w:t xml:space="preserve"> </w:t>
      </w:r>
      <w:r w:rsidRPr="00444332">
        <w:rPr>
          <w:rFonts w:ascii="Times New Roman" w:hAnsi="Times New Roman"/>
          <w:szCs w:val="24"/>
        </w:rPr>
        <w:t xml:space="preserve">revises only one component of the Company’s filing impacted by interest rates and creates inconsistencies with the interest rate assumptions throughout the remainder of the Company’s filing. For example, adjusting interest rates only for the debt assumptions included in the Company’s WACC and ignoring the interest rate assumptions that are used to project the Company’s pension obligations, creates a distorted and inconsistent application of interest rates used in calculating the cost to serve </w:t>
      </w:r>
      <w:r w:rsidR="0077729D">
        <w:rPr>
          <w:rFonts w:ascii="Times New Roman" w:hAnsi="Times New Roman"/>
          <w:szCs w:val="24"/>
        </w:rPr>
        <w:t xml:space="preserve">Georgia Power </w:t>
      </w:r>
      <w:r w:rsidRPr="00444332">
        <w:rPr>
          <w:rFonts w:ascii="Times New Roman" w:hAnsi="Times New Roman"/>
          <w:szCs w:val="24"/>
        </w:rPr>
        <w:t>customers. If Witness Gorman w</w:t>
      </w:r>
      <w:r w:rsidR="0077729D">
        <w:rPr>
          <w:rFonts w:ascii="Times New Roman" w:hAnsi="Times New Roman"/>
          <w:szCs w:val="24"/>
        </w:rPr>
        <w:t>as</w:t>
      </w:r>
      <w:r w:rsidRPr="00444332">
        <w:rPr>
          <w:rFonts w:ascii="Times New Roman" w:hAnsi="Times New Roman"/>
          <w:szCs w:val="24"/>
        </w:rPr>
        <w:t xml:space="preserve"> systematic in the application of his alternative interest rates assumptions, he would have calculated increased pension costs that would more than offset any debt cost rate decreases included in his testimony.</w:t>
      </w:r>
      <w:r w:rsidR="00E25166">
        <w:rPr>
          <w:rFonts w:ascii="Times New Roman" w:hAnsi="Times New Roman"/>
          <w:szCs w:val="24"/>
        </w:rPr>
        <w:t xml:space="preserve"> </w:t>
      </w:r>
    </w:p>
    <w:p w14:paraId="11817A25" w14:textId="77777777" w:rsidR="00E25166" w:rsidRPr="00444332" w:rsidRDefault="00E25166" w:rsidP="00824511">
      <w:pPr>
        <w:keepNext/>
        <w:tabs>
          <w:tab w:val="left" w:pos="0"/>
        </w:tabs>
        <w:jc w:val="both"/>
        <w:rPr>
          <w:rFonts w:ascii="Times New Roman" w:hAnsi="Times New Roman"/>
          <w:szCs w:val="24"/>
        </w:rPr>
      </w:pPr>
    </w:p>
    <w:p w14:paraId="398880A4" w14:textId="2F37A932" w:rsidR="00763BC9" w:rsidRDefault="00316928" w:rsidP="00E25166">
      <w:pPr>
        <w:ind w:firstLine="720"/>
        <w:jc w:val="both"/>
        <w:rPr>
          <w:rFonts w:ascii="Times New Roman" w:hAnsi="Times New Roman"/>
          <w:szCs w:val="24"/>
        </w:rPr>
      </w:pPr>
      <w:r w:rsidRPr="00444332">
        <w:rPr>
          <w:rFonts w:ascii="Times New Roman" w:hAnsi="Times New Roman"/>
          <w:szCs w:val="24"/>
        </w:rPr>
        <w:t>Second, Witness Gorman’s adjustment of projected cost of debt to 3.65% for the projected issuances beyond March 2020 is inappropriate for forecasting the Company’s future cost of debt because it: (i) is estimated on a backward-looking basis; (ii) contains only 13-weeks of history; and (iii) is unclear on tenure. (</w:t>
      </w:r>
      <w:r w:rsidRPr="00444332">
        <w:rPr>
          <w:rFonts w:ascii="Times New Roman" w:hAnsi="Times New Roman"/>
          <w:i/>
          <w:szCs w:val="24"/>
        </w:rPr>
        <w:t>Id</w:t>
      </w:r>
      <w:r w:rsidRPr="00444332">
        <w:rPr>
          <w:rFonts w:ascii="Times New Roman" w:hAnsi="Times New Roman"/>
          <w:szCs w:val="24"/>
        </w:rPr>
        <w:t>.) Georgia Power’s forward-looking approach using a reputable, third party, independently-developed interest rate forecast is more appropriate and consistent with industry best practice and has been supported historically by this Commission.</w:t>
      </w:r>
    </w:p>
    <w:p w14:paraId="0562AF25" w14:textId="77777777" w:rsidR="00E25166" w:rsidRPr="007B6E38" w:rsidRDefault="00E25166" w:rsidP="00824511">
      <w:pPr>
        <w:ind w:firstLine="720"/>
        <w:jc w:val="both"/>
        <w:rPr>
          <w:rFonts w:ascii="Times New Roman" w:hAnsi="Times New Roman"/>
          <w:spacing w:val="-3"/>
          <w:szCs w:val="24"/>
        </w:rPr>
      </w:pPr>
    </w:p>
    <w:p w14:paraId="44BBF00A" w14:textId="77777777" w:rsidR="00763BC9" w:rsidRPr="007B6E38" w:rsidRDefault="00763BC9" w:rsidP="00763BC9">
      <w:pPr>
        <w:jc w:val="both"/>
        <w:rPr>
          <w:rFonts w:ascii="Times New Roman" w:hAnsi="Times New Roman"/>
          <w:spacing w:val="-3"/>
          <w:szCs w:val="24"/>
        </w:rPr>
      </w:pPr>
      <w:r w:rsidRPr="007B6E38">
        <w:rPr>
          <w:rFonts w:ascii="Times New Roman" w:hAnsi="Times New Roman"/>
          <w:spacing w:val="-3"/>
          <w:szCs w:val="24"/>
        </w:rPr>
        <w:tab/>
        <w:t xml:space="preserve">The Commission finds that the Company’s proposed cost of debt is a fair and reasonable approximation of the cost of debt during the three-year ARP period and should be approved. </w:t>
      </w:r>
    </w:p>
    <w:p w14:paraId="78F48F03" w14:textId="77777777" w:rsidR="00763BC9" w:rsidRPr="007B6E38" w:rsidRDefault="00763BC9" w:rsidP="00763BC9">
      <w:pPr>
        <w:pStyle w:val="ListParagraph"/>
        <w:numPr>
          <w:ilvl w:val="0"/>
          <w:numId w:val="21"/>
        </w:numPr>
        <w:spacing w:before="240" w:after="240"/>
        <w:ind w:left="1440" w:hanging="720"/>
        <w:jc w:val="both"/>
        <w:rPr>
          <w:rFonts w:ascii="Times New Roman" w:hAnsi="Times New Roman"/>
          <w:spacing w:val="-3"/>
          <w:szCs w:val="24"/>
          <w:u w:val="single"/>
        </w:rPr>
      </w:pPr>
      <w:r w:rsidRPr="007B6E38">
        <w:rPr>
          <w:rFonts w:ascii="Times New Roman" w:hAnsi="Times New Roman"/>
          <w:spacing w:val="-3"/>
          <w:szCs w:val="24"/>
          <w:u w:val="single"/>
        </w:rPr>
        <w:t xml:space="preserve">Commission Determination Regarding Georgia Power Financial Integrity. </w:t>
      </w:r>
    </w:p>
    <w:p w14:paraId="4CBD2402" w14:textId="6DFF77F9" w:rsidR="00E25166" w:rsidRDefault="00763BC9" w:rsidP="00E25166">
      <w:pPr>
        <w:ind w:firstLine="720"/>
        <w:jc w:val="both"/>
        <w:rPr>
          <w:rFonts w:ascii="Times New Roman" w:hAnsi="Times New Roman"/>
          <w:spacing w:val="-3"/>
          <w:szCs w:val="24"/>
        </w:rPr>
      </w:pPr>
      <w:r w:rsidRPr="007B6E38">
        <w:rPr>
          <w:rFonts w:ascii="Times New Roman" w:hAnsi="Times New Roman"/>
          <w:spacing w:val="-3"/>
          <w:szCs w:val="24"/>
        </w:rPr>
        <w:t xml:space="preserve">In additional to setting rates to permit the Company to continue to provide clean, safe, reliable and affordable electric service, the Commission is tasked with ensuring the financial integrity of the Company in order for it to access capital at reasonable rates and on reasonable terms. The Company presented testimony on the impacts of its proposed cost of capital and capital structure as well as the impacts of PIA Staff’s proposals on the Company’s financial risk metrics used by the credit rating agencies to determine credit quality. Although PIA Staff Witness Gorman calculated the FFO to Debt for S&amp;P, he erred in his calculations and underestimated the effect of his recommendations on the Company’s financial health. </w:t>
      </w:r>
      <w:r w:rsidR="00E25166" w:rsidRPr="00444332">
        <w:rPr>
          <w:rFonts w:ascii="Times New Roman" w:hAnsi="Times New Roman"/>
          <w:szCs w:val="24"/>
        </w:rPr>
        <w:t xml:space="preserve">When corrected, these errors reveal that PIA Staff’s proposals would reduce the Company’s credit metrics to levels well below the very clearly communicated expectations of the credit rating agencies, and that would likely trigger a ratings downgrade. (Tr. 2625.) This degradation in financial health and credit quality would harm the Company’s customers. Notably, PIA Staff counsel did not question the Company’s calculations or resulting impact of Mr. Gorman’s errors during the hearings on the Company’s rebuttal testimony. PIA Staff appears to have changed its position on the importance of Georgia Power’s financial integrity, implying that it is less important than Mr. Gorman intimated before the calculational errors were identified. </w:t>
      </w:r>
    </w:p>
    <w:p w14:paraId="0F1B3D1E" w14:textId="77777777" w:rsidR="00E25166" w:rsidRDefault="00E25166" w:rsidP="00E25166">
      <w:pPr>
        <w:ind w:firstLine="720"/>
        <w:jc w:val="both"/>
        <w:rPr>
          <w:rFonts w:ascii="Times New Roman" w:hAnsi="Times New Roman"/>
          <w:spacing w:val="-3"/>
          <w:szCs w:val="24"/>
        </w:rPr>
      </w:pPr>
    </w:p>
    <w:p w14:paraId="72A03EF2" w14:textId="05B01C28" w:rsidR="00E25166" w:rsidRPr="00824511" w:rsidRDefault="00763BC9" w:rsidP="0053052F">
      <w:pPr>
        <w:ind w:firstLine="720"/>
        <w:jc w:val="both"/>
        <w:rPr>
          <w:rFonts w:ascii="Times New Roman" w:hAnsi="Times New Roman"/>
          <w:szCs w:val="24"/>
        </w:rPr>
      </w:pPr>
      <w:r w:rsidRPr="007B6E38">
        <w:rPr>
          <w:rFonts w:ascii="Times New Roman" w:hAnsi="Times New Roman"/>
          <w:spacing w:val="-3"/>
          <w:szCs w:val="24"/>
        </w:rPr>
        <w:t>Further, the evidence in the record demonstrates that PIA Staff Witness Gorman did not fully evaluate the cumulative effects of PIA Staff’s recommendations on the Company’s credit quality</w:t>
      </w:r>
      <w:r w:rsidR="00E25166">
        <w:rPr>
          <w:rFonts w:ascii="Times New Roman" w:hAnsi="Times New Roman"/>
          <w:spacing w:val="-3"/>
          <w:szCs w:val="24"/>
        </w:rPr>
        <w:t xml:space="preserve">. </w:t>
      </w:r>
      <w:r w:rsidR="00E25166" w:rsidRPr="00186C1F">
        <w:rPr>
          <w:rFonts w:ascii="Times New Roman" w:hAnsi="Times New Roman"/>
          <w:szCs w:val="24"/>
        </w:rPr>
        <w:t>PIA Staff</w:t>
      </w:r>
      <w:r w:rsidR="00E25166">
        <w:rPr>
          <w:rFonts w:ascii="Times New Roman" w:hAnsi="Times New Roman"/>
          <w:szCs w:val="24"/>
        </w:rPr>
        <w:t>’</w:t>
      </w:r>
      <w:r w:rsidR="00E25166" w:rsidRPr="00186C1F">
        <w:rPr>
          <w:rFonts w:ascii="Times New Roman" w:hAnsi="Times New Roman"/>
          <w:szCs w:val="24"/>
        </w:rPr>
        <w:t>s combined proposal would cause the Company</w:t>
      </w:r>
      <w:r w:rsidR="00E25166">
        <w:rPr>
          <w:rFonts w:ascii="Times New Roman" w:hAnsi="Times New Roman"/>
          <w:szCs w:val="24"/>
        </w:rPr>
        <w:t>’</w:t>
      </w:r>
      <w:r w:rsidR="00E25166" w:rsidRPr="00186C1F">
        <w:rPr>
          <w:rFonts w:ascii="Times New Roman" w:hAnsi="Times New Roman"/>
          <w:szCs w:val="24"/>
        </w:rPr>
        <w:t>s FFO to Debt to fall well below S&amp;P and Moody</w:t>
      </w:r>
      <w:r w:rsidR="00E25166">
        <w:rPr>
          <w:rFonts w:ascii="Times New Roman" w:hAnsi="Times New Roman"/>
          <w:szCs w:val="24"/>
        </w:rPr>
        <w:t>’</w:t>
      </w:r>
      <w:r w:rsidR="00E25166" w:rsidRPr="00186C1F">
        <w:rPr>
          <w:rFonts w:ascii="Times New Roman" w:hAnsi="Times New Roman"/>
          <w:szCs w:val="24"/>
        </w:rPr>
        <w:t>s established expectations necessary to retain the Company</w:t>
      </w:r>
      <w:r w:rsidR="00E25166">
        <w:rPr>
          <w:rFonts w:ascii="Times New Roman" w:hAnsi="Times New Roman"/>
          <w:szCs w:val="24"/>
        </w:rPr>
        <w:t>’</w:t>
      </w:r>
      <w:r w:rsidR="00E25166" w:rsidRPr="00186C1F">
        <w:rPr>
          <w:rFonts w:ascii="Times New Roman" w:hAnsi="Times New Roman"/>
          <w:szCs w:val="24"/>
        </w:rPr>
        <w:t xml:space="preserve">s current credit ratings. </w:t>
      </w:r>
      <w:r w:rsidR="00E25166" w:rsidRPr="00186C1F" w:rsidDel="00B057F9">
        <w:rPr>
          <w:rFonts w:ascii="Times New Roman" w:hAnsi="Times New Roman"/>
          <w:szCs w:val="24"/>
        </w:rPr>
        <w:t>Based on the latest Moody</w:t>
      </w:r>
      <w:r w:rsidR="00E25166">
        <w:rPr>
          <w:rFonts w:ascii="Times New Roman" w:hAnsi="Times New Roman"/>
          <w:szCs w:val="24"/>
        </w:rPr>
        <w:t>’</w:t>
      </w:r>
      <w:r w:rsidR="00E25166" w:rsidRPr="00186C1F" w:rsidDel="00B057F9">
        <w:rPr>
          <w:rFonts w:ascii="Times New Roman" w:hAnsi="Times New Roman"/>
          <w:szCs w:val="24"/>
        </w:rPr>
        <w:t>s Credit Opinion</w:t>
      </w:r>
      <w:r w:rsidR="0053052F">
        <w:rPr>
          <w:rFonts w:ascii="Times New Roman" w:hAnsi="Times New Roman"/>
          <w:szCs w:val="24"/>
        </w:rPr>
        <w:t>,</w:t>
      </w:r>
      <w:r w:rsidR="00E25166" w:rsidRPr="00186C1F" w:rsidDel="00B057F9">
        <w:rPr>
          <w:rFonts w:ascii="Times New Roman" w:hAnsi="Times New Roman"/>
          <w:szCs w:val="24"/>
        </w:rPr>
        <w:t xml:space="preserve"> issued on October 16, 2019, Moody</w:t>
      </w:r>
      <w:r w:rsidR="00E25166">
        <w:rPr>
          <w:rFonts w:ascii="Times New Roman" w:hAnsi="Times New Roman"/>
          <w:szCs w:val="24"/>
        </w:rPr>
        <w:t>’</w:t>
      </w:r>
      <w:r w:rsidR="00E25166" w:rsidRPr="00186C1F" w:rsidDel="00B057F9">
        <w:rPr>
          <w:rFonts w:ascii="Times New Roman" w:hAnsi="Times New Roman"/>
          <w:szCs w:val="24"/>
        </w:rPr>
        <w:t xml:space="preserve">s stated that a ratio of cash flow from operations (“CFO”) pre-working capital (“W/C”) to debt should be about 20-23% in order to support the Stable outlook for the Company. In addition, S&amp;P stated in the latest </w:t>
      </w:r>
      <w:r w:rsidR="00E25166">
        <w:rPr>
          <w:rFonts w:ascii="Times New Roman" w:hAnsi="Times New Roman"/>
          <w:szCs w:val="24"/>
        </w:rPr>
        <w:t>s</w:t>
      </w:r>
      <w:r w:rsidR="00E25166" w:rsidRPr="00186C1F" w:rsidDel="00B057F9">
        <w:rPr>
          <w:rFonts w:ascii="Times New Roman" w:hAnsi="Times New Roman"/>
          <w:szCs w:val="24"/>
        </w:rPr>
        <w:t>ummary for Georgia Power</w:t>
      </w:r>
      <w:r w:rsidR="00E25166">
        <w:rPr>
          <w:rFonts w:ascii="Times New Roman" w:hAnsi="Times New Roman"/>
          <w:szCs w:val="24"/>
        </w:rPr>
        <w:t>,</w:t>
      </w:r>
      <w:r w:rsidR="00E25166" w:rsidRPr="00186C1F" w:rsidDel="00B057F9">
        <w:rPr>
          <w:rFonts w:ascii="Times New Roman" w:hAnsi="Times New Roman"/>
          <w:szCs w:val="24"/>
        </w:rPr>
        <w:t xml:space="preserve"> issued on </w:t>
      </w:r>
      <w:r w:rsidR="00E25166" w:rsidRPr="00186C1F">
        <w:rPr>
          <w:rFonts w:ascii="Times New Roman" w:hAnsi="Times New Roman"/>
          <w:szCs w:val="24"/>
        </w:rPr>
        <w:t>October 12, 2018</w:t>
      </w:r>
      <w:r w:rsidR="0053052F">
        <w:rPr>
          <w:rFonts w:ascii="Times New Roman" w:hAnsi="Times New Roman"/>
          <w:szCs w:val="24"/>
        </w:rPr>
        <w:t>,</w:t>
      </w:r>
      <w:r w:rsidR="00E25166" w:rsidRPr="00186C1F" w:rsidDel="00B057F9">
        <w:rPr>
          <w:rFonts w:ascii="Times New Roman" w:hAnsi="Times New Roman"/>
          <w:szCs w:val="24"/>
        </w:rPr>
        <w:t xml:space="preserve"> that they “expect GPC</w:t>
      </w:r>
      <w:r w:rsidR="00E25166">
        <w:rPr>
          <w:rFonts w:ascii="Times New Roman" w:hAnsi="Times New Roman"/>
          <w:szCs w:val="24"/>
        </w:rPr>
        <w:t>’</w:t>
      </w:r>
      <w:r w:rsidR="00E25166" w:rsidRPr="00186C1F" w:rsidDel="00B057F9">
        <w:rPr>
          <w:rFonts w:ascii="Times New Roman" w:hAnsi="Times New Roman"/>
          <w:szCs w:val="24"/>
        </w:rPr>
        <w:t>s funds from operations (</w:t>
      </w:r>
      <w:r w:rsidR="00686DFF">
        <w:rPr>
          <w:rFonts w:ascii="Times New Roman" w:hAnsi="Times New Roman"/>
          <w:szCs w:val="24"/>
        </w:rPr>
        <w:t>“</w:t>
      </w:r>
      <w:r w:rsidR="00E25166" w:rsidRPr="00186C1F" w:rsidDel="00B057F9">
        <w:rPr>
          <w:rFonts w:ascii="Times New Roman" w:hAnsi="Times New Roman"/>
          <w:szCs w:val="24"/>
        </w:rPr>
        <w:t>FFO</w:t>
      </w:r>
      <w:r w:rsidR="00686DFF">
        <w:rPr>
          <w:rFonts w:ascii="Times New Roman" w:hAnsi="Times New Roman"/>
          <w:szCs w:val="24"/>
        </w:rPr>
        <w:t>”</w:t>
      </w:r>
      <w:r w:rsidR="00E25166" w:rsidRPr="00186C1F" w:rsidDel="00B057F9">
        <w:rPr>
          <w:rFonts w:ascii="Times New Roman" w:hAnsi="Times New Roman"/>
          <w:szCs w:val="24"/>
        </w:rPr>
        <w:t>)-to-debt ratio to average close to 15% through 2019, with gradual improvements beginning in 2020.”</w:t>
      </w:r>
      <w:r w:rsidR="00E25166">
        <w:rPr>
          <w:rFonts w:ascii="Times New Roman" w:hAnsi="Times New Roman"/>
          <w:szCs w:val="24"/>
        </w:rPr>
        <w:t xml:space="preserve"> </w:t>
      </w:r>
      <w:r w:rsidR="00E25166" w:rsidRPr="00186C1F">
        <w:rPr>
          <w:rFonts w:ascii="Times New Roman" w:hAnsi="Times New Roman"/>
          <w:szCs w:val="24"/>
        </w:rPr>
        <w:t>The Company</w:t>
      </w:r>
      <w:r w:rsidR="00E25166">
        <w:rPr>
          <w:rFonts w:ascii="Times New Roman" w:hAnsi="Times New Roman"/>
          <w:szCs w:val="24"/>
        </w:rPr>
        <w:t>’</w:t>
      </w:r>
      <w:r w:rsidR="00E25166" w:rsidRPr="00186C1F">
        <w:rPr>
          <w:rFonts w:ascii="Times New Roman" w:hAnsi="Times New Roman"/>
          <w:szCs w:val="24"/>
        </w:rPr>
        <w:t>s proposed case results in a</w:t>
      </w:r>
      <w:r w:rsidR="00E25166">
        <w:rPr>
          <w:rFonts w:ascii="Times New Roman" w:hAnsi="Times New Roman"/>
          <w:szCs w:val="24"/>
        </w:rPr>
        <w:t>n average</w:t>
      </w:r>
      <w:r w:rsidR="00E25166" w:rsidRPr="00186C1F">
        <w:rPr>
          <w:rFonts w:ascii="Times New Roman" w:hAnsi="Times New Roman"/>
          <w:szCs w:val="24"/>
        </w:rPr>
        <w:t xml:space="preserve"> CFO pre-W/C to debt</w:t>
      </w:r>
      <w:r w:rsidR="00E25166">
        <w:rPr>
          <w:rFonts w:ascii="Times New Roman" w:hAnsi="Times New Roman"/>
          <w:szCs w:val="24"/>
        </w:rPr>
        <w:t xml:space="preserve"> ratio</w:t>
      </w:r>
      <w:r w:rsidR="00E25166" w:rsidRPr="00186C1F">
        <w:rPr>
          <w:rFonts w:ascii="Times New Roman" w:hAnsi="Times New Roman"/>
          <w:szCs w:val="24"/>
        </w:rPr>
        <w:t xml:space="preserve"> of 21.2% and an FFO to Debt calculation of 16.3%, both of which are within the reasonable range or above the minimum threshold noted by Moody</w:t>
      </w:r>
      <w:r w:rsidR="00E25166">
        <w:rPr>
          <w:rFonts w:ascii="Times New Roman" w:hAnsi="Times New Roman"/>
          <w:szCs w:val="24"/>
        </w:rPr>
        <w:t>’</w:t>
      </w:r>
      <w:r w:rsidR="00E25166" w:rsidRPr="00186C1F">
        <w:rPr>
          <w:rFonts w:ascii="Times New Roman" w:hAnsi="Times New Roman"/>
          <w:szCs w:val="24"/>
        </w:rPr>
        <w:t>s and S&amp;P.</w:t>
      </w:r>
      <w:r w:rsidR="00E25166">
        <w:rPr>
          <w:rFonts w:ascii="Times New Roman" w:hAnsi="Times New Roman"/>
          <w:szCs w:val="24"/>
        </w:rPr>
        <w:t xml:space="preserve"> The combination of Witness Gorman’s recommendations and those of Witnesses Smith and Trokey, </w:t>
      </w:r>
      <w:r w:rsidR="00E25166" w:rsidRPr="00186C1F">
        <w:rPr>
          <w:rFonts w:ascii="Times New Roman" w:hAnsi="Times New Roman"/>
          <w:szCs w:val="24"/>
        </w:rPr>
        <w:t xml:space="preserve">when corrected for the errors the Company identified in </w:t>
      </w:r>
      <w:r w:rsidR="00E25166">
        <w:rPr>
          <w:rFonts w:ascii="Times New Roman" w:hAnsi="Times New Roman"/>
          <w:szCs w:val="24"/>
        </w:rPr>
        <w:t>Mr. Gorman’s</w:t>
      </w:r>
      <w:r w:rsidR="00E25166" w:rsidRPr="00186C1F">
        <w:rPr>
          <w:rFonts w:ascii="Times New Roman" w:hAnsi="Times New Roman"/>
          <w:szCs w:val="24"/>
        </w:rPr>
        <w:t xml:space="preserve"> calculations, cause the Company</w:t>
      </w:r>
      <w:r w:rsidR="00E25166">
        <w:rPr>
          <w:rFonts w:ascii="Times New Roman" w:hAnsi="Times New Roman"/>
          <w:szCs w:val="24"/>
        </w:rPr>
        <w:t>’</w:t>
      </w:r>
      <w:r w:rsidR="00E25166" w:rsidRPr="00186C1F">
        <w:rPr>
          <w:rFonts w:ascii="Times New Roman" w:hAnsi="Times New Roman"/>
          <w:szCs w:val="24"/>
        </w:rPr>
        <w:t>s financial metrics to fall to 16.</w:t>
      </w:r>
      <w:r w:rsidR="00E25166">
        <w:rPr>
          <w:rFonts w:ascii="Times New Roman" w:hAnsi="Times New Roman"/>
          <w:szCs w:val="24"/>
        </w:rPr>
        <w:t>4</w:t>
      </w:r>
      <w:r w:rsidR="00E25166" w:rsidRPr="00186C1F">
        <w:rPr>
          <w:rFonts w:ascii="Times New Roman" w:hAnsi="Times New Roman"/>
          <w:szCs w:val="24"/>
        </w:rPr>
        <w:t>% and 13.</w:t>
      </w:r>
      <w:r w:rsidR="00E25166">
        <w:rPr>
          <w:rFonts w:ascii="Times New Roman" w:hAnsi="Times New Roman"/>
          <w:szCs w:val="24"/>
        </w:rPr>
        <w:t>1</w:t>
      </w:r>
      <w:r w:rsidR="00E25166" w:rsidRPr="00186C1F">
        <w:rPr>
          <w:rFonts w:ascii="Times New Roman" w:hAnsi="Times New Roman"/>
          <w:szCs w:val="24"/>
        </w:rPr>
        <w:t xml:space="preserve">%, </w:t>
      </w:r>
      <w:r w:rsidR="00E25166">
        <w:rPr>
          <w:rFonts w:ascii="Times New Roman" w:hAnsi="Times New Roman"/>
          <w:szCs w:val="24"/>
        </w:rPr>
        <w:t xml:space="preserve">respectively, </w:t>
      </w:r>
      <w:r w:rsidR="00E25166" w:rsidRPr="00186C1F">
        <w:rPr>
          <w:rFonts w:ascii="Times New Roman" w:hAnsi="Times New Roman"/>
          <w:szCs w:val="24"/>
        </w:rPr>
        <w:t>both of which are</w:t>
      </w:r>
      <w:r w:rsidR="00E25166">
        <w:rPr>
          <w:rFonts w:ascii="Times New Roman" w:hAnsi="Times New Roman"/>
          <w:szCs w:val="24"/>
        </w:rPr>
        <w:t xml:space="preserve"> well</w:t>
      </w:r>
      <w:r w:rsidR="00E25166" w:rsidRPr="00186C1F">
        <w:rPr>
          <w:rFonts w:ascii="Times New Roman" w:hAnsi="Times New Roman"/>
          <w:szCs w:val="24"/>
        </w:rPr>
        <w:t xml:space="preserve"> below the credit agencies</w:t>
      </w:r>
      <w:r w:rsidR="00E25166">
        <w:rPr>
          <w:rFonts w:ascii="Times New Roman" w:hAnsi="Times New Roman"/>
          <w:szCs w:val="24"/>
        </w:rPr>
        <w:t>’</w:t>
      </w:r>
      <w:r w:rsidR="00E25166" w:rsidRPr="00186C1F">
        <w:rPr>
          <w:rFonts w:ascii="Times New Roman" w:hAnsi="Times New Roman"/>
          <w:szCs w:val="24"/>
        </w:rPr>
        <w:t xml:space="preserve"> lower bound threshold</w:t>
      </w:r>
      <w:r w:rsidR="00E25166">
        <w:rPr>
          <w:rFonts w:ascii="Times New Roman" w:hAnsi="Times New Roman"/>
          <w:szCs w:val="24"/>
        </w:rPr>
        <w:t>s</w:t>
      </w:r>
      <w:r w:rsidR="00E25166" w:rsidRPr="00186C1F">
        <w:rPr>
          <w:rFonts w:ascii="Times New Roman" w:hAnsi="Times New Roman"/>
          <w:szCs w:val="24"/>
        </w:rPr>
        <w:t xml:space="preserve"> to maintain the Company</w:t>
      </w:r>
      <w:r w:rsidR="00E25166">
        <w:rPr>
          <w:rFonts w:ascii="Times New Roman" w:hAnsi="Times New Roman"/>
          <w:szCs w:val="24"/>
        </w:rPr>
        <w:t>’</w:t>
      </w:r>
      <w:r w:rsidR="00E25166" w:rsidRPr="00186C1F">
        <w:rPr>
          <w:rFonts w:ascii="Times New Roman" w:hAnsi="Times New Roman"/>
          <w:szCs w:val="24"/>
        </w:rPr>
        <w:t>s current credit quality.</w:t>
      </w:r>
      <w:r w:rsidR="00E25166">
        <w:rPr>
          <w:rFonts w:ascii="Times New Roman" w:hAnsi="Times New Roman"/>
          <w:szCs w:val="24"/>
        </w:rPr>
        <w:t xml:space="preserve"> </w:t>
      </w:r>
      <w:r w:rsidR="00646B37">
        <w:rPr>
          <w:rFonts w:ascii="Times New Roman" w:hAnsi="Times New Roman"/>
          <w:szCs w:val="24"/>
        </w:rPr>
        <w:t xml:space="preserve">Adopting </w:t>
      </w:r>
      <w:r w:rsidR="0053052F">
        <w:rPr>
          <w:rFonts w:ascii="Times New Roman" w:hAnsi="Times New Roman"/>
          <w:szCs w:val="24"/>
        </w:rPr>
        <w:t xml:space="preserve">Witness Gorman’s recommendations would signal </w:t>
      </w:r>
      <w:r w:rsidR="00E25166">
        <w:rPr>
          <w:rFonts w:ascii="Times New Roman" w:hAnsi="Times New Roman"/>
          <w:szCs w:val="24"/>
        </w:rPr>
        <w:t xml:space="preserve">a clear break </w:t>
      </w:r>
      <w:r w:rsidR="0053052F">
        <w:rPr>
          <w:rFonts w:ascii="Times New Roman" w:hAnsi="Times New Roman"/>
          <w:szCs w:val="24"/>
        </w:rPr>
        <w:t xml:space="preserve">from </w:t>
      </w:r>
      <w:r w:rsidR="00E25166">
        <w:rPr>
          <w:rFonts w:ascii="Times New Roman" w:hAnsi="Times New Roman"/>
          <w:szCs w:val="24"/>
        </w:rPr>
        <w:t xml:space="preserve">the Commission’s </w:t>
      </w:r>
      <w:r w:rsidR="0053052F">
        <w:rPr>
          <w:rFonts w:ascii="Times New Roman" w:hAnsi="Times New Roman"/>
          <w:szCs w:val="24"/>
        </w:rPr>
        <w:t xml:space="preserve">long history of </w:t>
      </w:r>
      <w:r w:rsidR="00E25166">
        <w:rPr>
          <w:rFonts w:ascii="Times New Roman" w:hAnsi="Times New Roman"/>
          <w:szCs w:val="24"/>
        </w:rPr>
        <w:t>constructive decision making and would likely result in</w:t>
      </w:r>
      <w:r w:rsidR="0053052F">
        <w:rPr>
          <w:rFonts w:ascii="Times New Roman" w:hAnsi="Times New Roman"/>
          <w:szCs w:val="24"/>
        </w:rPr>
        <w:t xml:space="preserve"> credit rating agencies taking</w:t>
      </w:r>
      <w:r w:rsidR="00E25166">
        <w:rPr>
          <w:rFonts w:ascii="Times New Roman" w:hAnsi="Times New Roman"/>
          <w:szCs w:val="24"/>
        </w:rPr>
        <w:t xml:space="preserve"> negative actions.</w:t>
      </w:r>
      <w:r w:rsidR="0053052F">
        <w:rPr>
          <w:rFonts w:ascii="Times New Roman" w:hAnsi="Times New Roman"/>
          <w:szCs w:val="24"/>
        </w:rPr>
        <w:t xml:space="preserve"> </w:t>
      </w:r>
      <w:r w:rsidR="00600F8A">
        <w:rPr>
          <w:rFonts w:ascii="Times New Roman" w:hAnsi="Times New Roman"/>
          <w:szCs w:val="24"/>
        </w:rPr>
        <w:t xml:space="preserve">As a result, </w:t>
      </w:r>
      <w:r w:rsidR="00E25166" w:rsidRPr="00186C1F">
        <w:rPr>
          <w:rFonts w:ascii="Times New Roman" w:hAnsi="Times New Roman"/>
          <w:szCs w:val="24"/>
        </w:rPr>
        <w:t xml:space="preserve">costs to customers </w:t>
      </w:r>
      <w:r w:rsidR="00600F8A">
        <w:rPr>
          <w:rFonts w:ascii="Times New Roman" w:hAnsi="Times New Roman"/>
          <w:szCs w:val="24"/>
        </w:rPr>
        <w:t xml:space="preserve">would increase </w:t>
      </w:r>
      <w:r w:rsidR="00E25166" w:rsidRPr="00186C1F">
        <w:rPr>
          <w:rFonts w:ascii="Times New Roman" w:hAnsi="Times New Roman"/>
          <w:szCs w:val="24"/>
        </w:rPr>
        <w:t>and the Company</w:t>
      </w:r>
      <w:r w:rsidR="00E25166">
        <w:rPr>
          <w:rFonts w:ascii="Times New Roman" w:hAnsi="Times New Roman"/>
          <w:szCs w:val="24"/>
        </w:rPr>
        <w:t>’</w:t>
      </w:r>
      <w:r w:rsidR="00E25166" w:rsidRPr="00186C1F">
        <w:rPr>
          <w:rFonts w:ascii="Times New Roman" w:hAnsi="Times New Roman"/>
          <w:szCs w:val="24"/>
        </w:rPr>
        <w:t>s ability to</w:t>
      </w:r>
      <w:r w:rsidR="00E25166">
        <w:rPr>
          <w:rFonts w:ascii="Times New Roman" w:hAnsi="Times New Roman"/>
          <w:szCs w:val="24"/>
        </w:rPr>
        <w:t xml:space="preserve"> continue</w:t>
      </w:r>
      <w:r w:rsidR="00E25166" w:rsidRPr="00186C1F">
        <w:rPr>
          <w:rFonts w:ascii="Times New Roman" w:hAnsi="Times New Roman"/>
          <w:szCs w:val="24"/>
        </w:rPr>
        <w:t xml:space="preserve"> provi</w:t>
      </w:r>
      <w:r w:rsidR="00E25166">
        <w:rPr>
          <w:rFonts w:ascii="Times New Roman" w:hAnsi="Times New Roman"/>
          <w:szCs w:val="24"/>
        </w:rPr>
        <w:t>ding</w:t>
      </w:r>
      <w:r w:rsidR="00E25166" w:rsidRPr="00186C1F">
        <w:rPr>
          <w:rFonts w:ascii="Times New Roman" w:hAnsi="Times New Roman"/>
          <w:szCs w:val="24"/>
        </w:rPr>
        <w:t xml:space="preserve"> </w:t>
      </w:r>
      <w:r w:rsidR="00E25166">
        <w:rPr>
          <w:rFonts w:ascii="Times New Roman" w:hAnsi="Times New Roman"/>
          <w:szCs w:val="24"/>
        </w:rPr>
        <w:t>customer service at</w:t>
      </w:r>
      <w:r w:rsidR="00E25166" w:rsidRPr="00186C1F">
        <w:rPr>
          <w:rFonts w:ascii="Times New Roman" w:hAnsi="Times New Roman"/>
          <w:szCs w:val="24"/>
        </w:rPr>
        <w:t xml:space="preserve"> level</w:t>
      </w:r>
      <w:r w:rsidR="00E25166">
        <w:rPr>
          <w:rFonts w:ascii="Times New Roman" w:hAnsi="Times New Roman"/>
          <w:szCs w:val="24"/>
        </w:rPr>
        <w:t>s</w:t>
      </w:r>
      <w:r w:rsidR="00E25166" w:rsidRPr="00186C1F">
        <w:rPr>
          <w:rFonts w:ascii="Times New Roman" w:hAnsi="Times New Roman"/>
          <w:szCs w:val="24"/>
        </w:rPr>
        <w:t xml:space="preserve"> that</w:t>
      </w:r>
      <w:r w:rsidR="00E25166">
        <w:rPr>
          <w:rFonts w:ascii="Times New Roman" w:hAnsi="Times New Roman"/>
          <w:szCs w:val="24"/>
        </w:rPr>
        <w:t xml:space="preserve"> Georgia Power’s</w:t>
      </w:r>
      <w:r w:rsidR="00E25166" w:rsidRPr="00186C1F">
        <w:rPr>
          <w:rFonts w:ascii="Times New Roman" w:hAnsi="Times New Roman"/>
          <w:szCs w:val="24"/>
        </w:rPr>
        <w:t xml:space="preserve"> customers expect and deserve</w:t>
      </w:r>
      <w:r w:rsidR="00650541">
        <w:rPr>
          <w:rFonts w:ascii="Times New Roman" w:hAnsi="Times New Roman"/>
          <w:szCs w:val="24"/>
        </w:rPr>
        <w:t xml:space="preserve"> would be restricted.</w:t>
      </w:r>
    </w:p>
    <w:p w14:paraId="5810BBD3" w14:textId="77777777" w:rsidR="00E25166" w:rsidRDefault="00E25166" w:rsidP="00E25166">
      <w:pPr>
        <w:ind w:firstLine="720"/>
        <w:jc w:val="both"/>
        <w:rPr>
          <w:rFonts w:ascii="Times New Roman" w:hAnsi="Times New Roman"/>
          <w:spacing w:val="-3"/>
          <w:szCs w:val="24"/>
        </w:rPr>
      </w:pPr>
    </w:p>
    <w:p w14:paraId="591F6F0F" w14:textId="103C6129" w:rsidR="00763BC9" w:rsidRPr="007B6E38" w:rsidRDefault="00763BC9" w:rsidP="0053052F">
      <w:pPr>
        <w:ind w:firstLine="720"/>
        <w:jc w:val="both"/>
        <w:rPr>
          <w:rFonts w:ascii="Times New Roman" w:hAnsi="Times New Roman"/>
          <w:spacing w:val="-3"/>
          <w:szCs w:val="24"/>
        </w:rPr>
      </w:pPr>
      <w:r w:rsidRPr="007B6E38">
        <w:rPr>
          <w:rFonts w:ascii="Times New Roman" w:hAnsi="Times New Roman"/>
          <w:spacing w:val="-3"/>
          <w:szCs w:val="24"/>
        </w:rPr>
        <w:t xml:space="preserve">The Commission’s action in this proceeding should not impair or worsen the Company’s credit quality. The Commission agrees with the Company that by setting rates based on a 10.9% ROE, 56% common equity ratio and </w:t>
      </w:r>
      <w:r w:rsidR="00686DFF">
        <w:rPr>
          <w:rFonts w:ascii="Times New Roman" w:hAnsi="Times New Roman"/>
          <w:spacing w:val="-3"/>
          <w:szCs w:val="24"/>
        </w:rPr>
        <w:t>4</w:t>
      </w:r>
      <w:r w:rsidR="001A0DDB">
        <w:rPr>
          <w:rFonts w:ascii="Times New Roman" w:hAnsi="Times New Roman"/>
          <w:spacing w:val="-3"/>
          <w:szCs w:val="24"/>
        </w:rPr>
        <w:t>.</w:t>
      </w:r>
      <w:r w:rsidR="00686DFF">
        <w:rPr>
          <w:rFonts w:ascii="Times New Roman" w:hAnsi="Times New Roman"/>
          <w:spacing w:val="-3"/>
          <w:szCs w:val="24"/>
        </w:rPr>
        <w:t>14</w:t>
      </w:r>
      <w:r w:rsidRPr="007B6E38">
        <w:rPr>
          <w:rFonts w:ascii="Times New Roman" w:hAnsi="Times New Roman"/>
          <w:spacing w:val="-3"/>
          <w:szCs w:val="24"/>
        </w:rPr>
        <w:t xml:space="preserve">% cost of debt is fair and reasonable and will not threaten the Company with a credit rating downgrade. </w:t>
      </w:r>
    </w:p>
    <w:p w14:paraId="25F46DCA" w14:textId="77777777" w:rsidR="00763BC9" w:rsidRPr="007B6E38" w:rsidRDefault="00763BC9" w:rsidP="00763BC9">
      <w:pPr>
        <w:spacing w:before="240" w:after="240"/>
        <w:jc w:val="both"/>
        <w:rPr>
          <w:rFonts w:ascii="Times New Roman" w:hAnsi="Times New Roman"/>
          <w:b/>
          <w:szCs w:val="24"/>
        </w:rPr>
      </w:pPr>
      <w:r w:rsidRPr="007B6E38">
        <w:rPr>
          <w:rFonts w:ascii="Times New Roman" w:hAnsi="Times New Roman"/>
          <w:b/>
          <w:spacing w:val="-3"/>
          <w:szCs w:val="24"/>
        </w:rPr>
        <w:t xml:space="preserve">B. </w:t>
      </w:r>
      <w:r w:rsidRPr="007B6E38">
        <w:rPr>
          <w:rFonts w:ascii="Times New Roman" w:hAnsi="Times New Roman"/>
          <w:b/>
          <w:spacing w:val="-3"/>
          <w:szCs w:val="24"/>
        </w:rPr>
        <w:tab/>
      </w:r>
      <w:r w:rsidRPr="007B6E38">
        <w:rPr>
          <w:rFonts w:ascii="Times New Roman" w:hAnsi="Times New Roman"/>
          <w:b/>
          <w:szCs w:val="24"/>
        </w:rPr>
        <w:t>Alternate Rate Plan and Alternate Rate Plan Earnings Band</w:t>
      </w:r>
    </w:p>
    <w:p w14:paraId="2D24A1F8" w14:textId="15DFB3CB" w:rsidR="00763BC9" w:rsidRPr="007B6E38" w:rsidRDefault="00507018" w:rsidP="00763BC9">
      <w:pPr>
        <w:ind w:firstLine="720"/>
        <w:jc w:val="both"/>
        <w:rPr>
          <w:rFonts w:ascii="Times New Roman" w:hAnsi="Times New Roman"/>
          <w:szCs w:val="24"/>
        </w:rPr>
      </w:pPr>
      <w:r w:rsidRPr="00FE6B21">
        <w:rPr>
          <w:rFonts w:ascii="Times New Roman" w:hAnsi="Times New Roman"/>
          <w:szCs w:val="24"/>
        </w:rPr>
        <w:t xml:space="preserve">Under Georgia law, the Commission may not “order” </w:t>
      </w:r>
      <w:r>
        <w:rPr>
          <w:rFonts w:ascii="Times New Roman" w:hAnsi="Times New Roman"/>
          <w:szCs w:val="24"/>
        </w:rPr>
        <w:t xml:space="preserve">the Company to enter into an ARP </w:t>
      </w:r>
      <w:r w:rsidRPr="00FE6B21">
        <w:rPr>
          <w:rFonts w:ascii="Times New Roman" w:hAnsi="Times New Roman"/>
          <w:szCs w:val="24"/>
        </w:rPr>
        <w:t xml:space="preserve">unless Georgia Power agrees to such an </w:t>
      </w:r>
      <w:r>
        <w:rPr>
          <w:rFonts w:ascii="Times New Roman" w:hAnsi="Times New Roman"/>
          <w:szCs w:val="24"/>
        </w:rPr>
        <w:t>ARP</w:t>
      </w:r>
      <w:r w:rsidRPr="00FE6B21">
        <w:rPr>
          <w:rFonts w:ascii="Times New Roman" w:hAnsi="Times New Roman"/>
          <w:szCs w:val="24"/>
        </w:rPr>
        <w:t>. Without an agreement, the Commission must resolve this case under</w:t>
      </w:r>
      <w:r>
        <w:rPr>
          <w:rFonts w:ascii="Times New Roman" w:hAnsi="Times New Roman"/>
          <w:szCs w:val="24"/>
        </w:rPr>
        <w:t xml:space="preserve"> traditional ratemaking</w:t>
      </w:r>
      <w:r w:rsidRPr="00FE6B21">
        <w:rPr>
          <w:rFonts w:ascii="Times New Roman" w:hAnsi="Times New Roman"/>
          <w:szCs w:val="24"/>
        </w:rPr>
        <w:t xml:space="preserve"> standards</w:t>
      </w:r>
      <w:r>
        <w:rPr>
          <w:rFonts w:ascii="Times New Roman" w:hAnsi="Times New Roman"/>
          <w:szCs w:val="24"/>
        </w:rPr>
        <w:t>,</w:t>
      </w:r>
      <w:r w:rsidRPr="00FE6B21">
        <w:rPr>
          <w:rFonts w:ascii="Times New Roman" w:hAnsi="Times New Roman"/>
          <w:szCs w:val="24"/>
        </w:rPr>
        <w:t xml:space="preserve"> which involve a single test year analysis and </w:t>
      </w:r>
      <w:r>
        <w:rPr>
          <w:rFonts w:ascii="Times New Roman" w:hAnsi="Times New Roman"/>
          <w:szCs w:val="24"/>
        </w:rPr>
        <w:t>would eliminate the positive attributes of a three-year predictable plan such as the institution of</w:t>
      </w:r>
      <w:r w:rsidRPr="00FE6B21">
        <w:rPr>
          <w:rFonts w:ascii="Times New Roman" w:hAnsi="Times New Roman"/>
          <w:szCs w:val="24"/>
        </w:rPr>
        <w:t xml:space="preserve"> earnings ranges </w:t>
      </w:r>
      <w:r>
        <w:rPr>
          <w:rFonts w:ascii="Times New Roman" w:hAnsi="Times New Roman"/>
          <w:szCs w:val="24"/>
        </w:rPr>
        <w:t>and</w:t>
      </w:r>
      <w:r w:rsidRPr="00FE6B21">
        <w:rPr>
          <w:rFonts w:ascii="Times New Roman" w:hAnsi="Times New Roman"/>
          <w:szCs w:val="24"/>
        </w:rPr>
        <w:t xml:space="preserve"> earnings sharing mechanisms. O.C.G.A. §§ 46-2-25; 46-2-26.1. </w:t>
      </w:r>
      <w:r w:rsidR="00763BC9" w:rsidRPr="007B6E38">
        <w:rPr>
          <w:rFonts w:ascii="Times New Roman" w:hAnsi="Times New Roman"/>
          <w:szCs w:val="24"/>
        </w:rPr>
        <w:t>However, for several rate case cycles, this Commission has approved</w:t>
      </w:r>
      <w:r>
        <w:rPr>
          <w:rFonts w:ascii="Times New Roman" w:hAnsi="Times New Roman"/>
          <w:szCs w:val="24"/>
        </w:rPr>
        <w:t xml:space="preserve"> and the Company has agreed to</w:t>
      </w:r>
      <w:r w:rsidR="00763BC9" w:rsidRPr="007B6E38">
        <w:rPr>
          <w:rFonts w:ascii="Times New Roman" w:hAnsi="Times New Roman"/>
          <w:szCs w:val="24"/>
        </w:rPr>
        <w:t xml:space="preserve"> three-year ARPs in lieu of traditional test year ratemaking. The Company recommends continuing the current ARP structure approved by the Commission in the 2013 </w:t>
      </w:r>
      <w:r w:rsidR="00824511">
        <w:rPr>
          <w:rFonts w:ascii="Times New Roman" w:hAnsi="Times New Roman"/>
          <w:szCs w:val="24"/>
        </w:rPr>
        <w:t>R</w:t>
      </w:r>
      <w:r w:rsidR="00763BC9" w:rsidRPr="007B6E38">
        <w:rPr>
          <w:rFonts w:ascii="Times New Roman" w:hAnsi="Times New Roman"/>
          <w:szCs w:val="24"/>
        </w:rPr>
        <w:t xml:space="preserve">ate </w:t>
      </w:r>
      <w:r w:rsidR="00824511">
        <w:rPr>
          <w:rFonts w:ascii="Times New Roman" w:hAnsi="Times New Roman"/>
          <w:szCs w:val="24"/>
        </w:rPr>
        <w:t>C</w:t>
      </w:r>
      <w:r w:rsidR="00763BC9" w:rsidRPr="007B6E38">
        <w:rPr>
          <w:rFonts w:ascii="Times New Roman" w:hAnsi="Times New Roman"/>
          <w:szCs w:val="24"/>
        </w:rPr>
        <w:t xml:space="preserve">ase. This would continue the earnings sharing mechanism for earnings above the band and maintain the </w:t>
      </w:r>
      <w:r w:rsidR="00650541">
        <w:rPr>
          <w:rFonts w:ascii="Times New Roman" w:hAnsi="Times New Roman"/>
          <w:szCs w:val="24"/>
        </w:rPr>
        <w:t>I</w:t>
      </w:r>
      <w:r w:rsidR="00763BC9" w:rsidRPr="007B6E38">
        <w:rPr>
          <w:rFonts w:ascii="Times New Roman" w:hAnsi="Times New Roman"/>
          <w:szCs w:val="24"/>
        </w:rPr>
        <w:t>nterim Cost Recovery mechanism for earnings projected to fall below the band. The Company proposed to keep the current earnings band of 10.00% to 12.00% with the approved ROE as an approximate midpoint.</w:t>
      </w:r>
    </w:p>
    <w:p w14:paraId="71667AC9" w14:textId="77777777" w:rsidR="00763BC9" w:rsidRPr="007B6E38" w:rsidRDefault="00763BC9" w:rsidP="00763BC9">
      <w:pPr>
        <w:ind w:firstLine="720"/>
        <w:jc w:val="both"/>
        <w:rPr>
          <w:rFonts w:ascii="Times New Roman" w:hAnsi="Times New Roman"/>
          <w:szCs w:val="24"/>
        </w:rPr>
      </w:pPr>
    </w:p>
    <w:p w14:paraId="03816D1B"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PIA Staff proposed modifications to the Company’s ARP to remove the earnings sharing mechanism and instead apply any earnings above the band to accelerate deferred costs given the large deferred accruals presented by the Company in this case. </w:t>
      </w:r>
      <w:r w:rsidRPr="007B6E38">
        <w:rPr>
          <w:rFonts w:ascii="Times New Roman" w:hAnsi="Times New Roman"/>
          <w:iCs/>
          <w:szCs w:val="24"/>
        </w:rPr>
        <w:t xml:space="preserve">PIA Staff proposed an earnings band ranging from 9.20 to 10.50% with the ROE set point at the bottom of the 130-basis point band.  </w:t>
      </w:r>
      <w:r w:rsidRPr="007B6E38">
        <w:rPr>
          <w:rFonts w:ascii="Times New Roman" w:hAnsi="Times New Roman"/>
          <w:szCs w:val="24"/>
        </w:rPr>
        <w:br/>
      </w:r>
    </w:p>
    <w:p w14:paraId="1743507F" w14:textId="2DC30410" w:rsidR="00763BC9" w:rsidRPr="007B6E38" w:rsidRDefault="00763BC9" w:rsidP="00763BC9">
      <w:pPr>
        <w:keepNext/>
        <w:ind w:firstLine="720"/>
        <w:jc w:val="both"/>
        <w:rPr>
          <w:rFonts w:ascii="Times New Roman" w:hAnsi="Times New Roman"/>
          <w:iCs/>
          <w:szCs w:val="24"/>
        </w:rPr>
      </w:pPr>
      <w:r w:rsidRPr="007B6E38">
        <w:rPr>
          <w:rFonts w:ascii="Times New Roman" w:hAnsi="Times New Roman"/>
          <w:szCs w:val="24"/>
        </w:rPr>
        <w:t>Only GIG/GAM Witness LaConte recommended that the Commission reject Georgia Power’s ARP and replace it with a pay-as-you-go approach based on</w:t>
      </w:r>
      <w:r w:rsidR="00650541">
        <w:rPr>
          <w:rFonts w:ascii="Times New Roman" w:hAnsi="Times New Roman"/>
          <w:szCs w:val="24"/>
        </w:rPr>
        <w:t xml:space="preserve"> the</w:t>
      </w:r>
      <w:r w:rsidRPr="007B6E38">
        <w:rPr>
          <w:rFonts w:ascii="Times New Roman" w:hAnsi="Times New Roman"/>
          <w:szCs w:val="24"/>
        </w:rPr>
        <w:t xml:space="preserve"> projected test year due to potential inaccuracies in further out projections such as those in the Company’s proposed three-year ARP period. Regarding the earnings band, DOD Witness Larry Blank recommended that the Commission narrow the ROE band from 200 basis points, as proposed by the Company, to 100 basis points, allowing for just 50 basis points above and below the approved ROE</w:t>
      </w:r>
      <w:r w:rsidRPr="007B6E38">
        <w:rPr>
          <w:rFonts w:ascii="Times New Roman" w:hAnsi="Times New Roman"/>
          <w:iCs/>
          <w:szCs w:val="24"/>
        </w:rPr>
        <w:t xml:space="preserve"> based on the assumption that it would reduce risk to the Company. Commercial Group Witness Chriss recommend</w:t>
      </w:r>
      <w:r w:rsidR="001A0DDB">
        <w:rPr>
          <w:rFonts w:ascii="Times New Roman" w:hAnsi="Times New Roman"/>
          <w:iCs/>
          <w:szCs w:val="24"/>
        </w:rPr>
        <w:t>ed</w:t>
      </w:r>
      <w:r w:rsidRPr="007B6E38">
        <w:rPr>
          <w:rFonts w:ascii="Times New Roman" w:hAnsi="Times New Roman"/>
          <w:iCs/>
          <w:szCs w:val="24"/>
        </w:rPr>
        <w:t xml:space="preserve"> that the Commission reject the Company’s proposed ROE band and structure the bands symmetrically at +/- 100 basis points from the approved ROE in this proceeding. </w:t>
      </w:r>
    </w:p>
    <w:p w14:paraId="0C73C7A5" w14:textId="77777777" w:rsidR="00763BC9" w:rsidRPr="007B6E38" w:rsidRDefault="00763BC9" w:rsidP="00763BC9">
      <w:pPr>
        <w:ind w:firstLine="720"/>
        <w:jc w:val="both"/>
        <w:rPr>
          <w:rFonts w:ascii="Times New Roman" w:hAnsi="Times New Roman"/>
          <w:szCs w:val="24"/>
        </w:rPr>
      </w:pPr>
    </w:p>
    <w:p w14:paraId="3BB1FECE" w14:textId="77777777" w:rsidR="00821762" w:rsidRDefault="00763BC9" w:rsidP="00821762">
      <w:pPr>
        <w:ind w:firstLine="720"/>
        <w:jc w:val="both"/>
        <w:rPr>
          <w:rFonts w:ascii="Times New Roman" w:hAnsi="Times New Roman"/>
        </w:rPr>
      </w:pPr>
      <w:r w:rsidRPr="007B6E38">
        <w:rPr>
          <w:rFonts w:ascii="Times New Roman" w:hAnsi="Times New Roman"/>
          <w:szCs w:val="24"/>
        </w:rPr>
        <w:t>The Commission has resolved prior Georgia Power rate case proceedings through three-year accounting orders as opposed to traditional rate case proceedings.</w:t>
      </w:r>
      <w:r w:rsidR="00F71D71" w:rsidRPr="00F71D71">
        <w:rPr>
          <w:rFonts w:ascii="Times New Roman" w:hAnsi="Times New Roman"/>
        </w:rPr>
        <w:t xml:space="preserve"> </w:t>
      </w:r>
      <w:r w:rsidR="00F71D71" w:rsidRPr="003B2E09">
        <w:rPr>
          <w:rFonts w:ascii="Times New Roman" w:hAnsi="Times New Roman"/>
        </w:rPr>
        <w:t>Under this arrangement</w:t>
      </w:r>
      <w:r w:rsidR="00F71D71">
        <w:rPr>
          <w:rFonts w:ascii="Times New Roman" w:hAnsi="Times New Roman"/>
        </w:rPr>
        <w:t>,</w:t>
      </w:r>
      <w:r w:rsidR="00F71D71" w:rsidRPr="003B2E09">
        <w:rPr>
          <w:rFonts w:ascii="Times New Roman" w:hAnsi="Times New Roman"/>
        </w:rPr>
        <w:t xml:space="preserve"> all stakeholders win as demonstrated by the Company’s </w:t>
      </w:r>
      <w:r w:rsidR="00F71D71">
        <w:rPr>
          <w:rFonts w:ascii="Times New Roman" w:hAnsi="Times New Roman"/>
        </w:rPr>
        <w:t>consistent</w:t>
      </w:r>
      <w:r w:rsidR="00F71D71" w:rsidRPr="003B2E09">
        <w:rPr>
          <w:rFonts w:ascii="Times New Roman" w:hAnsi="Times New Roman"/>
        </w:rPr>
        <w:t xml:space="preserve"> delivery of exception</w:t>
      </w:r>
      <w:r w:rsidR="00F71D71">
        <w:rPr>
          <w:rFonts w:ascii="Times New Roman" w:hAnsi="Times New Roman"/>
        </w:rPr>
        <w:t>al</w:t>
      </w:r>
      <w:r w:rsidR="00F71D71" w:rsidRPr="003B2E09">
        <w:rPr>
          <w:rFonts w:ascii="Times New Roman" w:hAnsi="Times New Roman"/>
        </w:rPr>
        <w:t xml:space="preserve"> service while keeping rates low in relation to other</w:t>
      </w:r>
      <w:r w:rsidR="00F71D71">
        <w:rPr>
          <w:rFonts w:ascii="Times New Roman" w:hAnsi="Times New Roman"/>
        </w:rPr>
        <w:t xml:space="preserve"> utilitie</w:t>
      </w:r>
      <w:r w:rsidR="00F71D71" w:rsidRPr="003B2E09">
        <w:rPr>
          <w:rFonts w:ascii="Times New Roman" w:hAnsi="Times New Roman"/>
        </w:rPr>
        <w:t>s.</w:t>
      </w:r>
      <w:r w:rsidR="00F71D71">
        <w:rPr>
          <w:rFonts w:ascii="Times New Roman" w:hAnsi="Times New Roman"/>
        </w:rPr>
        <w:t xml:space="preserve"> </w:t>
      </w:r>
      <w:r w:rsidR="00F71D71" w:rsidRPr="003B2E09">
        <w:rPr>
          <w:rFonts w:ascii="Times New Roman" w:hAnsi="Times New Roman"/>
        </w:rPr>
        <w:t>Maintaining the earnings band as-is affords the Company the opportunity to continue the innovation and efficiencies in operation</w:t>
      </w:r>
      <w:r w:rsidR="00F71D71">
        <w:rPr>
          <w:rFonts w:ascii="Times New Roman" w:hAnsi="Times New Roman"/>
        </w:rPr>
        <w:t>s</w:t>
      </w:r>
      <w:r w:rsidR="00F71D71" w:rsidRPr="003B2E09">
        <w:rPr>
          <w:rFonts w:ascii="Times New Roman" w:hAnsi="Times New Roman"/>
        </w:rPr>
        <w:t xml:space="preserve"> that the Company was able to identify since the last rate case. Customers </w:t>
      </w:r>
      <w:r w:rsidR="00F71D71">
        <w:rPr>
          <w:rFonts w:ascii="Times New Roman" w:hAnsi="Times New Roman"/>
        </w:rPr>
        <w:t xml:space="preserve">have </w:t>
      </w:r>
      <w:r w:rsidR="00F71D71" w:rsidRPr="003B2E09">
        <w:rPr>
          <w:rFonts w:ascii="Times New Roman" w:hAnsi="Times New Roman"/>
        </w:rPr>
        <w:t>benefit</w:t>
      </w:r>
      <w:r w:rsidR="00F71D71">
        <w:rPr>
          <w:rFonts w:ascii="Times New Roman" w:hAnsi="Times New Roman"/>
        </w:rPr>
        <w:t>ted</w:t>
      </w:r>
      <w:r w:rsidR="00F71D71" w:rsidRPr="003B2E09">
        <w:rPr>
          <w:rFonts w:ascii="Times New Roman" w:hAnsi="Times New Roman"/>
        </w:rPr>
        <w:t xml:space="preserve"> under this structur</w:t>
      </w:r>
      <w:r w:rsidR="00F71D71">
        <w:rPr>
          <w:rFonts w:ascii="Times New Roman" w:hAnsi="Times New Roman"/>
        </w:rPr>
        <w:t>e and the Commission approves the continuation of these benefits for customers under the Company’s proposed ARP.</w:t>
      </w:r>
      <w:r w:rsidR="003015D6">
        <w:rPr>
          <w:rFonts w:ascii="Times New Roman" w:hAnsi="Times New Roman"/>
        </w:rPr>
        <w:t xml:space="preserve"> </w:t>
      </w:r>
      <w:r w:rsidR="003015D6" w:rsidRPr="00564C1F">
        <w:rPr>
          <w:rFonts w:ascii="Times New Roman" w:hAnsi="Times New Roman"/>
          <w:iCs/>
          <w:szCs w:val="24"/>
        </w:rPr>
        <w:t>PIA Staff</w:t>
      </w:r>
      <w:r w:rsidR="003015D6">
        <w:rPr>
          <w:rFonts w:ascii="Times New Roman" w:hAnsi="Times New Roman"/>
          <w:iCs/>
          <w:szCs w:val="24"/>
        </w:rPr>
        <w:t>’s recommendation</w:t>
      </w:r>
      <w:r w:rsidR="003015D6" w:rsidRPr="00564C1F">
        <w:rPr>
          <w:rFonts w:ascii="Times New Roman" w:hAnsi="Times New Roman"/>
          <w:iCs/>
          <w:szCs w:val="24"/>
        </w:rPr>
        <w:t xml:space="preserve"> </w:t>
      </w:r>
      <w:r w:rsidR="003015D6">
        <w:rPr>
          <w:rFonts w:ascii="Times New Roman" w:hAnsi="Times New Roman"/>
          <w:iCs/>
          <w:szCs w:val="24"/>
        </w:rPr>
        <w:t xml:space="preserve">is </w:t>
      </w:r>
      <w:r w:rsidR="003015D6" w:rsidRPr="00564C1F">
        <w:rPr>
          <w:rFonts w:ascii="Times New Roman" w:hAnsi="Times New Roman"/>
          <w:iCs/>
          <w:szCs w:val="24"/>
        </w:rPr>
        <w:t>effectively an earnings cap</w:t>
      </w:r>
      <w:r w:rsidR="003015D6">
        <w:rPr>
          <w:rFonts w:ascii="Times New Roman" w:hAnsi="Times New Roman"/>
          <w:iCs/>
          <w:szCs w:val="24"/>
        </w:rPr>
        <w:t xml:space="preserve"> with</w:t>
      </w:r>
      <w:r w:rsidR="003015D6" w:rsidRPr="00564C1F">
        <w:rPr>
          <w:rFonts w:ascii="Times New Roman" w:hAnsi="Times New Roman"/>
          <w:iCs/>
          <w:szCs w:val="24"/>
        </w:rPr>
        <w:t xml:space="preserve"> the top end of the band set artificially low at a level</w:t>
      </w:r>
      <w:r w:rsidR="003015D6">
        <w:rPr>
          <w:rFonts w:ascii="Times New Roman" w:hAnsi="Times New Roman"/>
          <w:iCs/>
          <w:szCs w:val="24"/>
        </w:rPr>
        <w:t>s</w:t>
      </w:r>
      <w:r w:rsidR="003015D6" w:rsidRPr="00564C1F">
        <w:rPr>
          <w:rFonts w:ascii="Times New Roman" w:hAnsi="Times New Roman"/>
          <w:iCs/>
          <w:szCs w:val="24"/>
        </w:rPr>
        <w:t xml:space="preserve"> below even the Company’s cost of equity.</w:t>
      </w:r>
      <w:r w:rsidR="003015D6">
        <w:rPr>
          <w:rFonts w:ascii="Times New Roman" w:hAnsi="Times New Roman"/>
          <w:iCs/>
          <w:szCs w:val="24"/>
        </w:rPr>
        <w:t xml:space="preserve"> </w:t>
      </w:r>
      <w:r w:rsidR="00821762">
        <w:rPr>
          <w:rFonts w:ascii="Times New Roman" w:hAnsi="Times New Roman"/>
          <w:iCs/>
          <w:szCs w:val="24"/>
        </w:rPr>
        <w:t>Although t</w:t>
      </w:r>
      <w:r w:rsidR="00821762" w:rsidRPr="00564C1F">
        <w:rPr>
          <w:rFonts w:ascii="Times New Roman" w:hAnsi="Times New Roman"/>
          <w:iCs/>
          <w:szCs w:val="24"/>
        </w:rPr>
        <w:t xml:space="preserve">he Company has </w:t>
      </w:r>
      <w:r w:rsidR="00821762">
        <w:rPr>
          <w:rFonts w:ascii="Times New Roman" w:hAnsi="Times New Roman"/>
          <w:iCs/>
          <w:szCs w:val="24"/>
        </w:rPr>
        <w:t xml:space="preserve">previously </w:t>
      </w:r>
      <w:r w:rsidR="00821762" w:rsidRPr="00564C1F">
        <w:rPr>
          <w:rFonts w:ascii="Times New Roman" w:hAnsi="Times New Roman"/>
          <w:iCs/>
          <w:szCs w:val="24"/>
        </w:rPr>
        <w:t xml:space="preserve">agreed to use all earnings above the top of the band to retire regulatory assets as part of the settlement in </w:t>
      </w:r>
      <w:r w:rsidR="00821762">
        <w:rPr>
          <w:rFonts w:ascii="Times New Roman" w:hAnsi="Times New Roman"/>
          <w:iCs/>
          <w:szCs w:val="24"/>
        </w:rPr>
        <w:t>a prior</w:t>
      </w:r>
      <w:r w:rsidR="00821762" w:rsidRPr="00564C1F">
        <w:rPr>
          <w:rFonts w:ascii="Times New Roman" w:hAnsi="Times New Roman"/>
          <w:iCs/>
          <w:szCs w:val="24"/>
        </w:rPr>
        <w:t xml:space="preserve"> case, that agreement was dependent upon an appropriate earnings band having been set. </w:t>
      </w:r>
      <w:r w:rsidR="003015D6" w:rsidRPr="00564C1F">
        <w:rPr>
          <w:rFonts w:ascii="Times New Roman" w:hAnsi="Times New Roman"/>
          <w:iCs/>
          <w:szCs w:val="24"/>
        </w:rPr>
        <w:t>If an earnings cap was approved in this manner, the Company would be disincentivized from continuing to innovate and seek efficiencies, which would be detrimental to customers.</w:t>
      </w:r>
      <w:r w:rsidR="00F71D71">
        <w:rPr>
          <w:rFonts w:ascii="Times New Roman" w:hAnsi="Times New Roman"/>
        </w:rPr>
        <w:t xml:space="preserve">  </w:t>
      </w:r>
    </w:p>
    <w:p w14:paraId="3F0C96A0" w14:textId="77777777" w:rsidR="00821762" w:rsidRDefault="00821762" w:rsidP="00821762">
      <w:pPr>
        <w:ind w:firstLine="720"/>
        <w:jc w:val="both"/>
        <w:rPr>
          <w:rFonts w:ascii="Times New Roman" w:hAnsi="Times New Roman"/>
        </w:rPr>
      </w:pPr>
    </w:p>
    <w:p w14:paraId="07EECCF1" w14:textId="341E62E3" w:rsidR="00821762" w:rsidRDefault="00DD4BAE" w:rsidP="00821762">
      <w:pPr>
        <w:ind w:firstLine="720"/>
        <w:jc w:val="both"/>
        <w:rPr>
          <w:rFonts w:ascii="Times New Roman" w:hAnsi="Times New Roman"/>
          <w:iCs/>
          <w:szCs w:val="24"/>
        </w:rPr>
      </w:pPr>
      <w:r>
        <w:rPr>
          <w:rFonts w:ascii="Times New Roman" w:hAnsi="Times New Roman"/>
          <w:iCs/>
          <w:szCs w:val="24"/>
        </w:rPr>
        <w:t>Witness</w:t>
      </w:r>
      <w:r w:rsidRPr="00153435">
        <w:rPr>
          <w:rFonts w:ascii="Times New Roman" w:hAnsi="Times New Roman"/>
          <w:iCs/>
          <w:szCs w:val="24"/>
        </w:rPr>
        <w:t xml:space="preserve"> Blank</w:t>
      </w:r>
      <w:r>
        <w:rPr>
          <w:rFonts w:ascii="Times New Roman" w:hAnsi="Times New Roman"/>
          <w:iCs/>
          <w:szCs w:val="24"/>
        </w:rPr>
        <w:t>’s</w:t>
      </w:r>
      <w:r w:rsidRPr="00153435">
        <w:rPr>
          <w:rFonts w:ascii="Times New Roman" w:hAnsi="Times New Roman"/>
          <w:iCs/>
          <w:szCs w:val="24"/>
        </w:rPr>
        <w:t xml:space="preserve"> recommend</w:t>
      </w:r>
      <w:r>
        <w:rPr>
          <w:rFonts w:ascii="Times New Roman" w:hAnsi="Times New Roman"/>
          <w:iCs/>
          <w:szCs w:val="24"/>
        </w:rPr>
        <w:t>ation to</w:t>
      </w:r>
      <w:r w:rsidRPr="00153435">
        <w:rPr>
          <w:rFonts w:ascii="Times New Roman" w:hAnsi="Times New Roman"/>
          <w:iCs/>
          <w:szCs w:val="24"/>
        </w:rPr>
        <w:t xml:space="preserve"> narrow the ROE earnings band to +/- 50 basis points fails to recognize that reducing risk to the Company, necessarily increase</w:t>
      </w:r>
      <w:r w:rsidR="00650541">
        <w:rPr>
          <w:rFonts w:ascii="Times New Roman" w:hAnsi="Times New Roman"/>
          <w:iCs/>
          <w:szCs w:val="24"/>
        </w:rPr>
        <w:t>s</w:t>
      </w:r>
      <w:r w:rsidRPr="00153435">
        <w:rPr>
          <w:rFonts w:ascii="Times New Roman" w:hAnsi="Times New Roman"/>
          <w:iCs/>
          <w:szCs w:val="24"/>
        </w:rPr>
        <w:t xml:space="preserve"> risk to customers</w:t>
      </w:r>
      <w:r>
        <w:rPr>
          <w:rFonts w:ascii="Times New Roman" w:hAnsi="Times New Roman"/>
          <w:iCs/>
          <w:szCs w:val="24"/>
        </w:rPr>
        <w:t>. Increasing the risk to customers</w:t>
      </w:r>
      <w:r w:rsidRPr="00153435">
        <w:rPr>
          <w:rFonts w:ascii="Times New Roman" w:hAnsi="Times New Roman"/>
          <w:iCs/>
          <w:szCs w:val="24"/>
        </w:rPr>
        <w:t xml:space="preserve"> alter</w:t>
      </w:r>
      <w:r>
        <w:rPr>
          <w:rFonts w:ascii="Times New Roman" w:hAnsi="Times New Roman"/>
          <w:iCs/>
          <w:szCs w:val="24"/>
        </w:rPr>
        <w:t xml:space="preserve">s </w:t>
      </w:r>
      <w:r w:rsidRPr="00153435">
        <w:rPr>
          <w:rFonts w:ascii="Times New Roman" w:hAnsi="Times New Roman"/>
          <w:iCs/>
          <w:szCs w:val="24"/>
        </w:rPr>
        <w:t>the fundamental nature of the ARPs that have been in place for the last 25 years.</w:t>
      </w:r>
      <w:r>
        <w:rPr>
          <w:rFonts w:ascii="Times New Roman" w:hAnsi="Times New Roman"/>
          <w:iCs/>
          <w:szCs w:val="24"/>
        </w:rPr>
        <w:t xml:space="preserve"> Georgia Power has proposed an earnings band approximately +/-100 basis points around the proposed ROE, consistent with the structure of the earnings bands previously approved by the Commission for the last several decades.</w:t>
      </w:r>
      <w:r w:rsidRPr="00564C1F">
        <w:rPr>
          <w:rFonts w:ascii="Times New Roman" w:hAnsi="Times New Roman"/>
          <w:iCs/>
          <w:szCs w:val="24"/>
        </w:rPr>
        <w:t xml:space="preserve"> </w:t>
      </w:r>
      <w:r w:rsidR="00821762">
        <w:rPr>
          <w:rFonts w:ascii="Times New Roman" w:hAnsi="Times New Roman"/>
          <w:iCs/>
          <w:szCs w:val="24"/>
        </w:rPr>
        <w:t>Similarly, altering the structure of the earnings band as proposed by Witness Chriss to limit the Company’s potential</w:t>
      </w:r>
      <w:r w:rsidR="00821762" w:rsidRPr="00153435">
        <w:rPr>
          <w:rFonts w:ascii="Times New Roman" w:hAnsi="Times New Roman"/>
          <w:iCs/>
          <w:szCs w:val="24"/>
        </w:rPr>
        <w:t xml:space="preserve"> interim rate relief</w:t>
      </w:r>
      <w:r w:rsidR="00821762">
        <w:rPr>
          <w:rFonts w:ascii="Times New Roman" w:hAnsi="Times New Roman"/>
          <w:iCs/>
          <w:szCs w:val="24"/>
        </w:rPr>
        <w:t xml:space="preserve"> </w:t>
      </w:r>
      <w:r w:rsidR="00821762" w:rsidRPr="00153435">
        <w:rPr>
          <w:rFonts w:ascii="Times New Roman" w:hAnsi="Times New Roman"/>
          <w:iCs/>
          <w:szCs w:val="24"/>
        </w:rPr>
        <w:t xml:space="preserve">could send a signal to </w:t>
      </w:r>
      <w:r w:rsidR="00821762">
        <w:rPr>
          <w:rFonts w:ascii="Times New Roman" w:hAnsi="Times New Roman"/>
          <w:iCs/>
          <w:szCs w:val="24"/>
        </w:rPr>
        <w:t xml:space="preserve">credit </w:t>
      </w:r>
      <w:r w:rsidR="00821762" w:rsidRPr="00153435">
        <w:rPr>
          <w:rFonts w:ascii="Times New Roman" w:hAnsi="Times New Roman"/>
          <w:iCs/>
          <w:szCs w:val="24"/>
        </w:rPr>
        <w:t>rating agencies and investors that the long-standing constructive regulatory environment in Georgia has been compromised. This recognition could worsen the qualitative factors that rating agencies use when assessing the Company</w:t>
      </w:r>
      <w:r w:rsidR="00821762">
        <w:rPr>
          <w:rFonts w:ascii="Times New Roman" w:hAnsi="Times New Roman"/>
          <w:iCs/>
          <w:szCs w:val="24"/>
        </w:rPr>
        <w:t>’</w:t>
      </w:r>
      <w:r w:rsidR="00821762" w:rsidRPr="00153435">
        <w:rPr>
          <w:rFonts w:ascii="Times New Roman" w:hAnsi="Times New Roman"/>
          <w:iCs/>
          <w:szCs w:val="24"/>
        </w:rPr>
        <w:t>s credit quality, which ultimately has a negative impact on customers.</w:t>
      </w:r>
    </w:p>
    <w:p w14:paraId="37C2BC5D" w14:textId="77777777" w:rsidR="00821762" w:rsidRDefault="00821762" w:rsidP="00821762">
      <w:pPr>
        <w:ind w:firstLine="720"/>
        <w:jc w:val="both"/>
        <w:rPr>
          <w:rFonts w:ascii="Times New Roman" w:hAnsi="Times New Roman"/>
          <w:iCs/>
          <w:szCs w:val="24"/>
        </w:rPr>
      </w:pPr>
    </w:p>
    <w:p w14:paraId="5AB07683" w14:textId="6F892703" w:rsidR="00507018" w:rsidRDefault="00763BC9" w:rsidP="00821762">
      <w:pPr>
        <w:ind w:firstLine="720"/>
        <w:jc w:val="both"/>
        <w:rPr>
          <w:rFonts w:ascii="Times New Roman" w:hAnsi="Times New Roman"/>
          <w:iCs/>
          <w:szCs w:val="24"/>
        </w:rPr>
      </w:pPr>
      <w:r w:rsidRPr="007B6E38">
        <w:rPr>
          <w:rFonts w:ascii="Times New Roman" w:hAnsi="Times New Roman"/>
          <w:szCs w:val="24"/>
        </w:rPr>
        <w:t>Therefore, the Commission finds and concludes that</w:t>
      </w:r>
      <w:r w:rsidR="003015D6">
        <w:rPr>
          <w:rFonts w:ascii="Times New Roman" w:hAnsi="Times New Roman"/>
          <w:szCs w:val="24"/>
        </w:rPr>
        <w:t xml:space="preserve"> since</w:t>
      </w:r>
      <w:r w:rsidRPr="007B6E38">
        <w:rPr>
          <w:rFonts w:ascii="Times New Roman" w:hAnsi="Times New Roman"/>
          <w:szCs w:val="24"/>
        </w:rPr>
        <w:t xml:space="preserve"> customers benefit under </w:t>
      </w:r>
      <w:r w:rsidR="003015D6">
        <w:rPr>
          <w:rFonts w:ascii="Times New Roman" w:hAnsi="Times New Roman"/>
          <w:szCs w:val="24"/>
        </w:rPr>
        <w:t xml:space="preserve">this </w:t>
      </w:r>
      <w:r w:rsidRPr="007B6E38">
        <w:rPr>
          <w:rFonts w:ascii="Times New Roman" w:hAnsi="Times New Roman"/>
          <w:szCs w:val="24"/>
        </w:rPr>
        <w:t>ARP structur</w:t>
      </w:r>
      <w:r w:rsidR="003015D6">
        <w:rPr>
          <w:rFonts w:ascii="Times New Roman" w:hAnsi="Times New Roman"/>
          <w:szCs w:val="24"/>
        </w:rPr>
        <w:t xml:space="preserve">e, </w:t>
      </w:r>
      <w:r w:rsidRPr="007B6E38">
        <w:rPr>
          <w:rFonts w:ascii="Times New Roman" w:hAnsi="Times New Roman"/>
          <w:szCs w:val="24"/>
        </w:rPr>
        <w:t xml:space="preserve">the Company’s three-year proposed ARP is fair and reasonable in light of all the evidence presented. </w:t>
      </w:r>
      <w:r w:rsidRPr="007B6E38">
        <w:rPr>
          <w:rFonts w:ascii="Times New Roman" w:hAnsi="Times New Roman"/>
          <w:spacing w:val="-3"/>
          <w:szCs w:val="24"/>
        </w:rPr>
        <w:t xml:space="preserve">The Commission finds that it is reasonable to adopt the Company’s proposed ARP and maintain the current earnings band of </w:t>
      </w:r>
      <w:r w:rsidRPr="007B6E38">
        <w:rPr>
          <w:rFonts w:ascii="Times New Roman" w:hAnsi="Times New Roman"/>
          <w:szCs w:val="24"/>
        </w:rPr>
        <w:t xml:space="preserve">10.00% to 12.00%. </w:t>
      </w:r>
      <w:r w:rsidR="00507018" w:rsidRPr="0032156E">
        <w:rPr>
          <w:rFonts w:ascii="Times New Roman" w:hAnsi="Times New Roman"/>
          <w:szCs w:val="24"/>
        </w:rPr>
        <w:t xml:space="preserve"> </w:t>
      </w:r>
    </w:p>
    <w:p w14:paraId="40A167F0" w14:textId="77777777" w:rsidR="00763BC9" w:rsidRPr="007B6E38" w:rsidRDefault="00763BC9" w:rsidP="00763BC9">
      <w:pPr>
        <w:spacing w:before="240" w:after="240"/>
        <w:jc w:val="both"/>
        <w:rPr>
          <w:rFonts w:ascii="Times New Roman" w:hAnsi="Times New Roman"/>
          <w:b/>
          <w:szCs w:val="24"/>
        </w:rPr>
      </w:pPr>
      <w:r w:rsidRPr="007B6E38">
        <w:rPr>
          <w:rFonts w:ascii="Times New Roman" w:hAnsi="Times New Roman"/>
          <w:b/>
          <w:szCs w:val="24"/>
        </w:rPr>
        <w:t xml:space="preserve">C. </w:t>
      </w:r>
      <w:r w:rsidRPr="007B6E38">
        <w:rPr>
          <w:rFonts w:ascii="Times New Roman" w:hAnsi="Times New Roman"/>
          <w:b/>
          <w:szCs w:val="24"/>
        </w:rPr>
        <w:tab/>
        <w:t xml:space="preserve">CCR ARO Compliance Costs </w:t>
      </w:r>
    </w:p>
    <w:p w14:paraId="0B1D42EC"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Several parties presented testimony and made recommendations regarding the appropriate CCR ARO cost recovery mechanism, recovery period, and review process. A summary of the parties’ positions and arguments is included below. </w:t>
      </w:r>
    </w:p>
    <w:p w14:paraId="7C9D1E50" w14:textId="77777777" w:rsidR="00763BC9" w:rsidRPr="007B6E38" w:rsidRDefault="00763BC9" w:rsidP="00763BC9">
      <w:pPr>
        <w:pStyle w:val="ListParagraph"/>
        <w:numPr>
          <w:ilvl w:val="0"/>
          <w:numId w:val="16"/>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on Allowed Return on under-recovered CCR ARO compliance costs.</w:t>
      </w:r>
    </w:p>
    <w:p w14:paraId="32A0E750" w14:textId="7CF1D494" w:rsidR="00763BC9" w:rsidRPr="007B6E38" w:rsidRDefault="00763BC9" w:rsidP="00763BC9">
      <w:pPr>
        <w:ind w:firstLine="720"/>
        <w:jc w:val="both"/>
        <w:rPr>
          <w:rFonts w:ascii="Times New Roman" w:hAnsi="Times New Roman"/>
          <w:iCs/>
          <w:szCs w:val="24"/>
        </w:rPr>
      </w:pPr>
      <w:r w:rsidRPr="007B6E38">
        <w:rPr>
          <w:rFonts w:ascii="Times New Roman" w:hAnsi="Times New Roman"/>
          <w:szCs w:val="24"/>
        </w:rPr>
        <w:t>PIA Staff recommended that the Commission deny the recovery of Georgia Power’s debt and equity financing costs for</w:t>
      </w:r>
      <w:r w:rsidR="00251FA3">
        <w:rPr>
          <w:rFonts w:ascii="Times New Roman" w:hAnsi="Times New Roman"/>
          <w:szCs w:val="24"/>
        </w:rPr>
        <w:t xml:space="preserve"> any</w:t>
      </w:r>
      <w:r w:rsidRPr="007B6E38">
        <w:rPr>
          <w:rFonts w:ascii="Times New Roman" w:hAnsi="Times New Roman"/>
          <w:szCs w:val="24"/>
        </w:rPr>
        <w:t xml:space="preserve"> under-recovered portion of CCR ARO compliance costs. Instead, PIA Staff proposed limiting the Company’s return to carrying cost allowance based on the Company’s long-term cost of debt. According to </w:t>
      </w:r>
      <w:r w:rsidRPr="007B6E38">
        <w:rPr>
          <w:rFonts w:ascii="Times New Roman" w:hAnsi="Times New Roman"/>
          <w:iCs/>
          <w:szCs w:val="24"/>
        </w:rPr>
        <w:t>PIA Staff</w:t>
      </w:r>
      <w:r w:rsidR="00251FA3">
        <w:rPr>
          <w:rFonts w:ascii="Times New Roman" w:hAnsi="Times New Roman"/>
          <w:iCs/>
          <w:szCs w:val="24"/>
        </w:rPr>
        <w:t>,</w:t>
      </w:r>
      <w:r w:rsidRPr="007B6E38">
        <w:rPr>
          <w:rFonts w:ascii="Times New Roman" w:hAnsi="Times New Roman"/>
          <w:iCs/>
          <w:szCs w:val="24"/>
        </w:rPr>
        <w:t xml:space="preserve"> it is within this Commission’s policy discretion to assign a different return on under-recovered CCR ARO compliance costs than the </w:t>
      </w:r>
      <w:r w:rsidR="00251FA3">
        <w:rPr>
          <w:rFonts w:ascii="Times New Roman" w:hAnsi="Times New Roman"/>
          <w:iCs/>
          <w:szCs w:val="24"/>
        </w:rPr>
        <w:t>WACC</w:t>
      </w:r>
      <w:r w:rsidRPr="007B6E38">
        <w:rPr>
          <w:rFonts w:ascii="Times New Roman" w:hAnsi="Times New Roman"/>
          <w:iCs/>
          <w:szCs w:val="24"/>
        </w:rPr>
        <w:t xml:space="preserve"> otherwise approved for the enterprise. </w:t>
      </w:r>
      <w:r w:rsidR="00821762">
        <w:rPr>
          <w:rFonts w:ascii="Times New Roman" w:hAnsi="Times New Roman"/>
          <w:iCs/>
          <w:szCs w:val="24"/>
        </w:rPr>
        <w:t>PIA Staff</w:t>
      </w:r>
      <w:r w:rsidRPr="007B6E38">
        <w:rPr>
          <w:rFonts w:ascii="Times New Roman" w:hAnsi="Times New Roman"/>
          <w:iCs/>
          <w:szCs w:val="24"/>
        </w:rPr>
        <w:t xml:space="preserve"> cites to this Commission’s 1992 Atlanta Gas Light Order in Docket No. 4167 as precedent for this position. </w:t>
      </w:r>
      <w:r w:rsidRPr="00F569CE">
        <w:rPr>
          <w:rFonts w:ascii="Times New Roman" w:hAnsi="Times New Roman"/>
          <w:iCs/>
          <w:szCs w:val="24"/>
          <w:u w:val="single"/>
        </w:rPr>
        <w:t>See</w:t>
      </w:r>
      <w:r w:rsidRPr="007B6E38">
        <w:rPr>
          <w:rFonts w:ascii="Times New Roman" w:hAnsi="Times New Roman"/>
          <w:i/>
          <w:iCs/>
          <w:szCs w:val="24"/>
        </w:rPr>
        <w:t xml:space="preserve"> </w:t>
      </w:r>
      <w:r w:rsidRPr="007B6E38">
        <w:rPr>
          <w:rFonts w:ascii="Times New Roman" w:hAnsi="Times New Roman"/>
          <w:iCs/>
          <w:szCs w:val="24"/>
          <w:u w:val="single"/>
        </w:rPr>
        <w:t>Order Adopting Settlement Agreement, as Modified, between Atlanta Gas Light Company and Adversary Group Staff</w:t>
      </w:r>
      <w:r w:rsidRPr="007B6E38">
        <w:rPr>
          <w:rFonts w:ascii="Times New Roman" w:hAnsi="Times New Roman"/>
          <w:iCs/>
          <w:szCs w:val="24"/>
        </w:rPr>
        <w:t>, Docket No. 4167-U, Filing of Atlanta Gas Light Company Environmental Response Cost Recovery Rider (Sept. 1, 1992)</w:t>
      </w:r>
      <w:r w:rsidR="00251FA3">
        <w:rPr>
          <w:rFonts w:ascii="Times New Roman" w:hAnsi="Times New Roman"/>
          <w:iCs/>
          <w:szCs w:val="24"/>
        </w:rPr>
        <w:t>(“AGL ERCR Order”)</w:t>
      </w:r>
      <w:r w:rsidRPr="007B6E38">
        <w:rPr>
          <w:rFonts w:ascii="Times New Roman" w:hAnsi="Times New Roman"/>
          <w:iCs/>
          <w:szCs w:val="24"/>
        </w:rPr>
        <w:t xml:space="preserve">. In addition, PIA Staff provided the following three rationales supporting its recommendation for a cost of debt return on the under recovered portion of CCR ARO compliance costs: (1) these expenditures provide no energy or capacity; (2) in making these expenditures customers are burdened with no offsetting benefits; and (3) PIA Staff otherwise agrees to the timely recovery of CCR ARO compliance costs consistent with the three year period proposed by the Company. GIG/GAM Witness LaConte shares a similar position to PIA Staff’s that if the Commission approves a three-year amortization period, Georgia Power should fund the balances at the Company’s short-term debt rate.  </w:t>
      </w:r>
    </w:p>
    <w:p w14:paraId="61D6B277" w14:textId="77777777" w:rsidR="00763BC9" w:rsidRPr="007B6E38" w:rsidRDefault="00763BC9" w:rsidP="00763BC9">
      <w:pPr>
        <w:ind w:firstLine="720"/>
        <w:jc w:val="both"/>
        <w:rPr>
          <w:rFonts w:ascii="Times New Roman" w:hAnsi="Times New Roman"/>
          <w:iCs/>
          <w:szCs w:val="24"/>
        </w:rPr>
      </w:pPr>
    </w:p>
    <w:p w14:paraId="0489673C" w14:textId="6C4A6087" w:rsidR="00763BC9" w:rsidRDefault="00763BC9" w:rsidP="00763BC9">
      <w:pPr>
        <w:ind w:firstLine="720"/>
        <w:jc w:val="both"/>
        <w:rPr>
          <w:rFonts w:ascii="Times New Roman" w:hAnsi="Times New Roman"/>
          <w:iCs/>
          <w:szCs w:val="24"/>
        </w:rPr>
      </w:pPr>
      <w:r w:rsidRPr="007B6E38">
        <w:rPr>
          <w:rFonts w:ascii="Times New Roman" w:hAnsi="Times New Roman"/>
          <w:iCs/>
          <w:szCs w:val="24"/>
        </w:rPr>
        <w:t xml:space="preserve">In rebuttal, Georgia Power argued that </w:t>
      </w:r>
      <w:r w:rsidR="00C5426E">
        <w:rPr>
          <w:rFonts w:ascii="Times New Roman" w:hAnsi="Times New Roman"/>
          <w:iCs/>
          <w:szCs w:val="24"/>
        </w:rPr>
        <w:t xml:space="preserve">PIA </w:t>
      </w:r>
      <w:r w:rsidRPr="007B6E38">
        <w:rPr>
          <w:rFonts w:ascii="Times New Roman" w:hAnsi="Times New Roman"/>
          <w:iCs/>
          <w:szCs w:val="24"/>
        </w:rPr>
        <w:t xml:space="preserve">Staff provided no justification supporting why the Company should be denied the opportunity to recover all of its financing costs – including debt and equity </w:t>
      </w:r>
      <w:r w:rsidR="009A01F4">
        <w:rPr>
          <w:rFonts w:ascii="Times New Roman" w:hAnsi="Times New Roman"/>
          <w:iCs/>
          <w:szCs w:val="24"/>
        </w:rPr>
        <w:t xml:space="preserve">– on </w:t>
      </w:r>
      <w:r w:rsidRPr="007B6E38">
        <w:rPr>
          <w:rFonts w:ascii="Times New Roman" w:hAnsi="Times New Roman"/>
          <w:iCs/>
          <w:szCs w:val="24"/>
        </w:rPr>
        <w:t>the under-recovered CCR ARO amounts. Company witnesses testified that Georgia Power is entitled to recover its debt and equity financing costs on its CCR ARO compliance costs, and anything less than that would penalize the Company. The Company emphasiz</w:t>
      </w:r>
      <w:r w:rsidR="00C5426E">
        <w:rPr>
          <w:rFonts w:ascii="Times New Roman" w:hAnsi="Times New Roman"/>
          <w:iCs/>
          <w:szCs w:val="24"/>
        </w:rPr>
        <w:t>ed</w:t>
      </w:r>
      <w:r w:rsidRPr="007B6E38">
        <w:rPr>
          <w:rFonts w:ascii="Times New Roman" w:hAnsi="Times New Roman"/>
          <w:iCs/>
          <w:szCs w:val="24"/>
        </w:rPr>
        <w:t xml:space="preserve"> that these costs represent</w:t>
      </w:r>
      <w:r w:rsidR="00C5426E">
        <w:rPr>
          <w:rFonts w:ascii="Times New Roman" w:hAnsi="Times New Roman"/>
          <w:iCs/>
          <w:szCs w:val="24"/>
        </w:rPr>
        <w:t xml:space="preserve"> investments the</w:t>
      </w:r>
      <w:r w:rsidRPr="007B6E38">
        <w:rPr>
          <w:rFonts w:ascii="Times New Roman" w:hAnsi="Times New Roman"/>
          <w:iCs/>
          <w:szCs w:val="24"/>
        </w:rPr>
        <w:t xml:space="preserve"> Company </w:t>
      </w:r>
      <w:r w:rsidR="00C5426E">
        <w:rPr>
          <w:rFonts w:ascii="Times New Roman" w:hAnsi="Times New Roman"/>
          <w:iCs/>
          <w:szCs w:val="24"/>
        </w:rPr>
        <w:t>must make to</w:t>
      </w:r>
      <w:r w:rsidRPr="007B6E38">
        <w:rPr>
          <w:rFonts w:ascii="Times New Roman" w:hAnsi="Times New Roman"/>
          <w:iCs/>
          <w:szCs w:val="24"/>
        </w:rPr>
        <w:t xml:space="preserve"> comply with state and federal environmental regulations and are appropriately included in rate base. The Company’s CCR ARO compliance costs are rate base investments and are therefore entitled to the Company’s full cost of capital. The Company argued that a unilateral application of a financing rate to CCR ARO costs that is lower than what the Commission has determined is appropriate for the enterprise would </w:t>
      </w:r>
      <w:r w:rsidR="009A01F4">
        <w:rPr>
          <w:rFonts w:ascii="Times New Roman" w:hAnsi="Times New Roman"/>
          <w:iCs/>
          <w:szCs w:val="24"/>
        </w:rPr>
        <w:t>effectively be</w:t>
      </w:r>
      <w:r w:rsidRPr="007B6E38">
        <w:rPr>
          <w:rFonts w:ascii="Times New Roman" w:hAnsi="Times New Roman"/>
          <w:iCs/>
          <w:szCs w:val="24"/>
        </w:rPr>
        <w:t xml:space="preserve"> a disallowance without a finding of imprudence. </w:t>
      </w:r>
    </w:p>
    <w:p w14:paraId="706A5950" w14:textId="23CEF813" w:rsidR="00D35D30" w:rsidRPr="00DE1DCC" w:rsidRDefault="00D35D30" w:rsidP="00D35D30">
      <w:pPr>
        <w:tabs>
          <w:tab w:val="left" w:pos="720"/>
        </w:tabs>
        <w:spacing w:before="240"/>
        <w:jc w:val="both"/>
        <w:rPr>
          <w:rFonts w:ascii="Times New Roman" w:hAnsi="Times New Roman"/>
          <w:iCs/>
          <w:szCs w:val="24"/>
        </w:rPr>
      </w:pPr>
      <w:r>
        <w:rPr>
          <w:rFonts w:ascii="Times New Roman" w:hAnsi="Times New Roman"/>
          <w:iCs/>
          <w:szCs w:val="24"/>
        </w:rPr>
        <w:tab/>
      </w:r>
      <w:r w:rsidRPr="00DE1DCC">
        <w:rPr>
          <w:rFonts w:ascii="Times New Roman" w:hAnsi="Times New Roman"/>
          <w:iCs/>
          <w:szCs w:val="24"/>
        </w:rPr>
        <w:t xml:space="preserve">The Company is entitled to recover its debt and equity financing costs on its CCR ARO compliance costs. These costs represent required investments by the Company to comply with state and federal environmental regulations. These investments are appropriately included in rate base. In this proceeding, the Commission will decide the appropriate capital structure and return on equity for the Company. The Commission’s decision determines what is appropriate to finance the Company’s capital investments. Assuming that one portion of the rate base is funded solely with debt changes this determination and fails to recognize the true cost of financing these investments. </w:t>
      </w:r>
      <w:r w:rsidRPr="00726C5E">
        <w:rPr>
          <w:rFonts w:ascii="Times New Roman" w:hAnsi="Times New Roman"/>
          <w:iCs/>
          <w:szCs w:val="24"/>
        </w:rPr>
        <w:t>Moreover, a unilateral application of a financing rate to CCR ARO costs that is lower than what the Commission has determined is appropriate for the enterprise would amount to a disallowance without a finding of imprudence.</w:t>
      </w:r>
      <w:r w:rsidRPr="00DE1DCC">
        <w:rPr>
          <w:rFonts w:ascii="Times New Roman" w:hAnsi="Times New Roman"/>
          <w:iCs/>
          <w:szCs w:val="24"/>
        </w:rPr>
        <w:t xml:space="preserve"> </w:t>
      </w:r>
    </w:p>
    <w:p w14:paraId="531F5837" w14:textId="77777777" w:rsidR="00D35D30" w:rsidRPr="00DE1DCC" w:rsidRDefault="00D35D30" w:rsidP="00D35D30">
      <w:pPr>
        <w:tabs>
          <w:tab w:val="left" w:pos="720"/>
        </w:tabs>
        <w:jc w:val="both"/>
        <w:rPr>
          <w:rFonts w:ascii="Times New Roman" w:hAnsi="Times New Roman"/>
          <w:iCs/>
          <w:szCs w:val="24"/>
        </w:rPr>
      </w:pPr>
    </w:p>
    <w:p w14:paraId="74881F54" w14:textId="77777777" w:rsidR="00D35D30" w:rsidRPr="00DE1DCC" w:rsidRDefault="00D35D30" w:rsidP="00D35D30">
      <w:pPr>
        <w:tabs>
          <w:tab w:val="left" w:pos="720"/>
        </w:tabs>
        <w:jc w:val="both"/>
        <w:rPr>
          <w:rFonts w:ascii="Times New Roman" w:hAnsi="Times New Roman"/>
          <w:bCs/>
          <w:iCs/>
          <w:szCs w:val="24"/>
        </w:rPr>
      </w:pPr>
      <w:r w:rsidRPr="00DE1DCC">
        <w:rPr>
          <w:rFonts w:ascii="Times New Roman" w:hAnsi="Times New Roman"/>
          <w:iCs/>
          <w:szCs w:val="24"/>
        </w:rPr>
        <w:tab/>
        <w:t xml:space="preserve">It is a fundamental principle of utility regulation that a utility is entitled to the full cost of financing for its capital costs. Not allowing the Company to recover a fair return on the costs </w:t>
      </w:r>
      <w:r w:rsidRPr="00DE1DCC">
        <w:rPr>
          <w:rFonts w:ascii="Times New Roman" w:hAnsi="Times New Roman"/>
          <w:bCs/>
          <w:iCs/>
          <w:szCs w:val="24"/>
        </w:rPr>
        <w:t>is confiscatory and would deprive the utility of its property without due process or just compensation. What a public utility “</w:t>
      </w:r>
      <w:r w:rsidRPr="00DE1DCC">
        <w:rPr>
          <w:rFonts w:ascii="Times New Roman" w:hAnsi="Times New Roman"/>
          <w:iCs/>
          <w:szCs w:val="24"/>
        </w:rPr>
        <w:t xml:space="preserve">is entitled to ask is a fair return upon the value of that which it employs for the public convenience.” </w:t>
      </w:r>
      <w:r w:rsidRPr="00824511">
        <w:rPr>
          <w:rFonts w:ascii="Times New Roman" w:hAnsi="Times New Roman"/>
          <w:bCs/>
          <w:iCs/>
          <w:szCs w:val="24"/>
          <w:u w:val="single"/>
        </w:rPr>
        <w:t>Bluefield Water Works &amp; Improvement Co. v. Pub. Serv. Comm’n</w:t>
      </w:r>
      <w:r w:rsidRPr="00DE1DCC">
        <w:rPr>
          <w:rFonts w:ascii="Times New Roman" w:hAnsi="Times New Roman"/>
          <w:bCs/>
          <w:iCs/>
          <w:szCs w:val="24"/>
        </w:rPr>
        <w:t xml:space="preserve">, 262 U.S. 679, 690 (1923) (quoting </w:t>
      </w:r>
      <w:r w:rsidRPr="00824511">
        <w:rPr>
          <w:rFonts w:ascii="Times New Roman" w:hAnsi="Times New Roman"/>
          <w:bCs/>
          <w:iCs/>
          <w:szCs w:val="24"/>
          <w:u w:val="single"/>
        </w:rPr>
        <w:t>Smyth v. Ames</w:t>
      </w:r>
      <w:r w:rsidRPr="00DE1DCC">
        <w:rPr>
          <w:rFonts w:ascii="Times New Roman" w:hAnsi="Times New Roman"/>
          <w:bCs/>
          <w:iCs/>
          <w:szCs w:val="24"/>
        </w:rPr>
        <w:t xml:space="preserve">, 169 U. S. 467, 547 (1898)). From the investor’s view point, a utility </w:t>
      </w:r>
      <w:r w:rsidRPr="00DE1DCC">
        <w:rPr>
          <w:rFonts w:ascii="Times New Roman" w:hAnsi="Times New Roman"/>
          <w:iCs/>
          <w:szCs w:val="24"/>
        </w:rPr>
        <w:t xml:space="preserve">should have sufficient revenue for its operating expenses and for its capital investments, including “service on the debt and dividends on the stock.” </w:t>
      </w:r>
      <w:r w:rsidRPr="00824511">
        <w:rPr>
          <w:rFonts w:ascii="Times New Roman" w:hAnsi="Times New Roman"/>
          <w:bCs/>
          <w:iCs/>
          <w:szCs w:val="24"/>
          <w:u w:val="single"/>
        </w:rPr>
        <w:t>Fed. Power Comm’n v. Hope Natural Gas Co.</w:t>
      </w:r>
      <w:r w:rsidRPr="00DE1DCC">
        <w:rPr>
          <w:rFonts w:ascii="Times New Roman" w:hAnsi="Times New Roman"/>
          <w:bCs/>
          <w:iCs/>
          <w:szCs w:val="24"/>
        </w:rPr>
        <w:t>, 320 U.S. 591, 603 (1944). A decision that the Company cannot recover the costs of its equity financing for prudent investments is confiscatory and contravenes longstanding principles of utility regulation.</w:t>
      </w:r>
    </w:p>
    <w:p w14:paraId="5AF4A233" w14:textId="77777777" w:rsidR="00D35D30" w:rsidRPr="00DE1DCC" w:rsidRDefault="00D35D30" w:rsidP="00D35D30">
      <w:pPr>
        <w:tabs>
          <w:tab w:val="left" w:pos="720"/>
        </w:tabs>
        <w:jc w:val="both"/>
        <w:rPr>
          <w:rFonts w:ascii="Times New Roman" w:hAnsi="Times New Roman"/>
          <w:iCs/>
          <w:szCs w:val="24"/>
        </w:rPr>
      </w:pPr>
    </w:p>
    <w:p w14:paraId="4542565C" w14:textId="1CF7EA68" w:rsidR="00D51EF2" w:rsidRDefault="00D35D30" w:rsidP="00D35D30">
      <w:pPr>
        <w:tabs>
          <w:tab w:val="left" w:pos="720"/>
        </w:tabs>
        <w:jc w:val="both"/>
        <w:rPr>
          <w:rFonts w:ascii="Times New Roman" w:hAnsi="Times New Roman"/>
          <w:iCs/>
          <w:szCs w:val="24"/>
        </w:rPr>
      </w:pPr>
      <w:r w:rsidRPr="00DE1DCC">
        <w:rPr>
          <w:rFonts w:ascii="Times New Roman" w:hAnsi="Times New Roman"/>
          <w:iCs/>
          <w:szCs w:val="24"/>
        </w:rPr>
        <w:tab/>
        <w:t>PIA Staff and Intervenor recommendations to apply different financing rates to under-recovered CCR ARO compliance costs are inconsistent with</w:t>
      </w:r>
      <w:r w:rsidR="00C5426E">
        <w:rPr>
          <w:rFonts w:ascii="Times New Roman" w:hAnsi="Times New Roman"/>
          <w:iCs/>
          <w:szCs w:val="24"/>
        </w:rPr>
        <w:t xml:space="preserve"> this Commission’s</w:t>
      </w:r>
      <w:r w:rsidRPr="00DE1DCC">
        <w:rPr>
          <w:rFonts w:ascii="Times New Roman" w:hAnsi="Times New Roman"/>
          <w:iCs/>
          <w:szCs w:val="24"/>
        </w:rPr>
        <w:t xml:space="preserve"> prior precedent. Since the inception of ARO accounting in 2003, the Company has historically been in an over-recovered position. During that period, the Company afforded customers the benefit of this overcollection through a regulatory liability through which customers were afforded the full WACC. PIA Staff never questioned the accounting treatment for this item during the intervening rate cases. It would be inequitable for the Commission to afford customers the benefit of the Company’s full WACC when the regulatory balance is over-collected, but now change course to restrict the Company’s return when the Company’s CCR ARO compliance costs are under-recovered. Further, this type of Commission action destroys the constructive regulatory environment investors and the credit rating agencies expect in Georgia.</w:t>
      </w:r>
    </w:p>
    <w:p w14:paraId="02E9B6EA" w14:textId="77777777" w:rsidR="00D35D30" w:rsidRPr="00DE1DCC" w:rsidRDefault="00D35D30" w:rsidP="00D35D30">
      <w:pPr>
        <w:tabs>
          <w:tab w:val="left" w:pos="720"/>
        </w:tabs>
        <w:jc w:val="both"/>
        <w:rPr>
          <w:rFonts w:ascii="Times New Roman" w:hAnsi="Times New Roman"/>
          <w:iCs/>
          <w:szCs w:val="24"/>
        </w:rPr>
      </w:pPr>
    </w:p>
    <w:p w14:paraId="5F5B466A" w14:textId="26A90508" w:rsidR="00D35D30" w:rsidRPr="00DE1DCC" w:rsidRDefault="00D35D30" w:rsidP="00D35D30">
      <w:pPr>
        <w:tabs>
          <w:tab w:val="left" w:pos="720"/>
        </w:tabs>
        <w:jc w:val="both"/>
        <w:rPr>
          <w:rFonts w:ascii="Times New Roman" w:hAnsi="Times New Roman"/>
          <w:iCs/>
          <w:szCs w:val="24"/>
        </w:rPr>
      </w:pPr>
      <w:r w:rsidRPr="00DE1DCC">
        <w:rPr>
          <w:rFonts w:ascii="Times New Roman" w:hAnsi="Times New Roman"/>
          <w:iCs/>
          <w:szCs w:val="24"/>
        </w:rPr>
        <w:tab/>
        <w:t>PIA Staff’s assertion that the Commission has the policy discretion to limit or deny carrying costs is unsupported because it relies on a case that was resolved through a settlement agreement.</w:t>
      </w:r>
      <w:r w:rsidR="00103025">
        <w:rPr>
          <w:rFonts w:ascii="Times New Roman" w:hAnsi="Times New Roman"/>
          <w:iCs/>
          <w:szCs w:val="24"/>
        </w:rPr>
        <w:t xml:space="preserve"> </w:t>
      </w:r>
      <w:r w:rsidRPr="00DE1DCC">
        <w:rPr>
          <w:rFonts w:ascii="Times New Roman" w:hAnsi="Times New Roman"/>
          <w:iCs/>
          <w:szCs w:val="24"/>
        </w:rPr>
        <w:t xml:space="preserve">During the Staff/Intervenor hearing, the Smith/Trokey Panel referred to the </w:t>
      </w:r>
      <w:r w:rsidR="009A01F4">
        <w:rPr>
          <w:rFonts w:ascii="Times New Roman" w:hAnsi="Times New Roman"/>
          <w:iCs/>
          <w:szCs w:val="24"/>
        </w:rPr>
        <w:t xml:space="preserve">AGL ERCR </w:t>
      </w:r>
      <w:r w:rsidRPr="00DE1DCC">
        <w:rPr>
          <w:rFonts w:ascii="Times New Roman" w:hAnsi="Times New Roman"/>
          <w:iCs/>
          <w:szCs w:val="24"/>
        </w:rPr>
        <w:t>Order as support for their proposal to limit the Company’s return to the cost of long-term debt. While PIA Staff is correct that this case involved the recovery of expenditures to address an environmental liability without full carrying costs, the case has little to no bearing on PIA Staff’s proposal</w:t>
      </w:r>
      <w:r w:rsidR="00103025">
        <w:rPr>
          <w:rFonts w:ascii="Times New Roman" w:hAnsi="Times New Roman"/>
          <w:iCs/>
          <w:szCs w:val="24"/>
        </w:rPr>
        <w:t xml:space="preserve"> in this case</w:t>
      </w:r>
      <w:r w:rsidRPr="00DE1DCC">
        <w:rPr>
          <w:rFonts w:ascii="Times New Roman" w:hAnsi="Times New Roman"/>
          <w:iCs/>
          <w:szCs w:val="24"/>
        </w:rPr>
        <w:t xml:space="preserve"> for several reasons. Unlike PIA Staff’s proposal here, the cited case involved the Commission’s approval of a settlement agreement. A utility’s agreement to forego carrying costs in exchange for other concessions does not indicate that the arrangement reached can or should be unilaterally imposed on the same utility in the future, let alone a separate utility in a different industry. In contrast to the AGL ERCR Order, PIA Staff’s proposal to limit the financing cost for CCR ARO compliance costs in this case is not part of a mutually agreed resolution of issues. Consequently, the AGL ERCR Order offers no precedential value for reducing the carrying costs applicable to the Company’s CCR ARO compliance costs.</w:t>
      </w:r>
    </w:p>
    <w:p w14:paraId="367C4AF7" w14:textId="77777777" w:rsidR="00D35D30" w:rsidRPr="00DE1DCC" w:rsidRDefault="00D35D30" w:rsidP="00D35D30">
      <w:pPr>
        <w:tabs>
          <w:tab w:val="left" w:pos="720"/>
        </w:tabs>
        <w:jc w:val="both"/>
        <w:rPr>
          <w:rFonts w:ascii="Times New Roman" w:hAnsi="Times New Roman"/>
          <w:iCs/>
          <w:szCs w:val="24"/>
        </w:rPr>
      </w:pPr>
    </w:p>
    <w:p w14:paraId="5954C783" w14:textId="4DED73FF" w:rsidR="00D35D30" w:rsidRPr="00DE1DCC" w:rsidRDefault="00D35D30" w:rsidP="00D35D30">
      <w:pPr>
        <w:tabs>
          <w:tab w:val="left" w:pos="720"/>
        </w:tabs>
        <w:jc w:val="both"/>
        <w:rPr>
          <w:rFonts w:ascii="Times New Roman" w:hAnsi="Times New Roman"/>
          <w:iCs/>
          <w:szCs w:val="24"/>
        </w:rPr>
      </w:pPr>
      <w:r w:rsidRPr="00DE1DCC">
        <w:rPr>
          <w:rFonts w:ascii="Times New Roman" w:hAnsi="Times New Roman"/>
          <w:iCs/>
          <w:szCs w:val="24"/>
        </w:rPr>
        <w:tab/>
        <w:t>Similarly, the application of short-term debt rates for over- or under-recovered amounts in the context of fuel cost recovery provides no support for Witness LaConte’s position. Unlike the over- or under-recovered fuel balances , CCR ARO compliance costs include rate base investments that are entitled to full carry</w:t>
      </w:r>
      <w:r w:rsidR="009D356B">
        <w:rPr>
          <w:rFonts w:ascii="Times New Roman" w:hAnsi="Times New Roman"/>
          <w:iCs/>
          <w:szCs w:val="24"/>
        </w:rPr>
        <w:t>ing</w:t>
      </w:r>
      <w:r w:rsidRPr="00DE1DCC">
        <w:rPr>
          <w:rFonts w:ascii="Times New Roman" w:hAnsi="Times New Roman"/>
          <w:iCs/>
          <w:szCs w:val="24"/>
        </w:rPr>
        <w:t xml:space="preserve"> costs. Financing long-term expenses that will occur over many decades using short-term debt is not in the best interest of either the Company or customers. Customers benefited from the electricity generated from coal plants for decades, and coal ash is a necessary by-product of coal-fired generation. Moreover, customers continue to benefit from the Company’s coal-fired generating plants and their associated ash ponds. Plants Bowen, Wansley and Scherer are three of the Company’s largest coal plants that all continue to operate and serve customers today. Further, the Company applies short-term debt to non-rate base assets in two instances. First, the short-term debt is applied to the fuel balance. Second, it is applied to CWIP. (</w:t>
      </w:r>
      <w:r w:rsidRPr="00DE1DCC">
        <w:rPr>
          <w:rFonts w:ascii="Times New Roman" w:hAnsi="Times New Roman"/>
          <w:i/>
          <w:iCs/>
          <w:szCs w:val="24"/>
        </w:rPr>
        <w:t>Id</w:t>
      </w:r>
      <w:r w:rsidRPr="00DE1DCC">
        <w:rPr>
          <w:rFonts w:ascii="Times New Roman" w:hAnsi="Times New Roman"/>
          <w:iCs/>
          <w:szCs w:val="24"/>
        </w:rPr>
        <w:t>.) Therefore, there is no short-term debt left to apply to CCR ARO costs.</w:t>
      </w:r>
    </w:p>
    <w:p w14:paraId="7BE398EA" w14:textId="77777777" w:rsidR="00D35D30" w:rsidRPr="00DE1DCC" w:rsidRDefault="00D35D30" w:rsidP="00D35D30">
      <w:pPr>
        <w:tabs>
          <w:tab w:val="left" w:pos="720"/>
        </w:tabs>
        <w:jc w:val="both"/>
        <w:rPr>
          <w:rFonts w:ascii="Times New Roman" w:hAnsi="Times New Roman"/>
          <w:iCs/>
          <w:szCs w:val="24"/>
        </w:rPr>
      </w:pPr>
    </w:p>
    <w:p w14:paraId="04D7F359" w14:textId="3581F31A" w:rsidR="00763BC9" w:rsidRPr="007B6E38" w:rsidRDefault="00D35D30" w:rsidP="00B71788">
      <w:pPr>
        <w:tabs>
          <w:tab w:val="left" w:pos="720"/>
        </w:tabs>
        <w:jc w:val="both"/>
        <w:rPr>
          <w:rFonts w:ascii="Times New Roman" w:hAnsi="Times New Roman"/>
          <w:spacing w:val="-3"/>
          <w:szCs w:val="24"/>
        </w:rPr>
      </w:pPr>
      <w:r w:rsidRPr="00DE1DCC">
        <w:rPr>
          <w:rFonts w:ascii="Times New Roman" w:hAnsi="Times New Roman"/>
          <w:iCs/>
          <w:szCs w:val="24"/>
        </w:rPr>
        <w:tab/>
        <w:t>PIA Staff</w:t>
      </w:r>
      <w:r w:rsidR="001A13C7">
        <w:rPr>
          <w:rFonts w:ascii="Times New Roman" w:hAnsi="Times New Roman"/>
          <w:iCs/>
          <w:szCs w:val="24"/>
        </w:rPr>
        <w:t xml:space="preserve">’s </w:t>
      </w:r>
      <w:r w:rsidR="001A13C7" w:rsidRPr="00DE1DCC">
        <w:rPr>
          <w:rFonts w:ascii="Times New Roman" w:hAnsi="Times New Roman"/>
          <w:iCs/>
          <w:szCs w:val="24"/>
        </w:rPr>
        <w:t xml:space="preserve">three rationales </w:t>
      </w:r>
      <w:r w:rsidRPr="00DE1DCC">
        <w:rPr>
          <w:rFonts w:ascii="Times New Roman" w:hAnsi="Times New Roman"/>
          <w:iCs/>
          <w:szCs w:val="24"/>
        </w:rPr>
        <w:t>provided</w:t>
      </w:r>
      <w:r w:rsidR="001A13C7">
        <w:rPr>
          <w:rFonts w:ascii="Times New Roman" w:hAnsi="Times New Roman"/>
          <w:iCs/>
          <w:szCs w:val="24"/>
        </w:rPr>
        <w:t xml:space="preserve"> to support their position do no</w:t>
      </w:r>
      <w:r w:rsidRPr="00DE1DCC">
        <w:rPr>
          <w:rFonts w:ascii="Times New Roman" w:hAnsi="Times New Roman"/>
          <w:iCs/>
          <w:szCs w:val="24"/>
        </w:rPr>
        <w:t>t justify the application of a lower financing rate. PIA Staff has not suggested that the Company failed to comply with environmental regulations and has not proposed a prudency disallowance</w:t>
      </w:r>
      <w:r w:rsidR="001A13C7">
        <w:rPr>
          <w:rFonts w:ascii="Times New Roman" w:hAnsi="Times New Roman"/>
          <w:iCs/>
          <w:szCs w:val="24"/>
        </w:rPr>
        <w:t xml:space="preserve">. </w:t>
      </w:r>
      <w:r w:rsidRPr="00DE1DCC">
        <w:rPr>
          <w:rFonts w:ascii="Times New Roman" w:hAnsi="Times New Roman"/>
          <w:iCs/>
          <w:szCs w:val="24"/>
        </w:rPr>
        <w:t xml:space="preserve">The </w:t>
      </w:r>
      <w:r w:rsidR="001A13C7">
        <w:rPr>
          <w:rFonts w:ascii="Times New Roman" w:hAnsi="Times New Roman"/>
          <w:iCs/>
          <w:szCs w:val="24"/>
        </w:rPr>
        <w:t xml:space="preserve">Commission agrees that the </w:t>
      </w:r>
      <w:r w:rsidRPr="00DE1DCC">
        <w:rPr>
          <w:rFonts w:ascii="Times New Roman" w:hAnsi="Times New Roman"/>
          <w:iCs/>
          <w:szCs w:val="24"/>
        </w:rPr>
        <w:t>Company’s CCR ARO compliance costs are rate base investments and are therefore the Company</w:t>
      </w:r>
      <w:r w:rsidR="00B71788">
        <w:rPr>
          <w:rFonts w:ascii="Times New Roman" w:hAnsi="Times New Roman"/>
          <w:iCs/>
          <w:szCs w:val="24"/>
        </w:rPr>
        <w:t xml:space="preserve"> is entitled to recover the</w:t>
      </w:r>
      <w:r w:rsidRPr="00DE1DCC">
        <w:rPr>
          <w:rFonts w:ascii="Times New Roman" w:hAnsi="Times New Roman"/>
          <w:iCs/>
          <w:szCs w:val="24"/>
        </w:rPr>
        <w:t xml:space="preserve"> full cost of capital</w:t>
      </w:r>
      <w:r w:rsidR="00B71788">
        <w:rPr>
          <w:rFonts w:ascii="Times New Roman" w:hAnsi="Times New Roman"/>
          <w:iCs/>
          <w:szCs w:val="24"/>
        </w:rPr>
        <w:t xml:space="preserve"> on its CCR ARO compliance costs</w:t>
      </w:r>
      <w:r w:rsidRPr="00DE1DCC">
        <w:rPr>
          <w:rFonts w:ascii="Times New Roman" w:hAnsi="Times New Roman"/>
          <w:iCs/>
          <w:szCs w:val="24"/>
        </w:rPr>
        <w:t>.</w:t>
      </w:r>
      <w:r w:rsidR="001A13C7">
        <w:rPr>
          <w:rFonts w:ascii="Times New Roman" w:hAnsi="Times New Roman"/>
          <w:iCs/>
          <w:szCs w:val="24"/>
        </w:rPr>
        <w:t xml:space="preserve"> </w:t>
      </w:r>
      <w:r w:rsidR="00B71788">
        <w:rPr>
          <w:rFonts w:ascii="Times New Roman" w:hAnsi="Times New Roman"/>
          <w:iCs/>
          <w:szCs w:val="24"/>
        </w:rPr>
        <w:t>Accordingly, t</w:t>
      </w:r>
      <w:r w:rsidR="00B71788" w:rsidRPr="00DE1DCC">
        <w:rPr>
          <w:rFonts w:ascii="Times New Roman" w:hAnsi="Times New Roman"/>
          <w:iCs/>
          <w:szCs w:val="24"/>
        </w:rPr>
        <w:t xml:space="preserve">he Commission </w:t>
      </w:r>
      <w:r w:rsidR="00B71788">
        <w:rPr>
          <w:rFonts w:ascii="Times New Roman" w:hAnsi="Times New Roman"/>
          <w:iCs/>
          <w:szCs w:val="24"/>
        </w:rPr>
        <w:t>rejects</w:t>
      </w:r>
      <w:r w:rsidR="00B71788" w:rsidRPr="00DE1DCC">
        <w:rPr>
          <w:rFonts w:ascii="Times New Roman" w:hAnsi="Times New Roman"/>
          <w:iCs/>
          <w:szCs w:val="24"/>
        </w:rPr>
        <w:t xml:space="preserve"> PIA Staff and Intervenor recommendations to apply different financing rates to CCR ARO compliance costs.</w:t>
      </w:r>
      <w:r w:rsidR="00B71788">
        <w:rPr>
          <w:rFonts w:ascii="Times New Roman" w:hAnsi="Times New Roman"/>
          <w:iCs/>
          <w:szCs w:val="24"/>
        </w:rPr>
        <w:t xml:space="preserve"> </w:t>
      </w:r>
      <w:r w:rsidRPr="00DE1DCC">
        <w:rPr>
          <w:rFonts w:ascii="Times New Roman" w:hAnsi="Times New Roman"/>
          <w:iCs/>
          <w:szCs w:val="24"/>
        </w:rPr>
        <w:t xml:space="preserve">Setting a carrying cost for a particular investment </w:t>
      </w:r>
      <w:r w:rsidR="009A01F4">
        <w:rPr>
          <w:rFonts w:ascii="Times New Roman" w:hAnsi="Times New Roman"/>
          <w:iCs/>
          <w:szCs w:val="24"/>
        </w:rPr>
        <w:t>at</w:t>
      </w:r>
      <w:r w:rsidRPr="00DE1DCC">
        <w:rPr>
          <w:rFonts w:ascii="Times New Roman" w:hAnsi="Times New Roman"/>
          <w:iCs/>
          <w:szCs w:val="24"/>
        </w:rPr>
        <w:t xml:space="preserve"> anything less than the WACC, </w:t>
      </w:r>
      <w:r w:rsidR="001A13C7">
        <w:rPr>
          <w:rFonts w:ascii="Times New Roman" w:hAnsi="Times New Roman"/>
          <w:iCs/>
          <w:szCs w:val="24"/>
        </w:rPr>
        <w:t xml:space="preserve">except </w:t>
      </w:r>
      <w:r w:rsidRPr="00DE1DCC">
        <w:rPr>
          <w:rFonts w:ascii="Times New Roman" w:hAnsi="Times New Roman"/>
          <w:iCs/>
          <w:szCs w:val="24"/>
        </w:rPr>
        <w:t>in the context of an agreement, represents a de facto disallowance of a prudent and necessary cost without the requisite finding of imprudence.</w:t>
      </w:r>
      <w:r w:rsidR="001A13C7">
        <w:rPr>
          <w:rFonts w:ascii="Times New Roman" w:hAnsi="Times New Roman"/>
          <w:iCs/>
          <w:szCs w:val="24"/>
        </w:rPr>
        <w:t xml:space="preserve"> </w:t>
      </w:r>
      <w:r w:rsidR="00B71788" w:rsidRPr="00726C5E">
        <w:rPr>
          <w:rFonts w:ascii="Times New Roman" w:hAnsi="Times New Roman"/>
          <w:iCs/>
          <w:szCs w:val="24"/>
        </w:rPr>
        <w:t>The Commission</w:t>
      </w:r>
      <w:r w:rsidR="005C5286" w:rsidRPr="00726C5E">
        <w:rPr>
          <w:rFonts w:ascii="Times New Roman" w:hAnsi="Times New Roman"/>
          <w:iCs/>
          <w:szCs w:val="24"/>
        </w:rPr>
        <w:t xml:space="preserve"> will not take such action in this case, nor would such action be appropriate. </w:t>
      </w:r>
      <w:bookmarkStart w:id="0" w:name="_Hlk26356299"/>
      <w:r w:rsidR="005C5286" w:rsidRPr="00726C5E">
        <w:rPr>
          <w:rFonts w:ascii="Times New Roman" w:hAnsi="Times New Roman"/>
          <w:iCs/>
          <w:szCs w:val="24"/>
        </w:rPr>
        <w:t>The</w:t>
      </w:r>
      <w:r w:rsidR="00B71788" w:rsidRPr="00726C5E">
        <w:rPr>
          <w:rFonts w:ascii="Times New Roman" w:hAnsi="Times New Roman"/>
          <w:iCs/>
          <w:szCs w:val="24"/>
        </w:rPr>
        <w:t xml:space="preserve"> Company shall</w:t>
      </w:r>
      <w:r w:rsidR="005C5286" w:rsidRPr="00726C5E">
        <w:rPr>
          <w:rFonts w:ascii="Times New Roman" w:hAnsi="Times New Roman"/>
          <w:iCs/>
          <w:szCs w:val="24"/>
        </w:rPr>
        <w:t xml:space="preserve"> recover</w:t>
      </w:r>
      <w:r w:rsidR="00B71788" w:rsidRPr="00726C5E">
        <w:rPr>
          <w:rFonts w:ascii="Times New Roman" w:hAnsi="Times New Roman"/>
          <w:iCs/>
          <w:szCs w:val="24"/>
        </w:rPr>
        <w:t xml:space="preserve"> the full WACC</w:t>
      </w:r>
      <w:r w:rsidR="005C5286" w:rsidRPr="00726C5E">
        <w:rPr>
          <w:rFonts w:ascii="Times New Roman" w:hAnsi="Times New Roman"/>
          <w:iCs/>
          <w:szCs w:val="24"/>
        </w:rPr>
        <w:t xml:space="preserve"> </w:t>
      </w:r>
      <w:r w:rsidR="00726C5E" w:rsidRPr="00726C5E">
        <w:rPr>
          <w:rFonts w:ascii="Times New Roman" w:hAnsi="Times New Roman"/>
          <w:iCs/>
          <w:szCs w:val="24"/>
        </w:rPr>
        <w:t>on</w:t>
      </w:r>
      <w:r w:rsidR="005C5286" w:rsidRPr="00726C5E">
        <w:rPr>
          <w:rFonts w:ascii="Times New Roman" w:hAnsi="Times New Roman"/>
          <w:iCs/>
          <w:szCs w:val="24"/>
        </w:rPr>
        <w:t xml:space="preserve"> </w:t>
      </w:r>
      <w:r w:rsidR="00B71788" w:rsidRPr="00726C5E">
        <w:rPr>
          <w:rFonts w:ascii="Times New Roman" w:hAnsi="Times New Roman"/>
          <w:iCs/>
          <w:szCs w:val="24"/>
        </w:rPr>
        <w:t xml:space="preserve">the under-recovered portion of </w:t>
      </w:r>
      <w:r w:rsidR="005C5286" w:rsidRPr="00726C5E">
        <w:rPr>
          <w:rFonts w:ascii="Times New Roman" w:hAnsi="Times New Roman"/>
          <w:iCs/>
          <w:szCs w:val="24"/>
        </w:rPr>
        <w:t>CCR-ARO</w:t>
      </w:r>
      <w:r w:rsidR="00B71788" w:rsidRPr="00726C5E">
        <w:rPr>
          <w:rFonts w:ascii="Times New Roman" w:hAnsi="Times New Roman"/>
          <w:iCs/>
          <w:szCs w:val="24"/>
        </w:rPr>
        <w:t xml:space="preserve"> compliance cost</w:t>
      </w:r>
      <w:r w:rsidR="005C5286" w:rsidRPr="00726C5E">
        <w:rPr>
          <w:rFonts w:ascii="Times New Roman" w:hAnsi="Times New Roman"/>
          <w:iCs/>
          <w:szCs w:val="24"/>
        </w:rPr>
        <w:t>s during the amortization period.</w:t>
      </w:r>
      <w:r w:rsidR="005C5286">
        <w:rPr>
          <w:rFonts w:ascii="Times New Roman" w:hAnsi="Times New Roman"/>
          <w:iCs/>
          <w:szCs w:val="24"/>
        </w:rPr>
        <w:t xml:space="preserve">  </w:t>
      </w:r>
      <w:bookmarkEnd w:id="0"/>
    </w:p>
    <w:p w14:paraId="6B9F3F46" w14:textId="77777777" w:rsidR="00763BC9" w:rsidRPr="007B6E38" w:rsidRDefault="00763BC9" w:rsidP="00763BC9">
      <w:pPr>
        <w:pStyle w:val="ListParagraph"/>
        <w:numPr>
          <w:ilvl w:val="0"/>
          <w:numId w:val="16"/>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 xml:space="preserve">Commission Determination on CCR ARO Cost Recovery Mechanism and Recovery Period. </w:t>
      </w:r>
    </w:p>
    <w:p w14:paraId="574B4522"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The Company currently recovers all ARO costs based on the annual accrual approved in the 2013 Rate Case Order. Similar to plant removal and dismantlement, ARO costs were designed to be recovered over the life of the related asset and prior to the expected date of the ARO settlements, which were generally expected to occur at the end of life of the asset. The accrued recovery of the ARO costs and actual settlements are offset and any resulting under- or over-recovery has been reflected in a net regulatory liability account included in retail rate base. Except for costs associated with ash ponds and certain landfills for CCR compliance, Georgia Power proposed to continue following this methodology of accruing for ARO costs over the life of the related asset. </w:t>
      </w:r>
    </w:p>
    <w:p w14:paraId="7DA807FC"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To address the under-recovery of the ARO regulatory balance related to CCR AROs, the Company proposed to recover the projected balance as of December 31, 2019 ratably over the three-year period ending December 31, 2022. For costs projected to be incurred in 2020, the Company proposes to recover the annual spend on ash ponds and landfills ratably over the three-year period ending December 31, 2022. Similarly, the projected annual spend in 2021 would be recovered in years 2021 through 2023 and the projected annual spend in 2022 would be recovered in years 2022 through 2024. The Company proposes to increase traditional base rates to recover the projected under-collected balance at December 31, 2019, expenditures projected to be incurred 2020 through 2022, and the return on the under-recovered balance minus the ARO accrual for ash pond and landfill compliance in current rates, as described in the Chart 4 of the Direct Testimony of David P. Poroch, Sarah P. Adams, and Michael B. Robinson. Following the initial increase effective January 1, 2020, the Company proposes to submit a filing on November 1, 2020 for recovery of the projected incremental increase in CCR ARO compliance costs for 2021 with new rates to be effective January 1, 2021. On November 1, 2021, the Company would submit an additional filing for recovery of the projected incremental increase in CCR ARO compliance costs for 2022 with new rates to be effective January 1, 2022. </w:t>
      </w:r>
    </w:p>
    <w:p w14:paraId="32473832" w14:textId="682C958C"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Conceptually, PIA Staff agreed with the Company’s proposed three-year recovery period for CCR ARO compliance costs, based on the one-third amortization approach proposed by the Company. PIA Staff recommended that the Commission not pre-approve a cost recovery level for years 2021 and 2022 in the current proceeding. Rather, PIA Staff recommended that the Commission require the Company </w:t>
      </w:r>
      <w:r w:rsidR="009A01F4">
        <w:rPr>
          <w:rFonts w:ascii="Times New Roman" w:hAnsi="Times New Roman"/>
          <w:szCs w:val="24"/>
        </w:rPr>
        <w:t xml:space="preserve">to </w:t>
      </w:r>
      <w:r w:rsidRPr="007B6E38">
        <w:rPr>
          <w:rFonts w:ascii="Times New Roman" w:hAnsi="Times New Roman"/>
          <w:szCs w:val="24"/>
        </w:rPr>
        <w:t xml:space="preserve">submit annual compliance filings that include updated CCR ARO spending and estimates each year on October 1, for CCR ARO rates to become effective the following January 1. In contrast, </w:t>
      </w:r>
      <w:r w:rsidRPr="007B6E38">
        <w:rPr>
          <w:rFonts w:ascii="Times New Roman" w:hAnsi="Times New Roman"/>
          <w:iCs/>
          <w:szCs w:val="24"/>
        </w:rPr>
        <w:t>GIG/GAM Witness LaConte was the sole party to recommend that CCR ARO compliance costs be recovered over a longer period. Witness LaConte proposed that the Company amortize CCR costs over a period of at least 25 years rather than the three years proposed and accepted by the Company, PIA Staff and DOD Witness Blank.</w:t>
      </w:r>
    </w:p>
    <w:p w14:paraId="7143B47F" w14:textId="77777777" w:rsidR="00763BC9" w:rsidRPr="007B6E38" w:rsidRDefault="00763BC9" w:rsidP="00763BC9">
      <w:pPr>
        <w:ind w:firstLine="720"/>
        <w:jc w:val="both"/>
        <w:rPr>
          <w:rFonts w:ascii="Times New Roman" w:hAnsi="Times New Roman"/>
          <w:iCs/>
          <w:szCs w:val="24"/>
        </w:rPr>
      </w:pPr>
    </w:p>
    <w:p w14:paraId="4D706046" w14:textId="02679DF5" w:rsidR="00763BC9" w:rsidRPr="007B6E38" w:rsidRDefault="00763BC9" w:rsidP="00763BC9">
      <w:pPr>
        <w:ind w:firstLine="720"/>
        <w:jc w:val="both"/>
        <w:rPr>
          <w:rFonts w:ascii="Times New Roman" w:hAnsi="Times New Roman"/>
          <w:iCs/>
          <w:szCs w:val="24"/>
        </w:rPr>
      </w:pPr>
      <w:r w:rsidRPr="007B6E38">
        <w:rPr>
          <w:rFonts w:ascii="Times New Roman" w:hAnsi="Times New Roman"/>
          <w:iCs/>
          <w:szCs w:val="24"/>
        </w:rPr>
        <w:t xml:space="preserve">Regarding the recovery mechanism, the Company and PIA Staff recommend that CCR ARO compliance costs be recovered through base rates. DOD Witness Blank argued that the Commission should establish a CCR rider to provide for exact cost recovery of CCR Costs. According to Witness Blank, a CCR rider would add protection and transparency for customers while also ensuring timely and full cost recovery for the Company. GIG/GAM Witness Pollock testified that CCR Costs should be recovered through the ECCR tariff since the purpose of the ECCR tariff is to recover capital and O&amp;M costs associated with governmental environmental mandates. Furthermore, Witness Pollock recommends that the Commission and interested parties consider the merits of securitization financing for CCR cost recovery. Sierra Club Witness Wilson recommended that the Commission disallow already-incurred CCR costs. According to Witness Wilson, the Company did not present </w:t>
      </w:r>
      <w:r w:rsidR="009A01F4">
        <w:rPr>
          <w:rFonts w:ascii="Times New Roman" w:hAnsi="Times New Roman"/>
          <w:iCs/>
          <w:szCs w:val="24"/>
        </w:rPr>
        <w:t xml:space="preserve">sufficient </w:t>
      </w:r>
      <w:r w:rsidRPr="007B6E38">
        <w:rPr>
          <w:rFonts w:ascii="Times New Roman" w:hAnsi="Times New Roman"/>
          <w:iCs/>
          <w:szCs w:val="24"/>
        </w:rPr>
        <w:t>detailed evidence on CCR dollars spent to determine whether the expenses were reasonable and prudent and</w:t>
      </w:r>
      <w:r w:rsidR="009A01F4">
        <w:rPr>
          <w:rFonts w:ascii="Times New Roman" w:hAnsi="Times New Roman"/>
          <w:iCs/>
          <w:szCs w:val="24"/>
        </w:rPr>
        <w:t>, therefore,</w:t>
      </w:r>
      <w:r w:rsidRPr="007B6E38">
        <w:rPr>
          <w:rFonts w:ascii="Times New Roman" w:hAnsi="Times New Roman"/>
          <w:iCs/>
          <w:szCs w:val="24"/>
        </w:rPr>
        <w:t xml:space="preserve"> should not be recovered through any mechanism.</w:t>
      </w:r>
    </w:p>
    <w:p w14:paraId="6B2A4C3F" w14:textId="77777777" w:rsidR="00763BC9" w:rsidRPr="007B6E38" w:rsidRDefault="00763BC9" w:rsidP="00763BC9">
      <w:pPr>
        <w:ind w:firstLine="720"/>
        <w:jc w:val="both"/>
        <w:rPr>
          <w:rFonts w:ascii="Times New Roman" w:hAnsi="Times New Roman"/>
          <w:iCs/>
          <w:szCs w:val="24"/>
        </w:rPr>
      </w:pPr>
    </w:p>
    <w:p w14:paraId="50BBFF87" w14:textId="19019AAF" w:rsidR="00763BC9" w:rsidRPr="007B6E38" w:rsidRDefault="00763BC9" w:rsidP="00763BC9">
      <w:pPr>
        <w:jc w:val="both"/>
        <w:rPr>
          <w:rFonts w:ascii="Times New Roman" w:hAnsi="Times New Roman"/>
          <w:spacing w:val="-3"/>
          <w:szCs w:val="24"/>
        </w:rPr>
      </w:pPr>
      <w:r w:rsidRPr="007B6E38">
        <w:rPr>
          <w:rFonts w:ascii="Times New Roman" w:hAnsi="Times New Roman"/>
          <w:b/>
          <w:spacing w:val="-3"/>
          <w:szCs w:val="24"/>
        </w:rPr>
        <w:tab/>
      </w:r>
      <w:r w:rsidRPr="007B6E38">
        <w:rPr>
          <w:rFonts w:ascii="Times New Roman" w:hAnsi="Times New Roman"/>
          <w:spacing w:val="-3"/>
          <w:szCs w:val="24"/>
        </w:rPr>
        <w:t xml:space="preserve">This Commission has carefully considered the evidence and testimony presented on these issues and finds that it is just and reasonable for Georgia Power to recover CCR ARO compliance costs ratably over a three-year period in base rates as proposed by the Company </w:t>
      </w:r>
      <w:r w:rsidR="003F04C1">
        <w:rPr>
          <w:rFonts w:ascii="Times New Roman" w:hAnsi="Times New Roman"/>
          <w:spacing w:val="-3"/>
          <w:szCs w:val="24"/>
        </w:rPr>
        <w:t>because this provides the best balance between the impact on customer’s rates and the total cost</w:t>
      </w:r>
      <w:r w:rsidR="003F04C1" w:rsidRPr="007B6E38">
        <w:rPr>
          <w:rFonts w:ascii="Times New Roman" w:hAnsi="Times New Roman"/>
          <w:spacing w:val="-3"/>
          <w:szCs w:val="24"/>
        </w:rPr>
        <w:t>.</w:t>
      </w:r>
    </w:p>
    <w:p w14:paraId="5746B496" w14:textId="77777777" w:rsidR="00763BC9" w:rsidRPr="007B6E38" w:rsidRDefault="00763BC9" w:rsidP="00763BC9">
      <w:pPr>
        <w:pStyle w:val="ListParagraph"/>
        <w:numPr>
          <w:ilvl w:val="0"/>
          <w:numId w:val="16"/>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on Inclusion of Contingency in CCR ARO and ECCR Tariff estimates.</w:t>
      </w:r>
    </w:p>
    <w:p w14:paraId="4E8AB077" w14:textId="46D3FDBC"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In questioning the accuracy of Georgia Power’s CCR ARO estimates, Staff recommended removing contingency dollars from both the ECCR tariff and CCR ARO compliance costs estimates for the test year and plan </w:t>
      </w:r>
      <w:r w:rsidR="009A01F4">
        <w:rPr>
          <w:rFonts w:ascii="Times New Roman" w:hAnsi="Times New Roman"/>
          <w:szCs w:val="24"/>
        </w:rPr>
        <w:t xml:space="preserve">years </w:t>
      </w:r>
      <w:r w:rsidRPr="007B6E38">
        <w:rPr>
          <w:rFonts w:ascii="Times New Roman" w:hAnsi="Times New Roman"/>
          <w:szCs w:val="24"/>
        </w:rPr>
        <w:t>2020-2022. According to PIA Staff, CCR ARO</w:t>
      </w:r>
      <w:r w:rsidR="009A01F4">
        <w:rPr>
          <w:rFonts w:ascii="Times New Roman" w:hAnsi="Times New Roman"/>
          <w:szCs w:val="24"/>
        </w:rPr>
        <w:t>-</w:t>
      </w:r>
      <w:r w:rsidRPr="007B6E38">
        <w:rPr>
          <w:rFonts w:ascii="Times New Roman" w:hAnsi="Times New Roman"/>
          <w:szCs w:val="24"/>
        </w:rPr>
        <w:t>related costs do not differ from costs associated with any Company project. To that end, PIA Staff argued that the risk of cost increases exists with any project. Further, it is not known at this time what the future cost overruns for these projects will be, if any. PIA Staff stated the Company and its contractors will have the opportunity to assess cost challenges and work to mitigate cost increases. As such, PIA Staff recommended removal of contingency from these estimates.</w:t>
      </w:r>
    </w:p>
    <w:p w14:paraId="39A09421" w14:textId="77777777" w:rsidR="00763BC9" w:rsidRPr="007B6E38" w:rsidRDefault="00763BC9" w:rsidP="00763BC9">
      <w:pPr>
        <w:ind w:firstLine="720"/>
        <w:jc w:val="both"/>
        <w:rPr>
          <w:rFonts w:ascii="Times New Roman" w:hAnsi="Times New Roman"/>
          <w:szCs w:val="24"/>
        </w:rPr>
      </w:pPr>
    </w:p>
    <w:p w14:paraId="605F9A17"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The Company contended that contingency is an essential component of a comprehensive and transparent cost project estimate. The Company explained that the inclusion of contingency in cost estimates comports with industry practice for large, capital-intensive projects. The Company also asserted that the inclusion of contingency mitigates risk, maintains cost stability, and allows for a transparent estimating process. The Company maintained that its contingency estimates represent part of what the Company projects it will cost to complete these required projects. Therefore, the contingency amounts are appropriately included in the Company’s CCR ARO and ECCR projections.</w:t>
      </w:r>
    </w:p>
    <w:p w14:paraId="4EA757F8" w14:textId="77777777" w:rsidR="00763BC9" w:rsidRPr="007B6E38" w:rsidRDefault="00763BC9" w:rsidP="00763BC9">
      <w:pPr>
        <w:ind w:firstLine="720"/>
        <w:jc w:val="both"/>
        <w:rPr>
          <w:rFonts w:ascii="Times New Roman" w:hAnsi="Times New Roman"/>
          <w:szCs w:val="24"/>
        </w:rPr>
      </w:pPr>
    </w:p>
    <w:p w14:paraId="04E6A95A"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Based on the evidence and testimony presented regarding contingency, the Commission finds and concludes that it is reasonable and appropriate for the Company to include contingency in its CCR ARO estimates and the ECCR Tariff. </w:t>
      </w:r>
    </w:p>
    <w:p w14:paraId="1FFB9686" w14:textId="618E546E" w:rsidR="00763BC9" w:rsidRPr="007B6E38" w:rsidRDefault="006D29CC" w:rsidP="00763BC9">
      <w:pPr>
        <w:spacing w:before="240" w:after="240"/>
        <w:jc w:val="both"/>
        <w:rPr>
          <w:rFonts w:ascii="Times New Roman" w:hAnsi="Times New Roman"/>
          <w:b/>
          <w:szCs w:val="24"/>
        </w:rPr>
      </w:pPr>
      <w:r>
        <w:rPr>
          <w:rFonts w:ascii="Times New Roman" w:hAnsi="Times New Roman"/>
          <w:b/>
          <w:szCs w:val="24"/>
        </w:rPr>
        <w:t>D</w:t>
      </w:r>
      <w:r w:rsidR="00763BC9" w:rsidRPr="007B6E38">
        <w:rPr>
          <w:rFonts w:ascii="Times New Roman" w:hAnsi="Times New Roman"/>
          <w:b/>
          <w:szCs w:val="24"/>
        </w:rPr>
        <w:t>.</w:t>
      </w:r>
      <w:r w:rsidR="00763BC9" w:rsidRPr="007B6E38">
        <w:rPr>
          <w:rFonts w:ascii="Times New Roman" w:hAnsi="Times New Roman"/>
          <w:b/>
          <w:szCs w:val="24"/>
        </w:rPr>
        <w:tab/>
        <w:t xml:space="preserve">Revenue Requirement Adjustments </w:t>
      </w:r>
    </w:p>
    <w:p w14:paraId="11CA4855" w14:textId="77777777" w:rsidR="00763BC9" w:rsidRPr="007B6E38" w:rsidRDefault="00763BC9" w:rsidP="00763BC9">
      <w:pPr>
        <w:pStyle w:val="ListParagraph"/>
        <w:numPr>
          <w:ilvl w:val="0"/>
          <w:numId w:val="17"/>
        </w:numPr>
        <w:spacing w:before="240" w:after="240"/>
        <w:ind w:left="1440" w:hanging="720"/>
        <w:jc w:val="both"/>
        <w:rPr>
          <w:rFonts w:ascii="Times New Roman" w:hAnsi="Times New Roman"/>
          <w:szCs w:val="24"/>
        </w:rPr>
      </w:pPr>
      <w:r w:rsidRPr="007B6E38">
        <w:rPr>
          <w:rFonts w:ascii="Times New Roman" w:hAnsi="Times New Roman"/>
          <w:szCs w:val="24"/>
          <w:u w:val="single"/>
        </w:rPr>
        <w:t>Commission Determination Regarding Electric Vehicle Charging Facilities</w:t>
      </w:r>
      <w:r w:rsidRPr="007B6E38">
        <w:rPr>
          <w:rFonts w:ascii="Times New Roman" w:hAnsi="Times New Roman"/>
          <w:szCs w:val="24"/>
        </w:rPr>
        <w:t xml:space="preserve">. </w:t>
      </w:r>
    </w:p>
    <w:p w14:paraId="18459A75" w14:textId="1FC8FDCB"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Since 2014, the Company has deployed</w:t>
      </w:r>
      <w:r w:rsidR="00251FA3">
        <w:rPr>
          <w:rFonts w:ascii="Times New Roman" w:hAnsi="Times New Roman"/>
          <w:szCs w:val="24"/>
        </w:rPr>
        <w:t xml:space="preserve"> electric vehicle (“</w:t>
      </w:r>
      <w:r w:rsidRPr="007B6E38">
        <w:rPr>
          <w:rFonts w:ascii="Times New Roman" w:hAnsi="Times New Roman"/>
          <w:szCs w:val="24"/>
        </w:rPr>
        <w:t>EV</w:t>
      </w:r>
      <w:r w:rsidR="00251FA3">
        <w:rPr>
          <w:rFonts w:ascii="Times New Roman" w:hAnsi="Times New Roman"/>
          <w:szCs w:val="24"/>
        </w:rPr>
        <w:t>”)</w:t>
      </w:r>
      <w:r w:rsidRPr="007B6E38">
        <w:rPr>
          <w:rFonts w:ascii="Times New Roman" w:hAnsi="Times New Roman"/>
          <w:szCs w:val="24"/>
        </w:rPr>
        <w:t xml:space="preserve"> charging infrastructure throughout the state to bring greater awareness to the benefits of driving electric</w:t>
      </w:r>
      <w:r w:rsidR="003F04C1">
        <w:rPr>
          <w:rFonts w:ascii="Times New Roman" w:hAnsi="Times New Roman"/>
          <w:szCs w:val="24"/>
        </w:rPr>
        <w:t xml:space="preserve"> vehicles</w:t>
      </w:r>
      <w:r w:rsidRPr="007B6E38">
        <w:rPr>
          <w:rFonts w:ascii="Times New Roman" w:hAnsi="Times New Roman"/>
          <w:szCs w:val="24"/>
        </w:rPr>
        <w:t xml:space="preserve">, including both economic savings and environmental impact, as well as enabling the growth of EVs in Georgia. The EV chargers were installed to help the Company respond to the evolving needs and expectations of its customers, including expanded access points for customers to charge electric vehicles. Georgia Power’s deployment strategy connects communities across the state through corridor chargers and serves the infrastructure needs of existing drivers in high-adoption regions. </w:t>
      </w:r>
    </w:p>
    <w:p w14:paraId="4143291C" w14:textId="77777777" w:rsidR="00763BC9" w:rsidRPr="007B6E38" w:rsidRDefault="00763BC9" w:rsidP="00763BC9">
      <w:pPr>
        <w:ind w:firstLine="720"/>
        <w:jc w:val="both"/>
        <w:rPr>
          <w:rFonts w:ascii="Times New Roman" w:hAnsi="Times New Roman"/>
          <w:szCs w:val="24"/>
        </w:rPr>
      </w:pPr>
    </w:p>
    <w:p w14:paraId="488CF043" w14:textId="4F2F5EA6"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ase filing reflects $6 million in capital investment for projected capital and O&amp;M costs associated with electric transportation activities, including</w:t>
      </w:r>
      <w:r w:rsidR="009A01F4">
        <w:rPr>
          <w:rFonts w:ascii="Times New Roman" w:hAnsi="Times New Roman"/>
          <w:szCs w:val="24"/>
        </w:rPr>
        <w:t>:</w:t>
      </w:r>
      <w:r w:rsidRPr="007B6E38">
        <w:rPr>
          <w:rFonts w:ascii="Times New Roman" w:hAnsi="Times New Roman"/>
          <w:szCs w:val="24"/>
        </w:rPr>
        <w:t xml:space="preserve"> (1)</w:t>
      </w:r>
      <w:r w:rsidR="00251FA3">
        <w:rPr>
          <w:rFonts w:ascii="Times New Roman" w:hAnsi="Times New Roman"/>
          <w:szCs w:val="24"/>
        </w:rPr>
        <w:t> </w:t>
      </w:r>
      <w:r w:rsidRPr="007B6E38">
        <w:rPr>
          <w:rFonts w:ascii="Times New Roman" w:hAnsi="Times New Roman"/>
          <w:szCs w:val="24"/>
        </w:rPr>
        <w:t>net investment of all existing electric vehicle (“EV”) charging facilities (located on and off Company property) and the associated revenues and expenses; (2) residential and commercial rebates for installing EV chargers; and (3) an amount related to EV education and awareness. These activities include those that were formerly part of the Electric Transportation Pilot. The Company argued that because</w:t>
      </w:r>
      <w:r w:rsidR="0053461C">
        <w:rPr>
          <w:rFonts w:ascii="Times New Roman" w:hAnsi="Times New Roman"/>
          <w:szCs w:val="24"/>
        </w:rPr>
        <w:t xml:space="preserve"> the</w:t>
      </w:r>
      <w:r w:rsidRPr="007B6E38">
        <w:rPr>
          <w:rFonts w:ascii="Times New Roman" w:hAnsi="Times New Roman"/>
          <w:szCs w:val="24"/>
        </w:rPr>
        <w:t xml:space="preserve"> Commission has previously approved the recovery of certain EV</w:t>
      </w:r>
      <w:r w:rsidR="009A01F4">
        <w:rPr>
          <w:rFonts w:ascii="Times New Roman" w:hAnsi="Times New Roman"/>
          <w:szCs w:val="24"/>
        </w:rPr>
        <w:t>-</w:t>
      </w:r>
      <w:r w:rsidRPr="007B6E38">
        <w:rPr>
          <w:rFonts w:ascii="Times New Roman" w:hAnsi="Times New Roman"/>
          <w:szCs w:val="24"/>
        </w:rPr>
        <w:t>related costs, the Commission can and should approve the Company’s full EV</w:t>
      </w:r>
      <w:r w:rsidR="009A01F4">
        <w:rPr>
          <w:rFonts w:ascii="Times New Roman" w:hAnsi="Times New Roman"/>
          <w:szCs w:val="24"/>
        </w:rPr>
        <w:t>-</w:t>
      </w:r>
      <w:r w:rsidRPr="007B6E38">
        <w:rPr>
          <w:rFonts w:ascii="Times New Roman" w:hAnsi="Times New Roman"/>
          <w:szCs w:val="24"/>
        </w:rPr>
        <w:t xml:space="preserve">related request in this proceeding. Nevertheless, Georgia Power acknowledged that the actual amount to be recovered is a policy decision by the Commission. </w:t>
      </w:r>
    </w:p>
    <w:p w14:paraId="61EA130E" w14:textId="77777777" w:rsidR="00763BC9" w:rsidRPr="007B6E38" w:rsidRDefault="00763BC9" w:rsidP="00763BC9">
      <w:pPr>
        <w:ind w:firstLine="720"/>
        <w:jc w:val="both"/>
        <w:rPr>
          <w:rFonts w:ascii="Times New Roman" w:hAnsi="Times New Roman"/>
          <w:szCs w:val="24"/>
        </w:rPr>
      </w:pPr>
    </w:p>
    <w:p w14:paraId="6BE9DC52" w14:textId="0B46EFA3"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PIA Staff Witnesses Trokey and Smith excluded EV charging facility costs and revenues from rate base in their recommended adjustments to the Company’s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 xml:space="preserve">ase filing. According to PIA Staff, these costs should not be included in the Company’s cost of service because: (1) non-EV customers would be subsidizing the costs for EV charging stations since the EV charging stations will not generate sufficient revenue to cover O&amp;M expense and depreciation; and (2) it would be unfair and inappropriate regulatory policy to allow Georgia Power to use its monopoly status to subsidize its investment in EV charging facilities. </w:t>
      </w:r>
    </w:p>
    <w:p w14:paraId="05B626A3" w14:textId="77777777" w:rsidR="00763BC9" w:rsidRPr="007B6E38" w:rsidRDefault="00763BC9" w:rsidP="00763BC9">
      <w:pPr>
        <w:ind w:firstLine="720"/>
        <w:jc w:val="both"/>
        <w:rPr>
          <w:rFonts w:ascii="Times New Roman" w:hAnsi="Times New Roman"/>
          <w:szCs w:val="24"/>
        </w:rPr>
      </w:pPr>
    </w:p>
    <w:p w14:paraId="37F4DD9C"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Commission finds and concludes that the $6 million in capital investment for projected capital and O&amp;M costs associated with electric transportation activities should be included in the Company’s cost of service. Whether EV charging facility costs warrant inclusion in the Company’s cost of service is a matter of policy to be decided by this Commission. This Commission finds that EV charging facility costs must not be examined in isolation: EV charging stations serve as much more than an additional source of revenue for the Company or any other business for that matter. EV charging stations provide public benefits above and beyond dollars and cents. For example, the overall grid benefits from EV drivers who routinely shift their load and place a positive benefit onto the grid. In addition, evidence presented by the Company indicates that residential and business/workplace rebate programs have positive RIM values, which helps all customers by putting downward pressure on rates. Accordingly, the Commission finds that allowing EV charging station costs into rate base strikes the right balance for the monetary and non-monetary benefits associated with EV infrastructure deployment. </w:t>
      </w:r>
    </w:p>
    <w:p w14:paraId="47E66B75" w14:textId="77777777" w:rsidR="00763BC9" w:rsidRPr="007B6E38" w:rsidRDefault="00763BC9" w:rsidP="00763BC9">
      <w:pPr>
        <w:pStyle w:val="ListParagraph"/>
        <w:numPr>
          <w:ilvl w:val="0"/>
          <w:numId w:val="17"/>
        </w:numPr>
        <w:spacing w:before="240" w:after="240"/>
        <w:ind w:left="1440" w:hanging="720"/>
        <w:jc w:val="both"/>
        <w:rPr>
          <w:rFonts w:ascii="Times New Roman" w:hAnsi="Times New Roman"/>
          <w:b/>
          <w:szCs w:val="24"/>
        </w:rPr>
      </w:pPr>
      <w:r w:rsidRPr="007B6E38">
        <w:rPr>
          <w:rFonts w:ascii="Times New Roman" w:hAnsi="Times New Roman"/>
          <w:szCs w:val="24"/>
          <w:u w:val="single"/>
        </w:rPr>
        <w:t>Commission Determination Regarding Storm Damage.</w:t>
      </w:r>
    </w:p>
    <w:p w14:paraId="6DB553C6"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 requested that the Commission reasonably amortize the substantial deferred storm damage expenses incurred since 2013 over three years ($150 million annually) and set a new level of projected storm damage accrual at approximately $64 million annually for the next three years to better reflect the cost of future storms and prevent further under-recoveries. </w:t>
      </w:r>
    </w:p>
    <w:p w14:paraId="605BBED3" w14:textId="77777777" w:rsidR="00763BC9" w:rsidRPr="007B6E38" w:rsidRDefault="00763BC9" w:rsidP="00763BC9">
      <w:pPr>
        <w:ind w:firstLine="720"/>
        <w:jc w:val="both"/>
        <w:rPr>
          <w:rFonts w:ascii="Times New Roman" w:hAnsi="Times New Roman"/>
          <w:szCs w:val="24"/>
        </w:rPr>
      </w:pPr>
    </w:p>
    <w:p w14:paraId="3AB49412" w14:textId="674ED6B3"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PIA Staff Witnesses Smith and Trokey accept the Company’s proposed $63.5 million estimate of storm damage charges for the test year and each plan year. Witnesses Smith and Trokey adjusted the Company’s deferred storm damage cost balance with actual expenses for 2019, rather than the projected expenses included in the Company’s filing. Notably, the Company agreed with this recommendation. Finally, Witnesses Smith and Trokey also recommended that the Commission separately review the Company’s storm damage costs in a more detailed investigation as part of Georgia Power’s Annual Surveillance Report</w:t>
      </w:r>
      <w:r w:rsidR="00DB6F1E">
        <w:rPr>
          <w:rFonts w:ascii="Times New Roman" w:hAnsi="Times New Roman"/>
          <w:szCs w:val="24"/>
        </w:rPr>
        <w:t xml:space="preserve"> </w:t>
      </w:r>
      <w:r w:rsidRPr="007B6E38">
        <w:rPr>
          <w:rFonts w:ascii="Times New Roman" w:hAnsi="Times New Roman"/>
          <w:szCs w:val="24"/>
        </w:rPr>
        <w:t>filings.</w:t>
      </w:r>
    </w:p>
    <w:p w14:paraId="3CA15433" w14:textId="77777777" w:rsidR="00763BC9" w:rsidRPr="007B6E38" w:rsidRDefault="00763BC9" w:rsidP="00763BC9">
      <w:pPr>
        <w:jc w:val="both"/>
        <w:rPr>
          <w:rFonts w:ascii="Times New Roman" w:hAnsi="Times New Roman"/>
          <w:szCs w:val="24"/>
        </w:rPr>
      </w:pPr>
    </w:p>
    <w:p w14:paraId="14280451"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DOD Witness Blank was the only intervenor to propose alternate treatment for storm damage costs. He recommends that the Commission establish a separate rider and annual cost recovery mechanism for storm damage costs. </w:t>
      </w:r>
    </w:p>
    <w:p w14:paraId="5E3A5E75" w14:textId="77777777" w:rsidR="00763BC9" w:rsidRPr="007B6E38" w:rsidRDefault="00763BC9" w:rsidP="00763BC9">
      <w:pPr>
        <w:jc w:val="both"/>
        <w:rPr>
          <w:rFonts w:ascii="Times New Roman" w:hAnsi="Times New Roman"/>
          <w:szCs w:val="24"/>
        </w:rPr>
      </w:pPr>
    </w:p>
    <w:p w14:paraId="00468FD7" w14:textId="48E01AD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Commission finds and concludes that adopting Witness Blank’s recommendation to separately recover storm damage costs through a storm damage rider and annual cost recovery mechanism would (1) inappropriately keep Georgia Power in an under-recovered position, (2) unnecessarily depart from past Commission precedent, and (3) result in single issue ratemaking. Accepting Witness Blank’s recommendations would run counter to the goals and principles that underlie a three-year ARP. The Commission finds and concludes that </w:t>
      </w:r>
      <w:r w:rsidR="009A01F4">
        <w:rPr>
          <w:rFonts w:ascii="Times New Roman" w:hAnsi="Times New Roman"/>
          <w:szCs w:val="24"/>
        </w:rPr>
        <w:t xml:space="preserve">the </w:t>
      </w:r>
      <w:r w:rsidRPr="007B6E38">
        <w:rPr>
          <w:rFonts w:ascii="Times New Roman" w:hAnsi="Times New Roman"/>
          <w:szCs w:val="24"/>
        </w:rPr>
        <w:t xml:space="preserve">Company’s proposed projected storm damage accrual of $64 million is just and reasonable and is approved. In addition, the Commission finds it appropriate to resolve the Company’s deferred storm damage expenses incurred since 2013 in this proceeding and </w:t>
      </w:r>
      <w:r w:rsidR="009A01F4">
        <w:rPr>
          <w:rFonts w:ascii="Times New Roman" w:hAnsi="Times New Roman"/>
          <w:szCs w:val="24"/>
        </w:rPr>
        <w:t xml:space="preserve">that </w:t>
      </w:r>
      <w:r w:rsidRPr="007B6E38">
        <w:rPr>
          <w:rFonts w:ascii="Times New Roman" w:hAnsi="Times New Roman"/>
          <w:szCs w:val="24"/>
        </w:rPr>
        <w:t>a separate investigation is unnecessary. The Commission approves the Company’s proposed three-year plan to recover the $450 million-dollar accrual ratably over the plan years 2020 through 2022.</w:t>
      </w:r>
    </w:p>
    <w:p w14:paraId="2E08DCB6" w14:textId="77777777" w:rsidR="00763BC9" w:rsidRPr="007B6E38" w:rsidRDefault="00763BC9" w:rsidP="00763BC9">
      <w:pPr>
        <w:pStyle w:val="ListParagraph"/>
        <w:numPr>
          <w:ilvl w:val="0"/>
          <w:numId w:val="17"/>
        </w:numPr>
        <w:spacing w:before="240" w:after="240"/>
        <w:ind w:left="1440" w:hanging="720"/>
        <w:jc w:val="both"/>
        <w:rPr>
          <w:rFonts w:ascii="Times New Roman" w:hAnsi="Times New Roman"/>
          <w:szCs w:val="24"/>
          <w:u w:val="single"/>
        </w:rPr>
      </w:pPr>
      <w:r w:rsidRPr="007B6E38">
        <w:rPr>
          <w:rFonts w:ascii="Times New Roman" w:hAnsi="Times New Roman"/>
          <w:szCs w:val="24"/>
          <w:u w:val="single"/>
        </w:rPr>
        <w:t>Commission Determination on Plant Kraft Donation Accounting Treatment.</w:t>
      </w:r>
    </w:p>
    <w:p w14:paraId="2507EF0A"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 proposes to follow the accounting requirements and process outlined in the Commission’s October 16, 2018 Order Approving Donation of Tract-1 Land at Plant Kraft in Docket No. 36989, which approved the Company’s donation and proposed accounting treatment for the Plant Kraft land. </w:t>
      </w:r>
      <w:r w:rsidRPr="007B6E38">
        <w:rPr>
          <w:rFonts w:ascii="Times New Roman" w:hAnsi="Times New Roman"/>
          <w:i/>
          <w:szCs w:val="24"/>
        </w:rPr>
        <w:t>See Order on Georgia Power Company’s 2016 Annual Surveillance Report</w:t>
      </w:r>
      <w:r w:rsidRPr="007B6E38">
        <w:rPr>
          <w:rFonts w:ascii="Times New Roman" w:hAnsi="Times New Roman"/>
          <w:szCs w:val="24"/>
        </w:rPr>
        <w:t xml:space="preserve">, Docket No. 36989 (Jan. 19, 2018) at 2. </w:t>
      </w:r>
    </w:p>
    <w:p w14:paraId="3C6A07FB" w14:textId="77777777" w:rsidR="00763BC9" w:rsidRPr="007B6E38" w:rsidRDefault="00763BC9" w:rsidP="00763BC9">
      <w:pPr>
        <w:ind w:firstLine="720"/>
        <w:jc w:val="both"/>
        <w:rPr>
          <w:rFonts w:ascii="Times New Roman" w:hAnsi="Times New Roman"/>
          <w:szCs w:val="24"/>
        </w:rPr>
      </w:pPr>
    </w:p>
    <w:p w14:paraId="4AC10E9C"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PIA Staff recommends that the Commission and the Company consider applying a portion of the donation-related tax savings, that would otherwise be below-the-line, to addressing the Plant Kraft ash pond clean-up cost to the benefit of customers. PIA Staff cites the fact that Plant Kraft benefitted from ash pond clean-up as support for its recommendation to apply the tax savings from the donation to customers. In the alternative, PIA Staff recommends that if the full benefit of donating the Plant Kraft land is to be retained by shareholders then the related ash pond remediation costs be allocated to shareholders.  </w:t>
      </w:r>
    </w:p>
    <w:p w14:paraId="6B5A5C1F" w14:textId="77777777" w:rsidR="00763BC9" w:rsidRPr="007B6E38" w:rsidRDefault="00763BC9" w:rsidP="00763BC9">
      <w:pPr>
        <w:ind w:firstLine="720"/>
        <w:jc w:val="both"/>
        <w:rPr>
          <w:rFonts w:ascii="Times New Roman" w:hAnsi="Times New Roman"/>
          <w:szCs w:val="24"/>
        </w:rPr>
      </w:pPr>
    </w:p>
    <w:p w14:paraId="048D0F38"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Commission finds and concludes that it has already ordered the appropriate ratemaking treatment for the Plant Kraft land donation and PIA Staff has not presented sufficient evidence to overturn this Commission’s prior ruling. </w:t>
      </w:r>
    </w:p>
    <w:p w14:paraId="328D97DC" w14:textId="77150861" w:rsidR="00763BC9" w:rsidRPr="007B6E38" w:rsidRDefault="00763BC9" w:rsidP="00763BC9">
      <w:pPr>
        <w:pStyle w:val="ListParagraph"/>
        <w:numPr>
          <w:ilvl w:val="0"/>
          <w:numId w:val="17"/>
        </w:numPr>
        <w:spacing w:before="240" w:after="240"/>
        <w:ind w:left="1440" w:hanging="720"/>
        <w:jc w:val="both"/>
        <w:rPr>
          <w:rFonts w:ascii="Times New Roman" w:hAnsi="Times New Roman"/>
          <w:szCs w:val="24"/>
          <w:u w:val="single"/>
        </w:rPr>
      </w:pPr>
      <w:r w:rsidRPr="007B6E38">
        <w:rPr>
          <w:rFonts w:ascii="Times New Roman" w:hAnsi="Times New Roman"/>
          <w:szCs w:val="24"/>
          <w:u w:val="single"/>
        </w:rPr>
        <w:t>Commission Determination regarding P</w:t>
      </w:r>
      <w:r w:rsidR="0032077E">
        <w:rPr>
          <w:rFonts w:ascii="Times New Roman" w:hAnsi="Times New Roman"/>
          <w:szCs w:val="24"/>
          <w:u w:val="single"/>
        </w:rPr>
        <w:t xml:space="preserve">lant </w:t>
      </w:r>
      <w:r w:rsidRPr="007B6E38">
        <w:rPr>
          <w:rFonts w:ascii="Times New Roman" w:hAnsi="Times New Roman"/>
          <w:szCs w:val="24"/>
          <w:u w:val="single"/>
        </w:rPr>
        <w:t>H</w:t>
      </w:r>
      <w:r w:rsidR="0032077E">
        <w:rPr>
          <w:rFonts w:ascii="Times New Roman" w:hAnsi="Times New Roman"/>
          <w:szCs w:val="24"/>
          <w:u w:val="single"/>
        </w:rPr>
        <w:t xml:space="preserve">eld </w:t>
      </w:r>
      <w:r w:rsidRPr="007B6E38">
        <w:rPr>
          <w:rFonts w:ascii="Times New Roman" w:hAnsi="Times New Roman"/>
          <w:szCs w:val="24"/>
          <w:u w:val="single"/>
        </w:rPr>
        <w:t>F</w:t>
      </w:r>
      <w:r w:rsidR="0032077E">
        <w:rPr>
          <w:rFonts w:ascii="Times New Roman" w:hAnsi="Times New Roman"/>
          <w:szCs w:val="24"/>
          <w:u w:val="single"/>
        </w:rPr>
        <w:t xml:space="preserve">or </w:t>
      </w:r>
      <w:r w:rsidRPr="007B6E38">
        <w:rPr>
          <w:rFonts w:ascii="Times New Roman" w:hAnsi="Times New Roman"/>
          <w:szCs w:val="24"/>
          <w:u w:val="single"/>
        </w:rPr>
        <w:t>F</w:t>
      </w:r>
      <w:r w:rsidR="0032077E">
        <w:rPr>
          <w:rFonts w:ascii="Times New Roman" w:hAnsi="Times New Roman"/>
          <w:szCs w:val="24"/>
          <w:u w:val="single"/>
        </w:rPr>
        <w:t xml:space="preserve">uture </w:t>
      </w:r>
      <w:r w:rsidRPr="007B6E38">
        <w:rPr>
          <w:rFonts w:ascii="Times New Roman" w:hAnsi="Times New Roman"/>
          <w:szCs w:val="24"/>
          <w:u w:val="single"/>
        </w:rPr>
        <w:t>U</w:t>
      </w:r>
      <w:r w:rsidR="0032077E">
        <w:rPr>
          <w:rFonts w:ascii="Times New Roman" w:hAnsi="Times New Roman"/>
          <w:szCs w:val="24"/>
          <w:u w:val="single"/>
        </w:rPr>
        <w:t>se</w:t>
      </w:r>
      <w:r w:rsidR="00F628E9">
        <w:rPr>
          <w:rFonts w:ascii="Times New Roman" w:hAnsi="Times New Roman"/>
          <w:szCs w:val="24"/>
          <w:u w:val="single"/>
        </w:rPr>
        <w:t xml:space="preserve"> (“PHFFU”)</w:t>
      </w:r>
      <w:r w:rsidRPr="007B6E38">
        <w:rPr>
          <w:rFonts w:ascii="Times New Roman" w:hAnsi="Times New Roman"/>
          <w:szCs w:val="24"/>
          <w:u w:val="single"/>
        </w:rPr>
        <w:t>.</w:t>
      </w:r>
    </w:p>
    <w:p w14:paraId="7D079574" w14:textId="134B67EC"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PIA Staff recommends that PHFFU for more than 15 years be removed from rate base until it is placed into service out of a concern that the extended expected use dates for the land held in PHFFU continues to increase annual costs to customers. Witnesses Smith and Trokey also recommend that the Company evaluate whether Stewart County costs should be transferred to non-utility property since the Commission has not approved those costs and the Company has no firm plans to construct a generating plant on the land within a reasonable planning period. </w:t>
      </w:r>
    </w:p>
    <w:p w14:paraId="26FD8EBC" w14:textId="77777777" w:rsidR="00763BC9" w:rsidRPr="007B6E38" w:rsidRDefault="00763BC9" w:rsidP="00763BC9">
      <w:pPr>
        <w:ind w:firstLine="720"/>
        <w:jc w:val="both"/>
        <w:rPr>
          <w:rFonts w:ascii="Times New Roman" w:hAnsi="Times New Roman"/>
          <w:szCs w:val="24"/>
        </w:rPr>
      </w:pPr>
    </w:p>
    <w:p w14:paraId="6859850E" w14:textId="6F112B9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 argued that the benefits to holding certain land in PHFFU outweigh the current costs to customers and hedge against higher future costs and availability concerns. The Company claimed that costs to customers would be greater if the Company waited to obtain the same or similar land in the future because land is a limited resource that generally appreciates in value over time. Georgia Power explained further that the land required for future projects may be unavailable when needed because of other development. The Company testified that as land availability becomes more constrained, future land acquisitions are more likely to be obtained through condemnation, which is the </w:t>
      </w:r>
      <w:r w:rsidR="00635C63">
        <w:rPr>
          <w:rFonts w:ascii="Times New Roman" w:hAnsi="Times New Roman"/>
          <w:szCs w:val="24"/>
        </w:rPr>
        <w:t>l</w:t>
      </w:r>
      <w:r w:rsidRPr="007B6E38">
        <w:rPr>
          <w:rFonts w:ascii="Times New Roman" w:hAnsi="Times New Roman"/>
          <w:szCs w:val="24"/>
        </w:rPr>
        <w:t>east preferred method of securing land and land rights. The Company also explained that continued need and utility plan</w:t>
      </w:r>
      <w:r w:rsidR="00635C63">
        <w:rPr>
          <w:rFonts w:ascii="Times New Roman" w:hAnsi="Times New Roman"/>
          <w:szCs w:val="24"/>
        </w:rPr>
        <w:t>s</w:t>
      </w:r>
      <w:r w:rsidRPr="007B6E38">
        <w:rPr>
          <w:rFonts w:ascii="Times New Roman" w:hAnsi="Times New Roman"/>
          <w:szCs w:val="24"/>
        </w:rPr>
        <w:t xml:space="preserve"> for land held in PHFFU </w:t>
      </w:r>
      <w:r w:rsidR="00635C63">
        <w:rPr>
          <w:rFonts w:ascii="Times New Roman" w:hAnsi="Times New Roman"/>
          <w:szCs w:val="24"/>
        </w:rPr>
        <w:t>are</w:t>
      </w:r>
      <w:r w:rsidRPr="007B6E38">
        <w:rPr>
          <w:rFonts w:ascii="Times New Roman" w:hAnsi="Times New Roman"/>
          <w:szCs w:val="24"/>
        </w:rPr>
        <w:t xml:space="preserve"> reviewed quarterly and that removal of any additional items from PHFFU is not necessary at this time. In addition, the Company argued that the Stewart County site was determined to be an appropriate site for locating future generation resources. The Company maintained that while it is unlikely that the Company will use the Stewart County site for nuclear generation purposes, the site could facilitate future generation generally. </w:t>
      </w:r>
    </w:p>
    <w:p w14:paraId="4D526438" w14:textId="77777777" w:rsidR="00763BC9" w:rsidRPr="007B6E38" w:rsidRDefault="00763BC9" w:rsidP="00763BC9">
      <w:pPr>
        <w:ind w:firstLine="720"/>
        <w:jc w:val="both"/>
        <w:rPr>
          <w:rFonts w:ascii="Times New Roman" w:hAnsi="Times New Roman"/>
          <w:szCs w:val="24"/>
        </w:rPr>
      </w:pPr>
    </w:p>
    <w:p w14:paraId="6CDB9507" w14:textId="1CFB142F"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The Commission finds and concludes that no action is needed to be taken on the Company’s practices regarding PHFFU. The Commission is satisfied that the</w:t>
      </w:r>
      <w:r w:rsidR="00F628E9">
        <w:rPr>
          <w:rFonts w:ascii="Times New Roman" w:hAnsi="Times New Roman"/>
          <w:szCs w:val="24"/>
        </w:rPr>
        <w:t xml:space="preserve"> Company</w:t>
      </w:r>
      <w:r w:rsidRPr="007B6E38">
        <w:rPr>
          <w:rFonts w:ascii="Times New Roman" w:hAnsi="Times New Roman"/>
          <w:szCs w:val="24"/>
        </w:rPr>
        <w:t xml:space="preserve"> appropriately monitors and regularly evaluates the classification of land and land rights in PHFFU. It is unnecessary for this Commission to direct Georgia Power to examine whether Stewart County should be transferred from PHFFU to non-utility property. As the evidence showed, the Company regularly reviews the items included in PHFFU and PIA Staff has not justified its removal from PHFFU at this time. </w:t>
      </w:r>
    </w:p>
    <w:p w14:paraId="3EF121D5" w14:textId="7C882FFF" w:rsidR="00763BC9" w:rsidRPr="007B6E38" w:rsidRDefault="00763BC9" w:rsidP="00763BC9">
      <w:pPr>
        <w:pStyle w:val="ListParagraph"/>
        <w:numPr>
          <w:ilvl w:val="0"/>
          <w:numId w:val="17"/>
        </w:numPr>
        <w:spacing w:before="240" w:after="240"/>
        <w:ind w:left="1440" w:hanging="720"/>
        <w:jc w:val="both"/>
        <w:rPr>
          <w:rFonts w:ascii="Times New Roman" w:hAnsi="Times New Roman"/>
          <w:szCs w:val="24"/>
          <w:u w:val="single"/>
        </w:rPr>
      </w:pPr>
      <w:r w:rsidRPr="007B6E38">
        <w:rPr>
          <w:rFonts w:ascii="Times New Roman" w:hAnsi="Times New Roman"/>
          <w:szCs w:val="24"/>
          <w:u w:val="single"/>
        </w:rPr>
        <w:t>Commission Determination regarding Gains and Losses on Sales of Utility Property</w:t>
      </w:r>
      <w:r w:rsidR="007A36EA">
        <w:rPr>
          <w:rFonts w:ascii="Times New Roman" w:hAnsi="Times New Roman"/>
          <w:szCs w:val="24"/>
          <w:u w:val="single"/>
        </w:rPr>
        <w:t>.</w:t>
      </w:r>
    </w:p>
    <w:p w14:paraId="43ABBE9F" w14:textId="77777777" w:rsidR="00763BC9" w:rsidRPr="007B6E38" w:rsidRDefault="00763BC9" w:rsidP="00763BC9">
      <w:pPr>
        <w:spacing w:after="200"/>
        <w:ind w:firstLine="720"/>
        <w:jc w:val="both"/>
        <w:rPr>
          <w:rFonts w:ascii="Times New Roman" w:hAnsi="Times New Roman"/>
          <w:szCs w:val="24"/>
        </w:rPr>
      </w:pPr>
      <w:r w:rsidRPr="007B6E38">
        <w:rPr>
          <w:rFonts w:ascii="Times New Roman" w:hAnsi="Times New Roman"/>
          <w:szCs w:val="24"/>
        </w:rPr>
        <w:t xml:space="preserve">PIA Staff recommends that gains and losses on the sale of land held in PHFFU be shared with ratepayers based on the amount of time the land was held in PHFFU compared to the total time the land was held by the Company up to a maximum sharing of 80% for customers. </w:t>
      </w:r>
    </w:p>
    <w:p w14:paraId="2EBCB63A" w14:textId="00C229E2" w:rsidR="00763BC9" w:rsidRPr="003D0D11" w:rsidRDefault="00763BC9" w:rsidP="00763BC9">
      <w:pPr>
        <w:spacing w:after="200"/>
        <w:ind w:firstLine="720"/>
        <w:jc w:val="both"/>
        <w:rPr>
          <w:rFonts w:ascii="Times New Roman" w:hAnsi="Times New Roman"/>
          <w:szCs w:val="24"/>
        </w:rPr>
      </w:pPr>
      <w:r w:rsidRPr="007B6E38">
        <w:rPr>
          <w:rFonts w:ascii="Times New Roman" w:hAnsi="Times New Roman"/>
          <w:szCs w:val="24"/>
        </w:rPr>
        <w:t>The Company explained in its rebuttal testimony that it continues supporting and following the accounting guidance contained in the Code of Federal Regulations (</w:t>
      </w:r>
      <w:r w:rsidR="004833BA">
        <w:rPr>
          <w:rFonts w:ascii="Times New Roman" w:hAnsi="Times New Roman"/>
          <w:szCs w:val="24"/>
        </w:rPr>
        <w:t>“</w:t>
      </w:r>
      <w:r w:rsidRPr="007B6E38">
        <w:rPr>
          <w:rFonts w:ascii="Times New Roman" w:hAnsi="Times New Roman"/>
          <w:szCs w:val="24"/>
        </w:rPr>
        <w:t>CFR</w:t>
      </w:r>
      <w:r w:rsidR="004833BA">
        <w:rPr>
          <w:rFonts w:ascii="Times New Roman" w:hAnsi="Times New Roman"/>
          <w:szCs w:val="24"/>
        </w:rPr>
        <w:t>”</w:t>
      </w:r>
      <w:r w:rsidRPr="007B6E38">
        <w:rPr>
          <w:rFonts w:ascii="Times New Roman" w:hAnsi="Times New Roman"/>
          <w:szCs w:val="24"/>
        </w:rPr>
        <w:t>) regarding gains or losses on the disposition of land. Pursuant to that guidance, customers pay for the costs to maintain land and a reasonable carrying cost on the land. However, customers do not pay for the land itself. Notwithstanding the Company’s position that following the existing CFR accounting guidance pertaining to gains and losses on the disposition of utility land is still appropriate, if the Commission is inclined to impose a sharing of gains and losses on the sale of utility property, the Company recommends that it adopt the Company’s proposed sharing mechanism in lieu of that proposed by PIA Staff. The Company’s proposal would share 20% of any gain or loss on land sales with customers</w:t>
      </w:r>
    </w:p>
    <w:p w14:paraId="6E1CBCF5" w14:textId="33CD777A" w:rsidR="00763BC9" w:rsidRPr="007B6E38" w:rsidRDefault="00763BC9" w:rsidP="00E86C6F">
      <w:pPr>
        <w:ind w:firstLine="720"/>
        <w:jc w:val="both"/>
        <w:rPr>
          <w:rFonts w:ascii="Times New Roman" w:hAnsi="Times New Roman"/>
          <w:szCs w:val="24"/>
        </w:rPr>
      </w:pPr>
      <w:r w:rsidRPr="007B6E38">
        <w:rPr>
          <w:rFonts w:ascii="Times New Roman" w:hAnsi="Times New Roman"/>
          <w:szCs w:val="24"/>
        </w:rPr>
        <w:t xml:space="preserve">The Commission finds and concludes that no changes relating to the Company’s treatment of gains and losses on sales of property is necessary. PIA Staff did not present sufficient evidence showing that existing accounting guidelines and regulations should be disregarded. </w:t>
      </w:r>
    </w:p>
    <w:p w14:paraId="5F8A04B4" w14:textId="77777777" w:rsidR="00763BC9" w:rsidRPr="007B6E38" w:rsidRDefault="00763BC9" w:rsidP="00763BC9">
      <w:pPr>
        <w:pStyle w:val="ListParagraph"/>
        <w:numPr>
          <w:ilvl w:val="0"/>
          <w:numId w:val="17"/>
        </w:numPr>
        <w:spacing w:before="240" w:after="240"/>
        <w:ind w:left="1440" w:hanging="720"/>
        <w:jc w:val="both"/>
        <w:rPr>
          <w:rFonts w:ascii="Times New Roman" w:hAnsi="Times New Roman"/>
          <w:szCs w:val="24"/>
          <w:u w:val="single"/>
        </w:rPr>
      </w:pPr>
      <w:r w:rsidRPr="007B6E38">
        <w:rPr>
          <w:rFonts w:ascii="Times New Roman" w:hAnsi="Times New Roman"/>
          <w:szCs w:val="24"/>
          <w:u w:val="single"/>
        </w:rPr>
        <w:t>Commission Determination Regarding Property Taxes.</w:t>
      </w:r>
    </w:p>
    <w:p w14:paraId="4CE3576A" w14:textId="77777777" w:rsidR="00763BC9" w:rsidRPr="007B6E38" w:rsidRDefault="00763BC9" w:rsidP="00763BC9">
      <w:pPr>
        <w:spacing w:after="200"/>
        <w:ind w:firstLine="720"/>
        <w:jc w:val="both"/>
        <w:rPr>
          <w:rFonts w:ascii="Times New Roman" w:hAnsi="Times New Roman"/>
          <w:szCs w:val="24"/>
        </w:rPr>
      </w:pPr>
      <w:r w:rsidRPr="007B6E38">
        <w:rPr>
          <w:rFonts w:ascii="Times New Roman" w:hAnsi="Times New Roman"/>
          <w:szCs w:val="24"/>
        </w:rPr>
        <w:t xml:space="preserve">The Company’s revenue requirement appropriately includes the projected property taxes Georgia Power will pay during the test year and plan years 2020 through 2022. </w:t>
      </w:r>
    </w:p>
    <w:p w14:paraId="489D582C" w14:textId="77777777" w:rsidR="00763BC9" w:rsidRPr="007B6E38" w:rsidRDefault="00763BC9" w:rsidP="00763BC9">
      <w:pPr>
        <w:spacing w:after="200"/>
        <w:ind w:firstLine="720"/>
        <w:jc w:val="both"/>
        <w:rPr>
          <w:rFonts w:ascii="Times New Roman" w:hAnsi="Times New Roman"/>
          <w:szCs w:val="24"/>
        </w:rPr>
      </w:pPr>
      <w:r w:rsidRPr="007B6E38">
        <w:rPr>
          <w:rFonts w:ascii="Times New Roman" w:hAnsi="Times New Roman"/>
          <w:szCs w:val="24"/>
        </w:rPr>
        <w:t>PIA Staff proposed that the Company decrease the projected amount needed for property taxes to reflect the average value of historical property tax true-ups. According to PIA Staff, it is reasonable to use this historic annual average property tax true-up level as an appropriate proxy for the normalized level of test year property tax true-ups.</w:t>
      </w:r>
    </w:p>
    <w:p w14:paraId="574C6195" w14:textId="77777777" w:rsidR="00763BC9" w:rsidRPr="007B6E38" w:rsidRDefault="00763BC9" w:rsidP="00763BC9">
      <w:pPr>
        <w:spacing w:after="200"/>
        <w:ind w:firstLine="720"/>
        <w:jc w:val="both"/>
        <w:rPr>
          <w:rFonts w:ascii="Times New Roman" w:hAnsi="Times New Roman"/>
          <w:szCs w:val="24"/>
        </w:rPr>
      </w:pPr>
      <w:r w:rsidRPr="007B6E38">
        <w:rPr>
          <w:rFonts w:ascii="Times New Roman" w:hAnsi="Times New Roman"/>
          <w:szCs w:val="24"/>
        </w:rPr>
        <w:t xml:space="preserve">In its rebuttal testimony, the Company explained that PIA Staff’s proposed adjustment assumes that the projected annual property tax true-up will be estimable and favorable. However, the Company contends that it cannot forecast, with any certainty, the value or direction of the potential property tax true-ups that it may receive year over year. In addition, the Company argued that PIA Staff’s proposed adjustment inappropriately uses the historical average of the true-ups over the last 17 years as the basis for the adjustment. The Company highlighted that many prior year property tax true-ups were the result of positive outcomes from appeals the Company pursued, which do not occur regularly or succeed with any predictability. </w:t>
      </w:r>
    </w:p>
    <w:p w14:paraId="2848638D" w14:textId="77777777" w:rsidR="00763BC9" w:rsidRPr="007B6E38" w:rsidRDefault="00763BC9" w:rsidP="00763BC9">
      <w:pPr>
        <w:spacing w:after="200"/>
        <w:ind w:firstLine="720"/>
        <w:jc w:val="both"/>
        <w:rPr>
          <w:rFonts w:ascii="Times New Roman" w:hAnsi="Times New Roman"/>
          <w:szCs w:val="24"/>
        </w:rPr>
      </w:pPr>
      <w:r w:rsidRPr="007B6E38">
        <w:rPr>
          <w:rFonts w:ascii="Times New Roman" w:hAnsi="Times New Roman"/>
          <w:szCs w:val="24"/>
        </w:rPr>
        <w:t xml:space="preserve">The Commission finds and concludes that it is reasonable and appropriate for the Company’s revenue requirement to include the projected property taxes it will pay during the test year and plan years 2020 through 2022.  </w:t>
      </w:r>
    </w:p>
    <w:p w14:paraId="7C1FEA91" w14:textId="65F4388E" w:rsidR="00763BC9" w:rsidRPr="007B6E38" w:rsidRDefault="00763BC9" w:rsidP="00763BC9">
      <w:pPr>
        <w:pStyle w:val="ListParagraph"/>
        <w:numPr>
          <w:ilvl w:val="0"/>
          <w:numId w:val="17"/>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regarding Stock</w:t>
      </w:r>
      <w:r w:rsidR="00E86C6F">
        <w:rPr>
          <w:rFonts w:ascii="Times New Roman" w:hAnsi="Times New Roman"/>
          <w:szCs w:val="24"/>
          <w:u w:val="single"/>
        </w:rPr>
        <w:t>-</w:t>
      </w:r>
      <w:r w:rsidRPr="007B6E38">
        <w:rPr>
          <w:rFonts w:ascii="Times New Roman" w:hAnsi="Times New Roman"/>
          <w:szCs w:val="24"/>
          <w:u w:val="single"/>
        </w:rPr>
        <w:t>Based Compensation and Payroll Taxes.</w:t>
      </w:r>
    </w:p>
    <w:p w14:paraId="6F76AE6A" w14:textId="6FF56D42"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 included expenses related to stock-based compensation in its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 xml:space="preserve">ase filing. The Company explained that this form of at-risk compensation is </w:t>
      </w:r>
      <w:r w:rsidRPr="007B6E38">
        <w:rPr>
          <w:rFonts w:ascii="Times New Roman" w:hAnsi="Times New Roman"/>
          <w:bCs/>
          <w:szCs w:val="24"/>
        </w:rPr>
        <w:t>not</w:t>
      </w:r>
      <w:r w:rsidRPr="007B6E38">
        <w:rPr>
          <w:rFonts w:ascii="Times New Roman" w:hAnsi="Times New Roman"/>
          <w:szCs w:val="24"/>
        </w:rPr>
        <w:t xml:space="preserve"> additional compensation. It is part of the employee’s market pay and put at risk to align employee behaviors with customer interests. According to the Company, stock-based compensation, as part of a comprehensive compensation plan, allows it to remain competitive with the market for employees and incents the balance of long-term and short-term goals, both which, in turn, enable the Company to provide its customers with high satisfaction and reliability by allowing the Company to operate its business efficiently and effectively. </w:t>
      </w:r>
    </w:p>
    <w:p w14:paraId="370E0E85" w14:textId="77777777" w:rsidR="00763BC9" w:rsidRPr="007B6E38" w:rsidRDefault="00763BC9" w:rsidP="00763BC9">
      <w:pPr>
        <w:ind w:firstLine="720"/>
        <w:jc w:val="both"/>
        <w:rPr>
          <w:rFonts w:ascii="Times New Roman" w:hAnsi="Times New Roman"/>
          <w:b/>
          <w:szCs w:val="24"/>
        </w:rPr>
      </w:pPr>
    </w:p>
    <w:p w14:paraId="314FE174" w14:textId="26B644DC"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Company’s budgeted costs to attract, retain and engage employees are expenses that arise in the ordinary course of the Company’s business and appropriately should be included in the Company’s revenue requirements and recovered in retail rates. The Company maintains that customers benefit from a healthy company, which should be measured over the short- and long-term to ensure that the decisions made by the Company are optimized for both short- and long-term benefits. The Company explains that designing the Company’s at-risk stock-based portion of the total compensation plan to include longer-term goals, the Company achieves an appropriate balance that motivates employees to deliver safe and reliable electric service to </w:t>
      </w:r>
      <w:r w:rsidR="00635C63">
        <w:rPr>
          <w:rFonts w:ascii="Times New Roman" w:hAnsi="Times New Roman"/>
          <w:szCs w:val="24"/>
        </w:rPr>
        <w:t>its</w:t>
      </w:r>
      <w:r w:rsidRPr="007B6E38">
        <w:rPr>
          <w:rFonts w:ascii="Times New Roman" w:hAnsi="Times New Roman"/>
          <w:szCs w:val="24"/>
        </w:rPr>
        <w:t xml:space="preserve"> customers in a manner that is economically efficient. In addition, the Company proposed to include the payroll tax expenses associated with stock-based incentive compensation, which the Company also contends represent prudently incurred costs.</w:t>
      </w:r>
    </w:p>
    <w:p w14:paraId="6088F083" w14:textId="77777777" w:rsidR="00763BC9" w:rsidRPr="007B6E38" w:rsidRDefault="00763BC9" w:rsidP="00763BC9">
      <w:pPr>
        <w:ind w:firstLine="720"/>
        <w:jc w:val="both"/>
        <w:rPr>
          <w:rFonts w:ascii="Times New Roman" w:hAnsi="Times New Roman"/>
          <w:szCs w:val="24"/>
        </w:rPr>
      </w:pPr>
    </w:p>
    <w:p w14:paraId="007FB579"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PIA Staff proposed disallowances for the Company’s stock-based compensation program expenses. Specifically, Staff removed the Performance Unit Shares (“PSU”) and the Restricted Stock Units (“RSU”) expense from retail jurisdictional operating expenses establishing the Company’s revenue requirement. According to PIA Staff, the stock-based incentive compensation expenses for these programs should not be included in the revenue requirement as these costs are incurred to improve the Southern Company financial performance for the benefit of shareholders, not to improve customer service or meet other regulated utility service requirements. In addition, PIA Staff recommended that the Commission exclude the payroll tax expenses associated with the stock-based compensation. </w:t>
      </w:r>
    </w:p>
    <w:p w14:paraId="3E619B4E" w14:textId="77777777" w:rsidR="00763BC9" w:rsidRPr="007B6E38" w:rsidRDefault="00763BC9" w:rsidP="00763BC9">
      <w:pPr>
        <w:ind w:firstLine="720"/>
        <w:jc w:val="both"/>
        <w:rPr>
          <w:rFonts w:ascii="Times New Roman" w:hAnsi="Times New Roman"/>
          <w:szCs w:val="24"/>
        </w:rPr>
      </w:pPr>
    </w:p>
    <w:p w14:paraId="418FC997" w14:textId="166670BC"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In its rebuttal testimony, Georgia Power argued that these proposed disallowances are inappropriate and should be rejected by the Commission. Company witnesses testified that PIA Staff did not base these recommendations on supporting data or market analysis that the Company’s expenses are excessive or that the programs are not competitive with the external market. Georgia Power noted acknowledged that it previously agreed to remove stock-based compensation for the duration of the then-current ARP as part of a negotiated settlement of the 2013 Rate Case. However, the Company contends that its settlement position should not be used to imply that the Company supports the exclusion of stock-based compensation as a matter of principle. </w:t>
      </w:r>
    </w:p>
    <w:p w14:paraId="44358B62" w14:textId="77777777" w:rsidR="00763BC9" w:rsidRPr="007B6E38" w:rsidRDefault="00763BC9" w:rsidP="00763BC9">
      <w:pPr>
        <w:jc w:val="both"/>
        <w:rPr>
          <w:rFonts w:ascii="Times New Roman" w:hAnsi="Times New Roman"/>
          <w:szCs w:val="24"/>
        </w:rPr>
      </w:pPr>
    </w:p>
    <w:p w14:paraId="55310D29" w14:textId="550CC4A1" w:rsidR="00763BC9" w:rsidRPr="00615B21" w:rsidRDefault="00763BC9" w:rsidP="00763BC9">
      <w:pPr>
        <w:spacing w:after="200"/>
        <w:ind w:firstLine="720"/>
        <w:jc w:val="both"/>
        <w:rPr>
          <w:rFonts w:ascii="Times New Roman" w:hAnsi="Times New Roman"/>
          <w:szCs w:val="24"/>
        </w:rPr>
      </w:pPr>
      <w:r w:rsidRPr="007B6E38">
        <w:rPr>
          <w:rFonts w:ascii="Times New Roman" w:hAnsi="Times New Roman"/>
          <w:szCs w:val="24"/>
        </w:rPr>
        <w:t>The Commission finds and concludes that it is reasonable and appropriate for the Company to include stock-based compensation and the associated payroll taxes in its revenue requirement.</w:t>
      </w:r>
      <w:r>
        <w:rPr>
          <w:rFonts w:ascii="Times New Roman" w:hAnsi="Times New Roman"/>
          <w:szCs w:val="24"/>
        </w:rPr>
        <w:t xml:space="preserve"> </w:t>
      </w:r>
      <w:r w:rsidRPr="00615B21">
        <w:rPr>
          <w:rFonts w:ascii="Times New Roman" w:hAnsi="Times New Roman"/>
          <w:szCs w:val="24"/>
        </w:rPr>
        <w:t>The Company’s long-term at-risk compensation program is comparable to and competitive with the utility industry. The Company’s long-term at-risk compensation program is comparable to and competitive with the utility industry.</w:t>
      </w:r>
      <w:r>
        <w:rPr>
          <w:rFonts w:ascii="Times New Roman" w:hAnsi="Times New Roman"/>
          <w:szCs w:val="24"/>
        </w:rPr>
        <w:t xml:space="preserve"> </w:t>
      </w:r>
      <w:r w:rsidRPr="00615B21">
        <w:rPr>
          <w:rFonts w:ascii="Times New Roman" w:hAnsi="Times New Roman"/>
          <w:szCs w:val="24"/>
        </w:rPr>
        <w:t xml:space="preserve">The Company’s budgeted costs for </w:t>
      </w:r>
      <w:r w:rsidR="005A77C8" w:rsidRPr="00615B21">
        <w:rPr>
          <w:rFonts w:ascii="Times New Roman" w:hAnsi="Times New Roman"/>
          <w:szCs w:val="24"/>
        </w:rPr>
        <w:t>stock-based</w:t>
      </w:r>
      <w:r w:rsidRPr="00615B21">
        <w:rPr>
          <w:rFonts w:ascii="Times New Roman" w:hAnsi="Times New Roman"/>
          <w:szCs w:val="24"/>
        </w:rPr>
        <w:t xml:space="preserve"> compensation to attract, retain and engage employees are expenses that arise in the ordinary course of the Company’s business and appropriately should be included in the Company’s revenue requirements and recovered in retail rates. </w:t>
      </w:r>
    </w:p>
    <w:p w14:paraId="55D2C093" w14:textId="77777777" w:rsidR="00763BC9" w:rsidRPr="007B6E38" w:rsidRDefault="00763BC9" w:rsidP="00763BC9">
      <w:pPr>
        <w:pStyle w:val="ListParagraph"/>
        <w:numPr>
          <w:ilvl w:val="0"/>
          <w:numId w:val="17"/>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 xml:space="preserve">Commission Determination regarding Future Nuclear Investigation Costs. </w:t>
      </w:r>
    </w:p>
    <w:p w14:paraId="5FA56A94"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PIA Staff proposes three options to recover the Stewart County future nuclear site investigation costs from the Company’s earnings in 2018: (1) recover future nuclear costs from $153 million over earnings; (2) recover future nuclear costs only from customer shares of the earnings; or (3) apply the Company’s one third share of over earnings to the recovery of future nuclear costs.</w:t>
      </w:r>
      <w:r w:rsidRPr="007B6E38">
        <w:rPr>
          <w:rFonts w:ascii="Times New Roman" w:hAnsi="Times New Roman"/>
          <w:color w:val="000000"/>
          <w:sz w:val="23"/>
          <w:szCs w:val="24"/>
        </w:rPr>
        <w:t xml:space="preserve"> </w:t>
      </w:r>
      <w:r w:rsidRPr="007B6E38">
        <w:rPr>
          <w:rFonts w:ascii="Times New Roman" w:hAnsi="Times New Roman"/>
          <w:szCs w:val="24"/>
        </w:rPr>
        <w:t>Pursuant to the Commission's March 7, 2017 Order in Docket No. 40161, the Company appropriately included this $49 million in its revenue requirement for rates effective January 1. 2020.</w:t>
      </w:r>
    </w:p>
    <w:p w14:paraId="67F6AA32" w14:textId="77777777" w:rsidR="00763BC9" w:rsidRPr="007B6E38" w:rsidRDefault="00763BC9" w:rsidP="00763BC9">
      <w:pPr>
        <w:ind w:firstLine="720"/>
        <w:jc w:val="both"/>
        <w:rPr>
          <w:rFonts w:ascii="Times New Roman" w:hAnsi="Times New Roman"/>
          <w:szCs w:val="24"/>
        </w:rPr>
      </w:pPr>
    </w:p>
    <w:p w14:paraId="7CEC38B8"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The Company explained that it is unnecessary for this Commission to consider alternate recovery options for future nuclear site investigation costs because the Commission has already determined the ratemaking treatment for these costs. The Company contends that it spent only $49 million prior to ceasing its investigation activities and putting the Stewart County site into a preserved state. However, the Company did state that if the Commission removed Stewart County investigation costs from the current rate case consideration using some portion of the Company’s 2018 earnings above the band, it should not impair the Company’s share of those earnings. The Company elaborated that such an action would constitute a retroactive modification of the Commission’s Final Order in the 2013 Rate Case.  </w:t>
      </w:r>
    </w:p>
    <w:p w14:paraId="0D48F504" w14:textId="77777777" w:rsidR="00763BC9" w:rsidRPr="007B6E38" w:rsidRDefault="00763BC9" w:rsidP="00763BC9">
      <w:pPr>
        <w:jc w:val="both"/>
        <w:rPr>
          <w:rFonts w:ascii="Times New Roman" w:hAnsi="Times New Roman"/>
          <w:szCs w:val="24"/>
        </w:rPr>
      </w:pPr>
    </w:p>
    <w:p w14:paraId="42EC4BD5" w14:textId="77777777" w:rsidR="00763BC9" w:rsidRPr="007B6E38" w:rsidRDefault="00763BC9" w:rsidP="00763BC9">
      <w:pPr>
        <w:spacing w:after="200"/>
        <w:ind w:firstLine="720"/>
        <w:jc w:val="both"/>
        <w:rPr>
          <w:rFonts w:ascii="Times New Roman" w:hAnsi="Times New Roman"/>
          <w:b/>
          <w:szCs w:val="24"/>
        </w:rPr>
      </w:pPr>
      <w:r w:rsidRPr="007B6E38">
        <w:rPr>
          <w:rFonts w:ascii="Times New Roman" w:hAnsi="Times New Roman"/>
          <w:szCs w:val="24"/>
        </w:rPr>
        <w:t xml:space="preserve">The Commission finds and concludes that its Final Order in Docket No. 40161 governs the recovery of costs related to the investigation of future nuclear at Stewart County. In that Final Order, this Commission approved recovery for up to $99 million for costs related to the investigation of future nuclear at Stewart County. </w:t>
      </w:r>
    </w:p>
    <w:p w14:paraId="7E25F8C0" w14:textId="77777777" w:rsidR="00763BC9" w:rsidRPr="007B6E38" w:rsidRDefault="00763BC9" w:rsidP="00763BC9">
      <w:pPr>
        <w:pStyle w:val="ListParagraph"/>
        <w:numPr>
          <w:ilvl w:val="0"/>
          <w:numId w:val="17"/>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 xml:space="preserve">Commission Determination regarding Amortization of Retired Unit Remaining Net Book Values. </w:t>
      </w:r>
    </w:p>
    <w:p w14:paraId="11C4DDCE"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With the exception of Plant Hammond, the Company proposed a three-year recovery of these regulatory assets to match the three-year ARP proposed by the Company. The Company notes that a three-year amortization period provides the Company timely recovery of these costs, which has a positive impact on the Company’s credit metrics while reducing the financing costs for customers. For Plant Hammond, the Company proposed the remaining net book value be recovered over the lives of the units as approved in the 2013 Rate Case Order in order to mitigate the rate impact to customers. These proposed amortization periods are consistent with the other regulatory assets and liabilities. </w:t>
      </w:r>
    </w:p>
    <w:p w14:paraId="487DEBA5" w14:textId="77777777" w:rsidR="00763BC9" w:rsidRPr="007B6E38" w:rsidRDefault="00763BC9" w:rsidP="00763BC9">
      <w:pPr>
        <w:ind w:firstLine="720"/>
        <w:jc w:val="both"/>
        <w:rPr>
          <w:rFonts w:ascii="Times New Roman" w:hAnsi="Times New Roman"/>
          <w:szCs w:val="24"/>
        </w:rPr>
      </w:pPr>
    </w:p>
    <w:p w14:paraId="21C6018B" w14:textId="406BAD4B"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GIG/GAM recommended that the Commission extend the amortization period for the remaining net book values of the retired units approved in the 2019 IRP from three years to the useful lives of the assets approved in the 2013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ase.</w:t>
      </w:r>
    </w:p>
    <w:p w14:paraId="4435FADA" w14:textId="77777777" w:rsidR="00763BC9" w:rsidRPr="007B6E38" w:rsidRDefault="00763BC9" w:rsidP="00763BC9">
      <w:pPr>
        <w:ind w:firstLine="720"/>
        <w:jc w:val="both"/>
        <w:rPr>
          <w:rFonts w:ascii="Times New Roman" w:hAnsi="Times New Roman"/>
          <w:szCs w:val="24"/>
        </w:rPr>
      </w:pPr>
    </w:p>
    <w:p w14:paraId="2948F174" w14:textId="52198F32" w:rsidR="00763BC9" w:rsidRPr="007B6E38" w:rsidRDefault="00763BC9" w:rsidP="009D300B">
      <w:pPr>
        <w:ind w:firstLine="720"/>
        <w:jc w:val="both"/>
        <w:rPr>
          <w:rFonts w:ascii="Times New Roman" w:hAnsi="Times New Roman"/>
          <w:szCs w:val="24"/>
        </w:rPr>
      </w:pPr>
      <w:r w:rsidRPr="007B6E38">
        <w:rPr>
          <w:rFonts w:ascii="Times New Roman" w:hAnsi="Times New Roman"/>
          <w:szCs w:val="24"/>
        </w:rPr>
        <w:t xml:space="preserve">The Commission finds and concludes that the Company’s proposed amortization of the remaining net book value of units retired in the 2019 IRP, which is consistent with the Company’s treatment of other regulatory assets and liabilities is reasonable and appropriate. </w:t>
      </w:r>
    </w:p>
    <w:p w14:paraId="6E63B7AB" w14:textId="3DA2F73A" w:rsidR="00763BC9" w:rsidRPr="007B6E38" w:rsidRDefault="009D300B" w:rsidP="00763BC9">
      <w:pPr>
        <w:spacing w:before="240" w:after="240"/>
        <w:jc w:val="both"/>
        <w:rPr>
          <w:rFonts w:ascii="Times New Roman" w:hAnsi="Times New Roman"/>
          <w:b/>
          <w:szCs w:val="24"/>
        </w:rPr>
      </w:pPr>
      <w:r>
        <w:rPr>
          <w:rFonts w:ascii="Times New Roman" w:hAnsi="Times New Roman"/>
          <w:b/>
          <w:szCs w:val="24"/>
        </w:rPr>
        <w:t>E</w:t>
      </w:r>
      <w:r w:rsidR="00763BC9" w:rsidRPr="007B6E38">
        <w:rPr>
          <w:rFonts w:ascii="Times New Roman" w:hAnsi="Times New Roman"/>
          <w:b/>
          <w:szCs w:val="24"/>
        </w:rPr>
        <w:t xml:space="preserve">. </w:t>
      </w:r>
      <w:r w:rsidR="00763BC9" w:rsidRPr="007B6E38">
        <w:rPr>
          <w:rFonts w:ascii="Times New Roman" w:hAnsi="Times New Roman"/>
          <w:b/>
          <w:szCs w:val="24"/>
        </w:rPr>
        <w:tab/>
        <w:t>Cost Allocation</w:t>
      </w:r>
    </w:p>
    <w:p w14:paraId="064A1C49" w14:textId="532D6F13" w:rsidR="00763BC9" w:rsidRPr="007B6E38" w:rsidRDefault="00763BC9" w:rsidP="00763BC9">
      <w:pPr>
        <w:pStyle w:val="ListParagraph"/>
        <w:numPr>
          <w:ilvl w:val="0"/>
          <w:numId w:val="25"/>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 xml:space="preserve">Commission Determination Regarding Cost of Service Study. </w:t>
      </w:r>
    </w:p>
    <w:p w14:paraId="5F676679" w14:textId="6BBC3695" w:rsidR="00763BC9" w:rsidRPr="007B6E38" w:rsidRDefault="00763BC9" w:rsidP="005A77C8">
      <w:pPr>
        <w:ind w:firstLine="720"/>
        <w:jc w:val="both"/>
        <w:rPr>
          <w:rFonts w:ascii="Times New Roman" w:hAnsi="Times New Roman"/>
          <w:szCs w:val="24"/>
        </w:rPr>
      </w:pPr>
      <w:r w:rsidRPr="007B6E38">
        <w:rPr>
          <w:rFonts w:ascii="Times New Roman" w:hAnsi="Times New Roman"/>
          <w:szCs w:val="24"/>
        </w:rPr>
        <w:t xml:space="preserve">The Company filed its 2019 COSS consistent with the methodology used in prior Georgia Power rate cases. Georgia Power explained that it refined the methodology used in the 2013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ase to classify protection equipment as customer-related and to independently analyze the padmount transformers rather than continue to use overhead transformers as proxy. Georgia Power advocated for the continued use of the 12-CP and NCP methods for allocating costs at the transmission and distribution level costs, respectively. Further, the Company states that its COSS accurately reflect</w:t>
      </w:r>
      <w:r w:rsidR="005A77C8">
        <w:rPr>
          <w:rFonts w:ascii="Times New Roman" w:hAnsi="Times New Roman"/>
          <w:szCs w:val="24"/>
        </w:rPr>
        <w:t>s</w:t>
      </w:r>
      <w:r w:rsidRPr="007B6E38">
        <w:rPr>
          <w:rFonts w:ascii="Times New Roman" w:hAnsi="Times New Roman"/>
          <w:szCs w:val="24"/>
        </w:rPr>
        <w:t xml:space="preserve"> cost causation and can be used to judge the adequacy of rates with respect to the costs to serve and be used for rate design purposes. PIA Staff generally supports the Company’s COSS methodologies including use of the 12-CP method for generation-related fixed costs and a blended approach for high voltage transmission costs. </w:t>
      </w:r>
    </w:p>
    <w:p w14:paraId="1CD327C5" w14:textId="77777777" w:rsidR="00763BC9" w:rsidRPr="007B6E38" w:rsidRDefault="00763BC9" w:rsidP="00763BC9">
      <w:pPr>
        <w:ind w:firstLine="720"/>
        <w:jc w:val="both"/>
        <w:rPr>
          <w:rFonts w:ascii="Times New Roman" w:hAnsi="Times New Roman"/>
          <w:szCs w:val="24"/>
        </w:rPr>
      </w:pPr>
    </w:p>
    <w:p w14:paraId="6BA9750C" w14:textId="77777777" w:rsidR="00763BC9" w:rsidRPr="007B6E38" w:rsidRDefault="00763BC9" w:rsidP="00763BC9">
      <w:pPr>
        <w:ind w:firstLine="720"/>
        <w:jc w:val="both"/>
        <w:rPr>
          <w:rFonts w:ascii="Times New Roman" w:hAnsi="Times New Roman"/>
          <w:szCs w:val="24"/>
          <w:u w:val="single"/>
        </w:rPr>
      </w:pPr>
      <w:r w:rsidRPr="007B6E38">
        <w:rPr>
          <w:rFonts w:ascii="Times New Roman" w:hAnsi="Times New Roman"/>
          <w:szCs w:val="24"/>
        </w:rPr>
        <w:t xml:space="preserve">Based on the evidence presented and general agreement expressed by the parties, the Commission finds and concludes that the Company’s cost of service study is reflective of cost causation and is objective, fair, and equitable to the different groups of Georgia Power customers. The Company’s </w:t>
      </w:r>
      <w:r w:rsidRPr="007B6E38">
        <w:rPr>
          <w:rFonts w:ascii="Times New Roman" w:hAnsi="Times New Roman"/>
          <w:spacing w:val="-3"/>
          <w:szCs w:val="24"/>
        </w:rPr>
        <w:t>cost of service study provides a reasonable basis to functionalize, classify and allocate costs to customer classes. The Commission approves the Company’s COSS as filed by Company Witness Vogt.</w:t>
      </w:r>
    </w:p>
    <w:p w14:paraId="5EFC4E4F" w14:textId="0A47D5D7" w:rsidR="00763BC9" w:rsidRPr="007B6E38" w:rsidRDefault="00763BC9" w:rsidP="00763BC9">
      <w:pPr>
        <w:pStyle w:val="ListParagraph"/>
        <w:numPr>
          <w:ilvl w:val="0"/>
          <w:numId w:val="25"/>
        </w:numPr>
        <w:spacing w:before="240" w:after="240"/>
        <w:ind w:left="1440" w:hanging="720"/>
        <w:contextualSpacing w:val="0"/>
        <w:jc w:val="both"/>
        <w:rPr>
          <w:rFonts w:ascii="Times New Roman" w:hAnsi="Times New Roman"/>
          <w:b/>
          <w:szCs w:val="24"/>
        </w:rPr>
      </w:pPr>
      <w:r w:rsidRPr="007B6E38">
        <w:rPr>
          <w:rFonts w:ascii="Times New Roman" w:hAnsi="Times New Roman"/>
          <w:szCs w:val="24"/>
          <w:u w:val="single"/>
        </w:rPr>
        <w:t>Commission Determination Regarding Minimum Distribution System.</w:t>
      </w:r>
    </w:p>
    <w:p w14:paraId="10551DC5" w14:textId="187BC1FB"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The Company used the minimum distribution system (“MDS”) methodology in its COSS to separate customer-related distribution system costs from demand-related costs</w:t>
      </w:r>
      <w:r w:rsidR="005A77C8">
        <w:rPr>
          <w:rFonts w:ascii="Times New Roman" w:hAnsi="Times New Roman"/>
          <w:szCs w:val="24"/>
        </w:rPr>
        <w:t xml:space="preserve"> that</w:t>
      </w:r>
      <w:r w:rsidRPr="007B6E38">
        <w:rPr>
          <w:rFonts w:ascii="Times New Roman" w:hAnsi="Times New Roman"/>
          <w:szCs w:val="24"/>
        </w:rPr>
        <w:t xml:space="preserve"> customers place on the system. The Company explained that the MDS is a key input of </w:t>
      </w:r>
      <w:r w:rsidR="001E7674">
        <w:rPr>
          <w:rFonts w:ascii="Times New Roman" w:hAnsi="Times New Roman"/>
          <w:szCs w:val="24"/>
        </w:rPr>
        <w:t>its</w:t>
      </w:r>
      <w:r w:rsidRPr="007B6E38">
        <w:rPr>
          <w:rFonts w:ascii="Times New Roman" w:hAnsi="Times New Roman"/>
          <w:szCs w:val="24"/>
        </w:rPr>
        <w:t xml:space="preserve"> COSS as it separates the cost of line transformers, primary and secondary lines, and equipment, into demand-related costs, which are directly related to customer’s peak load requirements, and customer-related costs, which are independent of customers’ peak load requirements. Company </w:t>
      </w:r>
      <w:r w:rsidR="001E7674">
        <w:rPr>
          <w:rFonts w:ascii="Times New Roman" w:hAnsi="Times New Roman"/>
          <w:szCs w:val="24"/>
        </w:rPr>
        <w:t>W</w:t>
      </w:r>
      <w:r w:rsidRPr="007B6E38">
        <w:rPr>
          <w:rFonts w:ascii="Times New Roman" w:hAnsi="Times New Roman"/>
          <w:szCs w:val="24"/>
        </w:rPr>
        <w:t xml:space="preserve">itness Vogt explained that Bonbright, NARUC, and several utilities around the country acknowledge MDS as an acceptable method for allocating customer-related distribution costs. </w:t>
      </w:r>
    </w:p>
    <w:p w14:paraId="2C63C5B7" w14:textId="77777777" w:rsidR="00763BC9" w:rsidRPr="007B6E38" w:rsidRDefault="00763BC9" w:rsidP="00763BC9">
      <w:pPr>
        <w:ind w:firstLine="720"/>
        <w:jc w:val="both"/>
        <w:rPr>
          <w:rFonts w:ascii="Times New Roman" w:hAnsi="Times New Roman"/>
          <w:szCs w:val="24"/>
        </w:rPr>
      </w:pPr>
    </w:p>
    <w:p w14:paraId="0AA4CB56" w14:textId="079E8845"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PIA Staff</w:t>
      </w:r>
      <w:r w:rsidR="005A77C8">
        <w:rPr>
          <w:rFonts w:ascii="Times New Roman" w:hAnsi="Times New Roman"/>
          <w:szCs w:val="24"/>
        </w:rPr>
        <w:t xml:space="preserve">, </w:t>
      </w:r>
      <w:r w:rsidRPr="007B6E38">
        <w:rPr>
          <w:rFonts w:ascii="Times New Roman" w:hAnsi="Times New Roman"/>
          <w:szCs w:val="24"/>
        </w:rPr>
        <w:t>GIPL/Southface/Vote Solar</w:t>
      </w:r>
      <w:r w:rsidR="005A77C8">
        <w:rPr>
          <w:rFonts w:ascii="Times New Roman" w:hAnsi="Times New Roman"/>
          <w:szCs w:val="24"/>
        </w:rPr>
        <w:t>,</w:t>
      </w:r>
      <w:r w:rsidRPr="007B6E38">
        <w:rPr>
          <w:rFonts w:ascii="Times New Roman" w:hAnsi="Times New Roman"/>
          <w:szCs w:val="24"/>
        </w:rPr>
        <w:t xml:space="preserve"> and Sierra Club recommended that the Commission require that the Company use the Basic Customer Method instead of MDS. PIA Staff disagreed with the Company’s use of MDS for determining distribution costs caused by the need to serve customers separate from customer demand placed on the system. Citing Bonbright, </w:t>
      </w:r>
      <w:r w:rsidR="001E7674">
        <w:rPr>
          <w:rFonts w:ascii="Times New Roman" w:hAnsi="Times New Roman"/>
          <w:szCs w:val="24"/>
        </w:rPr>
        <w:t xml:space="preserve">PIA </w:t>
      </w:r>
      <w:r w:rsidRPr="007B6E38">
        <w:rPr>
          <w:rFonts w:ascii="Times New Roman" w:hAnsi="Times New Roman"/>
          <w:szCs w:val="24"/>
        </w:rPr>
        <w:t xml:space="preserve">Staff faults the MDS technique because it does not vary with the number of customers and loads customers with more fixed system costs. </w:t>
      </w:r>
      <w:r w:rsidR="001E7674">
        <w:rPr>
          <w:rFonts w:ascii="Times New Roman" w:hAnsi="Times New Roman"/>
          <w:szCs w:val="24"/>
        </w:rPr>
        <w:t xml:space="preserve">PIA </w:t>
      </w:r>
      <w:r w:rsidRPr="007B6E38">
        <w:rPr>
          <w:rFonts w:ascii="Times New Roman" w:hAnsi="Times New Roman"/>
          <w:szCs w:val="24"/>
        </w:rPr>
        <w:t xml:space="preserve">Staff estimated that close to $8 of the $20.87/month customer costs calculated in the COSS are MDS related. </w:t>
      </w:r>
      <w:r w:rsidR="001E7674">
        <w:rPr>
          <w:rFonts w:ascii="Times New Roman" w:hAnsi="Times New Roman"/>
          <w:szCs w:val="24"/>
        </w:rPr>
        <w:t xml:space="preserve">PIA </w:t>
      </w:r>
      <w:r w:rsidRPr="007B6E38">
        <w:rPr>
          <w:rFonts w:ascii="Times New Roman" w:hAnsi="Times New Roman"/>
          <w:szCs w:val="24"/>
        </w:rPr>
        <w:t xml:space="preserve">Staff recommended the Company remove the allocation of the MDS costs to customer service or strip out the MDS effects on the monthly basic service charge it proposes. </w:t>
      </w:r>
    </w:p>
    <w:p w14:paraId="6F194B27" w14:textId="77777777" w:rsidR="00763BC9" w:rsidRPr="007B6E38" w:rsidRDefault="00763BC9">
      <w:pPr>
        <w:ind w:firstLine="720"/>
        <w:jc w:val="both"/>
        <w:rPr>
          <w:rFonts w:ascii="Times New Roman" w:hAnsi="Times New Roman"/>
          <w:szCs w:val="24"/>
        </w:rPr>
      </w:pPr>
    </w:p>
    <w:p w14:paraId="3864F7C0" w14:textId="11B26898"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The Company’s rebuttal testimony explained that MDS is more comprehensive than the Basic Customer Method. According to the Company,</w:t>
      </w:r>
      <w:r w:rsidR="005A77C8">
        <w:rPr>
          <w:rFonts w:ascii="Times New Roman" w:hAnsi="Times New Roman"/>
          <w:szCs w:val="24"/>
        </w:rPr>
        <w:t xml:space="preserve"> MDS</w:t>
      </w:r>
      <w:r w:rsidRPr="007B6E38">
        <w:rPr>
          <w:rFonts w:ascii="Times New Roman" w:hAnsi="Times New Roman"/>
          <w:szCs w:val="24"/>
        </w:rPr>
        <w:t xml:space="preserve"> includes the costs identified using the Basic Customer Method, and also includes the cost of equipment necessary to provide safe and reliable service, which is not based on a customer’s demand and should be allocated as customer-related. (</w:t>
      </w:r>
      <w:r w:rsidRPr="007B6E38">
        <w:rPr>
          <w:rFonts w:ascii="Times New Roman" w:hAnsi="Times New Roman"/>
          <w:szCs w:val="24"/>
          <w:u w:val="single"/>
        </w:rPr>
        <w:t>See</w:t>
      </w:r>
      <w:r w:rsidRPr="007B6E38">
        <w:rPr>
          <w:rFonts w:ascii="Times New Roman" w:hAnsi="Times New Roman"/>
          <w:szCs w:val="24"/>
        </w:rPr>
        <w:t xml:space="preserve"> Tr. 2870.) The Company opposes classifying or collecting fixed customer-related costs through the variable energy portion of customer rates. The Company requests permission to continue relying upon the MDS methodology arguing that this approach yields a fair and equitable assignment of costs to customers. </w:t>
      </w:r>
    </w:p>
    <w:p w14:paraId="14815FD6" w14:textId="77777777" w:rsidR="00763BC9" w:rsidRPr="007B6E38" w:rsidRDefault="00763BC9" w:rsidP="00763BC9">
      <w:pPr>
        <w:jc w:val="both"/>
        <w:rPr>
          <w:rFonts w:ascii="Times New Roman" w:hAnsi="Times New Roman"/>
          <w:szCs w:val="24"/>
        </w:rPr>
      </w:pPr>
    </w:p>
    <w:p w14:paraId="42465B7A" w14:textId="2549CAF1" w:rsidR="00763BC9" w:rsidRPr="007B6E38" w:rsidRDefault="005A77C8" w:rsidP="00763BC9">
      <w:pPr>
        <w:ind w:firstLine="720"/>
        <w:jc w:val="both"/>
        <w:rPr>
          <w:rFonts w:ascii="Times New Roman" w:hAnsi="Times New Roman"/>
          <w:spacing w:val="-3"/>
          <w:szCs w:val="24"/>
        </w:rPr>
      </w:pPr>
      <w:r>
        <w:rPr>
          <w:rFonts w:ascii="Times New Roman" w:hAnsi="Times New Roman"/>
          <w:spacing w:val="-3"/>
          <w:szCs w:val="24"/>
        </w:rPr>
        <w:t>After considering the parties’</w:t>
      </w:r>
      <w:r w:rsidR="00763BC9" w:rsidRPr="007B6E38">
        <w:rPr>
          <w:rFonts w:ascii="Times New Roman" w:hAnsi="Times New Roman"/>
          <w:spacing w:val="-3"/>
          <w:szCs w:val="24"/>
        </w:rPr>
        <w:t xml:space="preserve"> testimony and all of the evidence presented, the Commission approves the Company’s continued use of </w:t>
      </w:r>
      <w:r>
        <w:rPr>
          <w:rFonts w:ascii="Times New Roman" w:hAnsi="Times New Roman"/>
          <w:spacing w:val="-3"/>
          <w:szCs w:val="24"/>
        </w:rPr>
        <w:t>the MDS methodology</w:t>
      </w:r>
      <w:r w:rsidR="00763BC9" w:rsidRPr="007B6E38">
        <w:rPr>
          <w:rFonts w:ascii="Times New Roman" w:hAnsi="Times New Roman"/>
          <w:spacing w:val="-3"/>
          <w:szCs w:val="24"/>
        </w:rPr>
        <w:t xml:space="preserve"> to determine the customer-related portion of distribution costs. The Company has consistently relied upon this methodology in prior filings before this Commission and the Commission is satisfied that the </w:t>
      </w:r>
      <w:r>
        <w:rPr>
          <w:rFonts w:ascii="Times New Roman" w:hAnsi="Times New Roman"/>
          <w:spacing w:val="-3"/>
          <w:szCs w:val="24"/>
        </w:rPr>
        <w:t>MDS</w:t>
      </w:r>
      <w:r w:rsidR="00763BC9" w:rsidRPr="007B6E38">
        <w:rPr>
          <w:rFonts w:ascii="Times New Roman" w:hAnsi="Times New Roman"/>
          <w:spacing w:val="-3"/>
          <w:szCs w:val="24"/>
        </w:rPr>
        <w:t xml:space="preserve"> properly aligns with cost causation principles. </w:t>
      </w:r>
    </w:p>
    <w:p w14:paraId="20301CC8" w14:textId="77777777" w:rsidR="00763BC9" w:rsidRPr="007B6E38" w:rsidRDefault="00763BC9" w:rsidP="00763BC9">
      <w:pPr>
        <w:pStyle w:val="ListParagraph"/>
        <w:numPr>
          <w:ilvl w:val="0"/>
          <w:numId w:val="25"/>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on Basic Service Charge.</w:t>
      </w:r>
    </w:p>
    <w:p w14:paraId="70CCE6BE"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Georgia Power proposes to increase the Basic Service Charge (“BSC”) for the Domestic Group from $10 to $14.95 in the first year and then to $17.95 by year three of the Company’s proposed ARP. The Company explained that it tailored this approach to specifically support a gradual transition and to help mitigate the impact to customer bills from the rate design change. For all rates, the Company moved the BSC toward the related costs in the COSS. </w:t>
      </w:r>
    </w:p>
    <w:p w14:paraId="7FBCE8CD" w14:textId="77777777" w:rsidR="00763BC9" w:rsidRPr="007B6E38" w:rsidRDefault="00763BC9" w:rsidP="00763BC9">
      <w:pPr>
        <w:ind w:firstLine="360"/>
        <w:jc w:val="both"/>
        <w:rPr>
          <w:rFonts w:ascii="Times New Roman" w:hAnsi="Times New Roman"/>
          <w:szCs w:val="24"/>
        </w:rPr>
      </w:pPr>
    </w:p>
    <w:p w14:paraId="0D3C0254" w14:textId="325FDF87"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 xml:space="preserve">Regarding the BSC, PIA Staff recommends that any BSC increase be phased in to reflect an even dollar increase over a three-year period rather than the Company’s accelerated proposal. A more evenly-distributed increase would achieve a greater level of stability in customer bills from year to year and better align with the principle of gradualism. PIA Staff does not support the Company’s request to prorate the BSC on a daily basis. PIA Staff evaluated three BSC options: (1) remove MDS from BSC (reduces back to current $10/month); (2) strip out the MDS component by percentage of total cost (equates to $11.25/month); or (3) strip out the MDS component from the COSS calculated cost to serve the domestic group (equates to $13.08/month). PIA Staff recommends either option 2 or 3 and supports a BSC ranging from </w:t>
      </w:r>
      <w:r w:rsidR="005A77C8">
        <w:rPr>
          <w:rFonts w:ascii="Times New Roman" w:hAnsi="Times New Roman"/>
          <w:szCs w:val="24"/>
        </w:rPr>
        <w:t>$</w:t>
      </w:r>
      <w:r w:rsidRPr="007B6E38">
        <w:rPr>
          <w:rFonts w:ascii="Times New Roman" w:hAnsi="Times New Roman"/>
          <w:szCs w:val="24"/>
        </w:rPr>
        <w:t xml:space="preserve">10-12/month. </w:t>
      </w:r>
    </w:p>
    <w:p w14:paraId="5231FBC0" w14:textId="77777777" w:rsidR="00763BC9" w:rsidRPr="007B6E38" w:rsidRDefault="00763BC9" w:rsidP="00763BC9">
      <w:pPr>
        <w:ind w:firstLine="360"/>
        <w:jc w:val="both"/>
        <w:rPr>
          <w:rFonts w:ascii="Times New Roman" w:hAnsi="Times New Roman"/>
          <w:szCs w:val="24"/>
        </w:rPr>
      </w:pPr>
    </w:p>
    <w:p w14:paraId="6293C72B" w14:textId="48A301F1"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Sierra Club Witness</w:t>
      </w:r>
      <w:r w:rsidR="001E7674">
        <w:rPr>
          <w:rFonts w:ascii="Times New Roman" w:hAnsi="Times New Roman"/>
          <w:szCs w:val="24"/>
        </w:rPr>
        <w:t>es</w:t>
      </w:r>
      <w:r w:rsidRPr="007B6E38">
        <w:rPr>
          <w:rFonts w:ascii="Times New Roman" w:hAnsi="Times New Roman"/>
          <w:szCs w:val="24"/>
        </w:rPr>
        <w:t xml:space="preserve"> Melissa Whited and Ben Havumaki recommend the Commission reject the Company’s proposed increase in the BSC and retain the existing $10.00 BSC to: (1) avoid rate shock, (2) protect low-income and low-usage customers, (3) encourage adoption of efficient technologies and distributed generation, and (4) allow customers greater control over their bills.</w:t>
      </w:r>
    </w:p>
    <w:p w14:paraId="4BD54942" w14:textId="77777777" w:rsidR="00763BC9" w:rsidRPr="007B6E38" w:rsidRDefault="00763BC9" w:rsidP="00763BC9">
      <w:pPr>
        <w:jc w:val="both"/>
        <w:rPr>
          <w:rFonts w:ascii="Times New Roman" w:hAnsi="Times New Roman"/>
          <w:spacing w:val="-3"/>
          <w:szCs w:val="24"/>
        </w:rPr>
      </w:pPr>
    </w:p>
    <w:p w14:paraId="5068387A" w14:textId="725256B4" w:rsidR="00763BC9" w:rsidRPr="007B6E38" w:rsidRDefault="005A77C8" w:rsidP="00763BC9">
      <w:pPr>
        <w:ind w:firstLine="720"/>
        <w:jc w:val="both"/>
        <w:rPr>
          <w:rFonts w:ascii="Times New Roman" w:hAnsi="Times New Roman"/>
          <w:spacing w:val="-3"/>
          <w:szCs w:val="24"/>
        </w:rPr>
      </w:pPr>
      <w:r>
        <w:rPr>
          <w:rFonts w:ascii="Times New Roman" w:hAnsi="Times New Roman"/>
          <w:spacing w:val="-3"/>
          <w:szCs w:val="24"/>
        </w:rPr>
        <w:t>After considering</w:t>
      </w:r>
      <w:r w:rsidR="00763BC9" w:rsidRPr="007B6E38">
        <w:rPr>
          <w:rFonts w:ascii="Times New Roman" w:hAnsi="Times New Roman"/>
          <w:spacing w:val="-3"/>
          <w:szCs w:val="24"/>
        </w:rPr>
        <w:t xml:space="preserve"> the parties’ testimony and all of the evidence presented, the Commission finds and concludes that the Company’s proposed BSC increases are just and reasonable and strike an appropriate balance to provide rates that more clearly reflect actual cost causation, minimize subsidization, and provide proper price signals to customers in the rate class, while also moderating the impact of such increase on low-usage customers. </w:t>
      </w:r>
      <w:r w:rsidR="00763BC9" w:rsidRPr="007B6E38">
        <w:rPr>
          <w:rFonts w:ascii="Times New Roman" w:hAnsi="Times New Roman"/>
          <w:szCs w:val="24"/>
        </w:rPr>
        <w:t xml:space="preserve">As in prior rate cases, the parties in the present case filed testimony advocating various methodologies for cost allocation and various rate designs favorable to each party’s interests. In light of the reasonable allocation of costs and rate design contemplated, the Commission finds that the allocation of costs and rate design contemplated and specified </w:t>
      </w:r>
      <w:r>
        <w:rPr>
          <w:rFonts w:ascii="Times New Roman" w:hAnsi="Times New Roman"/>
          <w:szCs w:val="24"/>
        </w:rPr>
        <w:t xml:space="preserve">by Georgia Power </w:t>
      </w:r>
      <w:r w:rsidR="00763BC9" w:rsidRPr="007B6E38">
        <w:rPr>
          <w:rFonts w:ascii="Times New Roman" w:hAnsi="Times New Roman"/>
          <w:szCs w:val="24"/>
        </w:rPr>
        <w:t xml:space="preserve">are reasonable and in the best interests of all customer groups. </w:t>
      </w:r>
    </w:p>
    <w:p w14:paraId="494B6F72" w14:textId="34A66867" w:rsidR="00763BC9" w:rsidRPr="007B6E38" w:rsidRDefault="00D82971" w:rsidP="00763BC9">
      <w:pPr>
        <w:spacing w:before="240" w:after="240"/>
        <w:jc w:val="both"/>
        <w:rPr>
          <w:rFonts w:ascii="Times New Roman" w:hAnsi="Times New Roman"/>
          <w:b/>
          <w:szCs w:val="24"/>
        </w:rPr>
      </w:pPr>
      <w:r>
        <w:rPr>
          <w:rFonts w:ascii="Times New Roman" w:hAnsi="Times New Roman"/>
          <w:b/>
          <w:szCs w:val="24"/>
        </w:rPr>
        <w:t>F</w:t>
      </w:r>
      <w:r w:rsidR="00763BC9" w:rsidRPr="007B6E38">
        <w:rPr>
          <w:rFonts w:ascii="Times New Roman" w:hAnsi="Times New Roman"/>
          <w:b/>
          <w:szCs w:val="24"/>
        </w:rPr>
        <w:t xml:space="preserve">. </w:t>
      </w:r>
      <w:r w:rsidR="00763BC9" w:rsidRPr="007B6E38">
        <w:rPr>
          <w:rFonts w:ascii="Times New Roman" w:hAnsi="Times New Roman"/>
          <w:b/>
          <w:szCs w:val="24"/>
        </w:rPr>
        <w:tab/>
        <w:t xml:space="preserve">Rate Design </w:t>
      </w:r>
    </w:p>
    <w:p w14:paraId="6DFF3B0F" w14:textId="38C1F383" w:rsidR="00763BC9" w:rsidRPr="007B6E38" w:rsidRDefault="00763BC9" w:rsidP="00763BC9">
      <w:pPr>
        <w:tabs>
          <w:tab w:val="left" w:pos="-1080"/>
          <w:tab w:val="left" w:pos="-720"/>
          <w:tab w:val="left" w:pos="0"/>
          <w:tab w:val="left" w:pos="720"/>
          <w:tab w:val="left" w:pos="6480"/>
          <w:tab w:val="left" w:pos="8640"/>
        </w:tabs>
        <w:suppressAutoHyphens/>
        <w:jc w:val="both"/>
        <w:rPr>
          <w:rFonts w:ascii="Times New Roman" w:hAnsi="Times New Roman"/>
          <w:szCs w:val="24"/>
        </w:rPr>
      </w:pPr>
      <w:r w:rsidRPr="007B6E38">
        <w:rPr>
          <w:rFonts w:ascii="Times New Roman" w:hAnsi="Times New Roman"/>
          <w:szCs w:val="24"/>
        </w:rPr>
        <w:tab/>
        <w:t xml:space="preserve">Company Witness Larry Legg provided testimony regarding the Company’s existing tariffs and its proposed changes to rate design. The Company testified that its portfolio of rates proposed in the 2019 </w:t>
      </w:r>
      <w:r w:rsidR="00824511">
        <w:rPr>
          <w:rFonts w:ascii="Times New Roman" w:hAnsi="Times New Roman"/>
          <w:szCs w:val="24"/>
        </w:rPr>
        <w:t>R</w:t>
      </w:r>
      <w:r w:rsidRPr="007B6E38">
        <w:rPr>
          <w:rFonts w:ascii="Times New Roman" w:hAnsi="Times New Roman"/>
          <w:szCs w:val="24"/>
        </w:rPr>
        <w:t xml:space="preserve">ate </w:t>
      </w:r>
      <w:r w:rsidR="00824511">
        <w:rPr>
          <w:rFonts w:ascii="Times New Roman" w:hAnsi="Times New Roman"/>
          <w:szCs w:val="24"/>
        </w:rPr>
        <w:t>C</w:t>
      </w:r>
      <w:r w:rsidRPr="007B6E38">
        <w:rPr>
          <w:rFonts w:ascii="Times New Roman" w:hAnsi="Times New Roman"/>
          <w:szCs w:val="24"/>
        </w:rPr>
        <w:t xml:space="preserve">ase filing offer optionality for customers while supporting a gradual move toward more modern rates. PIA Staff and several </w:t>
      </w:r>
      <w:r w:rsidR="00E86C6F">
        <w:rPr>
          <w:rFonts w:ascii="Times New Roman" w:hAnsi="Times New Roman"/>
          <w:szCs w:val="24"/>
        </w:rPr>
        <w:t>I</w:t>
      </w:r>
      <w:r w:rsidRPr="007B6E38">
        <w:rPr>
          <w:rFonts w:ascii="Times New Roman" w:hAnsi="Times New Roman"/>
          <w:szCs w:val="24"/>
        </w:rPr>
        <w:t xml:space="preserve">ntervenors provided testimony on various rate design issues in this proceeding, as discussed below. Having considered the testimony and exhibits of each witness and the entire record in this proceeding, the Commission makes its findings and conclusions on each of the issues set forth below. </w:t>
      </w:r>
    </w:p>
    <w:p w14:paraId="738995B3" w14:textId="27627B1D" w:rsidR="00763BC9" w:rsidRPr="007B6E38" w:rsidRDefault="00763BC9" w:rsidP="00763BC9">
      <w:pPr>
        <w:pStyle w:val="ListParagraph"/>
        <w:numPr>
          <w:ilvl w:val="0"/>
          <w:numId w:val="29"/>
        </w:numPr>
        <w:spacing w:before="240" w:after="240"/>
        <w:ind w:left="1440" w:hanging="720"/>
        <w:contextualSpacing w:val="0"/>
        <w:jc w:val="both"/>
        <w:rPr>
          <w:rFonts w:ascii="Times New Roman" w:hAnsi="Times New Roman"/>
          <w:szCs w:val="24"/>
        </w:rPr>
      </w:pPr>
      <w:r w:rsidRPr="007B6E38">
        <w:rPr>
          <w:rFonts w:ascii="Times New Roman" w:hAnsi="Times New Roman"/>
          <w:szCs w:val="24"/>
          <w:u w:val="single"/>
        </w:rPr>
        <w:t>Residential Rate Design</w:t>
      </w:r>
      <w:r w:rsidRPr="007B6E38">
        <w:rPr>
          <w:rFonts w:ascii="Times New Roman" w:hAnsi="Times New Roman"/>
          <w:szCs w:val="24"/>
        </w:rPr>
        <w:t>.</w:t>
      </w:r>
    </w:p>
    <w:p w14:paraId="0040D98F" w14:textId="6F000B43" w:rsidR="00763BC9" w:rsidRPr="007B6E38" w:rsidRDefault="00763BC9" w:rsidP="00763BC9">
      <w:pPr>
        <w:spacing w:before="240" w:after="240"/>
        <w:ind w:left="1440"/>
        <w:jc w:val="both"/>
        <w:rPr>
          <w:rFonts w:ascii="Times New Roman" w:hAnsi="Times New Roman"/>
          <w:szCs w:val="24"/>
        </w:rPr>
      </w:pPr>
      <w:r w:rsidRPr="007B6E38">
        <w:rPr>
          <w:rFonts w:ascii="Times New Roman" w:hAnsi="Times New Roman"/>
          <w:szCs w:val="24"/>
        </w:rPr>
        <w:t xml:space="preserve"> a.</w:t>
      </w:r>
      <w:r w:rsidRPr="007B6E38">
        <w:rPr>
          <w:rFonts w:ascii="Times New Roman" w:hAnsi="Times New Roman"/>
          <w:szCs w:val="24"/>
        </w:rPr>
        <w:tab/>
        <w:t>Closing the Residential Service (R) Rate to New Premises</w:t>
      </w:r>
      <w:r w:rsidR="00D82971">
        <w:rPr>
          <w:rFonts w:ascii="Times New Roman" w:hAnsi="Times New Roman"/>
          <w:szCs w:val="24"/>
        </w:rPr>
        <w:t>.</w:t>
      </w:r>
    </w:p>
    <w:p w14:paraId="52E6FB38" w14:textId="25B0E931"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Georgia Power requested to begin transitioning away from the more antiquated, volumetric option of the Residential Service (R) tariff (“the ‘R’ Rate”) toward more modern rates. As a first, step, the Company proposed to close the R Rate to new premises. The Company argued that by closing the R Rate to new premises, the Company will begin to establish new residential accounts on other rates within the Domestic Group that better align with the cost to serve customers. If approved, customers establishing service at new premises will be able to select from four of the most modern rate options. Then, after the initial year of service at those new premises, customers will be eligible for two additional rates. The R Rate would remain available to existing residential premises on the Georgia Power system that established service prior to January 2020. The Company proposed </w:t>
      </w:r>
      <w:r w:rsidR="0012743F">
        <w:rPr>
          <w:rFonts w:ascii="Times New Roman" w:hAnsi="Times New Roman"/>
          <w:szCs w:val="24"/>
        </w:rPr>
        <w:t>that</w:t>
      </w:r>
      <w:r w:rsidRPr="007B6E38">
        <w:rPr>
          <w:rFonts w:ascii="Times New Roman" w:hAnsi="Times New Roman"/>
          <w:szCs w:val="24"/>
        </w:rPr>
        <w:t xml:space="preserve"> the TOU-RD rate be the new default rate. </w:t>
      </w:r>
    </w:p>
    <w:p w14:paraId="02407D00"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PIA Staff opposed the Company’s recommendation to close the R Rate to new premises. PIA Staff argued that while it supports marketing and education to grow customer adoption of modern rates it does not support the utility eliminating customer choice in rates. PIA Staff asserted that the TOU-RD rate would be a poor default rate for residential customers because customers don’t have enough information or education to appropriately minimize their bills on such a rate. If the R Rate is closed to new premises, PIA Staff supported using the TOU-REO rate as a more appropriate default rate for customers.</w:t>
      </w:r>
    </w:p>
    <w:p w14:paraId="7F0808D7" w14:textId="77777777" w:rsidR="00763BC9" w:rsidRPr="007B6E38" w:rsidRDefault="00763BC9" w:rsidP="00D82971">
      <w:pPr>
        <w:spacing w:before="240" w:after="240"/>
        <w:ind w:left="720" w:firstLine="720"/>
        <w:jc w:val="both"/>
        <w:rPr>
          <w:rFonts w:ascii="Times New Roman" w:hAnsi="Times New Roman"/>
          <w:szCs w:val="24"/>
        </w:rPr>
      </w:pPr>
      <w:r w:rsidRPr="007B6E38">
        <w:rPr>
          <w:rFonts w:ascii="Times New Roman" w:hAnsi="Times New Roman"/>
          <w:szCs w:val="24"/>
        </w:rPr>
        <w:t>b.</w:t>
      </w:r>
      <w:r w:rsidRPr="007B6E38">
        <w:rPr>
          <w:rFonts w:ascii="Times New Roman" w:hAnsi="Times New Roman"/>
          <w:szCs w:val="24"/>
        </w:rPr>
        <w:tab/>
        <w:t xml:space="preserve">Modifications to the R Rate. </w:t>
      </w:r>
    </w:p>
    <w:p w14:paraId="7B7E5D19" w14:textId="78434A90" w:rsidR="00763BC9" w:rsidRPr="007B6E38" w:rsidRDefault="00763BC9" w:rsidP="0012743F">
      <w:pPr>
        <w:ind w:firstLine="720"/>
        <w:jc w:val="both"/>
        <w:rPr>
          <w:rFonts w:ascii="Times New Roman" w:hAnsi="Times New Roman"/>
          <w:szCs w:val="24"/>
        </w:rPr>
      </w:pPr>
      <w:r w:rsidRPr="007B6E38">
        <w:rPr>
          <w:rFonts w:ascii="Times New Roman" w:hAnsi="Times New Roman"/>
          <w:szCs w:val="24"/>
        </w:rPr>
        <w:t xml:space="preserve">PIA Staff proposed several modifications to the ‘R’ Rate. Staff argues that the Company’s retention of a declining winter block rate on the ‘R’ rate incents wintertime usage in conflict with the Company’s winter seasonal planning posture and winter system cost structure. PIA Staff argued the Company should revise its wintertime declining block rates to a flat energy rate and evaluate for the next rate case whether an inclining block rate similar to summertime usage should be implemented for the ‘R’ and TOU-RD rates. PIA Staff also argued the Company should reexamine and restructure its ‘R’ rate block breakpoints or usage tiers in its next rate case. GIPL/Southface/Vote Solar Witnesses Fitch and Gillam argue that Georgia Power should eliminate the non-summer declining block portion and replace it with a flat tariff. </w:t>
      </w:r>
    </w:p>
    <w:p w14:paraId="39C67FD1" w14:textId="77777777" w:rsidR="00763BC9" w:rsidRPr="007B6E38" w:rsidRDefault="00763BC9" w:rsidP="00763BC9">
      <w:pPr>
        <w:spacing w:before="240" w:after="240"/>
        <w:ind w:left="720" w:firstLine="720"/>
        <w:jc w:val="both"/>
        <w:rPr>
          <w:rFonts w:ascii="Times New Roman" w:hAnsi="Times New Roman"/>
          <w:szCs w:val="24"/>
        </w:rPr>
      </w:pPr>
      <w:r w:rsidRPr="007B6E38">
        <w:rPr>
          <w:rFonts w:ascii="Times New Roman" w:hAnsi="Times New Roman"/>
          <w:szCs w:val="24"/>
        </w:rPr>
        <w:t>c.</w:t>
      </w:r>
      <w:r w:rsidRPr="007B6E38">
        <w:rPr>
          <w:rFonts w:ascii="Times New Roman" w:hAnsi="Times New Roman"/>
          <w:szCs w:val="24"/>
        </w:rPr>
        <w:tab/>
        <w:t>Time of Use – Residential Demand (“TOU-RD”)</w:t>
      </w:r>
    </w:p>
    <w:p w14:paraId="0F2258F5"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The Company proposed to modify the TOU-RD Billing Demand interval from the highest 30-minute kW measurement to the highest 60-minute kW measurement during the current month, asserting that a longer demand interval provides a more stable bill for customers. PIA Staff disagrees with setting the demand charge billing determinant in TOU-RD based on non-coincident peak demands whenever they occur and recommended instead that the demand billing determinant be set on a short pre-defined window during which the Georgia Power system is virtually certain to peak. </w:t>
      </w:r>
    </w:p>
    <w:p w14:paraId="33BB754A" w14:textId="77777777" w:rsidR="00763BC9" w:rsidRPr="007B6E38" w:rsidRDefault="00763BC9" w:rsidP="00763BC9">
      <w:pPr>
        <w:ind w:firstLine="360"/>
        <w:jc w:val="both"/>
        <w:rPr>
          <w:rFonts w:ascii="Times New Roman" w:hAnsi="Times New Roman"/>
          <w:szCs w:val="24"/>
        </w:rPr>
      </w:pPr>
      <w:r w:rsidRPr="007B6E38">
        <w:rPr>
          <w:rFonts w:ascii="Times New Roman" w:hAnsi="Times New Roman"/>
          <w:szCs w:val="24"/>
        </w:rPr>
        <w:tab/>
      </w:r>
      <w:r w:rsidRPr="007B6E38">
        <w:rPr>
          <w:rFonts w:ascii="Times New Roman" w:hAnsi="Times New Roman"/>
          <w:szCs w:val="24"/>
        </w:rPr>
        <w:tab/>
        <w:t>d.</w:t>
      </w:r>
      <w:r w:rsidRPr="007B6E38">
        <w:rPr>
          <w:rFonts w:ascii="Times New Roman" w:hAnsi="Times New Roman"/>
          <w:szCs w:val="24"/>
        </w:rPr>
        <w:tab/>
        <w:t>FlatBill</w:t>
      </w:r>
    </w:p>
    <w:p w14:paraId="398F59E5" w14:textId="77777777" w:rsidR="00763BC9" w:rsidRPr="007B6E38" w:rsidRDefault="00763BC9" w:rsidP="00763BC9">
      <w:pPr>
        <w:ind w:firstLine="360"/>
        <w:jc w:val="both"/>
        <w:rPr>
          <w:rFonts w:ascii="Times New Roman" w:hAnsi="Times New Roman"/>
          <w:szCs w:val="24"/>
        </w:rPr>
      </w:pPr>
    </w:p>
    <w:p w14:paraId="4B788101" w14:textId="099D6435" w:rsidR="00763BC9" w:rsidRPr="007B6E38" w:rsidRDefault="00763BC9" w:rsidP="00763BC9">
      <w:pPr>
        <w:ind w:firstLine="720"/>
        <w:jc w:val="both"/>
        <w:rPr>
          <w:rFonts w:ascii="Times New Roman" w:hAnsi="Times New Roman"/>
          <w:szCs w:val="24"/>
        </w:rPr>
      </w:pPr>
      <w:r w:rsidRPr="007B6E38">
        <w:rPr>
          <w:rFonts w:ascii="Times New Roman" w:hAnsi="Times New Roman"/>
          <w:szCs w:val="24"/>
        </w:rPr>
        <w:t>The Company proposes to remove the requirement that a customer must have 12 months of usage history at their current residence</w:t>
      </w:r>
      <w:r w:rsidR="00B00FAE">
        <w:rPr>
          <w:rFonts w:ascii="Times New Roman" w:hAnsi="Times New Roman"/>
          <w:szCs w:val="24"/>
        </w:rPr>
        <w:t>, which would</w:t>
      </w:r>
      <w:r w:rsidRPr="007B6E38">
        <w:rPr>
          <w:rFonts w:ascii="Times New Roman" w:hAnsi="Times New Roman"/>
          <w:szCs w:val="24"/>
        </w:rPr>
        <w:t xml:space="preserve"> allow the Company to expand this popular rate option by making it available sooner. PIA Staff opposed the Company removing this requirement because it would risk customers being over-billed or under-billed if a new FlatBill customer could be charged monthly based on another household’s previous </w:t>
      </w:r>
      <w:r w:rsidR="003F04C1" w:rsidRPr="007B6E38">
        <w:rPr>
          <w:rFonts w:ascii="Times New Roman" w:hAnsi="Times New Roman"/>
          <w:szCs w:val="24"/>
        </w:rPr>
        <w:t>12-month</w:t>
      </w:r>
      <w:r w:rsidRPr="007B6E38">
        <w:rPr>
          <w:rFonts w:ascii="Times New Roman" w:hAnsi="Times New Roman"/>
          <w:szCs w:val="24"/>
        </w:rPr>
        <w:t xml:space="preserve"> usage. PIA Staff support a Budget Billing option with a monthly true-up in lieu of the Company’s FlatBill option.</w:t>
      </w:r>
    </w:p>
    <w:p w14:paraId="68F9E2E5" w14:textId="77777777" w:rsidR="00763BC9" w:rsidRPr="007B6E38" w:rsidRDefault="00763BC9" w:rsidP="00763BC9">
      <w:pPr>
        <w:ind w:left="720" w:firstLine="720"/>
        <w:jc w:val="both"/>
        <w:rPr>
          <w:rFonts w:ascii="Times New Roman" w:hAnsi="Times New Roman"/>
          <w:szCs w:val="24"/>
        </w:rPr>
      </w:pPr>
    </w:p>
    <w:p w14:paraId="55825BBC" w14:textId="77777777" w:rsidR="00763BC9" w:rsidRPr="007B6E38" w:rsidRDefault="00763BC9" w:rsidP="00763BC9">
      <w:pPr>
        <w:ind w:left="720" w:firstLine="720"/>
        <w:jc w:val="both"/>
        <w:rPr>
          <w:rFonts w:ascii="Times New Roman" w:hAnsi="Times New Roman"/>
          <w:szCs w:val="24"/>
        </w:rPr>
      </w:pPr>
      <w:r w:rsidRPr="007B6E38">
        <w:rPr>
          <w:rFonts w:ascii="Times New Roman" w:hAnsi="Times New Roman"/>
          <w:szCs w:val="24"/>
        </w:rPr>
        <w:t>e.</w:t>
      </w:r>
      <w:r w:rsidRPr="007B6E38">
        <w:rPr>
          <w:rFonts w:ascii="Times New Roman" w:hAnsi="Times New Roman"/>
          <w:szCs w:val="24"/>
        </w:rPr>
        <w:tab/>
        <w:t>Commission Determination on Residential Rate Design Issues.</w:t>
      </w:r>
    </w:p>
    <w:p w14:paraId="05060E65" w14:textId="77777777" w:rsidR="00763BC9" w:rsidRPr="007B6E38" w:rsidRDefault="00763BC9" w:rsidP="00763BC9">
      <w:pPr>
        <w:ind w:firstLine="360"/>
        <w:jc w:val="both"/>
        <w:rPr>
          <w:rFonts w:ascii="Times New Roman" w:hAnsi="Times New Roman"/>
          <w:szCs w:val="24"/>
        </w:rPr>
      </w:pPr>
    </w:p>
    <w:p w14:paraId="5462FD06" w14:textId="493286C5"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pacing w:val="-3"/>
          <w:szCs w:val="24"/>
        </w:rPr>
        <w:tab/>
        <w:t xml:space="preserve">In light of the parties’ testimony and all of the evidence presented, the Commission approves Georgia Power’s request to close the </w:t>
      </w:r>
      <w:r w:rsidR="00F13741">
        <w:rPr>
          <w:rFonts w:ascii="Times New Roman" w:hAnsi="Times New Roman"/>
          <w:spacing w:val="-3"/>
          <w:szCs w:val="24"/>
        </w:rPr>
        <w:t>‘</w:t>
      </w:r>
      <w:r w:rsidRPr="007B6E38">
        <w:rPr>
          <w:rFonts w:ascii="Times New Roman" w:hAnsi="Times New Roman"/>
          <w:spacing w:val="-3"/>
          <w:szCs w:val="24"/>
        </w:rPr>
        <w:t>R</w:t>
      </w:r>
      <w:r w:rsidR="00F13741">
        <w:rPr>
          <w:rFonts w:ascii="Times New Roman" w:hAnsi="Times New Roman"/>
          <w:spacing w:val="-3"/>
          <w:szCs w:val="24"/>
        </w:rPr>
        <w:t>’</w:t>
      </w:r>
      <w:r w:rsidRPr="007B6E38">
        <w:rPr>
          <w:rFonts w:ascii="Times New Roman" w:hAnsi="Times New Roman"/>
          <w:spacing w:val="-3"/>
          <w:szCs w:val="24"/>
        </w:rPr>
        <w:t xml:space="preserve"> Rate to new residential premises and supports the Company’s gradual movement toward more modern rates. Closing the R rate to new premises does not affect existing customer</w:t>
      </w:r>
      <w:r w:rsidR="00B00FAE">
        <w:rPr>
          <w:rFonts w:ascii="Times New Roman" w:hAnsi="Times New Roman"/>
          <w:spacing w:val="-3"/>
          <w:szCs w:val="24"/>
        </w:rPr>
        <w:t>s</w:t>
      </w:r>
      <w:r w:rsidRPr="007B6E38">
        <w:rPr>
          <w:rFonts w:ascii="Times New Roman" w:hAnsi="Times New Roman"/>
          <w:spacing w:val="-3"/>
          <w:szCs w:val="24"/>
        </w:rPr>
        <w:t xml:space="preserve"> on the </w:t>
      </w:r>
      <w:r w:rsidR="00F13741">
        <w:rPr>
          <w:rFonts w:ascii="Times New Roman" w:hAnsi="Times New Roman"/>
          <w:spacing w:val="-3"/>
          <w:szCs w:val="24"/>
        </w:rPr>
        <w:t>‘</w:t>
      </w:r>
      <w:r w:rsidRPr="007B6E38">
        <w:rPr>
          <w:rFonts w:ascii="Times New Roman" w:hAnsi="Times New Roman"/>
          <w:spacing w:val="-3"/>
          <w:szCs w:val="24"/>
        </w:rPr>
        <w:t>R</w:t>
      </w:r>
      <w:r w:rsidR="00F13741">
        <w:rPr>
          <w:rFonts w:ascii="Times New Roman" w:hAnsi="Times New Roman"/>
          <w:spacing w:val="-3"/>
          <w:szCs w:val="24"/>
        </w:rPr>
        <w:t>’</w:t>
      </w:r>
      <w:r w:rsidRPr="007B6E38">
        <w:rPr>
          <w:rFonts w:ascii="Times New Roman" w:hAnsi="Times New Roman"/>
          <w:spacing w:val="-3"/>
          <w:szCs w:val="24"/>
        </w:rPr>
        <w:t xml:space="preserve"> rate unless they move to a residence that has never received service from Georgia Power before. In beginning the move toward more modern rates, the Commission finds PIA Staff and Intervenor arguments to otherwise modify the </w:t>
      </w:r>
      <w:r w:rsidR="00F13741">
        <w:rPr>
          <w:rFonts w:ascii="Times New Roman" w:hAnsi="Times New Roman"/>
          <w:spacing w:val="-3"/>
          <w:szCs w:val="24"/>
        </w:rPr>
        <w:t>‘</w:t>
      </w:r>
      <w:r w:rsidRPr="007B6E38">
        <w:rPr>
          <w:rFonts w:ascii="Times New Roman" w:hAnsi="Times New Roman"/>
          <w:spacing w:val="-3"/>
          <w:szCs w:val="24"/>
        </w:rPr>
        <w:t>R</w:t>
      </w:r>
      <w:r w:rsidR="00F13741">
        <w:rPr>
          <w:rFonts w:ascii="Times New Roman" w:hAnsi="Times New Roman"/>
          <w:spacing w:val="-3"/>
          <w:szCs w:val="24"/>
        </w:rPr>
        <w:t>’</w:t>
      </w:r>
      <w:r w:rsidRPr="007B6E38">
        <w:rPr>
          <w:rFonts w:ascii="Times New Roman" w:hAnsi="Times New Roman"/>
          <w:spacing w:val="-3"/>
          <w:szCs w:val="24"/>
        </w:rPr>
        <w:t xml:space="preserve"> Rate by adjusting the declining winter block rate and usage tiers to be unnecessary. The Commission approves the Company’s proposed adjustments to FlatBill</w:t>
      </w:r>
      <w:r w:rsidR="00B00FAE">
        <w:rPr>
          <w:rFonts w:ascii="Times New Roman" w:hAnsi="Times New Roman"/>
          <w:spacing w:val="-3"/>
          <w:szCs w:val="24"/>
        </w:rPr>
        <w:t>, TOU-RD,</w:t>
      </w:r>
      <w:r w:rsidRPr="007B6E38">
        <w:rPr>
          <w:rFonts w:ascii="Times New Roman" w:hAnsi="Times New Roman"/>
          <w:spacing w:val="-3"/>
          <w:szCs w:val="24"/>
        </w:rPr>
        <w:t xml:space="preserve"> and each of the remaining tariffs as filed by the Company.</w:t>
      </w:r>
    </w:p>
    <w:p w14:paraId="485F7492" w14:textId="77777777" w:rsidR="00763BC9" w:rsidRPr="007B6E38" w:rsidRDefault="00763BC9" w:rsidP="00763BC9">
      <w:pPr>
        <w:pStyle w:val="ListParagraph"/>
        <w:numPr>
          <w:ilvl w:val="0"/>
          <w:numId w:val="29"/>
        </w:numPr>
        <w:spacing w:before="240" w:after="240"/>
        <w:ind w:left="1440" w:hanging="720"/>
        <w:contextualSpacing w:val="0"/>
        <w:jc w:val="both"/>
        <w:rPr>
          <w:rFonts w:ascii="Times New Roman" w:hAnsi="Times New Roman"/>
          <w:szCs w:val="24"/>
        </w:rPr>
      </w:pPr>
      <w:r w:rsidRPr="007B6E38">
        <w:rPr>
          <w:rFonts w:ascii="Times New Roman" w:hAnsi="Times New Roman"/>
          <w:szCs w:val="24"/>
          <w:u w:val="single"/>
        </w:rPr>
        <w:t>Commission Determination Regarding Commercial and Industrial Rate Design.</w:t>
      </w:r>
    </w:p>
    <w:p w14:paraId="5C0E8AC0" w14:textId="77777777" w:rsidR="00086919" w:rsidRDefault="00086919" w:rsidP="00BB2F3F">
      <w:pPr>
        <w:tabs>
          <w:tab w:val="left" w:pos="-1080"/>
          <w:tab w:val="left" w:pos="-720"/>
          <w:tab w:val="left" w:pos="0"/>
          <w:tab w:val="left" w:pos="720"/>
          <w:tab w:val="left" w:pos="6480"/>
          <w:tab w:val="left" w:pos="8640"/>
        </w:tabs>
        <w:suppressAutoHyphens/>
        <w:spacing w:before="240"/>
        <w:ind w:firstLine="720"/>
        <w:jc w:val="both"/>
        <w:rPr>
          <w:rFonts w:ascii="Times New Roman" w:hAnsi="Times New Roman"/>
          <w:szCs w:val="24"/>
        </w:rPr>
      </w:pPr>
      <w:r>
        <w:rPr>
          <w:rFonts w:ascii="Times New Roman" w:hAnsi="Times New Roman"/>
          <w:szCs w:val="24"/>
        </w:rPr>
        <w:t>The Company proposed to close the MLM tariff, update various commercial and industrial rates to update the tariff language to conform to current Company practice, and recommended clarifications to its real time pricing (“RTP”) tariffs to clarify rules on creating and changing a customer’s customer base load (“CBL”). The Company proposed to restrict CBL changes during the initial term and require customers to stay off RTP for 24 rather than 12 months before setting a new CBL to ensure that short term changes in usage don’t result in the permanent conversion of embedded load into marginal load.  PIA Staff did not comment, question or propose adjustments to any of the Company’s commercial and industrial tariff changes.</w:t>
      </w:r>
    </w:p>
    <w:p w14:paraId="34EDD1B3" w14:textId="77777777"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p>
    <w:p w14:paraId="23567979" w14:textId="00C17CA6"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r>
        <w:rPr>
          <w:rFonts w:ascii="Times New Roman" w:hAnsi="Times New Roman"/>
          <w:szCs w:val="24"/>
        </w:rPr>
        <w:t xml:space="preserve">GIG/GAM Witness </w:t>
      </w:r>
      <w:r w:rsidRPr="00B14180">
        <w:rPr>
          <w:rFonts w:ascii="Times New Roman" w:hAnsi="Times New Roman"/>
          <w:szCs w:val="24"/>
        </w:rPr>
        <w:t xml:space="preserve">Pollock recommends that the Commission adjust the PLM and PLL BSC charges to recover actual customer-related costs. Mr. Pollock maintains that this comports with cost-based rate design and the proposed cost-based BSC charges in other tariffs applicable to large customers. Mr. Pollock highlights that GIG/GAM generally support RTP tariffs and believe it is a “win-win-win” situation. However, GIG/GAM have concerns regarding the terms and conditions that Georgia Power proposes. First, Mr. Pollock </w:t>
      </w:r>
      <w:r>
        <w:rPr>
          <w:rFonts w:ascii="Times New Roman" w:hAnsi="Times New Roman"/>
          <w:szCs w:val="24"/>
        </w:rPr>
        <w:t>opposed the Company’s RTP modifications claiming</w:t>
      </w:r>
      <w:r w:rsidRPr="00B14180">
        <w:rPr>
          <w:rFonts w:ascii="Times New Roman" w:hAnsi="Times New Roman"/>
          <w:szCs w:val="24"/>
        </w:rPr>
        <w:t xml:space="preserve"> that since an initial contract term for RTP customers is five or more years, RTP customers are effectively prevented from reducing their CBL—the inability to improve energy efficiency could jeopardize a customer</w:t>
      </w:r>
      <w:r>
        <w:rPr>
          <w:rFonts w:ascii="Times New Roman" w:hAnsi="Times New Roman"/>
          <w:szCs w:val="24"/>
        </w:rPr>
        <w:t>’</w:t>
      </w:r>
      <w:r w:rsidRPr="00B14180">
        <w:rPr>
          <w:rFonts w:ascii="Times New Roman" w:hAnsi="Times New Roman"/>
          <w:szCs w:val="24"/>
        </w:rPr>
        <w:t>s competitiveness and sustainability. Second, Mr. Pollock expresse</w:t>
      </w:r>
      <w:r w:rsidR="00836C9B">
        <w:rPr>
          <w:rFonts w:ascii="Times New Roman" w:hAnsi="Times New Roman"/>
          <w:szCs w:val="24"/>
        </w:rPr>
        <w:t>d</w:t>
      </w:r>
      <w:r w:rsidRPr="00B14180">
        <w:rPr>
          <w:rFonts w:ascii="Times New Roman" w:hAnsi="Times New Roman"/>
          <w:szCs w:val="24"/>
        </w:rPr>
        <w:t xml:space="preserve"> concern over the definition of “Existing Load,” which states that any load previously served by the Company at another location that was moved to another location constitutes “existing load</w:t>
      </w:r>
      <w:r w:rsidR="00B00FAE">
        <w:rPr>
          <w:rFonts w:ascii="Times New Roman" w:hAnsi="Times New Roman"/>
          <w:szCs w:val="24"/>
        </w:rPr>
        <w:t>.</w:t>
      </w:r>
      <w:r w:rsidRPr="00B14180">
        <w:rPr>
          <w:rFonts w:ascii="Times New Roman" w:hAnsi="Times New Roman"/>
          <w:szCs w:val="24"/>
        </w:rPr>
        <w:t>” Mr. Pollock claim</w:t>
      </w:r>
      <w:r w:rsidR="00836C9B">
        <w:rPr>
          <w:rFonts w:ascii="Times New Roman" w:hAnsi="Times New Roman"/>
          <w:szCs w:val="24"/>
        </w:rPr>
        <w:t xml:space="preserve">ed </w:t>
      </w:r>
      <w:r w:rsidRPr="00B14180">
        <w:rPr>
          <w:rFonts w:ascii="Times New Roman" w:hAnsi="Times New Roman"/>
          <w:szCs w:val="24"/>
        </w:rPr>
        <w:t xml:space="preserve">that it is unclear how Georgia Power would determine whether two loads are identical. </w:t>
      </w:r>
    </w:p>
    <w:p w14:paraId="7C3CDA2E" w14:textId="77777777"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p>
    <w:p w14:paraId="229293B9" w14:textId="57CEDBCB"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r w:rsidRPr="00B14180">
        <w:rPr>
          <w:rFonts w:ascii="Times New Roman" w:hAnsi="Times New Roman"/>
          <w:szCs w:val="24"/>
        </w:rPr>
        <w:t>Regarding the MLM rate closure, GIG/GAM generally support</w:t>
      </w:r>
      <w:r w:rsidR="00836C9B">
        <w:rPr>
          <w:rFonts w:ascii="Times New Roman" w:hAnsi="Times New Roman"/>
          <w:szCs w:val="24"/>
        </w:rPr>
        <w:t>ed</w:t>
      </w:r>
      <w:r w:rsidRPr="00B14180">
        <w:rPr>
          <w:rFonts w:ascii="Times New Roman" w:hAnsi="Times New Roman"/>
          <w:szCs w:val="24"/>
        </w:rPr>
        <w:t xml:space="preserve"> closing MLM rate; however, Mr. Pollock argue</w:t>
      </w:r>
      <w:r w:rsidR="00836C9B">
        <w:rPr>
          <w:rFonts w:ascii="Times New Roman" w:hAnsi="Times New Roman"/>
          <w:szCs w:val="24"/>
        </w:rPr>
        <w:t>d</w:t>
      </w:r>
      <w:r w:rsidRPr="00B14180">
        <w:rPr>
          <w:rFonts w:ascii="Times New Roman" w:hAnsi="Times New Roman"/>
          <w:szCs w:val="24"/>
        </w:rPr>
        <w:t xml:space="preserve"> that revenue neutrality should be based solely on calendar year 2019 usage—GIG/GAM also disagree</w:t>
      </w:r>
      <w:r w:rsidR="00836C9B">
        <w:rPr>
          <w:rFonts w:ascii="Times New Roman" w:hAnsi="Times New Roman"/>
          <w:szCs w:val="24"/>
        </w:rPr>
        <w:t>d</w:t>
      </w:r>
      <w:r w:rsidRPr="00B14180">
        <w:rPr>
          <w:rFonts w:ascii="Times New Roman" w:hAnsi="Times New Roman"/>
          <w:szCs w:val="24"/>
        </w:rPr>
        <w:t xml:space="preserve"> with limiting a customer</w:t>
      </w:r>
      <w:r>
        <w:rPr>
          <w:rFonts w:ascii="Times New Roman" w:hAnsi="Times New Roman"/>
          <w:szCs w:val="24"/>
        </w:rPr>
        <w:t>’</w:t>
      </w:r>
      <w:r w:rsidRPr="00B14180">
        <w:rPr>
          <w:rFonts w:ascii="Times New Roman" w:hAnsi="Times New Roman"/>
          <w:szCs w:val="24"/>
        </w:rPr>
        <w:t>s choice to take service on the TOU-RN rate. Mr. Pollock offer</w:t>
      </w:r>
      <w:r w:rsidR="00836C9B">
        <w:rPr>
          <w:rFonts w:ascii="Times New Roman" w:hAnsi="Times New Roman"/>
          <w:szCs w:val="24"/>
        </w:rPr>
        <w:t>ed</w:t>
      </w:r>
      <w:r w:rsidRPr="00B14180">
        <w:rPr>
          <w:rFonts w:ascii="Times New Roman" w:hAnsi="Times New Roman"/>
          <w:szCs w:val="24"/>
        </w:rPr>
        <w:t xml:space="preserve"> several other suggestions and modifications relating to the closing of the MLM rate. </w:t>
      </w:r>
    </w:p>
    <w:p w14:paraId="6C39F5EC" w14:textId="77777777"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p>
    <w:p w14:paraId="069C5726" w14:textId="77777777"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r>
        <w:rPr>
          <w:rFonts w:ascii="Times New Roman" w:hAnsi="Times New Roman"/>
          <w:szCs w:val="24"/>
        </w:rPr>
        <w:t xml:space="preserve">PIA Staff and GRA alleged that the Time of Use – Medium Business (“TOU-MB”) rate is inequitable because it is available only to franchise-run and owned restaurants, but not individually-owned franchise label or non-franchise restaurants. GRA requests the Commission expand the eligibility requirements for the TOU-MB Tariff whereas </w:t>
      </w:r>
      <w:r w:rsidRPr="00B14180">
        <w:rPr>
          <w:rFonts w:ascii="Times New Roman" w:hAnsi="Times New Roman"/>
          <w:szCs w:val="24"/>
        </w:rPr>
        <w:t>PIA Staff</w:t>
      </w:r>
      <w:r>
        <w:rPr>
          <w:rFonts w:ascii="Times New Roman" w:hAnsi="Times New Roman"/>
          <w:szCs w:val="24"/>
        </w:rPr>
        <w:t xml:space="preserve"> </w:t>
      </w:r>
      <w:r w:rsidRPr="00B14180">
        <w:rPr>
          <w:rFonts w:ascii="Times New Roman" w:hAnsi="Times New Roman"/>
          <w:szCs w:val="24"/>
        </w:rPr>
        <w:t>recommend</w:t>
      </w:r>
      <w:r>
        <w:rPr>
          <w:rFonts w:ascii="Times New Roman" w:hAnsi="Times New Roman"/>
          <w:szCs w:val="24"/>
        </w:rPr>
        <w:t>ed</w:t>
      </w:r>
      <w:r w:rsidRPr="00B14180">
        <w:rPr>
          <w:rFonts w:ascii="Times New Roman" w:hAnsi="Times New Roman"/>
          <w:szCs w:val="24"/>
        </w:rPr>
        <w:t xml:space="preserve"> that the Commission direct the Company to examine all commercial and industrial tariffs</w:t>
      </w:r>
      <w:r>
        <w:rPr>
          <w:rFonts w:ascii="Times New Roman" w:hAnsi="Times New Roman"/>
          <w:szCs w:val="24"/>
        </w:rPr>
        <w:t xml:space="preserve"> for similar inequities. PIA Staff also recommended the Company</w:t>
      </w:r>
      <w:r w:rsidRPr="00B14180">
        <w:rPr>
          <w:rFonts w:ascii="Times New Roman" w:hAnsi="Times New Roman"/>
          <w:szCs w:val="24"/>
        </w:rPr>
        <w:t xml:space="preserve"> consolidate customers on less beneficial tariffs into the rate classes with more beneficial tariffs. Staff supports the proposed changes to the outdoor lighting governmental and outdoor lighting tariffs. </w:t>
      </w:r>
    </w:p>
    <w:p w14:paraId="36C7FC63" w14:textId="77777777" w:rsidR="00086919" w:rsidRDefault="00086919" w:rsidP="00086919">
      <w:pPr>
        <w:tabs>
          <w:tab w:val="left" w:pos="-1080"/>
          <w:tab w:val="left" w:pos="-720"/>
          <w:tab w:val="left" w:pos="0"/>
          <w:tab w:val="left" w:pos="720"/>
          <w:tab w:val="left" w:pos="6480"/>
          <w:tab w:val="left" w:pos="8640"/>
        </w:tabs>
        <w:suppressAutoHyphens/>
        <w:ind w:firstLine="720"/>
        <w:jc w:val="both"/>
        <w:rPr>
          <w:rFonts w:ascii="Times New Roman" w:hAnsi="Times New Roman"/>
          <w:szCs w:val="24"/>
        </w:rPr>
      </w:pPr>
    </w:p>
    <w:p w14:paraId="20A9FB64" w14:textId="1CFEC24D" w:rsidR="00086919" w:rsidRPr="007B6E38" w:rsidRDefault="00086919" w:rsidP="00824511">
      <w:pPr>
        <w:tabs>
          <w:tab w:val="left" w:pos="-1080"/>
          <w:tab w:val="left" w:pos="-720"/>
          <w:tab w:val="left" w:pos="0"/>
          <w:tab w:val="left" w:pos="720"/>
          <w:tab w:val="left" w:pos="6480"/>
          <w:tab w:val="left" w:pos="8640"/>
        </w:tabs>
        <w:suppressAutoHyphens/>
        <w:jc w:val="both"/>
        <w:rPr>
          <w:rFonts w:ascii="Times New Roman" w:hAnsi="Times New Roman"/>
          <w:szCs w:val="24"/>
        </w:rPr>
      </w:pPr>
      <w:r>
        <w:rPr>
          <w:rFonts w:ascii="Times New Roman" w:hAnsi="Times New Roman"/>
          <w:szCs w:val="24"/>
        </w:rPr>
        <w:tab/>
        <w:t>The Commission finds and concludes that the Company’s proposed changes to its commercial and industrial tariffs should be approved as filed by</w:t>
      </w:r>
      <w:r w:rsidR="00B00FAE">
        <w:rPr>
          <w:rFonts w:ascii="Times New Roman" w:hAnsi="Times New Roman"/>
          <w:szCs w:val="24"/>
        </w:rPr>
        <w:t xml:space="preserve"> Company</w:t>
      </w:r>
      <w:r>
        <w:rPr>
          <w:rFonts w:ascii="Times New Roman" w:hAnsi="Times New Roman"/>
          <w:szCs w:val="24"/>
        </w:rPr>
        <w:t xml:space="preserve"> Witness Larry Legg. This Commission supports the balance the Company maintains in meeting customer demands for more beneficial rates with greater marginal load components. However, the Commission finds that appropriate restrictions, such as limiting CBL changes during the initial term and requiring a customer stay off RTP for longer before resetting the CBL, help to ensure the </w:t>
      </w:r>
      <w:r w:rsidR="00B00FAE">
        <w:rPr>
          <w:rFonts w:ascii="Times New Roman" w:hAnsi="Times New Roman"/>
          <w:szCs w:val="24"/>
        </w:rPr>
        <w:t>C</w:t>
      </w:r>
      <w:r>
        <w:rPr>
          <w:rFonts w:ascii="Times New Roman" w:hAnsi="Times New Roman"/>
          <w:szCs w:val="24"/>
        </w:rPr>
        <w:t>ompany recovers its costs to serve but also to prevent undue revenue erosion and cost shifting to other customers in a rate class. Further, the Commission rejects PIA Staff and GRA’s request to expand the TOU-MB eligibility or otherwise investigate the Company’s commercial and industrial tariffs.</w:t>
      </w:r>
    </w:p>
    <w:p w14:paraId="41EB11DE" w14:textId="77777777" w:rsidR="00763BC9" w:rsidRPr="007B6E38" w:rsidRDefault="00763BC9" w:rsidP="00763BC9">
      <w:pPr>
        <w:pStyle w:val="ListParagraph"/>
        <w:numPr>
          <w:ilvl w:val="0"/>
          <w:numId w:val="29"/>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The Commission finds that Georgia Power’s Implementation of the RNR Tariff complies with the Cogen Act.</w:t>
      </w:r>
    </w:p>
    <w:p w14:paraId="721944D1" w14:textId="77777777"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 xml:space="preserve">The Commission-approved Renewable and Non-Renewable (“RNR”) tariff was designed and implemented to comply with the Georgia Cogeneration and Distributed Generation Act of 2001 (“Cogen Act”) and has been approved in each Georgia Power rate case since it was initially approved. O.C.G.A. § 46-3-51. The Georgia General Assembly found that a program to provide distributed generation for eligible cogenerators was a way to achieve this goal. </w:t>
      </w:r>
      <w:r w:rsidRPr="007B6E38">
        <w:rPr>
          <w:rFonts w:ascii="Times New Roman" w:hAnsi="Times New Roman"/>
          <w:i/>
          <w:szCs w:val="24"/>
        </w:rPr>
        <w:t>Id.</w:t>
      </w:r>
      <w:r w:rsidRPr="007B6E38">
        <w:rPr>
          <w:rFonts w:ascii="Times New Roman" w:hAnsi="Times New Roman"/>
          <w:szCs w:val="24"/>
        </w:rPr>
        <w:t xml:space="preserve"> The Company designed and implemented its RNR tariff as its customer offering to comply with the requirements of the Cogen Act. Georgia Power introduced the RNR Tariff in 2002 and the Commission subsequently approved it in 2003 in the Commission’s Order Approving Green Energy Programs for Georgia Power Company and Savannah Electric Power Company in Docket No. 16573. Since then, the Commission has approved its continuation in each rate case thereafter, including most recently in 2013. The Company proposed several changes to the RNR Tariff as part of the 2019 rate case filing. First, the Company proposed to remove the ‘Part I’ and ‘Part II’ language arguing that it is no longer necessary as Part I closed on December 31, 2010. Second, the Company proposed to remove the monthly bi-directional metering charge. Third, the Company proposed to update the language concerning interconnection requirements for renewable or nonrenewable energy resources. </w:t>
      </w:r>
    </w:p>
    <w:p w14:paraId="4E71F797" w14:textId="77777777"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zCs w:val="24"/>
        </w:rPr>
      </w:pPr>
      <w:r w:rsidRPr="007B6E38">
        <w:rPr>
          <w:rFonts w:ascii="Times New Roman" w:hAnsi="Times New Roman"/>
          <w:szCs w:val="24"/>
        </w:rPr>
        <w:tab/>
        <w:t>GIPL/Southface/Vote Solar contend that Georgia Power’s method of measuring customer-generated energy does not comply with the Cogen Act. More specifically, GIPL/Southface/Vote Solar claim that Georgia Power’s practice of instantaneously netting a customer’s consumption and production through a bidirectional meter to measure energy inflows and outflows does not reflect ‘normal’ metering practice and negatively impacts the value proposition of distributed generation customers.</w:t>
      </w:r>
    </w:p>
    <w:p w14:paraId="05344AD4" w14:textId="48DCDE6C"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spacing w:val="-3"/>
          <w:szCs w:val="24"/>
        </w:rPr>
      </w:pPr>
      <w:r w:rsidRPr="007B6E38">
        <w:rPr>
          <w:rFonts w:ascii="Times New Roman" w:hAnsi="Times New Roman"/>
          <w:spacing w:val="-3"/>
          <w:szCs w:val="24"/>
        </w:rPr>
        <w:tab/>
      </w:r>
      <w:bookmarkStart w:id="1" w:name="_Hlk26334541"/>
      <w:r w:rsidR="00B00FAE">
        <w:rPr>
          <w:rFonts w:ascii="Times New Roman" w:hAnsi="Times New Roman"/>
          <w:spacing w:val="-3"/>
          <w:szCs w:val="24"/>
        </w:rPr>
        <w:t>After considering</w:t>
      </w:r>
      <w:r w:rsidRPr="007B6E38">
        <w:rPr>
          <w:rFonts w:ascii="Times New Roman" w:hAnsi="Times New Roman"/>
          <w:spacing w:val="-3"/>
          <w:szCs w:val="24"/>
        </w:rPr>
        <w:t xml:space="preserve"> the parties’ testimony and all of the evidence presented, the Commission approves Georgia Power’s proposed changes to the RNR Tariff and finds that Georgia Power’s implementation of the RNR Tariff complies with the Cogen Act. </w:t>
      </w:r>
      <w:r w:rsidRPr="007B6E38">
        <w:rPr>
          <w:rFonts w:ascii="Times New Roman" w:hAnsi="Times New Roman"/>
          <w:szCs w:val="24"/>
        </w:rPr>
        <w:t>For customer generators whose distributed generation facilities are connected on the customer’s side of the meter (</w:t>
      </w:r>
      <w:r w:rsidR="00B00FAE">
        <w:rPr>
          <w:rFonts w:ascii="Times New Roman" w:hAnsi="Times New Roman"/>
          <w:szCs w:val="24"/>
        </w:rPr>
        <w:t>which is</w:t>
      </w:r>
      <w:r w:rsidR="00B621B8">
        <w:rPr>
          <w:rFonts w:ascii="Times New Roman" w:hAnsi="Times New Roman"/>
          <w:szCs w:val="24"/>
        </w:rPr>
        <w:t xml:space="preserve"> </w:t>
      </w:r>
      <w:r w:rsidRPr="007B6E38">
        <w:rPr>
          <w:rFonts w:ascii="Times New Roman" w:hAnsi="Times New Roman"/>
          <w:szCs w:val="24"/>
        </w:rPr>
        <w:t xml:space="preserve">how most of the Company’s RNR customers are connected), the Cogen Act requires the electric service provider to “measure the electricity produced or consumed during the billing period, in accordance with normal metering practices using bidirectional metering.” O.C.G.A. § 46-3-55(1)(A). </w:t>
      </w:r>
      <w:r w:rsidR="00A9138A" w:rsidRPr="007B6E38">
        <w:rPr>
          <w:rFonts w:ascii="Times New Roman" w:hAnsi="Times New Roman"/>
          <w:szCs w:val="24"/>
        </w:rPr>
        <w:t>The Company made compelling arguments that the simple distinctions between a single directional meter and a bidirectional meter in practice and as discussed in the Cogen Act support the Company’s metering practices for distributed generation customers under the RNR Tariff.</w:t>
      </w:r>
      <w:r w:rsidR="00A9138A">
        <w:rPr>
          <w:rFonts w:ascii="Times New Roman" w:hAnsi="Times New Roman"/>
          <w:szCs w:val="24"/>
        </w:rPr>
        <w:t xml:space="preserve"> </w:t>
      </w:r>
      <w:r w:rsidRPr="007B6E38">
        <w:rPr>
          <w:rFonts w:ascii="Times New Roman" w:hAnsi="Times New Roman"/>
          <w:szCs w:val="24"/>
        </w:rPr>
        <w:t>The Commission is satisfied that Georgia Power measures and credits customers using the Company’s normal metering practices using bidirectional metering.</w:t>
      </w:r>
      <w:r w:rsidR="00A9138A">
        <w:rPr>
          <w:rFonts w:ascii="Times New Roman" w:hAnsi="Times New Roman"/>
          <w:szCs w:val="24"/>
        </w:rPr>
        <w:t xml:space="preserve"> </w:t>
      </w:r>
      <w:bookmarkStart w:id="2" w:name="_Hlk26334458"/>
      <w:r w:rsidR="00594AB9">
        <w:rPr>
          <w:rFonts w:ascii="Times New Roman" w:hAnsi="Times New Roman"/>
          <w:szCs w:val="24"/>
        </w:rPr>
        <w:t xml:space="preserve">The Commission finds and concludes that the Company’s implementation of the RNR tariff is and has been </w:t>
      </w:r>
      <w:r w:rsidR="00594AB9" w:rsidRPr="00594AB9">
        <w:rPr>
          <w:rFonts w:ascii="Times New Roman" w:hAnsi="Times New Roman"/>
          <w:szCs w:val="24"/>
        </w:rPr>
        <w:t>compliant with the Georgia Distributed Generation and Cogeneration Act since the RNR tariff was enacted</w:t>
      </w:r>
      <w:bookmarkEnd w:id="2"/>
      <w:r w:rsidR="00594AB9">
        <w:rPr>
          <w:rFonts w:ascii="Times New Roman" w:hAnsi="Times New Roman"/>
          <w:szCs w:val="24"/>
        </w:rPr>
        <w:t>.</w:t>
      </w:r>
      <w:r w:rsidRPr="007B6E38">
        <w:rPr>
          <w:rFonts w:ascii="Times New Roman" w:hAnsi="Times New Roman"/>
          <w:szCs w:val="24"/>
        </w:rPr>
        <w:t xml:space="preserve"> </w:t>
      </w:r>
      <w:bookmarkEnd w:id="1"/>
    </w:p>
    <w:p w14:paraId="42275ADE" w14:textId="77777777" w:rsidR="00763BC9" w:rsidRPr="007B6E38" w:rsidRDefault="00763BC9" w:rsidP="00763BC9">
      <w:pPr>
        <w:pStyle w:val="ListParagraph"/>
        <w:numPr>
          <w:ilvl w:val="0"/>
          <w:numId w:val="29"/>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Regarding Low Income Customer Discount and Qualified Working Group.</w:t>
      </w:r>
    </w:p>
    <w:p w14:paraId="7AD5C4CC" w14:textId="0D20F3C2" w:rsidR="00763BC9" w:rsidRPr="007B6E38" w:rsidRDefault="00763BC9" w:rsidP="00763BC9">
      <w:pPr>
        <w:spacing w:before="240" w:after="240"/>
        <w:ind w:firstLine="720"/>
        <w:jc w:val="both"/>
        <w:rPr>
          <w:rFonts w:ascii="Times New Roman" w:hAnsi="Times New Roman"/>
          <w:szCs w:val="24"/>
        </w:rPr>
      </w:pPr>
      <w:bookmarkStart w:id="3" w:name="_Hlk26304691"/>
      <w:r w:rsidRPr="007B6E38">
        <w:rPr>
          <w:rFonts w:ascii="Times New Roman" w:hAnsi="Times New Roman"/>
          <w:szCs w:val="24"/>
        </w:rPr>
        <w:t xml:space="preserve">PIA Staff recommended the Company revise the senior </w:t>
      </w:r>
      <w:r w:rsidR="00C60A8A" w:rsidRPr="007B6E38">
        <w:rPr>
          <w:rFonts w:ascii="Times New Roman" w:hAnsi="Times New Roman"/>
          <w:szCs w:val="24"/>
        </w:rPr>
        <w:t>low-income</w:t>
      </w:r>
      <w:r w:rsidRPr="007B6E38">
        <w:rPr>
          <w:rFonts w:ascii="Times New Roman" w:hAnsi="Times New Roman"/>
          <w:szCs w:val="24"/>
        </w:rPr>
        <w:t xml:space="preserve"> discount to make it available to households with two senior citizens with combined incomes that fall below 200 percent of the federal poverty guidelines for a two-person household. PIA Staff further recommended that the program, and the assistance it provides, be reconfigured to provide the same level of discount to each qualifying household member so that the assistance flexes with the number of qualifying members of the household even if at a commensurately lower level in order to keep the dollars associated with the discount the same. PIA Staff requested the Company expand its income qualified discount opportunities and establish an Income Qualified Customer Working Group based on the DSM Working Group</w:t>
      </w:r>
      <w:r w:rsidR="00B621B8">
        <w:rPr>
          <w:rFonts w:ascii="Times New Roman" w:hAnsi="Times New Roman"/>
          <w:szCs w:val="24"/>
        </w:rPr>
        <w:t xml:space="preserve"> model</w:t>
      </w:r>
      <w:r w:rsidRPr="007B6E38">
        <w:rPr>
          <w:rFonts w:ascii="Times New Roman" w:hAnsi="Times New Roman"/>
          <w:szCs w:val="24"/>
        </w:rPr>
        <w:t xml:space="preserve"> to address programs and assistance available to low income customers. </w:t>
      </w:r>
    </w:p>
    <w:p w14:paraId="75EBB141" w14:textId="77777777" w:rsidR="00763BC9" w:rsidRPr="007B6E38" w:rsidRDefault="00763BC9" w:rsidP="00763BC9">
      <w:pPr>
        <w:spacing w:before="240" w:after="240"/>
        <w:ind w:firstLine="720"/>
        <w:jc w:val="both"/>
        <w:rPr>
          <w:rFonts w:ascii="Times New Roman" w:hAnsi="Times New Roman"/>
          <w:szCs w:val="24"/>
        </w:rPr>
      </w:pPr>
      <w:r w:rsidRPr="007B6E38">
        <w:rPr>
          <w:rFonts w:ascii="Times New Roman" w:hAnsi="Times New Roman"/>
          <w:szCs w:val="24"/>
        </w:rPr>
        <w:t xml:space="preserve">The Company rejected the need to expand the Senior Low Income Discount because the effect of PIA Staff’s recommendations would erode the benefit to current participants in the discount program and increase the subsidy borne by other customers. Further, the Company opposed the creation of an Income Qualified Working Group citing the current work of its Energy Assistance Team, its partnership and collaboration with non-profits and community action agencies, and its payment and rate options structured to provide greater stability, predictability and flexibility in paying bills. </w:t>
      </w:r>
    </w:p>
    <w:p w14:paraId="6DFC0139" w14:textId="411E3EF2" w:rsidR="00763BC9" w:rsidRPr="007B6E38" w:rsidRDefault="00763BC9" w:rsidP="00763BC9">
      <w:pPr>
        <w:spacing w:before="240" w:after="240"/>
        <w:ind w:firstLine="720"/>
        <w:jc w:val="both"/>
        <w:rPr>
          <w:rFonts w:ascii="Times New Roman" w:hAnsi="Times New Roman"/>
          <w:b/>
          <w:bCs/>
          <w:szCs w:val="24"/>
        </w:rPr>
      </w:pPr>
      <w:r w:rsidRPr="007B6E38">
        <w:rPr>
          <w:rFonts w:ascii="Times New Roman" w:hAnsi="Times New Roman"/>
          <w:szCs w:val="24"/>
        </w:rPr>
        <w:t xml:space="preserve">Acknowledging the breadth and depth of customer assistance options currently available to low income customers, the Commission finds and concludes that a Low Income Working Group would be redundant to work the Company already does. The Commission further finds that the Senior Low Income Discount appropriately supports Georgia Power’s </w:t>
      </w:r>
      <w:r w:rsidR="00C60A8A" w:rsidRPr="007B6E38">
        <w:rPr>
          <w:rFonts w:ascii="Times New Roman" w:hAnsi="Times New Roman"/>
          <w:szCs w:val="24"/>
        </w:rPr>
        <w:t>low-income</w:t>
      </w:r>
      <w:r w:rsidRPr="007B6E38">
        <w:rPr>
          <w:rFonts w:ascii="Times New Roman" w:hAnsi="Times New Roman"/>
          <w:szCs w:val="24"/>
        </w:rPr>
        <w:t xml:space="preserve"> customers as</w:t>
      </w:r>
      <w:r w:rsidR="00C60A8A">
        <w:rPr>
          <w:rFonts w:ascii="Times New Roman" w:hAnsi="Times New Roman"/>
          <w:szCs w:val="24"/>
        </w:rPr>
        <w:t>-</w:t>
      </w:r>
      <w:r w:rsidRPr="007B6E38">
        <w:rPr>
          <w:rFonts w:ascii="Times New Roman" w:hAnsi="Times New Roman"/>
          <w:szCs w:val="24"/>
        </w:rPr>
        <w:t xml:space="preserve">is and no additional changes are needed to the discount at this time. While this Commission understands and supports programs and offerings to assist customers in paying their bills, this Commission is opposed to expanding the subsidy all other customers bear in supporting this discount. </w:t>
      </w:r>
    </w:p>
    <w:bookmarkEnd w:id="3"/>
    <w:p w14:paraId="77C7D639" w14:textId="77777777" w:rsidR="00763BC9" w:rsidRPr="007B6E38" w:rsidRDefault="00763BC9" w:rsidP="00763BC9">
      <w:pPr>
        <w:pStyle w:val="ListParagraph"/>
        <w:numPr>
          <w:ilvl w:val="0"/>
          <w:numId w:val="29"/>
        </w:numPr>
        <w:spacing w:before="240" w:after="240"/>
        <w:ind w:left="1440" w:hanging="720"/>
        <w:contextualSpacing w:val="0"/>
        <w:jc w:val="both"/>
        <w:rPr>
          <w:rFonts w:ascii="Times New Roman" w:hAnsi="Times New Roman"/>
          <w:szCs w:val="24"/>
          <w:u w:val="single"/>
        </w:rPr>
      </w:pPr>
      <w:r w:rsidRPr="007B6E38">
        <w:rPr>
          <w:rFonts w:ascii="Times New Roman" w:hAnsi="Times New Roman"/>
          <w:szCs w:val="24"/>
          <w:u w:val="single"/>
        </w:rPr>
        <w:t>Commission Determination on Customer Usage Data.</w:t>
      </w:r>
    </w:p>
    <w:p w14:paraId="487245E9" w14:textId="31EC4C89" w:rsidR="00763BC9" w:rsidRPr="007B6E38" w:rsidRDefault="00763BC9" w:rsidP="00763BC9">
      <w:pPr>
        <w:tabs>
          <w:tab w:val="left" w:pos="-1080"/>
          <w:tab w:val="left" w:pos="-720"/>
          <w:tab w:val="left" w:pos="0"/>
          <w:tab w:val="left" w:pos="720"/>
          <w:tab w:val="left" w:pos="6480"/>
          <w:tab w:val="left" w:pos="8640"/>
        </w:tabs>
        <w:suppressAutoHyphens/>
        <w:spacing w:after="240"/>
        <w:jc w:val="both"/>
        <w:rPr>
          <w:rFonts w:ascii="Times New Roman" w:hAnsi="Times New Roman"/>
        </w:rPr>
      </w:pPr>
      <w:r w:rsidRPr="007B6E38">
        <w:rPr>
          <w:rFonts w:ascii="Times New Roman" w:hAnsi="Times New Roman"/>
          <w:szCs w:val="24"/>
        </w:rPr>
        <w:tab/>
        <w:t>Regarding customer usage data, PIA Staff</w:t>
      </w:r>
      <w:r w:rsidR="00425766">
        <w:rPr>
          <w:rFonts w:ascii="Times New Roman" w:hAnsi="Times New Roman"/>
          <w:szCs w:val="24"/>
        </w:rPr>
        <w:t xml:space="preserve"> recommended that</w:t>
      </w:r>
      <w:r w:rsidRPr="007B6E38">
        <w:rPr>
          <w:rFonts w:ascii="Times New Roman" w:hAnsi="Times New Roman"/>
          <w:szCs w:val="24"/>
        </w:rPr>
        <w:t xml:space="preserve"> the Commission require the Company to continue its investigation of the costs and benefits of providing hourly usage information to its residential customers and provide an updated cost estimate within six months. GIPL/Southface/Vote Solar argued that the Company should provide customers tools to maximize the benefit of their rate options, including providing shadow billing and hourly data to residential customers. GIPL/Southface/Vote Solar advocated for greater customer education through effective marketing about each of the Company’s available rate options for customers. The Company did not object to investigating the costs and benefits of providing hourly usage information to its residential customers and providing an updated cost estimate to Commission Staff  to provide this service to customers. </w:t>
      </w:r>
      <w:r w:rsidRPr="007B6E38">
        <w:rPr>
          <w:rFonts w:ascii="Times New Roman" w:hAnsi="Times New Roman"/>
          <w:spacing w:val="-3"/>
          <w:szCs w:val="24"/>
        </w:rPr>
        <w:t>Therefore, the Commission finds and concludes that the Company shall investigate the costs and benefits of providing hourly usage information to residential customers and provide upd</w:t>
      </w:r>
      <w:bookmarkStart w:id="4" w:name="_GoBack"/>
      <w:bookmarkEnd w:id="4"/>
      <w:r w:rsidRPr="007B6E38">
        <w:rPr>
          <w:rFonts w:ascii="Times New Roman" w:hAnsi="Times New Roman"/>
          <w:spacing w:val="-3"/>
          <w:szCs w:val="24"/>
        </w:rPr>
        <w:t>ated cost information to Commission Staff within six months of the date of this order.</w:t>
      </w:r>
    </w:p>
    <w:p w14:paraId="62F0E990" w14:textId="77777777" w:rsidR="00763BC9" w:rsidRPr="007B6E38" w:rsidRDefault="00763BC9" w:rsidP="00763BC9">
      <w:pPr>
        <w:rPr>
          <w:rFonts w:ascii="Times New Roman" w:hAnsi="Times New Roman"/>
          <w:b/>
          <w:szCs w:val="24"/>
        </w:rPr>
      </w:pPr>
    </w:p>
    <w:p w14:paraId="4F3D250F" w14:textId="77777777" w:rsidR="00763BC9" w:rsidRPr="007B6E38" w:rsidRDefault="00763BC9" w:rsidP="00763BC9">
      <w:pPr>
        <w:rPr>
          <w:rFonts w:ascii="Times New Roman" w:hAnsi="Times New Roman"/>
          <w:b/>
          <w:bCs/>
          <w:szCs w:val="24"/>
        </w:rPr>
      </w:pPr>
      <w:r w:rsidRPr="007B6E38">
        <w:rPr>
          <w:rFonts w:ascii="Times New Roman" w:hAnsi="Times New Roman"/>
          <w:b/>
          <w:bCs/>
          <w:szCs w:val="24"/>
        </w:rPr>
        <w:t>III.</w:t>
      </w:r>
      <w:r w:rsidRPr="007B6E38">
        <w:rPr>
          <w:rFonts w:ascii="Times New Roman" w:hAnsi="Times New Roman"/>
          <w:b/>
          <w:bCs/>
          <w:szCs w:val="24"/>
        </w:rPr>
        <w:tab/>
        <w:t>ORDERING PARAGRAPHS</w:t>
      </w:r>
    </w:p>
    <w:p w14:paraId="77C391EE" w14:textId="77777777" w:rsidR="00763BC9" w:rsidRPr="007B6E38" w:rsidRDefault="00763BC9" w:rsidP="00763BC9">
      <w:pPr>
        <w:jc w:val="both"/>
        <w:rPr>
          <w:rFonts w:ascii="Times New Roman" w:hAnsi="Times New Roman"/>
          <w:szCs w:val="24"/>
        </w:rPr>
      </w:pPr>
    </w:p>
    <w:p w14:paraId="24C23D5E"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bCs/>
          <w:szCs w:val="24"/>
        </w:rPr>
        <w:t>WHEREFORE, IT IS ORDERED</w:t>
      </w:r>
      <w:r w:rsidRPr="000A41BA">
        <w:rPr>
          <w:rFonts w:ascii="Times New Roman" w:hAnsi="Times New Roman"/>
          <w:bCs/>
          <w:szCs w:val="24"/>
        </w:rPr>
        <w:t>,</w:t>
      </w:r>
      <w:r w:rsidRPr="007B6E38">
        <w:rPr>
          <w:rFonts w:ascii="Times New Roman" w:hAnsi="Times New Roman"/>
          <w:b/>
          <w:bCs/>
          <w:szCs w:val="24"/>
        </w:rPr>
        <w:t xml:space="preserve"> </w:t>
      </w:r>
      <w:r w:rsidRPr="007B6E38">
        <w:rPr>
          <w:rFonts w:ascii="Times New Roman" w:hAnsi="Times New Roman"/>
          <w:szCs w:val="24"/>
        </w:rPr>
        <w:t>that the Company’s Alternate Rate Plan shall be adopted as amended by the Company’s September 24, 2019 Errata and the rates pursuant to the Alternate Rate Plan are just and reasonable, and effective for service rendered from and after January 1, 2020.</w:t>
      </w:r>
    </w:p>
    <w:p w14:paraId="4AB8F3D3" w14:textId="77777777" w:rsidR="00763BC9" w:rsidRPr="007B6E38" w:rsidRDefault="00763BC9" w:rsidP="00763BC9">
      <w:pPr>
        <w:ind w:firstLine="720"/>
        <w:jc w:val="both"/>
        <w:rPr>
          <w:rFonts w:ascii="Times New Roman" w:hAnsi="Times New Roman"/>
          <w:szCs w:val="24"/>
          <w:highlight w:val="yellow"/>
        </w:rPr>
      </w:pPr>
    </w:p>
    <w:p w14:paraId="346EB3BB" w14:textId="08DAB58B" w:rsidR="00763BC9" w:rsidRPr="007B6E38"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Pr="007B6E38">
        <w:rPr>
          <w:rFonts w:ascii="Times New Roman" w:hAnsi="Times New Roman"/>
          <w:szCs w:val="24"/>
        </w:rPr>
        <w:t>, that the Company is awarded a 10.9% ROE</w:t>
      </w:r>
      <w:r w:rsidR="002B565A">
        <w:rPr>
          <w:rFonts w:ascii="Times New Roman" w:hAnsi="Times New Roman"/>
          <w:szCs w:val="24"/>
        </w:rPr>
        <w:t xml:space="preserve"> and</w:t>
      </w:r>
      <w:r w:rsidRPr="007B6E38">
        <w:rPr>
          <w:rFonts w:ascii="Times New Roman" w:hAnsi="Times New Roman"/>
          <w:szCs w:val="24"/>
        </w:rPr>
        <w:t xml:space="preserve"> 4.14% cost of debt, using 56% common equity in the capital structure. </w:t>
      </w:r>
    </w:p>
    <w:p w14:paraId="15F1CAC1" w14:textId="77777777" w:rsidR="00763BC9" w:rsidRPr="007B6E38" w:rsidRDefault="00763BC9" w:rsidP="00763BC9">
      <w:pPr>
        <w:ind w:firstLine="720"/>
        <w:jc w:val="both"/>
        <w:rPr>
          <w:rFonts w:ascii="Times New Roman" w:hAnsi="Times New Roman"/>
          <w:szCs w:val="24"/>
        </w:rPr>
      </w:pPr>
    </w:p>
    <w:p w14:paraId="77FBFBF7" w14:textId="6C8338F3" w:rsidR="00763BC9"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Pr="007B6E38">
        <w:rPr>
          <w:rFonts w:ascii="Times New Roman" w:hAnsi="Times New Roman"/>
          <w:szCs w:val="24"/>
        </w:rPr>
        <w:t>, that the earnings band shall be 10.00-12.00%, with earnings above the top of the band shared two</w:t>
      </w:r>
      <w:r w:rsidR="002B565A">
        <w:rPr>
          <w:rFonts w:ascii="Times New Roman" w:hAnsi="Times New Roman"/>
          <w:szCs w:val="24"/>
        </w:rPr>
        <w:t>-</w:t>
      </w:r>
      <w:r w:rsidRPr="007B6E38">
        <w:rPr>
          <w:rFonts w:ascii="Times New Roman" w:hAnsi="Times New Roman"/>
          <w:szCs w:val="24"/>
        </w:rPr>
        <w:t>third</w:t>
      </w:r>
      <w:r w:rsidR="002B565A">
        <w:rPr>
          <w:rFonts w:ascii="Times New Roman" w:hAnsi="Times New Roman"/>
          <w:szCs w:val="24"/>
        </w:rPr>
        <w:t>s</w:t>
      </w:r>
      <w:r w:rsidRPr="007B6E38">
        <w:rPr>
          <w:rFonts w:ascii="Times New Roman" w:hAnsi="Times New Roman"/>
          <w:szCs w:val="24"/>
        </w:rPr>
        <w:t xml:space="preserve"> with customers.</w:t>
      </w:r>
    </w:p>
    <w:p w14:paraId="18FE393B" w14:textId="77777777" w:rsidR="00763BC9" w:rsidRDefault="00763BC9" w:rsidP="00763BC9">
      <w:pPr>
        <w:ind w:firstLine="720"/>
        <w:jc w:val="both"/>
        <w:rPr>
          <w:rFonts w:ascii="Times New Roman" w:hAnsi="Times New Roman"/>
          <w:szCs w:val="24"/>
        </w:rPr>
      </w:pPr>
    </w:p>
    <w:p w14:paraId="6BE641B5" w14:textId="77777777" w:rsidR="00763BC9"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00A9138A" w:rsidRPr="007B6E38">
        <w:rPr>
          <w:rFonts w:ascii="Times New Roman" w:hAnsi="Times New Roman"/>
          <w:szCs w:val="24"/>
        </w:rPr>
        <w:t>,</w:t>
      </w:r>
      <w:r>
        <w:rPr>
          <w:rFonts w:ascii="Times New Roman" w:hAnsi="Times New Roman"/>
          <w:szCs w:val="24"/>
        </w:rPr>
        <w:t xml:space="preserve"> that the Company will recover CCR ARO compliance costs ratably over a three-year period in base rates as proposed by the Company. </w:t>
      </w:r>
    </w:p>
    <w:p w14:paraId="7B739C36" w14:textId="77777777" w:rsidR="00763BC9" w:rsidRDefault="00763BC9" w:rsidP="00763BC9">
      <w:pPr>
        <w:jc w:val="both"/>
        <w:rPr>
          <w:rFonts w:ascii="Times New Roman" w:hAnsi="Times New Roman"/>
          <w:szCs w:val="24"/>
        </w:rPr>
      </w:pPr>
    </w:p>
    <w:p w14:paraId="1D3CAD58" w14:textId="77777777" w:rsidR="00763BC9" w:rsidRDefault="00763BC9" w:rsidP="00763BC9">
      <w:pPr>
        <w:ind w:firstLine="720"/>
        <w:jc w:val="both"/>
        <w:rPr>
          <w:rFonts w:ascii="Times New Roman" w:hAnsi="Times New Roman"/>
          <w:b/>
          <w:szCs w:val="24"/>
        </w:rPr>
      </w:pPr>
      <w:r w:rsidRPr="007B6E38">
        <w:rPr>
          <w:rFonts w:ascii="Times New Roman" w:hAnsi="Times New Roman"/>
          <w:b/>
          <w:szCs w:val="24"/>
        </w:rPr>
        <w:t>ORDERED FURTHER</w:t>
      </w:r>
      <w:r w:rsidR="00A9138A" w:rsidRPr="007B6E38">
        <w:rPr>
          <w:rFonts w:ascii="Times New Roman" w:hAnsi="Times New Roman"/>
          <w:szCs w:val="24"/>
        </w:rPr>
        <w:t>,</w:t>
      </w:r>
      <w:r>
        <w:rPr>
          <w:rFonts w:ascii="Times New Roman" w:hAnsi="Times New Roman"/>
          <w:szCs w:val="24"/>
        </w:rPr>
        <w:t xml:space="preserve"> that the Commission approves recovery of the </w:t>
      </w:r>
      <w:r w:rsidRPr="00D03DCD">
        <w:rPr>
          <w:rFonts w:ascii="Times New Roman" w:hAnsi="Times New Roman"/>
          <w:szCs w:val="24"/>
        </w:rPr>
        <w:t>Company</w:t>
      </w:r>
      <w:r>
        <w:rPr>
          <w:rFonts w:ascii="Times New Roman" w:hAnsi="Times New Roman"/>
          <w:szCs w:val="24"/>
        </w:rPr>
        <w:t>’</w:t>
      </w:r>
      <w:r w:rsidRPr="00D03DCD">
        <w:rPr>
          <w:rFonts w:ascii="Times New Roman" w:hAnsi="Times New Roman"/>
          <w:szCs w:val="24"/>
        </w:rPr>
        <w:t>s estimates, including the contingency amounts, for CCR ARO</w:t>
      </w:r>
      <w:r>
        <w:rPr>
          <w:rFonts w:ascii="Times New Roman" w:hAnsi="Times New Roman"/>
          <w:szCs w:val="24"/>
        </w:rPr>
        <w:t xml:space="preserve"> compliance cost</w:t>
      </w:r>
      <w:r w:rsidRPr="00D03DCD">
        <w:rPr>
          <w:rFonts w:ascii="Times New Roman" w:hAnsi="Times New Roman"/>
          <w:szCs w:val="24"/>
        </w:rPr>
        <w:t>s and for the ECCR tariff</w:t>
      </w:r>
      <w:r>
        <w:rPr>
          <w:rFonts w:ascii="Times New Roman" w:hAnsi="Times New Roman"/>
          <w:b/>
          <w:szCs w:val="24"/>
        </w:rPr>
        <w:t>.</w:t>
      </w:r>
    </w:p>
    <w:p w14:paraId="3BD2C7D6" w14:textId="4A95AC84" w:rsidR="00763BC9" w:rsidRDefault="00763BC9" w:rsidP="00763BC9">
      <w:pPr>
        <w:ind w:firstLine="720"/>
        <w:jc w:val="both"/>
        <w:rPr>
          <w:rFonts w:ascii="Times New Roman" w:hAnsi="Times New Roman"/>
          <w:szCs w:val="24"/>
        </w:rPr>
      </w:pPr>
      <w:r w:rsidRPr="00A44F06">
        <w:rPr>
          <w:rFonts w:ascii="Times New Roman" w:hAnsi="Times New Roman"/>
          <w:b/>
          <w:szCs w:val="24"/>
        </w:rPr>
        <w:t>ORDERED FURTHER</w:t>
      </w:r>
      <w:r w:rsidR="00A9138A" w:rsidRPr="00A9138A">
        <w:rPr>
          <w:rFonts w:ascii="Times New Roman" w:hAnsi="Times New Roman"/>
          <w:szCs w:val="24"/>
        </w:rPr>
        <w:t>,</w:t>
      </w:r>
      <w:r>
        <w:rPr>
          <w:rFonts w:ascii="Times New Roman" w:hAnsi="Times New Roman"/>
          <w:szCs w:val="24"/>
        </w:rPr>
        <w:t xml:space="preserve"> that the Company’s proposed projected storm damage </w:t>
      </w:r>
      <w:r w:rsidR="000A41BA">
        <w:rPr>
          <w:rFonts w:ascii="Times New Roman" w:hAnsi="Times New Roman"/>
          <w:szCs w:val="24"/>
        </w:rPr>
        <w:t>accrual</w:t>
      </w:r>
      <w:r>
        <w:rPr>
          <w:rFonts w:ascii="Times New Roman" w:hAnsi="Times New Roman"/>
          <w:szCs w:val="24"/>
        </w:rPr>
        <w:t xml:space="preserve"> of $64 million is just and reasonable and is approved. In addition, the Commission finds it appropriate to resolve the Company’s deferred storm damage expenses incurred since 2013 in this proceeding and a separate investigation is unnecessary. The Commission approves the Company’s proposed three-year plan to recover the $450 million-dollar accrual ratably over the plan years 2020 through 2022.</w:t>
      </w:r>
    </w:p>
    <w:p w14:paraId="20491F6E" w14:textId="77777777" w:rsidR="00763BC9" w:rsidRDefault="00763BC9" w:rsidP="00763BC9">
      <w:pPr>
        <w:jc w:val="both"/>
        <w:rPr>
          <w:rFonts w:ascii="Times New Roman" w:hAnsi="Times New Roman"/>
          <w:szCs w:val="24"/>
        </w:rPr>
      </w:pPr>
    </w:p>
    <w:p w14:paraId="30478BC4" w14:textId="77777777" w:rsidR="00763BC9" w:rsidRPr="005378B5" w:rsidRDefault="00763BC9" w:rsidP="00763BC9">
      <w:pPr>
        <w:ind w:firstLine="720"/>
        <w:jc w:val="both"/>
        <w:rPr>
          <w:rFonts w:ascii="Times New Roman" w:hAnsi="Times New Roman"/>
          <w:szCs w:val="24"/>
        </w:rPr>
      </w:pPr>
      <w:r w:rsidRPr="005378B5">
        <w:rPr>
          <w:rFonts w:ascii="Times New Roman" w:hAnsi="Times New Roman"/>
          <w:b/>
          <w:szCs w:val="24"/>
        </w:rPr>
        <w:t>ORDERED FURTHER</w:t>
      </w:r>
      <w:r w:rsidRPr="005378B5">
        <w:rPr>
          <w:rFonts w:ascii="Times New Roman" w:hAnsi="Times New Roman"/>
          <w:szCs w:val="24"/>
        </w:rPr>
        <w:t>, that the Company shall share any gains and losses on the disposition of utility property split 20/80 between customers and the Company as applied to all future utility land sale transactions.</w:t>
      </w:r>
    </w:p>
    <w:p w14:paraId="43C998A6" w14:textId="77777777" w:rsidR="00763BC9" w:rsidRPr="009222E2" w:rsidRDefault="00763BC9" w:rsidP="00763BC9">
      <w:pPr>
        <w:jc w:val="both"/>
        <w:rPr>
          <w:rFonts w:ascii="Times New Roman" w:hAnsi="Times New Roman"/>
          <w:b/>
          <w:szCs w:val="24"/>
        </w:rPr>
      </w:pPr>
    </w:p>
    <w:p w14:paraId="27F1E5DB" w14:textId="59CFAC39" w:rsidR="00763BC9" w:rsidRDefault="00763BC9" w:rsidP="00763BC9">
      <w:pPr>
        <w:ind w:firstLine="720"/>
        <w:jc w:val="both"/>
        <w:rPr>
          <w:rFonts w:ascii="Times New Roman" w:hAnsi="Times New Roman"/>
          <w:szCs w:val="24"/>
        </w:rPr>
      </w:pPr>
      <w:r w:rsidRPr="009222E2">
        <w:rPr>
          <w:rFonts w:ascii="Times New Roman" w:hAnsi="Times New Roman"/>
          <w:b/>
          <w:szCs w:val="24"/>
        </w:rPr>
        <w:t>ORDERED FURTHER</w:t>
      </w:r>
      <w:r w:rsidRPr="009222E2">
        <w:rPr>
          <w:rFonts w:ascii="Times New Roman" w:hAnsi="Times New Roman"/>
          <w:szCs w:val="24"/>
        </w:rPr>
        <w:t>, that the Company may include in base rates the projected capital and O&amp;M costs for electric transportation activities such as the net investment of all the existing community electric vehicle charging facilities, whether located on and off Company property and the associated revenues and expenses</w:t>
      </w:r>
      <w:r w:rsidR="002B565A">
        <w:rPr>
          <w:rFonts w:ascii="Times New Roman" w:hAnsi="Times New Roman"/>
          <w:szCs w:val="24"/>
        </w:rPr>
        <w:t>,</w:t>
      </w:r>
      <w:r w:rsidRPr="009222E2">
        <w:rPr>
          <w:rFonts w:ascii="Times New Roman" w:hAnsi="Times New Roman"/>
          <w:szCs w:val="24"/>
        </w:rPr>
        <w:t xml:space="preserve"> the commercial and residential rebates for installing EV chargers</w:t>
      </w:r>
      <w:r w:rsidR="002B565A">
        <w:rPr>
          <w:rFonts w:ascii="Times New Roman" w:hAnsi="Times New Roman"/>
          <w:szCs w:val="24"/>
        </w:rPr>
        <w:t>,</w:t>
      </w:r>
      <w:r w:rsidRPr="009222E2">
        <w:rPr>
          <w:rFonts w:ascii="Times New Roman" w:hAnsi="Times New Roman"/>
          <w:szCs w:val="24"/>
        </w:rPr>
        <w:t xml:space="preserve"> and an amount for EV education and awareness.</w:t>
      </w:r>
    </w:p>
    <w:p w14:paraId="060BDC54" w14:textId="77777777" w:rsidR="00763BC9" w:rsidRDefault="00763BC9" w:rsidP="00763BC9">
      <w:pPr>
        <w:ind w:firstLine="720"/>
        <w:jc w:val="both"/>
        <w:rPr>
          <w:rFonts w:ascii="Times New Roman" w:hAnsi="Times New Roman"/>
          <w:szCs w:val="24"/>
        </w:rPr>
      </w:pPr>
    </w:p>
    <w:p w14:paraId="101026DC" w14:textId="7E2993EC" w:rsidR="00763BC9" w:rsidRPr="009222E2" w:rsidRDefault="00763BC9" w:rsidP="00763BC9">
      <w:pPr>
        <w:ind w:firstLine="720"/>
        <w:jc w:val="both"/>
        <w:rPr>
          <w:rFonts w:ascii="Times New Roman" w:hAnsi="Times New Roman"/>
          <w:szCs w:val="24"/>
        </w:rPr>
      </w:pPr>
      <w:r w:rsidRPr="009222E2">
        <w:rPr>
          <w:rFonts w:ascii="Times New Roman" w:hAnsi="Times New Roman"/>
          <w:b/>
          <w:szCs w:val="24"/>
        </w:rPr>
        <w:t>ORDERED FURTHER</w:t>
      </w:r>
      <w:r w:rsidR="00A9138A" w:rsidRPr="00A9138A">
        <w:rPr>
          <w:rFonts w:ascii="Times New Roman" w:hAnsi="Times New Roman"/>
          <w:szCs w:val="24"/>
        </w:rPr>
        <w:t>,</w:t>
      </w:r>
      <w:r w:rsidR="00A9138A">
        <w:rPr>
          <w:rFonts w:ascii="Times New Roman" w:hAnsi="Times New Roman"/>
          <w:szCs w:val="24"/>
        </w:rPr>
        <w:t xml:space="preserve"> </w:t>
      </w:r>
      <w:r>
        <w:rPr>
          <w:rFonts w:ascii="Times New Roman" w:hAnsi="Times New Roman"/>
          <w:szCs w:val="24"/>
        </w:rPr>
        <w:t xml:space="preserve">that the Company appropriately included stock-based compensation expenses in its revenue requirement in the 2019 </w:t>
      </w:r>
      <w:r w:rsidR="00824511">
        <w:rPr>
          <w:rFonts w:ascii="Times New Roman" w:hAnsi="Times New Roman"/>
          <w:szCs w:val="24"/>
        </w:rPr>
        <w:t>R</w:t>
      </w:r>
      <w:r>
        <w:rPr>
          <w:rFonts w:ascii="Times New Roman" w:hAnsi="Times New Roman"/>
          <w:szCs w:val="24"/>
        </w:rPr>
        <w:t xml:space="preserve">ate </w:t>
      </w:r>
      <w:r w:rsidR="00824511">
        <w:rPr>
          <w:rFonts w:ascii="Times New Roman" w:hAnsi="Times New Roman"/>
          <w:szCs w:val="24"/>
        </w:rPr>
        <w:t>C</w:t>
      </w:r>
      <w:r>
        <w:rPr>
          <w:rFonts w:ascii="Times New Roman" w:hAnsi="Times New Roman"/>
          <w:szCs w:val="24"/>
        </w:rPr>
        <w:t xml:space="preserve">ase filing. </w:t>
      </w:r>
      <w:r w:rsidR="002B565A">
        <w:rPr>
          <w:rFonts w:ascii="Times New Roman" w:hAnsi="Times New Roman"/>
          <w:szCs w:val="24"/>
        </w:rPr>
        <w:t>Georgia Power’s</w:t>
      </w:r>
      <w:r w:rsidRPr="00615B21">
        <w:rPr>
          <w:rFonts w:ascii="Times New Roman" w:hAnsi="Times New Roman"/>
          <w:szCs w:val="24"/>
        </w:rPr>
        <w:t xml:space="preserve"> long-term at-risk compensation program is comparable to and competitive with the utility industry. </w:t>
      </w:r>
      <w:r>
        <w:rPr>
          <w:rFonts w:ascii="Times New Roman" w:hAnsi="Times New Roman"/>
          <w:szCs w:val="24"/>
        </w:rPr>
        <w:t xml:space="preserve">Furthermore, </w:t>
      </w:r>
      <w:r w:rsidR="002B565A">
        <w:rPr>
          <w:rFonts w:ascii="Times New Roman" w:hAnsi="Times New Roman"/>
          <w:szCs w:val="24"/>
        </w:rPr>
        <w:t>t</w:t>
      </w:r>
      <w:r w:rsidRPr="00615B21">
        <w:rPr>
          <w:rFonts w:ascii="Times New Roman" w:hAnsi="Times New Roman"/>
          <w:szCs w:val="24"/>
        </w:rPr>
        <w:t xml:space="preserve">he Company’s budgeted costs for </w:t>
      </w:r>
      <w:r w:rsidR="000A41BA" w:rsidRPr="00615B21">
        <w:rPr>
          <w:rFonts w:ascii="Times New Roman" w:hAnsi="Times New Roman"/>
          <w:szCs w:val="24"/>
        </w:rPr>
        <w:t>stock-based</w:t>
      </w:r>
      <w:r w:rsidRPr="00615B21">
        <w:rPr>
          <w:rFonts w:ascii="Times New Roman" w:hAnsi="Times New Roman"/>
          <w:szCs w:val="24"/>
        </w:rPr>
        <w:t xml:space="preserve"> compensation to attract, retain and engage employees are expenses that arise in the ordinary course of the Company’s business and appropriately should be included in the Company’s revenue requirements and recovered in retail rates.</w:t>
      </w:r>
    </w:p>
    <w:p w14:paraId="56AF7D11" w14:textId="77777777" w:rsidR="00763BC9" w:rsidRDefault="00763BC9" w:rsidP="00763BC9">
      <w:pPr>
        <w:ind w:firstLine="720"/>
        <w:jc w:val="both"/>
        <w:rPr>
          <w:rFonts w:ascii="Times New Roman" w:hAnsi="Times New Roman"/>
          <w:b/>
          <w:bCs/>
          <w:szCs w:val="24"/>
        </w:rPr>
      </w:pPr>
    </w:p>
    <w:p w14:paraId="255DE964"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bCs/>
          <w:szCs w:val="24"/>
        </w:rPr>
        <w:t>ORDERED FURTHER</w:t>
      </w:r>
      <w:r w:rsidRPr="00A9138A">
        <w:rPr>
          <w:rFonts w:ascii="Times New Roman" w:hAnsi="Times New Roman"/>
          <w:bCs/>
          <w:szCs w:val="24"/>
        </w:rPr>
        <w:t>,</w:t>
      </w:r>
      <w:r w:rsidRPr="007B6E38">
        <w:rPr>
          <w:rFonts w:ascii="Times New Roman" w:hAnsi="Times New Roman"/>
          <w:b/>
          <w:bCs/>
          <w:szCs w:val="24"/>
        </w:rPr>
        <w:t xml:space="preserve"> </w:t>
      </w:r>
      <w:r w:rsidRPr="007B6E38">
        <w:rPr>
          <w:rFonts w:ascii="Times New Roman" w:hAnsi="Times New Roman"/>
          <w:szCs w:val="24"/>
        </w:rPr>
        <w:t xml:space="preserve">that the Company’s Grid Investment Plan is approved as filed. </w:t>
      </w:r>
    </w:p>
    <w:p w14:paraId="1ECF709B" w14:textId="77777777" w:rsidR="00763BC9" w:rsidRPr="007B6E38" w:rsidRDefault="00763BC9" w:rsidP="00763BC9">
      <w:pPr>
        <w:jc w:val="both"/>
        <w:rPr>
          <w:rFonts w:ascii="Times New Roman" w:hAnsi="Times New Roman"/>
          <w:szCs w:val="24"/>
          <w:highlight w:val="yellow"/>
        </w:rPr>
      </w:pPr>
    </w:p>
    <w:p w14:paraId="171FA488" w14:textId="4553A731" w:rsidR="00763BC9"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00A9138A" w:rsidRPr="00A9138A">
        <w:rPr>
          <w:rFonts w:ascii="Times New Roman" w:hAnsi="Times New Roman"/>
          <w:szCs w:val="24"/>
        </w:rPr>
        <w:t>,</w:t>
      </w:r>
      <w:r w:rsidRPr="007B6E38">
        <w:rPr>
          <w:rFonts w:ascii="Times New Roman" w:hAnsi="Times New Roman"/>
          <w:szCs w:val="24"/>
        </w:rPr>
        <w:t xml:space="preserve"> that the Company shall defer software and cloud computing project costs as a regulatory asset</w:t>
      </w:r>
      <w:r w:rsidR="00046737">
        <w:rPr>
          <w:rFonts w:ascii="Times New Roman" w:hAnsi="Times New Roman"/>
          <w:szCs w:val="24"/>
        </w:rPr>
        <w:t xml:space="preserve"> as requested by Georgia Power</w:t>
      </w:r>
      <w:r w:rsidRPr="007B6E38">
        <w:rPr>
          <w:rFonts w:ascii="Times New Roman" w:hAnsi="Times New Roman"/>
          <w:szCs w:val="24"/>
        </w:rPr>
        <w:t xml:space="preserve">, the timing for recovery of which will be determined in the Company’s next base rate case. </w:t>
      </w:r>
    </w:p>
    <w:p w14:paraId="33F7AE0E" w14:textId="77777777" w:rsidR="00763BC9" w:rsidRDefault="00763BC9" w:rsidP="00763BC9">
      <w:pPr>
        <w:ind w:firstLine="720"/>
        <w:jc w:val="both"/>
        <w:rPr>
          <w:rFonts w:ascii="Times New Roman" w:hAnsi="Times New Roman"/>
          <w:szCs w:val="24"/>
        </w:rPr>
      </w:pPr>
    </w:p>
    <w:p w14:paraId="3FDD0EDA" w14:textId="77777777" w:rsidR="00763BC9" w:rsidRDefault="00763BC9" w:rsidP="00763BC9">
      <w:pPr>
        <w:ind w:firstLine="720"/>
        <w:jc w:val="both"/>
        <w:rPr>
          <w:rFonts w:ascii="Times New Roman" w:hAnsi="Times New Roman"/>
          <w:szCs w:val="24"/>
        </w:rPr>
      </w:pPr>
      <w:r w:rsidRPr="0090129A">
        <w:rPr>
          <w:rFonts w:ascii="Times New Roman" w:hAnsi="Times New Roman"/>
          <w:b/>
          <w:szCs w:val="24"/>
        </w:rPr>
        <w:t>ORDERED FURTHER</w:t>
      </w:r>
      <w:r w:rsidRPr="0090129A">
        <w:rPr>
          <w:rFonts w:ascii="Times New Roman" w:hAnsi="Times New Roman"/>
          <w:szCs w:val="24"/>
        </w:rPr>
        <w:t>, that the Company shall amortize the remaining net book value of units retired in the Company's 2019 IRP over three years, except for the remaining net book value of Plant Hammond Units 1-4, which shall be recovered over the life of the units.</w:t>
      </w:r>
    </w:p>
    <w:p w14:paraId="1E8F8AC7" w14:textId="77777777" w:rsidR="00763BC9" w:rsidRDefault="00763BC9" w:rsidP="00763BC9">
      <w:pPr>
        <w:ind w:firstLine="720"/>
        <w:jc w:val="both"/>
        <w:rPr>
          <w:rFonts w:ascii="Times New Roman" w:hAnsi="Times New Roman"/>
          <w:szCs w:val="24"/>
        </w:rPr>
      </w:pPr>
    </w:p>
    <w:p w14:paraId="03CBB602" w14:textId="448F2FD4" w:rsidR="00763BC9" w:rsidRPr="00DB5ED6" w:rsidRDefault="00763BC9" w:rsidP="00763BC9">
      <w:pPr>
        <w:ind w:firstLine="720"/>
        <w:jc w:val="both"/>
        <w:rPr>
          <w:rFonts w:ascii="Times New Roman" w:hAnsi="Times New Roman"/>
          <w:szCs w:val="24"/>
        </w:rPr>
      </w:pPr>
      <w:r w:rsidRPr="00CA46DE">
        <w:rPr>
          <w:rFonts w:ascii="Times New Roman" w:hAnsi="Times New Roman"/>
          <w:b/>
          <w:szCs w:val="24"/>
        </w:rPr>
        <w:t>ORDERED FURTHER</w:t>
      </w:r>
      <w:r w:rsidRPr="00CA46DE">
        <w:rPr>
          <w:rFonts w:ascii="Times New Roman" w:hAnsi="Times New Roman"/>
          <w:szCs w:val="24"/>
        </w:rPr>
        <w:t xml:space="preserve">, that the Company shall amortize the balance of obsolete inventory, including units decertified in the 2019 IRP, ratably over the </w:t>
      </w:r>
      <w:r w:rsidR="000A41BA" w:rsidRPr="00CA46DE">
        <w:rPr>
          <w:rFonts w:ascii="Times New Roman" w:hAnsi="Times New Roman"/>
          <w:szCs w:val="24"/>
        </w:rPr>
        <w:t>three-year</w:t>
      </w:r>
      <w:r w:rsidRPr="00CA46DE">
        <w:rPr>
          <w:rFonts w:ascii="Times New Roman" w:hAnsi="Times New Roman"/>
          <w:szCs w:val="24"/>
        </w:rPr>
        <w:t xml:space="preserve"> period ending December 31, 2022.</w:t>
      </w:r>
    </w:p>
    <w:p w14:paraId="391229AB" w14:textId="77777777" w:rsidR="00763BC9" w:rsidRPr="007B6E38" w:rsidRDefault="00763BC9" w:rsidP="00763BC9">
      <w:pPr>
        <w:jc w:val="both"/>
        <w:rPr>
          <w:rFonts w:ascii="Times New Roman" w:hAnsi="Times New Roman"/>
          <w:szCs w:val="24"/>
          <w:highlight w:val="yellow"/>
        </w:rPr>
      </w:pPr>
    </w:p>
    <w:p w14:paraId="08D54EC8" w14:textId="77777777" w:rsidR="00763BC9" w:rsidRDefault="00763BC9" w:rsidP="00763BC9">
      <w:pPr>
        <w:ind w:firstLine="720"/>
        <w:jc w:val="both"/>
        <w:rPr>
          <w:rFonts w:ascii="Times New Roman" w:hAnsi="Times New Roman"/>
          <w:szCs w:val="24"/>
        </w:rPr>
      </w:pPr>
      <w:r w:rsidRPr="007B6E38">
        <w:rPr>
          <w:rFonts w:ascii="Times New Roman" w:hAnsi="Times New Roman"/>
          <w:b/>
          <w:bCs/>
          <w:szCs w:val="24"/>
        </w:rPr>
        <w:t>ORDERED FURTHER</w:t>
      </w:r>
      <w:r w:rsidRPr="00A9138A">
        <w:rPr>
          <w:rFonts w:ascii="Times New Roman" w:hAnsi="Times New Roman"/>
          <w:bCs/>
          <w:szCs w:val="24"/>
        </w:rPr>
        <w:t>,</w:t>
      </w:r>
      <w:r w:rsidRPr="007B6E38">
        <w:rPr>
          <w:rFonts w:ascii="Times New Roman" w:hAnsi="Times New Roman"/>
          <w:b/>
          <w:bCs/>
          <w:szCs w:val="24"/>
        </w:rPr>
        <w:t xml:space="preserve"> </w:t>
      </w:r>
      <w:r w:rsidRPr="007B6E38">
        <w:rPr>
          <w:rFonts w:ascii="Times New Roman" w:hAnsi="Times New Roman"/>
          <w:szCs w:val="24"/>
        </w:rPr>
        <w:t xml:space="preserve">the Company’s Cost of Service Study as filed in the testimony of Larry J. Vogt is approved. </w:t>
      </w:r>
    </w:p>
    <w:p w14:paraId="7A3BF0F8" w14:textId="77777777" w:rsidR="00763BC9" w:rsidRPr="007B6E38" w:rsidRDefault="00763BC9" w:rsidP="00763BC9">
      <w:pPr>
        <w:jc w:val="both"/>
        <w:rPr>
          <w:rFonts w:ascii="Times New Roman" w:hAnsi="Times New Roman"/>
          <w:szCs w:val="24"/>
        </w:rPr>
      </w:pPr>
    </w:p>
    <w:p w14:paraId="689861A3" w14:textId="3C26CDF2" w:rsidR="00763BC9" w:rsidRDefault="00763BC9" w:rsidP="00763BC9">
      <w:pPr>
        <w:ind w:firstLine="720"/>
        <w:jc w:val="both"/>
        <w:rPr>
          <w:rFonts w:ascii="Times New Roman" w:hAnsi="Times New Roman"/>
        </w:rPr>
      </w:pPr>
      <w:r w:rsidRPr="007B6E38">
        <w:rPr>
          <w:rFonts w:ascii="Times New Roman" w:hAnsi="Times New Roman"/>
          <w:b/>
          <w:bCs/>
          <w:szCs w:val="24"/>
        </w:rPr>
        <w:t>ORDERED FURTHER</w:t>
      </w:r>
      <w:r w:rsidR="00A9138A" w:rsidRPr="00A9138A">
        <w:rPr>
          <w:rFonts w:ascii="Times New Roman" w:hAnsi="Times New Roman"/>
          <w:bCs/>
          <w:szCs w:val="24"/>
        </w:rPr>
        <w:t>,</w:t>
      </w:r>
      <w:r w:rsidRPr="00C324A8">
        <w:rPr>
          <w:rFonts w:ascii="Times New Roman" w:hAnsi="Times New Roman"/>
        </w:rPr>
        <w:t xml:space="preserve"> </w:t>
      </w:r>
      <w:r w:rsidR="002B565A">
        <w:rPr>
          <w:rFonts w:ascii="Times New Roman" w:hAnsi="Times New Roman"/>
        </w:rPr>
        <w:t>that the</w:t>
      </w:r>
      <w:r w:rsidRPr="00C324A8">
        <w:rPr>
          <w:rFonts w:ascii="Times New Roman" w:hAnsi="Times New Roman"/>
        </w:rPr>
        <w:t xml:space="preserve"> Company should move the basic service charge closer toward the customer</w:t>
      </w:r>
      <w:r w:rsidR="002B565A">
        <w:rPr>
          <w:rFonts w:ascii="Times New Roman" w:hAnsi="Times New Roman"/>
        </w:rPr>
        <w:t>-</w:t>
      </w:r>
      <w:r w:rsidRPr="00C324A8">
        <w:rPr>
          <w:rFonts w:ascii="Times New Roman" w:hAnsi="Times New Roman"/>
        </w:rPr>
        <w:t>related costs calculated in the</w:t>
      </w:r>
      <w:r w:rsidR="000604FB">
        <w:rPr>
          <w:rFonts w:ascii="Times New Roman" w:hAnsi="Times New Roman"/>
        </w:rPr>
        <w:t xml:space="preserve"> cost of service study</w:t>
      </w:r>
      <w:r w:rsidRPr="00C324A8">
        <w:rPr>
          <w:rFonts w:ascii="Times New Roman" w:hAnsi="Times New Roman"/>
        </w:rPr>
        <w:t xml:space="preserve"> as recommended by Larry T. Legg.  The fees should be increased in each of the three years of the ARP as filed.</w:t>
      </w:r>
    </w:p>
    <w:p w14:paraId="38E69AAF" w14:textId="77777777" w:rsidR="00763BC9" w:rsidRDefault="00763BC9" w:rsidP="00763BC9">
      <w:pPr>
        <w:ind w:firstLine="720"/>
        <w:jc w:val="both"/>
        <w:rPr>
          <w:rFonts w:ascii="Times New Roman" w:hAnsi="Times New Roman"/>
        </w:rPr>
      </w:pPr>
    </w:p>
    <w:p w14:paraId="0F57E403" w14:textId="4822434D" w:rsidR="00763BC9" w:rsidRPr="00953937" w:rsidRDefault="00763BC9" w:rsidP="000604FB">
      <w:pPr>
        <w:ind w:firstLine="720"/>
        <w:jc w:val="both"/>
        <w:rPr>
          <w:rFonts w:ascii="Times New Roman" w:hAnsi="Times New Roman"/>
        </w:rPr>
      </w:pPr>
      <w:r w:rsidRPr="00DC498D">
        <w:rPr>
          <w:rFonts w:ascii="Times New Roman" w:hAnsi="Times New Roman"/>
          <w:b/>
        </w:rPr>
        <w:t>ORDERED FURTHER</w:t>
      </w:r>
      <w:r>
        <w:rPr>
          <w:rFonts w:ascii="Times New Roman" w:hAnsi="Times New Roman"/>
        </w:rPr>
        <w:t xml:space="preserve"> that </w:t>
      </w:r>
      <w:r w:rsidR="000604FB">
        <w:rPr>
          <w:rFonts w:ascii="Times New Roman" w:hAnsi="Times New Roman"/>
        </w:rPr>
        <w:t>t</w:t>
      </w:r>
      <w:r w:rsidRPr="00E6523A">
        <w:rPr>
          <w:rFonts w:ascii="Times New Roman" w:hAnsi="Times New Roman"/>
        </w:rPr>
        <w:t xml:space="preserve">he Company’s plan to modernize rates by making new residential premises ineligible for the </w:t>
      </w:r>
      <w:r w:rsidR="000604FB">
        <w:rPr>
          <w:rFonts w:ascii="Times New Roman" w:hAnsi="Times New Roman"/>
        </w:rPr>
        <w:t>‘</w:t>
      </w:r>
      <w:r w:rsidRPr="00E6523A">
        <w:rPr>
          <w:rFonts w:ascii="Times New Roman" w:hAnsi="Times New Roman"/>
        </w:rPr>
        <w:t>R</w:t>
      </w:r>
      <w:r w:rsidR="000604FB">
        <w:rPr>
          <w:rFonts w:ascii="Times New Roman" w:hAnsi="Times New Roman"/>
        </w:rPr>
        <w:t>’</w:t>
      </w:r>
      <w:r w:rsidRPr="00E6523A">
        <w:rPr>
          <w:rFonts w:ascii="Times New Roman" w:hAnsi="Times New Roman"/>
        </w:rPr>
        <w:t xml:space="preserve"> </w:t>
      </w:r>
      <w:r w:rsidR="000604FB">
        <w:rPr>
          <w:rFonts w:ascii="Times New Roman" w:hAnsi="Times New Roman"/>
        </w:rPr>
        <w:t>R</w:t>
      </w:r>
      <w:r w:rsidRPr="00E6523A">
        <w:rPr>
          <w:rFonts w:ascii="Times New Roman" w:hAnsi="Times New Roman"/>
        </w:rPr>
        <w:t xml:space="preserve">ate is approved.  </w:t>
      </w:r>
    </w:p>
    <w:p w14:paraId="39D2F8C5" w14:textId="77777777" w:rsidR="00763BC9" w:rsidRPr="007B6E38" w:rsidRDefault="00763BC9" w:rsidP="00763BC9">
      <w:pPr>
        <w:ind w:firstLine="720"/>
        <w:jc w:val="both"/>
        <w:rPr>
          <w:rFonts w:ascii="Times New Roman" w:hAnsi="Times New Roman"/>
          <w:b/>
          <w:szCs w:val="24"/>
        </w:rPr>
      </w:pPr>
    </w:p>
    <w:p w14:paraId="6D9E6173"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Pr="007B6E38">
        <w:rPr>
          <w:rFonts w:ascii="Times New Roman" w:hAnsi="Times New Roman"/>
          <w:szCs w:val="24"/>
        </w:rPr>
        <w:t xml:space="preserve">, that the Commission approves the addition of a customer generation section in the Company’s Rules and Regulations. </w:t>
      </w:r>
    </w:p>
    <w:p w14:paraId="700D6858" w14:textId="77777777" w:rsidR="00763BC9" w:rsidRPr="007B6E38" w:rsidRDefault="00763BC9" w:rsidP="00763BC9">
      <w:pPr>
        <w:ind w:firstLine="720"/>
        <w:jc w:val="both"/>
        <w:rPr>
          <w:rFonts w:ascii="Times New Roman" w:hAnsi="Times New Roman"/>
          <w:szCs w:val="24"/>
        </w:rPr>
      </w:pPr>
    </w:p>
    <w:p w14:paraId="4D68E3A4"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Pr="007B6E38">
        <w:rPr>
          <w:rFonts w:ascii="Times New Roman" w:hAnsi="Times New Roman"/>
          <w:szCs w:val="24"/>
        </w:rPr>
        <w:t>, that the Commission approves the Company’s request to eliminate fees customers pay when making payments at Authorized Payment Locations and through credit and debit card transactions.</w:t>
      </w:r>
    </w:p>
    <w:p w14:paraId="4BF1E52B" w14:textId="77777777" w:rsidR="00763BC9" w:rsidRPr="007B6E38" w:rsidRDefault="00763BC9" w:rsidP="00763BC9">
      <w:pPr>
        <w:ind w:firstLine="720"/>
        <w:jc w:val="both"/>
        <w:rPr>
          <w:rFonts w:ascii="Times New Roman" w:hAnsi="Times New Roman"/>
          <w:szCs w:val="24"/>
        </w:rPr>
      </w:pPr>
    </w:p>
    <w:p w14:paraId="19F16D41" w14:textId="77777777" w:rsidR="00763BC9" w:rsidRDefault="00763BC9" w:rsidP="00763BC9">
      <w:pPr>
        <w:ind w:firstLine="720"/>
        <w:jc w:val="both"/>
        <w:rPr>
          <w:rFonts w:ascii="Times New Roman" w:hAnsi="Times New Roman"/>
        </w:rPr>
      </w:pPr>
      <w:bookmarkStart w:id="5" w:name="_Hlk26334324"/>
      <w:r w:rsidRPr="007B6E38">
        <w:rPr>
          <w:rFonts w:ascii="Times New Roman" w:hAnsi="Times New Roman"/>
          <w:b/>
          <w:szCs w:val="24"/>
        </w:rPr>
        <w:t>ORDERED FURTHER</w:t>
      </w:r>
      <w:r w:rsidRPr="007B6E38">
        <w:rPr>
          <w:rFonts w:ascii="Times New Roman" w:hAnsi="Times New Roman"/>
          <w:szCs w:val="24"/>
        </w:rPr>
        <w:t xml:space="preserve">,  that </w:t>
      </w:r>
      <w:r>
        <w:rPr>
          <w:rFonts w:ascii="Times New Roman" w:hAnsi="Times New Roman"/>
        </w:rPr>
        <w:t>t</w:t>
      </w:r>
      <w:r w:rsidRPr="00E6523A">
        <w:rPr>
          <w:rFonts w:ascii="Times New Roman" w:hAnsi="Times New Roman"/>
        </w:rPr>
        <w:t xml:space="preserve">he Commission specifically approves </w:t>
      </w:r>
      <w:r>
        <w:rPr>
          <w:rFonts w:ascii="Times New Roman" w:hAnsi="Times New Roman"/>
        </w:rPr>
        <w:t xml:space="preserve">the Company’s proposed </w:t>
      </w:r>
      <w:r w:rsidRPr="00E6523A">
        <w:rPr>
          <w:rFonts w:ascii="Times New Roman" w:hAnsi="Times New Roman"/>
        </w:rPr>
        <w:t>changes to the TOU-RD, BU, DPEC Rider, RTP, RNR and Simple Solar tariffs.</w:t>
      </w:r>
    </w:p>
    <w:bookmarkEnd w:id="5"/>
    <w:p w14:paraId="5DF906CA" w14:textId="77777777" w:rsidR="00A9138A" w:rsidRDefault="00A9138A" w:rsidP="00763BC9">
      <w:pPr>
        <w:ind w:firstLine="720"/>
        <w:jc w:val="both"/>
        <w:rPr>
          <w:rFonts w:ascii="Times New Roman" w:hAnsi="Times New Roman"/>
        </w:rPr>
      </w:pPr>
    </w:p>
    <w:p w14:paraId="35866BB8" w14:textId="77777777" w:rsidR="00A9138A" w:rsidRDefault="00A9138A" w:rsidP="00763BC9">
      <w:pPr>
        <w:ind w:firstLine="720"/>
        <w:jc w:val="both"/>
        <w:rPr>
          <w:rFonts w:ascii="Times New Roman" w:hAnsi="Times New Roman"/>
        </w:rPr>
      </w:pPr>
      <w:bookmarkStart w:id="6" w:name="_Hlk26334315"/>
      <w:r w:rsidRPr="00A9138A">
        <w:rPr>
          <w:rFonts w:ascii="Times New Roman" w:hAnsi="Times New Roman"/>
          <w:b/>
        </w:rPr>
        <w:t>ORDERED FURTHER</w:t>
      </w:r>
      <w:r>
        <w:rPr>
          <w:rFonts w:ascii="Times New Roman" w:hAnsi="Times New Roman"/>
        </w:rPr>
        <w:t xml:space="preserve">, that the Commission finds that </w:t>
      </w:r>
      <w:r w:rsidRPr="00A9138A">
        <w:rPr>
          <w:rFonts w:ascii="Times New Roman" w:hAnsi="Times New Roman"/>
        </w:rPr>
        <w:t xml:space="preserve">Georgia Power appropriately measures and compensates RNR customers for electricity produced and consumed during the billing period through the RNR tariff and </w:t>
      </w:r>
      <w:r>
        <w:rPr>
          <w:rFonts w:ascii="Times New Roman" w:hAnsi="Times New Roman"/>
        </w:rPr>
        <w:t>that the Company</w:t>
      </w:r>
      <w:r w:rsidR="00594AB9">
        <w:rPr>
          <w:rFonts w:ascii="Times New Roman" w:hAnsi="Times New Roman"/>
        </w:rPr>
        <w:t>’s implementation of the RNR tariff</w:t>
      </w:r>
      <w:r>
        <w:rPr>
          <w:rFonts w:ascii="Times New Roman" w:hAnsi="Times New Roman"/>
        </w:rPr>
        <w:t xml:space="preserve"> </w:t>
      </w:r>
      <w:r w:rsidRPr="00A9138A">
        <w:rPr>
          <w:rFonts w:ascii="Times New Roman" w:hAnsi="Times New Roman"/>
        </w:rPr>
        <w:t>is</w:t>
      </w:r>
      <w:r>
        <w:rPr>
          <w:rFonts w:ascii="Times New Roman" w:hAnsi="Times New Roman"/>
        </w:rPr>
        <w:t xml:space="preserve"> and has been</w:t>
      </w:r>
      <w:r w:rsidRPr="00A9138A">
        <w:rPr>
          <w:rFonts w:ascii="Times New Roman" w:hAnsi="Times New Roman"/>
        </w:rPr>
        <w:t xml:space="preserve"> compliant with the Georgia Distributed Generation and Cogeneration Act</w:t>
      </w:r>
      <w:r>
        <w:rPr>
          <w:rFonts w:ascii="Times New Roman" w:hAnsi="Times New Roman"/>
        </w:rPr>
        <w:t xml:space="preserve"> since the RNR tariff was enacted</w:t>
      </w:r>
      <w:r w:rsidRPr="00A9138A">
        <w:rPr>
          <w:rFonts w:ascii="Times New Roman" w:hAnsi="Times New Roman"/>
        </w:rPr>
        <w:t>.</w:t>
      </w:r>
    </w:p>
    <w:bookmarkEnd w:id="6"/>
    <w:p w14:paraId="00DF40BF" w14:textId="77777777" w:rsidR="00763BC9" w:rsidRDefault="00763BC9" w:rsidP="00763BC9">
      <w:pPr>
        <w:jc w:val="both"/>
        <w:rPr>
          <w:rFonts w:ascii="Times New Roman" w:hAnsi="Times New Roman"/>
        </w:rPr>
      </w:pPr>
    </w:p>
    <w:p w14:paraId="0FC39D22" w14:textId="77777777" w:rsidR="00763BC9" w:rsidRPr="000E6E8E" w:rsidRDefault="00763BC9" w:rsidP="00763BC9">
      <w:pPr>
        <w:ind w:firstLine="720"/>
        <w:jc w:val="both"/>
        <w:rPr>
          <w:rFonts w:ascii="Times New Roman" w:hAnsi="Times New Roman"/>
        </w:rPr>
      </w:pPr>
      <w:r w:rsidRPr="007B6E38">
        <w:rPr>
          <w:rFonts w:ascii="Times New Roman" w:hAnsi="Times New Roman"/>
          <w:b/>
          <w:szCs w:val="24"/>
        </w:rPr>
        <w:t>ORDERED FURTHER</w:t>
      </w:r>
      <w:r w:rsidRPr="000E6E8E">
        <w:rPr>
          <w:rFonts w:ascii="Times New Roman" w:hAnsi="Times New Roman"/>
        </w:rPr>
        <w:t xml:space="preserve"> </w:t>
      </w:r>
      <w:r>
        <w:rPr>
          <w:rFonts w:ascii="Times New Roman" w:hAnsi="Times New Roman"/>
        </w:rPr>
        <w:t>that t</w:t>
      </w:r>
      <w:r w:rsidRPr="000E6E8E">
        <w:rPr>
          <w:rFonts w:ascii="Times New Roman" w:hAnsi="Times New Roman"/>
        </w:rPr>
        <w:t>he Commission approves the Company’s clarification of the applicability in the FS, SCH and SLM tariffs.</w:t>
      </w:r>
    </w:p>
    <w:p w14:paraId="5E6FC83D" w14:textId="77777777" w:rsidR="00763BC9" w:rsidRPr="007B6E38" w:rsidRDefault="00763BC9" w:rsidP="00763BC9">
      <w:pPr>
        <w:jc w:val="both"/>
        <w:rPr>
          <w:rFonts w:ascii="Times New Roman" w:hAnsi="Times New Roman"/>
          <w:b/>
          <w:szCs w:val="24"/>
        </w:rPr>
      </w:pPr>
    </w:p>
    <w:p w14:paraId="0161BBEB"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szCs w:val="24"/>
        </w:rPr>
        <w:t>ORDERED FURTHER</w:t>
      </w:r>
      <w:r w:rsidRPr="007B6E38">
        <w:rPr>
          <w:rFonts w:ascii="Times New Roman" w:hAnsi="Times New Roman"/>
          <w:szCs w:val="24"/>
        </w:rPr>
        <w:t xml:space="preserve">,  that the Commission approves the Company’s request to close the OLG, OLNG, and TC-U tariffs.  </w:t>
      </w:r>
    </w:p>
    <w:p w14:paraId="1D72E9CF" w14:textId="77777777" w:rsidR="00763BC9" w:rsidRPr="007B6E38" w:rsidRDefault="00763BC9" w:rsidP="00763BC9">
      <w:pPr>
        <w:jc w:val="both"/>
        <w:rPr>
          <w:rFonts w:ascii="Times New Roman" w:hAnsi="Times New Roman"/>
          <w:b/>
          <w:bCs/>
          <w:szCs w:val="24"/>
        </w:rPr>
      </w:pPr>
    </w:p>
    <w:p w14:paraId="5C806FF5" w14:textId="6E330C02" w:rsidR="00763BC9" w:rsidRDefault="00763BC9" w:rsidP="00763BC9">
      <w:pPr>
        <w:ind w:firstLine="720"/>
        <w:jc w:val="both"/>
        <w:rPr>
          <w:rFonts w:ascii="Times New Roman" w:hAnsi="Times New Roman"/>
        </w:rPr>
      </w:pPr>
      <w:r w:rsidRPr="007B6E38">
        <w:rPr>
          <w:rFonts w:ascii="Times New Roman" w:hAnsi="Times New Roman"/>
          <w:b/>
          <w:szCs w:val="24"/>
        </w:rPr>
        <w:t>ORDERED FURTHER</w:t>
      </w:r>
      <w:r w:rsidRPr="007B6E38">
        <w:rPr>
          <w:rFonts w:ascii="Times New Roman" w:hAnsi="Times New Roman"/>
          <w:szCs w:val="24"/>
        </w:rPr>
        <w:t xml:space="preserve">,  </w:t>
      </w:r>
      <w:r w:rsidR="00CF7C3C">
        <w:rPr>
          <w:rFonts w:ascii="Times New Roman" w:hAnsi="Times New Roman"/>
        </w:rPr>
        <w:t>that t</w:t>
      </w:r>
      <w:r w:rsidRPr="00E6523A">
        <w:rPr>
          <w:rFonts w:ascii="Times New Roman" w:hAnsi="Times New Roman"/>
        </w:rPr>
        <w:t xml:space="preserve">he Company will be allowed to expand FlatBill eligibility to new customers at a premise that has 12 months of prior usage history.  </w:t>
      </w:r>
    </w:p>
    <w:p w14:paraId="10467AC5" w14:textId="77777777" w:rsidR="00CF7C3C" w:rsidRDefault="00CF7C3C" w:rsidP="00CF7C3C">
      <w:pPr>
        <w:jc w:val="both"/>
        <w:rPr>
          <w:rFonts w:ascii="Times New Roman" w:hAnsi="Times New Roman"/>
        </w:rPr>
      </w:pPr>
    </w:p>
    <w:p w14:paraId="7AE082DF" w14:textId="77777777" w:rsidR="00CF7C3C" w:rsidRDefault="00CF7C3C" w:rsidP="00CF7C3C">
      <w:pPr>
        <w:ind w:firstLine="720"/>
        <w:jc w:val="both"/>
        <w:rPr>
          <w:rFonts w:ascii="Times New Roman" w:hAnsi="Times New Roman"/>
        </w:rPr>
      </w:pPr>
      <w:r w:rsidRPr="00DC498D">
        <w:rPr>
          <w:rFonts w:ascii="Times New Roman" w:hAnsi="Times New Roman"/>
          <w:b/>
        </w:rPr>
        <w:t>ORDERED FURTHER</w:t>
      </w:r>
      <w:r w:rsidRPr="00A9138A">
        <w:rPr>
          <w:rFonts w:ascii="Times New Roman" w:hAnsi="Times New Roman"/>
        </w:rPr>
        <w:t>,</w:t>
      </w:r>
      <w:r>
        <w:rPr>
          <w:rFonts w:ascii="Times New Roman" w:hAnsi="Times New Roman"/>
        </w:rPr>
        <w:t xml:space="preserve"> that a</w:t>
      </w:r>
      <w:r w:rsidRPr="00DC498D">
        <w:rPr>
          <w:rFonts w:ascii="Times New Roman" w:hAnsi="Times New Roman"/>
        </w:rPr>
        <w:t>ll changes to tariffs, riders, rules and regulations filed by the Company should be approved as filed</w:t>
      </w:r>
      <w:r>
        <w:rPr>
          <w:rFonts w:ascii="Times New Roman" w:hAnsi="Times New Roman"/>
        </w:rPr>
        <w:t xml:space="preserve"> unless ordered otherwise in this Order</w:t>
      </w:r>
      <w:r w:rsidRPr="00DC498D">
        <w:rPr>
          <w:rFonts w:ascii="Times New Roman" w:hAnsi="Times New Roman"/>
        </w:rPr>
        <w:t>.</w:t>
      </w:r>
    </w:p>
    <w:p w14:paraId="4653F377" w14:textId="77777777" w:rsidR="00763BC9" w:rsidRDefault="00763BC9" w:rsidP="00763BC9">
      <w:pPr>
        <w:jc w:val="both"/>
        <w:rPr>
          <w:rFonts w:ascii="Times New Roman" w:hAnsi="Times New Roman"/>
        </w:rPr>
      </w:pPr>
    </w:p>
    <w:p w14:paraId="1DAFFC24" w14:textId="77777777" w:rsidR="00763BC9" w:rsidRDefault="00763BC9" w:rsidP="00763BC9">
      <w:pPr>
        <w:ind w:firstLine="720"/>
        <w:jc w:val="both"/>
        <w:rPr>
          <w:rFonts w:ascii="Times New Roman" w:hAnsi="Times New Roman"/>
        </w:rPr>
      </w:pPr>
      <w:r w:rsidRPr="000E6E8E">
        <w:rPr>
          <w:rFonts w:ascii="Times New Roman" w:hAnsi="Times New Roman"/>
          <w:b/>
        </w:rPr>
        <w:t>ORDERED FURTHER</w:t>
      </w:r>
      <w:r w:rsidRPr="000E6E8E">
        <w:rPr>
          <w:rFonts w:ascii="Times New Roman" w:hAnsi="Times New Roman"/>
        </w:rPr>
        <w:t>, that the Company shall further study the need for and costs of providing hourly data to customers and file this information with the Commission within six months of the date of this order.</w:t>
      </w:r>
    </w:p>
    <w:p w14:paraId="0368B7BD" w14:textId="77777777" w:rsidR="00763BC9" w:rsidRPr="00CA65A3" w:rsidRDefault="00763BC9" w:rsidP="00763BC9">
      <w:pPr>
        <w:ind w:firstLine="720"/>
        <w:jc w:val="both"/>
        <w:rPr>
          <w:rFonts w:ascii="Times New Roman" w:hAnsi="Times New Roman"/>
          <w:b/>
          <w:szCs w:val="24"/>
        </w:rPr>
      </w:pPr>
    </w:p>
    <w:p w14:paraId="635D8C26" w14:textId="5441F659" w:rsidR="00763BC9" w:rsidRDefault="00763BC9" w:rsidP="00763BC9">
      <w:pPr>
        <w:ind w:firstLine="720"/>
        <w:jc w:val="both"/>
        <w:rPr>
          <w:rFonts w:ascii="Times New Roman" w:hAnsi="Times New Roman"/>
          <w:szCs w:val="24"/>
        </w:rPr>
      </w:pPr>
      <w:r w:rsidRPr="00CA65A3">
        <w:rPr>
          <w:rFonts w:ascii="Times New Roman" w:hAnsi="Times New Roman"/>
          <w:b/>
          <w:szCs w:val="24"/>
        </w:rPr>
        <w:t>ORDERED FURTHER</w:t>
      </w:r>
      <w:r w:rsidRPr="00CA65A3">
        <w:rPr>
          <w:rFonts w:ascii="Times New Roman" w:hAnsi="Times New Roman"/>
          <w:szCs w:val="24"/>
        </w:rPr>
        <w:t>, that the Company shall maintain the senior citizen low income discount a</w:t>
      </w:r>
      <w:r w:rsidR="00CF7C3C">
        <w:rPr>
          <w:rFonts w:ascii="Times New Roman" w:hAnsi="Times New Roman"/>
          <w:szCs w:val="24"/>
        </w:rPr>
        <w:t>t</w:t>
      </w:r>
      <w:r w:rsidRPr="00CA65A3">
        <w:rPr>
          <w:rFonts w:ascii="Times New Roman" w:hAnsi="Times New Roman"/>
          <w:szCs w:val="24"/>
        </w:rPr>
        <w:t xml:space="preserve"> present levels and as currently structured without modification.</w:t>
      </w:r>
    </w:p>
    <w:p w14:paraId="16D67A61" w14:textId="77777777" w:rsidR="00763BC9" w:rsidRPr="007B6E38" w:rsidRDefault="00763BC9" w:rsidP="00763BC9">
      <w:pPr>
        <w:jc w:val="both"/>
        <w:rPr>
          <w:rFonts w:ascii="Times New Roman" w:hAnsi="Times New Roman"/>
          <w:b/>
          <w:bCs/>
          <w:szCs w:val="24"/>
        </w:rPr>
      </w:pPr>
    </w:p>
    <w:p w14:paraId="3D219648" w14:textId="77777777" w:rsidR="00763BC9" w:rsidRPr="007B6E38" w:rsidRDefault="00763BC9" w:rsidP="00763BC9">
      <w:pPr>
        <w:ind w:firstLine="720"/>
        <w:jc w:val="both"/>
        <w:rPr>
          <w:rFonts w:ascii="Times New Roman" w:hAnsi="Times New Roman"/>
          <w:szCs w:val="24"/>
        </w:rPr>
      </w:pPr>
      <w:r w:rsidRPr="007B6E38">
        <w:rPr>
          <w:rFonts w:ascii="Times New Roman" w:hAnsi="Times New Roman"/>
          <w:b/>
          <w:bCs/>
          <w:szCs w:val="24"/>
        </w:rPr>
        <w:t xml:space="preserve">ORDERED FURTHER, </w:t>
      </w:r>
      <w:r w:rsidRPr="007B6E38">
        <w:rPr>
          <w:rFonts w:ascii="Times New Roman" w:hAnsi="Times New Roman"/>
          <w:szCs w:val="24"/>
        </w:rPr>
        <w:t xml:space="preserve">that Georgia Power shall file compliance tariffs within 30 days of the issuance of this Order, reflecting rates to implement the rate increases ordered herein.  These tariffs shall reflect the rate allocations adopted in this Order, and shall be subject to the Commission’s review for final approval.  </w:t>
      </w:r>
    </w:p>
    <w:p w14:paraId="4C8F2717" w14:textId="77777777" w:rsidR="00763BC9" w:rsidRPr="007B6E38" w:rsidRDefault="00763BC9" w:rsidP="00763BC9">
      <w:pPr>
        <w:jc w:val="both"/>
        <w:rPr>
          <w:rFonts w:ascii="Times New Roman" w:hAnsi="Times New Roman"/>
          <w:b/>
          <w:bCs/>
          <w:szCs w:val="24"/>
          <w:highlight w:val="yellow"/>
        </w:rPr>
      </w:pPr>
    </w:p>
    <w:p w14:paraId="2ADB7C84" w14:textId="77777777" w:rsidR="00763BC9" w:rsidRPr="007B6E38" w:rsidRDefault="00763BC9" w:rsidP="00763BC9">
      <w:pPr>
        <w:jc w:val="both"/>
        <w:rPr>
          <w:rFonts w:ascii="Times New Roman" w:hAnsi="Times New Roman"/>
          <w:szCs w:val="24"/>
        </w:rPr>
      </w:pPr>
      <w:r w:rsidRPr="007B6E38">
        <w:rPr>
          <w:rFonts w:ascii="Times New Roman" w:hAnsi="Times New Roman"/>
          <w:szCs w:val="24"/>
        </w:rPr>
        <w:tab/>
      </w:r>
      <w:r w:rsidRPr="007B6E38">
        <w:rPr>
          <w:rFonts w:ascii="Times New Roman" w:hAnsi="Times New Roman"/>
          <w:b/>
          <w:bCs/>
          <w:szCs w:val="24"/>
        </w:rPr>
        <w:t>ORDERED FURTHER</w:t>
      </w:r>
      <w:r w:rsidRPr="007B6E38">
        <w:rPr>
          <w:rFonts w:ascii="Times New Roman" w:hAnsi="Times New Roman"/>
          <w:szCs w:val="24"/>
        </w:rPr>
        <w:t>, that all findings, conclusions and decisions contained within the preceding sections of this Order are adopted as findings of fact, conclusions of law, and decisions of regulatory policy of this Commission.</w:t>
      </w:r>
    </w:p>
    <w:p w14:paraId="4144A1A7" w14:textId="77777777" w:rsidR="00763BC9" w:rsidRPr="007B6E38" w:rsidRDefault="00763BC9" w:rsidP="00763BC9">
      <w:pPr>
        <w:jc w:val="both"/>
        <w:rPr>
          <w:rFonts w:ascii="Times New Roman" w:hAnsi="Times New Roman"/>
          <w:szCs w:val="24"/>
          <w:highlight w:val="yellow"/>
        </w:rPr>
      </w:pPr>
    </w:p>
    <w:p w14:paraId="00FA6B5F" w14:textId="77777777" w:rsidR="00763BC9" w:rsidRPr="007B6E38" w:rsidRDefault="00763BC9" w:rsidP="00763BC9">
      <w:pPr>
        <w:jc w:val="both"/>
        <w:rPr>
          <w:rFonts w:ascii="Times New Roman" w:hAnsi="Times New Roman"/>
          <w:szCs w:val="24"/>
        </w:rPr>
      </w:pPr>
      <w:r w:rsidRPr="007B6E38">
        <w:rPr>
          <w:rFonts w:ascii="Times New Roman" w:hAnsi="Times New Roman"/>
          <w:szCs w:val="24"/>
        </w:rPr>
        <w:tab/>
      </w:r>
      <w:r w:rsidRPr="007B6E38">
        <w:rPr>
          <w:rFonts w:ascii="Times New Roman" w:hAnsi="Times New Roman"/>
          <w:b/>
          <w:bCs/>
          <w:szCs w:val="24"/>
        </w:rPr>
        <w:t xml:space="preserve">ORDERED FURTHER, </w:t>
      </w:r>
      <w:r w:rsidRPr="007B6E38">
        <w:rPr>
          <w:rFonts w:ascii="Times New Roman" w:hAnsi="Times New Roman"/>
          <w:szCs w:val="24"/>
        </w:rPr>
        <w:t>that jurisdiction over this proceeding is expressly retained for the purpose of entering such further order or orders as this Commission may deem proper.</w:t>
      </w:r>
    </w:p>
    <w:p w14:paraId="21F5DDFA" w14:textId="77777777" w:rsidR="00763BC9" w:rsidRPr="007B6E38" w:rsidRDefault="00763BC9" w:rsidP="00763BC9">
      <w:pPr>
        <w:jc w:val="both"/>
        <w:rPr>
          <w:rFonts w:ascii="Times New Roman" w:hAnsi="Times New Roman"/>
          <w:szCs w:val="24"/>
        </w:rPr>
      </w:pPr>
    </w:p>
    <w:p w14:paraId="705177B7" w14:textId="77777777" w:rsidR="00763BC9" w:rsidRPr="007B6E38" w:rsidRDefault="00763BC9" w:rsidP="00763BC9">
      <w:pPr>
        <w:jc w:val="both"/>
        <w:rPr>
          <w:rFonts w:ascii="Times New Roman" w:hAnsi="Times New Roman"/>
          <w:szCs w:val="24"/>
        </w:rPr>
      </w:pPr>
      <w:r w:rsidRPr="007B6E38">
        <w:rPr>
          <w:rFonts w:ascii="Times New Roman" w:hAnsi="Times New Roman"/>
          <w:szCs w:val="24"/>
        </w:rPr>
        <w:tab/>
      </w:r>
      <w:r w:rsidRPr="007B6E38">
        <w:rPr>
          <w:rFonts w:ascii="Times New Roman" w:hAnsi="Times New Roman"/>
          <w:b/>
          <w:bCs/>
          <w:szCs w:val="24"/>
        </w:rPr>
        <w:t xml:space="preserve">ORDERED FURTHER, </w:t>
      </w:r>
      <w:r w:rsidRPr="007B6E38">
        <w:rPr>
          <w:rFonts w:ascii="Times New Roman" w:hAnsi="Times New Roman"/>
          <w:szCs w:val="24"/>
        </w:rPr>
        <w:t>any motion for reconsideration, rehearing, or oral argument shall not stay the effectiveness of this order unless expressly ordered by the Commission.</w:t>
      </w:r>
    </w:p>
    <w:p w14:paraId="006AA028" w14:textId="77777777" w:rsidR="00763BC9" w:rsidRPr="007B6E38" w:rsidRDefault="00763BC9" w:rsidP="00763BC9">
      <w:pPr>
        <w:jc w:val="both"/>
        <w:rPr>
          <w:rFonts w:ascii="Times New Roman" w:hAnsi="Times New Roman"/>
          <w:szCs w:val="24"/>
        </w:rPr>
      </w:pPr>
    </w:p>
    <w:p w14:paraId="158ED35C" w14:textId="77777777" w:rsidR="00763BC9" w:rsidRPr="007B6E38" w:rsidRDefault="00763BC9" w:rsidP="00DF50C4">
      <w:pPr>
        <w:keepNext/>
        <w:jc w:val="both"/>
        <w:rPr>
          <w:rFonts w:ascii="Times New Roman" w:hAnsi="Times New Roman"/>
          <w:szCs w:val="24"/>
        </w:rPr>
      </w:pPr>
      <w:r w:rsidRPr="007B6E38">
        <w:rPr>
          <w:rFonts w:ascii="Times New Roman" w:hAnsi="Times New Roman"/>
          <w:szCs w:val="24"/>
        </w:rPr>
        <w:tab/>
        <w:t>The above by action of the Commission in Administrative Session on the ___ day of December, 2019.</w:t>
      </w:r>
    </w:p>
    <w:p w14:paraId="234F2613" w14:textId="77777777" w:rsidR="00763BC9" w:rsidRPr="007B6E38" w:rsidRDefault="00763BC9" w:rsidP="00DF50C4">
      <w:pPr>
        <w:keepNext/>
        <w:jc w:val="both"/>
        <w:rPr>
          <w:rFonts w:ascii="Times New Roman" w:hAnsi="Times New Roman"/>
          <w:szCs w:val="24"/>
        </w:rPr>
      </w:pPr>
    </w:p>
    <w:p w14:paraId="2E7467FB" w14:textId="77777777" w:rsidR="00763BC9" w:rsidRPr="007B6E38" w:rsidRDefault="00763BC9" w:rsidP="00DF50C4">
      <w:pPr>
        <w:keepNext/>
        <w:jc w:val="both"/>
        <w:rPr>
          <w:rFonts w:ascii="Times New Roman" w:hAnsi="Times New Roman"/>
          <w:szCs w:val="24"/>
        </w:rPr>
      </w:pPr>
    </w:p>
    <w:p w14:paraId="42C5C570" w14:textId="77777777" w:rsidR="00763BC9" w:rsidRPr="007B6E38" w:rsidRDefault="00763BC9" w:rsidP="00DF50C4">
      <w:pPr>
        <w:keepNext/>
        <w:jc w:val="both"/>
        <w:rPr>
          <w:rFonts w:ascii="Times New Roman" w:hAnsi="Times New Roman"/>
          <w:szCs w:val="24"/>
        </w:rPr>
      </w:pPr>
    </w:p>
    <w:p w14:paraId="38343331" w14:textId="77777777" w:rsidR="00763BC9" w:rsidRPr="007B6E38" w:rsidRDefault="00763BC9" w:rsidP="00DF50C4">
      <w:pPr>
        <w:keepNext/>
        <w:jc w:val="both"/>
        <w:rPr>
          <w:rFonts w:ascii="Times New Roman" w:hAnsi="Times New Roman"/>
          <w:szCs w:val="24"/>
        </w:rPr>
      </w:pPr>
      <w:r w:rsidRPr="007B6E38">
        <w:rPr>
          <w:rFonts w:ascii="Times New Roman" w:hAnsi="Times New Roman"/>
          <w:szCs w:val="24"/>
        </w:rPr>
        <w:t>_______________________</w:t>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t>_________________________</w:t>
      </w:r>
    </w:p>
    <w:p w14:paraId="459CA456" w14:textId="3351E13E" w:rsidR="00763BC9" w:rsidRPr="007B6E38" w:rsidRDefault="00763BC9" w:rsidP="00DF50C4">
      <w:pPr>
        <w:keepNext/>
        <w:tabs>
          <w:tab w:val="left" w:pos="-720"/>
        </w:tabs>
        <w:suppressAutoHyphens/>
        <w:jc w:val="both"/>
        <w:rPr>
          <w:rFonts w:ascii="Times New Roman" w:hAnsi="Times New Roman"/>
          <w:color w:val="000000"/>
          <w:spacing w:val="-3"/>
          <w:szCs w:val="24"/>
        </w:rPr>
      </w:pPr>
      <w:r w:rsidRPr="007B6E38">
        <w:rPr>
          <w:rFonts w:ascii="Times New Roman" w:hAnsi="Times New Roman"/>
          <w:szCs w:val="24"/>
        </w:rPr>
        <w:t>Reece McAlister</w:t>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001D2DE8">
        <w:rPr>
          <w:rFonts w:ascii="Times New Roman" w:hAnsi="Times New Roman"/>
          <w:szCs w:val="24"/>
        </w:rPr>
        <w:t>Lauren “Bubba” McDonald</w:t>
      </w:r>
      <w:r w:rsidRPr="007B6E38">
        <w:rPr>
          <w:rFonts w:ascii="Times New Roman" w:hAnsi="Times New Roman"/>
          <w:color w:val="000000"/>
          <w:spacing w:val="-3"/>
          <w:szCs w:val="24"/>
        </w:rPr>
        <w:t xml:space="preserve"> </w:t>
      </w:r>
    </w:p>
    <w:p w14:paraId="2559404D" w14:textId="673AC796" w:rsidR="00763BC9" w:rsidRPr="007B6E38" w:rsidRDefault="00763BC9" w:rsidP="00DF50C4">
      <w:pPr>
        <w:keepNext/>
        <w:tabs>
          <w:tab w:val="left" w:pos="5820"/>
        </w:tabs>
        <w:jc w:val="both"/>
        <w:rPr>
          <w:rFonts w:ascii="Times New Roman" w:hAnsi="Times New Roman"/>
          <w:szCs w:val="24"/>
        </w:rPr>
      </w:pPr>
      <w:r w:rsidRPr="007B6E38">
        <w:rPr>
          <w:rFonts w:ascii="Times New Roman" w:hAnsi="Times New Roman"/>
          <w:szCs w:val="24"/>
        </w:rPr>
        <w:t>Executive Secretary                                                    Chairman</w:t>
      </w:r>
    </w:p>
    <w:p w14:paraId="6C048144" w14:textId="77777777" w:rsidR="00763BC9" w:rsidRPr="007B6E38" w:rsidRDefault="00763BC9" w:rsidP="00DF50C4">
      <w:pPr>
        <w:keepNext/>
        <w:jc w:val="both"/>
        <w:rPr>
          <w:rFonts w:ascii="Times New Roman" w:hAnsi="Times New Roman"/>
          <w:szCs w:val="24"/>
        </w:rPr>
      </w:pPr>
    </w:p>
    <w:p w14:paraId="03E00FDC" w14:textId="77777777" w:rsidR="00763BC9" w:rsidRPr="007B6E38" w:rsidRDefault="00763BC9" w:rsidP="00DF50C4">
      <w:pPr>
        <w:keepNext/>
        <w:jc w:val="both"/>
        <w:rPr>
          <w:rFonts w:ascii="Times New Roman" w:hAnsi="Times New Roman"/>
          <w:szCs w:val="24"/>
        </w:rPr>
      </w:pPr>
    </w:p>
    <w:p w14:paraId="45CD0BAA" w14:textId="77777777" w:rsidR="00763BC9" w:rsidRPr="007B6E38" w:rsidRDefault="00763BC9" w:rsidP="00DF50C4">
      <w:pPr>
        <w:keepNext/>
        <w:jc w:val="both"/>
        <w:rPr>
          <w:rFonts w:ascii="Times New Roman" w:hAnsi="Times New Roman"/>
          <w:szCs w:val="24"/>
        </w:rPr>
      </w:pPr>
      <w:r w:rsidRPr="007B6E38">
        <w:rPr>
          <w:rFonts w:ascii="Times New Roman" w:hAnsi="Times New Roman"/>
          <w:szCs w:val="24"/>
        </w:rPr>
        <w:t>_______________________</w:t>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r>
      <w:r w:rsidRPr="007B6E38">
        <w:rPr>
          <w:rFonts w:ascii="Times New Roman" w:hAnsi="Times New Roman"/>
          <w:szCs w:val="24"/>
        </w:rPr>
        <w:softHyphen/>
        <w:t>__________________________</w:t>
      </w:r>
    </w:p>
    <w:p w14:paraId="6645610E" w14:textId="77777777" w:rsidR="00763BC9" w:rsidRPr="007B6E38" w:rsidRDefault="00763BC9" w:rsidP="00DF50C4">
      <w:pPr>
        <w:keepNext/>
        <w:jc w:val="both"/>
        <w:rPr>
          <w:rFonts w:ascii="Times New Roman" w:hAnsi="Times New Roman"/>
          <w:szCs w:val="24"/>
        </w:rPr>
      </w:pPr>
      <w:r w:rsidRPr="007B6E38">
        <w:rPr>
          <w:rFonts w:ascii="Times New Roman" w:hAnsi="Times New Roman"/>
          <w:szCs w:val="24"/>
        </w:rPr>
        <w:t>Date</w:t>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r>
      <w:r w:rsidRPr="007B6E38">
        <w:rPr>
          <w:rFonts w:ascii="Times New Roman" w:hAnsi="Times New Roman"/>
          <w:szCs w:val="24"/>
        </w:rPr>
        <w:tab/>
        <w:t>Date</w:t>
      </w:r>
    </w:p>
    <w:p w14:paraId="0EA9504C" w14:textId="77777777" w:rsidR="00763BC9" w:rsidRPr="007B6E38" w:rsidRDefault="00763BC9" w:rsidP="00DF50C4">
      <w:pPr>
        <w:keepNext/>
        <w:rPr>
          <w:rFonts w:ascii="Times New Roman" w:hAnsi="Times New Roman"/>
          <w:szCs w:val="24"/>
        </w:rPr>
      </w:pPr>
    </w:p>
    <w:p w14:paraId="107A30E7" w14:textId="77777777" w:rsidR="00763BC9" w:rsidRPr="007B6E38" w:rsidRDefault="00763BC9" w:rsidP="00DF50C4">
      <w:pPr>
        <w:keepNext/>
        <w:rPr>
          <w:rFonts w:ascii="Times New Roman" w:hAnsi="Times New Roman"/>
          <w:b/>
          <w:szCs w:val="24"/>
        </w:rPr>
      </w:pPr>
    </w:p>
    <w:p w14:paraId="3AB2D7B9" w14:textId="77777777" w:rsidR="00763BC9" w:rsidRPr="007B6E38" w:rsidRDefault="00763BC9" w:rsidP="00DF50C4">
      <w:pPr>
        <w:keepNext/>
        <w:rPr>
          <w:rFonts w:ascii="Times New Roman" w:hAnsi="Times New Roman"/>
          <w:b/>
          <w:szCs w:val="24"/>
        </w:rPr>
      </w:pPr>
    </w:p>
    <w:p w14:paraId="7A0AAAD2" w14:textId="77777777" w:rsidR="00763BC9" w:rsidRPr="007B6E38" w:rsidRDefault="00763BC9" w:rsidP="00DF50C4">
      <w:pPr>
        <w:keepNext/>
        <w:rPr>
          <w:rFonts w:ascii="Times New Roman" w:hAnsi="Times New Roman"/>
          <w:b/>
          <w:szCs w:val="24"/>
        </w:rPr>
      </w:pPr>
    </w:p>
    <w:p w14:paraId="06483999" w14:textId="77777777" w:rsidR="00763BC9" w:rsidRPr="007B6E38" w:rsidRDefault="00763BC9" w:rsidP="00DF50C4">
      <w:pPr>
        <w:keepNext/>
        <w:rPr>
          <w:rFonts w:ascii="Times New Roman" w:hAnsi="Times New Roman"/>
          <w:b/>
          <w:szCs w:val="24"/>
        </w:rPr>
      </w:pPr>
    </w:p>
    <w:p w14:paraId="1BD64713" w14:textId="77777777" w:rsidR="00763BC9" w:rsidRPr="007B6E38" w:rsidRDefault="00763BC9" w:rsidP="00DF50C4">
      <w:pPr>
        <w:keepNext/>
        <w:rPr>
          <w:rFonts w:ascii="Times New Roman" w:hAnsi="Times New Roman"/>
          <w:b/>
          <w:szCs w:val="24"/>
        </w:rPr>
      </w:pPr>
    </w:p>
    <w:p w14:paraId="067168FD" w14:textId="77777777" w:rsidR="00763BC9" w:rsidRPr="007B6E38" w:rsidRDefault="00763BC9" w:rsidP="00DF50C4">
      <w:pPr>
        <w:keepNext/>
        <w:spacing w:line="480" w:lineRule="auto"/>
        <w:jc w:val="both"/>
        <w:rPr>
          <w:rFonts w:ascii="Times New Roman" w:hAnsi="Times New Roman"/>
          <w:szCs w:val="24"/>
        </w:rPr>
      </w:pPr>
    </w:p>
    <w:p w14:paraId="47D57785" w14:textId="77777777" w:rsidR="00763BC9" w:rsidRPr="007B6E38" w:rsidRDefault="00763BC9" w:rsidP="00763BC9">
      <w:pPr>
        <w:spacing w:line="480" w:lineRule="auto"/>
        <w:jc w:val="both"/>
        <w:rPr>
          <w:rFonts w:ascii="Times New Roman" w:hAnsi="Times New Roman"/>
          <w:szCs w:val="24"/>
        </w:rPr>
      </w:pPr>
    </w:p>
    <w:sectPr w:rsidR="00763BC9" w:rsidRPr="007B6E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E65F" w14:textId="77777777" w:rsidR="00824511" w:rsidRDefault="00824511">
      <w:r>
        <w:separator/>
      </w:r>
    </w:p>
  </w:endnote>
  <w:endnote w:type="continuationSeparator" w:id="0">
    <w:p w14:paraId="53F73FA7" w14:textId="77777777" w:rsidR="00824511" w:rsidRDefault="0082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892513"/>
      <w:docPartObj>
        <w:docPartGallery w:val="Page Numbers (Bottom of Page)"/>
        <w:docPartUnique/>
      </w:docPartObj>
    </w:sdtPr>
    <w:sdtEndPr>
      <w:rPr>
        <w:noProof/>
      </w:rPr>
    </w:sdtEndPr>
    <w:sdtContent>
      <w:p w14:paraId="0D3C559F" w14:textId="77777777" w:rsidR="00824511" w:rsidRDefault="00824511" w:rsidP="00763BC9">
        <w:pPr>
          <w:pStyle w:val="Footer"/>
          <w:spacing w:line="200" w:lineRule="exact"/>
          <w:jc w:val="center"/>
          <w:rPr>
            <w:noProof/>
          </w:rPr>
        </w:pPr>
        <w:r>
          <w:rPr>
            <w:rFonts w:ascii="Times New Roman" w:hAnsi="Times New Roman"/>
            <w:sz w:val="20"/>
          </w:rPr>
          <w:t xml:space="preserve">Page </w:t>
        </w:r>
        <w:r w:rsidRPr="003B0D08">
          <w:rPr>
            <w:rFonts w:ascii="Times New Roman" w:hAnsi="Times New Roman"/>
            <w:sz w:val="20"/>
          </w:rPr>
          <w:fldChar w:fldCharType="begin"/>
        </w:r>
        <w:r w:rsidRPr="003B0D08">
          <w:rPr>
            <w:rFonts w:ascii="Times New Roman" w:hAnsi="Times New Roman"/>
            <w:sz w:val="20"/>
          </w:rPr>
          <w:instrText xml:space="preserve"> PAGE   \* MERGEFORMAT </w:instrText>
        </w:r>
        <w:r w:rsidRPr="003B0D08">
          <w:rPr>
            <w:rFonts w:ascii="Times New Roman" w:hAnsi="Times New Roman"/>
            <w:sz w:val="20"/>
          </w:rPr>
          <w:fldChar w:fldCharType="separate"/>
        </w:r>
        <w:r w:rsidRPr="003B0D08">
          <w:rPr>
            <w:rFonts w:ascii="Times New Roman" w:hAnsi="Times New Roman"/>
            <w:noProof/>
            <w:sz w:val="20"/>
          </w:rPr>
          <w:t>2</w:t>
        </w:r>
        <w:r w:rsidRPr="003B0D08">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DC996" w14:textId="77777777" w:rsidR="00824511" w:rsidRDefault="00824511">
      <w:r>
        <w:separator/>
      </w:r>
    </w:p>
  </w:footnote>
  <w:footnote w:type="continuationSeparator" w:id="0">
    <w:p w14:paraId="0F61A251" w14:textId="77777777" w:rsidR="00824511" w:rsidRDefault="00824511">
      <w:r>
        <w:continuationSeparator/>
      </w:r>
    </w:p>
  </w:footnote>
  <w:footnote w:id="1">
    <w:p w14:paraId="586DA719" w14:textId="62789170" w:rsidR="0000712A" w:rsidRDefault="0000712A">
      <w:pPr>
        <w:pStyle w:val="FootnoteText"/>
      </w:pPr>
      <w:r>
        <w:rPr>
          <w:rStyle w:val="FootnoteReference"/>
        </w:rPr>
        <w:footnoteRef/>
      </w:r>
      <w:r>
        <w:t xml:space="preserve"> </w:t>
      </w:r>
      <w:r w:rsidRPr="00C41B20">
        <w:rPr>
          <w:rFonts w:ascii="Times New Roman" w:hAnsi="Times New Roman"/>
        </w:rPr>
        <w:t>Liberty Utilities filed a late intervention on November 5, 2019, which Liberty Utilities later withdrew on November 25, 2019 before any Commission ruling upon the petition was entered.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ECD282"/>
    <w:lvl w:ilvl="0">
      <w:start w:val="1"/>
      <w:numFmt w:val="decimal"/>
      <w:lvlText w:val="%1."/>
      <w:lvlJc w:val="left"/>
      <w:pPr>
        <w:tabs>
          <w:tab w:val="num" w:pos="2250"/>
        </w:tabs>
        <w:ind w:left="2250" w:hanging="360"/>
      </w:pPr>
    </w:lvl>
  </w:abstractNum>
  <w:abstractNum w:abstractNumId="1" w15:restartNumberingAfterBreak="0">
    <w:nsid w:val="FFFFFF7D"/>
    <w:multiLevelType w:val="singleLevel"/>
    <w:tmpl w:val="AABEC5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A2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26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EE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7623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65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CAAA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963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B15280"/>
    <w:multiLevelType w:val="hybridMultilevel"/>
    <w:tmpl w:val="A4A8438A"/>
    <w:lvl w:ilvl="0" w:tplc="4572B796">
      <w:start w:val="1"/>
      <w:numFmt w:val="bullet"/>
      <w:lvlText w:val=""/>
      <w:lvlJc w:val="left"/>
      <w:pPr>
        <w:ind w:left="720" w:hanging="360"/>
      </w:pPr>
      <w:rPr>
        <w:rFonts w:ascii="Symbol" w:hAnsi="Symbol" w:hint="default"/>
      </w:rPr>
    </w:lvl>
    <w:lvl w:ilvl="1" w:tplc="71D2F370">
      <w:start w:val="1"/>
      <w:numFmt w:val="bullet"/>
      <w:lvlText w:val="o"/>
      <w:lvlJc w:val="left"/>
      <w:pPr>
        <w:ind w:left="1440" w:hanging="360"/>
      </w:pPr>
      <w:rPr>
        <w:rFonts w:ascii="Courier New" w:hAnsi="Courier New" w:cs="Courier New" w:hint="default"/>
      </w:rPr>
    </w:lvl>
    <w:lvl w:ilvl="2" w:tplc="9C7CB076" w:tentative="1">
      <w:start w:val="1"/>
      <w:numFmt w:val="bullet"/>
      <w:lvlText w:val=""/>
      <w:lvlJc w:val="left"/>
      <w:pPr>
        <w:ind w:left="2160" w:hanging="360"/>
      </w:pPr>
      <w:rPr>
        <w:rFonts w:ascii="Wingdings" w:hAnsi="Wingdings" w:hint="default"/>
      </w:rPr>
    </w:lvl>
    <w:lvl w:ilvl="3" w:tplc="447E281E" w:tentative="1">
      <w:start w:val="1"/>
      <w:numFmt w:val="bullet"/>
      <w:lvlText w:val=""/>
      <w:lvlJc w:val="left"/>
      <w:pPr>
        <w:ind w:left="2880" w:hanging="360"/>
      </w:pPr>
      <w:rPr>
        <w:rFonts w:ascii="Symbol" w:hAnsi="Symbol" w:hint="default"/>
      </w:rPr>
    </w:lvl>
    <w:lvl w:ilvl="4" w:tplc="69787FCC" w:tentative="1">
      <w:start w:val="1"/>
      <w:numFmt w:val="bullet"/>
      <w:lvlText w:val="o"/>
      <w:lvlJc w:val="left"/>
      <w:pPr>
        <w:ind w:left="3600" w:hanging="360"/>
      </w:pPr>
      <w:rPr>
        <w:rFonts w:ascii="Courier New" w:hAnsi="Courier New" w:cs="Courier New" w:hint="default"/>
      </w:rPr>
    </w:lvl>
    <w:lvl w:ilvl="5" w:tplc="20C0BE24" w:tentative="1">
      <w:start w:val="1"/>
      <w:numFmt w:val="bullet"/>
      <w:lvlText w:val=""/>
      <w:lvlJc w:val="left"/>
      <w:pPr>
        <w:ind w:left="4320" w:hanging="360"/>
      </w:pPr>
      <w:rPr>
        <w:rFonts w:ascii="Wingdings" w:hAnsi="Wingdings" w:hint="default"/>
      </w:rPr>
    </w:lvl>
    <w:lvl w:ilvl="6" w:tplc="252C6574" w:tentative="1">
      <w:start w:val="1"/>
      <w:numFmt w:val="bullet"/>
      <w:lvlText w:val=""/>
      <w:lvlJc w:val="left"/>
      <w:pPr>
        <w:ind w:left="5040" w:hanging="360"/>
      </w:pPr>
      <w:rPr>
        <w:rFonts w:ascii="Symbol" w:hAnsi="Symbol" w:hint="default"/>
      </w:rPr>
    </w:lvl>
    <w:lvl w:ilvl="7" w:tplc="90E2952A" w:tentative="1">
      <w:start w:val="1"/>
      <w:numFmt w:val="bullet"/>
      <w:lvlText w:val="o"/>
      <w:lvlJc w:val="left"/>
      <w:pPr>
        <w:ind w:left="5760" w:hanging="360"/>
      </w:pPr>
      <w:rPr>
        <w:rFonts w:ascii="Courier New" w:hAnsi="Courier New" w:cs="Courier New" w:hint="default"/>
      </w:rPr>
    </w:lvl>
    <w:lvl w:ilvl="8" w:tplc="DC9CE1E0" w:tentative="1">
      <w:start w:val="1"/>
      <w:numFmt w:val="bullet"/>
      <w:lvlText w:val=""/>
      <w:lvlJc w:val="left"/>
      <w:pPr>
        <w:ind w:left="6480" w:hanging="360"/>
      </w:pPr>
      <w:rPr>
        <w:rFonts w:ascii="Wingdings" w:hAnsi="Wingdings" w:hint="default"/>
      </w:rPr>
    </w:lvl>
  </w:abstractNum>
  <w:abstractNum w:abstractNumId="11" w15:restartNumberingAfterBreak="0">
    <w:nsid w:val="1398646B"/>
    <w:multiLevelType w:val="hybridMultilevel"/>
    <w:tmpl w:val="9D068688"/>
    <w:lvl w:ilvl="0" w:tplc="53963262">
      <w:start w:val="1"/>
      <w:numFmt w:val="decimal"/>
      <w:lvlText w:val="%1."/>
      <w:lvlJc w:val="left"/>
      <w:pPr>
        <w:ind w:left="1080" w:hanging="360"/>
      </w:pPr>
      <w:rPr>
        <w:rFonts w:hint="default"/>
        <w:u w:val="none"/>
      </w:rPr>
    </w:lvl>
    <w:lvl w:ilvl="1" w:tplc="53401EAE" w:tentative="1">
      <w:start w:val="1"/>
      <w:numFmt w:val="lowerLetter"/>
      <w:lvlText w:val="%2."/>
      <w:lvlJc w:val="left"/>
      <w:pPr>
        <w:ind w:left="1800" w:hanging="360"/>
      </w:pPr>
    </w:lvl>
    <w:lvl w:ilvl="2" w:tplc="5BD0CA5A" w:tentative="1">
      <w:start w:val="1"/>
      <w:numFmt w:val="lowerRoman"/>
      <w:lvlText w:val="%3."/>
      <w:lvlJc w:val="right"/>
      <w:pPr>
        <w:ind w:left="2520" w:hanging="180"/>
      </w:pPr>
    </w:lvl>
    <w:lvl w:ilvl="3" w:tplc="5DBEDB84" w:tentative="1">
      <w:start w:val="1"/>
      <w:numFmt w:val="decimal"/>
      <w:lvlText w:val="%4."/>
      <w:lvlJc w:val="left"/>
      <w:pPr>
        <w:ind w:left="3240" w:hanging="360"/>
      </w:pPr>
    </w:lvl>
    <w:lvl w:ilvl="4" w:tplc="E406405E" w:tentative="1">
      <w:start w:val="1"/>
      <w:numFmt w:val="lowerLetter"/>
      <w:lvlText w:val="%5."/>
      <w:lvlJc w:val="left"/>
      <w:pPr>
        <w:ind w:left="3960" w:hanging="360"/>
      </w:pPr>
    </w:lvl>
    <w:lvl w:ilvl="5" w:tplc="E500D576" w:tentative="1">
      <w:start w:val="1"/>
      <w:numFmt w:val="lowerRoman"/>
      <w:lvlText w:val="%6."/>
      <w:lvlJc w:val="right"/>
      <w:pPr>
        <w:ind w:left="4680" w:hanging="180"/>
      </w:pPr>
    </w:lvl>
    <w:lvl w:ilvl="6" w:tplc="AB7E8704" w:tentative="1">
      <w:start w:val="1"/>
      <w:numFmt w:val="decimal"/>
      <w:lvlText w:val="%7."/>
      <w:lvlJc w:val="left"/>
      <w:pPr>
        <w:ind w:left="5400" w:hanging="360"/>
      </w:pPr>
    </w:lvl>
    <w:lvl w:ilvl="7" w:tplc="4DB2F982" w:tentative="1">
      <w:start w:val="1"/>
      <w:numFmt w:val="lowerLetter"/>
      <w:lvlText w:val="%8."/>
      <w:lvlJc w:val="left"/>
      <w:pPr>
        <w:ind w:left="6120" w:hanging="360"/>
      </w:pPr>
    </w:lvl>
    <w:lvl w:ilvl="8" w:tplc="711A9722" w:tentative="1">
      <w:start w:val="1"/>
      <w:numFmt w:val="lowerRoman"/>
      <w:lvlText w:val="%9."/>
      <w:lvlJc w:val="right"/>
      <w:pPr>
        <w:ind w:left="6840" w:hanging="180"/>
      </w:pPr>
    </w:lvl>
  </w:abstractNum>
  <w:abstractNum w:abstractNumId="12" w15:restartNumberingAfterBreak="0">
    <w:nsid w:val="1805248A"/>
    <w:multiLevelType w:val="hybridMultilevel"/>
    <w:tmpl w:val="B9801B1E"/>
    <w:lvl w:ilvl="0" w:tplc="DC404462">
      <w:start w:val="1"/>
      <w:numFmt w:val="decimal"/>
      <w:lvlText w:val="%1."/>
      <w:lvlJc w:val="left"/>
      <w:pPr>
        <w:ind w:left="1080" w:hanging="360"/>
      </w:pPr>
      <w:rPr>
        <w:rFonts w:hint="default"/>
        <w:b w:val="0"/>
        <w:u w:val="none"/>
      </w:rPr>
    </w:lvl>
    <w:lvl w:ilvl="1" w:tplc="CB587FE2" w:tentative="1">
      <w:start w:val="1"/>
      <w:numFmt w:val="lowerLetter"/>
      <w:lvlText w:val="%2."/>
      <w:lvlJc w:val="left"/>
      <w:pPr>
        <w:ind w:left="-4320" w:hanging="360"/>
      </w:pPr>
    </w:lvl>
    <w:lvl w:ilvl="2" w:tplc="64E660CE" w:tentative="1">
      <w:start w:val="1"/>
      <w:numFmt w:val="lowerRoman"/>
      <w:lvlText w:val="%3."/>
      <w:lvlJc w:val="right"/>
      <w:pPr>
        <w:ind w:left="-3600" w:hanging="180"/>
      </w:pPr>
    </w:lvl>
    <w:lvl w:ilvl="3" w:tplc="3820862E" w:tentative="1">
      <w:start w:val="1"/>
      <w:numFmt w:val="decimal"/>
      <w:lvlText w:val="%4."/>
      <w:lvlJc w:val="left"/>
      <w:pPr>
        <w:ind w:left="-2880" w:hanging="360"/>
      </w:pPr>
    </w:lvl>
    <w:lvl w:ilvl="4" w:tplc="F33C0A5E" w:tentative="1">
      <w:start w:val="1"/>
      <w:numFmt w:val="lowerLetter"/>
      <w:lvlText w:val="%5."/>
      <w:lvlJc w:val="left"/>
      <w:pPr>
        <w:ind w:left="-2160" w:hanging="360"/>
      </w:pPr>
    </w:lvl>
    <w:lvl w:ilvl="5" w:tplc="1324A6FE" w:tentative="1">
      <w:start w:val="1"/>
      <w:numFmt w:val="lowerRoman"/>
      <w:lvlText w:val="%6."/>
      <w:lvlJc w:val="right"/>
      <w:pPr>
        <w:ind w:left="-1440" w:hanging="180"/>
      </w:pPr>
    </w:lvl>
    <w:lvl w:ilvl="6" w:tplc="11CAD0E2" w:tentative="1">
      <w:start w:val="1"/>
      <w:numFmt w:val="decimal"/>
      <w:lvlText w:val="%7."/>
      <w:lvlJc w:val="left"/>
      <w:pPr>
        <w:ind w:left="-720" w:hanging="360"/>
      </w:pPr>
    </w:lvl>
    <w:lvl w:ilvl="7" w:tplc="F4D88946" w:tentative="1">
      <w:start w:val="1"/>
      <w:numFmt w:val="lowerLetter"/>
      <w:lvlText w:val="%8."/>
      <w:lvlJc w:val="left"/>
      <w:pPr>
        <w:ind w:left="0" w:hanging="360"/>
      </w:pPr>
    </w:lvl>
    <w:lvl w:ilvl="8" w:tplc="A48AD594" w:tentative="1">
      <w:start w:val="1"/>
      <w:numFmt w:val="lowerRoman"/>
      <w:lvlText w:val="%9."/>
      <w:lvlJc w:val="right"/>
      <w:pPr>
        <w:ind w:left="720" w:hanging="180"/>
      </w:pPr>
    </w:lvl>
  </w:abstractNum>
  <w:abstractNum w:abstractNumId="13" w15:restartNumberingAfterBreak="0">
    <w:nsid w:val="184E1AF7"/>
    <w:multiLevelType w:val="hybridMultilevel"/>
    <w:tmpl w:val="60181644"/>
    <w:lvl w:ilvl="0" w:tplc="73609C56">
      <w:start w:val="1"/>
      <w:numFmt w:val="bullet"/>
      <w:lvlText w:val=""/>
      <w:lvlJc w:val="left"/>
      <w:pPr>
        <w:ind w:left="720" w:hanging="360"/>
      </w:pPr>
      <w:rPr>
        <w:rFonts w:ascii="Symbol" w:hAnsi="Symbol" w:hint="default"/>
      </w:rPr>
    </w:lvl>
    <w:lvl w:ilvl="1" w:tplc="0C0A5D1E" w:tentative="1">
      <w:start w:val="1"/>
      <w:numFmt w:val="bullet"/>
      <w:lvlText w:val="o"/>
      <w:lvlJc w:val="left"/>
      <w:pPr>
        <w:ind w:left="1440" w:hanging="360"/>
      </w:pPr>
      <w:rPr>
        <w:rFonts w:ascii="Courier New" w:hAnsi="Courier New" w:cs="Courier New" w:hint="default"/>
      </w:rPr>
    </w:lvl>
    <w:lvl w:ilvl="2" w:tplc="CB82E2A8" w:tentative="1">
      <w:start w:val="1"/>
      <w:numFmt w:val="bullet"/>
      <w:lvlText w:val=""/>
      <w:lvlJc w:val="left"/>
      <w:pPr>
        <w:ind w:left="2160" w:hanging="360"/>
      </w:pPr>
      <w:rPr>
        <w:rFonts w:ascii="Wingdings" w:hAnsi="Wingdings" w:hint="default"/>
      </w:rPr>
    </w:lvl>
    <w:lvl w:ilvl="3" w:tplc="087AA0EE" w:tentative="1">
      <w:start w:val="1"/>
      <w:numFmt w:val="bullet"/>
      <w:lvlText w:val=""/>
      <w:lvlJc w:val="left"/>
      <w:pPr>
        <w:ind w:left="2880" w:hanging="360"/>
      </w:pPr>
      <w:rPr>
        <w:rFonts w:ascii="Symbol" w:hAnsi="Symbol" w:hint="default"/>
      </w:rPr>
    </w:lvl>
    <w:lvl w:ilvl="4" w:tplc="78FCD89A" w:tentative="1">
      <w:start w:val="1"/>
      <w:numFmt w:val="bullet"/>
      <w:lvlText w:val="o"/>
      <w:lvlJc w:val="left"/>
      <w:pPr>
        <w:ind w:left="3600" w:hanging="360"/>
      </w:pPr>
      <w:rPr>
        <w:rFonts w:ascii="Courier New" w:hAnsi="Courier New" w:cs="Courier New" w:hint="default"/>
      </w:rPr>
    </w:lvl>
    <w:lvl w:ilvl="5" w:tplc="1A42D046" w:tentative="1">
      <w:start w:val="1"/>
      <w:numFmt w:val="bullet"/>
      <w:lvlText w:val=""/>
      <w:lvlJc w:val="left"/>
      <w:pPr>
        <w:ind w:left="4320" w:hanging="360"/>
      </w:pPr>
      <w:rPr>
        <w:rFonts w:ascii="Wingdings" w:hAnsi="Wingdings" w:hint="default"/>
      </w:rPr>
    </w:lvl>
    <w:lvl w:ilvl="6" w:tplc="A2B443B4" w:tentative="1">
      <w:start w:val="1"/>
      <w:numFmt w:val="bullet"/>
      <w:lvlText w:val=""/>
      <w:lvlJc w:val="left"/>
      <w:pPr>
        <w:ind w:left="5040" w:hanging="360"/>
      </w:pPr>
      <w:rPr>
        <w:rFonts w:ascii="Symbol" w:hAnsi="Symbol" w:hint="default"/>
      </w:rPr>
    </w:lvl>
    <w:lvl w:ilvl="7" w:tplc="A19A092A" w:tentative="1">
      <w:start w:val="1"/>
      <w:numFmt w:val="bullet"/>
      <w:lvlText w:val="o"/>
      <w:lvlJc w:val="left"/>
      <w:pPr>
        <w:ind w:left="5760" w:hanging="360"/>
      </w:pPr>
      <w:rPr>
        <w:rFonts w:ascii="Courier New" w:hAnsi="Courier New" w:cs="Courier New" w:hint="default"/>
      </w:rPr>
    </w:lvl>
    <w:lvl w:ilvl="8" w:tplc="037CECD6" w:tentative="1">
      <w:start w:val="1"/>
      <w:numFmt w:val="bullet"/>
      <w:lvlText w:val=""/>
      <w:lvlJc w:val="left"/>
      <w:pPr>
        <w:ind w:left="6480" w:hanging="360"/>
      </w:pPr>
      <w:rPr>
        <w:rFonts w:ascii="Wingdings" w:hAnsi="Wingdings" w:hint="default"/>
      </w:rPr>
    </w:lvl>
  </w:abstractNum>
  <w:abstractNum w:abstractNumId="14" w15:restartNumberingAfterBreak="0">
    <w:nsid w:val="30416BCD"/>
    <w:multiLevelType w:val="hybridMultilevel"/>
    <w:tmpl w:val="6D048F3E"/>
    <w:lvl w:ilvl="0" w:tplc="1272E6DA">
      <w:start w:val="1"/>
      <w:numFmt w:val="decimal"/>
      <w:lvlText w:val="%1."/>
      <w:lvlJc w:val="left"/>
      <w:pPr>
        <w:ind w:left="1080" w:hanging="360"/>
      </w:pPr>
    </w:lvl>
    <w:lvl w:ilvl="1" w:tplc="B9220744" w:tentative="1">
      <w:start w:val="1"/>
      <w:numFmt w:val="lowerLetter"/>
      <w:lvlText w:val="%2."/>
      <w:lvlJc w:val="left"/>
      <w:pPr>
        <w:ind w:left="1800" w:hanging="360"/>
      </w:pPr>
    </w:lvl>
    <w:lvl w:ilvl="2" w:tplc="22F807FA" w:tentative="1">
      <w:start w:val="1"/>
      <w:numFmt w:val="lowerRoman"/>
      <w:lvlText w:val="%3."/>
      <w:lvlJc w:val="right"/>
      <w:pPr>
        <w:ind w:left="2520" w:hanging="180"/>
      </w:pPr>
    </w:lvl>
    <w:lvl w:ilvl="3" w:tplc="4EE86A30" w:tentative="1">
      <w:start w:val="1"/>
      <w:numFmt w:val="decimal"/>
      <w:lvlText w:val="%4."/>
      <w:lvlJc w:val="left"/>
      <w:pPr>
        <w:ind w:left="3240" w:hanging="360"/>
      </w:pPr>
    </w:lvl>
    <w:lvl w:ilvl="4" w:tplc="387C663A" w:tentative="1">
      <w:start w:val="1"/>
      <w:numFmt w:val="lowerLetter"/>
      <w:lvlText w:val="%5."/>
      <w:lvlJc w:val="left"/>
      <w:pPr>
        <w:ind w:left="3960" w:hanging="360"/>
      </w:pPr>
    </w:lvl>
    <w:lvl w:ilvl="5" w:tplc="1F127A3C" w:tentative="1">
      <w:start w:val="1"/>
      <w:numFmt w:val="lowerRoman"/>
      <w:lvlText w:val="%6."/>
      <w:lvlJc w:val="right"/>
      <w:pPr>
        <w:ind w:left="4680" w:hanging="180"/>
      </w:pPr>
    </w:lvl>
    <w:lvl w:ilvl="6" w:tplc="BC20B798" w:tentative="1">
      <w:start w:val="1"/>
      <w:numFmt w:val="decimal"/>
      <w:lvlText w:val="%7."/>
      <w:lvlJc w:val="left"/>
      <w:pPr>
        <w:ind w:left="5400" w:hanging="360"/>
      </w:pPr>
    </w:lvl>
    <w:lvl w:ilvl="7" w:tplc="D61EFC56" w:tentative="1">
      <w:start w:val="1"/>
      <w:numFmt w:val="lowerLetter"/>
      <w:lvlText w:val="%8."/>
      <w:lvlJc w:val="left"/>
      <w:pPr>
        <w:ind w:left="6120" w:hanging="360"/>
      </w:pPr>
    </w:lvl>
    <w:lvl w:ilvl="8" w:tplc="F99EC766" w:tentative="1">
      <w:start w:val="1"/>
      <w:numFmt w:val="lowerRoman"/>
      <w:lvlText w:val="%9."/>
      <w:lvlJc w:val="right"/>
      <w:pPr>
        <w:ind w:left="6840" w:hanging="180"/>
      </w:pPr>
    </w:lvl>
  </w:abstractNum>
  <w:abstractNum w:abstractNumId="15" w15:restartNumberingAfterBreak="0">
    <w:nsid w:val="32C27D93"/>
    <w:multiLevelType w:val="hybridMultilevel"/>
    <w:tmpl w:val="9692F89A"/>
    <w:lvl w:ilvl="0" w:tplc="B358DD82">
      <w:start w:val="1"/>
      <w:numFmt w:val="bullet"/>
      <w:lvlText w:val=""/>
      <w:lvlJc w:val="left"/>
      <w:pPr>
        <w:ind w:left="720" w:hanging="360"/>
      </w:pPr>
      <w:rPr>
        <w:rFonts w:ascii="Symbol" w:hAnsi="Symbol" w:hint="default"/>
      </w:rPr>
    </w:lvl>
    <w:lvl w:ilvl="1" w:tplc="5F301FCE">
      <w:start w:val="1"/>
      <w:numFmt w:val="bullet"/>
      <w:lvlText w:val="o"/>
      <w:lvlJc w:val="left"/>
      <w:pPr>
        <w:ind w:left="1440" w:hanging="360"/>
      </w:pPr>
      <w:rPr>
        <w:rFonts w:ascii="Courier New" w:hAnsi="Courier New" w:cs="Courier New" w:hint="default"/>
      </w:rPr>
    </w:lvl>
    <w:lvl w:ilvl="2" w:tplc="967C8BDE" w:tentative="1">
      <w:start w:val="1"/>
      <w:numFmt w:val="bullet"/>
      <w:lvlText w:val=""/>
      <w:lvlJc w:val="left"/>
      <w:pPr>
        <w:ind w:left="2160" w:hanging="360"/>
      </w:pPr>
      <w:rPr>
        <w:rFonts w:ascii="Wingdings" w:hAnsi="Wingdings" w:hint="default"/>
      </w:rPr>
    </w:lvl>
    <w:lvl w:ilvl="3" w:tplc="4036A306" w:tentative="1">
      <w:start w:val="1"/>
      <w:numFmt w:val="bullet"/>
      <w:lvlText w:val=""/>
      <w:lvlJc w:val="left"/>
      <w:pPr>
        <w:ind w:left="2880" w:hanging="360"/>
      </w:pPr>
      <w:rPr>
        <w:rFonts w:ascii="Symbol" w:hAnsi="Symbol" w:hint="default"/>
      </w:rPr>
    </w:lvl>
    <w:lvl w:ilvl="4" w:tplc="B3B01BFE" w:tentative="1">
      <w:start w:val="1"/>
      <w:numFmt w:val="bullet"/>
      <w:lvlText w:val="o"/>
      <w:lvlJc w:val="left"/>
      <w:pPr>
        <w:ind w:left="3600" w:hanging="360"/>
      </w:pPr>
      <w:rPr>
        <w:rFonts w:ascii="Courier New" w:hAnsi="Courier New" w:cs="Courier New" w:hint="default"/>
      </w:rPr>
    </w:lvl>
    <w:lvl w:ilvl="5" w:tplc="4362820C" w:tentative="1">
      <w:start w:val="1"/>
      <w:numFmt w:val="bullet"/>
      <w:lvlText w:val=""/>
      <w:lvlJc w:val="left"/>
      <w:pPr>
        <w:ind w:left="4320" w:hanging="360"/>
      </w:pPr>
      <w:rPr>
        <w:rFonts w:ascii="Wingdings" w:hAnsi="Wingdings" w:hint="default"/>
      </w:rPr>
    </w:lvl>
    <w:lvl w:ilvl="6" w:tplc="8C5AF8C0" w:tentative="1">
      <w:start w:val="1"/>
      <w:numFmt w:val="bullet"/>
      <w:lvlText w:val=""/>
      <w:lvlJc w:val="left"/>
      <w:pPr>
        <w:ind w:left="5040" w:hanging="360"/>
      </w:pPr>
      <w:rPr>
        <w:rFonts w:ascii="Symbol" w:hAnsi="Symbol" w:hint="default"/>
      </w:rPr>
    </w:lvl>
    <w:lvl w:ilvl="7" w:tplc="79982250" w:tentative="1">
      <w:start w:val="1"/>
      <w:numFmt w:val="bullet"/>
      <w:lvlText w:val="o"/>
      <w:lvlJc w:val="left"/>
      <w:pPr>
        <w:ind w:left="5760" w:hanging="360"/>
      </w:pPr>
      <w:rPr>
        <w:rFonts w:ascii="Courier New" w:hAnsi="Courier New" w:cs="Courier New" w:hint="default"/>
      </w:rPr>
    </w:lvl>
    <w:lvl w:ilvl="8" w:tplc="C8529A68" w:tentative="1">
      <w:start w:val="1"/>
      <w:numFmt w:val="bullet"/>
      <w:lvlText w:val=""/>
      <w:lvlJc w:val="left"/>
      <w:pPr>
        <w:ind w:left="6480" w:hanging="360"/>
      </w:pPr>
      <w:rPr>
        <w:rFonts w:ascii="Wingdings" w:hAnsi="Wingdings" w:hint="default"/>
      </w:rPr>
    </w:lvl>
  </w:abstractNum>
  <w:abstractNum w:abstractNumId="16" w15:restartNumberingAfterBreak="0">
    <w:nsid w:val="33F861B1"/>
    <w:multiLevelType w:val="hybridMultilevel"/>
    <w:tmpl w:val="9312B46A"/>
    <w:lvl w:ilvl="0" w:tplc="ED3EE1B8">
      <w:start w:val="1"/>
      <w:numFmt w:val="decimal"/>
      <w:lvlText w:val="%1."/>
      <w:lvlJc w:val="left"/>
      <w:pPr>
        <w:ind w:left="1170" w:hanging="360"/>
      </w:pPr>
      <w:rPr>
        <w:rFonts w:hint="default"/>
        <w:u w:val="none"/>
      </w:rPr>
    </w:lvl>
    <w:lvl w:ilvl="1" w:tplc="D79ADB4A" w:tentative="1">
      <w:start w:val="1"/>
      <w:numFmt w:val="lowerLetter"/>
      <w:lvlText w:val="%2."/>
      <w:lvlJc w:val="left"/>
      <w:pPr>
        <w:ind w:left="-4230" w:hanging="360"/>
      </w:pPr>
    </w:lvl>
    <w:lvl w:ilvl="2" w:tplc="56BCF996" w:tentative="1">
      <w:start w:val="1"/>
      <w:numFmt w:val="lowerRoman"/>
      <w:lvlText w:val="%3."/>
      <w:lvlJc w:val="right"/>
      <w:pPr>
        <w:ind w:left="-3510" w:hanging="180"/>
      </w:pPr>
    </w:lvl>
    <w:lvl w:ilvl="3" w:tplc="9A123CD8" w:tentative="1">
      <w:start w:val="1"/>
      <w:numFmt w:val="decimal"/>
      <w:lvlText w:val="%4."/>
      <w:lvlJc w:val="left"/>
      <w:pPr>
        <w:ind w:left="-2790" w:hanging="360"/>
      </w:pPr>
    </w:lvl>
    <w:lvl w:ilvl="4" w:tplc="805E236E" w:tentative="1">
      <w:start w:val="1"/>
      <w:numFmt w:val="lowerLetter"/>
      <w:lvlText w:val="%5."/>
      <w:lvlJc w:val="left"/>
      <w:pPr>
        <w:ind w:left="-2070" w:hanging="360"/>
      </w:pPr>
    </w:lvl>
    <w:lvl w:ilvl="5" w:tplc="8D8E0FB0" w:tentative="1">
      <w:start w:val="1"/>
      <w:numFmt w:val="lowerRoman"/>
      <w:lvlText w:val="%6."/>
      <w:lvlJc w:val="right"/>
      <w:pPr>
        <w:ind w:left="-1350" w:hanging="180"/>
      </w:pPr>
    </w:lvl>
    <w:lvl w:ilvl="6" w:tplc="4B22E0DE" w:tentative="1">
      <w:start w:val="1"/>
      <w:numFmt w:val="decimal"/>
      <w:lvlText w:val="%7."/>
      <w:lvlJc w:val="left"/>
      <w:pPr>
        <w:ind w:left="-630" w:hanging="360"/>
      </w:pPr>
    </w:lvl>
    <w:lvl w:ilvl="7" w:tplc="22F0C3A8" w:tentative="1">
      <w:start w:val="1"/>
      <w:numFmt w:val="lowerLetter"/>
      <w:lvlText w:val="%8."/>
      <w:lvlJc w:val="left"/>
      <w:pPr>
        <w:ind w:left="90" w:hanging="360"/>
      </w:pPr>
    </w:lvl>
    <w:lvl w:ilvl="8" w:tplc="81B6B818" w:tentative="1">
      <w:start w:val="1"/>
      <w:numFmt w:val="lowerRoman"/>
      <w:lvlText w:val="%9."/>
      <w:lvlJc w:val="right"/>
      <w:pPr>
        <w:ind w:left="810" w:hanging="180"/>
      </w:pPr>
    </w:lvl>
  </w:abstractNum>
  <w:abstractNum w:abstractNumId="17" w15:restartNumberingAfterBreak="0">
    <w:nsid w:val="349A2A8B"/>
    <w:multiLevelType w:val="hybridMultilevel"/>
    <w:tmpl w:val="2DAEB5A4"/>
    <w:lvl w:ilvl="0" w:tplc="F698A802">
      <w:start w:val="1"/>
      <w:numFmt w:val="decimal"/>
      <w:lvlText w:val="%1."/>
      <w:lvlJc w:val="left"/>
      <w:pPr>
        <w:ind w:left="1080" w:hanging="360"/>
      </w:pPr>
      <w:rPr>
        <w:rFonts w:hint="default"/>
        <w:u w:val="none"/>
      </w:rPr>
    </w:lvl>
    <w:lvl w:ilvl="1" w:tplc="09BE2514" w:tentative="1">
      <w:start w:val="1"/>
      <w:numFmt w:val="lowerLetter"/>
      <w:lvlText w:val="%2."/>
      <w:lvlJc w:val="left"/>
      <w:pPr>
        <w:ind w:left="-4320" w:hanging="360"/>
      </w:pPr>
    </w:lvl>
    <w:lvl w:ilvl="2" w:tplc="CA3E3690" w:tentative="1">
      <w:start w:val="1"/>
      <w:numFmt w:val="lowerRoman"/>
      <w:lvlText w:val="%3."/>
      <w:lvlJc w:val="right"/>
      <w:pPr>
        <w:ind w:left="-3600" w:hanging="180"/>
      </w:pPr>
    </w:lvl>
    <w:lvl w:ilvl="3" w:tplc="8B408E5C" w:tentative="1">
      <w:start w:val="1"/>
      <w:numFmt w:val="decimal"/>
      <w:lvlText w:val="%4."/>
      <w:lvlJc w:val="left"/>
      <w:pPr>
        <w:ind w:left="-2880" w:hanging="360"/>
      </w:pPr>
    </w:lvl>
    <w:lvl w:ilvl="4" w:tplc="EEE0B3E0" w:tentative="1">
      <w:start w:val="1"/>
      <w:numFmt w:val="lowerLetter"/>
      <w:lvlText w:val="%5."/>
      <w:lvlJc w:val="left"/>
      <w:pPr>
        <w:ind w:left="-2160" w:hanging="360"/>
      </w:pPr>
    </w:lvl>
    <w:lvl w:ilvl="5" w:tplc="0752314C" w:tentative="1">
      <w:start w:val="1"/>
      <w:numFmt w:val="lowerRoman"/>
      <w:lvlText w:val="%6."/>
      <w:lvlJc w:val="right"/>
      <w:pPr>
        <w:ind w:left="-1440" w:hanging="180"/>
      </w:pPr>
    </w:lvl>
    <w:lvl w:ilvl="6" w:tplc="AC48D6C2" w:tentative="1">
      <w:start w:val="1"/>
      <w:numFmt w:val="decimal"/>
      <w:lvlText w:val="%7."/>
      <w:lvlJc w:val="left"/>
      <w:pPr>
        <w:ind w:left="-720" w:hanging="360"/>
      </w:pPr>
    </w:lvl>
    <w:lvl w:ilvl="7" w:tplc="93A0017E" w:tentative="1">
      <w:start w:val="1"/>
      <w:numFmt w:val="lowerLetter"/>
      <w:lvlText w:val="%8."/>
      <w:lvlJc w:val="left"/>
      <w:pPr>
        <w:ind w:left="0" w:hanging="360"/>
      </w:pPr>
    </w:lvl>
    <w:lvl w:ilvl="8" w:tplc="7CCAD016" w:tentative="1">
      <w:start w:val="1"/>
      <w:numFmt w:val="lowerRoman"/>
      <w:lvlText w:val="%9."/>
      <w:lvlJc w:val="right"/>
      <w:pPr>
        <w:ind w:left="720" w:hanging="180"/>
      </w:pPr>
    </w:lvl>
  </w:abstractNum>
  <w:abstractNum w:abstractNumId="18" w15:restartNumberingAfterBreak="0">
    <w:nsid w:val="388346DB"/>
    <w:multiLevelType w:val="hybridMultilevel"/>
    <w:tmpl w:val="1C0C71F4"/>
    <w:lvl w:ilvl="0" w:tplc="66821B80">
      <w:start w:val="1"/>
      <w:numFmt w:val="lowerLetter"/>
      <w:lvlText w:val="%1."/>
      <w:lvlJc w:val="left"/>
      <w:pPr>
        <w:ind w:left="720" w:hanging="360"/>
      </w:pPr>
    </w:lvl>
    <w:lvl w:ilvl="1" w:tplc="6162428E" w:tentative="1">
      <w:start w:val="1"/>
      <w:numFmt w:val="lowerLetter"/>
      <w:lvlText w:val="%2."/>
      <w:lvlJc w:val="left"/>
      <w:pPr>
        <w:ind w:left="1440" w:hanging="360"/>
      </w:pPr>
    </w:lvl>
    <w:lvl w:ilvl="2" w:tplc="B61CE260" w:tentative="1">
      <w:start w:val="1"/>
      <w:numFmt w:val="lowerRoman"/>
      <w:lvlText w:val="%3."/>
      <w:lvlJc w:val="right"/>
      <w:pPr>
        <w:ind w:left="2160" w:hanging="180"/>
      </w:pPr>
    </w:lvl>
    <w:lvl w:ilvl="3" w:tplc="4002DA56" w:tentative="1">
      <w:start w:val="1"/>
      <w:numFmt w:val="decimal"/>
      <w:lvlText w:val="%4."/>
      <w:lvlJc w:val="left"/>
      <w:pPr>
        <w:ind w:left="2880" w:hanging="360"/>
      </w:pPr>
    </w:lvl>
    <w:lvl w:ilvl="4" w:tplc="A4DADB46" w:tentative="1">
      <w:start w:val="1"/>
      <w:numFmt w:val="lowerLetter"/>
      <w:lvlText w:val="%5."/>
      <w:lvlJc w:val="left"/>
      <w:pPr>
        <w:ind w:left="3600" w:hanging="360"/>
      </w:pPr>
    </w:lvl>
    <w:lvl w:ilvl="5" w:tplc="B2F2A3E8" w:tentative="1">
      <w:start w:val="1"/>
      <w:numFmt w:val="lowerRoman"/>
      <w:lvlText w:val="%6."/>
      <w:lvlJc w:val="right"/>
      <w:pPr>
        <w:ind w:left="4320" w:hanging="180"/>
      </w:pPr>
    </w:lvl>
    <w:lvl w:ilvl="6" w:tplc="7F3C95AA" w:tentative="1">
      <w:start w:val="1"/>
      <w:numFmt w:val="decimal"/>
      <w:lvlText w:val="%7."/>
      <w:lvlJc w:val="left"/>
      <w:pPr>
        <w:ind w:left="5040" w:hanging="360"/>
      </w:pPr>
    </w:lvl>
    <w:lvl w:ilvl="7" w:tplc="0CE4FF5C" w:tentative="1">
      <w:start w:val="1"/>
      <w:numFmt w:val="lowerLetter"/>
      <w:lvlText w:val="%8."/>
      <w:lvlJc w:val="left"/>
      <w:pPr>
        <w:ind w:left="5760" w:hanging="360"/>
      </w:pPr>
    </w:lvl>
    <w:lvl w:ilvl="8" w:tplc="11684416" w:tentative="1">
      <w:start w:val="1"/>
      <w:numFmt w:val="lowerRoman"/>
      <w:lvlText w:val="%9."/>
      <w:lvlJc w:val="right"/>
      <w:pPr>
        <w:ind w:left="6480" w:hanging="180"/>
      </w:pPr>
    </w:lvl>
  </w:abstractNum>
  <w:abstractNum w:abstractNumId="19" w15:restartNumberingAfterBreak="0">
    <w:nsid w:val="3C75259A"/>
    <w:multiLevelType w:val="hybridMultilevel"/>
    <w:tmpl w:val="F1EA4E16"/>
    <w:lvl w:ilvl="0" w:tplc="1C843D68">
      <w:start w:val="1"/>
      <w:numFmt w:val="bullet"/>
      <w:lvlText w:val=""/>
      <w:lvlJc w:val="left"/>
      <w:pPr>
        <w:ind w:left="720" w:hanging="360"/>
      </w:pPr>
      <w:rPr>
        <w:rFonts w:ascii="Symbol" w:hAnsi="Symbol" w:hint="default"/>
      </w:rPr>
    </w:lvl>
    <w:lvl w:ilvl="1" w:tplc="448C0DA6">
      <w:start w:val="1"/>
      <w:numFmt w:val="bullet"/>
      <w:lvlText w:val="o"/>
      <w:lvlJc w:val="left"/>
      <w:pPr>
        <w:ind w:left="1440" w:hanging="360"/>
      </w:pPr>
      <w:rPr>
        <w:rFonts w:ascii="Courier New" w:hAnsi="Courier New" w:cs="Courier New" w:hint="default"/>
      </w:rPr>
    </w:lvl>
    <w:lvl w:ilvl="2" w:tplc="EA1E3F6C">
      <w:start w:val="1"/>
      <w:numFmt w:val="bullet"/>
      <w:lvlText w:val=""/>
      <w:lvlJc w:val="left"/>
      <w:pPr>
        <w:ind w:left="2160" w:hanging="360"/>
      </w:pPr>
      <w:rPr>
        <w:rFonts w:ascii="Wingdings" w:hAnsi="Wingdings" w:hint="default"/>
      </w:rPr>
    </w:lvl>
    <w:lvl w:ilvl="3" w:tplc="812C1E7E" w:tentative="1">
      <w:start w:val="1"/>
      <w:numFmt w:val="bullet"/>
      <w:lvlText w:val=""/>
      <w:lvlJc w:val="left"/>
      <w:pPr>
        <w:ind w:left="2880" w:hanging="360"/>
      </w:pPr>
      <w:rPr>
        <w:rFonts w:ascii="Symbol" w:hAnsi="Symbol" w:hint="default"/>
      </w:rPr>
    </w:lvl>
    <w:lvl w:ilvl="4" w:tplc="1CA06738" w:tentative="1">
      <w:start w:val="1"/>
      <w:numFmt w:val="bullet"/>
      <w:lvlText w:val="o"/>
      <w:lvlJc w:val="left"/>
      <w:pPr>
        <w:ind w:left="3600" w:hanging="360"/>
      </w:pPr>
      <w:rPr>
        <w:rFonts w:ascii="Courier New" w:hAnsi="Courier New" w:cs="Courier New" w:hint="default"/>
      </w:rPr>
    </w:lvl>
    <w:lvl w:ilvl="5" w:tplc="33522BC0" w:tentative="1">
      <w:start w:val="1"/>
      <w:numFmt w:val="bullet"/>
      <w:lvlText w:val=""/>
      <w:lvlJc w:val="left"/>
      <w:pPr>
        <w:ind w:left="4320" w:hanging="360"/>
      </w:pPr>
      <w:rPr>
        <w:rFonts w:ascii="Wingdings" w:hAnsi="Wingdings" w:hint="default"/>
      </w:rPr>
    </w:lvl>
    <w:lvl w:ilvl="6" w:tplc="AD32E00E" w:tentative="1">
      <w:start w:val="1"/>
      <w:numFmt w:val="bullet"/>
      <w:lvlText w:val=""/>
      <w:lvlJc w:val="left"/>
      <w:pPr>
        <w:ind w:left="5040" w:hanging="360"/>
      </w:pPr>
      <w:rPr>
        <w:rFonts w:ascii="Symbol" w:hAnsi="Symbol" w:hint="default"/>
      </w:rPr>
    </w:lvl>
    <w:lvl w:ilvl="7" w:tplc="17C8C440" w:tentative="1">
      <w:start w:val="1"/>
      <w:numFmt w:val="bullet"/>
      <w:lvlText w:val="o"/>
      <w:lvlJc w:val="left"/>
      <w:pPr>
        <w:ind w:left="5760" w:hanging="360"/>
      </w:pPr>
      <w:rPr>
        <w:rFonts w:ascii="Courier New" w:hAnsi="Courier New" w:cs="Courier New" w:hint="default"/>
      </w:rPr>
    </w:lvl>
    <w:lvl w:ilvl="8" w:tplc="819EF63C" w:tentative="1">
      <w:start w:val="1"/>
      <w:numFmt w:val="bullet"/>
      <w:lvlText w:val=""/>
      <w:lvlJc w:val="left"/>
      <w:pPr>
        <w:ind w:left="6480" w:hanging="360"/>
      </w:pPr>
      <w:rPr>
        <w:rFonts w:ascii="Wingdings" w:hAnsi="Wingdings" w:hint="default"/>
      </w:rPr>
    </w:lvl>
  </w:abstractNum>
  <w:abstractNum w:abstractNumId="20" w15:restartNumberingAfterBreak="0">
    <w:nsid w:val="3F086205"/>
    <w:multiLevelType w:val="hybridMultilevel"/>
    <w:tmpl w:val="6EE24314"/>
    <w:lvl w:ilvl="0" w:tplc="0526C3F8">
      <w:start w:val="1"/>
      <w:numFmt w:val="decimal"/>
      <w:lvlText w:val="%1."/>
      <w:lvlJc w:val="left"/>
      <w:pPr>
        <w:ind w:left="1440" w:hanging="360"/>
      </w:pPr>
    </w:lvl>
    <w:lvl w:ilvl="1" w:tplc="9C24B700" w:tentative="1">
      <w:start w:val="1"/>
      <w:numFmt w:val="lowerLetter"/>
      <w:lvlText w:val="%2."/>
      <w:lvlJc w:val="left"/>
      <w:pPr>
        <w:ind w:left="2160" w:hanging="360"/>
      </w:pPr>
    </w:lvl>
    <w:lvl w:ilvl="2" w:tplc="F27059B8" w:tentative="1">
      <w:start w:val="1"/>
      <w:numFmt w:val="lowerRoman"/>
      <w:lvlText w:val="%3."/>
      <w:lvlJc w:val="right"/>
      <w:pPr>
        <w:ind w:left="2880" w:hanging="180"/>
      </w:pPr>
    </w:lvl>
    <w:lvl w:ilvl="3" w:tplc="538A298E" w:tentative="1">
      <w:start w:val="1"/>
      <w:numFmt w:val="decimal"/>
      <w:lvlText w:val="%4."/>
      <w:lvlJc w:val="left"/>
      <w:pPr>
        <w:ind w:left="3600" w:hanging="360"/>
      </w:pPr>
    </w:lvl>
    <w:lvl w:ilvl="4" w:tplc="7DC2EE42" w:tentative="1">
      <w:start w:val="1"/>
      <w:numFmt w:val="lowerLetter"/>
      <w:lvlText w:val="%5."/>
      <w:lvlJc w:val="left"/>
      <w:pPr>
        <w:ind w:left="4320" w:hanging="360"/>
      </w:pPr>
    </w:lvl>
    <w:lvl w:ilvl="5" w:tplc="EA22E2B2" w:tentative="1">
      <w:start w:val="1"/>
      <w:numFmt w:val="lowerRoman"/>
      <w:lvlText w:val="%6."/>
      <w:lvlJc w:val="right"/>
      <w:pPr>
        <w:ind w:left="5040" w:hanging="180"/>
      </w:pPr>
    </w:lvl>
    <w:lvl w:ilvl="6" w:tplc="4B6CD910" w:tentative="1">
      <w:start w:val="1"/>
      <w:numFmt w:val="decimal"/>
      <w:lvlText w:val="%7."/>
      <w:lvlJc w:val="left"/>
      <w:pPr>
        <w:ind w:left="5760" w:hanging="360"/>
      </w:pPr>
    </w:lvl>
    <w:lvl w:ilvl="7" w:tplc="D8F2543A" w:tentative="1">
      <w:start w:val="1"/>
      <w:numFmt w:val="lowerLetter"/>
      <w:lvlText w:val="%8."/>
      <w:lvlJc w:val="left"/>
      <w:pPr>
        <w:ind w:left="6480" w:hanging="360"/>
      </w:pPr>
    </w:lvl>
    <w:lvl w:ilvl="8" w:tplc="8BC458CA" w:tentative="1">
      <w:start w:val="1"/>
      <w:numFmt w:val="lowerRoman"/>
      <w:lvlText w:val="%9."/>
      <w:lvlJc w:val="right"/>
      <w:pPr>
        <w:ind w:left="7200" w:hanging="180"/>
      </w:pPr>
    </w:lvl>
  </w:abstractNum>
  <w:abstractNum w:abstractNumId="21" w15:restartNumberingAfterBreak="0">
    <w:nsid w:val="499A4E5F"/>
    <w:multiLevelType w:val="hybridMultilevel"/>
    <w:tmpl w:val="91D8B1B0"/>
    <w:lvl w:ilvl="0" w:tplc="022211AA">
      <w:start w:val="1"/>
      <w:numFmt w:val="bullet"/>
      <w:lvlText w:val=""/>
      <w:lvlJc w:val="left"/>
      <w:pPr>
        <w:ind w:left="720" w:hanging="360"/>
      </w:pPr>
      <w:rPr>
        <w:rFonts w:ascii="Symbol" w:hAnsi="Symbol" w:hint="default"/>
      </w:rPr>
    </w:lvl>
    <w:lvl w:ilvl="1" w:tplc="F2B8167E" w:tentative="1">
      <w:start w:val="1"/>
      <w:numFmt w:val="bullet"/>
      <w:lvlText w:val="o"/>
      <w:lvlJc w:val="left"/>
      <w:pPr>
        <w:ind w:left="1440" w:hanging="360"/>
      </w:pPr>
      <w:rPr>
        <w:rFonts w:ascii="Courier New" w:hAnsi="Courier New" w:cs="Courier New" w:hint="default"/>
      </w:rPr>
    </w:lvl>
    <w:lvl w:ilvl="2" w:tplc="2F76256E" w:tentative="1">
      <w:start w:val="1"/>
      <w:numFmt w:val="bullet"/>
      <w:lvlText w:val=""/>
      <w:lvlJc w:val="left"/>
      <w:pPr>
        <w:ind w:left="2160" w:hanging="360"/>
      </w:pPr>
      <w:rPr>
        <w:rFonts w:ascii="Wingdings" w:hAnsi="Wingdings" w:hint="default"/>
      </w:rPr>
    </w:lvl>
    <w:lvl w:ilvl="3" w:tplc="46020E5C" w:tentative="1">
      <w:start w:val="1"/>
      <w:numFmt w:val="bullet"/>
      <w:lvlText w:val=""/>
      <w:lvlJc w:val="left"/>
      <w:pPr>
        <w:ind w:left="2880" w:hanging="360"/>
      </w:pPr>
      <w:rPr>
        <w:rFonts w:ascii="Symbol" w:hAnsi="Symbol" w:hint="default"/>
      </w:rPr>
    </w:lvl>
    <w:lvl w:ilvl="4" w:tplc="548AA636" w:tentative="1">
      <w:start w:val="1"/>
      <w:numFmt w:val="bullet"/>
      <w:lvlText w:val="o"/>
      <w:lvlJc w:val="left"/>
      <w:pPr>
        <w:ind w:left="3600" w:hanging="360"/>
      </w:pPr>
      <w:rPr>
        <w:rFonts w:ascii="Courier New" w:hAnsi="Courier New" w:cs="Courier New" w:hint="default"/>
      </w:rPr>
    </w:lvl>
    <w:lvl w:ilvl="5" w:tplc="028C1948" w:tentative="1">
      <w:start w:val="1"/>
      <w:numFmt w:val="bullet"/>
      <w:lvlText w:val=""/>
      <w:lvlJc w:val="left"/>
      <w:pPr>
        <w:ind w:left="4320" w:hanging="360"/>
      </w:pPr>
      <w:rPr>
        <w:rFonts w:ascii="Wingdings" w:hAnsi="Wingdings" w:hint="default"/>
      </w:rPr>
    </w:lvl>
    <w:lvl w:ilvl="6" w:tplc="505C6E0A" w:tentative="1">
      <w:start w:val="1"/>
      <w:numFmt w:val="bullet"/>
      <w:lvlText w:val=""/>
      <w:lvlJc w:val="left"/>
      <w:pPr>
        <w:ind w:left="5040" w:hanging="360"/>
      </w:pPr>
      <w:rPr>
        <w:rFonts w:ascii="Symbol" w:hAnsi="Symbol" w:hint="default"/>
      </w:rPr>
    </w:lvl>
    <w:lvl w:ilvl="7" w:tplc="EF02C4BA" w:tentative="1">
      <w:start w:val="1"/>
      <w:numFmt w:val="bullet"/>
      <w:lvlText w:val="o"/>
      <w:lvlJc w:val="left"/>
      <w:pPr>
        <w:ind w:left="5760" w:hanging="360"/>
      </w:pPr>
      <w:rPr>
        <w:rFonts w:ascii="Courier New" w:hAnsi="Courier New" w:cs="Courier New" w:hint="default"/>
      </w:rPr>
    </w:lvl>
    <w:lvl w:ilvl="8" w:tplc="8D92866A" w:tentative="1">
      <w:start w:val="1"/>
      <w:numFmt w:val="bullet"/>
      <w:lvlText w:val=""/>
      <w:lvlJc w:val="left"/>
      <w:pPr>
        <w:ind w:left="6480" w:hanging="360"/>
      </w:pPr>
      <w:rPr>
        <w:rFonts w:ascii="Wingdings" w:hAnsi="Wingdings" w:hint="default"/>
      </w:rPr>
    </w:lvl>
  </w:abstractNum>
  <w:abstractNum w:abstractNumId="22" w15:restartNumberingAfterBreak="0">
    <w:nsid w:val="4D7F549C"/>
    <w:multiLevelType w:val="hybridMultilevel"/>
    <w:tmpl w:val="950EB4E6"/>
    <w:lvl w:ilvl="0" w:tplc="93F80E34">
      <w:start w:val="1"/>
      <w:numFmt w:val="decimal"/>
      <w:lvlText w:val="%1."/>
      <w:lvlJc w:val="left"/>
      <w:pPr>
        <w:ind w:left="1080" w:hanging="360"/>
      </w:pPr>
      <w:rPr>
        <w:rFonts w:hint="default"/>
        <w:b w:val="0"/>
        <w:u w:val="none"/>
      </w:rPr>
    </w:lvl>
    <w:lvl w:ilvl="1" w:tplc="3D86BAB6" w:tentative="1">
      <w:start w:val="1"/>
      <w:numFmt w:val="lowerLetter"/>
      <w:lvlText w:val="%2."/>
      <w:lvlJc w:val="left"/>
      <w:pPr>
        <w:ind w:left="-4320" w:hanging="360"/>
      </w:pPr>
    </w:lvl>
    <w:lvl w:ilvl="2" w:tplc="4A5037A6" w:tentative="1">
      <w:start w:val="1"/>
      <w:numFmt w:val="lowerRoman"/>
      <w:lvlText w:val="%3."/>
      <w:lvlJc w:val="right"/>
      <w:pPr>
        <w:ind w:left="-3600" w:hanging="180"/>
      </w:pPr>
    </w:lvl>
    <w:lvl w:ilvl="3" w:tplc="3FE8F25A" w:tentative="1">
      <w:start w:val="1"/>
      <w:numFmt w:val="decimal"/>
      <w:lvlText w:val="%4."/>
      <w:lvlJc w:val="left"/>
      <w:pPr>
        <w:ind w:left="-2880" w:hanging="360"/>
      </w:pPr>
    </w:lvl>
    <w:lvl w:ilvl="4" w:tplc="2DF0C1D8" w:tentative="1">
      <w:start w:val="1"/>
      <w:numFmt w:val="lowerLetter"/>
      <w:lvlText w:val="%5."/>
      <w:lvlJc w:val="left"/>
      <w:pPr>
        <w:ind w:left="-2160" w:hanging="360"/>
      </w:pPr>
    </w:lvl>
    <w:lvl w:ilvl="5" w:tplc="19BA519A" w:tentative="1">
      <w:start w:val="1"/>
      <w:numFmt w:val="lowerRoman"/>
      <w:lvlText w:val="%6."/>
      <w:lvlJc w:val="right"/>
      <w:pPr>
        <w:ind w:left="-1440" w:hanging="180"/>
      </w:pPr>
    </w:lvl>
    <w:lvl w:ilvl="6" w:tplc="FB8261D4" w:tentative="1">
      <w:start w:val="1"/>
      <w:numFmt w:val="decimal"/>
      <w:lvlText w:val="%7."/>
      <w:lvlJc w:val="left"/>
      <w:pPr>
        <w:ind w:left="-720" w:hanging="360"/>
      </w:pPr>
    </w:lvl>
    <w:lvl w:ilvl="7" w:tplc="6C1ABEC0" w:tentative="1">
      <w:start w:val="1"/>
      <w:numFmt w:val="lowerLetter"/>
      <w:lvlText w:val="%8."/>
      <w:lvlJc w:val="left"/>
      <w:pPr>
        <w:ind w:left="0" w:hanging="360"/>
      </w:pPr>
    </w:lvl>
    <w:lvl w:ilvl="8" w:tplc="4FFA8C96" w:tentative="1">
      <w:start w:val="1"/>
      <w:numFmt w:val="lowerRoman"/>
      <w:lvlText w:val="%9."/>
      <w:lvlJc w:val="right"/>
      <w:pPr>
        <w:ind w:left="720" w:hanging="180"/>
      </w:pPr>
    </w:lvl>
  </w:abstractNum>
  <w:abstractNum w:abstractNumId="23" w15:restartNumberingAfterBreak="0">
    <w:nsid w:val="4DC13B0F"/>
    <w:multiLevelType w:val="hybridMultilevel"/>
    <w:tmpl w:val="FCF0257E"/>
    <w:lvl w:ilvl="0" w:tplc="20C8FE84">
      <w:start w:val="1"/>
      <w:numFmt w:val="decimal"/>
      <w:lvlText w:val="%1."/>
      <w:lvlJc w:val="left"/>
      <w:pPr>
        <w:ind w:left="900" w:hanging="360"/>
      </w:pPr>
      <w:rPr>
        <w:rFonts w:hint="default"/>
        <w:b w:val="0"/>
        <w:u w:val="none"/>
      </w:rPr>
    </w:lvl>
    <w:lvl w:ilvl="1" w:tplc="C8DAD554">
      <w:start w:val="1"/>
      <w:numFmt w:val="lowerLetter"/>
      <w:lvlText w:val="%2."/>
      <w:lvlJc w:val="left"/>
      <w:pPr>
        <w:ind w:left="-4500" w:hanging="360"/>
      </w:pPr>
    </w:lvl>
    <w:lvl w:ilvl="2" w:tplc="754C49CE">
      <w:start w:val="1"/>
      <w:numFmt w:val="lowerRoman"/>
      <w:lvlText w:val="%3."/>
      <w:lvlJc w:val="right"/>
      <w:pPr>
        <w:ind w:left="-3780" w:hanging="180"/>
      </w:pPr>
    </w:lvl>
    <w:lvl w:ilvl="3" w:tplc="F3CC5F1E">
      <w:start w:val="1"/>
      <w:numFmt w:val="decimal"/>
      <w:lvlText w:val="%4."/>
      <w:lvlJc w:val="left"/>
      <w:pPr>
        <w:ind w:left="-3060" w:hanging="360"/>
      </w:pPr>
    </w:lvl>
    <w:lvl w:ilvl="4" w:tplc="74C41A6E">
      <w:start w:val="1"/>
      <w:numFmt w:val="lowerLetter"/>
      <w:lvlText w:val="%5."/>
      <w:lvlJc w:val="left"/>
      <w:pPr>
        <w:ind w:left="-2340" w:hanging="360"/>
      </w:pPr>
    </w:lvl>
    <w:lvl w:ilvl="5" w:tplc="54E2C39A">
      <w:start w:val="1"/>
      <w:numFmt w:val="lowerRoman"/>
      <w:lvlText w:val="%6."/>
      <w:lvlJc w:val="right"/>
      <w:pPr>
        <w:ind w:left="-1620" w:hanging="180"/>
      </w:pPr>
    </w:lvl>
    <w:lvl w:ilvl="6" w:tplc="9EFE0C52" w:tentative="1">
      <w:start w:val="1"/>
      <w:numFmt w:val="decimal"/>
      <w:lvlText w:val="%7."/>
      <w:lvlJc w:val="left"/>
      <w:pPr>
        <w:ind w:left="-900" w:hanging="360"/>
      </w:pPr>
    </w:lvl>
    <w:lvl w:ilvl="7" w:tplc="EA00A904" w:tentative="1">
      <w:start w:val="1"/>
      <w:numFmt w:val="lowerLetter"/>
      <w:lvlText w:val="%8."/>
      <w:lvlJc w:val="left"/>
      <w:pPr>
        <w:ind w:left="-180" w:hanging="360"/>
      </w:pPr>
    </w:lvl>
    <w:lvl w:ilvl="8" w:tplc="8EB6440A" w:tentative="1">
      <w:start w:val="1"/>
      <w:numFmt w:val="lowerRoman"/>
      <w:lvlText w:val="%9."/>
      <w:lvlJc w:val="right"/>
      <w:pPr>
        <w:ind w:left="540" w:hanging="180"/>
      </w:pPr>
    </w:lvl>
  </w:abstractNum>
  <w:abstractNum w:abstractNumId="24" w15:restartNumberingAfterBreak="0">
    <w:nsid w:val="5704096D"/>
    <w:multiLevelType w:val="singleLevel"/>
    <w:tmpl w:val="F716A11C"/>
    <w:lvl w:ilvl="0">
      <w:start w:val="1"/>
      <w:numFmt w:val="upperRoman"/>
      <w:lvlText w:val="%1."/>
      <w:lvlJc w:val="left"/>
      <w:pPr>
        <w:tabs>
          <w:tab w:val="num" w:pos="720"/>
        </w:tabs>
        <w:ind w:left="720" w:hanging="720"/>
      </w:pPr>
      <w:rPr>
        <w:rFonts w:cs="Times New Roman" w:hint="default"/>
      </w:rPr>
    </w:lvl>
  </w:abstractNum>
  <w:abstractNum w:abstractNumId="25" w15:restartNumberingAfterBreak="0">
    <w:nsid w:val="596B15CE"/>
    <w:multiLevelType w:val="hybridMultilevel"/>
    <w:tmpl w:val="6D048F3E"/>
    <w:lvl w:ilvl="0" w:tplc="3B5E1622">
      <w:start w:val="1"/>
      <w:numFmt w:val="decimal"/>
      <w:lvlText w:val="%1."/>
      <w:lvlJc w:val="left"/>
      <w:pPr>
        <w:ind w:left="720" w:hanging="360"/>
      </w:pPr>
    </w:lvl>
    <w:lvl w:ilvl="1" w:tplc="904E931A" w:tentative="1">
      <w:start w:val="1"/>
      <w:numFmt w:val="lowerLetter"/>
      <w:lvlText w:val="%2."/>
      <w:lvlJc w:val="left"/>
      <w:pPr>
        <w:ind w:left="1440" w:hanging="360"/>
      </w:pPr>
    </w:lvl>
    <w:lvl w:ilvl="2" w:tplc="CFF20A52" w:tentative="1">
      <w:start w:val="1"/>
      <w:numFmt w:val="lowerRoman"/>
      <w:lvlText w:val="%3."/>
      <w:lvlJc w:val="right"/>
      <w:pPr>
        <w:ind w:left="2160" w:hanging="180"/>
      </w:pPr>
    </w:lvl>
    <w:lvl w:ilvl="3" w:tplc="4E407DB6" w:tentative="1">
      <w:start w:val="1"/>
      <w:numFmt w:val="decimal"/>
      <w:lvlText w:val="%4."/>
      <w:lvlJc w:val="left"/>
      <w:pPr>
        <w:ind w:left="2880" w:hanging="360"/>
      </w:pPr>
    </w:lvl>
    <w:lvl w:ilvl="4" w:tplc="157462BC" w:tentative="1">
      <w:start w:val="1"/>
      <w:numFmt w:val="lowerLetter"/>
      <w:lvlText w:val="%5."/>
      <w:lvlJc w:val="left"/>
      <w:pPr>
        <w:ind w:left="3600" w:hanging="360"/>
      </w:pPr>
    </w:lvl>
    <w:lvl w:ilvl="5" w:tplc="66985EC4" w:tentative="1">
      <w:start w:val="1"/>
      <w:numFmt w:val="lowerRoman"/>
      <w:lvlText w:val="%6."/>
      <w:lvlJc w:val="right"/>
      <w:pPr>
        <w:ind w:left="4320" w:hanging="180"/>
      </w:pPr>
    </w:lvl>
    <w:lvl w:ilvl="6" w:tplc="0A6C48B4" w:tentative="1">
      <w:start w:val="1"/>
      <w:numFmt w:val="decimal"/>
      <w:lvlText w:val="%7."/>
      <w:lvlJc w:val="left"/>
      <w:pPr>
        <w:ind w:left="5040" w:hanging="360"/>
      </w:pPr>
    </w:lvl>
    <w:lvl w:ilvl="7" w:tplc="7CEA78F2" w:tentative="1">
      <w:start w:val="1"/>
      <w:numFmt w:val="lowerLetter"/>
      <w:lvlText w:val="%8."/>
      <w:lvlJc w:val="left"/>
      <w:pPr>
        <w:ind w:left="5760" w:hanging="360"/>
      </w:pPr>
    </w:lvl>
    <w:lvl w:ilvl="8" w:tplc="37ECBFEA" w:tentative="1">
      <w:start w:val="1"/>
      <w:numFmt w:val="lowerRoman"/>
      <w:lvlText w:val="%9."/>
      <w:lvlJc w:val="right"/>
      <w:pPr>
        <w:ind w:left="6480" w:hanging="180"/>
      </w:pPr>
    </w:lvl>
  </w:abstractNum>
  <w:abstractNum w:abstractNumId="26" w15:restartNumberingAfterBreak="0">
    <w:nsid w:val="6155346E"/>
    <w:multiLevelType w:val="hybridMultilevel"/>
    <w:tmpl w:val="3BB62DE0"/>
    <w:lvl w:ilvl="0" w:tplc="56B2673C">
      <w:start w:val="1"/>
      <w:numFmt w:val="upperRoman"/>
      <w:lvlText w:val="%1."/>
      <w:lvlJc w:val="right"/>
      <w:pPr>
        <w:ind w:left="720" w:hanging="360"/>
      </w:pPr>
    </w:lvl>
    <w:lvl w:ilvl="1" w:tplc="BF76BD26" w:tentative="1">
      <w:start w:val="1"/>
      <w:numFmt w:val="lowerLetter"/>
      <w:lvlText w:val="%2."/>
      <w:lvlJc w:val="left"/>
      <w:pPr>
        <w:ind w:left="1440" w:hanging="360"/>
      </w:pPr>
    </w:lvl>
    <w:lvl w:ilvl="2" w:tplc="F2F89CE6" w:tentative="1">
      <w:start w:val="1"/>
      <w:numFmt w:val="lowerRoman"/>
      <w:lvlText w:val="%3."/>
      <w:lvlJc w:val="right"/>
      <w:pPr>
        <w:ind w:left="2160" w:hanging="180"/>
      </w:pPr>
    </w:lvl>
    <w:lvl w:ilvl="3" w:tplc="AAE80AF4" w:tentative="1">
      <w:start w:val="1"/>
      <w:numFmt w:val="decimal"/>
      <w:lvlText w:val="%4."/>
      <w:lvlJc w:val="left"/>
      <w:pPr>
        <w:ind w:left="2880" w:hanging="360"/>
      </w:pPr>
    </w:lvl>
    <w:lvl w:ilvl="4" w:tplc="B4FE2BD8" w:tentative="1">
      <w:start w:val="1"/>
      <w:numFmt w:val="lowerLetter"/>
      <w:lvlText w:val="%5."/>
      <w:lvlJc w:val="left"/>
      <w:pPr>
        <w:ind w:left="3600" w:hanging="360"/>
      </w:pPr>
    </w:lvl>
    <w:lvl w:ilvl="5" w:tplc="45AE9E48" w:tentative="1">
      <w:start w:val="1"/>
      <w:numFmt w:val="lowerRoman"/>
      <w:lvlText w:val="%6."/>
      <w:lvlJc w:val="right"/>
      <w:pPr>
        <w:ind w:left="4320" w:hanging="180"/>
      </w:pPr>
    </w:lvl>
    <w:lvl w:ilvl="6" w:tplc="C45C7D4C" w:tentative="1">
      <w:start w:val="1"/>
      <w:numFmt w:val="decimal"/>
      <w:lvlText w:val="%7."/>
      <w:lvlJc w:val="left"/>
      <w:pPr>
        <w:ind w:left="5040" w:hanging="360"/>
      </w:pPr>
    </w:lvl>
    <w:lvl w:ilvl="7" w:tplc="564E4D5E" w:tentative="1">
      <w:start w:val="1"/>
      <w:numFmt w:val="lowerLetter"/>
      <w:lvlText w:val="%8."/>
      <w:lvlJc w:val="left"/>
      <w:pPr>
        <w:ind w:left="5760" w:hanging="360"/>
      </w:pPr>
    </w:lvl>
    <w:lvl w:ilvl="8" w:tplc="9532447E" w:tentative="1">
      <w:start w:val="1"/>
      <w:numFmt w:val="lowerRoman"/>
      <w:lvlText w:val="%9."/>
      <w:lvlJc w:val="right"/>
      <w:pPr>
        <w:ind w:left="6480" w:hanging="180"/>
      </w:pPr>
    </w:lvl>
  </w:abstractNum>
  <w:abstractNum w:abstractNumId="27" w15:restartNumberingAfterBreak="0">
    <w:nsid w:val="629D6926"/>
    <w:multiLevelType w:val="hybridMultilevel"/>
    <w:tmpl w:val="331E585A"/>
    <w:lvl w:ilvl="0" w:tplc="DAB8640E">
      <w:start w:val="1"/>
      <w:numFmt w:val="bullet"/>
      <w:lvlText w:val=""/>
      <w:lvlJc w:val="left"/>
      <w:pPr>
        <w:ind w:left="720" w:hanging="360"/>
      </w:pPr>
      <w:rPr>
        <w:rFonts w:ascii="Symbol" w:hAnsi="Symbol" w:hint="default"/>
      </w:rPr>
    </w:lvl>
    <w:lvl w:ilvl="1" w:tplc="0C2AE3E6">
      <w:start w:val="1"/>
      <w:numFmt w:val="bullet"/>
      <w:lvlText w:val="o"/>
      <w:lvlJc w:val="left"/>
      <w:pPr>
        <w:ind w:left="1170" w:hanging="360"/>
      </w:pPr>
      <w:rPr>
        <w:rFonts w:ascii="Courier New" w:hAnsi="Courier New" w:cs="Courier New" w:hint="default"/>
      </w:rPr>
    </w:lvl>
    <w:lvl w:ilvl="2" w:tplc="AC2EE5E8" w:tentative="1">
      <w:start w:val="1"/>
      <w:numFmt w:val="bullet"/>
      <w:lvlText w:val=""/>
      <w:lvlJc w:val="left"/>
      <w:pPr>
        <w:ind w:left="2160" w:hanging="360"/>
      </w:pPr>
      <w:rPr>
        <w:rFonts w:ascii="Wingdings" w:hAnsi="Wingdings" w:hint="default"/>
      </w:rPr>
    </w:lvl>
    <w:lvl w:ilvl="3" w:tplc="8ABE3056" w:tentative="1">
      <w:start w:val="1"/>
      <w:numFmt w:val="bullet"/>
      <w:lvlText w:val=""/>
      <w:lvlJc w:val="left"/>
      <w:pPr>
        <w:ind w:left="2880" w:hanging="360"/>
      </w:pPr>
      <w:rPr>
        <w:rFonts w:ascii="Symbol" w:hAnsi="Symbol" w:hint="default"/>
      </w:rPr>
    </w:lvl>
    <w:lvl w:ilvl="4" w:tplc="A3FA21F8" w:tentative="1">
      <w:start w:val="1"/>
      <w:numFmt w:val="bullet"/>
      <w:lvlText w:val="o"/>
      <w:lvlJc w:val="left"/>
      <w:pPr>
        <w:ind w:left="3600" w:hanging="360"/>
      </w:pPr>
      <w:rPr>
        <w:rFonts w:ascii="Courier New" w:hAnsi="Courier New" w:cs="Courier New" w:hint="default"/>
      </w:rPr>
    </w:lvl>
    <w:lvl w:ilvl="5" w:tplc="7DB893DC" w:tentative="1">
      <w:start w:val="1"/>
      <w:numFmt w:val="bullet"/>
      <w:lvlText w:val=""/>
      <w:lvlJc w:val="left"/>
      <w:pPr>
        <w:ind w:left="4320" w:hanging="360"/>
      </w:pPr>
      <w:rPr>
        <w:rFonts w:ascii="Wingdings" w:hAnsi="Wingdings" w:hint="default"/>
      </w:rPr>
    </w:lvl>
    <w:lvl w:ilvl="6" w:tplc="DF2E6E00" w:tentative="1">
      <w:start w:val="1"/>
      <w:numFmt w:val="bullet"/>
      <w:lvlText w:val=""/>
      <w:lvlJc w:val="left"/>
      <w:pPr>
        <w:ind w:left="5040" w:hanging="360"/>
      </w:pPr>
      <w:rPr>
        <w:rFonts w:ascii="Symbol" w:hAnsi="Symbol" w:hint="default"/>
      </w:rPr>
    </w:lvl>
    <w:lvl w:ilvl="7" w:tplc="8EC839EC" w:tentative="1">
      <w:start w:val="1"/>
      <w:numFmt w:val="bullet"/>
      <w:lvlText w:val="o"/>
      <w:lvlJc w:val="left"/>
      <w:pPr>
        <w:ind w:left="5760" w:hanging="360"/>
      </w:pPr>
      <w:rPr>
        <w:rFonts w:ascii="Courier New" w:hAnsi="Courier New" w:cs="Courier New" w:hint="default"/>
      </w:rPr>
    </w:lvl>
    <w:lvl w:ilvl="8" w:tplc="A3625256" w:tentative="1">
      <w:start w:val="1"/>
      <w:numFmt w:val="bullet"/>
      <w:lvlText w:val=""/>
      <w:lvlJc w:val="left"/>
      <w:pPr>
        <w:ind w:left="6480" w:hanging="360"/>
      </w:pPr>
      <w:rPr>
        <w:rFonts w:ascii="Wingdings" w:hAnsi="Wingdings" w:hint="default"/>
      </w:rPr>
    </w:lvl>
  </w:abstractNum>
  <w:abstractNum w:abstractNumId="28" w15:restartNumberingAfterBreak="0">
    <w:nsid w:val="64804FE5"/>
    <w:multiLevelType w:val="hybridMultilevel"/>
    <w:tmpl w:val="87ECD528"/>
    <w:lvl w:ilvl="0" w:tplc="7C44E456">
      <w:start w:val="1"/>
      <w:numFmt w:val="decimal"/>
      <w:lvlText w:val="%1."/>
      <w:lvlJc w:val="left"/>
      <w:pPr>
        <w:ind w:left="1440" w:hanging="360"/>
      </w:pPr>
    </w:lvl>
    <w:lvl w:ilvl="1" w:tplc="4FEA18E6" w:tentative="1">
      <w:start w:val="1"/>
      <w:numFmt w:val="lowerLetter"/>
      <w:lvlText w:val="%2."/>
      <w:lvlJc w:val="left"/>
      <w:pPr>
        <w:ind w:left="2160" w:hanging="360"/>
      </w:pPr>
    </w:lvl>
    <w:lvl w:ilvl="2" w:tplc="7226ACC0" w:tentative="1">
      <w:start w:val="1"/>
      <w:numFmt w:val="lowerRoman"/>
      <w:lvlText w:val="%3."/>
      <w:lvlJc w:val="right"/>
      <w:pPr>
        <w:ind w:left="2880" w:hanging="180"/>
      </w:pPr>
    </w:lvl>
    <w:lvl w:ilvl="3" w:tplc="DDB4D466" w:tentative="1">
      <w:start w:val="1"/>
      <w:numFmt w:val="decimal"/>
      <w:lvlText w:val="%4."/>
      <w:lvlJc w:val="left"/>
      <w:pPr>
        <w:ind w:left="3600" w:hanging="360"/>
      </w:pPr>
    </w:lvl>
    <w:lvl w:ilvl="4" w:tplc="D90669EC" w:tentative="1">
      <w:start w:val="1"/>
      <w:numFmt w:val="lowerLetter"/>
      <w:lvlText w:val="%5."/>
      <w:lvlJc w:val="left"/>
      <w:pPr>
        <w:ind w:left="4320" w:hanging="360"/>
      </w:pPr>
    </w:lvl>
    <w:lvl w:ilvl="5" w:tplc="DDFE08CE" w:tentative="1">
      <w:start w:val="1"/>
      <w:numFmt w:val="lowerRoman"/>
      <w:lvlText w:val="%6."/>
      <w:lvlJc w:val="right"/>
      <w:pPr>
        <w:ind w:left="5040" w:hanging="180"/>
      </w:pPr>
    </w:lvl>
    <w:lvl w:ilvl="6" w:tplc="26F02D08" w:tentative="1">
      <w:start w:val="1"/>
      <w:numFmt w:val="decimal"/>
      <w:lvlText w:val="%7."/>
      <w:lvlJc w:val="left"/>
      <w:pPr>
        <w:ind w:left="5760" w:hanging="360"/>
      </w:pPr>
    </w:lvl>
    <w:lvl w:ilvl="7" w:tplc="EBA85306" w:tentative="1">
      <w:start w:val="1"/>
      <w:numFmt w:val="lowerLetter"/>
      <w:lvlText w:val="%8."/>
      <w:lvlJc w:val="left"/>
      <w:pPr>
        <w:ind w:left="6480" w:hanging="360"/>
      </w:pPr>
    </w:lvl>
    <w:lvl w:ilvl="8" w:tplc="825EE6DE" w:tentative="1">
      <w:start w:val="1"/>
      <w:numFmt w:val="lowerRoman"/>
      <w:lvlText w:val="%9."/>
      <w:lvlJc w:val="right"/>
      <w:pPr>
        <w:ind w:left="7200" w:hanging="180"/>
      </w:pPr>
    </w:lvl>
  </w:abstractNum>
  <w:abstractNum w:abstractNumId="29" w15:restartNumberingAfterBreak="0">
    <w:nsid w:val="69954FB7"/>
    <w:multiLevelType w:val="hybridMultilevel"/>
    <w:tmpl w:val="9312B46A"/>
    <w:lvl w:ilvl="0" w:tplc="EB0025D0">
      <w:start w:val="1"/>
      <w:numFmt w:val="decimal"/>
      <w:lvlText w:val="%1."/>
      <w:lvlJc w:val="left"/>
      <w:pPr>
        <w:ind w:left="7200" w:hanging="360"/>
      </w:pPr>
      <w:rPr>
        <w:rFonts w:hint="default"/>
        <w:u w:val="none"/>
      </w:rPr>
    </w:lvl>
    <w:lvl w:ilvl="1" w:tplc="1518BD1A" w:tentative="1">
      <w:start w:val="1"/>
      <w:numFmt w:val="lowerLetter"/>
      <w:lvlText w:val="%2."/>
      <w:lvlJc w:val="left"/>
      <w:pPr>
        <w:ind w:left="1800" w:hanging="360"/>
      </w:pPr>
    </w:lvl>
    <w:lvl w:ilvl="2" w:tplc="49BC1CCC" w:tentative="1">
      <w:start w:val="1"/>
      <w:numFmt w:val="lowerRoman"/>
      <w:lvlText w:val="%3."/>
      <w:lvlJc w:val="right"/>
      <w:pPr>
        <w:ind w:left="2520" w:hanging="180"/>
      </w:pPr>
    </w:lvl>
    <w:lvl w:ilvl="3" w:tplc="12661330" w:tentative="1">
      <w:start w:val="1"/>
      <w:numFmt w:val="decimal"/>
      <w:lvlText w:val="%4."/>
      <w:lvlJc w:val="left"/>
      <w:pPr>
        <w:ind w:left="3240" w:hanging="360"/>
      </w:pPr>
    </w:lvl>
    <w:lvl w:ilvl="4" w:tplc="7FBAA828" w:tentative="1">
      <w:start w:val="1"/>
      <w:numFmt w:val="lowerLetter"/>
      <w:lvlText w:val="%5."/>
      <w:lvlJc w:val="left"/>
      <w:pPr>
        <w:ind w:left="3960" w:hanging="360"/>
      </w:pPr>
    </w:lvl>
    <w:lvl w:ilvl="5" w:tplc="AED0E1C6" w:tentative="1">
      <w:start w:val="1"/>
      <w:numFmt w:val="lowerRoman"/>
      <w:lvlText w:val="%6."/>
      <w:lvlJc w:val="right"/>
      <w:pPr>
        <w:ind w:left="4680" w:hanging="180"/>
      </w:pPr>
    </w:lvl>
    <w:lvl w:ilvl="6" w:tplc="13F4EC56" w:tentative="1">
      <w:start w:val="1"/>
      <w:numFmt w:val="decimal"/>
      <w:lvlText w:val="%7."/>
      <w:lvlJc w:val="left"/>
      <w:pPr>
        <w:ind w:left="5400" w:hanging="360"/>
      </w:pPr>
    </w:lvl>
    <w:lvl w:ilvl="7" w:tplc="5874EF48" w:tentative="1">
      <w:start w:val="1"/>
      <w:numFmt w:val="lowerLetter"/>
      <w:lvlText w:val="%8."/>
      <w:lvlJc w:val="left"/>
      <w:pPr>
        <w:ind w:left="6120" w:hanging="360"/>
      </w:pPr>
    </w:lvl>
    <w:lvl w:ilvl="8" w:tplc="5566A934" w:tentative="1">
      <w:start w:val="1"/>
      <w:numFmt w:val="lowerRoman"/>
      <w:lvlText w:val="%9."/>
      <w:lvlJc w:val="right"/>
      <w:pPr>
        <w:ind w:left="6840" w:hanging="180"/>
      </w:pPr>
    </w:lvl>
  </w:abstractNum>
  <w:abstractNum w:abstractNumId="30" w15:restartNumberingAfterBreak="0">
    <w:nsid w:val="71DF3C6C"/>
    <w:multiLevelType w:val="hybridMultilevel"/>
    <w:tmpl w:val="62EA1EA6"/>
    <w:lvl w:ilvl="0" w:tplc="F2C4FC52">
      <w:start w:val="1"/>
      <w:numFmt w:val="bullet"/>
      <w:lvlText w:val=""/>
      <w:lvlJc w:val="left"/>
      <w:pPr>
        <w:ind w:left="720" w:hanging="360"/>
      </w:pPr>
      <w:rPr>
        <w:rFonts w:ascii="Symbol" w:hAnsi="Symbol" w:hint="default"/>
      </w:rPr>
    </w:lvl>
    <w:lvl w:ilvl="1" w:tplc="773A6130" w:tentative="1">
      <w:start w:val="1"/>
      <w:numFmt w:val="bullet"/>
      <w:lvlText w:val="o"/>
      <w:lvlJc w:val="left"/>
      <w:pPr>
        <w:ind w:left="1440" w:hanging="360"/>
      </w:pPr>
      <w:rPr>
        <w:rFonts w:ascii="Courier New" w:hAnsi="Courier New" w:cs="Courier New" w:hint="default"/>
      </w:rPr>
    </w:lvl>
    <w:lvl w:ilvl="2" w:tplc="041E55D8" w:tentative="1">
      <w:start w:val="1"/>
      <w:numFmt w:val="bullet"/>
      <w:lvlText w:val=""/>
      <w:lvlJc w:val="left"/>
      <w:pPr>
        <w:ind w:left="2160" w:hanging="360"/>
      </w:pPr>
      <w:rPr>
        <w:rFonts w:ascii="Wingdings" w:hAnsi="Wingdings" w:hint="default"/>
      </w:rPr>
    </w:lvl>
    <w:lvl w:ilvl="3" w:tplc="946EE5B6" w:tentative="1">
      <w:start w:val="1"/>
      <w:numFmt w:val="bullet"/>
      <w:lvlText w:val=""/>
      <w:lvlJc w:val="left"/>
      <w:pPr>
        <w:ind w:left="2880" w:hanging="360"/>
      </w:pPr>
      <w:rPr>
        <w:rFonts w:ascii="Symbol" w:hAnsi="Symbol" w:hint="default"/>
      </w:rPr>
    </w:lvl>
    <w:lvl w:ilvl="4" w:tplc="3DCC0730" w:tentative="1">
      <w:start w:val="1"/>
      <w:numFmt w:val="bullet"/>
      <w:lvlText w:val="o"/>
      <w:lvlJc w:val="left"/>
      <w:pPr>
        <w:ind w:left="3600" w:hanging="360"/>
      </w:pPr>
      <w:rPr>
        <w:rFonts w:ascii="Courier New" w:hAnsi="Courier New" w:cs="Courier New" w:hint="default"/>
      </w:rPr>
    </w:lvl>
    <w:lvl w:ilvl="5" w:tplc="FA289D80" w:tentative="1">
      <w:start w:val="1"/>
      <w:numFmt w:val="bullet"/>
      <w:lvlText w:val=""/>
      <w:lvlJc w:val="left"/>
      <w:pPr>
        <w:ind w:left="4320" w:hanging="360"/>
      </w:pPr>
      <w:rPr>
        <w:rFonts w:ascii="Wingdings" w:hAnsi="Wingdings" w:hint="default"/>
      </w:rPr>
    </w:lvl>
    <w:lvl w:ilvl="6" w:tplc="A7061DA6" w:tentative="1">
      <w:start w:val="1"/>
      <w:numFmt w:val="bullet"/>
      <w:lvlText w:val=""/>
      <w:lvlJc w:val="left"/>
      <w:pPr>
        <w:ind w:left="5040" w:hanging="360"/>
      </w:pPr>
      <w:rPr>
        <w:rFonts w:ascii="Symbol" w:hAnsi="Symbol" w:hint="default"/>
      </w:rPr>
    </w:lvl>
    <w:lvl w:ilvl="7" w:tplc="CDC47350" w:tentative="1">
      <w:start w:val="1"/>
      <w:numFmt w:val="bullet"/>
      <w:lvlText w:val="o"/>
      <w:lvlJc w:val="left"/>
      <w:pPr>
        <w:ind w:left="5760" w:hanging="360"/>
      </w:pPr>
      <w:rPr>
        <w:rFonts w:ascii="Courier New" w:hAnsi="Courier New" w:cs="Courier New" w:hint="default"/>
      </w:rPr>
    </w:lvl>
    <w:lvl w:ilvl="8" w:tplc="4984C124" w:tentative="1">
      <w:start w:val="1"/>
      <w:numFmt w:val="bullet"/>
      <w:lvlText w:val=""/>
      <w:lvlJc w:val="left"/>
      <w:pPr>
        <w:ind w:left="6480" w:hanging="360"/>
      </w:pPr>
      <w:rPr>
        <w:rFonts w:ascii="Wingdings" w:hAnsi="Wingdings" w:hint="default"/>
      </w:rPr>
    </w:lvl>
  </w:abstractNum>
  <w:abstractNum w:abstractNumId="31" w15:restartNumberingAfterBreak="0">
    <w:nsid w:val="73140CA2"/>
    <w:multiLevelType w:val="hybridMultilevel"/>
    <w:tmpl w:val="6D048F3E"/>
    <w:lvl w:ilvl="0" w:tplc="323EEC52">
      <w:start w:val="1"/>
      <w:numFmt w:val="decimal"/>
      <w:lvlText w:val="%1."/>
      <w:lvlJc w:val="left"/>
      <w:pPr>
        <w:ind w:left="720" w:hanging="360"/>
      </w:pPr>
    </w:lvl>
    <w:lvl w:ilvl="1" w:tplc="8970F1B8" w:tentative="1">
      <w:start w:val="1"/>
      <w:numFmt w:val="lowerLetter"/>
      <w:lvlText w:val="%2."/>
      <w:lvlJc w:val="left"/>
      <w:pPr>
        <w:ind w:left="1440" w:hanging="360"/>
      </w:pPr>
    </w:lvl>
    <w:lvl w:ilvl="2" w:tplc="AA5C01C4" w:tentative="1">
      <w:start w:val="1"/>
      <w:numFmt w:val="lowerRoman"/>
      <w:lvlText w:val="%3."/>
      <w:lvlJc w:val="right"/>
      <w:pPr>
        <w:ind w:left="2160" w:hanging="180"/>
      </w:pPr>
    </w:lvl>
    <w:lvl w:ilvl="3" w:tplc="2530073C" w:tentative="1">
      <w:start w:val="1"/>
      <w:numFmt w:val="decimal"/>
      <w:lvlText w:val="%4."/>
      <w:lvlJc w:val="left"/>
      <w:pPr>
        <w:ind w:left="2880" w:hanging="360"/>
      </w:pPr>
    </w:lvl>
    <w:lvl w:ilvl="4" w:tplc="FAB8241E" w:tentative="1">
      <w:start w:val="1"/>
      <w:numFmt w:val="lowerLetter"/>
      <w:lvlText w:val="%5."/>
      <w:lvlJc w:val="left"/>
      <w:pPr>
        <w:ind w:left="3600" w:hanging="360"/>
      </w:pPr>
    </w:lvl>
    <w:lvl w:ilvl="5" w:tplc="DD967B00" w:tentative="1">
      <w:start w:val="1"/>
      <w:numFmt w:val="lowerRoman"/>
      <w:lvlText w:val="%6."/>
      <w:lvlJc w:val="right"/>
      <w:pPr>
        <w:ind w:left="4320" w:hanging="180"/>
      </w:pPr>
    </w:lvl>
    <w:lvl w:ilvl="6" w:tplc="2E4C729A" w:tentative="1">
      <w:start w:val="1"/>
      <w:numFmt w:val="decimal"/>
      <w:lvlText w:val="%7."/>
      <w:lvlJc w:val="left"/>
      <w:pPr>
        <w:ind w:left="5040" w:hanging="360"/>
      </w:pPr>
    </w:lvl>
    <w:lvl w:ilvl="7" w:tplc="FF0E527E" w:tentative="1">
      <w:start w:val="1"/>
      <w:numFmt w:val="lowerLetter"/>
      <w:lvlText w:val="%8."/>
      <w:lvlJc w:val="left"/>
      <w:pPr>
        <w:ind w:left="5760" w:hanging="360"/>
      </w:pPr>
    </w:lvl>
    <w:lvl w:ilvl="8" w:tplc="2818A870" w:tentative="1">
      <w:start w:val="1"/>
      <w:numFmt w:val="lowerRoman"/>
      <w:lvlText w:val="%9."/>
      <w:lvlJc w:val="right"/>
      <w:pPr>
        <w:ind w:left="6480" w:hanging="180"/>
      </w:pPr>
    </w:lvl>
  </w:abstractNum>
  <w:abstractNum w:abstractNumId="32" w15:restartNumberingAfterBreak="0">
    <w:nsid w:val="7D822C8E"/>
    <w:multiLevelType w:val="hybridMultilevel"/>
    <w:tmpl w:val="755A7E96"/>
    <w:lvl w:ilvl="0" w:tplc="16C8704A">
      <w:start w:val="1"/>
      <w:numFmt w:val="bullet"/>
      <w:pStyle w:val="bullet1"/>
      <w:lvlText w:val=""/>
      <w:lvlJc w:val="left"/>
      <w:pPr>
        <w:ind w:left="720" w:hanging="360"/>
      </w:pPr>
      <w:rPr>
        <w:rFonts w:ascii="Symbol" w:hAnsi="Symbol" w:hint="default"/>
      </w:rPr>
    </w:lvl>
    <w:lvl w:ilvl="1" w:tplc="3A9CC378">
      <w:start w:val="1"/>
      <w:numFmt w:val="bullet"/>
      <w:lvlText w:val="o"/>
      <w:lvlJc w:val="left"/>
      <w:pPr>
        <w:ind w:left="1080" w:hanging="360"/>
      </w:pPr>
      <w:rPr>
        <w:rFonts w:ascii="Courier New" w:hAnsi="Courier New" w:cs="Courier New" w:hint="default"/>
      </w:rPr>
    </w:lvl>
    <w:lvl w:ilvl="2" w:tplc="5DF05D6A" w:tentative="1">
      <w:start w:val="1"/>
      <w:numFmt w:val="bullet"/>
      <w:lvlText w:val=""/>
      <w:lvlJc w:val="left"/>
      <w:pPr>
        <w:ind w:left="2160" w:hanging="360"/>
      </w:pPr>
      <w:rPr>
        <w:rFonts w:ascii="Wingdings" w:hAnsi="Wingdings" w:hint="default"/>
      </w:rPr>
    </w:lvl>
    <w:lvl w:ilvl="3" w:tplc="04C0ADEC" w:tentative="1">
      <w:start w:val="1"/>
      <w:numFmt w:val="bullet"/>
      <w:lvlText w:val=""/>
      <w:lvlJc w:val="left"/>
      <w:pPr>
        <w:ind w:left="2880" w:hanging="360"/>
      </w:pPr>
      <w:rPr>
        <w:rFonts w:ascii="Symbol" w:hAnsi="Symbol" w:hint="default"/>
      </w:rPr>
    </w:lvl>
    <w:lvl w:ilvl="4" w:tplc="B4EAEB0E" w:tentative="1">
      <w:start w:val="1"/>
      <w:numFmt w:val="bullet"/>
      <w:lvlText w:val="o"/>
      <w:lvlJc w:val="left"/>
      <w:pPr>
        <w:ind w:left="3600" w:hanging="360"/>
      </w:pPr>
      <w:rPr>
        <w:rFonts w:ascii="Courier New" w:hAnsi="Courier New" w:cs="Courier New" w:hint="default"/>
      </w:rPr>
    </w:lvl>
    <w:lvl w:ilvl="5" w:tplc="0CA8E2E2" w:tentative="1">
      <w:start w:val="1"/>
      <w:numFmt w:val="bullet"/>
      <w:lvlText w:val=""/>
      <w:lvlJc w:val="left"/>
      <w:pPr>
        <w:ind w:left="4320" w:hanging="360"/>
      </w:pPr>
      <w:rPr>
        <w:rFonts w:ascii="Wingdings" w:hAnsi="Wingdings" w:hint="default"/>
      </w:rPr>
    </w:lvl>
    <w:lvl w:ilvl="6" w:tplc="76F29710" w:tentative="1">
      <w:start w:val="1"/>
      <w:numFmt w:val="bullet"/>
      <w:lvlText w:val=""/>
      <w:lvlJc w:val="left"/>
      <w:pPr>
        <w:ind w:left="5040" w:hanging="360"/>
      </w:pPr>
      <w:rPr>
        <w:rFonts w:ascii="Symbol" w:hAnsi="Symbol" w:hint="default"/>
      </w:rPr>
    </w:lvl>
    <w:lvl w:ilvl="7" w:tplc="C996266E" w:tentative="1">
      <w:start w:val="1"/>
      <w:numFmt w:val="bullet"/>
      <w:lvlText w:val="o"/>
      <w:lvlJc w:val="left"/>
      <w:pPr>
        <w:ind w:left="5760" w:hanging="360"/>
      </w:pPr>
      <w:rPr>
        <w:rFonts w:ascii="Courier New" w:hAnsi="Courier New" w:cs="Courier New" w:hint="default"/>
      </w:rPr>
    </w:lvl>
    <w:lvl w:ilvl="8" w:tplc="B712B61C" w:tentative="1">
      <w:start w:val="1"/>
      <w:numFmt w:val="bullet"/>
      <w:lvlText w:val=""/>
      <w:lvlJc w:val="left"/>
      <w:pPr>
        <w:ind w:left="6480" w:hanging="360"/>
      </w:pPr>
      <w:rPr>
        <w:rFonts w:ascii="Wingdings" w:hAnsi="Wingdings" w:hint="default"/>
      </w:rPr>
    </w:lvl>
  </w:abstractNum>
  <w:abstractNum w:abstractNumId="33" w15:restartNumberingAfterBreak="0">
    <w:nsid w:val="7ECA7055"/>
    <w:multiLevelType w:val="hybridMultilevel"/>
    <w:tmpl w:val="6D048F3E"/>
    <w:lvl w:ilvl="0" w:tplc="7F22D5B6">
      <w:start w:val="1"/>
      <w:numFmt w:val="decimal"/>
      <w:lvlText w:val="%1."/>
      <w:lvlJc w:val="left"/>
      <w:pPr>
        <w:ind w:left="720" w:hanging="360"/>
      </w:pPr>
    </w:lvl>
    <w:lvl w:ilvl="1" w:tplc="2EEC7618" w:tentative="1">
      <w:start w:val="1"/>
      <w:numFmt w:val="lowerLetter"/>
      <w:lvlText w:val="%2."/>
      <w:lvlJc w:val="left"/>
      <w:pPr>
        <w:ind w:left="1440" w:hanging="360"/>
      </w:pPr>
    </w:lvl>
    <w:lvl w:ilvl="2" w:tplc="0F4E8A10" w:tentative="1">
      <w:start w:val="1"/>
      <w:numFmt w:val="lowerRoman"/>
      <w:lvlText w:val="%3."/>
      <w:lvlJc w:val="right"/>
      <w:pPr>
        <w:ind w:left="2160" w:hanging="180"/>
      </w:pPr>
    </w:lvl>
    <w:lvl w:ilvl="3" w:tplc="1D941C20" w:tentative="1">
      <w:start w:val="1"/>
      <w:numFmt w:val="decimal"/>
      <w:lvlText w:val="%4."/>
      <w:lvlJc w:val="left"/>
      <w:pPr>
        <w:ind w:left="2880" w:hanging="360"/>
      </w:pPr>
    </w:lvl>
    <w:lvl w:ilvl="4" w:tplc="36548748" w:tentative="1">
      <w:start w:val="1"/>
      <w:numFmt w:val="lowerLetter"/>
      <w:lvlText w:val="%5."/>
      <w:lvlJc w:val="left"/>
      <w:pPr>
        <w:ind w:left="3600" w:hanging="360"/>
      </w:pPr>
    </w:lvl>
    <w:lvl w:ilvl="5" w:tplc="467EC758" w:tentative="1">
      <w:start w:val="1"/>
      <w:numFmt w:val="lowerRoman"/>
      <w:lvlText w:val="%6."/>
      <w:lvlJc w:val="right"/>
      <w:pPr>
        <w:ind w:left="4320" w:hanging="180"/>
      </w:pPr>
    </w:lvl>
    <w:lvl w:ilvl="6" w:tplc="259293C0" w:tentative="1">
      <w:start w:val="1"/>
      <w:numFmt w:val="decimal"/>
      <w:lvlText w:val="%7."/>
      <w:lvlJc w:val="left"/>
      <w:pPr>
        <w:ind w:left="5040" w:hanging="360"/>
      </w:pPr>
    </w:lvl>
    <w:lvl w:ilvl="7" w:tplc="AA8AECE4" w:tentative="1">
      <w:start w:val="1"/>
      <w:numFmt w:val="lowerLetter"/>
      <w:lvlText w:val="%8."/>
      <w:lvlJc w:val="left"/>
      <w:pPr>
        <w:ind w:left="5760" w:hanging="360"/>
      </w:pPr>
    </w:lvl>
    <w:lvl w:ilvl="8" w:tplc="9CAE5BE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2"/>
  </w:num>
  <w:num w:numId="13">
    <w:abstractNumId w:val="11"/>
  </w:num>
  <w:num w:numId="14">
    <w:abstractNumId w:val="29"/>
  </w:num>
  <w:num w:numId="15">
    <w:abstractNumId w:val="16"/>
  </w:num>
  <w:num w:numId="16">
    <w:abstractNumId w:val="17"/>
  </w:num>
  <w:num w:numId="17">
    <w:abstractNumId w:val="22"/>
  </w:num>
  <w:num w:numId="18">
    <w:abstractNumId w:val="28"/>
  </w:num>
  <w:num w:numId="19">
    <w:abstractNumId w:val="27"/>
  </w:num>
  <w:num w:numId="20">
    <w:abstractNumId w:val="19"/>
  </w:num>
  <w:num w:numId="21">
    <w:abstractNumId w:val="31"/>
  </w:num>
  <w:num w:numId="22">
    <w:abstractNumId w:val="30"/>
  </w:num>
  <w:num w:numId="23">
    <w:abstractNumId w:val="15"/>
  </w:num>
  <w:num w:numId="24">
    <w:abstractNumId w:val="21"/>
  </w:num>
  <w:num w:numId="25">
    <w:abstractNumId w:val="12"/>
  </w:num>
  <w:num w:numId="26">
    <w:abstractNumId w:val="10"/>
  </w:num>
  <w:num w:numId="27">
    <w:abstractNumId w:val="25"/>
  </w:num>
  <w:num w:numId="28">
    <w:abstractNumId w:val="20"/>
  </w:num>
  <w:num w:numId="29">
    <w:abstractNumId w:val="23"/>
  </w:num>
  <w:num w:numId="30">
    <w:abstractNumId w:val="13"/>
  </w:num>
  <w:num w:numId="31">
    <w:abstractNumId w:val="18"/>
  </w:num>
  <w:num w:numId="32">
    <w:abstractNumId w:val="26"/>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40712878v7"/>
    <w:docVar w:name="MPDocIDTemplate" w:val="%l| %n|v%v| %c|.%m"/>
    <w:docVar w:name="MPDocIDTemplateDefault" w:val="%l| %n|v%v| %c|.%m"/>
    <w:docVar w:name="NewDocStampType" w:val="7"/>
    <w:docVar w:name="zzmpLTFontsClean" w:val="True"/>
    <w:docVar w:name="zzmpnSession" w:val="0.3052942"/>
    <w:docVar w:name="zzmpTrailerDateFormat" w:val="0"/>
  </w:docVars>
  <w:rsids>
    <w:rsidRoot w:val="00A9138A"/>
    <w:rsid w:val="0000712A"/>
    <w:rsid w:val="0004228C"/>
    <w:rsid w:val="00046737"/>
    <w:rsid w:val="000604FB"/>
    <w:rsid w:val="00086919"/>
    <w:rsid w:val="000A41BA"/>
    <w:rsid w:val="00103025"/>
    <w:rsid w:val="00106443"/>
    <w:rsid w:val="0012743F"/>
    <w:rsid w:val="00187465"/>
    <w:rsid w:val="001A0DDB"/>
    <w:rsid w:val="001A13C7"/>
    <w:rsid w:val="001D2DE8"/>
    <w:rsid w:val="001E7674"/>
    <w:rsid w:val="00251FA3"/>
    <w:rsid w:val="00297462"/>
    <w:rsid w:val="002B565A"/>
    <w:rsid w:val="003015D6"/>
    <w:rsid w:val="00316928"/>
    <w:rsid w:val="0032077E"/>
    <w:rsid w:val="00356926"/>
    <w:rsid w:val="003A21D4"/>
    <w:rsid w:val="003F04C1"/>
    <w:rsid w:val="00425766"/>
    <w:rsid w:val="00453E0E"/>
    <w:rsid w:val="00477EB4"/>
    <w:rsid w:val="004806A4"/>
    <w:rsid w:val="00482C55"/>
    <w:rsid w:val="004833BA"/>
    <w:rsid w:val="004B1326"/>
    <w:rsid w:val="004D42D8"/>
    <w:rsid w:val="00503F95"/>
    <w:rsid w:val="00507018"/>
    <w:rsid w:val="00510F66"/>
    <w:rsid w:val="0053052F"/>
    <w:rsid w:val="0053461C"/>
    <w:rsid w:val="00573803"/>
    <w:rsid w:val="00594AB9"/>
    <w:rsid w:val="005A77C8"/>
    <w:rsid w:val="005C5286"/>
    <w:rsid w:val="00600F8A"/>
    <w:rsid w:val="00635C63"/>
    <w:rsid w:val="00646B37"/>
    <w:rsid w:val="00650541"/>
    <w:rsid w:val="00686DFF"/>
    <w:rsid w:val="006D29CC"/>
    <w:rsid w:val="006D29D7"/>
    <w:rsid w:val="00726C5E"/>
    <w:rsid w:val="00746AA0"/>
    <w:rsid w:val="00763BC9"/>
    <w:rsid w:val="0077729D"/>
    <w:rsid w:val="007A36EA"/>
    <w:rsid w:val="007C71EC"/>
    <w:rsid w:val="00821762"/>
    <w:rsid w:val="008241EA"/>
    <w:rsid w:val="00824511"/>
    <w:rsid w:val="00830EB8"/>
    <w:rsid w:val="00836458"/>
    <w:rsid w:val="00836C9B"/>
    <w:rsid w:val="008418B6"/>
    <w:rsid w:val="00843B4F"/>
    <w:rsid w:val="008744FB"/>
    <w:rsid w:val="00882BF5"/>
    <w:rsid w:val="00887DA0"/>
    <w:rsid w:val="008E44D6"/>
    <w:rsid w:val="008F11F8"/>
    <w:rsid w:val="00932CF7"/>
    <w:rsid w:val="0094679E"/>
    <w:rsid w:val="00987299"/>
    <w:rsid w:val="009A01F4"/>
    <w:rsid w:val="009D300B"/>
    <w:rsid w:val="009D356B"/>
    <w:rsid w:val="009E21E0"/>
    <w:rsid w:val="00A9138A"/>
    <w:rsid w:val="00AA3EC1"/>
    <w:rsid w:val="00AB0AFB"/>
    <w:rsid w:val="00AB3341"/>
    <w:rsid w:val="00AB3DC3"/>
    <w:rsid w:val="00B00FAE"/>
    <w:rsid w:val="00B621B8"/>
    <w:rsid w:val="00B670D3"/>
    <w:rsid w:val="00B71788"/>
    <w:rsid w:val="00BA456D"/>
    <w:rsid w:val="00BB2F3F"/>
    <w:rsid w:val="00BE052C"/>
    <w:rsid w:val="00C11344"/>
    <w:rsid w:val="00C320CF"/>
    <w:rsid w:val="00C41B20"/>
    <w:rsid w:val="00C5426E"/>
    <w:rsid w:val="00C60A8A"/>
    <w:rsid w:val="00CF7C3C"/>
    <w:rsid w:val="00D35D30"/>
    <w:rsid w:val="00D51EF2"/>
    <w:rsid w:val="00D66582"/>
    <w:rsid w:val="00D82971"/>
    <w:rsid w:val="00D92964"/>
    <w:rsid w:val="00DB502E"/>
    <w:rsid w:val="00DB6F1E"/>
    <w:rsid w:val="00DD4BAE"/>
    <w:rsid w:val="00DF50C4"/>
    <w:rsid w:val="00E25166"/>
    <w:rsid w:val="00E86C6F"/>
    <w:rsid w:val="00F13741"/>
    <w:rsid w:val="00F41BAF"/>
    <w:rsid w:val="00F569CE"/>
    <w:rsid w:val="00F628E9"/>
    <w:rsid w:val="00F71D71"/>
    <w:rsid w:val="00FA19E2"/>
    <w:rsid w:val="00FD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FF23"/>
  <w15:docId w15:val="{0BCBD788-8104-43C3-B927-1255FEE0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nhideWhenUsed="1" w:qFormat="1"/>
    <w:lsdException w:name="heading 8" w:semiHidden="1" w:uiPriority="9"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138F8"/>
    <w:pPr>
      <w:spacing w:after="0"/>
    </w:pPr>
    <w:rPr>
      <w:rFonts w:ascii="Courier New" w:hAnsi="Courier New" w:cs="Times New Roman"/>
      <w:szCs w:val="20"/>
    </w:rPr>
  </w:style>
  <w:style w:type="paragraph" w:styleId="Heading1">
    <w:name w:val="heading 1"/>
    <w:basedOn w:val="Normal"/>
    <w:next w:val="SSBodyText"/>
    <w:link w:val="Heading1Char"/>
    <w:uiPriority w:val="9"/>
    <w:rsid w:val="00F83310"/>
    <w:pPr>
      <w:keepNext/>
      <w:keepLines/>
      <w:spacing w:after="240"/>
      <w:outlineLvl w:val="0"/>
    </w:pPr>
    <w:rPr>
      <w:rFonts w:eastAsiaTheme="majorEastAsia" w:cstheme="majorBidi"/>
      <w:b/>
      <w:szCs w:val="32"/>
    </w:rPr>
  </w:style>
  <w:style w:type="paragraph" w:styleId="Heading2">
    <w:name w:val="heading 2"/>
    <w:basedOn w:val="Normal"/>
    <w:next w:val="SSBodyText"/>
    <w:link w:val="Heading2Char"/>
    <w:uiPriority w:val="9"/>
    <w:rsid w:val="00F83310"/>
    <w:pPr>
      <w:keepNext/>
      <w:keepLines/>
      <w:spacing w:after="240"/>
      <w:ind w:left="720"/>
      <w:outlineLvl w:val="1"/>
    </w:pPr>
    <w:rPr>
      <w:rFonts w:eastAsiaTheme="majorEastAsia" w:cstheme="majorBidi"/>
      <w:b/>
      <w:szCs w:val="26"/>
    </w:rPr>
  </w:style>
  <w:style w:type="paragraph" w:styleId="Heading3">
    <w:name w:val="heading 3"/>
    <w:basedOn w:val="Normal"/>
    <w:next w:val="SSBodyText"/>
    <w:link w:val="Heading3Char"/>
    <w:uiPriority w:val="9"/>
    <w:rsid w:val="00F83310"/>
    <w:pPr>
      <w:keepNext/>
      <w:keepLines/>
      <w:spacing w:after="240"/>
      <w:ind w:left="1440"/>
      <w:outlineLvl w:val="2"/>
    </w:pPr>
    <w:rPr>
      <w:rFonts w:eastAsiaTheme="majorEastAsia" w:cstheme="majorBidi"/>
    </w:rPr>
  </w:style>
  <w:style w:type="paragraph" w:styleId="Heading4">
    <w:name w:val="heading 4"/>
    <w:basedOn w:val="Normal"/>
    <w:next w:val="SSBodyText"/>
    <w:link w:val="Heading4Char"/>
    <w:uiPriority w:val="9"/>
    <w:rsid w:val="00F83310"/>
    <w:pPr>
      <w:keepNext/>
      <w:keepLines/>
      <w:spacing w:after="240"/>
      <w:ind w:left="2160"/>
      <w:outlineLvl w:val="3"/>
    </w:pPr>
    <w:rPr>
      <w:rFonts w:eastAsiaTheme="majorEastAsia" w:cstheme="majorBidi"/>
      <w:iCs/>
    </w:rPr>
  </w:style>
  <w:style w:type="paragraph" w:styleId="Heading5">
    <w:name w:val="heading 5"/>
    <w:basedOn w:val="Normal"/>
    <w:next w:val="SSBodyText"/>
    <w:link w:val="Heading5Char"/>
    <w:uiPriority w:val="9"/>
    <w:semiHidden/>
    <w:unhideWhenUsed/>
    <w:rsid w:val="00F83310"/>
    <w:pPr>
      <w:keepNext/>
      <w:keepLines/>
      <w:spacing w:after="240"/>
      <w:ind w:left="2880"/>
      <w:outlineLvl w:val="4"/>
    </w:pPr>
    <w:rPr>
      <w:rFonts w:eastAsiaTheme="majorEastAsia" w:cstheme="majorBidi"/>
    </w:rPr>
  </w:style>
  <w:style w:type="paragraph" w:styleId="Heading6">
    <w:name w:val="heading 6"/>
    <w:basedOn w:val="Normal"/>
    <w:next w:val="SSBodyText"/>
    <w:link w:val="Heading6Char"/>
    <w:uiPriority w:val="9"/>
    <w:semiHidden/>
    <w:unhideWhenUsed/>
    <w:rsid w:val="00F83310"/>
    <w:pPr>
      <w:keepNext/>
      <w:keepLines/>
      <w:spacing w:after="240"/>
      <w:ind w:left="3600"/>
      <w:outlineLvl w:val="5"/>
    </w:pPr>
    <w:rPr>
      <w:rFonts w:eastAsiaTheme="majorEastAsia" w:cstheme="majorBidi"/>
    </w:rPr>
  </w:style>
  <w:style w:type="paragraph" w:styleId="Heading7">
    <w:name w:val="heading 7"/>
    <w:basedOn w:val="Normal"/>
    <w:next w:val="SSBodyText"/>
    <w:link w:val="Heading7Char"/>
    <w:uiPriority w:val="99"/>
    <w:unhideWhenUsed/>
    <w:qFormat/>
    <w:rsid w:val="00F83310"/>
    <w:pPr>
      <w:keepNext/>
      <w:keepLines/>
      <w:spacing w:after="240"/>
      <w:ind w:left="4320"/>
      <w:outlineLvl w:val="6"/>
    </w:pPr>
    <w:rPr>
      <w:rFonts w:eastAsiaTheme="majorEastAsia" w:cstheme="majorBidi"/>
      <w:iCs/>
    </w:rPr>
  </w:style>
  <w:style w:type="paragraph" w:styleId="Heading8">
    <w:name w:val="heading 8"/>
    <w:basedOn w:val="Normal"/>
    <w:next w:val="SSBodyText"/>
    <w:link w:val="Heading8Char"/>
    <w:uiPriority w:val="9"/>
    <w:unhideWhenUsed/>
    <w:rsid w:val="00F83310"/>
    <w:pPr>
      <w:keepNext/>
      <w:keepLines/>
      <w:spacing w:after="240"/>
      <w:ind w:left="5040"/>
      <w:outlineLvl w:val="7"/>
    </w:pPr>
    <w:rPr>
      <w:rFonts w:eastAsiaTheme="majorEastAsia" w:cstheme="majorBidi"/>
      <w:szCs w:val="21"/>
    </w:rPr>
  </w:style>
  <w:style w:type="paragraph" w:styleId="Heading9">
    <w:name w:val="heading 9"/>
    <w:basedOn w:val="Normal"/>
    <w:next w:val="SSBodyText"/>
    <w:link w:val="Heading9Char"/>
    <w:uiPriority w:val="99"/>
    <w:unhideWhenUsed/>
    <w:qFormat/>
    <w:rsid w:val="00F83310"/>
    <w:pPr>
      <w:keepNext/>
      <w:keepLines/>
      <w:spacing w:after="240"/>
      <w:ind w:left="576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BodyText">
    <w:name w:val="SS Body Text"/>
    <w:basedOn w:val="Normal"/>
    <w:qFormat/>
    <w:rsid w:val="00AD3878"/>
    <w:pPr>
      <w:ind w:firstLine="720"/>
    </w:pPr>
  </w:style>
  <w:style w:type="paragraph" w:customStyle="1" w:styleId="DBBodyText">
    <w:name w:val="DB Body Text"/>
    <w:basedOn w:val="Normal"/>
    <w:uiPriority w:val="2"/>
    <w:qFormat/>
    <w:rsid w:val="00AD3878"/>
    <w:pPr>
      <w:spacing w:line="480" w:lineRule="auto"/>
      <w:ind w:firstLine="720"/>
    </w:pPr>
  </w:style>
  <w:style w:type="paragraph" w:customStyle="1" w:styleId="SSJBodyText">
    <w:name w:val="SSJ Body Text"/>
    <w:basedOn w:val="Normal"/>
    <w:qFormat/>
    <w:rsid w:val="00AD3878"/>
    <w:pPr>
      <w:ind w:firstLine="720"/>
      <w:jc w:val="both"/>
    </w:pPr>
  </w:style>
  <w:style w:type="paragraph" w:customStyle="1" w:styleId="DBJBodyText">
    <w:name w:val="DBJ Body Text"/>
    <w:basedOn w:val="Normal"/>
    <w:uiPriority w:val="2"/>
    <w:qFormat/>
    <w:rsid w:val="00AD3878"/>
    <w:pPr>
      <w:spacing w:line="480" w:lineRule="auto"/>
      <w:ind w:firstLine="720"/>
      <w:jc w:val="both"/>
    </w:pPr>
  </w:style>
  <w:style w:type="paragraph" w:styleId="Quote">
    <w:name w:val="Quote"/>
    <w:basedOn w:val="Normal"/>
    <w:next w:val="BodyTextContinued"/>
    <w:link w:val="QuoteChar"/>
    <w:qFormat/>
    <w:rsid w:val="002D4468"/>
    <w:pPr>
      <w:spacing w:after="240"/>
      <w:ind w:left="1440" w:right="1440"/>
    </w:pPr>
  </w:style>
  <w:style w:type="character" w:customStyle="1" w:styleId="QuoteChar">
    <w:name w:val="Quote Char"/>
    <w:basedOn w:val="DefaultParagraphFont"/>
    <w:link w:val="Quote"/>
    <w:rsid w:val="0000278E"/>
    <w:rPr>
      <w:rFonts w:cs="Times New Roman"/>
      <w:szCs w:val="20"/>
    </w:rPr>
  </w:style>
  <w:style w:type="paragraph" w:styleId="Title">
    <w:name w:val="Title"/>
    <w:basedOn w:val="Normal"/>
    <w:next w:val="SSBodyText"/>
    <w:link w:val="TitleChar"/>
    <w:uiPriority w:val="4"/>
    <w:qFormat/>
    <w:rsid w:val="008B712D"/>
    <w:pPr>
      <w:outlineLvl w:val="0"/>
    </w:pPr>
    <w:rPr>
      <w:rFonts w:eastAsiaTheme="majorEastAsia" w:cstheme="majorBidi"/>
      <w:szCs w:val="56"/>
    </w:rPr>
  </w:style>
  <w:style w:type="character" w:customStyle="1" w:styleId="TitleChar">
    <w:name w:val="Title Char"/>
    <w:basedOn w:val="DefaultParagraphFont"/>
    <w:link w:val="Title"/>
    <w:uiPriority w:val="4"/>
    <w:rsid w:val="008B712D"/>
    <w:rPr>
      <w:rFonts w:ascii="Times New Roman" w:eastAsiaTheme="majorEastAsia" w:hAnsi="Times New Roman" w:cstheme="majorBidi"/>
      <w:sz w:val="24"/>
      <w:szCs w:val="56"/>
    </w:rPr>
  </w:style>
  <w:style w:type="paragraph" w:customStyle="1" w:styleId="TitleBold">
    <w:name w:val="Title Bold"/>
    <w:basedOn w:val="Normal"/>
    <w:next w:val="SSBodyText"/>
    <w:uiPriority w:val="4"/>
    <w:qFormat/>
    <w:rsid w:val="006F78A2"/>
    <w:pPr>
      <w:outlineLvl w:val="0"/>
    </w:pPr>
    <w:rPr>
      <w:b/>
    </w:rPr>
  </w:style>
  <w:style w:type="character" w:customStyle="1" w:styleId="Heading1Char">
    <w:name w:val="Heading 1 Char"/>
    <w:basedOn w:val="DefaultParagraphFont"/>
    <w:link w:val="Heading1"/>
    <w:uiPriority w:val="9"/>
    <w:rsid w:val="00F83310"/>
    <w:rPr>
      <w:rFonts w:eastAsiaTheme="majorEastAsia" w:cstheme="majorBidi"/>
      <w:b/>
      <w:szCs w:val="32"/>
    </w:rPr>
  </w:style>
  <w:style w:type="character" w:customStyle="1" w:styleId="Heading2Char">
    <w:name w:val="Heading 2 Char"/>
    <w:basedOn w:val="DefaultParagraphFont"/>
    <w:link w:val="Heading2"/>
    <w:uiPriority w:val="9"/>
    <w:rsid w:val="00F83310"/>
    <w:rPr>
      <w:rFonts w:eastAsiaTheme="majorEastAsia" w:cstheme="majorBidi"/>
      <w:b/>
      <w:szCs w:val="26"/>
    </w:rPr>
  </w:style>
  <w:style w:type="character" w:customStyle="1" w:styleId="Heading3Char">
    <w:name w:val="Heading 3 Char"/>
    <w:basedOn w:val="DefaultParagraphFont"/>
    <w:link w:val="Heading3"/>
    <w:uiPriority w:val="9"/>
    <w:rsid w:val="00F83310"/>
    <w:rPr>
      <w:rFonts w:eastAsiaTheme="majorEastAsia" w:cstheme="majorBidi"/>
    </w:rPr>
  </w:style>
  <w:style w:type="character" w:customStyle="1" w:styleId="Heading4Char">
    <w:name w:val="Heading 4 Char"/>
    <w:basedOn w:val="DefaultParagraphFont"/>
    <w:link w:val="Heading4"/>
    <w:uiPriority w:val="9"/>
    <w:rsid w:val="00F83310"/>
    <w:rPr>
      <w:rFonts w:eastAsiaTheme="majorEastAsia" w:cstheme="majorBidi"/>
      <w:iCs/>
    </w:rPr>
  </w:style>
  <w:style w:type="character" w:customStyle="1" w:styleId="Heading5Char">
    <w:name w:val="Heading 5 Char"/>
    <w:basedOn w:val="DefaultParagraphFont"/>
    <w:link w:val="Heading5"/>
    <w:uiPriority w:val="9"/>
    <w:semiHidden/>
    <w:rsid w:val="00F83310"/>
    <w:rPr>
      <w:rFonts w:eastAsiaTheme="majorEastAsia" w:cstheme="majorBidi"/>
    </w:rPr>
  </w:style>
  <w:style w:type="character" w:customStyle="1" w:styleId="Heading6Char">
    <w:name w:val="Heading 6 Char"/>
    <w:basedOn w:val="DefaultParagraphFont"/>
    <w:link w:val="Heading6"/>
    <w:uiPriority w:val="9"/>
    <w:semiHidden/>
    <w:rsid w:val="00F83310"/>
    <w:rPr>
      <w:rFonts w:eastAsiaTheme="majorEastAsia" w:cstheme="majorBidi"/>
    </w:rPr>
  </w:style>
  <w:style w:type="character" w:customStyle="1" w:styleId="Heading7Char">
    <w:name w:val="Heading 7 Char"/>
    <w:basedOn w:val="DefaultParagraphFont"/>
    <w:link w:val="Heading7"/>
    <w:uiPriority w:val="99"/>
    <w:semiHidden/>
    <w:rsid w:val="00F83310"/>
    <w:rPr>
      <w:rFonts w:eastAsiaTheme="majorEastAsia" w:cstheme="majorBidi"/>
      <w:iCs/>
    </w:rPr>
  </w:style>
  <w:style w:type="character" w:customStyle="1" w:styleId="Heading8Char">
    <w:name w:val="Heading 8 Char"/>
    <w:basedOn w:val="DefaultParagraphFont"/>
    <w:link w:val="Heading8"/>
    <w:uiPriority w:val="9"/>
    <w:rsid w:val="00F83310"/>
    <w:rPr>
      <w:rFonts w:eastAsiaTheme="majorEastAsia" w:cstheme="majorBidi"/>
      <w:szCs w:val="21"/>
    </w:rPr>
  </w:style>
  <w:style w:type="character" w:customStyle="1" w:styleId="Heading9Char">
    <w:name w:val="Heading 9 Char"/>
    <w:basedOn w:val="DefaultParagraphFont"/>
    <w:link w:val="Heading9"/>
    <w:uiPriority w:val="99"/>
    <w:semiHidden/>
    <w:rsid w:val="00F83310"/>
    <w:rPr>
      <w:rFonts w:eastAsiaTheme="majorEastAsia" w:cstheme="majorBidi"/>
      <w:iCs/>
      <w:szCs w:val="21"/>
    </w:rPr>
  </w:style>
  <w:style w:type="paragraph" w:styleId="Header">
    <w:name w:val="header"/>
    <w:basedOn w:val="Normal"/>
    <w:link w:val="HeaderChar"/>
    <w:rsid w:val="002D4468"/>
    <w:pPr>
      <w:tabs>
        <w:tab w:val="center" w:pos="4680"/>
        <w:tab w:val="right" w:pos="9360"/>
      </w:tabs>
    </w:pPr>
  </w:style>
  <w:style w:type="character" w:customStyle="1" w:styleId="HeaderChar">
    <w:name w:val="Header Char"/>
    <w:basedOn w:val="DefaultParagraphFont"/>
    <w:link w:val="Header"/>
    <w:rsid w:val="0000278E"/>
    <w:rPr>
      <w:rFonts w:cs="Times New Roman"/>
    </w:rPr>
  </w:style>
  <w:style w:type="paragraph" w:styleId="Footer">
    <w:name w:val="footer"/>
    <w:basedOn w:val="Normal"/>
    <w:link w:val="FooterChar"/>
    <w:uiPriority w:val="99"/>
    <w:rsid w:val="002D4468"/>
    <w:pPr>
      <w:tabs>
        <w:tab w:val="center" w:pos="4680"/>
        <w:tab w:val="right" w:pos="9360"/>
      </w:tabs>
    </w:pPr>
  </w:style>
  <w:style w:type="character" w:customStyle="1" w:styleId="FooterChar">
    <w:name w:val="Footer Char"/>
    <w:basedOn w:val="DefaultParagraphFont"/>
    <w:link w:val="Footer"/>
    <w:uiPriority w:val="99"/>
    <w:rsid w:val="0000278E"/>
    <w:rPr>
      <w:rFonts w:cs="Times New Roman"/>
    </w:rPr>
  </w:style>
  <w:style w:type="character" w:styleId="PageNumber">
    <w:name w:val="page number"/>
    <w:basedOn w:val="DefaultParagraphFont"/>
    <w:rsid w:val="002D4468"/>
  </w:style>
  <w:style w:type="paragraph" w:customStyle="1" w:styleId="SigBlock">
    <w:name w:val="Sig Block"/>
    <w:basedOn w:val="Normal"/>
    <w:uiPriority w:val="4"/>
    <w:rsid w:val="00F83310"/>
    <w:pPr>
      <w:spacing w:after="240"/>
      <w:ind w:left="4680"/>
      <w:contextualSpacing/>
    </w:pPr>
  </w:style>
  <w:style w:type="paragraph" w:customStyle="1" w:styleId="SigBlockUnderline">
    <w:name w:val="Sig Block Underline"/>
    <w:basedOn w:val="Normal"/>
    <w:next w:val="SigBlock"/>
    <w:uiPriority w:val="4"/>
    <w:rsid w:val="00F83310"/>
    <w:pPr>
      <w:tabs>
        <w:tab w:val="right" w:pos="9360"/>
      </w:tabs>
      <w:ind w:left="4680"/>
    </w:pPr>
    <w:rPr>
      <w:u w:val="single"/>
    </w:rPr>
  </w:style>
  <w:style w:type="paragraph" w:styleId="BodyText">
    <w:name w:val="Body Text"/>
    <w:basedOn w:val="Normal"/>
    <w:link w:val="BodyTextChar"/>
    <w:rsid w:val="002D4468"/>
    <w:pPr>
      <w:widowControl w:val="0"/>
      <w:spacing w:after="240"/>
      <w:ind w:firstLine="720"/>
    </w:pPr>
  </w:style>
  <w:style w:type="character" w:customStyle="1" w:styleId="BodyTextChar">
    <w:name w:val="Body Text Char"/>
    <w:basedOn w:val="DefaultParagraphFont"/>
    <w:link w:val="BodyText"/>
    <w:rsid w:val="00ED6A1E"/>
    <w:rPr>
      <w:rFonts w:cs="Times New Roman"/>
    </w:rPr>
  </w:style>
  <w:style w:type="paragraph" w:customStyle="1" w:styleId="BodyTextContinued">
    <w:name w:val="Body Text Continued"/>
    <w:basedOn w:val="BodyText"/>
    <w:next w:val="BodyText"/>
    <w:rsid w:val="002D4468"/>
    <w:pPr>
      <w:ind w:firstLine="0"/>
    </w:pPr>
  </w:style>
  <w:style w:type="character" w:styleId="CommentReference">
    <w:name w:val="annotation reference"/>
    <w:basedOn w:val="DefaultParagraphFont"/>
    <w:uiPriority w:val="99"/>
    <w:semiHidden/>
    <w:unhideWhenUsed/>
    <w:rsid w:val="004D6F7A"/>
    <w:rPr>
      <w:sz w:val="16"/>
      <w:szCs w:val="16"/>
    </w:rPr>
  </w:style>
  <w:style w:type="paragraph" w:styleId="CommentText">
    <w:name w:val="annotation text"/>
    <w:basedOn w:val="Normal"/>
    <w:link w:val="CommentTextChar"/>
    <w:uiPriority w:val="99"/>
    <w:semiHidden/>
    <w:unhideWhenUsed/>
    <w:rsid w:val="004D6F7A"/>
    <w:rPr>
      <w:sz w:val="20"/>
    </w:rPr>
  </w:style>
  <w:style w:type="character" w:customStyle="1" w:styleId="CommentTextChar">
    <w:name w:val="Comment Text Char"/>
    <w:basedOn w:val="DefaultParagraphFont"/>
    <w:link w:val="CommentText"/>
    <w:uiPriority w:val="99"/>
    <w:semiHidden/>
    <w:rsid w:val="004D6F7A"/>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D6F7A"/>
    <w:rPr>
      <w:b/>
      <w:bCs/>
    </w:rPr>
  </w:style>
  <w:style w:type="character" w:customStyle="1" w:styleId="CommentSubjectChar">
    <w:name w:val="Comment Subject Char"/>
    <w:basedOn w:val="CommentTextChar"/>
    <w:link w:val="CommentSubject"/>
    <w:uiPriority w:val="99"/>
    <w:semiHidden/>
    <w:rsid w:val="004D6F7A"/>
    <w:rPr>
      <w:rFonts w:ascii="Courier New" w:hAnsi="Courier New" w:cs="Times New Roman"/>
      <w:b/>
      <w:bCs/>
      <w:sz w:val="20"/>
      <w:szCs w:val="20"/>
    </w:rPr>
  </w:style>
  <w:style w:type="paragraph" w:styleId="BalloonText">
    <w:name w:val="Balloon Text"/>
    <w:basedOn w:val="Normal"/>
    <w:link w:val="BalloonTextChar"/>
    <w:uiPriority w:val="99"/>
    <w:semiHidden/>
    <w:unhideWhenUsed/>
    <w:rsid w:val="004D6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7A"/>
    <w:rPr>
      <w:rFonts w:ascii="Segoe UI" w:hAnsi="Segoe UI" w:cs="Segoe UI"/>
      <w:sz w:val="18"/>
      <w:szCs w:val="18"/>
    </w:rPr>
  </w:style>
  <w:style w:type="paragraph" w:customStyle="1" w:styleId="Body">
    <w:name w:val="Body"/>
    <w:uiPriority w:val="99"/>
    <w:rsid w:val="009D361D"/>
    <w:pPr>
      <w:pBdr>
        <w:top w:val="nil"/>
        <w:left w:val="nil"/>
        <w:bottom w:val="nil"/>
        <w:right w:val="nil"/>
        <w:bar w:val="nil"/>
      </w:pBdr>
      <w:spacing w:after="200" w:line="276" w:lineRule="auto"/>
    </w:pPr>
    <w:rPr>
      <w:rFonts w:ascii="Calibri" w:eastAsia="Arial Unicode MS" w:hAnsi="Calibri" w:cs="Calibri"/>
      <w:color w:val="000000"/>
      <w:sz w:val="22"/>
      <w:szCs w:val="22"/>
      <w:u w:color="000000"/>
    </w:rPr>
  </w:style>
  <w:style w:type="paragraph" w:styleId="BlockText">
    <w:name w:val="Block Text"/>
    <w:basedOn w:val="Normal"/>
    <w:uiPriority w:val="99"/>
    <w:rsid w:val="00B34B06"/>
    <w:pPr>
      <w:ind w:left="1440" w:right="1440"/>
    </w:pPr>
    <w:rPr>
      <w:rFonts w:ascii="Arial" w:hAnsi="Arial"/>
      <w:sz w:val="20"/>
    </w:rPr>
  </w:style>
  <w:style w:type="paragraph" w:customStyle="1" w:styleId="Default">
    <w:name w:val="Default"/>
    <w:rsid w:val="002363FC"/>
    <w:pPr>
      <w:autoSpaceDE w:val="0"/>
      <w:autoSpaceDN w:val="0"/>
      <w:adjustRightInd w:val="0"/>
      <w:spacing w:after="0"/>
    </w:pPr>
    <w:rPr>
      <w:rFonts w:cs="Times New Roman"/>
      <w:color w:val="000000"/>
    </w:rPr>
  </w:style>
  <w:style w:type="paragraph" w:customStyle="1" w:styleId="bullet1">
    <w:name w:val="bullet1"/>
    <w:basedOn w:val="ListParagraph"/>
    <w:qFormat/>
    <w:rsid w:val="002363FC"/>
    <w:pPr>
      <w:numPr>
        <w:numId w:val="12"/>
      </w:numPr>
      <w:tabs>
        <w:tab w:val="num" w:pos="360"/>
      </w:tabs>
      <w:overflowPunct w:val="0"/>
      <w:autoSpaceDE w:val="0"/>
      <w:autoSpaceDN w:val="0"/>
      <w:adjustRightInd w:val="0"/>
      <w:ind w:left="360"/>
      <w:jc w:val="both"/>
      <w:textAlignment w:val="baseline"/>
    </w:pPr>
    <w:rPr>
      <w:rFonts w:ascii="Arial" w:hAnsi="Arial" w:cs="Arial"/>
      <w:sz w:val="22"/>
      <w:szCs w:val="22"/>
    </w:rPr>
  </w:style>
  <w:style w:type="paragraph" w:styleId="ListParagraph">
    <w:name w:val="List Paragraph"/>
    <w:basedOn w:val="Normal"/>
    <w:link w:val="ListParagraphChar"/>
    <w:uiPriority w:val="34"/>
    <w:qFormat/>
    <w:rsid w:val="002363FC"/>
    <w:pPr>
      <w:ind w:left="720"/>
      <w:contextualSpacing/>
    </w:pPr>
  </w:style>
  <w:style w:type="character" w:customStyle="1" w:styleId="zzmpTrailerItem">
    <w:name w:val="zzmpTrailerItem"/>
    <w:basedOn w:val="DefaultParagraphFont"/>
    <w:rsid w:val="003A21D4"/>
    <w:rPr>
      <w:rFonts w:ascii="Courier New" w:hAnsi="Courier New" w:cs="Courier New"/>
      <w:dstrike w:val="0"/>
      <w:noProof/>
      <w:color w:val="auto"/>
      <w:spacing w:val="0"/>
      <w:position w:val="0"/>
      <w:sz w:val="16"/>
      <w:szCs w:val="16"/>
      <w:u w:val="none"/>
      <w:effect w:val="none"/>
      <w:vertAlign w:val="baseline"/>
    </w:rPr>
  </w:style>
  <w:style w:type="paragraph" w:styleId="Revision">
    <w:name w:val="Revision"/>
    <w:hidden/>
    <w:uiPriority w:val="99"/>
    <w:semiHidden/>
    <w:rsid w:val="00AD1265"/>
    <w:pPr>
      <w:spacing w:after="0"/>
    </w:pPr>
    <w:rPr>
      <w:rFonts w:ascii="Courier New" w:hAnsi="Courier New" w:cs="Times New Roman"/>
      <w:szCs w:val="20"/>
    </w:rPr>
  </w:style>
  <w:style w:type="character" w:customStyle="1" w:styleId="ListParagraphChar">
    <w:name w:val="List Paragraph Char"/>
    <w:basedOn w:val="DefaultParagraphFont"/>
    <w:link w:val="ListParagraph"/>
    <w:uiPriority w:val="34"/>
    <w:rsid w:val="00EF1254"/>
    <w:rPr>
      <w:rFonts w:ascii="Courier New" w:hAnsi="Courier New" w:cs="Times New Roman"/>
      <w:szCs w:val="20"/>
    </w:rPr>
  </w:style>
  <w:style w:type="paragraph" w:styleId="FootnoteText">
    <w:name w:val="footnote text"/>
    <w:basedOn w:val="Normal"/>
    <w:link w:val="FootnoteTextChar"/>
    <w:uiPriority w:val="99"/>
    <w:semiHidden/>
    <w:unhideWhenUsed/>
    <w:rsid w:val="00EC5E99"/>
    <w:rPr>
      <w:sz w:val="20"/>
    </w:rPr>
  </w:style>
  <w:style w:type="character" w:customStyle="1" w:styleId="FootnoteTextChar">
    <w:name w:val="Footnote Text Char"/>
    <w:basedOn w:val="DefaultParagraphFont"/>
    <w:link w:val="FootnoteText"/>
    <w:uiPriority w:val="99"/>
    <w:semiHidden/>
    <w:rsid w:val="00EC5E99"/>
    <w:rPr>
      <w:rFonts w:ascii="Courier New" w:hAnsi="Courier New" w:cs="Times New Roman"/>
      <w:sz w:val="20"/>
      <w:szCs w:val="20"/>
    </w:rPr>
  </w:style>
  <w:style w:type="character" w:styleId="FootnoteReference">
    <w:name w:val="footnote reference"/>
    <w:basedOn w:val="DefaultParagraphFont"/>
    <w:uiPriority w:val="99"/>
    <w:semiHidden/>
    <w:unhideWhenUsed/>
    <w:rsid w:val="00EC5E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C27BE-9B15-4412-BD35-7CEB7B84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14620</Words>
  <Characters>83340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Pryor, Allison</cp:lastModifiedBy>
  <cp:revision>2</cp:revision>
  <dcterms:created xsi:type="dcterms:W3CDTF">2019-12-04T19:55:00Z</dcterms:created>
  <dcterms:modified xsi:type="dcterms:W3CDTF">2019-12-04T19:55:00Z</dcterms:modified>
</cp:coreProperties>
</file>