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BADEC" w14:textId="77777777" w:rsidR="00152D56" w:rsidRPr="00C60454" w:rsidRDefault="00152D56" w:rsidP="007A768D">
      <w:pPr>
        <w:jc w:val="center"/>
        <w:rPr>
          <w:rFonts w:ascii="Times New Roman" w:hAnsi="Times New Roman"/>
          <w:b/>
          <w:szCs w:val="24"/>
        </w:rPr>
      </w:pPr>
    </w:p>
    <w:p w14:paraId="1D2BE558" w14:textId="77777777" w:rsidR="00152D56" w:rsidRPr="00C60454" w:rsidRDefault="00152D56" w:rsidP="007A768D">
      <w:pPr>
        <w:jc w:val="center"/>
        <w:rPr>
          <w:rFonts w:ascii="Times New Roman" w:hAnsi="Times New Roman"/>
          <w:b/>
          <w:szCs w:val="24"/>
        </w:rPr>
      </w:pPr>
    </w:p>
    <w:p w14:paraId="380A13B2" w14:textId="77777777" w:rsidR="007A768D" w:rsidRPr="00C60454" w:rsidRDefault="007A768D" w:rsidP="007A768D">
      <w:pPr>
        <w:jc w:val="center"/>
        <w:rPr>
          <w:rFonts w:ascii="Times New Roman" w:hAnsi="Times New Roman"/>
          <w:b/>
          <w:szCs w:val="24"/>
        </w:rPr>
      </w:pPr>
      <w:r w:rsidRPr="00C60454">
        <w:rPr>
          <w:rFonts w:ascii="Times New Roman" w:hAnsi="Times New Roman"/>
          <w:b/>
          <w:szCs w:val="24"/>
        </w:rPr>
        <w:t>BEFORE THE GEORGIA PUBLIC SERVICE COMMISSION</w:t>
      </w:r>
      <w:r w:rsidR="00A25A5B" w:rsidRPr="00C60454">
        <w:rPr>
          <w:rFonts w:ascii="Times New Roman" w:hAnsi="Times New Roman"/>
          <w:b/>
          <w:szCs w:val="24"/>
        </w:rPr>
        <w:t xml:space="preserve"> </w:t>
      </w:r>
      <w:r w:rsidRPr="00C60454">
        <w:rPr>
          <w:rFonts w:ascii="Times New Roman" w:hAnsi="Times New Roman"/>
          <w:b/>
          <w:szCs w:val="24"/>
        </w:rPr>
        <w:t xml:space="preserve"> </w:t>
      </w:r>
    </w:p>
    <w:p w14:paraId="75A26C60" w14:textId="77777777" w:rsidR="007A768D" w:rsidRPr="00C60454" w:rsidRDefault="007A768D" w:rsidP="007A768D">
      <w:pPr>
        <w:rPr>
          <w:rFonts w:ascii="Times New Roman" w:hAnsi="Times New Roman"/>
          <w:szCs w:val="24"/>
        </w:rPr>
      </w:pPr>
    </w:p>
    <w:p w14:paraId="7324A179" w14:textId="77777777" w:rsidR="007A768D" w:rsidRPr="00C60454" w:rsidRDefault="007A768D" w:rsidP="007A768D">
      <w:pPr>
        <w:rPr>
          <w:rFonts w:ascii="Times New Roman" w:hAnsi="Times New Roman"/>
          <w:szCs w:val="24"/>
        </w:rPr>
      </w:pPr>
    </w:p>
    <w:p w14:paraId="5F538FDF" w14:textId="77777777" w:rsidR="007A768D" w:rsidRPr="00C60454" w:rsidRDefault="00011C0F" w:rsidP="007A768D">
      <w:pPr>
        <w:rPr>
          <w:rFonts w:ascii="Times New Roman" w:hAnsi="Times New Roman"/>
          <w:szCs w:val="24"/>
        </w:rPr>
      </w:pPr>
      <w:r w:rsidRPr="00C60454">
        <w:rPr>
          <w:rFonts w:ascii="Times New Roman" w:hAnsi="Times New Roman"/>
          <w:noProof/>
          <w:szCs w:val="24"/>
        </w:rPr>
        <mc:AlternateContent>
          <mc:Choice Requires="wps">
            <w:drawing>
              <wp:anchor distT="0" distB="0" distL="114300" distR="114300" simplePos="0" relativeHeight="251656192" behindDoc="0" locked="0" layoutInCell="1" allowOverlap="1" wp14:anchorId="08664F43" wp14:editId="57FB760F">
                <wp:simplePos x="0" y="0"/>
                <wp:positionH relativeFrom="column">
                  <wp:posOffset>2798445</wp:posOffset>
                </wp:positionH>
                <wp:positionV relativeFrom="paragraph">
                  <wp:posOffset>83820</wp:posOffset>
                </wp:positionV>
                <wp:extent cx="255270" cy="1245870"/>
                <wp:effectExtent l="0" t="0" r="381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245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8E834" w14:textId="77777777" w:rsidR="00E00941" w:rsidRPr="008E6749" w:rsidRDefault="00E00941" w:rsidP="007A768D">
                            <w:pPr>
                              <w:rPr>
                                <w:rFonts w:ascii="Times New Roman" w:hAnsi="Times New Roman"/>
                                <w:b/>
                              </w:rPr>
                            </w:pPr>
                            <w:r w:rsidRPr="008E6749">
                              <w:rPr>
                                <w:rFonts w:ascii="Times New Roman" w:hAnsi="Times New Roman"/>
                                <w:b/>
                              </w:rPr>
                              <w:t>)))</w:t>
                            </w:r>
                          </w:p>
                          <w:p w14:paraId="51B11770" w14:textId="77777777" w:rsidR="00E00941" w:rsidRPr="008E6749" w:rsidRDefault="00E00941" w:rsidP="007A768D">
                            <w:pPr>
                              <w:rPr>
                                <w:rFonts w:ascii="Times New Roman" w:hAnsi="Times New Roman"/>
                                <w:b/>
                              </w:rPr>
                            </w:pPr>
                            <w:r w:rsidRPr="008E6749">
                              <w:rPr>
                                <w:rFonts w:ascii="Times New Roman" w:hAnsi="Times New Roman"/>
                                <w:b/>
                              </w:rPr>
                              <w:t>)</w:t>
                            </w:r>
                            <w:r>
                              <w:rPr>
                                <w:rFonts w:ascii="Times New Roman" w:hAnsi="Times New Roman"/>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64F43" id="_x0000_t202" coordsize="21600,21600" o:spt="202" path="m,l,21600r21600,l21600,xe">
                <v:stroke joinstyle="miter"/>
                <v:path gradientshapeok="t" o:connecttype="rect"/>
              </v:shapetype>
              <v:shape id="Text Box 3" o:spid="_x0000_s1026" type="#_x0000_t202" style="position:absolute;margin-left:220.35pt;margin-top:6.6pt;width:20.1pt;height:9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KggAIAAA8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" stroked="f">
                <v:textbox>
                  <w:txbxContent>
                    <w:p w14:paraId="75B8E834" w14:textId="77777777" w:rsidR="00E00941" w:rsidRPr="008E6749" w:rsidRDefault="00E00941" w:rsidP="007A768D">
                      <w:pPr>
                        <w:rPr>
                          <w:rFonts w:ascii="Times New Roman" w:hAnsi="Times New Roman"/>
                          <w:b/>
                        </w:rPr>
                      </w:pPr>
                      <w:r w:rsidRPr="008E6749">
                        <w:rPr>
                          <w:rFonts w:ascii="Times New Roman" w:hAnsi="Times New Roman"/>
                          <w:b/>
                        </w:rPr>
                        <w:t>)))</w:t>
                      </w:r>
                    </w:p>
                    <w:p w14:paraId="51B11770" w14:textId="77777777" w:rsidR="00E00941" w:rsidRPr="008E6749" w:rsidRDefault="00E00941" w:rsidP="007A768D">
                      <w:pPr>
                        <w:rPr>
                          <w:rFonts w:ascii="Times New Roman" w:hAnsi="Times New Roman"/>
                          <w:b/>
                        </w:rPr>
                      </w:pPr>
                      <w:r w:rsidRPr="008E6749">
                        <w:rPr>
                          <w:rFonts w:ascii="Times New Roman" w:hAnsi="Times New Roman"/>
                          <w:b/>
                        </w:rPr>
                        <w:t>)</w:t>
                      </w:r>
                      <w:r>
                        <w:rPr>
                          <w:rFonts w:ascii="Times New Roman" w:hAnsi="Times New Roman"/>
                          <w:b/>
                        </w:rPr>
                        <w:t>))</w:t>
                      </w:r>
                    </w:p>
                  </w:txbxContent>
                </v:textbox>
              </v:shape>
            </w:pict>
          </mc:Fallback>
        </mc:AlternateContent>
      </w:r>
    </w:p>
    <w:p w14:paraId="23C35407" w14:textId="77777777" w:rsidR="007A768D" w:rsidRPr="00C60454" w:rsidRDefault="00011C0F" w:rsidP="007A768D">
      <w:pPr>
        <w:rPr>
          <w:rFonts w:ascii="Times New Roman" w:hAnsi="Times New Roman"/>
          <w:szCs w:val="24"/>
        </w:rPr>
      </w:pPr>
      <w:r w:rsidRPr="00C60454">
        <w:rPr>
          <w:rFonts w:ascii="Times New Roman" w:hAnsi="Times New Roman"/>
          <w:noProof/>
          <w:szCs w:val="24"/>
        </w:rPr>
        <mc:AlternateContent>
          <mc:Choice Requires="wps">
            <w:drawing>
              <wp:anchor distT="0" distB="0" distL="114300" distR="114300" simplePos="0" relativeHeight="251655168" behindDoc="0" locked="0" layoutInCell="1" allowOverlap="1" wp14:anchorId="64ED0A8B" wp14:editId="74BA6251">
                <wp:simplePos x="0" y="0"/>
                <wp:positionH relativeFrom="column">
                  <wp:posOffset>166370</wp:posOffset>
                </wp:positionH>
                <wp:positionV relativeFrom="paragraph">
                  <wp:posOffset>111125</wp:posOffset>
                </wp:positionV>
                <wp:extent cx="2733675" cy="1226185"/>
                <wp:effectExtent l="4445" t="635"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226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4203F" w14:textId="77777777" w:rsidR="00E00941" w:rsidRDefault="00E00941" w:rsidP="007A768D">
                            <w:pPr>
                              <w:rPr>
                                <w:rFonts w:ascii="Times New Roman" w:hAnsi="Times New Roman"/>
                                <w:b/>
                              </w:rPr>
                            </w:pPr>
                            <w:r>
                              <w:rPr>
                                <w:rFonts w:ascii="Times New Roman" w:hAnsi="Times New Roman"/>
                                <w:b/>
                              </w:rPr>
                              <w:t>In Re:</w:t>
                            </w:r>
                          </w:p>
                          <w:p w14:paraId="4FE5F0B8" w14:textId="77777777" w:rsidR="00E00941" w:rsidRDefault="00E00941" w:rsidP="007A768D">
                            <w:pPr>
                              <w:rPr>
                                <w:rFonts w:ascii="Times New Roman" w:hAnsi="Times New Roman"/>
                                <w:b/>
                              </w:rPr>
                            </w:pPr>
                          </w:p>
                          <w:p w14:paraId="4350A8E5" w14:textId="77777777" w:rsidR="00E00941" w:rsidRPr="00012557" w:rsidRDefault="00E00941" w:rsidP="007A768D">
                            <w:pPr>
                              <w:rPr>
                                <w:rFonts w:ascii="Times New Roman" w:hAnsi="Times New Roman"/>
                                <w:b/>
                              </w:rPr>
                            </w:pPr>
                            <w:r w:rsidRPr="00012557">
                              <w:rPr>
                                <w:rFonts w:ascii="Times New Roman" w:hAnsi="Times New Roman"/>
                                <w:b/>
                              </w:rPr>
                              <w:t>Georgia Power Company’s</w:t>
                            </w:r>
                          </w:p>
                          <w:p w14:paraId="086C422B" w14:textId="77777777" w:rsidR="00E00941" w:rsidRPr="00012557" w:rsidRDefault="00E00941" w:rsidP="007A768D">
                            <w:pPr>
                              <w:rPr>
                                <w:rFonts w:ascii="Times New Roman" w:hAnsi="Times New Roman"/>
                                <w:b/>
                              </w:rPr>
                            </w:pPr>
                            <w:r w:rsidRPr="00012557">
                              <w:rPr>
                                <w:rFonts w:ascii="Times New Roman" w:hAnsi="Times New Roman"/>
                                <w:b/>
                              </w:rPr>
                              <w:t>201</w:t>
                            </w:r>
                            <w:r>
                              <w:rPr>
                                <w:rFonts w:ascii="Times New Roman" w:hAnsi="Times New Roman"/>
                                <w:b/>
                              </w:rPr>
                              <w:t>9</w:t>
                            </w:r>
                            <w:r w:rsidRPr="00012557">
                              <w:rPr>
                                <w:rFonts w:ascii="Times New Roman" w:hAnsi="Times New Roman"/>
                                <w:b/>
                              </w:rPr>
                              <w:t xml:space="preserve"> Rate Case</w:t>
                            </w:r>
                          </w:p>
                          <w:p w14:paraId="3C333174" w14:textId="77777777" w:rsidR="00E00941" w:rsidRPr="00012557" w:rsidRDefault="00E00941" w:rsidP="007A768D">
                            <w:pPr>
                              <w:rPr>
                                <w:b/>
                              </w:rPr>
                            </w:pPr>
                            <w:r w:rsidRPr="00012557">
                              <w:rPr>
                                <w:rFonts w:ascii="Times New Roman" w:hAnsi="Times New Roman"/>
                                <w:b/>
                              </w:rPr>
                              <w:t>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D0A8B" id="Text Box 2" o:spid="_x0000_s1027" type="#_x0000_t202" style="position:absolute;margin-left:13.1pt;margin-top:8.75pt;width:215.25pt;height:9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ruhgIAABc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" stroked="f">
                <v:textbox>
                  <w:txbxContent>
                    <w:p w14:paraId="67D4203F" w14:textId="77777777" w:rsidR="00E00941" w:rsidRDefault="00E00941" w:rsidP="007A768D">
                      <w:pPr>
                        <w:rPr>
                          <w:rFonts w:ascii="Times New Roman" w:hAnsi="Times New Roman"/>
                          <w:b/>
                        </w:rPr>
                      </w:pPr>
                      <w:r>
                        <w:rPr>
                          <w:rFonts w:ascii="Times New Roman" w:hAnsi="Times New Roman"/>
                          <w:b/>
                        </w:rPr>
                        <w:t>In Re:</w:t>
                      </w:r>
                    </w:p>
                    <w:p w14:paraId="4FE5F0B8" w14:textId="77777777" w:rsidR="00E00941" w:rsidRDefault="00E00941" w:rsidP="007A768D">
                      <w:pPr>
                        <w:rPr>
                          <w:rFonts w:ascii="Times New Roman" w:hAnsi="Times New Roman"/>
                          <w:b/>
                        </w:rPr>
                      </w:pPr>
                    </w:p>
                    <w:p w14:paraId="4350A8E5" w14:textId="77777777" w:rsidR="00E00941" w:rsidRPr="00012557" w:rsidRDefault="00E00941" w:rsidP="007A768D">
                      <w:pPr>
                        <w:rPr>
                          <w:rFonts w:ascii="Times New Roman" w:hAnsi="Times New Roman"/>
                          <w:b/>
                        </w:rPr>
                      </w:pPr>
                      <w:r w:rsidRPr="00012557">
                        <w:rPr>
                          <w:rFonts w:ascii="Times New Roman" w:hAnsi="Times New Roman"/>
                          <w:b/>
                        </w:rPr>
                        <w:t>Georgia Power Company’s</w:t>
                      </w:r>
                    </w:p>
                    <w:p w14:paraId="086C422B" w14:textId="77777777" w:rsidR="00E00941" w:rsidRPr="00012557" w:rsidRDefault="00E00941" w:rsidP="007A768D">
                      <w:pPr>
                        <w:rPr>
                          <w:rFonts w:ascii="Times New Roman" w:hAnsi="Times New Roman"/>
                          <w:b/>
                        </w:rPr>
                      </w:pPr>
                      <w:r w:rsidRPr="00012557">
                        <w:rPr>
                          <w:rFonts w:ascii="Times New Roman" w:hAnsi="Times New Roman"/>
                          <w:b/>
                        </w:rPr>
                        <w:t>201</w:t>
                      </w:r>
                      <w:r>
                        <w:rPr>
                          <w:rFonts w:ascii="Times New Roman" w:hAnsi="Times New Roman"/>
                          <w:b/>
                        </w:rPr>
                        <w:t>9</w:t>
                      </w:r>
                      <w:r w:rsidRPr="00012557">
                        <w:rPr>
                          <w:rFonts w:ascii="Times New Roman" w:hAnsi="Times New Roman"/>
                          <w:b/>
                        </w:rPr>
                        <w:t xml:space="preserve"> Rate Case</w:t>
                      </w:r>
                    </w:p>
                    <w:p w14:paraId="3C333174" w14:textId="77777777" w:rsidR="00E00941" w:rsidRPr="00012557" w:rsidRDefault="00E00941" w:rsidP="007A768D">
                      <w:pPr>
                        <w:rPr>
                          <w:b/>
                        </w:rPr>
                      </w:pPr>
                      <w:r w:rsidRPr="00012557">
                        <w:rPr>
                          <w:rFonts w:ascii="Times New Roman" w:hAnsi="Times New Roman"/>
                          <w:b/>
                        </w:rPr>
                        <w:t>_________________________________</w:t>
                      </w:r>
                    </w:p>
                  </w:txbxContent>
                </v:textbox>
              </v:shape>
            </w:pict>
          </mc:Fallback>
        </mc:AlternateContent>
      </w:r>
      <w:r w:rsidR="007A768D" w:rsidRPr="00C60454">
        <w:rPr>
          <w:rFonts w:ascii="Times New Roman" w:hAnsi="Times New Roman"/>
          <w:szCs w:val="24"/>
        </w:rPr>
        <w:tab/>
      </w:r>
      <w:r w:rsidR="007A768D" w:rsidRPr="00C60454">
        <w:rPr>
          <w:rFonts w:ascii="Times New Roman" w:hAnsi="Times New Roman"/>
          <w:szCs w:val="24"/>
        </w:rPr>
        <w:tab/>
      </w:r>
      <w:r w:rsidR="007A768D" w:rsidRPr="00C60454">
        <w:rPr>
          <w:rFonts w:ascii="Times New Roman" w:hAnsi="Times New Roman"/>
          <w:szCs w:val="24"/>
        </w:rPr>
        <w:tab/>
      </w:r>
    </w:p>
    <w:p w14:paraId="177B473E" w14:textId="77777777" w:rsidR="007A768D" w:rsidRPr="00C60454" w:rsidRDefault="00011C0F" w:rsidP="007A768D">
      <w:pPr>
        <w:rPr>
          <w:rFonts w:ascii="Times New Roman" w:hAnsi="Times New Roman"/>
          <w:szCs w:val="24"/>
        </w:rPr>
      </w:pPr>
      <w:r w:rsidRPr="00C60454">
        <w:rPr>
          <w:rFonts w:ascii="Times New Roman" w:hAnsi="Times New Roman"/>
          <w:noProof/>
          <w:szCs w:val="24"/>
        </w:rPr>
        <mc:AlternateContent>
          <mc:Choice Requires="wps">
            <w:drawing>
              <wp:anchor distT="0" distB="0" distL="114300" distR="114300" simplePos="0" relativeHeight="251657216" behindDoc="0" locked="0" layoutInCell="1" allowOverlap="1" wp14:anchorId="2D5AA5E1" wp14:editId="099A644F">
                <wp:simplePos x="0" y="0"/>
                <wp:positionH relativeFrom="column">
                  <wp:posOffset>3613150</wp:posOffset>
                </wp:positionH>
                <wp:positionV relativeFrom="paragraph">
                  <wp:posOffset>133350</wp:posOffset>
                </wp:positionV>
                <wp:extent cx="1649730" cy="393700"/>
                <wp:effectExtent l="3175"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7C3B8" w14:textId="77777777" w:rsidR="00E00941" w:rsidRPr="00012557" w:rsidRDefault="00E00941" w:rsidP="007A768D">
                            <w:pPr>
                              <w:rPr>
                                <w:rFonts w:ascii="Times New Roman" w:hAnsi="Times New Roman"/>
                                <w:b/>
                              </w:rPr>
                            </w:pPr>
                            <w:r w:rsidRPr="00012557">
                              <w:rPr>
                                <w:rFonts w:ascii="Times New Roman" w:hAnsi="Times New Roman"/>
                                <w:b/>
                              </w:rPr>
                              <w:t xml:space="preserve">Docket No. </w:t>
                            </w:r>
                            <w:r>
                              <w:rPr>
                                <w:rFonts w:ascii="Times New Roman" w:hAnsi="Times New Roman"/>
                                <w:b/>
                              </w:rPr>
                              <w:t>42516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AA5E1" id="Text Box 4" o:spid="_x0000_s1028" type="#_x0000_t202" style="position:absolute;margin-left:284.5pt;margin-top:10.5pt;width:129.9pt;height: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lhhQ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" stroked="f">
                <v:textbox>
                  <w:txbxContent>
                    <w:p w14:paraId="11F7C3B8" w14:textId="77777777" w:rsidR="00E00941" w:rsidRPr="00012557" w:rsidRDefault="00E00941" w:rsidP="007A768D">
                      <w:pPr>
                        <w:rPr>
                          <w:rFonts w:ascii="Times New Roman" w:hAnsi="Times New Roman"/>
                          <w:b/>
                        </w:rPr>
                      </w:pPr>
                      <w:r w:rsidRPr="00012557">
                        <w:rPr>
                          <w:rFonts w:ascii="Times New Roman" w:hAnsi="Times New Roman"/>
                          <w:b/>
                        </w:rPr>
                        <w:t xml:space="preserve">Docket No. </w:t>
                      </w:r>
                      <w:r>
                        <w:rPr>
                          <w:rFonts w:ascii="Times New Roman" w:hAnsi="Times New Roman"/>
                          <w:b/>
                        </w:rPr>
                        <w:t>42516</w:t>
                      </w:r>
                    </w:p>
                  </w:txbxContent>
                </v:textbox>
              </v:shape>
            </w:pict>
          </mc:Fallback>
        </mc:AlternateContent>
      </w:r>
    </w:p>
    <w:p w14:paraId="6F68DFED" w14:textId="77777777" w:rsidR="007A768D" w:rsidRPr="00C60454" w:rsidRDefault="007A768D" w:rsidP="007A768D">
      <w:pPr>
        <w:rPr>
          <w:rFonts w:ascii="Times New Roman" w:hAnsi="Times New Roman"/>
          <w:szCs w:val="24"/>
        </w:rPr>
      </w:pP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p>
    <w:p w14:paraId="25636F1A" w14:textId="77777777" w:rsidR="007A768D" w:rsidRPr="00C60454" w:rsidRDefault="007A768D" w:rsidP="007A768D">
      <w:pPr>
        <w:rPr>
          <w:rFonts w:ascii="Times New Roman" w:hAnsi="Times New Roman"/>
          <w:szCs w:val="24"/>
        </w:rPr>
      </w:pPr>
    </w:p>
    <w:p w14:paraId="72A9F06A" w14:textId="77777777" w:rsidR="007A768D" w:rsidRPr="00C60454" w:rsidRDefault="007A768D" w:rsidP="007A768D">
      <w:pPr>
        <w:rPr>
          <w:rFonts w:ascii="Times New Roman" w:hAnsi="Times New Roman"/>
          <w:szCs w:val="24"/>
        </w:rPr>
      </w:pPr>
    </w:p>
    <w:p w14:paraId="7C7906A5" w14:textId="77777777" w:rsidR="007A768D" w:rsidRPr="00C60454" w:rsidRDefault="007A768D" w:rsidP="007A768D">
      <w:pPr>
        <w:rPr>
          <w:rFonts w:ascii="Times New Roman" w:hAnsi="Times New Roman"/>
          <w:szCs w:val="24"/>
        </w:rPr>
      </w:pPr>
    </w:p>
    <w:p w14:paraId="4A00D6C3" w14:textId="77777777" w:rsidR="007A768D" w:rsidRPr="00C60454" w:rsidRDefault="007A768D" w:rsidP="007A768D">
      <w:pPr>
        <w:rPr>
          <w:rFonts w:ascii="Times New Roman" w:hAnsi="Times New Roman"/>
          <w:szCs w:val="24"/>
        </w:rPr>
      </w:pP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p>
    <w:p w14:paraId="1D3BC332" w14:textId="77777777" w:rsidR="00D54DD2" w:rsidRPr="00C60454" w:rsidRDefault="00D54DD2" w:rsidP="00D54DD2">
      <w:pPr>
        <w:widowControl/>
        <w:jc w:val="center"/>
        <w:rPr>
          <w:rFonts w:ascii="Times New Roman" w:hAnsi="Times New Roman"/>
          <w:szCs w:val="24"/>
        </w:rPr>
      </w:pPr>
    </w:p>
    <w:p w14:paraId="18BC0C2A" w14:textId="77777777" w:rsidR="00D54DD2" w:rsidRPr="00C60454" w:rsidRDefault="00D54DD2" w:rsidP="00D54DD2">
      <w:pPr>
        <w:widowControl/>
        <w:jc w:val="center"/>
        <w:rPr>
          <w:rFonts w:ascii="Times New Roman" w:hAnsi="Times New Roman"/>
          <w:szCs w:val="24"/>
        </w:rPr>
      </w:pPr>
    </w:p>
    <w:p w14:paraId="012B672D" w14:textId="77777777" w:rsidR="00D54DD2" w:rsidRPr="00C60454" w:rsidRDefault="00D54DD2" w:rsidP="00D54DD2">
      <w:pPr>
        <w:widowControl/>
        <w:jc w:val="center"/>
        <w:rPr>
          <w:rFonts w:ascii="Times New Roman" w:hAnsi="Times New Roman"/>
          <w:szCs w:val="24"/>
        </w:rPr>
      </w:pPr>
    </w:p>
    <w:p w14:paraId="7921DA7F" w14:textId="77777777" w:rsidR="00D54DD2" w:rsidRPr="00C60454" w:rsidRDefault="00D54DD2" w:rsidP="00D54DD2">
      <w:pPr>
        <w:widowControl/>
        <w:tabs>
          <w:tab w:val="left" w:pos="2880"/>
          <w:tab w:val="right" w:pos="6480"/>
        </w:tabs>
        <w:rPr>
          <w:rFonts w:ascii="Times New Roman" w:hAnsi="Times New Roman"/>
          <w:szCs w:val="24"/>
          <w:u w:val="single"/>
        </w:rPr>
      </w:pPr>
      <w:r w:rsidRPr="00C60454">
        <w:rPr>
          <w:rFonts w:ascii="Times New Roman" w:hAnsi="Times New Roman"/>
          <w:szCs w:val="24"/>
        </w:rPr>
        <w:tab/>
      </w:r>
      <w:r w:rsidRPr="00C60454">
        <w:rPr>
          <w:rFonts w:ascii="Times New Roman" w:hAnsi="Times New Roman"/>
          <w:szCs w:val="24"/>
          <w:u w:val="single"/>
        </w:rPr>
        <w:tab/>
      </w:r>
    </w:p>
    <w:p w14:paraId="22C84056" w14:textId="77777777" w:rsidR="00D54DD2" w:rsidRPr="00C60454" w:rsidRDefault="00D54DD2" w:rsidP="00D54DD2">
      <w:pPr>
        <w:widowControl/>
        <w:tabs>
          <w:tab w:val="left" w:pos="2880"/>
          <w:tab w:val="right" w:pos="6480"/>
        </w:tabs>
        <w:jc w:val="center"/>
        <w:rPr>
          <w:rFonts w:ascii="Times New Roman" w:hAnsi="Times New Roman"/>
          <w:szCs w:val="24"/>
        </w:rPr>
      </w:pPr>
    </w:p>
    <w:p w14:paraId="7758EE8B" w14:textId="77777777" w:rsidR="00D54DD2" w:rsidRPr="00C60454" w:rsidRDefault="00D54DD2" w:rsidP="00D54DD2">
      <w:pPr>
        <w:widowControl/>
        <w:jc w:val="center"/>
        <w:rPr>
          <w:rFonts w:ascii="Times New Roman" w:hAnsi="Times New Roman"/>
          <w:b/>
          <w:szCs w:val="24"/>
        </w:rPr>
      </w:pPr>
      <w:r w:rsidRPr="00C60454">
        <w:rPr>
          <w:rFonts w:ascii="Times New Roman" w:hAnsi="Times New Roman"/>
          <w:b/>
          <w:szCs w:val="24"/>
        </w:rPr>
        <w:t>POST HEARING BRIEF</w:t>
      </w:r>
    </w:p>
    <w:p w14:paraId="29C43964" w14:textId="77777777" w:rsidR="00CC1FAC" w:rsidRPr="00C60454" w:rsidRDefault="00D54DD2" w:rsidP="00D54DD2">
      <w:pPr>
        <w:widowControl/>
        <w:jc w:val="center"/>
        <w:rPr>
          <w:rFonts w:ascii="Times New Roman" w:hAnsi="Times New Roman"/>
          <w:b/>
          <w:szCs w:val="24"/>
        </w:rPr>
      </w:pPr>
      <w:r w:rsidRPr="00C60454">
        <w:rPr>
          <w:rFonts w:ascii="Times New Roman" w:hAnsi="Times New Roman"/>
          <w:b/>
          <w:szCs w:val="24"/>
        </w:rPr>
        <w:t>OF GEORGIA POWER COMPANY</w:t>
      </w:r>
      <w:r w:rsidR="00BB0455" w:rsidRPr="00C60454">
        <w:rPr>
          <w:rFonts w:ascii="Times New Roman" w:hAnsi="Times New Roman"/>
          <w:b/>
          <w:szCs w:val="24"/>
        </w:rPr>
        <w:t xml:space="preserve"> </w:t>
      </w:r>
    </w:p>
    <w:p w14:paraId="67DA8492" w14:textId="77777777" w:rsidR="00D54DD2" w:rsidRPr="00C60454" w:rsidRDefault="00D54DD2" w:rsidP="00D54DD2">
      <w:pPr>
        <w:widowControl/>
        <w:tabs>
          <w:tab w:val="left" w:pos="2880"/>
          <w:tab w:val="right" w:pos="6480"/>
        </w:tabs>
        <w:rPr>
          <w:rFonts w:ascii="Times New Roman" w:hAnsi="Times New Roman"/>
          <w:szCs w:val="24"/>
          <w:u w:val="single"/>
        </w:rPr>
      </w:pPr>
      <w:r w:rsidRPr="00C60454">
        <w:rPr>
          <w:rFonts w:ascii="Times New Roman" w:hAnsi="Times New Roman"/>
          <w:szCs w:val="24"/>
        </w:rPr>
        <w:tab/>
      </w:r>
      <w:r w:rsidRPr="00C60454">
        <w:rPr>
          <w:rFonts w:ascii="Times New Roman" w:hAnsi="Times New Roman"/>
          <w:szCs w:val="24"/>
          <w:u w:val="single"/>
        </w:rPr>
        <w:tab/>
      </w:r>
    </w:p>
    <w:p w14:paraId="451CCDAC" w14:textId="77777777" w:rsidR="00D54DD2" w:rsidRPr="00C60454" w:rsidRDefault="00D54DD2" w:rsidP="00D54DD2">
      <w:pPr>
        <w:widowControl/>
        <w:jc w:val="center"/>
        <w:rPr>
          <w:rFonts w:ascii="Times New Roman" w:hAnsi="Times New Roman"/>
          <w:szCs w:val="24"/>
        </w:rPr>
      </w:pPr>
    </w:p>
    <w:p w14:paraId="7D0B2A41" w14:textId="77777777" w:rsidR="00152D56" w:rsidRPr="00C60454" w:rsidRDefault="00152D56" w:rsidP="00D54DD2">
      <w:pPr>
        <w:widowControl/>
        <w:jc w:val="center"/>
        <w:rPr>
          <w:rFonts w:ascii="Times New Roman" w:hAnsi="Times New Roman"/>
          <w:szCs w:val="24"/>
        </w:rPr>
      </w:pPr>
    </w:p>
    <w:p w14:paraId="3060F999" w14:textId="77777777" w:rsidR="00152D56" w:rsidRPr="00C60454" w:rsidRDefault="00152D56" w:rsidP="00D54DD2">
      <w:pPr>
        <w:widowControl/>
        <w:jc w:val="center"/>
        <w:rPr>
          <w:rFonts w:ascii="Times New Roman" w:hAnsi="Times New Roman"/>
          <w:szCs w:val="24"/>
        </w:rPr>
      </w:pPr>
    </w:p>
    <w:p w14:paraId="13543156" w14:textId="77777777" w:rsidR="007652AB" w:rsidRPr="00C60454" w:rsidRDefault="007652AB" w:rsidP="00D54DD2">
      <w:pPr>
        <w:widowControl/>
        <w:jc w:val="center"/>
        <w:rPr>
          <w:rFonts w:ascii="Times New Roman" w:hAnsi="Times New Roman"/>
          <w:szCs w:val="24"/>
        </w:rPr>
      </w:pPr>
    </w:p>
    <w:p w14:paraId="1FF5600C" w14:textId="77777777" w:rsidR="007652AB" w:rsidRPr="00C60454" w:rsidRDefault="007652AB" w:rsidP="00D54DD2">
      <w:pPr>
        <w:widowControl/>
        <w:jc w:val="center"/>
        <w:rPr>
          <w:rFonts w:ascii="Times New Roman" w:hAnsi="Times New Roman"/>
          <w:szCs w:val="24"/>
        </w:rPr>
      </w:pPr>
    </w:p>
    <w:p w14:paraId="237281DB" w14:textId="77777777" w:rsidR="00D54DD2" w:rsidRPr="00C60454" w:rsidRDefault="00D54DD2" w:rsidP="00D54DD2">
      <w:pPr>
        <w:widowControl/>
        <w:jc w:val="center"/>
        <w:rPr>
          <w:rFonts w:ascii="Times New Roman" w:hAnsi="Times New Roman"/>
          <w:szCs w:val="24"/>
        </w:rPr>
      </w:pPr>
    </w:p>
    <w:p w14:paraId="7AEC6BB2" w14:textId="77777777" w:rsidR="00D54DD2" w:rsidRPr="00C60454" w:rsidRDefault="00D54DD2" w:rsidP="00D54DD2">
      <w:pPr>
        <w:widowControl/>
        <w:jc w:val="center"/>
        <w:rPr>
          <w:rFonts w:ascii="Times New Roman" w:hAnsi="Times New Roman"/>
          <w:szCs w:val="24"/>
        </w:rPr>
      </w:pPr>
    </w:p>
    <w:p w14:paraId="5AEC9442" w14:textId="77777777" w:rsidR="00D54DD2" w:rsidRPr="00C60454" w:rsidRDefault="00D54DD2" w:rsidP="00D54DD2">
      <w:pPr>
        <w:widowControl/>
        <w:tabs>
          <w:tab w:val="left" w:pos="5760"/>
        </w:tabs>
        <w:rPr>
          <w:rFonts w:ascii="Times New Roman" w:hAnsi="Times New Roman"/>
          <w:szCs w:val="24"/>
          <w:lang w:val="it-IT"/>
        </w:rPr>
      </w:pPr>
      <w:r w:rsidRPr="00C60454">
        <w:rPr>
          <w:rFonts w:ascii="Times New Roman" w:hAnsi="Times New Roman"/>
          <w:szCs w:val="24"/>
        </w:rPr>
        <w:tab/>
      </w:r>
      <w:r w:rsidRPr="00C60454">
        <w:rPr>
          <w:rFonts w:ascii="Times New Roman" w:hAnsi="Times New Roman"/>
          <w:szCs w:val="24"/>
          <w:lang w:val="it-IT"/>
        </w:rPr>
        <w:t>Kevin C. Greene</w:t>
      </w:r>
    </w:p>
    <w:p w14:paraId="410086E9" w14:textId="77777777" w:rsidR="00D54DD2" w:rsidRPr="00C60454" w:rsidRDefault="00D54DD2" w:rsidP="00D54DD2">
      <w:pPr>
        <w:widowControl/>
        <w:tabs>
          <w:tab w:val="left" w:pos="5760"/>
        </w:tabs>
        <w:rPr>
          <w:rFonts w:ascii="Times New Roman" w:hAnsi="Times New Roman"/>
          <w:szCs w:val="24"/>
          <w:lang w:val="it-IT"/>
        </w:rPr>
      </w:pPr>
      <w:r w:rsidRPr="00C60454">
        <w:rPr>
          <w:rFonts w:ascii="Times New Roman" w:hAnsi="Times New Roman"/>
          <w:szCs w:val="24"/>
          <w:lang w:val="it-IT"/>
        </w:rPr>
        <w:tab/>
      </w:r>
      <w:r w:rsidR="000F3590" w:rsidRPr="00C60454">
        <w:rPr>
          <w:rFonts w:ascii="Times New Roman" w:hAnsi="Times New Roman"/>
          <w:szCs w:val="24"/>
          <w:lang w:val="it-IT"/>
        </w:rPr>
        <w:t>Brandon F. Marzo</w:t>
      </w:r>
    </w:p>
    <w:p w14:paraId="4C4477CE" w14:textId="3C3E31F3" w:rsidR="00A350FE" w:rsidRDefault="00A350FE" w:rsidP="00D54DD2">
      <w:pPr>
        <w:widowControl/>
        <w:tabs>
          <w:tab w:val="left" w:pos="5760"/>
        </w:tabs>
        <w:rPr>
          <w:rFonts w:ascii="Times New Roman" w:hAnsi="Times New Roman"/>
          <w:szCs w:val="24"/>
          <w:lang w:val="it-IT"/>
        </w:rPr>
      </w:pPr>
      <w:r w:rsidRPr="00C60454">
        <w:rPr>
          <w:rFonts w:ascii="Times New Roman" w:hAnsi="Times New Roman"/>
          <w:szCs w:val="24"/>
          <w:lang w:val="it-IT"/>
        </w:rPr>
        <w:tab/>
        <w:t>Steven J. Hewitson</w:t>
      </w:r>
    </w:p>
    <w:p w14:paraId="390EFEC2" w14:textId="1B763CA2" w:rsidR="000A339D" w:rsidRPr="00C60454" w:rsidRDefault="000A339D" w:rsidP="00D54DD2">
      <w:pPr>
        <w:widowControl/>
        <w:tabs>
          <w:tab w:val="left" w:pos="5760"/>
        </w:tabs>
        <w:rPr>
          <w:rFonts w:ascii="Times New Roman" w:hAnsi="Times New Roman"/>
          <w:szCs w:val="24"/>
          <w:lang w:val="it-IT"/>
        </w:rPr>
      </w:pPr>
      <w:r>
        <w:rPr>
          <w:rFonts w:ascii="Times New Roman" w:hAnsi="Times New Roman"/>
          <w:szCs w:val="24"/>
          <w:lang w:val="it-IT"/>
        </w:rPr>
        <w:tab/>
        <w:t>Allison W. Pryor</w:t>
      </w:r>
    </w:p>
    <w:p w14:paraId="79B4E789" w14:textId="558EEEAC" w:rsidR="008B1498" w:rsidRPr="00C60454" w:rsidRDefault="008B1498" w:rsidP="00D54DD2">
      <w:pPr>
        <w:widowControl/>
        <w:tabs>
          <w:tab w:val="left" w:pos="5760"/>
        </w:tabs>
        <w:rPr>
          <w:rFonts w:ascii="Times New Roman" w:hAnsi="Times New Roman"/>
          <w:szCs w:val="24"/>
        </w:rPr>
      </w:pPr>
      <w:r w:rsidRPr="00C60454">
        <w:rPr>
          <w:rFonts w:ascii="Times New Roman" w:hAnsi="Times New Roman"/>
          <w:szCs w:val="24"/>
          <w:lang w:val="it-IT"/>
        </w:rPr>
        <w:tab/>
      </w:r>
    </w:p>
    <w:p w14:paraId="2C235A79" w14:textId="77777777" w:rsidR="00D54DD2" w:rsidRPr="00C60454" w:rsidRDefault="008B1498" w:rsidP="00D54DD2">
      <w:pPr>
        <w:widowControl/>
        <w:tabs>
          <w:tab w:val="left" w:pos="5760"/>
        </w:tabs>
        <w:rPr>
          <w:rFonts w:ascii="Times New Roman" w:hAnsi="Times New Roman"/>
          <w:szCs w:val="24"/>
        </w:rPr>
      </w:pPr>
      <w:r w:rsidRPr="00C60454">
        <w:rPr>
          <w:rFonts w:ascii="Times New Roman" w:hAnsi="Times New Roman"/>
          <w:szCs w:val="24"/>
        </w:rPr>
        <w:tab/>
      </w:r>
      <w:r w:rsidR="00D54DD2" w:rsidRPr="00C60454">
        <w:rPr>
          <w:rFonts w:ascii="Times New Roman" w:hAnsi="Times New Roman"/>
          <w:szCs w:val="24"/>
        </w:rPr>
        <w:tab/>
      </w:r>
    </w:p>
    <w:p w14:paraId="6352966B" w14:textId="77777777" w:rsidR="00D54DD2" w:rsidRPr="00C60454" w:rsidRDefault="00D54DD2" w:rsidP="00D54DD2">
      <w:pPr>
        <w:widowControl/>
        <w:tabs>
          <w:tab w:val="left" w:pos="5760"/>
        </w:tabs>
        <w:rPr>
          <w:rFonts w:ascii="Times New Roman" w:hAnsi="Times New Roman"/>
          <w:szCs w:val="24"/>
        </w:rPr>
      </w:pPr>
      <w:r w:rsidRPr="00C60454">
        <w:rPr>
          <w:rFonts w:ascii="Times New Roman" w:hAnsi="Times New Roman"/>
          <w:szCs w:val="24"/>
        </w:rPr>
        <w:tab/>
        <w:t>Attorneys for</w:t>
      </w:r>
    </w:p>
    <w:p w14:paraId="72616521" w14:textId="77777777" w:rsidR="00D54DD2" w:rsidRPr="00C60454" w:rsidRDefault="00D54DD2" w:rsidP="00D54DD2">
      <w:pPr>
        <w:widowControl/>
        <w:tabs>
          <w:tab w:val="left" w:pos="5760"/>
        </w:tabs>
        <w:rPr>
          <w:rFonts w:ascii="Times New Roman" w:hAnsi="Times New Roman"/>
          <w:szCs w:val="24"/>
        </w:rPr>
      </w:pPr>
      <w:r w:rsidRPr="00C60454">
        <w:rPr>
          <w:rFonts w:ascii="Times New Roman" w:hAnsi="Times New Roman"/>
          <w:szCs w:val="24"/>
        </w:rPr>
        <w:tab/>
        <w:t>Georgia Power Company</w:t>
      </w:r>
    </w:p>
    <w:p w14:paraId="1D719029" w14:textId="77777777" w:rsidR="00D54DD2" w:rsidRPr="00C60454" w:rsidRDefault="00D54DD2" w:rsidP="00D54DD2">
      <w:pPr>
        <w:widowControl/>
        <w:tabs>
          <w:tab w:val="left" w:pos="5760"/>
        </w:tabs>
        <w:rPr>
          <w:rFonts w:ascii="Times New Roman" w:hAnsi="Times New Roman"/>
          <w:szCs w:val="24"/>
        </w:rPr>
      </w:pPr>
    </w:p>
    <w:p w14:paraId="28B44166" w14:textId="77777777" w:rsidR="00D54DD2" w:rsidRPr="00C60454" w:rsidRDefault="00D54DD2" w:rsidP="00D54DD2">
      <w:pPr>
        <w:widowControl/>
        <w:tabs>
          <w:tab w:val="left" w:pos="5760"/>
        </w:tabs>
        <w:rPr>
          <w:rFonts w:ascii="Times New Roman" w:hAnsi="Times New Roman"/>
          <w:szCs w:val="24"/>
        </w:rPr>
      </w:pPr>
      <w:r w:rsidRPr="00C60454">
        <w:rPr>
          <w:rFonts w:ascii="Times New Roman" w:hAnsi="Times New Roman"/>
          <w:szCs w:val="24"/>
        </w:rPr>
        <w:tab/>
        <w:t>TROUTMAN SANDERS LLP</w:t>
      </w:r>
    </w:p>
    <w:p w14:paraId="263DAAFE" w14:textId="77777777" w:rsidR="00D54DD2" w:rsidRPr="00C60454" w:rsidRDefault="00D54DD2" w:rsidP="00D54DD2">
      <w:pPr>
        <w:widowControl/>
        <w:tabs>
          <w:tab w:val="left" w:pos="5760"/>
        </w:tabs>
        <w:rPr>
          <w:rFonts w:ascii="Times New Roman" w:hAnsi="Times New Roman"/>
          <w:szCs w:val="24"/>
        </w:rPr>
      </w:pPr>
      <w:r w:rsidRPr="00C60454">
        <w:rPr>
          <w:rFonts w:ascii="Times New Roman" w:hAnsi="Times New Roman"/>
          <w:szCs w:val="24"/>
        </w:rPr>
        <w:tab/>
        <w:t>600 Peachtree Street, NE</w:t>
      </w:r>
    </w:p>
    <w:p w14:paraId="26D589F2" w14:textId="77777777" w:rsidR="00D54DD2" w:rsidRPr="00C60454" w:rsidRDefault="00D54DD2" w:rsidP="00D54DD2">
      <w:pPr>
        <w:widowControl/>
        <w:tabs>
          <w:tab w:val="left" w:pos="5760"/>
        </w:tabs>
        <w:rPr>
          <w:rFonts w:ascii="Times New Roman" w:hAnsi="Times New Roman"/>
          <w:szCs w:val="24"/>
        </w:rPr>
      </w:pPr>
      <w:r w:rsidRPr="00C60454">
        <w:rPr>
          <w:rFonts w:ascii="Times New Roman" w:hAnsi="Times New Roman"/>
          <w:szCs w:val="24"/>
        </w:rPr>
        <w:tab/>
        <w:t xml:space="preserve">Suite </w:t>
      </w:r>
      <w:r w:rsidR="00652A4B" w:rsidRPr="00C60454">
        <w:rPr>
          <w:rFonts w:ascii="Times New Roman" w:hAnsi="Times New Roman"/>
          <w:szCs w:val="24"/>
        </w:rPr>
        <w:t>3000</w:t>
      </w:r>
    </w:p>
    <w:p w14:paraId="6919E12D" w14:textId="77777777" w:rsidR="00D54DD2" w:rsidRPr="00C60454" w:rsidRDefault="00D54DD2" w:rsidP="00D54DD2">
      <w:pPr>
        <w:widowControl/>
        <w:tabs>
          <w:tab w:val="left" w:pos="5760"/>
        </w:tabs>
        <w:rPr>
          <w:rFonts w:ascii="Times New Roman" w:hAnsi="Times New Roman"/>
          <w:szCs w:val="24"/>
        </w:rPr>
      </w:pPr>
      <w:r w:rsidRPr="00C60454">
        <w:rPr>
          <w:rFonts w:ascii="Times New Roman" w:hAnsi="Times New Roman"/>
          <w:szCs w:val="24"/>
        </w:rPr>
        <w:tab/>
        <w:t>Atlanta, Georgia 30308-2216</w:t>
      </w:r>
    </w:p>
    <w:p w14:paraId="20E07A81" w14:textId="77777777" w:rsidR="00D54DD2" w:rsidRPr="00C60454" w:rsidRDefault="00D54DD2" w:rsidP="00D54DD2">
      <w:pPr>
        <w:widowControl/>
        <w:tabs>
          <w:tab w:val="left" w:pos="5760"/>
        </w:tabs>
        <w:rPr>
          <w:rFonts w:ascii="Times New Roman" w:hAnsi="Times New Roman"/>
          <w:szCs w:val="24"/>
        </w:rPr>
      </w:pPr>
      <w:r w:rsidRPr="00C60454">
        <w:rPr>
          <w:rFonts w:ascii="Times New Roman" w:hAnsi="Times New Roman"/>
          <w:szCs w:val="24"/>
        </w:rPr>
        <w:tab/>
        <w:t>(404) 885-3000</w:t>
      </w:r>
    </w:p>
    <w:p w14:paraId="5EC863B4" w14:textId="77777777" w:rsidR="00D54DD2" w:rsidRPr="00C60454" w:rsidRDefault="00D54DD2" w:rsidP="00D54DD2">
      <w:pPr>
        <w:widowControl/>
        <w:tabs>
          <w:tab w:val="left" w:pos="5760"/>
        </w:tabs>
        <w:rPr>
          <w:rFonts w:ascii="Times New Roman" w:hAnsi="Times New Roman"/>
          <w:szCs w:val="24"/>
        </w:rPr>
      </w:pPr>
    </w:p>
    <w:p w14:paraId="48A5DD1D" w14:textId="77777777" w:rsidR="007652AB" w:rsidRPr="00C60454" w:rsidRDefault="007652AB" w:rsidP="00D54DD2">
      <w:pPr>
        <w:widowControl/>
        <w:tabs>
          <w:tab w:val="left" w:pos="5760"/>
        </w:tabs>
        <w:rPr>
          <w:rFonts w:ascii="Times New Roman" w:hAnsi="Times New Roman"/>
          <w:szCs w:val="24"/>
        </w:rPr>
      </w:pPr>
    </w:p>
    <w:p w14:paraId="1E206A85" w14:textId="77777777" w:rsidR="00152D56" w:rsidRPr="00C60454" w:rsidRDefault="00152D56" w:rsidP="00D54DD2">
      <w:pPr>
        <w:widowControl/>
        <w:tabs>
          <w:tab w:val="left" w:pos="5760"/>
        </w:tabs>
        <w:rPr>
          <w:rFonts w:ascii="Times New Roman" w:hAnsi="Times New Roman"/>
          <w:szCs w:val="24"/>
        </w:rPr>
      </w:pPr>
    </w:p>
    <w:p w14:paraId="792839D9" w14:textId="65EC5516" w:rsidR="00043F2B" w:rsidRPr="00C60454" w:rsidRDefault="00D54DD2" w:rsidP="00D54DD2">
      <w:pPr>
        <w:widowControl/>
        <w:tabs>
          <w:tab w:val="left" w:pos="1080"/>
        </w:tabs>
        <w:rPr>
          <w:rFonts w:ascii="Times New Roman" w:hAnsi="Times New Roman"/>
          <w:szCs w:val="24"/>
        </w:rPr>
      </w:pPr>
      <w:r w:rsidRPr="00C60454">
        <w:rPr>
          <w:rFonts w:ascii="Times New Roman" w:hAnsi="Times New Roman"/>
          <w:szCs w:val="24"/>
        </w:rPr>
        <w:t>Dated:</w:t>
      </w:r>
      <w:r w:rsidRPr="00C60454">
        <w:rPr>
          <w:rFonts w:ascii="Times New Roman" w:hAnsi="Times New Roman"/>
          <w:szCs w:val="24"/>
        </w:rPr>
        <w:tab/>
        <w:t xml:space="preserve">December </w:t>
      </w:r>
      <w:r w:rsidR="00193504" w:rsidRPr="00C60454">
        <w:rPr>
          <w:rFonts w:ascii="Times New Roman" w:hAnsi="Times New Roman"/>
          <w:szCs w:val="24"/>
        </w:rPr>
        <w:t>4</w:t>
      </w:r>
      <w:r w:rsidRPr="00C60454">
        <w:rPr>
          <w:rFonts w:ascii="Times New Roman" w:hAnsi="Times New Roman"/>
          <w:szCs w:val="24"/>
        </w:rPr>
        <w:t>, 20</w:t>
      </w:r>
      <w:r w:rsidR="00A950AC" w:rsidRPr="00C60454">
        <w:rPr>
          <w:rFonts w:ascii="Times New Roman" w:hAnsi="Times New Roman"/>
          <w:szCs w:val="24"/>
        </w:rPr>
        <w:t>1</w:t>
      </w:r>
      <w:r w:rsidR="00652A4B" w:rsidRPr="00C60454">
        <w:rPr>
          <w:rFonts w:ascii="Times New Roman" w:hAnsi="Times New Roman"/>
          <w:szCs w:val="24"/>
        </w:rPr>
        <w:t>9</w:t>
      </w:r>
    </w:p>
    <w:sdt>
      <w:sdtPr>
        <w:rPr>
          <w:rFonts w:ascii="Courier New" w:eastAsia="Times New Roman" w:hAnsi="Courier New" w:cs="Times New Roman"/>
          <w:color w:val="auto"/>
          <w:sz w:val="24"/>
          <w:szCs w:val="20"/>
        </w:rPr>
        <w:id w:val="1648628999"/>
        <w:docPartObj>
          <w:docPartGallery w:val="Table of Contents"/>
          <w:docPartUnique/>
        </w:docPartObj>
      </w:sdtPr>
      <w:sdtEndPr>
        <w:rPr>
          <w:sz w:val="22"/>
          <w:szCs w:val="22"/>
        </w:rPr>
      </w:sdtEndPr>
      <w:sdtContent>
        <w:p w14:paraId="7D2032E3" w14:textId="2BC7F582" w:rsidR="008F0C9E" w:rsidRPr="00CB6BA1" w:rsidRDefault="008F0C9E" w:rsidP="009578E1">
          <w:pPr>
            <w:pStyle w:val="TOCHeading"/>
            <w:jc w:val="center"/>
            <w:rPr>
              <w:rFonts w:ascii="Times New Roman" w:hAnsi="Times New Roman" w:cs="Times New Roman"/>
              <w:color w:val="auto"/>
            </w:rPr>
          </w:pPr>
          <w:r w:rsidRPr="00CB6BA1">
            <w:rPr>
              <w:rFonts w:ascii="Times New Roman" w:hAnsi="Times New Roman" w:cs="Times New Roman"/>
              <w:color w:val="auto"/>
            </w:rPr>
            <w:t>Table of Contents</w:t>
          </w:r>
        </w:p>
        <w:p w14:paraId="574D2094" w14:textId="4382431E" w:rsidR="008F0C9E" w:rsidRPr="008D77FB" w:rsidRDefault="00CB6BA1" w:rsidP="00EA6AD0">
          <w:pPr>
            <w:pStyle w:val="TOC1"/>
            <w:tabs>
              <w:tab w:val="left" w:pos="360"/>
            </w:tabs>
            <w:rPr>
              <w:b w:val="0"/>
              <w:sz w:val="22"/>
              <w:szCs w:val="22"/>
            </w:rPr>
          </w:pPr>
          <w:r w:rsidRPr="002B1599">
            <w:rPr>
              <w:b w:val="0"/>
              <w:sz w:val="22"/>
              <w:szCs w:val="22"/>
            </w:rPr>
            <w:t xml:space="preserve">I.  </w:t>
          </w:r>
          <w:r w:rsidR="00EA6AD0">
            <w:rPr>
              <w:b w:val="0"/>
              <w:sz w:val="22"/>
              <w:szCs w:val="22"/>
            </w:rPr>
            <w:tab/>
          </w:r>
          <w:r w:rsidRPr="002B1599">
            <w:rPr>
              <w:b w:val="0"/>
              <w:sz w:val="22"/>
              <w:szCs w:val="22"/>
            </w:rPr>
            <w:t xml:space="preserve">INTRODUCTION </w:t>
          </w:r>
          <w:r w:rsidR="008F0C9E" w:rsidRPr="008D77FB">
            <w:rPr>
              <w:b w:val="0"/>
              <w:sz w:val="22"/>
              <w:szCs w:val="22"/>
            </w:rPr>
            <w:ptab w:relativeTo="margin" w:alignment="right" w:leader="dot"/>
          </w:r>
          <w:r w:rsidR="008F0C9E" w:rsidRPr="008D77FB">
            <w:rPr>
              <w:b w:val="0"/>
              <w:bCs/>
              <w:sz w:val="22"/>
              <w:szCs w:val="22"/>
            </w:rPr>
            <w:t>1</w:t>
          </w:r>
        </w:p>
        <w:p w14:paraId="545140B6" w14:textId="3C7B1701" w:rsidR="008F0C9E" w:rsidRPr="008D77FB" w:rsidRDefault="00CB6BA1" w:rsidP="00EA6AD0">
          <w:pPr>
            <w:pStyle w:val="TOC1"/>
            <w:tabs>
              <w:tab w:val="left" w:pos="360"/>
            </w:tabs>
            <w:rPr>
              <w:b w:val="0"/>
              <w:sz w:val="22"/>
              <w:szCs w:val="22"/>
            </w:rPr>
          </w:pPr>
          <w:r w:rsidRPr="008D77FB">
            <w:rPr>
              <w:b w:val="0"/>
              <w:sz w:val="22"/>
              <w:szCs w:val="22"/>
            </w:rPr>
            <w:t xml:space="preserve">II.  </w:t>
          </w:r>
          <w:r w:rsidR="00EA6AD0" w:rsidRPr="008D77FB">
            <w:rPr>
              <w:b w:val="0"/>
              <w:sz w:val="22"/>
              <w:szCs w:val="22"/>
            </w:rPr>
            <w:tab/>
          </w:r>
          <w:r w:rsidRPr="008D77FB">
            <w:rPr>
              <w:b w:val="0"/>
              <w:sz w:val="22"/>
              <w:szCs w:val="22"/>
            </w:rPr>
            <w:t xml:space="preserve">SUMMARY OF THE ARGUMENT </w:t>
          </w:r>
          <w:r w:rsidR="008F0C9E" w:rsidRPr="008D77FB">
            <w:rPr>
              <w:b w:val="0"/>
              <w:sz w:val="22"/>
              <w:szCs w:val="22"/>
            </w:rPr>
            <w:ptab w:relativeTo="margin" w:alignment="right" w:leader="dot"/>
          </w:r>
          <w:r w:rsidR="00C35262" w:rsidRPr="008D77FB">
            <w:rPr>
              <w:b w:val="0"/>
              <w:bCs/>
              <w:sz w:val="22"/>
              <w:szCs w:val="22"/>
            </w:rPr>
            <w:t>2</w:t>
          </w:r>
        </w:p>
        <w:p w14:paraId="0E3790A4" w14:textId="61037BDB" w:rsidR="00CB6BA1" w:rsidRPr="008D77FB" w:rsidRDefault="00CB6BA1" w:rsidP="00EA6AD0">
          <w:pPr>
            <w:pStyle w:val="TOC1"/>
            <w:tabs>
              <w:tab w:val="left" w:pos="360"/>
            </w:tabs>
            <w:rPr>
              <w:b w:val="0"/>
              <w:sz w:val="22"/>
              <w:szCs w:val="22"/>
            </w:rPr>
          </w:pPr>
          <w:r w:rsidRPr="008D77FB">
            <w:rPr>
              <w:b w:val="0"/>
              <w:spacing w:val="-3"/>
              <w:sz w:val="22"/>
              <w:szCs w:val="22"/>
            </w:rPr>
            <w:t xml:space="preserve">III.  PROCEDURAL BACKGROUND </w:t>
          </w:r>
          <w:r w:rsidRPr="008D77FB">
            <w:rPr>
              <w:b w:val="0"/>
              <w:sz w:val="22"/>
              <w:szCs w:val="22"/>
            </w:rPr>
            <w:ptab w:relativeTo="margin" w:alignment="right" w:leader="dot"/>
          </w:r>
          <w:r w:rsidR="00C35262" w:rsidRPr="008D77FB">
            <w:rPr>
              <w:b w:val="0"/>
              <w:bCs/>
              <w:sz w:val="22"/>
              <w:szCs w:val="22"/>
            </w:rPr>
            <w:t>4</w:t>
          </w:r>
        </w:p>
        <w:p w14:paraId="27ECF574" w14:textId="47A22A11" w:rsidR="00CB6BA1" w:rsidRPr="008D77FB" w:rsidRDefault="00CB6BA1" w:rsidP="00EA6AD0">
          <w:pPr>
            <w:pStyle w:val="TOC1"/>
            <w:tabs>
              <w:tab w:val="left" w:pos="360"/>
            </w:tabs>
            <w:rPr>
              <w:b w:val="0"/>
              <w:sz w:val="22"/>
              <w:szCs w:val="22"/>
            </w:rPr>
          </w:pPr>
          <w:r w:rsidRPr="008D77FB">
            <w:rPr>
              <w:b w:val="0"/>
              <w:sz w:val="22"/>
              <w:szCs w:val="22"/>
            </w:rPr>
            <w:t>IV.</w:t>
          </w:r>
          <w:r w:rsidR="00EA6AD0" w:rsidRPr="008D77FB">
            <w:rPr>
              <w:b w:val="0"/>
              <w:sz w:val="22"/>
              <w:szCs w:val="22"/>
            </w:rPr>
            <w:tab/>
          </w:r>
          <w:r w:rsidRPr="008D77FB">
            <w:rPr>
              <w:b w:val="0"/>
              <w:sz w:val="22"/>
              <w:szCs w:val="22"/>
            </w:rPr>
            <w:t xml:space="preserve">ARGUMENT  </w:t>
          </w:r>
          <w:r w:rsidRPr="008D77FB">
            <w:rPr>
              <w:b w:val="0"/>
              <w:sz w:val="22"/>
              <w:szCs w:val="22"/>
            </w:rPr>
            <w:ptab w:relativeTo="margin" w:alignment="right" w:leader="dot"/>
          </w:r>
          <w:r w:rsidR="00C35262" w:rsidRPr="008D77FB">
            <w:rPr>
              <w:b w:val="0"/>
              <w:bCs/>
              <w:sz w:val="22"/>
              <w:szCs w:val="22"/>
            </w:rPr>
            <w:t>6</w:t>
          </w:r>
        </w:p>
        <w:p w14:paraId="72C0A8C8" w14:textId="77777777" w:rsidR="00CB6BA1" w:rsidRPr="002B1599" w:rsidRDefault="00CB6BA1" w:rsidP="009578E1">
          <w:pPr>
            <w:pStyle w:val="TOC2"/>
            <w:spacing w:before="0"/>
            <w:ind w:left="720" w:hanging="504"/>
            <w:rPr>
              <w:b/>
              <w:i w:val="0"/>
              <w:sz w:val="22"/>
              <w:szCs w:val="22"/>
            </w:rPr>
          </w:pPr>
          <w:r w:rsidRPr="002B1599">
            <w:rPr>
              <w:b/>
              <w:i w:val="0"/>
              <w:sz w:val="22"/>
              <w:szCs w:val="22"/>
            </w:rPr>
            <w:t>A.</w:t>
          </w:r>
          <w:r w:rsidRPr="002B1599">
            <w:rPr>
              <w:b/>
              <w:i w:val="0"/>
              <w:sz w:val="22"/>
              <w:szCs w:val="22"/>
            </w:rPr>
            <w:tab/>
            <w:t xml:space="preserve">Approval of the Company’s Application as filed provides for the continuation of the </w:t>
          </w:r>
        </w:p>
        <w:p w14:paraId="10001381" w14:textId="4EA7C0A3" w:rsidR="00CB6BA1" w:rsidRPr="002B1599" w:rsidRDefault="00CB6BA1" w:rsidP="009578E1">
          <w:pPr>
            <w:pStyle w:val="TOC2"/>
            <w:spacing w:before="0"/>
            <w:ind w:left="720" w:hanging="504"/>
            <w:rPr>
              <w:b/>
              <w:i w:val="0"/>
              <w:sz w:val="22"/>
              <w:szCs w:val="22"/>
            </w:rPr>
          </w:pPr>
          <w:r w:rsidRPr="002B1599">
            <w:rPr>
              <w:b/>
              <w:i w:val="0"/>
              <w:sz w:val="22"/>
              <w:szCs w:val="22"/>
            </w:rPr>
            <w:tab/>
            <w:t xml:space="preserve">Constructive Regulatory Environment that </w:t>
          </w:r>
          <w:r w:rsidR="009502D5" w:rsidRPr="002B1599">
            <w:rPr>
              <w:b/>
              <w:i w:val="0"/>
              <w:sz w:val="22"/>
              <w:szCs w:val="22"/>
            </w:rPr>
            <w:t>Customers</w:t>
          </w:r>
          <w:r w:rsidR="009502D5">
            <w:rPr>
              <w:b/>
              <w:i w:val="0"/>
              <w:sz w:val="22"/>
              <w:szCs w:val="22"/>
            </w:rPr>
            <w:t>,</w:t>
          </w:r>
          <w:r w:rsidR="009502D5" w:rsidRPr="002B1599">
            <w:rPr>
              <w:b/>
              <w:i w:val="0"/>
              <w:sz w:val="22"/>
              <w:szCs w:val="22"/>
            </w:rPr>
            <w:t xml:space="preserve"> </w:t>
          </w:r>
          <w:r w:rsidRPr="002B1599">
            <w:rPr>
              <w:b/>
              <w:i w:val="0"/>
              <w:sz w:val="22"/>
              <w:szCs w:val="22"/>
            </w:rPr>
            <w:t xml:space="preserve">the Commission, the Company, </w:t>
          </w:r>
        </w:p>
        <w:p w14:paraId="48912B99" w14:textId="0743A5F0" w:rsidR="00CB6BA1" w:rsidRPr="002B1599" w:rsidRDefault="00CB6BA1" w:rsidP="009578E1">
          <w:pPr>
            <w:pStyle w:val="TOC2"/>
            <w:spacing w:before="0" w:after="120"/>
            <w:ind w:left="720" w:hanging="504"/>
            <w:rPr>
              <w:i w:val="0"/>
              <w:sz w:val="22"/>
              <w:szCs w:val="22"/>
            </w:rPr>
          </w:pPr>
          <w:r w:rsidRPr="002B1599">
            <w:rPr>
              <w:b/>
              <w:i w:val="0"/>
              <w:sz w:val="22"/>
              <w:szCs w:val="22"/>
            </w:rPr>
            <w:tab/>
            <w:t>and Investors Rely Upon</w:t>
          </w:r>
          <w:r w:rsidRPr="002B1599">
            <w:rPr>
              <w:b/>
              <w:sz w:val="22"/>
              <w:szCs w:val="22"/>
            </w:rPr>
            <w:t xml:space="preserve">. </w:t>
          </w:r>
          <w:r w:rsidRPr="002B1599">
            <w:rPr>
              <w:i w:val="0"/>
              <w:sz w:val="22"/>
              <w:szCs w:val="22"/>
            </w:rPr>
            <w:ptab w:relativeTo="margin" w:alignment="right" w:leader="dot"/>
          </w:r>
          <w:r w:rsidR="00C35262">
            <w:rPr>
              <w:i w:val="0"/>
              <w:sz w:val="22"/>
              <w:szCs w:val="22"/>
            </w:rPr>
            <w:t>6</w:t>
          </w:r>
        </w:p>
        <w:p w14:paraId="034D00A3" w14:textId="15CA5631" w:rsidR="009502D5" w:rsidRDefault="00CB6BA1" w:rsidP="009578E1">
          <w:pPr>
            <w:pStyle w:val="TOC2"/>
            <w:spacing w:before="0"/>
            <w:ind w:left="720" w:hanging="504"/>
            <w:rPr>
              <w:b/>
              <w:i w:val="0"/>
              <w:sz w:val="22"/>
              <w:szCs w:val="22"/>
            </w:rPr>
          </w:pPr>
          <w:r w:rsidRPr="002B1599">
            <w:rPr>
              <w:b/>
              <w:i w:val="0"/>
              <w:sz w:val="22"/>
              <w:szCs w:val="22"/>
            </w:rPr>
            <w:t>B.</w:t>
          </w:r>
          <w:r w:rsidRPr="002B1599">
            <w:rPr>
              <w:b/>
              <w:i w:val="0"/>
              <w:sz w:val="22"/>
              <w:szCs w:val="22"/>
            </w:rPr>
            <w:tab/>
            <w:t xml:space="preserve">The Commission Should </w:t>
          </w:r>
          <w:r w:rsidR="009502D5">
            <w:rPr>
              <w:b/>
              <w:i w:val="0"/>
              <w:sz w:val="22"/>
              <w:szCs w:val="22"/>
            </w:rPr>
            <w:t>A</w:t>
          </w:r>
          <w:r w:rsidRPr="002B1599">
            <w:rPr>
              <w:b/>
              <w:i w:val="0"/>
              <w:sz w:val="22"/>
              <w:szCs w:val="22"/>
            </w:rPr>
            <w:t>dopt the Company’s Proposed ROE</w:t>
          </w:r>
          <w:r w:rsidR="009502D5">
            <w:rPr>
              <w:b/>
              <w:i w:val="0"/>
              <w:sz w:val="22"/>
              <w:szCs w:val="22"/>
            </w:rPr>
            <w:t>, Cost of Capital</w:t>
          </w:r>
          <w:r w:rsidRPr="002B1599">
            <w:rPr>
              <w:b/>
              <w:i w:val="0"/>
              <w:sz w:val="22"/>
              <w:szCs w:val="22"/>
            </w:rPr>
            <w:t xml:space="preserve"> and </w:t>
          </w:r>
        </w:p>
        <w:p w14:paraId="2340BA51" w14:textId="752B985C" w:rsidR="00CB6BA1" w:rsidRPr="002B1599" w:rsidRDefault="009502D5" w:rsidP="009578E1">
          <w:pPr>
            <w:pStyle w:val="TOC2"/>
            <w:spacing w:before="0"/>
            <w:ind w:left="720" w:hanging="504"/>
            <w:rPr>
              <w:i w:val="0"/>
              <w:sz w:val="22"/>
              <w:szCs w:val="22"/>
            </w:rPr>
          </w:pPr>
          <w:r>
            <w:rPr>
              <w:b/>
              <w:i w:val="0"/>
              <w:sz w:val="22"/>
              <w:szCs w:val="22"/>
            </w:rPr>
            <w:tab/>
          </w:r>
          <w:r w:rsidR="00CB6BA1" w:rsidRPr="002B1599">
            <w:rPr>
              <w:b/>
              <w:i w:val="0"/>
              <w:sz w:val="22"/>
              <w:szCs w:val="22"/>
            </w:rPr>
            <w:t>Capital Structure, and Reject PIA Staff’s ROE</w:t>
          </w:r>
          <w:r>
            <w:rPr>
              <w:b/>
              <w:i w:val="0"/>
              <w:sz w:val="22"/>
              <w:szCs w:val="22"/>
            </w:rPr>
            <w:t>, Cost of Capital</w:t>
          </w:r>
          <w:r w:rsidR="00CB6BA1" w:rsidRPr="002B1599">
            <w:rPr>
              <w:b/>
              <w:i w:val="0"/>
              <w:sz w:val="22"/>
              <w:szCs w:val="22"/>
            </w:rPr>
            <w:t xml:space="preserve"> and Capital Structure Recommendations to Avoid Jeopardizing Georgia Power’s Financial Integrity.</w:t>
          </w:r>
          <w:r w:rsidR="00CB6BA1" w:rsidRPr="002B1599">
            <w:rPr>
              <w:b/>
              <w:sz w:val="22"/>
              <w:szCs w:val="22"/>
            </w:rPr>
            <w:t xml:space="preserve"> </w:t>
          </w:r>
          <w:r w:rsidR="00CB6BA1" w:rsidRPr="002B1599">
            <w:rPr>
              <w:i w:val="0"/>
              <w:sz w:val="22"/>
              <w:szCs w:val="22"/>
            </w:rPr>
            <w:ptab w:relativeTo="margin" w:alignment="right" w:leader="dot"/>
          </w:r>
          <w:r w:rsidR="00C35262">
            <w:rPr>
              <w:i w:val="0"/>
              <w:sz w:val="22"/>
              <w:szCs w:val="22"/>
            </w:rPr>
            <w:t>8</w:t>
          </w:r>
        </w:p>
        <w:p w14:paraId="6EFE8FB2" w14:textId="77777777" w:rsidR="00CB6BA1" w:rsidRPr="002B1599" w:rsidRDefault="00CB6BA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w:t>
          </w:r>
          <w:r w:rsidRPr="002B1599">
            <w:rPr>
              <w:rFonts w:ascii="Times New Roman" w:hAnsi="Times New Roman"/>
              <w:sz w:val="22"/>
              <w:szCs w:val="22"/>
            </w:rPr>
            <w:tab/>
          </w:r>
          <w:r w:rsidRPr="002B1599">
            <w:rPr>
              <w:rFonts w:ascii="Times New Roman" w:hAnsi="Times New Roman"/>
              <w:sz w:val="22"/>
              <w:szCs w:val="22"/>
              <w:u w:val="single"/>
            </w:rPr>
            <w:t xml:space="preserve">The Commission should adopt the Company’s proposed capital structure </w:t>
          </w:r>
        </w:p>
        <w:p w14:paraId="36DBA1D1" w14:textId="7FF5193C" w:rsidR="00CB6BA1" w:rsidRPr="002B1599" w:rsidRDefault="00CB6BA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and ROE as calculated by Dr. Vander Weide</w:t>
          </w:r>
          <w:r w:rsidRPr="002B1599">
            <w:rPr>
              <w:rFonts w:ascii="Times New Roman" w:hAnsi="Times New Roman"/>
              <w:sz w:val="22"/>
              <w:szCs w:val="22"/>
            </w:rPr>
            <w:t xml:space="preserve">. </w:t>
          </w:r>
          <w:r w:rsidRPr="002B1599">
            <w:rPr>
              <w:rFonts w:ascii="Times New Roman" w:hAnsi="Times New Roman"/>
              <w:sz w:val="22"/>
              <w:szCs w:val="22"/>
            </w:rPr>
            <w:ptab w:relativeTo="margin" w:alignment="right" w:leader="dot"/>
          </w:r>
          <w:r w:rsidR="00C35262">
            <w:rPr>
              <w:rFonts w:ascii="Times New Roman" w:hAnsi="Times New Roman"/>
              <w:sz w:val="22"/>
              <w:szCs w:val="22"/>
            </w:rPr>
            <w:t>8</w:t>
          </w:r>
        </w:p>
        <w:p w14:paraId="26BF5370" w14:textId="49A081C8" w:rsidR="00CB6BA1" w:rsidRPr="002B1599" w:rsidRDefault="00CB6BA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2.</w:t>
          </w:r>
          <w:r w:rsidRPr="002B1599">
            <w:rPr>
              <w:rFonts w:ascii="Times New Roman" w:hAnsi="Times New Roman"/>
              <w:sz w:val="22"/>
              <w:szCs w:val="22"/>
            </w:rPr>
            <w:tab/>
          </w:r>
          <w:r w:rsidRPr="002B1599">
            <w:rPr>
              <w:rFonts w:ascii="Times New Roman" w:hAnsi="Times New Roman"/>
              <w:sz w:val="22"/>
              <w:szCs w:val="22"/>
              <w:u w:val="single"/>
            </w:rPr>
            <w:t>PIA Staff’s recommended ROE reduction is drastic, unprecedented, and punitive.</w:t>
          </w:r>
          <w:r w:rsidRPr="002B1599">
            <w:rPr>
              <w:rFonts w:ascii="Times New Roman" w:hAnsi="Times New Roman"/>
              <w:sz w:val="22"/>
              <w:szCs w:val="22"/>
            </w:rPr>
            <w:ptab w:relativeTo="margin" w:alignment="right" w:leader="dot"/>
          </w:r>
          <w:r w:rsidR="00C35262">
            <w:rPr>
              <w:rFonts w:ascii="Times New Roman" w:hAnsi="Times New Roman"/>
              <w:sz w:val="22"/>
              <w:szCs w:val="22"/>
            </w:rPr>
            <w:t>9</w:t>
          </w:r>
        </w:p>
        <w:p w14:paraId="7063D9E5" w14:textId="77777777" w:rsidR="00CB6BA1" w:rsidRPr="002B1599" w:rsidRDefault="00CB6BA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3.</w:t>
          </w:r>
          <w:r w:rsidRPr="002B1599">
            <w:rPr>
              <w:rFonts w:ascii="Times New Roman" w:hAnsi="Times New Roman"/>
              <w:sz w:val="22"/>
              <w:szCs w:val="22"/>
            </w:rPr>
            <w:tab/>
          </w:r>
          <w:r w:rsidRPr="002B1599">
            <w:rPr>
              <w:rFonts w:ascii="Times New Roman" w:hAnsi="Times New Roman"/>
              <w:sz w:val="22"/>
              <w:szCs w:val="22"/>
              <w:u w:val="single"/>
            </w:rPr>
            <w:t xml:space="preserve">PIA Staff’s proposed equity reduction would destroy the necessary balance agreed to </w:t>
          </w:r>
        </w:p>
        <w:p w14:paraId="33261156" w14:textId="77777777" w:rsidR="009502D5" w:rsidRDefault="00CB6BA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ab/>
          </w:r>
          <w:r w:rsidRPr="002B1599">
            <w:rPr>
              <w:rFonts w:ascii="Times New Roman" w:hAnsi="Times New Roman"/>
              <w:sz w:val="22"/>
              <w:szCs w:val="22"/>
              <w:u w:val="single"/>
            </w:rPr>
            <w:t xml:space="preserve">following the Tax Reform Settlement </w:t>
          </w:r>
          <w:r w:rsidR="009502D5">
            <w:rPr>
              <w:rFonts w:ascii="Times New Roman" w:hAnsi="Times New Roman"/>
              <w:sz w:val="22"/>
              <w:szCs w:val="22"/>
              <w:u w:val="single"/>
            </w:rPr>
            <w:t xml:space="preserve">less than two years ago </w:t>
          </w:r>
          <w:r w:rsidRPr="002B1599">
            <w:rPr>
              <w:rFonts w:ascii="Times New Roman" w:hAnsi="Times New Roman"/>
              <w:sz w:val="22"/>
              <w:szCs w:val="22"/>
              <w:u w:val="single"/>
            </w:rPr>
            <w:t xml:space="preserve">and would not support </w:t>
          </w:r>
        </w:p>
        <w:p w14:paraId="4B8E4C79" w14:textId="61F9EE5C" w:rsidR="00CB6BA1" w:rsidRPr="002B1599" w:rsidRDefault="009502D5" w:rsidP="009578E1">
          <w:pPr>
            <w:tabs>
              <w:tab w:val="left" w:pos="1080"/>
            </w:tabs>
            <w:ind w:left="1080" w:hanging="360"/>
            <w:rPr>
              <w:rFonts w:ascii="Times New Roman" w:hAnsi="Times New Roman"/>
              <w:sz w:val="22"/>
              <w:szCs w:val="22"/>
            </w:rPr>
          </w:pPr>
          <w:r w:rsidRPr="009502D5">
            <w:rPr>
              <w:rFonts w:ascii="Times New Roman" w:hAnsi="Times New Roman"/>
              <w:sz w:val="22"/>
              <w:szCs w:val="22"/>
            </w:rPr>
            <w:tab/>
          </w:r>
          <w:r w:rsidR="00CB6BA1" w:rsidRPr="002B1599">
            <w:rPr>
              <w:rFonts w:ascii="Times New Roman" w:hAnsi="Times New Roman"/>
              <w:sz w:val="22"/>
              <w:szCs w:val="22"/>
              <w:u w:val="single"/>
            </w:rPr>
            <w:t>the Company’s current credit quality.</w:t>
          </w:r>
          <w:r w:rsidR="00CB6BA1" w:rsidRPr="002B1599">
            <w:rPr>
              <w:rFonts w:ascii="Times New Roman" w:hAnsi="Times New Roman"/>
              <w:sz w:val="22"/>
              <w:szCs w:val="22"/>
            </w:rPr>
            <w:t xml:space="preserve"> </w:t>
          </w:r>
          <w:r w:rsidR="00CB6BA1" w:rsidRPr="002B1599">
            <w:rPr>
              <w:rFonts w:ascii="Times New Roman" w:hAnsi="Times New Roman"/>
              <w:sz w:val="22"/>
              <w:szCs w:val="22"/>
            </w:rPr>
            <w:ptab w:relativeTo="margin" w:alignment="right" w:leader="dot"/>
          </w:r>
          <w:r w:rsidR="00D16B17">
            <w:rPr>
              <w:rFonts w:ascii="Times New Roman" w:hAnsi="Times New Roman"/>
              <w:sz w:val="22"/>
              <w:szCs w:val="22"/>
            </w:rPr>
            <w:t>1</w:t>
          </w:r>
          <w:r w:rsidR="00C35262">
            <w:rPr>
              <w:rFonts w:ascii="Times New Roman" w:hAnsi="Times New Roman"/>
              <w:sz w:val="22"/>
              <w:szCs w:val="22"/>
            </w:rPr>
            <w:t>3</w:t>
          </w:r>
        </w:p>
        <w:p w14:paraId="219E74A4" w14:textId="6D801EA5" w:rsidR="00CB6BA1" w:rsidRPr="002B1599" w:rsidRDefault="00CB6BA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4.</w:t>
          </w:r>
          <w:r w:rsidRPr="002B1599">
            <w:rPr>
              <w:rFonts w:ascii="Times New Roman" w:hAnsi="Times New Roman"/>
              <w:sz w:val="22"/>
              <w:szCs w:val="22"/>
            </w:rPr>
            <w:tab/>
          </w:r>
          <w:r w:rsidRPr="002B1599">
            <w:rPr>
              <w:rFonts w:ascii="Times New Roman" w:hAnsi="Times New Roman"/>
              <w:sz w:val="22"/>
              <w:szCs w:val="22"/>
              <w:u w:val="single"/>
            </w:rPr>
            <w:t>FFO to Debt must be maintained to ensure the Company retains its credit rating.</w:t>
          </w:r>
          <w:r w:rsidRPr="002B1599">
            <w:rPr>
              <w:rFonts w:ascii="Times New Roman" w:hAnsi="Times New Roman"/>
              <w:sz w:val="22"/>
              <w:szCs w:val="22"/>
            </w:rPr>
            <w:ptab w:relativeTo="margin" w:alignment="right" w:leader="dot"/>
          </w:r>
          <w:r w:rsidR="00D16B17">
            <w:rPr>
              <w:rFonts w:ascii="Times New Roman" w:hAnsi="Times New Roman"/>
              <w:sz w:val="22"/>
              <w:szCs w:val="22"/>
            </w:rPr>
            <w:t>1</w:t>
          </w:r>
          <w:r w:rsidR="00C35262">
            <w:rPr>
              <w:rFonts w:ascii="Times New Roman" w:hAnsi="Times New Roman"/>
              <w:sz w:val="22"/>
              <w:szCs w:val="22"/>
            </w:rPr>
            <w:t>4</w:t>
          </w:r>
        </w:p>
        <w:p w14:paraId="1D49CB41" w14:textId="77777777" w:rsidR="00CB6BA1" w:rsidRPr="002B1599" w:rsidRDefault="00CB6BA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5.</w:t>
          </w:r>
          <w:r w:rsidRPr="002B1599">
            <w:rPr>
              <w:rFonts w:ascii="Times New Roman" w:hAnsi="Times New Roman"/>
              <w:sz w:val="22"/>
              <w:szCs w:val="22"/>
            </w:rPr>
            <w:tab/>
          </w:r>
          <w:r w:rsidRPr="002B1599">
            <w:rPr>
              <w:rFonts w:ascii="Times New Roman" w:hAnsi="Times New Roman"/>
              <w:sz w:val="22"/>
              <w:szCs w:val="22"/>
              <w:u w:val="single"/>
            </w:rPr>
            <w:t xml:space="preserve">Errors in PIA Staff Witness Gorman’s calculations overestimate the Company’s </w:t>
          </w:r>
        </w:p>
        <w:p w14:paraId="6E02A051" w14:textId="01998EC8" w:rsidR="00CB6BA1" w:rsidRPr="002B1599" w:rsidRDefault="00CB6BA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FFO to Debt and underestimate the Company’s financial risk.</w:t>
          </w:r>
          <w:r w:rsidRPr="002B1599">
            <w:rPr>
              <w:rFonts w:ascii="Times New Roman" w:hAnsi="Times New Roman"/>
              <w:sz w:val="22"/>
              <w:szCs w:val="22"/>
            </w:rPr>
            <w:ptab w:relativeTo="margin" w:alignment="right" w:leader="dot"/>
          </w:r>
          <w:r w:rsidR="00D16B17">
            <w:rPr>
              <w:rFonts w:ascii="Times New Roman" w:hAnsi="Times New Roman"/>
              <w:sz w:val="22"/>
              <w:szCs w:val="22"/>
            </w:rPr>
            <w:t>1</w:t>
          </w:r>
          <w:r w:rsidR="00C35262">
            <w:rPr>
              <w:rFonts w:ascii="Times New Roman" w:hAnsi="Times New Roman"/>
              <w:sz w:val="22"/>
              <w:szCs w:val="22"/>
            </w:rPr>
            <w:t>5</w:t>
          </w:r>
        </w:p>
        <w:p w14:paraId="59C021D3" w14:textId="5F3C12A3" w:rsidR="00CB6BA1" w:rsidRPr="002B1599" w:rsidRDefault="00CB6BA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6.</w:t>
          </w:r>
          <w:r w:rsidRPr="002B1599">
            <w:rPr>
              <w:rFonts w:ascii="Times New Roman" w:hAnsi="Times New Roman"/>
              <w:sz w:val="22"/>
              <w:szCs w:val="22"/>
            </w:rPr>
            <w:tab/>
          </w:r>
          <w:r w:rsidRPr="002B1599">
            <w:rPr>
              <w:rFonts w:ascii="Times New Roman" w:hAnsi="Times New Roman"/>
              <w:sz w:val="22"/>
              <w:szCs w:val="22"/>
              <w:u w:val="single"/>
            </w:rPr>
            <w:t>The Commission should not adopt Witness Gorman’s adjustments to the Company’s cost of debt.</w:t>
          </w:r>
          <w:r w:rsidRPr="002B1599">
            <w:rPr>
              <w:rFonts w:ascii="Times New Roman" w:hAnsi="Times New Roman"/>
              <w:sz w:val="22"/>
              <w:szCs w:val="22"/>
            </w:rPr>
            <w:ptab w:relativeTo="margin" w:alignment="right" w:leader="dot"/>
          </w:r>
          <w:r w:rsidR="00D16B17">
            <w:rPr>
              <w:rFonts w:ascii="Times New Roman" w:hAnsi="Times New Roman"/>
              <w:sz w:val="22"/>
              <w:szCs w:val="22"/>
            </w:rPr>
            <w:t>1</w:t>
          </w:r>
          <w:r w:rsidR="00C35262">
            <w:rPr>
              <w:rFonts w:ascii="Times New Roman" w:hAnsi="Times New Roman"/>
              <w:sz w:val="22"/>
              <w:szCs w:val="22"/>
            </w:rPr>
            <w:t>7</w:t>
          </w:r>
        </w:p>
        <w:p w14:paraId="050320CB" w14:textId="10103B4F" w:rsidR="00CB6BA1" w:rsidRPr="002B1599" w:rsidRDefault="00CB6BA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7.</w:t>
          </w:r>
          <w:r w:rsidRPr="002B1599">
            <w:rPr>
              <w:rFonts w:ascii="Times New Roman" w:hAnsi="Times New Roman"/>
              <w:sz w:val="22"/>
              <w:szCs w:val="22"/>
            </w:rPr>
            <w:tab/>
          </w:r>
          <w:r w:rsidRPr="002B1599">
            <w:rPr>
              <w:rFonts w:ascii="Times New Roman" w:hAnsi="Times New Roman"/>
              <w:sz w:val="22"/>
              <w:szCs w:val="22"/>
              <w:u w:val="single"/>
            </w:rPr>
            <w:t>Adopting PIA Staff’s recommendations will likely lead to credit downgrade.</w:t>
          </w:r>
          <w:r w:rsidRPr="002B1599">
            <w:rPr>
              <w:rFonts w:ascii="Times New Roman" w:hAnsi="Times New Roman"/>
              <w:sz w:val="22"/>
              <w:szCs w:val="22"/>
            </w:rPr>
            <w:ptab w:relativeTo="margin" w:alignment="right" w:leader="dot"/>
          </w:r>
          <w:r w:rsidR="00D16B17">
            <w:rPr>
              <w:rFonts w:ascii="Times New Roman" w:hAnsi="Times New Roman"/>
              <w:sz w:val="22"/>
              <w:szCs w:val="22"/>
            </w:rPr>
            <w:t>1</w:t>
          </w:r>
          <w:r w:rsidR="00C35262">
            <w:rPr>
              <w:rFonts w:ascii="Times New Roman" w:hAnsi="Times New Roman"/>
              <w:sz w:val="22"/>
              <w:szCs w:val="22"/>
            </w:rPr>
            <w:t>8</w:t>
          </w:r>
        </w:p>
        <w:p w14:paraId="2F36EE93" w14:textId="77777777" w:rsidR="00CB6BA1" w:rsidRPr="002B1599" w:rsidRDefault="00CB6BA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8.</w:t>
          </w:r>
          <w:r w:rsidRPr="002B1599">
            <w:rPr>
              <w:rFonts w:ascii="Times New Roman" w:hAnsi="Times New Roman"/>
              <w:sz w:val="22"/>
              <w:szCs w:val="22"/>
            </w:rPr>
            <w:tab/>
          </w:r>
          <w:r w:rsidRPr="002B1599">
            <w:rPr>
              <w:rFonts w:ascii="Times New Roman" w:hAnsi="Times New Roman"/>
              <w:sz w:val="22"/>
              <w:szCs w:val="22"/>
              <w:u w:val="single"/>
            </w:rPr>
            <w:t xml:space="preserve">The Company’s ability to manage its business to meet investor expectations ensures that </w:t>
          </w:r>
        </w:p>
        <w:p w14:paraId="4BD5904E" w14:textId="77777777" w:rsidR="00CB6BA1" w:rsidRPr="002B1599" w:rsidRDefault="00CB6BA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ab/>
          </w:r>
          <w:r w:rsidRPr="002B1599">
            <w:rPr>
              <w:rFonts w:ascii="Times New Roman" w:hAnsi="Times New Roman"/>
              <w:sz w:val="22"/>
              <w:szCs w:val="22"/>
              <w:u w:val="single"/>
            </w:rPr>
            <w:t xml:space="preserve">Georgia Power is in a financially healthy position to meet customer expectations as it </w:t>
          </w:r>
        </w:p>
        <w:p w14:paraId="7C7995E1" w14:textId="3827B24F" w:rsidR="00CB6BA1" w:rsidRPr="002B1599" w:rsidRDefault="00CB6BA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delivers clean, safe, reliable and affordable electric service.</w:t>
          </w:r>
          <w:r w:rsidRPr="002B1599">
            <w:rPr>
              <w:rFonts w:ascii="Times New Roman" w:hAnsi="Times New Roman"/>
              <w:sz w:val="22"/>
              <w:szCs w:val="22"/>
            </w:rPr>
            <w:ptab w:relativeTo="margin" w:alignment="right" w:leader="dot"/>
          </w:r>
          <w:r w:rsidR="00C35262">
            <w:rPr>
              <w:rFonts w:ascii="Times New Roman" w:hAnsi="Times New Roman"/>
              <w:sz w:val="22"/>
              <w:szCs w:val="22"/>
            </w:rPr>
            <w:t>20</w:t>
          </w:r>
        </w:p>
        <w:p w14:paraId="14434393" w14:textId="77777777" w:rsidR="009578E1" w:rsidRPr="002B1599" w:rsidRDefault="009578E1" w:rsidP="009578E1">
          <w:pPr>
            <w:pStyle w:val="TOC2"/>
            <w:spacing w:before="0"/>
            <w:ind w:left="720" w:hanging="504"/>
            <w:rPr>
              <w:b/>
              <w:i w:val="0"/>
              <w:sz w:val="22"/>
              <w:szCs w:val="22"/>
            </w:rPr>
          </w:pPr>
        </w:p>
        <w:p w14:paraId="71339944" w14:textId="315C40A3" w:rsidR="00CB6BA1" w:rsidRPr="002B1599" w:rsidRDefault="00CB6BA1" w:rsidP="009578E1">
          <w:pPr>
            <w:pStyle w:val="TOC2"/>
            <w:spacing w:before="0"/>
            <w:ind w:left="720" w:hanging="504"/>
            <w:rPr>
              <w:i w:val="0"/>
              <w:sz w:val="22"/>
              <w:szCs w:val="22"/>
            </w:rPr>
          </w:pPr>
          <w:r w:rsidRPr="002B1599">
            <w:rPr>
              <w:b/>
              <w:i w:val="0"/>
              <w:sz w:val="22"/>
              <w:szCs w:val="22"/>
            </w:rPr>
            <w:t>C.</w:t>
          </w:r>
          <w:r w:rsidRPr="002B1599">
            <w:rPr>
              <w:b/>
              <w:i w:val="0"/>
              <w:sz w:val="22"/>
              <w:szCs w:val="22"/>
            </w:rPr>
            <w:tab/>
          </w:r>
          <w:r w:rsidR="009502D5">
            <w:rPr>
              <w:b/>
              <w:i w:val="0"/>
              <w:sz w:val="22"/>
              <w:szCs w:val="22"/>
            </w:rPr>
            <w:t xml:space="preserve">The Company Will Not and Cannot Accept an ARP as Proposed by PIA Staff and Intervenors. </w:t>
          </w:r>
          <w:r w:rsidRPr="002B1599">
            <w:rPr>
              <w:i w:val="0"/>
              <w:sz w:val="22"/>
              <w:szCs w:val="22"/>
            </w:rPr>
            <w:ptab w:relativeTo="margin" w:alignment="right" w:leader="dot"/>
          </w:r>
          <w:r w:rsidR="00C35262">
            <w:rPr>
              <w:i w:val="0"/>
              <w:sz w:val="22"/>
              <w:szCs w:val="22"/>
            </w:rPr>
            <w:t>20</w:t>
          </w:r>
        </w:p>
        <w:p w14:paraId="6AD9AE9E" w14:textId="3FB4D0EE" w:rsidR="00CB6BA1" w:rsidRPr="002B1599" w:rsidRDefault="00CB6BA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w:t>
          </w:r>
          <w:r w:rsidRPr="002B1599">
            <w:rPr>
              <w:rFonts w:ascii="Times New Roman" w:hAnsi="Times New Roman"/>
              <w:sz w:val="22"/>
              <w:szCs w:val="22"/>
            </w:rPr>
            <w:tab/>
          </w:r>
          <w:r w:rsidRPr="002B1599">
            <w:rPr>
              <w:rFonts w:ascii="Times New Roman" w:hAnsi="Times New Roman"/>
              <w:sz w:val="22"/>
              <w:szCs w:val="22"/>
              <w:u w:val="single"/>
            </w:rPr>
            <w:t>Continuation of the Company’s current earnings band will retain many of the positive structural features of the ARP for customers’ benefit</w:t>
          </w:r>
          <w:r w:rsidR="00E56126" w:rsidRPr="002B1599">
            <w:rPr>
              <w:rFonts w:ascii="Times New Roman" w:hAnsi="Times New Roman"/>
              <w:sz w:val="22"/>
              <w:szCs w:val="22"/>
            </w:rPr>
            <w:t xml:space="preserve">. </w:t>
          </w:r>
          <w:r w:rsidRPr="002B1599">
            <w:rPr>
              <w:rFonts w:ascii="Times New Roman" w:hAnsi="Times New Roman"/>
              <w:sz w:val="22"/>
              <w:szCs w:val="22"/>
            </w:rPr>
            <w:ptab w:relativeTo="margin" w:alignment="right" w:leader="dot"/>
          </w:r>
          <w:r w:rsidR="00C35262">
            <w:rPr>
              <w:rFonts w:ascii="Times New Roman" w:hAnsi="Times New Roman"/>
              <w:sz w:val="22"/>
              <w:szCs w:val="22"/>
            </w:rPr>
            <w:t>21</w:t>
          </w:r>
        </w:p>
        <w:p w14:paraId="54C9852C" w14:textId="01B49E2D" w:rsidR="00CB6BA1" w:rsidRPr="002B1599" w:rsidRDefault="00E56126"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2.</w:t>
          </w:r>
          <w:r w:rsidR="00CB6BA1" w:rsidRPr="002B1599">
            <w:rPr>
              <w:rFonts w:ascii="Times New Roman" w:hAnsi="Times New Roman"/>
              <w:sz w:val="22"/>
              <w:szCs w:val="22"/>
            </w:rPr>
            <w:tab/>
          </w:r>
          <w:r w:rsidRPr="002B1599">
            <w:rPr>
              <w:rFonts w:ascii="Times New Roman" w:hAnsi="Times New Roman"/>
              <w:sz w:val="22"/>
              <w:szCs w:val="22"/>
              <w:u w:val="single"/>
            </w:rPr>
            <w:t>PIA Staff and Intervenor proposed changes to the earnings band completely eliminate Company incentives to innovate and seek efficiencies, thereby eliminating the resulting customer benefits.</w:t>
          </w:r>
          <w:r w:rsidR="00CB6BA1" w:rsidRPr="002B1599">
            <w:rPr>
              <w:rFonts w:ascii="Times New Roman" w:hAnsi="Times New Roman"/>
              <w:sz w:val="22"/>
              <w:szCs w:val="22"/>
            </w:rPr>
            <w:ptab w:relativeTo="margin" w:alignment="right" w:leader="dot"/>
          </w:r>
          <w:r w:rsidR="00C35262">
            <w:rPr>
              <w:rFonts w:ascii="Times New Roman" w:hAnsi="Times New Roman"/>
              <w:sz w:val="22"/>
              <w:szCs w:val="22"/>
            </w:rPr>
            <w:t>22</w:t>
          </w:r>
        </w:p>
        <w:p w14:paraId="0D7FC8E1" w14:textId="54BBEA49" w:rsidR="00E56126" w:rsidRPr="002B1599" w:rsidRDefault="00E56126" w:rsidP="009578E1">
          <w:pPr>
            <w:pStyle w:val="TOC2"/>
            <w:tabs>
              <w:tab w:val="clear" w:pos="720"/>
              <w:tab w:val="left" w:pos="1440"/>
            </w:tabs>
            <w:spacing w:before="0"/>
            <w:ind w:left="1440" w:hanging="360"/>
            <w:rPr>
              <w:sz w:val="22"/>
              <w:szCs w:val="22"/>
            </w:rPr>
          </w:pPr>
          <w:r w:rsidRPr="002B1599">
            <w:rPr>
              <w:iCs/>
              <w:sz w:val="22"/>
              <w:szCs w:val="22"/>
            </w:rPr>
            <w:t>a.</w:t>
          </w:r>
          <w:r w:rsidRPr="002B1599">
            <w:rPr>
              <w:iCs/>
              <w:sz w:val="22"/>
              <w:szCs w:val="22"/>
            </w:rPr>
            <w:tab/>
            <w:t xml:space="preserve">The earnings sharing mechanism should not be eliminated and PIA </w:t>
          </w:r>
          <w:r w:rsidR="008A446D">
            <w:rPr>
              <w:iCs/>
              <w:sz w:val="22"/>
              <w:szCs w:val="22"/>
            </w:rPr>
            <w:t>S</w:t>
          </w:r>
          <w:r w:rsidR="008A446D" w:rsidRPr="002B1599">
            <w:rPr>
              <w:iCs/>
              <w:sz w:val="22"/>
              <w:szCs w:val="22"/>
            </w:rPr>
            <w:t xml:space="preserve">taff’s </w:t>
          </w:r>
          <w:r w:rsidRPr="002B1599">
            <w:rPr>
              <w:iCs/>
              <w:sz w:val="22"/>
              <w:szCs w:val="22"/>
            </w:rPr>
            <w:t xml:space="preserve">proposed earnings cap should be rejected. </w:t>
          </w:r>
          <w:r w:rsidRPr="002B1599">
            <w:rPr>
              <w:sz w:val="22"/>
              <w:szCs w:val="22"/>
            </w:rPr>
            <w:ptab w:relativeTo="margin" w:alignment="right" w:leader="dot"/>
          </w:r>
          <w:r w:rsidR="00C35262" w:rsidRPr="00C35262">
            <w:rPr>
              <w:i w:val="0"/>
              <w:sz w:val="22"/>
              <w:szCs w:val="22"/>
            </w:rPr>
            <w:t>22</w:t>
          </w:r>
        </w:p>
        <w:p w14:paraId="7A4A24BE" w14:textId="4D4BE16F" w:rsidR="00E56126" w:rsidRPr="002B1599" w:rsidRDefault="00E56126" w:rsidP="009578E1">
          <w:pPr>
            <w:pStyle w:val="TOC2"/>
            <w:tabs>
              <w:tab w:val="clear" w:pos="720"/>
              <w:tab w:val="left" w:pos="1440"/>
            </w:tabs>
            <w:spacing w:before="0"/>
            <w:ind w:left="1440" w:hanging="360"/>
            <w:rPr>
              <w:sz w:val="22"/>
              <w:szCs w:val="22"/>
            </w:rPr>
          </w:pPr>
          <w:r w:rsidRPr="002B1599">
            <w:rPr>
              <w:iCs/>
              <w:sz w:val="22"/>
              <w:szCs w:val="22"/>
            </w:rPr>
            <w:t>b.</w:t>
          </w:r>
          <w:r w:rsidRPr="002B1599">
            <w:rPr>
              <w:iCs/>
              <w:sz w:val="22"/>
              <w:szCs w:val="22"/>
            </w:rPr>
            <w:tab/>
            <w:t xml:space="preserve">The </w:t>
          </w:r>
          <w:r w:rsidR="009502D5">
            <w:rPr>
              <w:iCs/>
              <w:sz w:val="22"/>
              <w:szCs w:val="22"/>
            </w:rPr>
            <w:t xml:space="preserve">Company </w:t>
          </w:r>
          <w:r w:rsidR="00150189">
            <w:rPr>
              <w:iCs/>
              <w:sz w:val="22"/>
              <w:szCs w:val="22"/>
            </w:rPr>
            <w:t>will</w:t>
          </w:r>
          <w:r w:rsidR="009502D5">
            <w:rPr>
              <w:iCs/>
              <w:sz w:val="22"/>
              <w:szCs w:val="22"/>
            </w:rPr>
            <w:t xml:space="preserve"> not accept a narrowed </w:t>
          </w:r>
          <w:r w:rsidRPr="002B1599">
            <w:rPr>
              <w:iCs/>
              <w:sz w:val="22"/>
              <w:szCs w:val="22"/>
            </w:rPr>
            <w:t>earnings band</w:t>
          </w:r>
          <w:r w:rsidR="00031345">
            <w:rPr>
              <w:iCs/>
              <w:sz w:val="22"/>
              <w:szCs w:val="22"/>
            </w:rPr>
            <w:t xml:space="preserve"> </w:t>
          </w:r>
          <w:r w:rsidRPr="002B1599">
            <w:rPr>
              <w:iCs/>
              <w:sz w:val="22"/>
              <w:szCs w:val="22"/>
            </w:rPr>
            <w:t xml:space="preserve">as recommended by </w:t>
          </w:r>
          <w:r w:rsidR="00031345">
            <w:rPr>
              <w:iCs/>
              <w:sz w:val="22"/>
              <w:szCs w:val="22"/>
            </w:rPr>
            <w:t xml:space="preserve">DOD </w:t>
          </w:r>
          <w:r w:rsidRPr="002B1599">
            <w:rPr>
              <w:iCs/>
              <w:sz w:val="22"/>
              <w:szCs w:val="22"/>
            </w:rPr>
            <w:t>Witness Blank.</w:t>
          </w:r>
          <w:r w:rsidRPr="002B1599">
            <w:rPr>
              <w:sz w:val="22"/>
              <w:szCs w:val="22"/>
            </w:rPr>
            <w:ptab w:relativeTo="margin" w:alignment="right" w:leader="dot"/>
          </w:r>
          <w:r w:rsidR="00C35262" w:rsidRPr="00C35262">
            <w:rPr>
              <w:i w:val="0"/>
              <w:sz w:val="22"/>
              <w:szCs w:val="22"/>
            </w:rPr>
            <w:t>22</w:t>
          </w:r>
        </w:p>
        <w:p w14:paraId="738FCE8B" w14:textId="5D01AECF" w:rsidR="00E56126" w:rsidRPr="002B1599" w:rsidRDefault="00E56126" w:rsidP="009578E1">
          <w:pPr>
            <w:pStyle w:val="TOC2"/>
            <w:tabs>
              <w:tab w:val="clear" w:pos="720"/>
              <w:tab w:val="left" w:pos="1440"/>
            </w:tabs>
            <w:spacing w:before="0"/>
            <w:ind w:left="1440" w:hanging="360"/>
            <w:rPr>
              <w:sz w:val="22"/>
              <w:szCs w:val="22"/>
            </w:rPr>
          </w:pPr>
          <w:r w:rsidRPr="002B1599">
            <w:rPr>
              <w:iCs/>
              <w:sz w:val="22"/>
              <w:szCs w:val="22"/>
            </w:rPr>
            <w:t>c.</w:t>
          </w:r>
          <w:r w:rsidRPr="002B1599">
            <w:rPr>
              <w:iCs/>
              <w:sz w:val="22"/>
              <w:szCs w:val="22"/>
            </w:rPr>
            <w:tab/>
            <w:t>The Company’s recovery below the earnings band should not be limited to 2/3 of the under-recovered amount as proposed by Commercial Group Witness Chriss.</w:t>
          </w:r>
          <w:r w:rsidRPr="002B1599">
            <w:rPr>
              <w:sz w:val="22"/>
              <w:szCs w:val="22"/>
            </w:rPr>
            <w:ptab w:relativeTo="margin" w:alignment="right" w:leader="dot"/>
          </w:r>
          <w:r w:rsidR="00C35262" w:rsidRPr="00C35262">
            <w:rPr>
              <w:i w:val="0"/>
              <w:sz w:val="22"/>
              <w:szCs w:val="22"/>
            </w:rPr>
            <w:t>23</w:t>
          </w:r>
        </w:p>
        <w:p w14:paraId="6A587435" w14:textId="15E80F64" w:rsidR="00CB6BA1" w:rsidRPr="002B1599" w:rsidRDefault="00E56126"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3</w:t>
          </w:r>
          <w:r w:rsidR="00CB6BA1" w:rsidRPr="002B1599">
            <w:rPr>
              <w:rFonts w:ascii="Times New Roman" w:hAnsi="Times New Roman"/>
              <w:sz w:val="22"/>
              <w:szCs w:val="22"/>
            </w:rPr>
            <w:t>.</w:t>
          </w:r>
          <w:r w:rsidR="00CB6BA1" w:rsidRPr="002B1599">
            <w:rPr>
              <w:rFonts w:ascii="Times New Roman" w:hAnsi="Times New Roman"/>
              <w:sz w:val="22"/>
              <w:szCs w:val="22"/>
            </w:rPr>
            <w:tab/>
          </w:r>
          <w:r w:rsidRPr="002B1599">
            <w:rPr>
              <w:rFonts w:ascii="Times New Roman" w:hAnsi="Times New Roman"/>
              <w:sz w:val="22"/>
              <w:szCs w:val="22"/>
              <w:u w:val="single"/>
            </w:rPr>
            <w:t>Customers benefit from the Commission’s adoption of an ARP.</w:t>
          </w:r>
          <w:r w:rsidR="00CB6BA1" w:rsidRPr="002B1599">
            <w:rPr>
              <w:rFonts w:ascii="Times New Roman" w:hAnsi="Times New Roman"/>
              <w:sz w:val="22"/>
              <w:szCs w:val="22"/>
            </w:rPr>
            <w:ptab w:relativeTo="margin" w:alignment="right" w:leader="dot"/>
          </w:r>
          <w:r w:rsidR="00D16B17">
            <w:rPr>
              <w:rFonts w:ascii="Times New Roman" w:hAnsi="Times New Roman"/>
              <w:sz w:val="22"/>
              <w:szCs w:val="22"/>
            </w:rPr>
            <w:t>2</w:t>
          </w:r>
          <w:r w:rsidR="00C35262">
            <w:rPr>
              <w:rFonts w:ascii="Times New Roman" w:hAnsi="Times New Roman"/>
              <w:sz w:val="22"/>
              <w:szCs w:val="22"/>
            </w:rPr>
            <w:t>3</w:t>
          </w:r>
        </w:p>
        <w:p w14:paraId="30CAC714" w14:textId="77777777" w:rsidR="009578E1" w:rsidRPr="002B1599" w:rsidRDefault="009578E1" w:rsidP="009578E1">
          <w:pPr>
            <w:pStyle w:val="TOC2"/>
            <w:spacing w:before="0"/>
            <w:ind w:left="720" w:hanging="504"/>
            <w:rPr>
              <w:b/>
              <w:i w:val="0"/>
              <w:sz w:val="22"/>
              <w:szCs w:val="22"/>
            </w:rPr>
          </w:pPr>
        </w:p>
        <w:p w14:paraId="1BA53D26" w14:textId="77777777" w:rsidR="00D16B17" w:rsidRDefault="00CB6BA1" w:rsidP="00D16B17">
          <w:pPr>
            <w:pStyle w:val="TOC2"/>
            <w:keepNext/>
            <w:widowControl/>
            <w:spacing w:before="0"/>
            <w:ind w:left="720" w:hanging="504"/>
            <w:rPr>
              <w:b/>
              <w:i w:val="0"/>
              <w:sz w:val="22"/>
              <w:szCs w:val="22"/>
            </w:rPr>
          </w:pPr>
          <w:r w:rsidRPr="002B1599">
            <w:rPr>
              <w:b/>
              <w:i w:val="0"/>
              <w:sz w:val="22"/>
              <w:szCs w:val="22"/>
            </w:rPr>
            <w:lastRenderedPageBreak/>
            <w:t>D.</w:t>
          </w:r>
          <w:r w:rsidRPr="002B1599">
            <w:rPr>
              <w:b/>
              <w:i w:val="0"/>
              <w:sz w:val="22"/>
              <w:szCs w:val="22"/>
            </w:rPr>
            <w:tab/>
          </w:r>
          <w:r w:rsidR="00E56126" w:rsidRPr="002B1599">
            <w:rPr>
              <w:b/>
              <w:i w:val="0"/>
              <w:sz w:val="22"/>
              <w:szCs w:val="22"/>
            </w:rPr>
            <w:t xml:space="preserve">The Commission Should Reject PIA Staff and Intervenor Recommendations Limiting </w:t>
          </w:r>
        </w:p>
        <w:p w14:paraId="607290A7" w14:textId="77777777" w:rsidR="00D16B17" w:rsidRDefault="00D16B17" w:rsidP="00D16B17">
          <w:pPr>
            <w:pStyle w:val="TOC2"/>
            <w:keepNext/>
            <w:widowControl/>
            <w:spacing w:before="0"/>
            <w:ind w:left="720" w:hanging="504"/>
            <w:rPr>
              <w:b/>
              <w:i w:val="0"/>
              <w:sz w:val="22"/>
              <w:szCs w:val="22"/>
            </w:rPr>
          </w:pPr>
          <w:r>
            <w:rPr>
              <w:b/>
              <w:i w:val="0"/>
              <w:sz w:val="22"/>
              <w:szCs w:val="22"/>
            </w:rPr>
            <w:tab/>
          </w:r>
          <w:r w:rsidR="00E56126" w:rsidRPr="002B1599">
            <w:rPr>
              <w:b/>
              <w:i w:val="0"/>
              <w:sz w:val="22"/>
              <w:szCs w:val="22"/>
            </w:rPr>
            <w:t>the Company’s Ability to Fully Recover and Earn a Return on Prudently Incurred</w:t>
          </w:r>
        </w:p>
        <w:p w14:paraId="6FCE65DC" w14:textId="77777777" w:rsidR="00D16B17" w:rsidRDefault="00D16B17" w:rsidP="00D16B17">
          <w:pPr>
            <w:pStyle w:val="TOC2"/>
            <w:keepNext/>
            <w:widowControl/>
            <w:spacing w:before="0"/>
            <w:ind w:left="720" w:hanging="504"/>
            <w:rPr>
              <w:b/>
              <w:i w:val="0"/>
              <w:sz w:val="22"/>
              <w:szCs w:val="22"/>
            </w:rPr>
          </w:pPr>
          <w:r>
            <w:rPr>
              <w:b/>
              <w:i w:val="0"/>
              <w:sz w:val="22"/>
              <w:szCs w:val="22"/>
            </w:rPr>
            <w:tab/>
          </w:r>
          <w:r w:rsidR="00E56126" w:rsidRPr="002B1599">
            <w:rPr>
              <w:b/>
              <w:i w:val="0"/>
              <w:sz w:val="22"/>
              <w:szCs w:val="22"/>
            </w:rPr>
            <w:t xml:space="preserve">CCR ARO Compliance Costs and Removing Contingency from the Company’s </w:t>
          </w:r>
        </w:p>
        <w:p w14:paraId="6BEE1EEC" w14:textId="47640B8B" w:rsidR="00CB6BA1" w:rsidRPr="002B1599" w:rsidRDefault="00D16B17" w:rsidP="00D16B17">
          <w:pPr>
            <w:pStyle w:val="TOC2"/>
            <w:keepNext/>
            <w:widowControl/>
            <w:spacing w:before="0"/>
            <w:ind w:left="720" w:hanging="504"/>
            <w:rPr>
              <w:sz w:val="22"/>
              <w:szCs w:val="22"/>
            </w:rPr>
          </w:pPr>
          <w:r>
            <w:rPr>
              <w:b/>
              <w:i w:val="0"/>
              <w:sz w:val="22"/>
              <w:szCs w:val="22"/>
            </w:rPr>
            <w:tab/>
          </w:r>
          <w:r w:rsidR="00E56126" w:rsidRPr="002B1599">
            <w:rPr>
              <w:b/>
              <w:i w:val="0"/>
              <w:sz w:val="22"/>
              <w:szCs w:val="22"/>
            </w:rPr>
            <w:t>CCR ARO and ECCR Estimates.</w:t>
          </w:r>
          <w:r w:rsidR="00CB6BA1" w:rsidRPr="002B1599">
            <w:rPr>
              <w:i w:val="0"/>
              <w:sz w:val="22"/>
              <w:szCs w:val="22"/>
            </w:rPr>
            <w:ptab w:relativeTo="margin" w:alignment="right" w:leader="dot"/>
          </w:r>
          <w:r>
            <w:rPr>
              <w:i w:val="0"/>
              <w:sz w:val="22"/>
              <w:szCs w:val="22"/>
            </w:rPr>
            <w:t>2</w:t>
          </w:r>
          <w:r w:rsidR="00C35262">
            <w:rPr>
              <w:i w:val="0"/>
              <w:sz w:val="22"/>
              <w:szCs w:val="22"/>
            </w:rPr>
            <w:t>4</w:t>
          </w:r>
        </w:p>
        <w:p w14:paraId="0B1ABCEF" w14:textId="13F56F02" w:rsidR="00E56126" w:rsidRPr="002B1599"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w:t>
          </w:r>
          <w:r w:rsidRPr="002B1599">
            <w:rPr>
              <w:rFonts w:ascii="Times New Roman" w:hAnsi="Times New Roman"/>
              <w:sz w:val="22"/>
              <w:szCs w:val="22"/>
            </w:rPr>
            <w:tab/>
          </w:r>
          <w:r w:rsidRPr="002B1599">
            <w:rPr>
              <w:rFonts w:ascii="Times New Roman" w:hAnsi="Times New Roman"/>
              <w:sz w:val="22"/>
              <w:szCs w:val="22"/>
              <w:u w:val="single"/>
            </w:rPr>
            <w:t>The Commission should adopt the Company’s proposed recovery plan for CCR ARO compliance costs.</w:t>
          </w:r>
          <w:r w:rsidRPr="002B1599">
            <w:rPr>
              <w:rFonts w:ascii="Times New Roman" w:hAnsi="Times New Roman"/>
              <w:sz w:val="22"/>
              <w:szCs w:val="22"/>
            </w:rPr>
            <w:t xml:space="preserve">. </w:t>
          </w:r>
          <w:r w:rsidRPr="002B1599">
            <w:rPr>
              <w:rFonts w:ascii="Times New Roman" w:hAnsi="Times New Roman"/>
              <w:sz w:val="22"/>
              <w:szCs w:val="22"/>
            </w:rPr>
            <w:ptab w:relativeTo="margin" w:alignment="right" w:leader="dot"/>
          </w:r>
          <w:r w:rsidR="00D16B17">
            <w:rPr>
              <w:rFonts w:ascii="Times New Roman" w:hAnsi="Times New Roman"/>
              <w:sz w:val="22"/>
              <w:szCs w:val="22"/>
            </w:rPr>
            <w:t>2</w:t>
          </w:r>
          <w:r w:rsidR="00C35262">
            <w:rPr>
              <w:rFonts w:ascii="Times New Roman" w:hAnsi="Times New Roman"/>
              <w:sz w:val="22"/>
              <w:szCs w:val="22"/>
            </w:rPr>
            <w:t>4</w:t>
          </w:r>
        </w:p>
        <w:p w14:paraId="1BCED1BA" w14:textId="0D355AE7" w:rsidR="00E56126" w:rsidRPr="002B1599"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2.</w:t>
          </w:r>
          <w:r w:rsidRPr="002B1599">
            <w:rPr>
              <w:rFonts w:ascii="Times New Roman" w:hAnsi="Times New Roman"/>
              <w:sz w:val="22"/>
              <w:szCs w:val="22"/>
            </w:rPr>
            <w:tab/>
          </w:r>
          <w:r w:rsidRPr="002B1599">
            <w:rPr>
              <w:rFonts w:ascii="Times New Roman" w:hAnsi="Times New Roman"/>
              <w:sz w:val="22"/>
              <w:szCs w:val="22"/>
              <w:u w:val="single"/>
            </w:rPr>
            <w:t xml:space="preserve">The Company’s ability to </w:t>
          </w:r>
          <w:r w:rsidR="00031345">
            <w:rPr>
              <w:rFonts w:ascii="Times New Roman" w:hAnsi="Times New Roman"/>
              <w:sz w:val="22"/>
              <w:szCs w:val="22"/>
              <w:u w:val="single"/>
            </w:rPr>
            <w:t xml:space="preserve">fully recover the debt and equity financing costs </w:t>
          </w:r>
          <w:r w:rsidRPr="002B1599">
            <w:rPr>
              <w:rFonts w:ascii="Times New Roman" w:hAnsi="Times New Roman"/>
              <w:sz w:val="22"/>
              <w:szCs w:val="22"/>
              <w:u w:val="single"/>
            </w:rPr>
            <w:t xml:space="preserve">on under-recovered CCR ARO compliance costs should not be limited to a </w:t>
          </w:r>
          <w:r w:rsidR="00031345">
            <w:rPr>
              <w:rFonts w:ascii="Times New Roman" w:hAnsi="Times New Roman"/>
              <w:sz w:val="22"/>
              <w:szCs w:val="22"/>
              <w:u w:val="single"/>
            </w:rPr>
            <w:t>c</w:t>
          </w:r>
          <w:r w:rsidRPr="002B1599">
            <w:rPr>
              <w:rFonts w:ascii="Times New Roman" w:hAnsi="Times New Roman"/>
              <w:sz w:val="22"/>
              <w:szCs w:val="22"/>
              <w:u w:val="single"/>
            </w:rPr>
            <w:t xml:space="preserve">ost of </w:t>
          </w:r>
          <w:r w:rsidR="00031345">
            <w:rPr>
              <w:rFonts w:ascii="Times New Roman" w:hAnsi="Times New Roman"/>
              <w:sz w:val="22"/>
              <w:szCs w:val="22"/>
              <w:u w:val="single"/>
            </w:rPr>
            <w:t>d</w:t>
          </w:r>
          <w:r w:rsidRPr="002B1599">
            <w:rPr>
              <w:rFonts w:ascii="Times New Roman" w:hAnsi="Times New Roman"/>
              <w:sz w:val="22"/>
              <w:szCs w:val="22"/>
              <w:u w:val="single"/>
            </w:rPr>
            <w:t xml:space="preserve">ebt </w:t>
          </w:r>
          <w:r w:rsidR="00031345">
            <w:rPr>
              <w:rFonts w:ascii="Times New Roman" w:hAnsi="Times New Roman"/>
              <w:sz w:val="22"/>
              <w:szCs w:val="22"/>
              <w:u w:val="single"/>
            </w:rPr>
            <w:t>r</w:t>
          </w:r>
          <w:r w:rsidRPr="002B1599">
            <w:rPr>
              <w:rFonts w:ascii="Times New Roman" w:hAnsi="Times New Roman"/>
              <w:sz w:val="22"/>
              <w:szCs w:val="22"/>
              <w:u w:val="single"/>
            </w:rPr>
            <w:t>eturn as proposed by PIA Staff and certain Intervenors.</w:t>
          </w:r>
          <w:r w:rsidRPr="002B1599">
            <w:rPr>
              <w:rFonts w:ascii="Times New Roman" w:hAnsi="Times New Roman"/>
              <w:sz w:val="22"/>
              <w:szCs w:val="22"/>
            </w:rPr>
            <w:t>.</w:t>
          </w:r>
          <w:r w:rsidRPr="002B1599">
            <w:rPr>
              <w:rFonts w:ascii="Times New Roman" w:hAnsi="Times New Roman"/>
              <w:sz w:val="22"/>
              <w:szCs w:val="22"/>
            </w:rPr>
            <w:ptab w:relativeTo="margin" w:alignment="right" w:leader="dot"/>
          </w:r>
          <w:r w:rsidR="00D16B17">
            <w:rPr>
              <w:rFonts w:ascii="Times New Roman" w:hAnsi="Times New Roman"/>
              <w:sz w:val="22"/>
              <w:szCs w:val="22"/>
            </w:rPr>
            <w:t>2</w:t>
          </w:r>
          <w:r w:rsidR="00C35262">
            <w:rPr>
              <w:rFonts w:ascii="Times New Roman" w:hAnsi="Times New Roman"/>
              <w:sz w:val="22"/>
              <w:szCs w:val="22"/>
            </w:rPr>
            <w:t>6</w:t>
          </w:r>
        </w:p>
        <w:p w14:paraId="4EDCFB89" w14:textId="575A85DF" w:rsidR="003867D0" w:rsidRPr="005169A6" w:rsidRDefault="003867D0" w:rsidP="003867D0">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3.</w:t>
          </w:r>
          <w:r w:rsidRPr="002B1599">
            <w:rPr>
              <w:rFonts w:ascii="Times New Roman" w:hAnsi="Times New Roman"/>
              <w:sz w:val="22"/>
              <w:szCs w:val="22"/>
            </w:rPr>
            <w:tab/>
          </w:r>
          <w:r w:rsidRPr="009928A3">
            <w:rPr>
              <w:rFonts w:ascii="Times New Roman" w:hAnsi="Times New Roman"/>
              <w:sz w:val="22"/>
              <w:szCs w:val="22"/>
              <w:u w:val="single"/>
            </w:rPr>
            <w:t>The Commission should adopt the three-year recovery period proposed by</w:t>
          </w:r>
          <w:r w:rsidR="00031345">
            <w:rPr>
              <w:rFonts w:ascii="Times New Roman" w:hAnsi="Times New Roman"/>
              <w:sz w:val="22"/>
              <w:szCs w:val="22"/>
              <w:u w:val="single"/>
            </w:rPr>
            <w:t xml:space="preserve"> </w:t>
          </w:r>
          <w:r w:rsidRPr="009928A3">
            <w:rPr>
              <w:rFonts w:ascii="Times New Roman" w:hAnsi="Times New Roman"/>
              <w:sz w:val="22"/>
              <w:szCs w:val="22"/>
              <w:u w:val="single"/>
            </w:rPr>
            <w:t>the Company</w:t>
          </w:r>
          <w:r w:rsidR="00031345">
            <w:rPr>
              <w:rFonts w:ascii="Times New Roman" w:hAnsi="Times New Roman"/>
              <w:sz w:val="22"/>
              <w:szCs w:val="22"/>
              <w:u w:val="single"/>
            </w:rPr>
            <w:t xml:space="preserve"> and agreed to by PIA Staff</w:t>
          </w:r>
          <w:r w:rsidRPr="009928A3">
            <w:rPr>
              <w:rFonts w:ascii="Times New Roman" w:hAnsi="Times New Roman"/>
              <w:sz w:val="22"/>
              <w:szCs w:val="22"/>
              <w:u w:val="single"/>
            </w:rPr>
            <w:t>.</w:t>
          </w:r>
          <w:r w:rsidRPr="002B1599">
            <w:rPr>
              <w:rFonts w:ascii="Times New Roman" w:hAnsi="Times New Roman"/>
              <w:sz w:val="22"/>
              <w:szCs w:val="22"/>
            </w:rPr>
            <w:ptab w:relativeTo="margin" w:alignment="right" w:leader="dot"/>
          </w:r>
          <w:r w:rsidR="00C35262">
            <w:rPr>
              <w:rFonts w:ascii="Times New Roman" w:hAnsi="Times New Roman"/>
              <w:sz w:val="22"/>
              <w:szCs w:val="22"/>
            </w:rPr>
            <w:t>31</w:t>
          </w:r>
        </w:p>
        <w:p w14:paraId="70D5A7B4" w14:textId="614DB953" w:rsidR="00E56126" w:rsidRPr="002B1599" w:rsidRDefault="003867D0" w:rsidP="009578E1">
          <w:pPr>
            <w:tabs>
              <w:tab w:val="left" w:pos="1080"/>
            </w:tabs>
            <w:ind w:left="1080" w:hanging="360"/>
            <w:rPr>
              <w:rFonts w:ascii="Times New Roman" w:hAnsi="Times New Roman"/>
              <w:sz w:val="22"/>
              <w:szCs w:val="22"/>
              <w:u w:val="single"/>
            </w:rPr>
          </w:pPr>
          <w:r>
            <w:rPr>
              <w:rFonts w:ascii="Times New Roman" w:hAnsi="Times New Roman"/>
              <w:sz w:val="22"/>
              <w:szCs w:val="22"/>
            </w:rPr>
            <w:t>4</w:t>
          </w:r>
          <w:r w:rsidR="00E56126" w:rsidRPr="002B1599">
            <w:rPr>
              <w:rFonts w:ascii="Times New Roman" w:hAnsi="Times New Roman"/>
              <w:sz w:val="22"/>
              <w:szCs w:val="22"/>
            </w:rPr>
            <w:t>.</w:t>
          </w:r>
          <w:r w:rsidR="00E56126" w:rsidRPr="002B1599">
            <w:rPr>
              <w:rFonts w:ascii="Times New Roman" w:hAnsi="Times New Roman"/>
              <w:sz w:val="22"/>
              <w:szCs w:val="22"/>
            </w:rPr>
            <w:tab/>
          </w:r>
          <w:r w:rsidR="00E56126" w:rsidRPr="002B1599">
            <w:rPr>
              <w:rFonts w:ascii="Times New Roman" w:hAnsi="Times New Roman"/>
              <w:sz w:val="22"/>
              <w:szCs w:val="22"/>
              <w:u w:val="single"/>
            </w:rPr>
            <w:t xml:space="preserve">Including contingency in the Company’s estimates for CCR AROs and the ECCR tariff is </w:t>
          </w:r>
        </w:p>
        <w:p w14:paraId="3F917B5F" w14:textId="77777777" w:rsidR="00E56126" w:rsidRPr="002B1599"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ab/>
          </w:r>
          <w:r w:rsidRPr="002B1599">
            <w:rPr>
              <w:rFonts w:ascii="Times New Roman" w:hAnsi="Times New Roman"/>
              <w:sz w:val="22"/>
              <w:szCs w:val="22"/>
              <w:u w:val="single"/>
            </w:rPr>
            <w:t xml:space="preserve">not only consistent with the Company’s past practice but best practice in the industry for </w:t>
          </w:r>
        </w:p>
        <w:p w14:paraId="69914BB3" w14:textId="25871C96" w:rsidR="00EC0096" w:rsidRDefault="00E56126"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large, non-routine projects like those included in this case.</w:t>
          </w:r>
          <w:r w:rsidRPr="002B1599">
            <w:rPr>
              <w:rFonts w:ascii="Times New Roman" w:hAnsi="Times New Roman"/>
              <w:sz w:val="22"/>
              <w:szCs w:val="22"/>
            </w:rPr>
            <w:ptab w:relativeTo="margin" w:alignment="right" w:leader="dot"/>
          </w:r>
          <w:r w:rsidR="00C35262">
            <w:rPr>
              <w:rFonts w:ascii="Times New Roman" w:hAnsi="Times New Roman"/>
              <w:sz w:val="22"/>
              <w:szCs w:val="22"/>
            </w:rPr>
            <w:t>31</w:t>
          </w:r>
        </w:p>
        <w:p w14:paraId="74ABCE40" w14:textId="55867A8E" w:rsidR="00E56126" w:rsidRPr="002B1599" w:rsidRDefault="00EC0096" w:rsidP="009578E1">
          <w:pPr>
            <w:tabs>
              <w:tab w:val="left" w:pos="1080"/>
            </w:tabs>
            <w:ind w:left="1080" w:hanging="360"/>
            <w:rPr>
              <w:rFonts w:ascii="Times New Roman" w:hAnsi="Times New Roman"/>
              <w:sz w:val="22"/>
              <w:szCs w:val="22"/>
              <w:u w:val="single"/>
            </w:rPr>
          </w:pPr>
          <w:r>
            <w:rPr>
              <w:rFonts w:ascii="Times New Roman" w:hAnsi="Times New Roman"/>
              <w:sz w:val="22"/>
              <w:szCs w:val="22"/>
            </w:rPr>
            <w:t>5</w:t>
          </w:r>
          <w:r w:rsidR="00E56126" w:rsidRPr="002B1599">
            <w:rPr>
              <w:rFonts w:ascii="Times New Roman" w:hAnsi="Times New Roman"/>
              <w:sz w:val="22"/>
              <w:szCs w:val="22"/>
            </w:rPr>
            <w:t>.</w:t>
          </w:r>
          <w:r w:rsidR="00E56126" w:rsidRPr="002B1599">
            <w:rPr>
              <w:rFonts w:ascii="Times New Roman" w:hAnsi="Times New Roman"/>
              <w:sz w:val="22"/>
              <w:szCs w:val="22"/>
            </w:rPr>
            <w:tab/>
          </w:r>
          <w:r w:rsidR="00E56126" w:rsidRPr="002B1599">
            <w:rPr>
              <w:rFonts w:ascii="Times New Roman" w:hAnsi="Times New Roman"/>
              <w:sz w:val="22"/>
              <w:szCs w:val="22"/>
              <w:u w:val="single"/>
            </w:rPr>
            <w:t>The Commission should reject Intervenor recommendations for separate proceedings or alternate recovery mechanisms for the Company’s CCR ARO compliance costs.</w:t>
          </w:r>
          <w:r w:rsidR="00E56126" w:rsidRPr="002B1599">
            <w:rPr>
              <w:rFonts w:ascii="Times New Roman" w:hAnsi="Times New Roman"/>
              <w:sz w:val="22"/>
              <w:szCs w:val="22"/>
            </w:rPr>
            <w:ptab w:relativeTo="margin" w:alignment="right" w:leader="dot"/>
          </w:r>
          <w:r w:rsidR="00C35262">
            <w:rPr>
              <w:rFonts w:ascii="Times New Roman" w:hAnsi="Times New Roman"/>
              <w:sz w:val="22"/>
              <w:szCs w:val="22"/>
            </w:rPr>
            <w:t>33</w:t>
          </w:r>
        </w:p>
        <w:p w14:paraId="3D664ED9" w14:textId="27BE488D" w:rsidR="00D16B17" w:rsidRDefault="003867D0" w:rsidP="009578E1">
          <w:pPr>
            <w:tabs>
              <w:tab w:val="left" w:pos="1080"/>
            </w:tabs>
            <w:ind w:left="1080" w:hanging="360"/>
            <w:rPr>
              <w:rFonts w:ascii="Times New Roman" w:hAnsi="Times New Roman"/>
              <w:sz w:val="22"/>
              <w:szCs w:val="22"/>
              <w:u w:val="single"/>
            </w:rPr>
          </w:pPr>
          <w:r>
            <w:rPr>
              <w:rFonts w:ascii="Times New Roman" w:hAnsi="Times New Roman"/>
              <w:sz w:val="22"/>
              <w:szCs w:val="22"/>
            </w:rPr>
            <w:t>6</w:t>
          </w:r>
          <w:r w:rsidR="00E56126" w:rsidRPr="002B1599">
            <w:rPr>
              <w:rFonts w:ascii="Times New Roman" w:hAnsi="Times New Roman"/>
              <w:sz w:val="22"/>
              <w:szCs w:val="22"/>
            </w:rPr>
            <w:t>.</w:t>
          </w:r>
          <w:r w:rsidR="00E56126" w:rsidRPr="002B1599">
            <w:rPr>
              <w:rFonts w:ascii="Times New Roman" w:hAnsi="Times New Roman"/>
              <w:sz w:val="22"/>
              <w:szCs w:val="22"/>
            </w:rPr>
            <w:tab/>
          </w:r>
          <w:r w:rsidR="00E56126" w:rsidRPr="002B1599">
            <w:rPr>
              <w:rFonts w:ascii="Times New Roman" w:hAnsi="Times New Roman"/>
              <w:sz w:val="22"/>
              <w:szCs w:val="22"/>
              <w:u w:val="single"/>
            </w:rPr>
            <w:t xml:space="preserve">Georgia Power’s Environmental Compliance Strategy (“ECS”), including the plan to close the Company’s ash ponds and landfills, was </w:t>
          </w:r>
          <w:r w:rsidR="002B0FF7">
            <w:rPr>
              <w:rFonts w:ascii="Times New Roman" w:hAnsi="Times New Roman"/>
              <w:sz w:val="22"/>
              <w:szCs w:val="22"/>
              <w:u w:val="single"/>
            </w:rPr>
            <w:t>approved</w:t>
          </w:r>
          <w:r w:rsidR="00E56126" w:rsidRPr="002B1599">
            <w:rPr>
              <w:rFonts w:ascii="Times New Roman" w:hAnsi="Times New Roman"/>
              <w:sz w:val="22"/>
              <w:szCs w:val="22"/>
              <w:u w:val="single"/>
            </w:rPr>
            <w:t xml:space="preserve"> in the Company’s 2019 IRP and the </w:t>
          </w:r>
        </w:p>
        <w:p w14:paraId="0019D6C0" w14:textId="77777777" w:rsidR="00D16B17" w:rsidRDefault="00D16B17" w:rsidP="009578E1">
          <w:pPr>
            <w:tabs>
              <w:tab w:val="left" w:pos="1080"/>
            </w:tabs>
            <w:ind w:left="1080" w:hanging="360"/>
            <w:rPr>
              <w:rFonts w:ascii="Times New Roman" w:hAnsi="Times New Roman"/>
              <w:sz w:val="22"/>
              <w:szCs w:val="22"/>
              <w:u w:val="single"/>
            </w:rPr>
          </w:pPr>
          <w:r w:rsidRPr="00D16B17">
            <w:rPr>
              <w:rFonts w:ascii="Times New Roman" w:hAnsi="Times New Roman"/>
              <w:sz w:val="22"/>
              <w:szCs w:val="22"/>
            </w:rPr>
            <w:tab/>
          </w:r>
          <w:r w:rsidR="00E56126" w:rsidRPr="002B1599">
            <w:rPr>
              <w:rFonts w:ascii="Times New Roman" w:hAnsi="Times New Roman"/>
              <w:sz w:val="22"/>
              <w:szCs w:val="22"/>
              <w:u w:val="single"/>
            </w:rPr>
            <w:t xml:space="preserve">only outstanding issue for determination in the rate case is how to appropriately recover </w:t>
          </w:r>
        </w:p>
        <w:p w14:paraId="13157755" w14:textId="7F470947" w:rsidR="00E56126" w:rsidRPr="002B1599" w:rsidRDefault="00D16B17" w:rsidP="009578E1">
          <w:pPr>
            <w:tabs>
              <w:tab w:val="left" w:pos="1080"/>
            </w:tabs>
            <w:ind w:left="1080" w:hanging="360"/>
            <w:rPr>
              <w:rFonts w:ascii="Times New Roman" w:hAnsi="Times New Roman"/>
              <w:sz w:val="22"/>
              <w:szCs w:val="22"/>
              <w:u w:val="single"/>
            </w:rPr>
          </w:pPr>
          <w:r w:rsidRPr="00D16B17">
            <w:rPr>
              <w:rFonts w:ascii="Times New Roman" w:hAnsi="Times New Roman"/>
              <w:sz w:val="22"/>
              <w:szCs w:val="22"/>
            </w:rPr>
            <w:tab/>
          </w:r>
          <w:r w:rsidR="00E56126" w:rsidRPr="002B1599">
            <w:rPr>
              <w:rFonts w:ascii="Times New Roman" w:hAnsi="Times New Roman"/>
              <w:sz w:val="22"/>
              <w:szCs w:val="22"/>
              <w:u w:val="single"/>
            </w:rPr>
            <w:t>costs, including the recovery period and mechanism.</w:t>
          </w:r>
          <w:r w:rsidR="00E56126" w:rsidRPr="002B1599">
            <w:rPr>
              <w:rFonts w:ascii="Times New Roman" w:hAnsi="Times New Roman"/>
              <w:sz w:val="22"/>
              <w:szCs w:val="22"/>
            </w:rPr>
            <w:ptab w:relativeTo="margin" w:alignment="right" w:leader="dot"/>
          </w:r>
          <w:r>
            <w:rPr>
              <w:rFonts w:ascii="Times New Roman" w:hAnsi="Times New Roman"/>
              <w:sz w:val="22"/>
              <w:szCs w:val="22"/>
            </w:rPr>
            <w:t>3</w:t>
          </w:r>
          <w:r w:rsidR="00C35262">
            <w:rPr>
              <w:rFonts w:ascii="Times New Roman" w:hAnsi="Times New Roman"/>
              <w:sz w:val="22"/>
              <w:szCs w:val="22"/>
            </w:rPr>
            <w:t>4</w:t>
          </w:r>
        </w:p>
        <w:p w14:paraId="45470735" w14:textId="77777777" w:rsidR="009578E1" w:rsidRPr="002B1599" w:rsidRDefault="009578E1" w:rsidP="009578E1">
          <w:pPr>
            <w:pStyle w:val="TOC2"/>
            <w:spacing w:before="0"/>
            <w:ind w:left="720" w:hanging="504"/>
            <w:rPr>
              <w:b/>
              <w:i w:val="0"/>
              <w:sz w:val="22"/>
              <w:szCs w:val="22"/>
            </w:rPr>
          </w:pPr>
        </w:p>
        <w:p w14:paraId="6686CD02" w14:textId="77777777" w:rsidR="00D16B17" w:rsidRDefault="00CB6BA1" w:rsidP="009578E1">
          <w:pPr>
            <w:pStyle w:val="TOC2"/>
            <w:spacing w:before="0"/>
            <w:ind w:left="720" w:hanging="504"/>
            <w:rPr>
              <w:b/>
              <w:i w:val="0"/>
              <w:sz w:val="22"/>
              <w:szCs w:val="22"/>
            </w:rPr>
          </w:pPr>
          <w:r w:rsidRPr="002B1599">
            <w:rPr>
              <w:b/>
              <w:i w:val="0"/>
              <w:sz w:val="22"/>
              <w:szCs w:val="22"/>
            </w:rPr>
            <w:t>E.</w:t>
          </w:r>
          <w:r w:rsidRPr="002B1599">
            <w:rPr>
              <w:b/>
              <w:i w:val="0"/>
              <w:sz w:val="22"/>
              <w:szCs w:val="22"/>
            </w:rPr>
            <w:tab/>
          </w:r>
          <w:r w:rsidR="00E56126" w:rsidRPr="002B1599">
            <w:rPr>
              <w:b/>
              <w:i w:val="0"/>
              <w:sz w:val="22"/>
              <w:szCs w:val="22"/>
            </w:rPr>
            <w:t xml:space="preserve">The Commission Should Reject Most of PIA Staff’s Revenue Requirement </w:t>
          </w:r>
        </w:p>
        <w:p w14:paraId="6B5A62BB" w14:textId="0DED3ECC" w:rsidR="00CB6BA1" w:rsidRPr="002B1599" w:rsidRDefault="00D16B17" w:rsidP="009578E1">
          <w:pPr>
            <w:pStyle w:val="TOC2"/>
            <w:spacing w:before="0"/>
            <w:ind w:left="720" w:hanging="504"/>
            <w:rPr>
              <w:sz w:val="22"/>
              <w:szCs w:val="22"/>
            </w:rPr>
          </w:pPr>
          <w:r>
            <w:rPr>
              <w:b/>
              <w:i w:val="0"/>
              <w:sz w:val="22"/>
              <w:szCs w:val="22"/>
            </w:rPr>
            <w:tab/>
          </w:r>
          <w:r w:rsidR="00E56126" w:rsidRPr="002B1599">
            <w:rPr>
              <w:b/>
              <w:i w:val="0"/>
              <w:sz w:val="22"/>
              <w:szCs w:val="22"/>
            </w:rPr>
            <w:t>Adjustments</w:t>
          </w:r>
          <w:r w:rsidR="00CB6BA1" w:rsidRPr="002B1599">
            <w:rPr>
              <w:b/>
              <w:sz w:val="22"/>
              <w:szCs w:val="22"/>
            </w:rPr>
            <w:t xml:space="preserve">. </w:t>
          </w:r>
          <w:r w:rsidR="00CB6BA1" w:rsidRPr="002B1599">
            <w:rPr>
              <w:i w:val="0"/>
              <w:sz w:val="22"/>
              <w:szCs w:val="22"/>
            </w:rPr>
            <w:ptab w:relativeTo="margin" w:alignment="right" w:leader="dot"/>
          </w:r>
          <w:r>
            <w:rPr>
              <w:i w:val="0"/>
              <w:sz w:val="22"/>
              <w:szCs w:val="22"/>
            </w:rPr>
            <w:t>3</w:t>
          </w:r>
          <w:r w:rsidR="00C35262">
            <w:rPr>
              <w:i w:val="0"/>
              <w:sz w:val="22"/>
              <w:szCs w:val="22"/>
            </w:rPr>
            <w:t>8</w:t>
          </w:r>
        </w:p>
        <w:p w14:paraId="21BB7F45" w14:textId="77777777" w:rsidR="00E56126" w:rsidRPr="002B1599" w:rsidRDefault="00CB6BA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w:t>
          </w:r>
          <w:r w:rsidRPr="002B1599">
            <w:rPr>
              <w:rFonts w:ascii="Times New Roman" w:hAnsi="Times New Roman"/>
              <w:sz w:val="22"/>
              <w:szCs w:val="22"/>
            </w:rPr>
            <w:tab/>
          </w:r>
          <w:r w:rsidR="00E56126" w:rsidRPr="002B1599">
            <w:rPr>
              <w:rFonts w:ascii="Times New Roman" w:hAnsi="Times New Roman"/>
              <w:sz w:val="22"/>
              <w:szCs w:val="22"/>
              <w:u w:val="single"/>
            </w:rPr>
            <w:t xml:space="preserve">The Commission should reject PIA Staff’s recommendation to use the test period revenue </w:t>
          </w:r>
        </w:p>
        <w:p w14:paraId="341B004E" w14:textId="415E060C" w:rsidR="00CB6BA1" w:rsidRPr="002B1599" w:rsidRDefault="00E56126"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requirement to set rates in the first year of the three-year ARP.</w:t>
          </w:r>
          <w:r w:rsidR="00CB6BA1" w:rsidRPr="002B1599">
            <w:rPr>
              <w:rFonts w:ascii="Times New Roman" w:hAnsi="Times New Roman"/>
              <w:sz w:val="22"/>
              <w:szCs w:val="22"/>
            </w:rPr>
            <w:ptab w:relativeTo="margin" w:alignment="right" w:leader="dot"/>
          </w:r>
          <w:r w:rsidR="00D16B17">
            <w:rPr>
              <w:rFonts w:ascii="Times New Roman" w:hAnsi="Times New Roman"/>
              <w:sz w:val="22"/>
              <w:szCs w:val="22"/>
            </w:rPr>
            <w:t>3</w:t>
          </w:r>
          <w:r w:rsidR="00C35262">
            <w:rPr>
              <w:rFonts w:ascii="Times New Roman" w:hAnsi="Times New Roman"/>
              <w:sz w:val="22"/>
              <w:szCs w:val="22"/>
            </w:rPr>
            <w:t>8</w:t>
          </w:r>
        </w:p>
        <w:p w14:paraId="77415FA2" w14:textId="54344FB9" w:rsidR="00E56126" w:rsidRPr="002B1599" w:rsidRDefault="00E56126"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2.</w:t>
          </w:r>
          <w:r w:rsidRPr="002B1599">
            <w:rPr>
              <w:rFonts w:ascii="Times New Roman" w:hAnsi="Times New Roman"/>
              <w:sz w:val="22"/>
              <w:szCs w:val="22"/>
            </w:rPr>
            <w:tab/>
          </w:r>
          <w:r w:rsidRPr="002B1599">
            <w:rPr>
              <w:rFonts w:ascii="Times New Roman" w:hAnsi="Times New Roman"/>
              <w:iCs/>
              <w:sz w:val="22"/>
              <w:szCs w:val="22"/>
              <w:u w:val="single"/>
            </w:rPr>
            <w:t>The Commission should reject PIA Staff and GIG/GAM recommendations to use any revenue sufficiency to accelerate recognition of deferred costs or to amortize a portion of CCR ARO compliance costs.</w:t>
          </w:r>
          <w:r w:rsidRPr="002B1599">
            <w:rPr>
              <w:rFonts w:ascii="Times New Roman" w:hAnsi="Times New Roman"/>
              <w:i/>
              <w:iCs/>
              <w:sz w:val="22"/>
              <w:szCs w:val="22"/>
              <w:u w:val="single"/>
            </w:rPr>
            <w:t xml:space="preserve"> </w:t>
          </w:r>
          <w:r w:rsidRPr="002B1599">
            <w:rPr>
              <w:rFonts w:ascii="Times New Roman" w:hAnsi="Times New Roman"/>
              <w:sz w:val="22"/>
              <w:szCs w:val="22"/>
            </w:rPr>
            <w:ptab w:relativeTo="margin" w:alignment="right" w:leader="dot"/>
          </w:r>
          <w:r w:rsidR="00D16B17">
            <w:rPr>
              <w:rFonts w:ascii="Times New Roman" w:hAnsi="Times New Roman"/>
              <w:sz w:val="22"/>
              <w:szCs w:val="22"/>
            </w:rPr>
            <w:t>3</w:t>
          </w:r>
          <w:r w:rsidR="00C35262">
            <w:rPr>
              <w:rFonts w:ascii="Times New Roman" w:hAnsi="Times New Roman"/>
              <w:sz w:val="22"/>
              <w:szCs w:val="22"/>
            </w:rPr>
            <w:t>9</w:t>
          </w:r>
        </w:p>
        <w:p w14:paraId="412408C2" w14:textId="77777777" w:rsidR="00D16B17"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3.</w:t>
          </w:r>
          <w:r w:rsidRPr="002B1599">
            <w:rPr>
              <w:rFonts w:ascii="Times New Roman" w:hAnsi="Times New Roman"/>
              <w:sz w:val="22"/>
              <w:szCs w:val="22"/>
            </w:rPr>
            <w:tab/>
          </w:r>
          <w:r w:rsidRPr="002B1599">
            <w:rPr>
              <w:rFonts w:ascii="Times New Roman" w:hAnsi="Times New Roman"/>
              <w:sz w:val="22"/>
              <w:szCs w:val="22"/>
              <w:u w:val="single"/>
            </w:rPr>
            <w:t xml:space="preserve">In the interest of greater rate stability, the Commission should adopt the Company’s </w:t>
          </w:r>
        </w:p>
        <w:p w14:paraId="42BD7952" w14:textId="2CA99906" w:rsidR="00E56126" w:rsidRPr="002B1599" w:rsidRDefault="00D16B17" w:rsidP="009578E1">
          <w:pPr>
            <w:tabs>
              <w:tab w:val="left" w:pos="1080"/>
            </w:tabs>
            <w:ind w:left="1080" w:hanging="360"/>
            <w:rPr>
              <w:rFonts w:ascii="Times New Roman" w:hAnsi="Times New Roman"/>
              <w:sz w:val="22"/>
              <w:szCs w:val="22"/>
            </w:rPr>
          </w:pPr>
          <w:r w:rsidRPr="00D16B17">
            <w:rPr>
              <w:rFonts w:ascii="Times New Roman" w:hAnsi="Times New Roman"/>
              <w:sz w:val="22"/>
              <w:szCs w:val="22"/>
            </w:rPr>
            <w:tab/>
          </w:r>
          <w:r w:rsidR="00E56126" w:rsidRPr="002B1599">
            <w:rPr>
              <w:rFonts w:ascii="Times New Roman" w:hAnsi="Times New Roman"/>
              <w:sz w:val="22"/>
              <w:szCs w:val="22"/>
              <w:u w:val="single"/>
            </w:rPr>
            <w:t>proposed levelized rate increase rather than the step increase proposed by PIA Staff.</w:t>
          </w:r>
          <w:r w:rsidR="00E56126" w:rsidRPr="002B1599">
            <w:rPr>
              <w:rFonts w:ascii="Times New Roman" w:hAnsi="Times New Roman"/>
              <w:sz w:val="22"/>
              <w:szCs w:val="22"/>
            </w:rPr>
            <w:ptab w:relativeTo="margin" w:alignment="right" w:leader="dot"/>
          </w:r>
          <w:r>
            <w:rPr>
              <w:rFonts w:ascii="Times New Roman" w:hAnsi="Times New Roman"/>
              <w:sz w:val="22"/>
              <w:szCs w:val="22"/>
            </w:rPr>
            <w:t>3</w:t>
          </w:r>
          <w:r w:rsidR="00C35262">
            <w:rPr>
              <w:rFonts w:ascii="Times New Roman" w:hAnsi="Times New Roman"/>
              <w:sz w:val="22"/>
              <w:szCs w:val="22"/>
            </w:rPr>
            <w:t>9</w:t>
          </w:r>
        </w:p>
        <w:p w14:paraId="16B887B0" w14:textId="77777777" w:rsidR="00D16B17"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4.</w:t>
          </w:r>
          <w:r w:rsidRPr="002B1599">
            <w:rPr>
              <w:rFonts w:ascii="Times New Roman" w:hAnsi="Times New Roman"/>
              <w:sz w:val="22"/>
              <w:szCs w:val="22"/>
            </w:rPr>
            <w:tab/>
          </w:r>
          <w:r w:rsidRPr="002B1599">
            <w:rPr>
              <w:rFonts w:ascii="Times New Roman" w:hAnsi="Times New Roman"/>
              <w:sz w:val="22"/>
              <w:szCs w:val="22"/>
              <w:u w:val="single"/>
            </w:rPr>
            <w:t xml:space="preserve">Electric Vehicle (“EV”) charging facilities benefit Georgia Power customers and the </w:t>
          </w:r>
        </w:p>
        <w:p w14:paraId="7FF02119" w14:textId="77777777" w:rsidR="00D16B17" w:rsidRDefault="00D16B17" w:rsidP="009578E1">
          <w:pPr>
            <w:tabs>
              <w:tab w:val="left" w:pos="1080"/>
            </w:tabs>
            <w:ind w:left="1080" w:hanging="360"/>
            <w:rPr>
              <w:rFonts w:ascii="Times New Roman" w:hAnsi="Times New Roman"/>
              <w:sz w:val="22"/>
              <w:szCs w:val="22"/>
              <w:u w:val="single"/>
            </w:rPr>
          </w:pPr>
          <w:r w:rsidRPr="006B2BA4">
            <w:rPr>
              <w:rFonts w:ascii="Times New Roman" w:hAnsi="Times New Roman"/>
              <w:sz w:val="22"/>
              <w:szCs w:val="22"/>
            </w:rPr>
            <w:tab/>
          </w:r>
          <w:r w:rsidR="00E56126" w:rsidRPr="002B1599">
            <w:rPr>
              <w:rFonts w:ascii="Times New Roman" w:hAnsi="Times New Roman"/>
              <w:sz w:val="22"/>
              <w:szCs w:val="22"/>
              <w:u w:val="single"/>
            </w:rPr>
            <w:t xml:space="preserve">state and the Commission should authorize Georgia Power to recover the cost of </w:t>
          </w:r>
        </w:p>
        <w:p w14:paraId="3F46C203" w14:textId="743167A0" w:rsidR="00E56126" w:rsidRPr="002B1599" w:rsidRDefault="00D16B17"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E56126" w:rsidRPr="002B1599">
            <w:rPr>
              <w:rFonts w:ascii="Times New Roman" w:hAnsi="Times New Roman"/>
              <w:sz w:val="22"/>
              <w:szCs w:val="22"/>
              <w:u w:val="single"/>
            </w:rPr>
            <w:t>continuing to support</w:t>
          </w:r>
          <w:r>
            <w:rPr>
              <w:rFonts w:ascii="Times New Roman" w:hAnsi="Times New Roman"/>
              <w:sz w:val="22"/>
              <w:szCs w:val="22"/>
              <w:u w:val="single"/>
            </w:rPr>
            <w:t xml:space="preserve"> </w:t>
          </w:r>
          <w:r w:rsidR="00E56126" w:rsidRPr="002B1599">
            <w:rPr>
              <w:rFonts w:ascii="Times New Roman" w:hAnsi="Times New Roman"/>
              <w:sz w:val="22"/>
              <w:szCs w:val="22"/>
              <w:u w:val="single"/>
            </w:rPr>
            <w:t xml:space="preserve">the advancement of these electrotechnologies. </w:t>
          </w:r>
          <w:r w:rsidR="00E56126" w:rsidRPr="002B1599">
            <w:rPr>
              <w:rFonts w:ascii="Times New Roman" w:hAnsi="Times New Roman"/>
              <w:sz w:val="22"/>
              <w:szCs w:val="22"/>
            </w:rPr>
            <w:ptab w:relativeTo="margin" w:alignment="right" w:leader="dot"/>
          </w:r>
          <w:r w:rsidR="00C35262">
            <w:rPr>
              <w:rFonts w:ascii="Times New Roman" w:hAnsi="Times New Roman"/>
              <w:sz w:val="22"/>
              <w:szCs w:val="22"/>
            </w:rPr>
            <w:t>40</w:t>
          </w:r>
        </w:p>
        <w:p w14:paraId="56F8D06E" w14:textId="77777777" w:rsidR="006B2BA4"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5.</w:t>
          </w:r>
          <w:r w:rsidRPr="002B1599">
            <w:rPr>
              <w:rFonts w:ascii="Times New Roman" w:hAnsi="Times New Roman"/>
              <w:sz w:val="22"/>
              <w:szCs w:val="22"/>
            </w:rPr>
            <w:tab/>
          </w:r>
          <w:r w:rsidRPr="002B1599">
            <w:rPr>
              <w:rFonts w:ascii="Times New Roman" w:hAnsi="Times New Roman"/>
              <w:sz w:val="22"/>
              <w:szCs w:val="22"/>
              <w:u w:val="single"/>
            </w:rPr>
            <w:t xml:space="preserve">The Commission should not adopt PIA Staff’s request to investigate and audit the </w:t>
          </w:r>
        </w:p>
        <w:p w14:paraId="135D1B65" w14:textId="64B15822" w:rsidR="00E56126"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E56126" w:rsidRPr="002B1599">
            <w:rPr>
              <w:rFonts w:ascii="Times New Roman" w:hAnsi="Times New Roman"/>
              <w:sz w:val="22"/>
              <w:szCs w:val="22"/>
              <w:u w:val="single"/>
            </w:rPr>
            <w:t xml:space="preserve">Company’s </w:t>
          </w:r>
          <w:r w:rsidR="00E56126" w:rsidRPr="002B1599">
            <w:rPr>
              <w:rFonts w:ascii="Times New Roman" w:hAnsi="Times New Roman"/>
              <w:sz w:val="22"/>
              <w:szCs w:val="22"/>
            </w:rPr>
            <w:tab/>
          </w:r>
          <w:r w:rsidR="00E56126" w:rsidRPr="002B1599">
            <w:rPr>
              <w:rFonts w:ascii="Times New Roman" w:hAnsi="Times New Roman"/>
              <w:sz w:val="22"/>
              <w:szCs w:val="22"/>
              <w:u w:val="single"/>
            </w:rPr>
            <w:t>deferred storm damage account balance in a separate proceeding.</w:t>
          </w:r>
          <w:r w:rsidR="00E56126" w:rsidRPr="002B1599">
            <w:rPr>
              <w:rFonts w:ascii="Times New Roman" w:hAnsi="Times New Roman"/>
              <w:sz w:val="22"/>
              <w:szCs w:val="22"/>
            </w:rPr>
            <w:ptab w:relativeTo="margin" w:alignment="right" w:leader="dot"/>
          </w:r>
          <w:r w:rsidR="00C35262">
            <w:rPr>
              <w:rFonts w:ascii="Times New Roman" w:hAnsi="Times New Roman"/>
              <w:sz w:val="22"/>
              <w:szCs w:val="22"/>
            </w:rPr>
            <w:t>41</w:t>
          </w:r>
        </w:p>
        <w:p w14:paraId="5B0101E0" w14:textId="77777777" w:rsidR="006B2BA4"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6.</w:t>
          </w:r>
          <w:r w:rsidRPr="002B1599">
            <w:rPr>
              <w:rFonts w:ascii="Times New Roman" w:hAnsi="Times New Roman"/>
              <w:sz w:val="22"/>
              <w:szCs w:val="22"/>
            </w:rPr>
            <w:tab/>
          </w:r>
          <w:r w:rsidRPr="002B1599">
            <w:rPr>
              <w:rFonts w:ascii="Times New Roman" w:hAnsi="Times New Roman"/>
              <w:sz w:val="22"/>
              <w:szCs w:val="22"/>
              <w:u w:val="single"/>
            </w:rPr>
            <w:t xml:space="preserve">The Commission should reject DOD Witness Blank’s proposal to recover storm </w:t>
          </w:r>
        </w:p>
        <w:p w14:paraId="2CF43A98" w14:textId="77777777" w:rsidR="006B2BA4" w:rsidRDefault="006B2BA4" w:rsidP="009578E1">
          <w:pPr>
            <w:tabs>
              <w:tab w:val="left" w:pos="1080"/>
            </w:tabs>
            <w:ind w:left="1080" w:hanging="360"/>
            <w:rPr>
              <w:rFonts w:ascii="Times New Roman" w:hAnsi="Times New Roman"/>
              <w:sz w:val="22"/>
              <w:szCs w:val="22"/>
              <w:u w:val="single"/>
            </w:rPr>
          </w:pPr>
          <w:r w:rsidRPr="006B2BA4">
            <w:rPr>
              <w:rFonts w:ascii="Times New Roman" w:hAnsi="Times New Roman"/>
              <w:sz w:val="22"/>
              <w:szCs w:val="22"/>
            </w:rPr>
            <w:tab/>
          </w:r>
          <w:r w:rsidR="00E56126" w:rsidRPr="002B1599">
            <w:rPr>
              <w:rFonts w:ascii="Times New Roman" w:hAnsi="Times New Roman"/>
              <w:sz w:val="22"/>
              <w:szCs w:val="22"/>
              <w:u w:val="single"/>
            </w:rPr>
            <w:t xml:space="preserve">damage costs through an annual deferred cost recovery mechanism and storm </w:t>
          </w:r>
        </w:p>
        <w:p w14:paraId="2A81C55E" w14:textId="05C80BBC" w:rsidR="00E56126"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E56126" w:rsidRPr="002B1599">
            <w:rPr>
              <w:rFonts w:ascii="Times New Roman" w:hAnsi="Times New Roman"/>
              <w:sz w:val="22"/>
              <w:szCs w:val="22"/>
              <w:u w:val="single"/>
            </w:rPr>
            <w:t>damage recovery rider.</w:t>
          </w:r>
          <w:r w:rsidR="00E56126" w:rsidRPr="002B1599">
            <w:rPr>
              <w:rFonts w:ascii="Times New Roman" w:hAnsi="Times New Roman"/>
              <w:sz w:val="22"/>
              <w:szCs w:val="22"/>
            </w:rPr>
            <w:ptab w:relativeTo="margin" w:alignment="right" w:leader="dot"/>
          </w:r>
          <w:r w:rsidR="00C35262">
            <w:rPr>
              <w:rFonts w:ascii="Times New Roman" w:hAnsi="Times New Roman"/>
              <w:sz w:val="22"/>
              <w:szCs w:val="22"/>
            </w:rPr>
            <w:t>42</w:t>
          </w:r>
        </w:p>
        <w:p w14:paraId="21F51E82" w14:textId="77777777" w:rsidR="006B2BA4"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7.</w:t>
          </w:r>
          <w:r w:rsidRPr="002B1599">
            <w:rPr>
              <w:rFonts w:ascii="Times New Roman" w:hAnsi="Times New Roman"/>
              <w:sz w:val="22"/>
              <w:szCs w:val="22"/>
            </w:rPr>
            <w:tab/>
          </w:r>
          <w:r w:rsidRPr="002B1599">
            <w:rPr>
              <w:rFonts w:ascii="Times New Roman" w:hAnsi="Times New Roman"/>
              <w:sz w:val="22"/>
              <w:szCs w:val="22"/>
              <w:u w:val="single"/>
            </w:rPr>
            <w:t xml:space="preserve">The Commission should not adopt PIA Staff’s recommendation to alter this </w:t>
          </w:r>
        </w:p>
        <w:p w14:paraId="40DF6D4D" w14:textId="77777777" w:rsidR="006B2BA4" w:rsidRDefault="006B2BA4" w:rsidP="009578E1">
          <w:pPr>
            <w:tabs>
              <w:tab w:val="left" w:pos="1080"/>
            </w:tabs>
            <w:ind w:left="1080" w:hanging="360"/>
            <w:rPr>
              <w:rFonts w:ascii="Times New Roman" w:hAnsi="Times New Roman"/>
              <w:sz w:val="22"/>
              <w:szCs w:val="22"/>
              <w:u w:val="single"/>
            </w:rPr>
          </w:pPr>
          <w:r w:rsidRPr="006B2BA4">
            <w:rPr>
              <w:rFonts w:ascii="Times New Roman" w:hAnsi="Times New Roman"/>
              <w:sz w:val="22"/>
              <w:szCs w:val="22"/>
            </w:rPr>
            <w:tab/>
          </w:r>
          <w:r w:rsidR="00E56126" w:rsidRPr="002B1599">
            <w:rPr>
              <w:rFonts w:ascii="Times New Roman" w:hAnsi="Times New Roman"/>
              <w:sz w:val="22"/>
              <w:szCs w:val="22"/>
              <w:u w:val="single"/>
            </w:rPr>
            <w:t xml:space="preserve">Commission’s approved ratemaking treatment for the Company’s Plant Kraft </w:t>
          </w:r>
        </w:p>
        <w:p w14:paraId="1807726B" w14:textId="432C27E0" w:rsidR="00E56126"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E56126" w:rsidRPr="002B1599">
            <w:rPr>
              <w:rFonts w:ascii="Times New Roman" w:hAnsi="Times New Roman"/>
              <w:sz w:val="22"/>
              <w:szCs w:val="22"/>
              <w:u w:val="single"/>
            </w:rPr>
            <w:t>Donation to the Georgia Ports Authority.</w:t>
          </w:r>
          <w:r w:rsidR="00E56126" w:rsidRPr="002B1599">
            <w:rPr>
              <w:rFonts w:ascii="Times New Roman" w:hAnsi="Times New Roman"/>
              <w:sz w:val="22"/>
              <w:szCs w:val="22"/>
            </w:rPr>
            <w:ptab w:relativeTo="margin" w:alignment="right" w:leader="dot"/>
          </w:r>
          <w:r w:rsidR="00C35262">
            <w:rPr>
              <w:rFonts w:ascii="Times New Roman" w:hAnsi="Times New Roman"/>
              <w:sz w:val="22"/>
              <w:szCs w:val="22"/>
            </w:rPr>
            <w:t>43</w:t>
          </w:r>
        </w:p>
        <w:p w14:paraId="68B2EB8C" w14:textId="77777777" w:rsidR="006B2BA4"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8.</w:t>
          </w:r>
          <w:r w:rsidRPr="002B1599">
            <w:rPr>
              <w:rFonts w:ascii="Times New Roman" w:hAnsi="Times New Roman"/>
              <w:sz w:val="22"/>
              <w:szCs w:val="22"/>
            </w:rPr>
            <w:tab/>
          </w:r>
          <w:r w:rsidRPr="002B1599">
            <w:rPr>
              <w:rFonts w:ascii="Times New Roman" w:hAnsi="Times New Roman"/>
              <w:sz w:val="22"/>
              <w:szCs w:val="22"/>
              <w:u w:val="single"/>
            </w:rPr>
            <w:t xml:space="preserve">The Commission should not adopt PIA Staff’s proposal to limit the time land and </w:t>
          </w:r>
        </w:p>
        <w:p w14:paraId="3768890D" w14:textId="77777777" w:rsidR="006B2BA4" w:rsidRDefault="006B2BA4" w:rsidP="009578E1">
          <w:pPr>
            <w:tabs>
              <w:tab w:val="left" w:pos="1080"/>
            </w:tabs>
            <w:ind w:left="1080" w:hanging="360"/>
            <w:rPr>
              <w:rFonts w:ascii="Times New Roman" w:hAnsi="Times New Roman"/>
              <w:sz w:val="22"/>
              <w:szCs w:val="22"/>
              <w:u w:val="single"/>
            </w:rPr>
          </w:pPr>
          <w:r w:rsidRPr="006B2BA4">
            <w:rPr>
              <w:rFonts w:ascii="Times New Roman" w:hAnsi="Times New Roman"/>
              <w:sz w:val="22"/>
              <w:szCs w:val="22"/>
            </w:rPr>
            <w:tab/>
          </w:r>
          <w:r w:rsidR="00E56126" w:rsidRPr="002B1599">
            <w:rPr>
              <w:rFonts w:ascii="Times New Roman" w:hAnsi="Times New Roman"/>
              <w:sz w:val="22"/>
              <w:szCs w:val="22"/>
              <w:u w:val="single"/>
            </w:rPr>
            <w:t xml:space="preserve">land rights are classified in Plant Held for Future Use (“PHFFU”) to 15 years or </w:t>
          </w:r>
        </w:p>
        <w:p w14:paraId="26889292" w14:textId="7EE41DBD" w:rsidR="00E56126"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E56126" w:rsidRPr="002B1599">
            <w:rPr>
              <w:rFonts w:ascii="Times New Roman" w:hAnsi="Times New Roman"/>
              <w:sz w:val="22"/>
              <w:szCs w:val="22"/>
              <w:u w:val="single"/>
            </w:rPr>
            <w:t>require the Company to evaluate moving certain PHFFU items to non-utility property.</w:t>
          </w:r>
          <w:r w:rsidR="00E56126" w:rsidRPr="002B1599">
            <w:rPr>
              <w:rFonts w:ascii="Times New Roman" w:hAnsi="Times New Roman"/>
              <w:sz w:val="22"/>
              <w:szCs w:val="22"/>
            </w:rPr>
            <w:ptab w:relativeTo="margin" w:alignment="right" w:leader="dot"/>
          </w:r>
          <w:r w:rsidR="00C35262">
            <w:rPr>
              <w:rFonts w:ascii="Times New Roman" w:hAnsi="Times New Roman"/>
              <w:sz w:val="22"/>
              <w:szCs w:val="22"/>
            </w:rPr>
            <w:t>44</w:t>
          </w:r>
        </w:p>
        <w:p w14:paraId="31A2A248" w14:textId="77777777" w:rsidR="006B2BA4"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9.</w:t>
          </w:r>
          <w:r w:rsidRPr="002B1599">
            <w:rPr>
              <w:rFonts w:ascii="Times New Roman" w:hAnsi="Times New Roman"/>
              <w:sz w:val="22"/>
              <w:szCs w:val="22"/>
            </w:rPr>
            <w:tab/>
          </w:r>
          <w:r w:rsidRPr="002B1599">
            <w:rPr>
              <w:rFonts w:ascii="Times New Roman" w:hAnsi="Times New Roman"/>
              <w:sz w:val="22"/>
              <w:szCs w:val="22"/>
              <w:u w:val="single"/>
            </w:rPr>
            <w:t xml:space="preserve">The Commission should reject PIA Staff’s proposed alternate methodology for </w:t>
          </w:r>
        </w:p>
        <w:p w14:paraId="1EDD5AE6" w14:textId="581D18C6" w:rsidR="00E56126"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E56126" w:rsidRPr="002B1599">
            <w:rPr>
              <w:rFonts w:ascii="Times New Roman" w:hAnsi="Times New Roman"/>
              <w:sz w:val="22"/>
              <w:szCs w:val="22"/>
              <w:u w:val="single"/>
            </w:rPr>
            <w:t>sharing gains and losses on the disposition of utility land including PHFFU.</w:t>
          </w:r>
          <w:r w:rsidR="00E56126" w:rsidRPr="002B1599">
            <w:rPr>
              <w:rFonts w:ascii="Times New Roman" w:hAnsi="Times New Roman"/>
              <w:sz w:val="22"/>
              <w:szCs w:val="22"/>
            </w:rPr>
            <w:ptab w:relativeTo="margin" w:alignment="right" w:leader="dot"/>
          </w:r>
          <w:r w:rsidR="00C35262">
            <w:rPr>
              <w:rFonts w:ascii="Times New Roman" w:hAnsi="Times New Roman"/>
              <w:sz w:val="22"/>
              <w:szCs w:val="22"/>
            </w:rPr>
            <w:t>46</w:t>
          </w:r>
        </w:p>
        <w:p w14:paraId="4B936DC3" w14:textId="5DE71DD6" w:rsidR="00E56126" w:rsidRPr="002B1599" w:rsidRDefault="00E56126"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10.</w:t>
          </w:r>
          <w:r w:rsidRPr="002B1599">
            <w:rPr>
              <w:rFonts w:ascii="Times New Roman" w:hAnsi="Times New Roman"/>
              <w:sz w:val="22"/>
              <w:szCs w:val="22"/>
            </w:rPr>
            <w:tab/>
          </w:r>
          <w:r w:rsidRPr="002B1599">
            <w:rPr>
              <w:rFonts w:ascii="Times New Roman" w:hAnsi="Times New Roman"/>
              <w:sz w:val="22"/>
              <w:szCs w:val="22"/>
              <w:u w:val="single"/>
            </w:rPr>
            <w:t>The Commission should reject PIA Staff’s proposal to adjust the Company’s projected property taxes for the test year and years 2020 through 2022 to reflect tax true-ups.</w:t>
          </w:r>
          <w:r w:rsidRPr="002B1599">
            <w:rPr>
              <w:rFonts w:ascii="Times New Roman" w:hAnsi="Times New Roman"/>
              <w:sz w:val="22"/>
              <w:szCs w:val="22"/>
            </w:rPr>
            <w:ptab w:relativeTo="margin" w:alignment="right" w:leader="dot"/>
          </w:r>
          <w:r w:rsidR="006B2BA4">
            <w:rPr>
              <w:rFonts w:ascii="Times New Roman" w:hAnsi="Times New Roman"/>
              <w:sz w:val="22"/>
              <w:szCs w:val="22"/>
            </w:rPr>
            <w:t>4</w:t>
          </w:r>
          <w:r w:rsidR="00C35262">
            <w:rPr>
              <w:rFonts w:ascii="Times New Roman" w:hAnsi="Times New Roman"/>
              <w:sz w:val="22"/>
              <w:szCs w:val="22"/>
            </w:rPr>
            <w:t>8</w:t>
          </w:r>
        </w:p>
        <w:p w14:paraId="441BE0E4" w14:textId="77777777" w:rsidR="006B2BA4"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11.</w:t>
          </w:r>
          <w:r w:rsidRPr="002B1599">
            <w:rPr>
              <w:rFonts w:ascii="Times New Roman" w:hAnsi="Times New Roman"/>
              <w:sz w:val="22"/>
              <w:szCs w:val="22"/>
            </w:rPr>
            <w:tab/>
          </w:r>
          <w:r w:rsidRPr="002B1599">
            <w:rPr>
              <w:rFonts w:ascii="Times New Roman" w:hAnsi="Times New Roman"/>
              <w:sz w:val="22"/>
              <w:szCs w:val="22"/>
              <w:u w:val="single"/>
            </w:rPr>
            <w:t xml:space="preserve">The Commission should reject PIA Staff’s proposal to remove stock-based </w:t>
          </w:r>
        </w:p>
        <w:p w14:paraId="3B7EFE30" w14:textId="77777777" w:rsidR="006B2BA4" w:rsidRDefault="006B2BA4" w:rsidP="009578E1">
          <w:pPr>
            <w:tabs>
              <w:tab w:val="left" w:pos="1080"/>
            </w:tabs>
            <w:ind w:left="1080" w:hanging="360"/>
            <w:rPr>
              <w:rFonts w:ascii="Times New Roman" w:hAnsi="Times New Roman"/>
              <w:sz w:val="22"/>
              <w:szCs w:val="22"/>
              <w:u w:val="single"/>
            </w:rPr>
          </w:pPr>
          <w:r w:rsidRPr="006B2BA4">
            <w:rPr>
              <w:rFonts w:ascii="Times New Roman" w:hAnsi="Times New Roman"/>
              <w:sz w:val="22"/>
              <w:szCs w:val="22"/>
            </w:rPr>
            <w:tab/>
          </w:r>
          <w:r w:rsidR="00E56126" w:rsidRPr="002B1599">
            <w:rPr>
              <w:rFonts w:ascii="Times New Roman" w:hAnsi="Times New Roman"/>
              <w:sz w:val="22"/>
              <w:szCs w:val="22"/>
              <w:u w:val="single"/>
            </w:rPr>
            <w:t xml:space="preserve">compensation and the associated payroll taxes from the Company’s revenue </w:t>
          </w:r>
        </w:p>
        <w:p w14:paraId="3C90DEA3" w14:textId="2596AE63" w:rsidR="00E56126"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E56126" w:rsidRPr="002B1599">
            <w:rPr>
              <w:rFonts w:ascii="Times New Roman" w:hAnsi="Times New Roman"/>
              <w:sz w:val="22"/>
              <w:szCs w:val="22"/>
              <w:u w:val="single"/>
            </w:rPr>
            <w:t>requirement.</w:t>
          </w:r>
          <w:r w:rsidR="00E56126" w:rsidRPr="002B1599">
            <w:rPr>
              <w:rFonts w:ascii="Times New Roman" w:hAnsi="Times New Roman"/>
              <w:sz w:val="22"/>
              <w:szCs w:val="22"/>
            </w:rPr>
            <w:ptab w:relativeTo="margin" w:alignment="right" w:leader="dot"/>
          </w:r>
          <w:r>
            <w:rPr>
              <w:rFonts w:ascii="Times New Roman" w:hAnsi="Times New Roman"/>
              <w:sz w:val="22"/>
              <w:szCs w:val="22"/>
            </w:rPr>
            <w:t>4</w:t>
          </w:r>
          <w:r w:rsidR="00C35262">
            <w:rPr>
              <w:rFonts w:ascii="Times New Roman" w:hAnsi="Times New Roman"/>
              <w:sz w:val="22"/>
              <w:szCs w:val="22"/>
            </w:rPr>
            <w:t>9</w:t>
          </w:r>
        </w:p>
        <w:p w14:paraId="5D0D9367" w14:textId="368B53C6" w:rsidR="00E56126" w:rsidRPr="002B1599"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lastRenderedPageBreak/>
            <w:t>12.</w:t>
          </w:r>
          <w:r w:rsidRPr="002B1599">
            <w:rPr>
              <w:rFonts w:ascii="Times New Roman" w:hAnsi="Times New Roman"/>
              <w:sz w:val="22"/>
              <w:szCs w:val="22"/>
            </w:rPr>
            <w:tab/>
          </w:r>
          <w:r w:rsidR="002B0FF7">
            <w:rPr>
              <w:rFonts w:ascii="Times New Roman" w:hAnsi="Times New Roman"/>
              <w:sz w:val="22"/>
              <w:szCs w:val="22"/>
              <w:u w:val="single"/>
            </w:rPr>
            <w:t>The Commission has already determined the appropriate ratemaking treatment</w:t>
          </w:r>
          <w:r w:rsidRPr="002B1599">
            <w:rPr>
              <w:rFonts w:ascii="Times New Roman" w:hAnsi="Times New Roman"/>
              <w:sz w:val="22"/>
              <w:szCs w:val="22"/>
              <w:u w:val="single"/>
            </w:rPr>
            <w:t xml:space="preserve"> for the </w:t>
          </w:r>
        </w:p>
        <w:p w14:paraId="24188024" w14:textId="735DC991" w:rsidR="00E56126" w:rsidRPr="002B1599" w:rsidRDefault="00E56126"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Company’s Stewart County site investigation costs.</w:t>
          </w:r>
          <w:r w:rsidRPr="002B1599">
            <w:rPr>
              <w:rFonts w:ascii="Times New Roman" w:hAnsi="Times New Roman"/>
              <w:sz w:val="22"/>
              <w:szCs w:val="22"/>
            </w:rPr>
            <w:ptab w:relativeTo="margin" w:alignment="right" w:leader="dot"/>
          </w:r>
          <w:r w:rsidR="00C35262">
            <w:rPr>
              <w:rFonts w:ascii="Times New Roman" w:hAnsi="Times New Roman"/>
              <w:sz w:val="22"/>
              <w:szCs w:val="22"/>
            </w:rPr>
            <w:t>51</w:t>
          </w:r>
        </w:p>
        <w:p w14:paraId="0DE4928E" w14:textId="65A4AC24" w:rsidR="00E56126" w:rsidRPr="002B1599" w:rsidRDefault="00E56126"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13.</w:t>
          </w:r>
          <w:r w:rsidRPr="002B1599">
            <w:rPr>
              <w:rFonts w:ascii="Times New Roman" w:hAnsi="Times New Roman"/>
              <w:sz w:val="22"/>
              <w:szCs w:val="22"/>
            </w:rPr>
            <w:tab/>
          </w:r>
          <w:r w:rsidRPr="002B1599">
            <w:rPr>
              <w:rFonts w:ascii="Times New Roman" w:hAnsi="Times New Roman"/>
              <w:sz w:val="22"/>
              <w:szCs w:val="22"/>
              <w:u w:val="single"/>
            </w:rPr>
            <w:t>The Commission should reject Kroger’s request to change the ratemaking treatment of margins from economy energy/opportunity sales and market-based tariff sales.</w:t>
          </w:r>
          <w:r w:rsidRPr="002B1599">
            <w:rPr>
              <w:rFonts w:ascii="Times New Roman" w:hAnsi="Times New Roman"/>
              <w:sz w:val="22"/>
              <w:szCs w:val="22"/>
            </w:rPr>
            <w:ptab w:relativeTo="margin" w:alignment="right" w:leader="dot"/>
          </w:r>
          <w:r w:rsidR="00C35262">
            <w:rPr>
              <w:rFonts w:ascii="Times New Roman" w:hAnsi="Times New Roman"/>
              <w:sz w:val="22"/>
              <w:szCs w:val="22"/>
            </w:rPr>
            <w:t>52</w:t>
          </w:r>
        </w:p>
        <w:p w14:paraId="1D2A524D" w14:textId="77777777" w:rsidR="00E56126" w:rsidRPr="002B1599"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14.</w:t>
          </w:r>
          <w:r w:rsidRPr="002B1599">
            <w:rPr>
              <w:rFonts w:ascii="Times New Roman" w:hAnsi="Times New Roman"/>
              <w:sz w:val="22"/>
              <w:szCs w:val="22"/>
            </w:rPr>
            <w:tab/>
          </w:r>
          <w:r w:rsidRPr="002B1599">
            <w:rPr>
              <w:rFonts w:ascii="Times New Roman" w:hAnsi="Times New Roman"/>
              <w:sz w:val="22"/>
              <w:szCs w:val="22"/>
              <w:u w:val="single"/>
            </w:rPr>
            <w:t xml:space="preserve">The Commission should approve the Company’s proposed amortization of the remaining </w:t>
          </w:r>
        </w:p>
        <w:p w14:paraId="4EA711DB" w14:textId="77777777" w:rsidR="00E56126" w:rsidRPr="002B1599" w:rsidRDefault="00E56126"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ab/>
          </w:r>
          <w:r w:rsidRPr="002B1599">
            <w:rPr>
              <w:rFonts w:ascii="Times New Roman" w:hAnsi="Times New Roman"/>
              <w:sz w:val="22"/>
              <w:szCs w:val="22"/>
              <w:u w:val="single"/>
            </w:rPr>
            <w:t xml:space="preserve">net book value of units retired in the 2019 IRP, which is consistent with the Company’s </w:t>
          </w:r>
        </w:p>
        <w:p w14:paraId="18460459" w14:textId="01F83F46" w:rsidR="00E56126" w:rsidRPr="002B1599" w:rsidRDefault="00E56126"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treatment of other regulatory assets and liabilities.</w:t>
          </w:r>
          <w:r w:rsidRPr="002B1599">
            <w:rPr>
              <w:rFonts w:ascii="Times New Roman" w:hAnsi="Times New Roman"/>
              <w:sz w:val="22"/>
              <w:szCs w:val="22"/>
            </w:rPr>
            <w:t xml:space="preserve">. </w:t>
          </w:r>
          <w:r w:rsidRPr="002B1599">
            <w:rPr>
              <w:rFonts w:ascii="Times New Roman" w:hAnsi="Times New Roman"/>
              <w:sz w:val="22"/>
              <w:szCs w:val="22"/>
            </w:rPr>
            <w:ptab w:relativeTo="margin" w:alignment="right" w:leader="dot"/>
          </w:r>
          <w:r w:rsidR="00C35262">
            <w:rPr>
              <w:rFonts w:ascii="Times New Roman" w:hAnsi="Times New Roman"/>
              <w:sz w:val="22"/>
              <w:szCs w:val="22"/>
            </w:rPr>
            <w:t>53</w:t>
          </w:r>
        </w:p>
        <w:p w14:paraId="15E925CF" w14:textId="77777777" w:rsidR="009578E1" w:rsidRPr="002B1599" w:rsidRDefault="009578E1" w:rsidP="009578E1">
          <w:pPr>
            <w:pStyle w:val="TOC2"/>
            <w:spacing w:before="0"/>
            <w:ind w:left="720" w:hanging="504"/>
            <w:rPr>
              <w:b/>
              <w:i w:val="0"/>
              <w:sz w:val="22"/>
              <w:szCs w:val="22"/>
            </w:rPr>
          </w:pPr>
        </w:p>
        <w:p w14:paraId="08B2CB4C" w14:textId="50EC5797" w:rsidR="000722A9" w:rsidRPr="002B1599" w:rsidRDefault="00E56126" w:rsidP="009578E1">
          <w:pPr>
            <w:pStyle w:val="TOC2"/>
            <w:spacing w:before="0"/>
            <w:ind w:left="720" w:hanging="504"/>
            <w:rPr>
              <w:b/>
              <w:i w:val="0"/>
              <w:sz w:val="22"/>
              <w:szCs w:val="22"/>
            </w:rPr>
          </w:pPr>
          <w:r w:rsidRPr="002B1599">
            <w:rPr>
              <w:b/>
              <w:i w:val="0"/>
              <w:sz w:val="22"/>
              <w:szCs w:val="22"/>
            </w:rPr>
            <w:t>F.</w:t>
          </w:r>
          <w:r w:rsidRPr="002B1599">
            <w:rPr>
              <w:b/>
              <w:i w:val="0"/>
              <w:sz w:val="22"/>
              <w:szCs w:val="22"/>
            </w:rPr>
            <w:tab/>
          </w:r>
          <w:r w:rsidR="000722A9" w:rsidRPr="002B1599">
            <w:rPr>
              <w:b/>
              <w:i w:val="0"/>
              <w:sz w:val="22"/>
              <w:szCs w:val="22"/>
            </w:rPr>
            <w:t xml:space="preserve">The Minimum Distribution System is an Appropriate and Equitable Method to Classify </w:t>
          </w:r>
        </w:p>
        <w:p w14:paraId="4050930D" w14:textId="5CF7C3CA" w:rsidR="00E56126" w:rsidRPr="002B1599" w:rsidRDefault="000722A9" w:rsidP="009578E1">
          <w:pPr>
            <w:pStyle w:val="TOC2"/>
            <w:spacing w:before="0"/>
            <w:ind w:left="720" w:hanging="504"/>
            <w:rPr>
              <w:i w:val="0"/>
              <w:sz w:val="22"/>
              <w:szCs w:val="22"/>
            </w:rPr>
          </w:pPr>
          <w:r w:rsidRPr="002B1599">
            <w:rPr>
              <w:b/>
              <w:i w:val="0"/>
              <w:sz w:val="22"/>
              <w:szCs w:val="22"/>
            </w:rPr>
            <w:tab/>
            <w:t>Customer-Related Costs in the Cost of Service Study (“COSS”)</w:t>
          </w:r>
          <w:r w:rsidR="00E56126" w:rsidRPr="002B1599">
            <w:rPr>
              <w:b/>
              <w:sz w:val="22"/>
              <w:szCs w:val="22"/>
            </w:rPr>
            <w:t xml:space="preserve">. </w:t>
          </w:r>
          <w:r w:rsidR="00E56126" w:rsidRPr="002B1599">
            <w:rPr>
              <w:i w:val="0"/>
              <w:sz w:val="22"/>
              <w:szCs w:val="22"/>
            </w:rPr>
            <w:ptab w:relativeTo="margin" w:alignment="right" w:leader="dot"/>
          </w:r>
          <w:r w:rsidR="00C35262">
            <w:rPr>
              <w:i w:val="0"/>
              <w:sz w:val="22"/>
              <w:szCs w:val="22"/>
            </w:rPr>
            <w:t>54</w:t>
          </w:r>
        </w:p>
        <w:p w14:paraId="62FE6E0D" w14:textId="77777777" w:rsidR="006B2BA4" w:rsidRDefault="000722A9"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w:t>
          </w:r>
          <w:r w:rsidRPr="002B1599">
            <w:rPr>
              <w:rFonts w:ascii="Times New Roman" w:hAnsi="Times New Roman"/>
              <w:sz w:val="22"/>
              <w:szCs w:val="22"/>
            </w:rPr>
            <w:tab/>
          </w:r>
          <w:r w:rsidRPr="002B1599">
            <w:rPr>
              <w:rFonts w:ascii="Times New Roman" w:hAnsi="Times New Roman"/>
              <w:sz w:val="22"/>
              <w:szCs w:val="22"/>
              <w:u w:val="single"/>
            </w:rPr>
            <w:t xml:space="preserve">MDS is more comprehensive than the Basic Customer Method advocated by parties </w:t>
          </w:r>
        </w:p>
        <w:p w14:paraId="1E305E91" w14:textId="36BA5790" w:rsidR="000722A9"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0722A9" w:rsidRPr="002B1599">
            <w:rPr>
              <w:rFonts w:ascii="Times New Roman" w:hAnsi="Times New Roman"/>
              <w:sz w:val="22"/>
              <w:szCs w:val="22"/>
              <w:u w:val="single"/>
            </w:rPr>
            <w:t>in this case.</w:t>
          </w:r>
          <w:r w:rsidR="000722A9" w:rsidRPr="002B1599">
            <w:rPr>
              <w:rFonts w:ascii="Times New Roman" w:hAnsi="Times New Roman"/>
              <w:sz w:val="22"/>
              <w:szCs w:val="22"/>
            </w:rPr>
            <w:ptab w:relativeTo="margin" w:alignment="right" w:leader="dot"/>
          </w:r>
          <w:r w:rsidR="00C35262">
            <w:rPr>
              <w:rFonts w:ascii="Times New Roman" w:hAnsi="Times New Roman"/>
              <w:sz w:val="22"/>
              <w:szCs w:val="22"/>
            </w:rPr>
            <w:t>55</w:t>
          </w:r>
        </w:p>
        <w:p w14:paraId="7CC74079" w14:textId="77777777" w:rsidR="006B2BA4" w:rsidRDefault="000722A9"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2.</w:t>
          </w:r>
          <w:r w:rsidRPr="002B1599">
            <w:rPr>
              <w:rFonts w:ascii="Times New Roman" w:hAnsi="Times New Roman"/>
              <w:sz w:val="22"/>
              <w:szCs w:val="22"/>
            </w:rPr>
            <w:tab/>
          </w:r>
          <w:r w:rsidRPr="002B1599">
            <w:rPr>
              <w:rFonts w:ascii="Times New Roman" w:hAnsi="Times New Roman"/>
              <w:sz w:val="22"/>
              <w:szCs w:val="22"/>
              <w:u w:val="single"/>
            </w:rPr>
            <w:t xml:space="preserve">NARUC, Bonbright and numerous utilities acknowledge MDS as an acceptable </w:t>
          </w:r>
        </w:p>
        <w:p w14:paraId="2064D587" w14:textId="049D63ED" w:rsidR="000722A9"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0722A9" w:rsidRPr="002B1599">
            <w:rPr>
              <w:rFonts w:ascii="Times New Roman" w:hAnsi="Times New Roman"/>
              <w:sz w:val="22"/>
              <w:szCs w:val="22"/>
              <w:u w:val="single"/>
            </w:rPr>
            <w:t>method for classifying customer-related costs..</w:t>
          </w:r>
          <w:r w:rsidR="000722A9" w:rsidRPr="002B1599">
            <w:rPr>
              <w:rFonts w:ascii="Times New Roman" w:hAnsi="Times New Roman"/>
              <w:sz w:val="22"/>
              <w:szCs w:val="22"/>
            </w:rPr>
            <w:ptab w:relativeTo="margin" w:alignment="right" w:leader="dot"/>
          </w:r>
          <w:r>
            <w:rPr>
              <w:rFonts w:ascii="Times New Roman" w:hAnsi="Times New Roman"/>
              <w:sz w:val="22"/>
              <w:szCs w:val="22"/>
            </w:rPr>
            <w:t>5</w:t>
          </w:r>
          <w:r w:rsidR="00C35262">
            <w:rPr>
              <w:rFonts w:ascii="Times New Roman" w:hAnsi="Times New Roman"/>
              <w:sz w:val="22"/>
              <w:szCs w:val="22"/>
            </w:rPr>
            <w:t>5</w:t>
          </w:r>
        </w:p>
        <w:p w14:paraId="11D6082C" w14:textId="77777777" w:rsidR="000722A9" w:rsidRPr="002B1599" w:rsidRDefault="000722A9"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3.</w:t>
          </w:r>
          <w:r w:rsidRPr="002B1599">
            <w:rPr>
              <w:rFonts w:ascii="Times New Roman" w:hAnsi="Times New Roman"/>
              <w:sz w:val="22"/>
              <w:szCs w:val="22"/>
            </w:rPr>
            <w:tab/>
          </w:r>
          <w:r w:rsidRPr="002B1599">
            <w:rPr>
              <w:rFonts w:ascii="Times New Roman" w:hAnsi="Times New Roman"/>
              <w:sz w:val="22"/>
              <w:szCs w:val="22"/>
              <w:u w:val="single"/>
            </w:rPr>
            <w:t xml:space="preserve">The Company has used MDS for decades and appropriately refines analyses and </w:t>
          </w:r>
        </w:p>
        <w:p w14:paraId="29667E7C" w14:textId="4F97D04F" w:rsidR="000722A9" w:rsidRPr="002B1599" w:rsidRDefault="000722A9"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 xml:space="preserve">methodologies as </w:t>
          </w:r>
          <w:r w:rsidR="00C83782">
            <w:rPr>
              <w:rFonts w:ascii="Times New Roman" w:hAnsi="Times New Roman"/>
              <w:sz w:val="22"/>
              <w:szCs w:val="22"/>
              <w:u w:val="single"/>
            </w:rPr>
            <w:t>better</w:t>
          </w:r>
          <w:r w:rsidRPr="002B1599">
            <w:rPr>
              <w:rFonts w:ascii="Times New Roman" w:hAnsi="Times New Roman"/>
              <w:sz w:val="22"/>
              <w:szCs w:val="22"/>
              <w:u w:val="single"/>
            </w:rPr>
            <w:t xml:space="preserve"> information becomes available.</w:t>
          </w:r>
          <w:r w:rsidRPr="002B1599">
            <w:rPr>
              <w:rFonts w:ascii="Times New Roman" w:hAnsi="Times New Roman"/>
              <w:sz w:val="22"/>
              <w:szCs w:val="22"/>
            </w:rPr>
            <w:ptab w:relativeTo="margin" w:alignment="right" w:leader="dot"/>
          </w:r>
          <w:r w:rsidR="006B2BA4">
            <w:rPr>
              <w:rFonts w:ascii="Times New Roman" w:hAnsi="Times New Roman"/>
              <w:sz w:val="22"/>
              <w:szCs w:val="22"/>
            </w:rPr>
            <w:t>5</w:t>
          </w:r>
          <w:r w:rsidR="00C35262">
            <w:rPr>
              <w:rFonts w:ascii="Times New Roman" w:hAnsi="Times New Roman"/>
              <w:sz w:val="22"/>
              <w:szCs w:val="22"/>
            </w:rPr>
            <w:t>6</w:t>
          </w:r>
        </w:p>
        <w:p w14:paraId="21F6E59B" w14:textId="6368785C" w:rsidR="000722A9" w:rsidRPr="002B1599" w:rsidRDefault="000722A9"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4.</w:t>
          </w:r>
          <w:r w:rsidRPr="002B1599">
            <w:rPr>
              <w:rFonts w:ascii="Times New Roman" w:hAnsi="Times New Roman"/>
              <w:sz w:val="22"/>
              <w:szCs w:val="22"/>
            </w:rPr>
            <w:tab/>
          </w:r>
          <w:r w:rsidRPr="002B1599">
            <w:rPr>
              <w:rFonts w:ascii="Times New Roman" w:hAnsi="Times New Roman"/>
              <w:sz w:val="22"/>
              <w:szCs w:val="22"/>
              <w:u w:val="single"/>
            </w:rPr>
            <w:t>The Commission should reject PIA Staff’s proposal to remove MDS costs as a basis for setting the BS</w:t>
          </w:r>
          <w:r w:rsidR="00146BAA">
            <w:rPr>
              <w:rFonts w:ascii="Times New Roman" w:hAnsi="Times New Roman"/>
              <w:sz w:val="22"/>
              <w:szCs w:val="22"/>
              <w:u w:val="single"/>
            </w:rPr>
            <w:t>C</w:t>
          </w:r>
          <w:r w:rsidRPr="002B1599">
            <w:rPr>
              <w:rFonts w:ascii="Times New Roman" w:hAnsi="Times New Roman"/>
              <w:sz w:val="22"/>
              <w:szCs w:val="22"/>
              <w:u w:val="single"/>
            </w:rPr>
            <w:t xml:space="preserve"> or stripping out the MDS effects on the monthly BSC it proposes.</w:t>
          </w:r>
          <w:r w:rsidRPr="002B1599">
            <w:rPr>
              <w:rFonts w:ascii="Times New Roman" w:hAnsi="Times New Roman"/>
              <w:sz w:val="22"/>
              <w:szCs w:val="22"/>
            </w:rPr>
            <w:ptab w:relativeTo="margin" w:alignment="right" w:leader="dot"/>
          </w:r>
          <w:r w:rsidR="006B2BA4">
            <w:rPr>
              <w:rFonts w:ascii="Times New Roman" w:hAnsi="Times New Roman"/>
              <w:sz w:val="22"/>
              <w:szCs w:val="22"/>
            </w:rPr>
            <w:t>5</w:t>
          </w:r>
          <w:r w:rsidR="00C35262">
            <w:rPr>
              <w:rFonts w:ascii="Times New Roman" w:hAnsi="Times New Roman"/>
              <w:sz w:val="22"/>
              <w:szCs w:val="22"/>
            </w:rPr>
            <w:t>7</w:t>
          </w:r>
        </w:p>
        <w:p w14:paraId="65CBEE1F" w14:textId="77777777" w:rsidR="009578E1" w:rsidRPr="002B1599" w:rsidRDefault="009578E1" w:rsidP="009578E1">
          <w:pPr>
            <w:pStyle w:val="TOC2"/>
            <w:spacing w:before="0"/>
            <w:ind w:left="720" w:hanging="504"/>
            <w:rPr>
              <w:b/>
              <w:i w:val="0"/>
              <w:sz w:val="22"/>
              <w:szCs w:val="22"/>
            </w:rPr>
          </w:pPr>
        </w:p>
        <w:p w14:paraId="3A68862E" w14:textId="77777777" w:rsidR="006B2BA4" w:rsidRDefault="00E56126" w:rsidP="009578E1">
          <w:pPr>
            <w:pStyle w:val="TOC2"/>
            <w:spacing w:before="0"/>
            <w:ind w:left="720" w:hanging="504"/>
            <w:rPr>
              <w:b/>
              <w:i w:val="0"/>
              <w:sz w:val="22"/>
              <w:szCs w:val="22"/>
            </w:rPr>
          </w:pPr>
          <w:r w:rsidRPr="002B1599">
            <w:rPr>
              <w:b/>
              <w:i w:val="0"/>
              <w:sz w:val="22"/>
              <w:szCs w:val="22"/>
            </w:rPr>
            <w:t>G.</w:t>
          </w:r>
          <w:r w:rsidRPr="002B1599">
            <w:rPr>
              <w:b/>
              <w:i w:val="0"/>
              <w:sz w:val="22"/>
              <w:szCs w:val="22"/>
            </w:rPr>
            <w:tab/>
          </w:r>
          <w:r w:rsidR="00F12AF1" w:rsidRPr="002B1599">
            <w:rPr>
              <w:b/>
              <w:i w:val="0"/>
              <w:sz w:val="22"/>
              <w:szCs w:val="22"/>
            </w:rPr>
            <w:t xml:space="preserve">The Company’s proposed increase to the BSC is a gradual move toward recovering </w:t>
          </w:r>
        </w:p>
        <w:p w14:paraId="16BB9B5E" w14:textId="77777777" w:rsidR="006B2BA4" w:rsidRDefault="006B2BA4" w:rsidP="009578E1">
          <w:pPr>
            <w:pStyle w:val="TOC2"/>
            <w:spacing w:before="0"/>
            <w:ind w:left="720" w:hanging="504"/>
            <w:rPr>
              <w:b/>
              <w:i w:val="0"/>
              <w:sz w:val="22"/>
              <w:szCs w:val="22"/>
            </w:rPr>
          </w:pPr>
          <w:r>
            <w:rPr>
              <w:b/>
              <w:i w:val="0"/>
              <w:sz w:val="22"/>
              <w:szCs w:val="22"/>
            </w:rPr>
            <w:tab/>
          </w:r>
          <w:r w:rsidR="00F12AF1" w:rsidRPr="002B1599">
            <w:rPr>
              <w:b/>
              <w:i w:val="0"/>
              <w:sz w:val="22"/>
              <w:szCs w:val="22"/>
            </w:rPr>
            <w:t xml:space="preserve">from customers the cost to serve them in a manner consistent with how the costs </w:t>
          </w:r>
        </w:p>
        <w:p w14:paraId="6E2635E2" w14:textId="1EDEDC24" w:rsidR="00E56126" w:rsidRPr="002B1599" w:rsidRDefault="006B2BA4" w:rsidP="009578E1">
          <w:pPr>
            <w:pStyle w:val="TOC2"/>
            <w:spacing w:before="0"/>
            <w:ind w:left="720" w:hanging="504"/>
            <w:rPr>
              <w:i w:val="0"/>
              <w:sz w:val="22"/>
              <w:szCs w:val="22"/>
            </w:rPr>
          </w:pPr>
          <w:r>
            <w:rPr>
              <w:b/>
              <w:i w:val="0"/>
              <w:sz w:val="22"/>
              <w:szCs w:val="22"/>
            </w:rPr>
            <w:tab/>
          </w:r>
          <w:r w:rsidR="00F12AF1" w:rsidRPr="002B1599">
            <w:rPr>
              <w:b/>
              <w:i w:val="0"/>
              <w:sz w:val="22"/>
              <w:szCs w:val="22"/>
            </w:rPr>
            <w:t xml:space="preserve">are incurred. </w:t>
          </w:r>
          <w:r w:rsidR="00E56126" w:rsidRPr="002B1599">
            <w:rPr>
              <w:b/>
              <w:sz w:val="22"/>
              <w:szCs w:val="22"/>
            </w:rPr>
            <w:t xml:space="preserve"> </w:t>
          </w:r>
          <w:r w:rsidR="00E56126" w:rsidRPr="002B1599">
            <w:rPr>
              <w:i w:val="0"/>
              <w:sz w:val="22"/>
              <w:szCs w:val="22"/>
            </w:rPr>
            <w:ptab w:relativeTo="margin" w:alignment="right" w:leader="dot"/>
          </w:r>
          <w:r w:rsidR="00E56126" w:rsidRPr="002B1599">
            <w:rPr>
              <w:i w:val="0"/>
              <w:sz w:val="22"/>
              <w:szCs w:val="22"/>
            </w:rPr>
            <w:t>5</w:t>
          </w:r>
          <w:r w:rsidR="00C35262">
            <w:rPr>
              <w:i w:val="0"/>
              <w:sz w:val="22"/>
              <w:szCs w:val="22"/>
            </w:rPr>
            <w:t>8</w:t>
          </w:r>
        </w:p>
        <w:p w14:paraId="6A00C3A7" w14:textId="77777777" w:rsidR="006B2BA4" w:rsidRDefault="000722A9"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w:t>
          </w:r>
          <w:r w:rsidRPr="002B1599">
            <w:rPr>
              <w:rFonts w:ascii="Times New Roman" w:hAnsi="Times New Roman"/>
              <w:sz w:val="22"/>
              <w:szCs w:val="22"/>
            </w:rPr>
            <w:tab/>
          </w:r>
          <w:r w:rsidR="00F12AF1" w:rsidRPr="002B1599">
            <w:rPr>
              <w:rFonts w:ascii="Times New Roman" w:hAnsi="Times New Roman"/>
              <w:sz w:val="22"/>
              <w:szCs w:val="22"/>
              <w:u w:val="single"/>
            </w:rPr>
            <w:t xml:space="preserve">The Company’s proposal will gradually increase the BSC over the proposed </w:t>
          </w:r>
        </w:p>
        <w:p w14:paraId="41E57697" w14:textId="77777777" w:rsidR="006B2BA4" w:rsidRDefault="006B2BA4" w:rsidP="009578E1">
          <w:pPr>
            <w:tabs>
              <w:tab w:val="left" w:pos="1080"/>
            </w:tabs>
            <w:ind w:left="1080" w:hanging="360"/>
            <w:rPr>
              <w:rFonts w:ascii="Times New Roman" w:hAnsi="Times New Roman"/>
              <w:sz w:val="22"/>
              <w:szCs w:val="22"/>
              <w:u w:val="single"/>
            </w:rPr>
          </w:pPr>
          <w:r w:rsidRPr="006B2BA4">
            <w:rPr>
              <w:rFonts w:ascii="Times New Roman" w:hAnsi="Times New Roman"/>
              <w:sz w:val="22"/>
              <w:szCs w:val="22"/>
            </w:rPr>
            <w:tab/>
          </w:r>
          <w:r w:rsidR="00F12AF1" w:rsidRPr="002B1599">
            <w:rPr>
              <w:rFonts w:ascii="Times New Roman" w:hAnsi="Times New Roman"/>
              <w:sz w:val="22"/>
              <w:szCs w:val="22"/>
              <w:u w:val="single"/>
            </w:rPr>
            <w:t xml:space="preserve">three-year period to more easily transition customers to paying for fixed costs </w:t>
          </w:r>
        </w:p>
        <w:p w14:paraId="08467124" w14:textId="0D51C33B" w:rsidR="000722A9"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F12AF1" w:rsidRPr="002B1599">
            <w:rPr>
              <w:rFonts w:ascii="Times New Roman" w:hAnsi="Times New Roman"/>
              <w:sz w:val="22"/>
              <w:szCs w:val="22"/>
              <w:u w:val="single"/>
            </w:rPr>
            <w:t>through fixed charges.</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Pr>
              <w:rFonts w:ascii="Times New Roman" w:hAnsi="Times New Roman"/>
              <w:sz w:val="22"/>
              <w:szCs w:val="22"/>
            </w:rPr>
            <w:t>5</w:t>
          </w:r>
          <w:r w:rsidR="00C35262">
            <w:rPr>
              <w:rFonts w:ascii="Times New Roman" w:hAnsi="Times New Roman"/>
              <w:sz w:val="22"/>
              <w:szCs w:val="22"/>
            </w:rPr>
            <w:t>8</w:t>
          </w:r>
        </w:p>
        <w:p w14:paraId="351ADAB3" w14:textId="77777777" w:rsidR="006B2BA4" w:rsidRDefault="000722A9"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2.</w:t>
          </w:r>
          <w:r w:rsidRPr="002B1599">
            <w:rPr>
              <w:rFonts w:ascii="Times New Roman" w:hAnsi="Times New Roman"/>
              <w:sz w:val="22"/>
              <w:szCs w:val="22"/>
            </w:rPr>
            <w:tab/>
          </w:r>
          <w:r w:rsidR="00F12AF1" w:rsidRPr="002B1599">
            <w:rPr>
              <w:rFonts w:ascii="Times New Roman" w:hAnsi="Times New Roman"/>
              <w:sz w:val="22"/>
              <w:szCs w:val="22"/>
              <w:u w:val="single"/>
            </w:rPr>
            <w:t xml:space="preserve">Continuing to collect the Company’s fixed costs to serve through variable energy </w:t>
          </w:r>
        </w:p>
        <w:p w14:paraId="709323A9" w14:textId="74181445" w:rsidR="000722A9" w:rsidRPr="008A27EF" w:rsidRDefault="006B2BA4" w:rsidP="008A27EF">
          <w:pPr>
            <w:tabs>
              <w:tab w:val="left" w:pos="1080"/>
            </w:tabs>
            <w:ind w:left="1080" w:hanging="360"/>
            <w:rPr>
              <w:rFonts w:ascii="Times New Roman" w:hAnsi="Times New Roman"/>
              <w:sz w:val="22"/>
              <w:szCs w:val="22"/>
              <w:u w:val="single"/>
            </w:rPr>
          </w:pPr>
          <w:r w:rsidRPr="006B2BA4">
            <w:rPr>
              <w:rFonts w:ascii="Times New Roman" w:hAnsi="Times New Roman"/>
              <w:sz w:val="22"/>
              <w:szCs w:val="22"/>
            </w:rPr>
            <w:tab/>
          </w:r>
          <w:r w:rsidR="00F12AF1" w:rsidRPr="002B1599">
            <w:rPr>
              <w:rFonts w:ascii="Times New Roman" w:hAnsi="Times New Roman"/>
              <w:sz w:val="22"/>
              <w:szCs w:val="22"/>
              <w:u w:val="single"/>
            </w:rPr>
            <w:t xml:space="preserve">rates as proposed by PIA Staff and Intervenors will lead to further cost shifting </w:t>
          </w:r>
          <w:r w:rsidR="000722A9" w:rsidRPr="002B1599">
            <w:rPr>
              <w:rFonts w:ascii="Times New Roman" w:hAnsi="Times New Roman"/>
              <w:sz w:val="22"/>
              <w:szCs w:val="22"/>
            </w:rPr>
            <w:ptab w:relativeTo="margin" w:alignment="right" w:leader="dot"/>
          </w:r>
          <w:r>
            <w:rPr>
              <w:rFonts w:ascii="Times New Roman" w:hAnsi="Times New Roman"/>
              <w:sz w:val="22"/>
              <w:szCs w:val="22"/>
            </w:rPr>
            <w:t>5</w:t>
          </w:r>
          <w:r w:rsidR="00C35262">
            <w:rPr>
              <w:rFonts w:ascii="Times New Roman" w:hAnsi="Times New Roman"/>
              <w:sz w:val="22"/>
              <w:szCs w:val="22"/>
            </w:rPr>
            <w:t>8</w:t>
          </w:r>
        </w:p>
        <w:p w14:paraId="3E6CB3AB" w14:textId="77777777" w:rsidR="00F12AF1" w:rsidRPr="002B1599" w:rsidRDefault="000722A9"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3.</w:t>
          </w:r>
          <w:r w:rsidRPr="002B1599">
            <w:rPr>
              <w:rFonts w:ascii="Times New Roman" w:hAnsi="Times New Roman"/>
              <w:sz w:val="22"/>
              <w:szCs w:val="22"/>
            </w:rPr>
            <w:tab/>
          </w:r>
          <w:r w:rsidR="00F12AF1" w:rsidRPr="002B1599">
            <w:rPr>
              <w:rFonts w:ascii="Times New Roman" w:hAnsi="Times New Roman"/>
              <w:sz w:val="22"/>
              <w:szCs w:val="22"/>
              <w:u w:val="single"/>
            </w:rPr>
            <w:t xml:space="preserve">The Company’s proposed change to the BSC does not discourage energy efficiency or </w:t>
          </w:r>
        </w:p>
        <w:p w14:paraId="46EDE1B7" w14:textId="67AEE710" w:rsidR="000722A9" w:rsidRPr="002B1599" w:rsidRDefault="00F12AF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distributed generation.</w:t>
          </w:r>
          <w:r w:rsidR="000722A9" w:rsidRPr="002B1599">
            <w:rPr>
              <w:rFonts w:ascii="Times New Roman" w:hAnsi="Times New Roman"/>
              <w:sz w:val="22"/>
              <w:szCs w:val="22"/>
            </w:rPr>
            <w:ptab w:relativeTo="margin" w:alignment="right" w:leader="dot"/>
          </w:r>
          <w:r w:rsidR="006B2BA4">
            <w:rPr>
              <w:rFonts w:ascii="Times New Roman" w:hAnsi="Times New Roman"/>
              <w:sz w:val="22"/>
              <w:szCs w:val="22"/>
            </w:rPr>
            <w:t>5</w:t>
          </w:r>
          <w:r w:rsidR="00C35262">
            <w:rPr>
              <w:rFonts w:ascii="Times New Roman" w:hAnsi="Times New Roman"/>
              <w:sz w:val="22"/>
              <w:szCs w:val="22"/>
            </w:rPr>
            <w:t>9</w:t>
          </w:r>
        </w:p>
        <w:p w14:paraId="21B955B2" w14:textId="156C5465" w:rsidR="000722A9" w:rsidRPr="002B1599" w:rsidRDefault="000722A9"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4.</w:t>
          </w:r>
          <w:r w:rsidRPr="002B1599">
            <w:rPr>
              <w:rFonts w:ascii="Times New Roman" w:hAnsi="Times New Roman"/>
              <w:sz w:val="22"/>
              <w:szCs w:val="22"/>
            </w:rPr>
            <w:tab/>
          </w:r>
          <w:r w:rsidR="00F12AF1" w:rsidRPr="002B1599">
            <w:rPr>
              <w:rFonts w:ascii="Times New Roman" w:hAnsi="Times New Roman"/>
              <w:sz w:val="22"/>
              <w:szCs w:val="22"/>
              <w:u w:val="single"/>
            </w:rPr>
            <w:t>The Company’s proposed increase to the BSC</w:t>
          </w:r>
          <w:r w:rsidR="008A27EF">
            <w:rPr>
              <w:rFonts w:ascii="Times New Roman" w:hAnsi="Times New Roman"/>
              <w:sz w:val="22"/>
              <w:szCs w:val="22"/>
              <w:u w:val="single"/>
            </w:rPr>
            <w:t xml:space="preserve"> for Domestic Rates</w:t>
          </w:r>
          <w:r w:rsidR="00F12AF1" w:rsidRPr="002B1599">
            <w:rPr>
              <w:rFonts w:ascii="Times New Roman" w:hAnsi="Times New Roman"/>
              <w:sz w:val="22"/>
              <w:szCs w:val="22"/>
              <w:u w:val="single"/>
            </w:rPr>
            <w:t xml:space="preserve"> has a minimal impact on low-income customers </w:t>
          </w:r>
          <w:r w:rsidRPr="002B1599">
            <w:rPr>
              <w:rFonts w:ascii="Times New Roman" w:hAnsi="Times New Roman"/>
              <w:sz w:val="22"/>
              <w:szCs w:val="22"/>
            </w:rPr>
            <w:ptab w:relativeTo="margin" w:alignment="right" w:leader="dot"/>
          </w:r>
          <w:r w:rsidR="006B2BA4">
            <w:rPr>
              <w:rFonts w:ascii="Times New Roman" w:hAnsi="Times New Roman"/>
              <w:sz w:val="22"/>
              <w:szCs w:val="22"/>
            </w:rPr>
            <w:t>5</w:t>
          </w:r>
          <w:r w:rsidR="00C35262">
            <w:rPr>
              <w:rFonts w:ascii="Times New Roman" w:hAnsi="Times New Roman"/>
              <w:sz w:val="22"/>
              <w:szCs w:val="22"/>
            </w:rPr>
            <w:t>9</w:t>
          </w:r>
        </w:p>
        <w:p w14:paraId="74B7B7B5" w14:textId="77777777" w:rsidR="00F12AF1" w:rsidRPr="002B1599" w:rsidRDefault="000722A9"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5.</w:t>
          </w:r>
          <w:r w:rsidRPr="002B1599">
            <w:rPr>
              <w:rFonts w:ascii="Times New Roman" w:hAnsi="Times New Roman"/>
              <w:sz w:val="22"/>
              <w:szCs w:val="22"/>
            </w:rPr>
            <w:tab/>
          </w:r>
          <w:r w:rsidR="00F12AF1" w:rsidRPr="002B1599">
            <w:rPr>
              <w:rFonts w:ascii="Times New Roman" w:hAnsi="Times New Roman"/>
              <w:sz w:val="22"/>
              <w:szCs w:val="22"/>
              <w:u w:val="single"/>
            </w:rPr>
            <w:t xml:space="preserve">The Company’s proposed change to the BSC is transparent and already accounts for the </w:t>
          </w:r>
        </w:p>
        <w:p w14:paraId="73D89AF1" w14:textId="6C3A0529" w:rsidR="000722A9" w:rsidRPr="002B1599" w:rsidRDefault="00F12AF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impacts of the ECCR, DSM, and MFF tariffs.</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sidR="00C35262">
            <w:rPr>
              <w:rFonts w:ascii="Times New Roman" w:hAnsi="Times New Roman"/>
              <w:sz w:val="22"/>
              <w:szCs w:val="22"/>
            </w:rPr>
            <w:t>60</w:t>
          </w:r>
        </w:p>
        <w:p w14:paraId="1BAE835B" w14:textId="77777777" w:rsidR="009578E1" w:rsidRPr="002B1599" w:rsidRDefault="009578E1" w:rsidP="009578E1">
          <w:pPr>
            <w:pStyle w:val="TOC2"/>
            <w:spacing w:before="0"/>
            <w:ind w:left="720" w:hanging="504"/>
            <w:rPr>
              <w:b/>
              <w:i w:val="0"/>
              <w:sz w:val="22"/>
              <w:szCs w:val="22"/>
            </w:rPr>
          </w:pPr>
        </w:p>
        <w:p w14:paraId="4AEE08FA" w14:textId="73ABA8B6" w:rsidR="00E56126" w:rsidRPr="002B1599" w:rsidRDefault="00E56126" w:rsidP="009578E1">
          <w:pPr>
            <w:pStyle w:val="TOC2"/>
            <w:spacing w:before="0"/>
            <w:ind w:left="720" w:hanging="504"/>
            <w:rPr>
              <w:i w:val="0"/>
              <w:sz w:val="22"/>
              <w:szCs w:val="22"/>
            </w:rPr>
          </w:pPr>
          <w:r w:rsidRPr="002B1599">
            <w:rPr>
              <w:b/>
              <w:i w:val="0"/>
              <w:sz w:val="22"/>
              <w:szCs w:val="22"/>
            </w:rPr>
            <w:t>H.</w:t>
          </w:r>
          <w:r w:rsidRPr="002B1599">
            <w:rPr>
              <w:b/>
              <w:i w:val="0"/>
              <w:sz w:val="22"/>
              <w:szCs w:val="22"/>
            </w:rPr>
            <w:tab/>
          </w:r>
          <w:r w:rsidR="00555994" w:rsidRPr="00555994">
            <w:rPr>
              <w:b/>
              <w:i w:val="0"/>
              <w:sz w:val="22"/>
              <w:szCs w:val="22"/>
            </w:rPr>
            <w:t>The Company’s residential rate design recommendations are in the best interest of customers, and the Commission should approve them</w:t>
          </w:r>
          <w:r w:rsidRPr="002B1599">
            <w:rPr>
              <w:b/>
              <w:sz w:val="22"/>
              <w:szCs w:val="22"/>
            </w:rPr>
            <w:t xml:space="preserve">. </w:t>
          </w:r>
          <w:r w:rsidRPr="002B1599">
            <w:rPr>
              <w:i w:val="0"/>
              <w:sz w:val="22"/>
              <w:szCs w:val="22"/>
            </w:rPr>
            <w:ptab w:relativeTo="margin" w:alignment="right" w:leader="dot"/>
          </w:r>
          <w:r w:rsidR="00C35262">
            <w:rPr>
              <w:i w:val="0"/>
              <w:sz w:val="22"/>
              <w:szCs w:val="22"/>
            </w:rPr>
            <w:t>61</w:t>
          </w:r>
        </w:p>
        <w:p w14:paraId="578298F4" w14:textId="77777777" w:rsidR="006B2BA4" w:rsidRDefault="000722A9"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w:t>
          </w:r>
          <w:r w:rsidRPr="002B1599">
            <w:rPr>
              <w:rFonts w:ascii="Times New Roman" w:hAnsi="Times New Roman"/>
              <w:sz w:val="22"/>
              <w:szCs w:val="22"/>
            </w:rPr>
            <w:tab/>
          </w:r>
          <w:r w:rsidR="00F12AF1" w:rsidRPr="002B1599">
            <w:rPr>
              <w:rFonts w:ascii="Times New Roman" w:hAnsi="Times New Roman"/>
              <w:sz w:val="22"/>
              <w:szCs w:val="22"/>
              <w:u w:val="single"/>
            </w:rPr>
            <w:t xml:space="preserve">Changes to the ‘R’ Tariff as proposed by PIA Staff to adjust the block tiers or </w:t>
          </w:r>
        </w:p>
        <w:p w14:paraId="47E29A0C" w14:textId="511C5B88" w:rsidR="000722A9"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F12AF1" w:rsidRPr="002B1599">
            <w:rPr>
              <w:rFonts w:ascii="Times New Roman" w:hAnsi="Times New Roman"/>
              <w:sz w:val="22"/>
              <w:szCs w:val="22"/>
              <w:u w:val="single"/>
            </w:rPr>
            <w:t>eliminate the declining winter rate structure are unnecessary.</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sidR="00C35262">
            <w:rPr>
              <w:rFonts w:ascii="Times New Roman" w:hAnsi="Times New Roman"/>
              <w:sz w:val="22"/>
              <w:szCs w:val="22"/>
            </w:rPr>
            <w:t>61</w:t>
          </w:r>
        </w:p>
        <w:p w14:paraId="38477FDE" w14:textId="77777777" w:rsidR="005A188C" w:rsidRDefault="00F12AF1" w:rsidP="009578E1">
          <w:pPr>
            <w:pStyle w:val="TOC2"/>
            <w:tabs>
              <w:tab w:val="clear" w:pos="720"/>
              <w:tab w:val="left" w:pos="1440"/>
            </w:tabs>
            <w:spacing w:before="0"/>
            <w:ind w:left="1440" w:hanging="360"/>
            <w:rPr>
              <w:iCs/>
              <w:sz w:val="22"/>
              <w:szCs w:val="22"/>
            </w:rPr>
          </w:pPr>
          <w:r w:rsidRPr="002B1599">
            <w:rPr>
              <w:iCs/>
              <w:sz w:val="22"/>
              <w:szCs w:val="22"/>
            </w:rPr>
            <w:t>a.</w:t>
          </w:r>
          <w:r w:rsidRPr="002B1599">
            <w:rPr>
              <w:iCs/>
              <w:sz w:val="22"/>
              <w:szCs w:val="22"/>
            </w:rPr>
            <w:tab/>
            <w:t xml:space="preserve">The Commission should reject PIA Staff and Intervenor requests to modify the </w:t>
          </w:r>
        </w:p>
        <w:p w14:paraId="5318BB3E" w14:textId="0D1FC659" w:rsidR="00F12AF1" w:rsidRPr="002B1599" w:rsidRDefault="005A188C" w:rsidP="009578E1">
          <w:pPr>
            <w:pStyle w:val="TOC2"/>
            <w:tabs>
              <w:tab w:val="clear" w:pos="720"/>
              <w:tab w:val="left" w:pos="1440"/>
            </w:tabs>
            <w:spacing w:before="0"/>
            <w:ind w:left="1440" w:hanging="360"/>
            <w:rPr>
              <w:sz w:val="22"/>
              <w:szCs w:val="22"/>
            </w:rPr>
          </w:pPr>
          <w:r>
            <w:rPr>
              <w:iCs/>
              <w:sz w:val="22"/>
              <w:szCs w:val="22"/>
            </w:rPr>
            <w:tab/>
          </w:r>
          <w:r w:rsidR="00F12AF1" w:rsidRPr="002B1599">
            <w:rPr>
              <w:iCs/>
              <w:sz w:val="22"/>
              <w:szCs w:val="22"/>
            </w:rPr>
            <w:t>declining winter block rate structure in the ‘R’ Rate and implement a flat rate</w:t>
          </w:r>
          <w:r w:rsidR="00F12AF1" w:rsidRPr="002B1599">
            <w:rPr>
              <w:sz w:val="22"/>
              <w:szCs w:val="22"/>
            </w:rPr>
            <w:ptab w:relativeTo="margin" w:alignment="right" w:leader="dot"/>
          </w:r>
          <w:r w:rsidR="00C35262" w:rsidRPr="00C35262">
            <w:rPr>
              <w:i w:val="0"/>
              <w:sz w:val="22"/>
              <w:szCs w:val="22"/>
            </w:rPr>
            <w:t>61</w:t>
          </w:r>
        </w:p>
        <w:p w14:paraId="0A128214" w14:textId="77777777" w:rsidR="005A188C" w:rsidRDefault="00F12AF1" w:rsidP="009578E1">
          <w:pPr>
            <w:pStyle w:val="TOC2"/>
            <w:tabs>
              <w:tab w:val="clear" w:pos="720"/>
              <w:tab w:val="left" w:pos="1440"/>
            </w:tabs>
            <w:spacing w:before="0"/>
            <w:ind w:left="1440" w:hanging="360"/>
            <w:rPr>
              <w:iCs/>
              <w:sz w:val="22"/>
              <w:szCs w:val="22"/>
            </w:rPr>
          </w:pPr>
          <w:r w:rsidRPr="002B1599">
            <w:rPr>
              <w:iCs/>
              <w:sz w:val="22"/>
              <w:szCs w:val="22"/>
            </w:rPr>
            <w:t>b.</w:t>
          </w:r>
          <w:r w:rsidRPr="002B1599">
            <w:rPr>
              <w:iCs/>
              <w:sz w:val="22"/>
              <w:szCs w:val="22"/>
            </w:rPr>
            <w:tab/>
            <w:t xml:space="preserve">There is no need for an ultra-low use tier in the Company’s ‘R’ Rate and the </w:t>
          </w:r>
        </w:p>
        <w:p w14:paraId="57AF2D20" w14:textId="2FDB235E" w:rsidR="00F12AF1" w:rsidRDefault="005A188C" w:rsidP="009578E1">
          <w:pPr>
            <w:pStyle w:val="TOC2"/>
            <w:tabs>
              <w:tab w:val="clear" w:pos="720"/>
              <w:tab w:val="left" w:pos="1440"/>
            </w:tabs>
            <w:spacing w:before="0"/>
            <w:ind w:left="1440" w:hanging="360"/>
            <w:rPr>
              <w:sz w:val="22"/>
              <w:szCs w:val="22"/>
            </w:rPr>
          </w:pPr>
          <w:r>
            <w:rPr>
              <w:iCs/>
              <w:sz w:val="22"/>
              <w:szCs w:val="22"/>
            </w:rPr>
            <w:tab/>
          </w:r>
          <w:r w:rsidR="00F12AF1" w:rsidRPr="002B1599">
            <w:rPr>
              <w:iCs/>
              <w:sz w:val="22"/>
              <w:szCs w:val="22"/>
            </w:rPr>
            <w:t>Commission should reject PIA Staff requests to reset the tiered block thresholds.</w:t>
          </w:r>
          <w:r w:rsidR="00F12AF1" w:rsidRPr="002B1599">
            <w:rPr>
              <w:sz w:val="22"/>
              <w:szCs w:val="22"/>
            </w:rPr>
            <w:ptab w:relativeTo="margin" w:alignment="right" w:leader="dot"/>
          </w:r>
          <w:r w:rsidR="00C35262" w:rsidRPr="00C35262">
            <w:rPr>
              <w:i w:val="0"/>
              <w:sz w:val="22"/>
              <w:szCs w:val="22"/>
            </w:rPr>
            <w:t>62</w:t>
          </w:r>
        </w:p>
        <w:p w14:paraId="5E2993FA" w14:textId="77777777" w:rsidR="005A188C" w:rsidRDefault="005A188C" w:rsidP="005A188C">
          <w:pPr>
            <w:pStyle w:val="TOC2"/>
            <w:tabs>
              <w:tab w:val="clear" w:pos="720"/>
              <w:tab w:val="left" w:pos="1440"/>
            </w:tabs>
            <w:spacing w:before="0"/>
            <w:ind w:left="1440" w:hanging="360"/>
            <w:rPr>
              <w:iCs/>
              <w:sz w:val="22"/>
              <w:szCs w:val="22"/>
            </w:rPr>
          </w:pPr>
          <w:r>
            <w:rPr>
              <w:iCs/>
              <w:sz w:val="22"/>
              <w:szCs w:val="22"/>
            </w:rPr>
            <w:t>c.</w:t>
          </w:r>
          <w:r w:rsidRPr="002B1599">
            <w:rPr>
              <w:iCs/>
              <w:sz w:val="22"/>
              <w:szCs w:val="22"/>
            </w:rPr>
            <w:tab/>
          </w:r>
          <w:r w:rsidRPr="005A188C">
            <w:rPr>
              <w:iCs/>
              <w:sz w:val="22"/>
              <w:szCs w:val="22"/>
            </w:rPr>
            <w:t xml:space="preserve">PIA Staff has not fully analyzed the impacts of the changes to the ‘R’ Rate it </w:t>
          </w:r>
        </w:p>
        <w:p w14:paraId="6AA103EC" w14:textId="465658B7" w:rsidR="005A188C" w:rsidRPr="005A188C" w:rsidRDefault="005A188C" w:rsidP="005A188C">
          <w:pPr>
            <w:pStyle w:val="TOC2"/>
            <w:tabs>
              <w:tab w:val="clear" w:pos="720"/>
              <w:tab w:val="left" w:pos="1440"/>
            </w:tabs>
            <w:spacing w:before="0"/>
            <w:ind w:left="1440" w:hanging="360"/>
            <w:rPr>
              <w:sz w:val="22"/>
              <w:szCs w:val="22"/>
            </w:rPr>
          </w:pPr>
          <w:r>
            <w:rPr>
              <w:iCs/>
              <w:sz w:val="22"/>
              <w:szCs w:val="22"/>
            </w:rPr>
            <w:tab/>
          </w:r>
          <w:r w:rsidRPr="005A188C">
            <w:rPr>
              <w:iCs/>
              <w:sz w:val="22"/>
              <w:szCs w:val="22"/>
            </w:rPr>
            <w:t>recommends</w:t>
          </w:r>
          <w:r w:rsidR="007414CF">
            <w:rPr>
              <w:iCs/>
              <w:sz w:val="22"/>
              <w:szCs w:val="22"/>
            </w:rPr>
            <w:t>,</w:t>
          </w:r>
          <w:r w:rsidRPr="005A188C">
            <w:rPr>
              <w:iCs/>
              <w:sz w:val="22"/>
              <w:szCs w:val="22"/>
            </w:rPr>
            <w:t xml:space="preserve"> and the Commission should reject PIA Staff’s proposals to avoid unintentional harm on the Company’s residential customers</w:t>
          </w:r>
          <w:r w:rsidRPr="002B1599">
            <w:rPr>
              <w:sz w:val="22"/>
              <w:szCs w:val="22"/>
            </w:rPr>
            <w:ptab w:relativeTo="margin" w:alignment="right" w:leader="dot"/>
          </w:r>
          <w:r w:rsidR="00C35262" w:rsidRPr="00C35262">
            <w:rPr>
              <w:i w:val="0"/>
              <w:sz w:val="22"/>
              <w:szCs w:val="22"/>
            </w:rPr>
            <w:t>62</w:t>
          </w:r>
        </w:p>
        <w:p w14:paraId="4198E352" w14:textId="160F4860" w:rsidR="000722A9" w:rsidRPr="002B1599" w:rsidRDefault="00F12AF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2</w:t>
          </w:r>
          <w:r w:rsidR="000722A9" w:rsidRPr="002B1599">
            <w:rPr>
              <w:rFonts w:ascii="Times New Roman" w:hAnsi="Times New Roman"/>
              <w:sz w:val="22"/>
              <w:szCs w:val="22"/>
            </w:rPr>
            <w:t>.</w:t>
          </w:r>
          <w:r w:rsidR="000722A9" w:rsidRPr="002B1599">
            <w:rPr>
              <w:rFonts w:ascii="Times New Roman" w:hAnsi="Times New Roman"/>
              <w:sz w:val="22"/>
              <w:szCs w:val="22"/>
            </w:rPr>
            <w:tab/>
          </w:r>
          <w:r w:rsidRPr="002B1599">
            <w:rPr>
              <w:rFonts w:ascii="Times New Roman" w:hAnsi="Times New Roman"/>
              <w:sz w:val="22"/>
              <w:szCs w:val="22"/>
              <w:u w:val="single"/>
            </w:rPr>
            <w:t>Closing the ‘R’ Rate to new residential premises is an appropriate and gradual first step toward modernizing the Company’s rate offerings</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sidR="000722A9" w:rsidRPr="002B1599">
            <w:rPr>
              <w:rFonts w:ascii="Times New Roman" w:hAnsi="Times New Roman"/>
              <w:sz w:val="22"/>
              <w:szCs w:val="22"/>
            </w:rPr>
            <w:t>6</w:t>
          </w:r>
          <w:r w:rsidR="00C35262">
            <w:rPr>
              <w:rFonts w:ascii="Times New Roman" w:hAnsi="Times New Roman"/>
              <w:sz w:val="22"/>
              <w:szCs w:val="22"/>
            </w:rPr>
            <w:t>3</w:t>
          </w:r>
        </w:p>
        <w:p w14:paraId="6915ECA7" w14:textId="77777777" w:rsidR="00F12AF1" w:rsidRPr="002B1599" w:rsidRDefault="00F12AF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3</w:t>
          </w:r>
          <w:r w:rsidR="000722A9" w:rsidRPr="002B1599">
            <w:rPr>
              <w:rFonts w:ascii="Times New Roman" w:hAnsi="Times New Roman"/>
              <w:sz w:val="22"/>
              <w:szCs w:val="22"/>
            </w:rPr>
            <w:t>.</w:t>
          </w:r>
          <w:r w:rsidR="000722A9" w:rsidRPr="002B1599">
            <w:rPr>
              <w:rFonts w:ascii="Times New Roman" w:hAnsi="Times New Roman"/>
              <w:sz w:val="22"/>
              <w:szCs w:val="22"/>
            </w:rPr>
            <w:tab/>
          </w:r>
          <w:r w:rsidRPr="002B1599">
            <w:rPr>
              <w:rFonts w:ascii="Times New Roman" w:hAnsi="Times New Roman"/>
              <w:sz w:val="22"/>
              <w:szCs w:val="22"/>
              <w:u w:val="single"/>
            </w:rPr>
            <w:t xml:space="preserve">TOU-RD is an appropriate default rate for new premises and is less volatile than the </w:t>
          </w:r>
        </w:p>
        <w:p w14:paraId="69D81E27" w14:textId="4C374A8A" w:rsidR="000722A9" w:rsidRPr="002B1599" w:rsidRDefault="00F12AF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TOU-REO rate.</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sidR="000722A9" w:rsidRPr="002B1599">
            <w:rPr>
              <w:rFonts w:ascii="Times New Roman" w:hAnsi="Times New Roman"/>
              <w:sz w:val="22"/>
              <w:szCs w:val="22"/>
            </w:rPr>
            <w:t>6</w:t>
          </w:r>
          <w:r w:rsidR="00C35262">
            <w:rPr>
              <w:rFonts w:ascii="Times New Roman" w:hAnsi="Times New Roman"/>
              <w:sz w:val="22"/>
              <w:szCs w:val="22"/>
            </w:rPr>
            <w:t>4</w:t>
          </w:r>
        </w:p>
        <w:p w14:paraId="1524B1CB" w14:textId="77777777" w:rsidR="006B2BA4" w:rsidRDefault="00F12AF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4</w:t>
          </w:r>
          <w:r w:rsidR="000722A9" w:rsidRPr="002B1599">
            <w:rPr>
              <w:rFonts w:ascii="Times New Roman" w:hAnsi="Times New Roman"/>
              <w:sz w:val="22"/>
              <w:szCs w:val="22"/>
            </w:rPr>
            <w:t>.</w:t>
          </w:r>
          <w:r w:rsidR="000722A9" w:rsidRPr="002B1599">
            <w:rPr>
              <w:rFonts w:ascii="Times New Roman" w:hAnsi="Times New Roman"/>
              <w:sz w:val="22"/>
              <w:szCs w:val="22"/>
            </w:rPr>
            <w:tab/>
          </w:r>
          <w:r w:rsidRPr="002B1599">
            <w:rPr>
              <w:rFonts w:ascii="Times New Roman" w:hAnsi="Times New Roman"/>
              <w:sz w:val="22"/>
              <w:szCs w:val="22"/>
              <w:u w:val="single"/>
            </w:rPr>
            <w:t xml:space="preserve">Changing the demand component of the TOU-RD rate to a limited peaking window </w:t>
          </w:r>
        </w:p>
        <w:p w14:paraId="456F0FFD" w14:textId="4E7292C5" w:rsidR="000722A9"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F12AF1" w:rsidRPr="002B1599">
            <w:rPr>
              <w:rFonts w:ascii="Times New Roman" w:hAnsi="Times New Roman"/>
              <w:sz w:val="22"/>
              <w:szCs w:val="22"/>
              <w:u w:val="single"/>
            </w:rPr>
            <w:t>would increase the volatility and make the rate less stable.</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sidR="000722A9" w:rsidRPr="002B1599">
            <w:rPr>
              <w:rFonts w:ascii="Times New Roman" w:hAnsi="Times New Roman"/>
              <w:sz w:val="22"/>
              <w:szCs w:val="22"/>
            </w:rPr>
            <w:t>6</w:t>
          </w:r>
          <w:r w:rsidR="00C35262">
            <w:rPr>
              <w:rFonts w:ascii="Times New Roman" w:hAnsi="Times New Roman"/>
              <w:sz w:val="22"/>
              <w:szCs w:val="22"/>
            </w:rPr>
            <w:t>5</w:t>
          </w:r>
        </w:p>
        <w:p w14:paraId="7841987A" w14:textId="77777777" w:rsidR="006B2BA4" w:rsidRDefault="00F12AF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lastRenderedPageBreak/>
            <w:t>5</w:t>
          </w:r>
          <w:r w:rsidR="000722A9" w:rsidRPr="002B1599">
            <w:rPr>
              <w:rFonts w:ascii="Times New Roman" w:hAnsi="Times New Roman"/>
              <w:sz w:val="22"/>
              <w:szCs w:val="22"/>
            </w:rPr>
            <w:t>.</w:t>
          </w:r>
          <w:r w:rsidR="000722A9" w:rsidRPr="002B1599">
            <w:rPr>
              <w:rFonts w:ascii="Times New Roman" w:hAnsi="Times New Roman"/>
              <w:sz w:val="22"/>
              <w:szCs w:val="22"/>
            </w:rPr>
            <w:tab/>
          </w:r>
          <w:r w:rsidRPr="002B1599">
            <w:rPr>
              <w:rFonts w:ascii="Times New Roman" w:hAnsi="Times New Roman"/>
              <w:sz w:val="22"/>
              <w:szCs w:val="22"/>
              <w:u w:val="single"/>
            </w:rPr>
            <w:t xml:space="preserve">The Company’s residential rates provide sufficient optionality for customers and </w:t>
          </w:r>
        </w:p>
        <w:p w14:paraId="394DCFDD" w14:textId="6DBADE3C" w:rsidR="000722A9"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F12AF1" w:rsidRPr="002B1599">
            <w:rPr>
              <w:rFonts w:ascii="Times New Roman" w:hAnsi="Times New Roman"/>
              <w:sz w:val="22"/>
              <w:szCs w:val="22"/>
              <w:u w:val="single"/>
            </w:rPr>
            <w:t>should be adopted as revised by Georgia Power</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sidR="000722A9" w:rsidRPr="002B1599">
            <w:rPr>
              <w:rFonts w:ascii="Times New Roman" w:hAnsi="Times New Roman"/>
              <w:sz w:val="22"/>
              <w:szCs w:val="22"/>
            </w:rPr>
            <w:t>6</w:t>
          </w:r>
          <w:r w:rsidR="008D77FB">
            <w:rPr>
              <w:rFonts w:ascii="Times New Roman" w:hAnsi="Times New Roman"/>
              <w:sz w:val="22"/>
              <w:szCs w:val="22"/>
            </w:rPr>
            <w:t>5</w:t>
          </w:r>
        </w:p>
        <w:p w14:paraId="2FE53EA9" w14:textId="77777777" w:rsidR="009578E1" w:rsidRPr="002B1599" w:rsidRDefault="00F12AF1" w:rsidP="009578E1">
          <w:pPr>
            <w:pStyle w:val="TOC2"/>
            <w:tabs>
              <w:tab w:val="clear" w:pos="720"/>
              <w:tab w:val="left" w:pos="1440"/>
            </w:tabs>
            <w:spacing w:before="0"/>
            <w:ind w:left="1440" w:hanging="360"/>
            <w:rPr>
              <w:iCs/>
              <w:sz w:val="22"/>
              <w:szCs w:val="22"/>
            </w:rPr>
          </w:pPr>
          <w:r w:rsidRPr="002B1599">
            <w:rPr>
              <w:iCs/>
              <w:sz w:val="22"/>
              <w:szCs w:val="22"/>
            </w:rPr>
            <w:t>a.</w:t>
          </w:r>
          <w:r w:rsidRPr="002B1599">
            <w:rPr>
              <w:iCs/>
              <w:sz w:val="22"/>
              <w:szCs w:val="22"/>
            </w:rPr>
            <w:tab/>
            <w:t xml:space="preserve">The Commission should reject PIA Staff’s recommendation to replace FlatBill </w:t>
          </w:r>
        </w:p>
        <w:p w14:paraId="6E1EB5F1" w14:textId="77777777" w:rsidR="009578E1" w:rsidRPr="002B1599" w:rsidRDefault="009578E1" w:rsidP="009578E1">
          <w:pPr>
            <w:pStyle w:val="TOC2"/>
            <w:tabs>
              <w:tab w:val="clear" w:pos="720"/>
              <w:tab w:val="left" w:pos="1440"/>
            </w:tabs>
            <w:spacing w:before="0"/>
            <w:ind w:left="1440" w:hanging="360"/>
            <w:rPr>
              <w:iCs/>
              <w:sz w:val="22"/>
              <w:szCs w:val="22"/>
            </w:rPr>
          </w:pPr>
          <w:r w:rsidRPr="002B1599">
            <w:rPr>
              <w:iCs/>
              <w:sz w:val="22"/>
              <w:szCs w:val="22"/>
            </w:rPr>
            <w:tab/>
          </w:r>
          <w:r w:rsidR="00F12AF1" w:rsidRPr="002B1599">
            <w:rPr>
              <w:iCs/>
              <w:sz w:val="22"/>
              <w:szCs w:val="22"/>
            </w:rPr>
            <w:t xml:space="preserve">First Year with Budget Bill First Year and approve the Company’s FlatBill </w:t>
          </w:r>
        </w:p>
        <w:p w14:paraId="1F0F0C69" w14:textId="31F9F341" w:rsidR="00F12AF1" w:rsidRPr="002B1599" w:rsidRDefault="009578E1" w:rsidP="009578E1">
          <w:pPr>
            <w:pStyle w:val="TOC2"/>
            <w:tabs>
              <w:tab w:val="clear" w:pos="720"/>
              <w:tab w:val="left" w:pos="1440"/>
            </w:tabs>
            <w:spacing w:before="0"/>
            <w:ind w:left="1440" w:hanging="360"/>
            <w:rPr>
              <w:sz w:val="22"/>
              <w:szCs w:val="22"/>
            </w:rPr>
          </w:pPr>
          <w:r w:rsidRPr="002B1599">
            <w:rPr>
              <w:iCs/>
              <w:sz w:val="22"/>
              <w:szCs w:val="22"/>
            </w:rPr>
            <w:tab/>
          </w:r>
          <w:r w:rsidR="00F12AF1" w:rsidRPr="002B1599">
            <w:rPr>
              <w:iCs/>
              <w:sz w:val="22"/>
              <w:szCs w:val="22"/>
            </w:rPr>
            <w:t>First Year program.</w:t>
          </w:r>
          <w:r w:rsidR="00F12AF1" w:rsidRPr="002B1599">
            <w:rPr>
              <w:sz w:val="22"/>
              <w:szCs w:val="22"/>
            </w:rPr>
            <w:ptab w:relativeTo="margin" w:alignment="right" w:leader="dot"/>
          </w:r>
          <w:r w:rsidR="006B2BA4" w:rsidRPr="008D77FB">
            <w:rPr>
              <w:i w:val="0"/>
              <w:sz w:val="22"/>
              <w:szCs w:val="22"/>
            </w:rPr>
            <w:t>6</w:t>
          </w:r>
          <w:r w:rsidR="008D77FB" w:rsidRPr="008D77FB">
            <w:rPr>
              <w:i w:val="0"/>
              <w:sz w:val="22"/>
              <w:szCs w:val="22"/>
            </w:rPr>
            <w:t>6</w:t>
          </w:r>
        </w:p>
        <w:p w14:paraId="48A7CD56" w14:textId="77777777" w:rsidR="006B2BA4" w:rsidRDefault="00F12AF1" w:rsidP="009578E1">
          <w:pPr>
            <w:pStyle w:val="TOC2"/>
            <w:tabs>
              <w:tab w:val="clear" w:pos="720"/>
              <w:tab w:val="left" w:pos="1440"/>
            </w:tabs>
            <w:spacing w:before="0"/>
            <w:ind w:left="1440" w:hanging="360"/>
            <w:rPr>
              <w:iCs/>
              <w:sz w:val="22"/>
              <w:szCs w:val="22"/>
            </w:rPr>
          </w:pPr>
          <w:r w:rsidRPr="002B1599">
            <w:rPr>
              <w:iCs/>
              <w:sz w:val="22"/>
              <w:szCs w:val="22"/>
            </w:rPr>
            <w:t>b.</w:t>
          </w:r>
          <w:r w:rsidRPr="002B1599">
            <w:rPr>
              <w:iCs/>
              <w:sz w:val="22"/>
              <w:szCs w:val="22"/>
            </w:rPr>
            <w:tab/>
          </w:r>
          <w:r w:rsidR="009578E1" w:rsidRPr="002B1599">
            <w:rPr>
              <w:iCs/>
              <w:sz w:val="22"/>
              <w:szCs w:val="22"/>
            </w:rPr>
            <w:t xml:space="preserve">The Commission should approve the Company’s proposal to expand its rate </w:t>
          </w:r>
        </w:p>
        <w:p w14:paraId="193FE81F" w14:textId="600D722E" w:rsidR="00F12AF1" w:rsidRPr="002B1599" w:rsidRDefault="006B2BA4" w:rsidP="009578E1">
          <w:pPr>
            <w:pStyle w:val="TOC2"/>
            <w:tabs>
              <w:tab w:val="clear" w:pos="720"/>
              <w:tab w:val="left" w:pos="1440"/>
            </w:tabs>
            <w:spacing w:before="0"/>
            <w:ind w:left="1440" w:hanging="360"/>
            <w:rPr>
              <w:sz w:val="22"/>
              <w:szCs w:val="22"/>
            </w:rPr>
          </w:pPr>
          <w:r>
            <w:rPr>
              <w:iCs/>
              <w:sz w:val="22"/>
              <w:szCs w:val="22"/>
            </w:rPr>
            <w:tab/>
            <w:t>o</w:t>
          </w:r>
          <w:r w:rsidR="009578E1" w:rsidRPr="002B1599">
            <w:rPr>
              <w:iCs/>
              <w:sz w:val="22"/>
              <w:szCs w:val="22"/>
            </w:rPr>
            <w:t>fferings with the Pay by Day program.</w:t>
          </w:r>
          <w:r w:rsidR="00F12AF1" w:rsidRPr="002B1599">
            <w:rPr>
              <w:sz w:val="22"/>
              <w:szCs w:val="22"/>
            </w:rPr>
            <w:ptab w:relativeTo="margin" w:alignment="right" w:leader="dot"/>
          </w:r>
          <w:r w:rsidRPr="008D77FB">
            <w:rPr>
              <w:i w:val="0"/>
              <w:sz w:val="22"/>
              <w:szCs w:val="22"/>
            </w:rPr>
            <w:t>6</w:t>
          </w:r>
          <w:r w:rsidR="008D77FB" w:rsidRPr="008D77FB">
            <w:rPr>
              <w:i w:val="0"/>
              <w:sz w:val="22"/>
              <w:szCs w:val="22"/>
            </w:rPr>
            <w:t>8</w:t>
          </w:r>
        </w:p>
        <w:p w14:paraId="34AC14CC" w14:textId="77777777" w:rsidR="00F12AF1" w:rsidRPr="002B1599" w:rsidRDefault="00F12AF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6</w:t>
          </w:r>
          <w:r w:rsidR="000722A9" w:rsidRPr="002B1599">
            <w:rPr>
              <w:rFonts w:ascii="Times New Roman" w:hAnsi="Times New Roman"/>
              <w:sz w:val="22"/>
              <w:szCs w:val="22"/>
            </w:rPr>
            <w:t>.</w:t>
          </w:r>
          <w:r w:rsidR="000722A9" w:rsidRPr="002B1599">
            <w:rPr>
              <w:rFonts w:ascii="Times New Roman" w:hAnsi="Times New Roman"/>
              <w:sz w:val="22"/>
              <w:szCs w:val="22"/>
            </w:rPr>
            <w:tab/>
          </w:r>
          <w:r w:rsidRPr="002B1599">
            <w:rPr>
              <w:rFonts w:ascii="Times New Roman" w:hAnsi="Times New Roman"/>
              <w:sz w:val="22"/>
              <w:szCs w:val="22"/>
              <w:u w:val="single"/>
            </w:rPr>
            <w:t xml:space="preserve">The Company’s gradual movement towards more modern rates as proposed by the </w:t>
          </w:r>
        </w:p>
        <w:p w14:paraId="216A3765" w14:textId="48F7AFD4" w:rsidR="000722A9" w:rsidRPr="002B1599" w:rsidRDefault="00F12AF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Company in this rate case should be encouraged.</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sidR="000722A9" w:rsidRPr="002B1599">
            <w:rPr>
              <w:rFonts w:ascii="Times New Roman" w:hAnsi="Times New Roman"/>
              <w:sz w:val="22"/>
              <w:szCs w:val="22"/>
            </w:rPr>
            <w:t>6</w:t>
          </w:r>
          <w:r w:rsidR="008D77FB">
            <w:rPr>
              <w:rFonts w:ascii="Times New Roman" w:hAnsi="Times New Roman"/>
              <w:sz w:val="22"/>
              <w:szCs w:val="22"/>
            </w:rPr>
            <w:t>9</w:t>
          </w:r>
        </w:p>
        <w:p w14:paraId="2D1E27D7" w14:textId="77777777" w:rsidR="009578E1" w:rsidRPr="002B1599" w:rsidRDefault="009578E1" w:rsidP="009578E1">
          <w:pPr>
            <w:pStyle w:val="TOC2"/>
            <w:spacing w:before="0"/>
            <w:ind w:left="720" w:hanging="504"/>
            <w:rPr>
              <w:b/>
              <w:i w:val="0"/>
              <w:sz w:val="22"/>
              <w:szCs w:val="22"/>
            </w:rPr>
          </w:pPr>
        </w:p>
        <w:p w14:paraId="28DB2BA0" w14:textId="52E6B494" w:rsidR="00E56126" w:rsidRPr="002B1599" w:rsidRDefault="00E56126" w:rsidP="009578E1">
          <w:pPr>
            <w:pStyle w:val="TOC2"/>
            <w:spacing w:before="0"/>
            <w:ind w:left="720" w:hanging="504"/>
            <w:rPr>
              <w:i w:val="0"/>
              <w:sz w:val="22"/>
              <w:szCs w:val="22"/>
            </w:rPr>
          </w:pPr>
          <w:r w:rsidRPr="002B1599">
            <w:rPr>
              <w:b/>
              <w:i w:val="0"/>
              <w:sz w:val="22"/>
              <w:szCs w:val="22"/>
            </w:rPr>
            <w:t>I.</w:t>
          </w:r>
          <w:r w:rsidRPr="002B1599">
            <w:rPr>
              <w:b/>
              <w:i w:val="0"/>
              <w:sz w:val="22"/>
              <w:szCs w:val="22"/>
            </w:rPr>
            <w:tab/>
          </w:r>
          <w:r w:rsidR="000A293C" w:rsidRPr="000A293C">
            <w:rPr>
              <w:b/>
              <w:i w:val="0"/>
              <w:sz w:val="22"/>
              <w:szCs w:val="22"/>
            </w:rPr>
            <w:t>The Company’s commercial rate design recommendations are in the best interest of customers, and the Commission should approve them</w:t>
          </w:r>
          <w:r w:rsidRPr="002B1599">
            <w:rPr>
              <w:b/>
              <w:sz w:val="22"/>
              <w:szCs w:val="22"/>
            </w:rPr>
            <w:t xml:space="preserve">. </w:t>
          </w:r>
          <w:r w:rsidRPr="002B1599">
            <w:rPr>
              <w:i w:val="0"/>
              <w:sz w:val="22"/>
              <w:szCs w:val="22"/>
            </w:rPr>
            <w:ptab w:relativeTo="margin" w:alignment="right" w:leader="dot"/>
          </w:r>
          <w:r w:rsidR="008D77FB">
            <w:rPr>
              <w:i w:val="0"/>
              <w:sz w:val="22"/>
              <w:szCs w:val="22"/>
            </w:rPr>
            <w:t>71</w:t>
          </w:r>
        </w:p>
        <w:p w14:paraId="4DB5ADF8" w14:textId="77777777" w:rsidR="009578E1" w:rsidRPr="002B1599" w:rsidRDefault="000722A9"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w:t>
          </w:r>
          <w:r w:rsidRPr="002B1599">
            <w:rPr>
              <w:rFonts w:ascii="Times New Roman" w:hAnsi="Times New Roman"/>
              <w:sz w:val="22"/>
              <w:szCs w:val="22"/>
            </w:rPr>
            <w:tab/>
          </w:r>
          <w:r w:rsidR="009578E1" w:rsidRPr="002B1599">
            <w:rPr>
              <w:rFonts w:ascii="Times New Roman" w:hAnsi="Times New Roman"/>
              <w:sz w:val="22"/>
              <w:szCs w:val="22"/>
              <w:u w:val="single"/>
            </w:rPr>
            <w:t xml:space="preserve">Consolidating Customers on “Less Beneficial Tariffs” into rate classes with </w:t>
          </w:r>
        </w:p>
        <w:p w14:paraId="073FA3DB" w14:textId="544B3659" w:rsidR="000722A9" w:rsidRPr="002B1599" w:rsidRDefault="009578E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“More Beneficial tariffs” creates revenue erosion and cost shifting.</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sidR="008D77FB">
            <w:rPr>
              <w:rFonts w:ascii="Times New Roman" w:hAnsi="Times New Roman"/>
              <w:sz w:val="22"/>
              <w:szCs w:val="22"/>
            </w:rPr>
            <w:t>71</w:t>
          </w:r>
        </w:p>
        <w:p w14:paraId="365D730C" w14:textId="64BEA458" w:rsidR="009578E1" w:rsidRPr="002B1599" w:rsidRDefault="009578E1" w:rsidP="009578E1">
          <w:pPr>
            <w:pStyle w:val="TOC2"/>
            <w:tabs>
              <w:tab w:val="clear" w:pos="720"/>
              <w:tab w:val="left" w:pos="1440"/>
            </w:tabs>
            <w:spacing w:before="0"/>
            <w:ind w:left="1440" w:hanging="360"/>
            <w:rPr>
              <w:iCs/>
              <w:sz w:val="22"/>
              <w:szCs w:val="22"/>
            </w:rPr>
          </w:pPr>
          <w:r w:rsidRPr="002B1599">
            <w:rPr>
              <w:iCs/>
              <w:sz w:val="22"/>
              <w:szCs w:val="22"/>
            </w:rPr>
            <w:t>a.</w:t>
          </w:r>
          <w:r w:rsidRPr="002B1599">
            <w:rPr>
              <w:iCs/>
              <w:sz w:val="22"/>
              <w:szCs w:val="22"/>
            </w:rPr>
            <w:tab/>
            <w:t>The Company’s Time of Use – Medium Business</w:t>
          </w:r>
          <w:r w:rsidR="000A293C">
            <w:rPr>
              <w:iCs/>
              <w:sz w:val="22"/>
              <w:szCs w:val="22"/>
            </w:rPr>
            <w:t xml:space="preserve"> tariff</w:t>
          </w:r>
          <w:r w:rsidRPr="002B1599">
            <w:rPr>
              <w:iCs/>
              <w:sz w:val="22"/>
              <w:szCs w:val="22"/>
            </w:rPr>
            <w:t xml:space="preserve"> was designed to meet </w:t>
          </w:r>
        </w:p>
        <w:p w14:paraId="13A6E5B9" w14:textId="0C0FC0B8" w:rsidR="009578E1" w:rsidRPr="002B1599" w:rsidRDefault="009578E1" w:rsidP="009578E1">
          <w:pPr>
            <w:pStyle w:val="TOC2"/>
            <w:tabs>
              <w:tab w:val="clear" w:pos="720"/>
              <w:tab w:val="left" w:pos="1440"/>
            </w:tabs>
            <w:spacing w:before="0"/>
            <w:ind w:left="1440" w:hanging="360"/>
            <w:rPr>
              <w:sz w:val="22"/>
              <w:szCs w:val="22"/>
            </w:rPr>
          </w:pPr>
          <w:r w:rsidRPr="002B1599">
            <w:rPr>
              <w:iCs/>
              <w:sz w:val="22"/>
              <w:szCs w:val="22"/>
            </w:rPr>
            <w:tab/>
            <w:t>the needs of a specific class of customers and is not inequitable.</w:t>
          </w:r>
          <w:r w:rsidRPr="002B1599">
            <w:rPr>
              <w:sz w:val="22"/>
              <w:szCs w:val="22"/>
            </w:rPr>
            <w:ptab w:relativeTo="margin" w:alignment="right" w:leader="dot"/>
          </w:r>
          <w:r w:rsidR="008D77FB" w:rsidRPr="008D77FB">
            <w:rPr>
              <w:i w:val="0"/>
              <w:sz w:val="22"/>
              <w:szCs w:val="22"/>
            </w:rPr>
            <w:t>72</w:t>
          </w:r>
        </w:p>
        <w:p w14:paraId="54AD74DD" w14:textId="77777777" w:rsidR="005A188C" w:rsidRDefault="009578E1" w:rsidP="009578E1">
          <w:pPr>
            <w:pStyle w:val="TOC2"/>
            <w:tabs>
              <w:tab w:val="clear" w:pos="720"/>
              <w:tab w:val="left" w:pos="1440"/>
            </w:tabs>
            <w:spacing w:before="0"/>
            <w:ind w:left="1440" w:hanging="360"/>
            <w:rPr>
              <w:iCs/>
              <w:sz w:val="22"/>
              <w:szCs w:val="22"/>
            </w:rPr>
          </w:pPr>
          <w:r w:rsidRPr="002B1599">
            <w:rPr>
              <w:iCs/>
              <w:sz w:val="22"/>
              <w:szCs w:val="22"/>
            </w:rPr>
            <w:t>b.</w:t>
          </w:r>
          <w:r w:rsidRPr="002B1599">
            <w:rPr>
              <w:iCs/>
              <w:sz w:val="22"/>
              <w:szCs w:val="22"/>
            </w:rPr>
            <w:tab/>
            <w:t xml:space="preserve">Expansion of TOU-MB would cause revenue erosion and cost shifting to other </w:t>
          </w:r>
        </w:p>
        <w:p w14:paraId="31C55CE9" w14:textId="7526ECB0" w:rsidR="009578E1" w:rsidRPr="002B1599" w:rsidRDefault="005A188C" w:rsidP="009578E1">
          <w:pPr>
            <w:pStyle w:val="TOC2"/>
            <w:tabs>
              <w:tab w:val="clear" w:pos="720"/>
              <w:tab w:val="left" w:pos="1440"/>
            </w:tabs>
            <w:spacing w:before="0"/>
            <w:ind w:left="1440" w:hanging="360"/>
            <w:rPr>
              <w:sz w:val="22"/>
              <w:szCs w:val="22"/>
            </w:rPr>
          </w:pPr>
          <w:r>
            <w:rPr>
              <w:iCs/>
              <w:sz w:val="22"/>
              <w:szCs w:val="22"/>
            </w:rPr>
            <w:tab/>
          </w:r>
          <w:r w:rsidR="009578E1" w:rsidRPr="002B1599">
            <w:rPr>
              <w:iCs/>
              <w:sz w:val="22"/>
              <w:szCs w:val="22"/>
            </w:rPr>
            <w:t>customers.</w:t>
          </w:r>
          <w:r w:rsidR="009578E1" w:rsidRPr="002B1599">
            <w:rPr>
              <w:sz w:val="22"/>
              <w:szCs w:val="22"/>
            </w:rPr>
            <w:ptab w:relativeTo="margin" w:alignment="right" w:leader="dot"/>
          </w:r>
          <w:r w:rsidR="008D77FB" w:rsidRPr="008D77FB">
            <w:rPr>
              <w:i w:val="0"/>
              <w:sz w:val="22"/>
              <w:szCs w:val="22"/>
            </w:rPr>
            <w:t>72</w:t>
          </w:r>
        </w:p>
        <w:p w14:paraId="71ECF769" w14:textId="77777777" w:rsidR="009578E1" w:rsidRPr="002B1599" w:rsidRDefault="009578E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2</w:t>
          </w:r>
          <w:r w:rsidR="000722A9" w:rsidRPr="002B1599">
            <w:rPr>
              <w:rFonts w:ascii="Times New Roman" w:hAnsi="Times New Roman"/>
              <w:sz w:val="22"/>
              <w:szCs w:val="22"/>
            </w:rPr>
            <w:t>.</w:t>
          </w:r>
          <w:r w:rsidR="000722A9" w:rsidRPr="002B1599">
            <w:rPr>
              <w:rFonts w:ascii="Times New Roman" w:hAnsi="Times New Roman"/>
              <w:sz w:val="22"/>
              <w:szCs w:val="22"/>
            </w:rPr>
            <w:tab/>
          </w:r>
          <w:r w:rsidRPr="002B1599">
            <w:rPr>
              <w:rFonts w:ascii="Times New Roman" w:hAnsi="Times New Roman"/>
              <w:sz w:val="22"/>
              <w:szCs w:val="22"/>
              <w:u w:val="single"/>
            </w:rPr>
            <w:t xml:space="preserve">Customers transitioning off the MLM rate should not be permitted to choose a CBL rate </w:t>
          </w:r>
        </w:p>
        <w:p w14:paraId="0333B302" w14:textId="1C9C408E" w:rsidR="000722A9" w:rsidRPr="002B1599" w:rsidRDefault="009578E1" w:rsidP="009578E1">
          <w:pPr>
            <w:tabs>
              <w:tab w:val="left" w:pos="1080"/>
            </w:tabs>
            <w:ind w:left="1080" w:hanging="360"/>
            <w:rPr>
              <w:rFonts w:ascii="Times New Roman" w:hAnsi="Times New Roman"/>
              <w:sz w:val="22"/>
              <w:szCs w:val="22"/>
            </w:rPr>
          </w:pPr>
          <w:r w:rsidRPr="002B1599">
            <w:rPr>
              <w:rFonts w:ascii="Times New Roman" w:hAnsi="Times New Roman"/>
              <w:sz w:val="22"/>
              <w:szCs w:val="22"/>
            </w:rPr>
            <w:tab/>
          </w:r>
          <w:r w:rsidRPr="002B1599">
            <w:rPr>
              <w:rFonts w:ascii="Times New Roman" w:hAnsi="Times New Roman"/>
              <w:sz w:val="22"/>
              <w:szCs w:val="22"/>
              <w:u w:val="single"/>
            </w:rPr>
            <w:t>other than TOU-RN.</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sidR="006B2BA4">
            <w:rPr>
              <w:rFonts w:ascii="Times New Roman" w:hAnsi="Times New Roman"/>
              <w:sz w:val="22"/>
              <w:szCs w:val="22"/>
            </w:rPr>
            <w:t>7</w:t>
          </w:r>
          <w:r w:rsidR="008D77FB">
            <w:rPr>
              <w:rFonts w:ascii="Times New Roman" w:hAnsi="Times New Roman"/>
              <w:sz w:val="22"/>
              <w:szCs w:val="22"/>
            </w:rPr>
            <w:t>3</w:t>
          </w:r>
        </w:p>
        <w:p w14:paraId="6BD83FA2" w14:textId="77777777" w:rsidR="00E444E5" w:rsidRDefault="009578E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3.</w:t>
          </w:r>
          <w:r w:rsidR="000722A9" w:rsidRPr="002B1599">
            <w:rPr>
              <w:rFonts w:ascii="Times New Roman" w:hAnsi="Times New Roman"/>
              <w:sz w:val="22"/>
              <w:szCs w:val="22"/>
            </w:rPr>
            <w:tab/>
          </w:r>
          <w:r w:rsidRPr="002B1599">
            <w:rPr>
              <w:rFonts w:ascii="Times New Roman" w:hAnsi="Times New Roman"/>
              <w:sz w:val="22"/>
              <w:szCs w:val="22"/>
              <w:u w:val="single"/>
            </w:rPr>
            <w:t xml:space="preserve">The Commission should approve the Company’s request to modify </w:t>
          </w:r>
          <w:r w:rsidR="00E444E5">
            <w:rPr>
              <w:rFonts w:ascii="Times New Roman" w:hAnsi="Times New Roman"/>
              <w:sz w:val="22"/>
              <w:szCs w:val="22"/>
              <w:u w:val="single"/>
            </w:rPr>
            <w:t xml:space="preserve">the Real Time </w:t>
          </w:r>
        </w:p>
        <w:p w14:paraId="28655B2E" w14:textId="77777777" w:rsidR="00E444E5" w:rsidRDefault="00E444E5" w:rsidP="009578E1">
          <w:pPr>
            <w:tabs>
              <w:tab w:val="left" w:pos="1080"/>
            </w:tabs>
            <w:ind w:left="1080" w:hanging="360"/>
            <w:rPr>
              <w:rFonts w:ascii="Times New Roman" w:hAnsi="Times New Roman"/>
              <w:sz w:val="22"/>
              <w:szCs w:val="22"/>
              <w:u w:val="single"/>
            </w:rPr>
          </w:pPr>
          <w:r w:rsidRPr="00E444E5">
            <w:rPr>
              <w:rFonts w:ascii="Times New Roman" w:hAnsi="Times New Roman"/>
              <w:sz w:val="22"/>
              <w:szCs w:val="22"/>
            </w:rPr>
            <w:tab/>
          </w:r>
          <w:r>
            <w:rPr>
              <w:rFonts w:ascii="Times New Roman" w:hAnsi="Times New Roman"/>
              <w:sz w:val="22"/>
              <w:szCs w:val="22"/>
              <w:u w:val="single"/>
            </w:rPr>
            <w:t>Pricing (“</w:t>
          </w:r>
          <w:r w:rsidR="009578E1" w:rsidRPr="002B1599">
            <w:rPr>
              <w:rFonts w:ascii="Times New Roman" w:hAnsi="Times New Roman"/>
              <w:sz w:val="22"/>
              <w:szCs w:val="22"/>
              <w:u w:val="single"/>
            </w:rPr>
            <w:t>RTP</w:t>
          </w:r>
          <w:r>
            <w:rPr>
              <w:rFonts w:ascii="Times New Roman" w:hAnsi="Times New Roman"/>
              <w:sz w:val="22"/>
              <w:szCs w:val="22"/>
              <w:u w:val="single"/>
            </w:rPr>
            <w:t xml:space="preserve">”) tariffs </w:t>
          </w:r>
          <w:r w:rsidR="009578E1" w:rsidRPr="002B1599">
            <w:rPr>
              <w:rFonts w:ascii="Times New Roman" w:hAnsi="Times New Roman"/>
              <w:sz w:val="22"/>
              <w:szCs w:val="22"/>
              <w:u w:val="single"/>
            </w:rPr>
            <w:t xml:space="preserve">to prevent changes to the CBL during the initial term and to </w:t>
          </w:r>
        </w:p>
        <w:p w14:paraId="4C764E3C" w14:textId="77777777" w:rsidR="00E444E5" w:rsidRDefault="00E444E5" w:rsidP="009578E1">
          <w:pPr>
            <w:tabs>
              <w:tab w:val="left" w:pos="1080"/>
            </w:tabs>
            <w:ind w:left="1080" w:hanging="360"/>
            <w:rPr>
              <w:rFonts w:ascii="Times New Roman" w:hAnsi="Times New Roman"/>
              <w:sz w:val="22"/>
              <w:szCs w:val="22"/>
              <w:u w:val="single"/>
            </w:rPr>
          </w:pPr>
          <w:r w:rsidRPr="00E444E5">
            <w:rPr>
              <w:rFonts w:ascii="Times New Roman" w:hAnsi="Times New Roman"/>
              <w:sz w:val="22"/>
              <w:szCs w:val="22"/>
            </w:rPr>
            <w:tab/>
          </w:r>
          <w:r w:rsidR="009578E1" w:rsidRPr="002B1599">
            <w:rPr>
              <w:rFonts w:ascii="Times New Roman" w:hAnsi="Times New Roman"/>
              <w:sz w:val="22"/>
              <w:szCs w:val="22"/>
              <w:u w:val="single"/>
            </w:rPr>
            <w:t>require a customer to come off the rate for 24 months</w:t>
          </w:r>
          <w:r w:rsidR="006B2BA4">
            <w:rPr>
              <w:rFonts w:ascii="Times New Roman" w:hAnsi="Times New Roman"/>
              <w:sz w:val="22"/>
              <w:szCs w:val="22"/>
              <w:u w:val="single"/>
            </w:rPr>
            <w:t xml:space="preserve"> </w:t>
          </w:r>
          <w:r w:rsidR="009578E1" w:rsidRPr="002B1599">
            <w:rPr>
              <w:rFonts w:ascii="Times New Roman" w:hAnsi="Times New Roman"/>
              <w:sz w:val="22"/>
              <w:szCs w:val="22"/>
              <w:u w:val="single"/>
            </w:rPr>
            <w:t xml:space="preserve">rather than 12 months to set </w:t>
          </w:r>
        </w:p>
        <w:p w14:paraId="1A43F3C8" w14:textId="14891BA0" w:rsidR="000722A9" w:rsidRPr="002B1599" w:rsidRDefault="00E444E5" w:rsidP="009578E1">
          <w:pPr>
            <w:tabs>
              <w:tab w:val="left" w:pos="1080"/>
            </w:tabs>
            <w:ind w:left="1080" w:hanging="360"/>
            <w:rPr>
              <w:rFonts w:ascii="Times New Roman" w:hAnsi="Times New Roman"/>
              <w:sz w:val="22"/>
              <w:szCs w:val="22"/>
              <w:u w:val="single"/>
            </w:rPr>
          </w:pPr>
          <w:r w:rsidRPr="00E444E5">
            <w:rPr>
              <w:rFonts w:ascii="Times New Roman" w:hAnsi="Times New Roman"/>
              <w:sz w:val="22"/>
              <w:szCs w:val="22"/>
            </w:rPr>
            <w:tab/>
          </w:r>
          <w:r>
            <w:rPr>
              <w:rFonts w:ascii="Times New Roman" w:hAnsi="Times New Roman"/>
              <w:sz w:val="22"/>
              <w:szCs w:val="22"/>
              <w:u w:val="single"/>
            </w:rPr>
            <w:t xml:space="preserve">a </w:t>
          </w:r>
          <w:r w:rsidR="009578E1" w:rsidRPr="002B1599">
            <w:rPr>
              <w:rFonts w:ascii="Times New Roman" w:hAnsi="Times New Roman"/>
              <w:sz w:val="22"/>
              <w:szCs w:val="22"/>
              <w:u w:val="single"/>
            </w:rPr>
            <w:t xml:space="preserve">new CBL </w:t>
          </w:r>
          <w:r w:rsidR="008A27EF">
            <w:rPr>
              <w:rFonts w:ascii="Times New Roman" w:hAnsi="Times New Roman"/>
              <w:sz w:val="22"/>
              <w:szCs w:val="22"/>
              <w:u w:val="single"/>
            </w:rPr>
            <w:t>level</w:t>
          </w:r>
          <w:r w:rsidR="009578E1"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sidR="006B2BA4">
            <w:rPr>
              <w:rFonts w:ascii="Times New Roman" w:hAnsi="Times New Roman"/>
              <w:sz w:val="22"/>
              <w:szCs w:val="22"/>
            </w:rPr>
            <w:t>7</w:t>
          </w:r>
          <w:r w:rsidR="008D77FB">
            <w:rPr>
              <w:rFonts w:ascii="Times New Roman" w:hAnsi="Times New Roman"/>
              <w:sz w:val="22"/>
              <w:szCs w:val="22"/>
            </w:rPr>
            <w:t>3</w:t>
          </w:r>
        </w:p>
        <w:p w14:paraId="28D4E8E8" w14:textId="77777777" w:rsidR="006B2BA4" w:rsidRDefault="009578E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4</w:t>
          </w:r>
          <w:r w:rsidR="000722A9" w:rsidRPr="002B1599">
            <w:rPr>
              <w:rFonts w:ascii="Times New Roman" w:hAnsi="Times New Roman"/>
              <w:sz w:val="22"/>
              <w:szCs w:val="22"/>
            </w:rPr>
            <w:t>.</w:t>
          </w:r>
          <w:r w:rsidR="000722A9" w:rsidRPr="002B1599">
            <w:rPr>
              <w:rFonts w:ascii="Times New Roman" w:hAnsi="Times New Roman"/>
              <w:sz w:val="22"/>
              <w:szCs w:val="22"/>
            </w:rPr>
            <w:tab/>
          </w:r>
          <w:r w:rsidRPr="002B1599">
            <w:rPr>
              <w:rFonts w:ascii="Times New Roman" w:hAnsi="Times New Roman"/>
              <w:sz w:val="22"/>
              <w:szCs w:val="22"/>
              <w:u w:val="single"/>
            </w:rPr>
            <w:t xml:space="preserve">Expanding the amount of embedded cost load eligible for conversion to marginal </w:t>
          </w:r>
        </w:p>
        <w:p w14:paraId="5B87F20C" w14:textId="77777777" w:rsidR="006B2BA4" w:rsidRDefault="006B2BA4" w:rsidP="009578E1">
          <w:pPr>
            <w:tabs>
              <w:tab w:val="left" w:pos="1080"/>
            </w:tabs>
            <w:ind w:left="1080" w:hanging="360"/>
            <w:rPr>
              <w:rFonts w:ascii="Times New Roman" w:hAnsi="Times New Roman"/>
              <w:sz w:val="22"/>
              <w:szCs w:val="22"/>
              <w:u w:val="single"/>
            </w:rPr>
          </w:pPr>
          <w:r w:rsidRPr="006B2BA4">
            <w:rPr>
              <w:rFonts w:ascii="Times New Roman" w:hAnsi="Times New Roman"/>
              <w:sz w:val="22"/>
              <w:szCs w:val="22"/>
            </w:rPr>
            <w:tab/>
          </w:r>
          <w:r w:rsidR="009578E1" w:rsidRPr="002B1599">
            <w:rPr>
              <w:rFonts w:ascii="Times New Roman" w:hAnsi="Times New Roman"/>
              <w:sz w:val="22"/>
              <w:szCs w:val="22"/>
              <w:u w:val="single"/>
            </w:rPr>
            <w:t xml:space="preserve">cost load as requested by MARTA and RSM is inappropriate and unfair to </w:t>
          </w:r>
        </w:p>
        <w:p w14:paraId="58141187" w14:textId="668633F1" w:rsidR="000722A9"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9578E1" w:rsidRPr="002B1599">
            <w:rPr>
              <w:rFonts w:ascii="Times New Roman" w:hAnsi="Times New Roman"/>
              <w:sz w:val="22"/>
              <w:szCs w:val="22"/>
              <w:u w:val="single"/>
            </w:rPr>
            <w:t>other customers.</w:t>
          </w:r>
          <w:r w:rsidR="000722A9" w:rsidRPr="002B1599">
            <w:rPr>
              <w:rFonts w:ascii="Times New Roman" w:hAnsi="Times New Roman"/>
              <w:sz w:val="22"/>
              <w:szCs w:val="22"/>
              <w:u w:val="single"/>
            </w:rPr>
            <w:t>.</w:t>
          </w:r>
          <w:r w:rsidR="000722A9" w:rsidRPr="002B1599">
            <w:rPr>
              <w:rFonts w:ascii="Times New Roman" w:hAnsi="Times New Roman"/>
              <w:sz w:val="22"/>
              <w:szCs w:val="22"/>
            </w:rPr>
            <w:ptab w:relativeTo="margin" w:alignment="right" w:leader="dot"/>
          </w:r>
          <w:r>
            <w:rPr>
              <w:rFonts w:ascii="Times New Roman" w:hAnsi="Times New Roman"/>
              <w:sz w:val="22"/>
              <w:szCs w:val="22"/>
            </w:rPr>
            <w:t>7</w:t>
          </w:r>
          <w:r w:rsidR="008D77FB">
            <w:rPr>
              <w:rFonts w:ascii="Times New Roman" w:hAnsi="Times New Roman"/>
              <w:sz w:val="22"/>
              <w:szCs w:val="22"/>
            </w:rPr>
            <w:t>4</w:t>
          </w:r>
        </w:p>
        <w:p w14:paraId="6ED697E6" w14:textId="77777777" w:rsidR="009578E1" w:rsidRPr="002B1599" w:rsidRDefault="009578E1" w:rsidP="009578E1">
          <w:pPr>
            <w:pStyle w:val="TOC2"/>
            <w:spacing w:before="0"/>
            <w:ind w:left="720" w:hanging="504"/>
            <w:rPr>
              <w:b/>
              <w:i w:val="0"/>
              <w:sz w:val="22"/>
              <w:szCs w:val="22"/>
            </w:rPr>
          </w:pPr>
        </w:p>
        <w:p w14:paraId="466FB012" w14:textId="77777777" w:rsidR="006B2BA4" w:rsidRDefault="00E56126" w:rsidP="009578E1">
          <w:pPr>
            <w:pStyle w:val="TOC2"/>
            <w:spacing w:before="0"/>
            <w:ind w:left="720" w:hanging="504"/>
            <w:rPr>
              <w:b/>
              <w:i w:val="0"/>
              <w:sz w:val="22"/>
              <w:szCs w:val="22"/>
            </w:rPr>
          </w:pPr>
          <w:r w:rsidRPr="002B1599">
            <w:rPr>
              <w:b/>
              <w:i w:val="0"/>
              <w:sz w:val="22"/>
              <w:szCs w:val="22"/>
            </w:rPr>
            <w:t>J.</w:t>
          </w:r>
          <w:r w:rsidRPr="002B1599">
            <w:rPr>
              <w:b/>
              <w:i w:val="0"/>
              <w:sz w:val="22"/>
              <w:szCs w:val="22"/>
            </w:rPr>
            <w:tab/>
          </w:r>
          <w:r w:rsidR="009578E1" w:rsidRPr="002B1599">
            <w:rPr>
              <w:b/>
              <w:i w:val="0"/>
              <w:sz w:val="22"/>
              <w:szCs w:val="22"/>
            </w:rPr>
            <w:t xml:space="preserve">The Company’s Implementation of the RNR Tariff is Compliant with the Cogen Act </w:t>
          </w:r>
        </w:p>
        <w:p w14:paraId="07F5C537" w14:textId="77777777" w:rsidR="006B2BA4" w:rsidRDefault="006B2BA4" w:rsidP="009578E1">
          <w:pPr>
            <w:pStyle w:val="TOC2"/>
            <w:spacing w:before="0"/>
            <w:ind w:left="720" w:hanging="504"/>
            <w:rPr>
              <w:b/>
              <w:i w:val="0"/>
              <w:sz w:val="22"/>
              <w:szCs w:val="22"/>
            </w:rPr>
          </w:pPr>
          <w:r>
            <w:rPr>
              <w:b/>
              <w:i w:val="0"/>
              <w:sz w:val="22"/>
              <w:szCs w:val="22"/>
            </w:rPr>
            <w:tab/>
          </w:r>
          <w:r w:rsidR="009578E1" w:rsidRPr="002B1599">
            <w:rPr>
              <w:b/>
              <w:i w:val="0"/>
              <w:sz w:val="22"/>
              <w:szCs w:val="22"/>
            </w:rPr>
            <w:t xml:space="preserve">and Intervenor Arguments to Overhaul the RNR Tariff to Institute Policy Changes </w:t>
          </w:r>
        </w:p>
        <w:p w14:paraId="7B255391" w14:textId="65E156F5" w:rsidR="00E56126" w:rsidRPr="002B1599" w:rsidRDefault="006B2BA4" w:rsidP="009578E1">
          <w:pPr>
            <w:pStyle w:val="TOC2"/>
            <w:spacing w:before="0"/>
            <w:ind w:left="720" w:hanging="504"/>
            <w:rPr>
              <w:sz w:val="22"/>
              <w:szCs w:val="22"/>
            </w:rPr>
          </w:pPr>
          <w:r>
            <w:rPr>
              <w:b/>
              <w:i w:val="0"/>
              <w:sz w:val="22"/>
              <w:szCs w:val="22"/>
            </w:rPr>
            <w:tab/>
          </w:r>
          <w:r w:rsidR="009578E1" w:rsidRPr="002B1599">
            <w:rPr>
              <w:b/>
              <w:i w:val="0"/>
              <w:sz w:val="22"/>
              <w:szCs w:val="22"/>
            </w:rPr>
            <w:t>to Increase Payments to Customer Generators Should Not Be Adopted</w:t>
          </w:r>
          <w:r w:rsidR="00E56126" w:rsidRPr="002B1599">
            <w:rPr>
              <w:b/>
              <w:sz w:val="22"/>
              <w:szCs w:val="22"/>
            </w:rPr>
            <w:t>.</w:t>
          </w:r>
          <w:r w:rsidR="00E56126" w:rsidRPr="002B1599">
            <w:rPr>
              <w:i w:val="0"/>
              <w:sz w:val="22"/>
              <w:szCs w:val="22"/>
            </w:rPr>
            <w:ptab w:relativeTo="margin" w:alignment="right" w:leader="dot"/>
          </w:r>
          <w:r>
            <w:rPr>
              <w:i w:val="0"/>
              <w:sz w:val="22"/>
              <w:szCs w:val="22"/>
            </w:rPr>
            <w:t>7</w:t>
          </w:r>
          <w:r w:rsidR="008D77FB">
            <w:rPr>
              <w:i w:val="0"/>
              <w:sz w:val="22"/>
              <w:szCs w:val="22"/>
            </w:rPr>
            <w:t>5</w:t>
          </w:r>
        </w:p>
        <w:p w14:paraId="32D7CA1A" w14:textId="77777777" w:rsidR="006B2BA4" w:rsidRDefault="006B2BA4" w:rsidP="009578E1">
          <w:pPr>
            <w:pStyle w:val="TOC2"/>
            <w:spacing w:before="0"/>
            <w:ind w:left="720" w:hanging="504"/>
            <w:rPr>
              <w:b/>
              <w:i w:val="0"/>
              <w:sz w:val="22"/>
              <w:szCs w:val="22"/>
            </w:rPr>
          </w:pPr>
        </w:p>
        <w:p w14:paraId="703A36B1" w14:textId="77777777" w:rsidR="006B2BA4" w:rsidRDefault="00E56126" w:rsidP="009578E1">
          <w:pPr>
            <w:pStyle w:val="TOC2"/>
            <w:spacing w:before="0"/>
            <w:ind w:left="720" w:hanging="504"/>
            <w:rPr>
              <w:b/>
              <w:i w:val="0"/>
              <w:sz w:val="22"/>
              <w:szCs w:val="22"/>
            </w:rPr>
          </w:pPr>
          <w:r w:rsidRPr="002B1599">
            <w:rPr>
              <w:b/>
              <w:i w:val="0"/>
              <w:sz w:val="22"/>
              <w:szCs w:val="22"/>
            </w:rPr>
            <w:t>K.</w:t>
          </w:r>
          <w:r w:rsidRPr="002B1599">
            <w:rPr>
              <w:b/>
              <w:i w:val="0"/>
              <w:sz w:val="22"/>
              <w:szCs w:val="22"/>
            </w:rPr>
            <w:tab/>
          </w:r>
          <w:r w:rsidR="009578E1" w:rsidRPr="002B1599">
            <w:rPr>
              <w:b/>
              <w:i w:val="0"/>
              <w:sz w:val="22"/>
              <w:szCs w:val="22"/>
            </w:rPr>
            <w:t xml:space="preserve">Further Increasing the Senior Low-Income Discount and Establishing a Low-Income Working Group is Unnecessary Because the Company Already Offers Many </w:t>
          </w:r>
        </w:p>
        <w:p w14:paraId="5591138F" w14:textId="77777777" w:rsidR="006B2BA4" w:rsidRDefault="006B2BA4" w:rsidP="009578E1">
          <w:pPr>
            <w:pStyle w:val="TOC2"/>
            <w:spacing w:before="0"/>
            <w:ind w:left="720" w:hanging="504"/>
            <w:rPr>
              <w:b/>
              <w:i w:val="0"/>
              <w:sz w:val="22"/>
              <w:szCs w:val="22"/>
            </w:rPr>
          </w:pPr>
          <w:r>
            <w:rPr>
              <w:b/>
              <w:i w:val="0"/>
              <w:sz w:val="22"/>
              <w:szCs w:val="22"/>
            </w:rPr>
            <w:tab/>
          </w:r>
          <w:r w:rsidR="009578E1" w:rsidRPr="002B1599">
            <w:rPr>
              <w:b/>
              <w:i w:val="0"/>
              <w:sz w:val="22"/>
              <w:szCs w:val="22"/>
            </w:rPr>
            <w:t xml:space="preserve">Programs, Resources and Options to Assist Georgia Power’s Low-Income </w:t>
          </w:r>
        </w:p>
        <w:p w14:paraId="6203D597" w14:textId="5F95D081" w:rsidR="00E56126" w:rsidRPr="002B1599" w:rsidRDefault="006B2BA4" w:rsidP="009578E1">
          <w:pPr>
            <w:pStyle w:val="TOC2"/>
            <w:spacing w:before="0"/>
            <w:ind w:left="720" w:hanging="504"/>
            <w:rPr>
              <w:i w:val="0"/>
              <w:sz w:val="22"/>
              <w:szCs w:val="22"/>
            </w:rPr>
          </w:pPr>
          <w:r>
            <w:rPr>
              <w:b/>
              <w:i w:val="0"/>
              <w:sz w:val="22"/>
              <w:szCs w:val="22"/>
            </w:rPr>
            <w:tab/>
          </w:r>
          <w:r w:rsidR="009578E1" w:rsidRPr="002B1599">
            <w:rPr>
              <w:b/>
              <w:i w:val="0"/>
              <w:sz w:val="22"/>
              <w:szCs w:val="22"/>
            </w:rPr>
            <w:t>Customers in Paying Their Electric Bill and Lowering Their Usage</w:t>
          </w:r>
          <w:r w:rsidR="00E56126" w:rsidRPr="002B1599">
            <w:rPr>
              <w:b/>
              <w:sz w:val="22"/>
              <w:szCs w:val="22"/>
            </w:rPr>
            <w:t>.</w:t>
          </w:r>
          <w:r w:rsidR="00E56126" w:rsidRPr="002B1599">
            <w:rPr>
              <w:i w:val="0"/>
              <w:sz w:val="22"/>
              <w:szCs w:val="22"/>
            </w:rPr>
            <w:ptab w:relativeTo="margin" w:alignment="right" w:leader="dot"/>
          </w:r>
          <w:r w:rsidR="008D77FB">
            <w:rPr>
              <w:i w:val="0"/>
              <w:sz w:val="22"/>
              <w:szCs w:val="22"/>
            </w:rPr>
            <w:t>82</w:t>
          </w:r>
        </w:p>
        <w:p w14:paraId="56CF5D90" w14:textId="77777777" w:rsidR="006B2BA4" w:rsidRDefault="000722A9"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1.</w:t>
          </w:r>
          <w:r w:rsidRPr="002B1599">
            <w:rPr>
              <w:rFonts w:ascii="Times New Roman" w:hAnsi="Times New Roman"/>
              <w:sz w:val="22"/>
              <w:szCs w:val="22"/>
            </w:rPr>
            <w:tab/>
          </w:r>
          <w:r w:rsidR="009578E1" w:rsidRPr="002B1599">
            <w:rPr>
              <w:rFonts w:ascii="Times New Roman" w:hAnsi="Times New Roman"/>
              <w:sz w:val="22"/>
              <w:szCs w:val="22"/>
              <w:u w:val="single"/>
            </w:rPr>
            <w:t xml:space="preserve">The Commission should maintain the senior low-income discount at current levels </w:t>
          </w:r>
        </w:p>
        <w:p w14:paraId="2465F29E" w14:textId="3CA13B50" w:rsidR="000722A9"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9578E1" w:rsidRPr="002B1599">
            <w:rPr>
              <w:rFonts w:ascii="Times New Roman" w:hAnsi="Times New Roman"/>
              <w:sz w:val="22"/>
              <w:szCs w:val="22"/>
              <w:u w:val="single"/>
            </w:rPr>
            <w:t>and as currently structured</w:t>
          </w:r>
          <w:r w:rsidR="000722A9" w:rsidRPr="002B1599">
            <w:rPr>
              <w:rFonts w:ascii="Times New Roman" w:hAnsi="Times New Roman"/>
              <w:sz w:val="22"/>
              <w:szCs w:val="22"/>
            </w:rPr>
            <w:t>.</w:t>
          </w:r>
          <w:r w:rsidR="000722A9" w:rsidRPr="002B1599">
            <w:rPr>
              <w:rFonts w:ascii="Times New Roman" w:hAnsi="Times New Roman"/>
              <w:sz w:val="22"/>
              <w:szCs w:val="22"/>
            </w:rPr>
            <w:ptab w:relativeTo="margin" w:alignment="right" w:leader="dot"/>
          </w:r>
          <w:r w:rsidR="008D77FB">
            <w:rPr>
              <w:rFonts w:ascii="Times New Roman" w:hAnsi="Times New Roman"/>
              <w:sz w:val="22"/>
              <w:szCs w:val="22"/>
            </w:rPr>
            <w:t>82</w:t>
          </w:r>
        </w:p>
        <w:p w14:paraId="238969B9" w14:textId="77777777" w:rsidR="006B2BA4" w:rsidRDefault="009578E1" w:rsidP="009578E1">
          <w:pPr>
            <w:tabs>
              <w:tab w:val="left" w:pos="1080"/>
            </w:tabs>
            <w:ind w:left="1080" w:hanging="360"/>
            <w:rPr>
              <w:rFonts w:ascii="Times New Roman" w:hAnsi="Times New Roman"/>
              <w:sz w:val="22"/>
              <w:szCs w:val="22"/>
              <w:u w:val="single"/>
            </w:rPr>
          </w:pPr>
          <w:r w:rsidRPr="002B1599">
            <w:rPr>
              <w:rFonts w:ascii="Times New Roman" w:hAnsi="Times New Roman"/>
              <w:sz w:val="22"/>
              <w:szCs w:val="22"/>
            </w:rPr>
            <w:t>2</w:t>
          </w:r>
          <w:r w:rsidR="000722A9" w:rsidRPr="002B1599">
            <w:rPr>
              <w:rFonts w:ascii="Times New Roman" w:hAnsi="Times New Roman"/>
              <w:sz w:val="22"/>
              <w:szCs w:val="22"/>
            </w:rPr>
            <w:t>.</w:t>
          </w:r>
          <w:r w:rsidR="000722A9" w:rsidRPr="002B1599">
            <w:rPr>
              <w:rFonts w:ascii="Times New Roman" w:hAnsi="Times New Roman"/>
              <w:sz w:val="22"/>
              <w:szCs w:val="22"/>
            </w:rPr>
            <w:tab/>
          </w:r>
          <w:r w:rsidRPr="002B1599">
            <w:rPr>
              <w:rFonts w:ascii="Times New Roman" w:hAnsi="Times New Roman"/>
              <w:sz w:val="22"/>
              <w:szCs w:val="22"/>
              <w:u w:val="single"/>
            </w:rPr>
            <w:t xml:space="preserve">An Income Qualified Working Group is not necessary and would be duplicative of </w:t>
          </w:r>
        </w:p>
        <w:p w14:paraId="250A1A3D" w14:textId="0803318F" w:rsidR="000722A9" w:rsidRPr="002B1599" w:rsidRDefault="006B2BA4" w:rsidP="009578E1">
          <w:pPr>
            <w:tabs>
              <w:tab w:val="left" w:pos="1080"/>
            </w:tabs>
            <w:ind w:left="1080" w:hanging="360"/>
            <w:rPr>
              <w:rFonts w:ascii="Times New Roman" w:hAnsi="Times New Roman"/>
              <w:sz w:val="22"/>
              <w:szCs w:val="22"/>
            </w:rPr>
          </w:pPr>
          <w:r w:rsidRPr="006B2BA4">
            <w:rPr>
              <w:rFonts w:ascii="Times New Roman" w:hAnsi="Times New Roman"/>
              <w:sz w:val="22"/>
              <w:szCs w:val="22"/>
            </w:rPr>
            <w:tab/>
          </w:r>
          <w:r w:rsidR="009578E1" w:rsidRPr="002B1599">
            <w:rPr>
              <w:rFonts w:ascii="Times New Roman" w:hAnsi="Times New Roman"/>
              <w:sz w:val="22"/>
              <w:szCs w:val="22"/>
              <w:u w:val="single"/>
            </w:rPr>
            <w:t>existing Company efforts to support the Company’s low-income customers.</w:t>
          </w:r>
          <w:r w:rsidR="000722A9" w:rsidRPr="002B1599">
            <w:rPr>
              <w:rFonts w:ascii="Times New Roman" w:hAnsi="Times New Roman"/>
              <w:sz w:val="22"/>
              <w:szCs w:val="22"/>
            </w:rPr>
            <w:ptab w:relativeTo="margin" w:alignment="right" w:leader="dot"/>
          </w:r>
          <w:r w:rsidR="008D77FB">
            <w:rPr>
              <w:rFonts w:ascii="Times New Roman" w:hAnsi="Times New Roman"/>
              <w:sz w:val="22"/>
              <w:szCs w:val="22"/>
            </w:rPr>
            <w:t>83</w:t>
          </w:r>
        </w:p>
        <w:p w14:paraId="5B705DB6" w14:textId="77777777" w:rsidR="006B2BA4" w:rsidRDefault="006B2BA4" w:rsidP="009578E1">
          <w:pPr>
            <w:pStyle w:val="TOC2"/>
            <w:spacing w:before="0"/>
            <w:ind w:left="720" w:hanging="504"/>
            <w:rPr>
              <w:b/>
              <w:i w:val="0"/>
              <w:sz w:val="22"/>
              <w:szCs w:val="22"/>
            </w:rPr>
          </w:pPr>
        </w:p>
        <w:p w14:paraId="36B9BC0F" w14:textId="77777777" w:rsidR="006B2BA4" w:rsidRDefault="00E56126" w:rsidP="009578E1">
          <w:pPr>
            <w:pStyle w:val="TOC2"/>
            <w:spacing w:before="0"/>
            <w:ind w:left="720" w:hanging="504"/>
            <w:rPr>
              <w:b/>
              <w:i w:val="0"/>
              <w:sz w:val="22"/>
              <w:szCs w:val="22"/>
            </w:rPr>
          </w:pPr>
          <w:r w:rsidRPr="002B1599">
            <w:rPr>
              <w:b/>
              <w:i w:val="0"/>
              <w:sz w:val="22"/>
              <w:szCs w:val="22"/>
            </w:rPr>
            <w:t>L.</w:t>
          </w:r>
          <w:r w:rsidRPr="002B1599">
            <w:rPr>
              <w:b/>
              <w:i w:val="0"/>
              <w:sz w:val="22"/>
              <w:szCs w:val="22"/>
            </w:rPr>
            <w:tab/>
          </w:r>
          <w:r w:rsidR="009578E1" w:rsidRPr="002B1599">
            <w:rPr>
              <w:b/>
              <w:i w:val="0"/>
              <w:sz w:val="22"/>
              <w:szCs w:val="22"/>
            </w:rPr>
            <w:t xml:space="preserve">The Company Supports Making More Granular Customer Usage Data available </w:t>
          </w:r>
        </w:p>
        <w:p w14:paraId="26FF9F9A" w14:textId="3BC720E4" w:rsidR="006B2BA4" w:rsidRDefault="006B2BA4" w:rsidP="009578E1">
          <w:pPr>
            <w:pStyle w:val="TOC2"/>
            <w:spacing w:before="0"/>
            <w:ind w:left="720" w:hanging="504"/>
            <w:rPr>
              <w:i w:val="0"/>
              <w:sz w:val="22"/>
              <w:szCs w:val="22"/>
            </w:rPr>
          </w:pPr>
          <w:r>
            <w:rPr>
              <w:b/>
              <w:i w:val="0"/>
              <w:sz w:val="22"/>
              <w:szCs w:val="22"/>
            </w:rPr>
            <w:tab/>
          </w:r>
          <w:r w:rsidR="009578E1" w:rsidRPr="002B1599">
            <w:rPr>
              <w:b/>
              <w:i w:val="0"/>
              <w:sz w:val="22"/>
              <w:szCs w:val="22"/>
            </w:rPr>
            <w:t>to Customers.</w:t>
          </w:r>
          <w:r w:rsidR="00E56126" w:rsidRPr="002B1599">
            <w:rPr>
              <w:i w:val="0"/>
              <w:sz w:val="22"/>
              <w:szCs w:val="22"/>
            </w:rPr>
            <w:ptab w:relativeTo="margin" w:alignment="right" w:leader="dot"/>
          </w:r>
          <w:r>
            <w:rPr>
              <w:i w:val="0"/>
              <w:sz w:val="22"/>
              <w:szCs w:val="22"/>
            </w:rPr>
            <w:t>8</w:t>
          </w:r>
          <w:r w:rsidR="008D77FB">
            <w:rPr>
              <w:i w:val="0"/>
              <w:sz w:val="22"/>
              <w:szCs w:val="22"/>
            </w:rPr>
            <w:t>4</w:t>
          </w:r>
        </w:p>
        <w:p w14:paraId="1B2D2792" w14:textId="47CB05CB" w:rsidR="006B2BA4" w:rsidRPr="002B1599" w:rsidRDefault="006B2BA4" w:rsidP="006B2BA4">
          <w:pPr>
            <w:pStyle w:val="TOC1"/>
            <w:rPr>
              <w:sz w:val="22"/>
              <w:szCs w:val="22"/>
            </w:rPr>
          </w:pPr>
          <w:r w:rsidRPr="002B1599">
            <w:rPr>
              <w:b w:val="0"/>
              <w:sz w:val="22"/>
              <w:szCs w:val="22"/>
            </w:rPr>
            <w:t xml:space="preserve">IV.  </w:t>
          </w:r>
          <w:r>
            <w:rPr>
              <w:b w:val="0"/>
              <w:sz w:val="22"/>
              <w:szCs w:val="22"/>
            </w:rPr>
            <w:t>CONCLUSION</w:t>
          </w:r>
          <w:r w:rsidRPr="002B1599">
            <w:rPr>
              <w:b w:val="0"/>
              <w:sz w:val="22"/>
              <w:szCs w:val="22"/>
            </w:rPr>
            <w:t xml:space="preserve">  </w:t>
          </w:r>
          <w:r w:rsidRPr="008D77FB">
            <w:rPr>
              <w:b w:val="0"/>
              <w:sz w:val="22"/>
              <w:szCs w:val="22"/>
            </w:rPr>
            <w:ptab w:relativeTo="margin" w:alignment="right" w:leader="dot"/>
          </w:r>
          <w:r w:rsidRPr="008D77FB">
            <w:rPr>
              <w:b w:val="0"/>
              <w:bCs/>
              <w:sz w:val="22"/>
              <w:szCs w:val="22"/>
            </w:rPr>
            <w:t>8</w:t>
          </w:r>
          <w:r w:rsidR="008D77FB" w:rsidRPr="008D77FB">
            <w:rPr>
              <w:b w:val="0"/>
              <w:bCs/>
              <w:sz w:val="22"/>
              <w:szCs w:val="22"/>
            </w:rPr>
            <w:t>5</w:t>
          </w:r>
        </w:p>
        <w:p w14:paraId="5CD77245" w14:textId="4234433B" w:rsidR="008F0C9E" w:rsidRPr="006B2BA4" w:rsidRDefault="00E00941" w:rsidP="006B2BA4"/>
      </w:sdtContent>
    </w:sdt>
    <w:p w14:paraId="3455E8CA" w14:textId="5ED055C3" w:rsidR="002B1599" w:rsidRDefault="002B1599" w:rsidP="002B1599">
      <w:pPr>
        <w:widowControl/>
        <w:tabs>
          <w:tab w:val="left" w:pos="1080"/>
        </w:tabs>
        <w:rPr>
          <w:rFonts w:ascii="Times New Roman" w:hAnsi="Times New Roman"/>
          <w:szCs w:val="24"/>
        </w:rPr>
      </w:pPr>
    </w:p>
    <w:p w14:paraId="79770582" w14:textId="661B4D1A" w:rsidR="002B1599" w:rsidRDefault="002B1599" w:rsidP="002B1599">
      <w:pPr>
        <w:widowControl/>
        <w:tabs>
          <w:tab w:val="left" w:pos="1080"/>
        </w:tabs>
        <w:rPr>
          <w:rFonts w:ascii="Times New Roman" w:hAnsi="Times New Roman"/>
          <w:szCs w:val="24"/>
        </w:rPr>
      </w:pPr>
    </w:p>
    <w:p w14:paraId="4069C878" w14:textId="353C7E42" w:rsidR="002B1599" w:rsidRDefault="002B1599" w:rsidP="002B1599">
      <w:pPr>
        <w:widowControl/>
        <w:tabs>
          <w:tab w:val="left" w:pos="1080"/>
        </w:tabs>
        <w:rPr>
          <w:rFonts w:ascii="Times New Roman" w:hAnsi="Times New Roman"/>
          <w:szCs w:val="24"/>
        </w:rPr>
      </w:pPr>
    </w:p>
    <w:p w14:paraId="5D1ED8FF" w14:textId="77777777" w:rsidR="002B1599" w:rsidRDefault="002B1599" w:rsidP="002B1599">
      <w:pPr>
        <w:widowControl/>
        <w:tabs>
          <w:tab w:val="left" w:pos="1080"/>
        </w:tabs>
        <w:rPr>
          <w:rFonts w:ascii="Times New Roman" w:hAnsi="Times New Roman"/>
          <w:szCs w:val="24"/>
        </w:rPr>
        <w:sectPr w:rsidR="002B1599" w:rsidSect="002B1599">
          <w:footerReference w:type="first" r:id="rId8"/>
          <w:pgSz w:w="12240" w:h="15840"/>
          <w:pgMar w:top="1440" w:right="1440" w:bottom="1440" w:left="1440" w:header="720" w:footer="720" w:gutter="0"/>
          <w:pgNumType w:fmt="lowerRoman" w:start="1"/>
          <w:cols w:space="720"/>
          <w:titlePg/>
          <w:docGrid w:linePitch="360"/>
        </w:sectPr>
      </w:pPr>
    </w:p>
    <w:p w14:paraId="5B269BC2" w14:textId="77777777" w:rsidR="00265A10" w:rsidRPr="00C60454" w:rsidRDefault="00265A10" w:rsidP="00265A10">
      <w:pPr>
        <w:jc w:val="center"/>
        <w:rPr>
          <w:rFonts w:ascii="Times New Roman" w:hAnsi="Times New Roman"/>
          <w:b/>
          <w:szCs w:val="24"/>
        </w:rPr>
      </w:pPr>
      <w:r w:rsidRPr="00C60454">
        <w:rPr>
          <w:rFonts w:ascii="Times New Roman" w:hAnsi="Times New Roman"/>
          <w:b/>
          <w:szCs w:val="24"/>
        </w:rPr>
        <w:lastRenderedPageBreak/>
        <w:t xml:space="preserve">BEFORE THE GEORGIA PUBLIC SERVICE COMMISSION </w:t>
      </w:r>
    </w:p>
    <w:p w14:paraId="733240C8" w14:textId="77777777" w:rsidR="00265A10" w:rsidRPr="00C60454" w:rsidRDefault="00265A10" w:rsidP="00265A10">
      <w:pPr>
        <w:rPr>
          <w:rFonts w:ascii="Times New Roman" w:hAnsi="Times New Roman"/>
          <w:szCs w:val="24"/>
        </w:rPr>
      </w:pPr>
    </w:p>
    <w:p w14:paraId="69EC3AA8" w14:textId="77777777" w:rsidR="00265A10" w:rsidRPr="00C60454" w:rsidRDefault="00265A10" w:rsidP="00265A10">
      <w:pPr>
        <w:rPr>
          <w:rFonts w:ascii="Times New Roman" w:hAnsi="Times New Roman"/>
          <w:szCs w:val="24"/>
        </w:rPr>
      </w:pPr>
    </w:p>
    <w:p w14:paraId="26931E91" w14:textId="77777777" w:rsidR="00BF4AA5" w:rsidRPr="00C60454" w:rsidRDefault="00011C0F" w:rsidP="00BF4AA5">
      <w:pPr>
        <w:rPr>
          <w:rFonts w:ascii="Times New Roman" w:hAnsi="Times New Roman"/>
          <w:szCs w:val="24"/>
        </w:rPr>
      </w:pPr>
      <w:r w:rsidRPr="00C60454">
        <w:rPr>
          <w:rFonts w:ascii="Times New Roman" w:hAnsi="Times New Roman"/>
          <w:noProof/>
          <w:szCs w:val="24"/>
        </w:rPr>
        <mc:AlternateContent>
          <mc:Choice Requires="wps">
            <w:drawing>
              <wp:anchor distT="0" distB="0" distL="114300" distR="114300" simplePos="0" relativeHeight="251658240" behindDoc="0" locked="0" layoutInCell="1" allowOverlap="1" wp14:anchorId="0306EDB0" wp14:editId="3BD93B40">
                <wp:simplePos x="0" y="0"/>
                <wp:positionH relativeFrom="column">
                  <wp:posOffset>2798445</wp:posOffset>
                </wp:positionH>
                <wp:positionV relativeFrom="paragraph">
                  <wp:posOffset>57150</wp:posOffset>
                </wp:positionV>
                <wp:extent cx="255270" cy="1177290"/>
                <wp:effectExtent l="0" t="0" r="381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177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1DE82" w14:textId="77777777" w:rsidR="00E00941" w:rsidRPr="00BF4AA5" w:rsidRDefault="00E00941" w:rsidP="00265A10">
                            <w:pPr>
                              <w:rPr>
                                <w:rFonts w:ascii="Times New Roman" w:hAnsi="Times New Roman"/>
                                <w:b/>
                              </w:rPr>
                            </w:pPr>
                            <w:r w:rsidRPr="00BF4AA5">
                              <w:rPr>
                                <w:rFonts w:ascii="Times New Roman" w:hAnsi="Times New Roman"/>
                                <w:b/>
                              </w:rPr>
                              <w:t>)))</w:t>
                            </w:r>
                          </w:p>
                          <w:p w14:paraId="6962233A" w14:textId="77777777" w:rsidR="00E00941" w:rsidRPr="00BF4AA5" w:rsidRDefault="00E00941" w:rsidP="00265A10">
                            <w:pPr>
                              <w:rPr>
                                <w:rFonts w:ascii="Times New Roman" w:hAnsi="Times New Roman"/>
                                <w:b/>
                              </w:rPr>
                            </w:pPr>
                            <w:r w:rsidRPr="00BF4AA5">
                              <w:rPr>
                                <w:rFonts w:ascii="Times New Roman" w:hAnsi="Times New Roman"/>
                                <w:b/>
                              </w:rPr>
                              <w:t>))</w:t>
                            </w:r>
                          </w:p>
                          <w:p w14:paraId="74EE479A" w14:textId="77777777" w:rsidR="00E00941" w:rsidRPr="00BF4AA5" w:rsidRDefault="00E00941" w:rsidP="00265A10">
                            <w:pPr>
                              <w:rPr>
                                <w:rFonts w:ascii="Times New Roman" w:hAnsi="Times New Roman"/>
                                <w:b/>
                              </w:rPr>
                            </w:pPr>
                            <w:r w:rsidRPr="00BF4AA5">
                              <w:rPr>
                                <w:rFonts w:ascii="Times New Roman" w:hAnsi="Times New Roman"/>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6EDB0" id="Text Box 6" o:spid="_x0000_s1029" type="#_x0000_t202" style="position:absolute;margin-left:220.35pt;margin-top:4.5pt;width:20.1pt;height:9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QXhA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" stroked="f">
                <v:textbox>
                  <w:txbxContent>
                    <w:p w14:paraId="7721DE82" w14:textId="77777777" w:rsidR="00E00941" w:rsidRPr="00BF4AA5" w:rsidRDefault="00E00941" w:rsidP="00265A10">
                      <w:pPr>
                        <w:rPr>
                          <w:rFonts w:ascii="Times New Roman" w:hAnsi="Times New Roman"/>
                          <w:b/>
                        </w:rPr>
                      </w:pPr>
                      <w:r w:rsidRPr="00BF4AA5">
                        <w:rPr>
                          <w:rFonts w:ascii="Times New Roman" w:hAnsi="Times New Roman"/>
                          <w:b/>
                        </w:rPr>
                        <w:t>)))</w:t>
                      </w:r>
                    </w:p>
                    <w:p w14:paraId="6962233A" w14:textId="77777777" w:rsidR="00E00941" w:rsidRPr="00BF4AA5" w:rsidRDefault="00E00941" w:rsidP="00265A10">
                      <w:pPr>
                        <w:rPr>
                          <w:rFonts w:ascii="Times New Roman" w:hAnsi="Times New Roman"/>
                          <w:b/>
                        </w:rPr>
                      </w:pPr>
                      <w:r w:rsidRPr="00BF4AA5">
                        <w:rPr>
                          <w:rFonts w:ascii="Times New Roman" w:hAnsi="Times New Roman"/>
                          <w:b/>
                        </w:rPr>
                        <w:t>))</w:t>
                      </w:r>
                    </w:p>
                    <w:p w14:paraId="74EE479A" w14:textId="77777777" w:rsidR="00E00941" w:rsidRPr="00BF4AA5" w:rsidRDefault="00E00941" w:rsidP="00265A10">
                      <w:pPr>
                        <w:rPr>
                          <w:rFonts w:ascii="Times New Roman" w:hAnsi="Times New Roman"/>
                          <w:b/>
                        </w:rPr>
                      </w:pPr>
                      <w:r w:rsidRPr="00BF4AA5">
                        <w:rPr>
                          <w:rFonts w:ascii="Times New Roman" w:hAnsi="Times New Roman"/>
                          <w:b/>
                        </w:rPr>
                        <w:t>)</w:t>
                      </w:r>
                    </w:p>
                  </w:txbxContent>
                </v:textbox>
              </v:shape>
            </w:pict>
          </mc:Fallback>
        </mc:AlternateContent>
      </w:r>
    </w:p>
    <w:p w14:paraId="75086ADA" w14:textId="77777777" w:rsidR="00BF4AA5" w:rsidRPr="00C60454" w:rsidRDefault="00011C0F" w:rsidP="00BF4AA5">
      <w:pPr>
        <w:rPr>
          <w:rFonts w:ascii="Times New Roman" w:hAnsi="Times New Roman"/>
          <w:szCs w:val="24"/>
        </w:rPr>
      </w:pPr>
      <w:r w:rsidRPr="00C60454">
        <w:rPr>
          <w:rFonts w:ascii="Times New Roman" w:hAnsi="Times New Roman"/>
          <w:noProof/>
          <w:szCs w:val="24"/>
        </w:rPr>
        <mc:AlternateContent>
          <mc:Choice Requires="wps">
            <w:drawing>
              <wp:anchor distT="0" distB="0" distL="114300" distR="114300" simplePos="0" relativeHeight="251659264" behindDoc="0" locked="0" layoutInCell="1" allowOverlap="1" wp14:anchorId="17C2D694" wp14:editId="28AEAB75">
                <wp:simplePos x="0" y="0"/>
                <wp:positionH relativeFrom="column">
                  <wp:posOffset>166370</wp:posOffset>
                </wp:positionH>
                <wp:positionV relativeFrom="paragraph">
                  <wp:posOffset>111125</wp:posOffset>
                </wp:positionV>
                <wp:extent cx="2733675" cy="1226185"/>
                <wp:effectExtent l="4445" t="635" r="0" b="190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226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DC1A9" w14:textId="77777777" w:rsidR="00E00941" w:rsidRDefault="00E00941" w:rsidP="00BF4AA5">
                            <w:pPr>
                              <w:rPr>
                                <w:rFonts w:ascii="Times New Roman" w:hAnsi="Times New Roman"/>
                                <w:b/>
                              </w:rPr>
                            </w:pPr>
                            <w:r>
                              <w:rPr>
                                <w:rFonts w:ascii="Times New Roman" w:hAnsi="Times New Roman"/>
                                <w:b/>
                              </w:rPr>
                              <w:t>In Re:</w:t>
                            </w:r>
                          </w:p>
                          <w:p w14:paraId="7C0B1C60" w14:textId="77777777" w:rsidR="00E00941" w:rsidRDefault="00E00941" w:rsidP="00BF4AA5">
                            <w:pPr>
                              <w:rPr>
                                <w:rFonts w:ascii="Times New Roman" w:hAnsi="Times New Roman"/>
                                <w:b/>
                              </w:rPr>
                            </w:pPr>
                          </w:p>
                          <w:p w14:paraId="514C809E" w14:textId="77777777" w:rsidR="00E00941" w:rsidRPr="00012557" w:rsidRDefault="00E00941" w:rsidP="00BF4AA5">
                            <w:pPr>
                              <w:rPr>
                                <w:rFonts w:ascii="Times New Roman" w:hAnsi="Times New Roman"/>
                                <w:b/>
                              </w:rPr>
                            </w:pPr>
                            <w:r w:rsidRPr="00012557">
                              <w:rPr>
                                <w:rFonts w:ascii="Times New Roman" w:hAnsi="Times New Roman"/>
                                <w:b/>
                              </w:rPr>
                              <w:t>Georgia Power Company’s</w:t>
                            </w:r>
                          </w:p>
                          <w:p w14:paraId="7EEF13F9" w14:textId="77777777" w:rsidR="00E00941" w:rsidRPr="00012557" w:rsidRDefault="00E00941" w:rsidP="00BF4AA5">
                            <w:pPr>
                              <w:rPr>
                                <w:rFonts w:ascii="Times New Roman" w:hAnsi="Times New Roman"/>
                                <w:b/>
                              </w:rPr>
                            </w:pPr>
                            <w:r w:rsidRPr="00012557">
                              <w:rPr>
                                <w:rFonts w:ascii="Times New Roman" w:hAnsi="Times New Roman"/>
                                <w:b/>
                              </w:rPr>
                              <w:t>201</w:t>
                            </w:r>
                            <w:r>
                              <w:rPr>
                                <w:rFonts w:ascii="Times New Roman" w:hAnsi="Times New Roman"/>
                                <w:b/>
                              </w:rPr>
                              <w:t>9</w:t>
                            </w:r>
                            <w:r w:rsidRPr="00012557">
                              <w:rPr>
                                <w:rFonts w:ascii="Times New Roman" w:hAnsi="Times New Roman"/>
                                <w:b/>
                              </w:rPr>
                              <w:t xml:space="preserve"> Rate Case</w:t>
                            </w:r>
                          </w:p>
                          <w:p w14:paraId="34DE2AD9" w14:textId="77777777" w:rsidR="00E00941" w:rsidRPr="00012557" w:rsidRDefault="00E00941" w:rsidP="00BF4AA5">
                            <w:pPr>
                              <w:rPr>
                                <w:b/>
                              </w:rPr>
                            </w:pPr>
                            <w:r w:rsidRPr="00012557">
                              <w:rPr>
                                <w:rFonts w:ascii="Times New Roman" w:hAnsi="Times New Roman"/>
                                <w:b/>
                              </w:rPr>
                              <w:t>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2D694" id="Text Box 8" o:spid="_x0000_s1030" type="#_x0000_t202" style="position:absolute;margin-left:13.1pt;margin-top:8.75pt;width:215.25pt;height:9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lyhg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" stroked="f">
                <v:textbox>
                  <w:txbxContent>
                    <w:p w14:paraId="024DC1A9" w14:textId="77777777" w:rsidR="00E00941" w:rsidRDefault="00E00941" w:rsidP="00BF4AA5">
                      <w:pPr>
                        <w:rPr>
                          <w:rFonts w:ascii="Times New Roman" w:hAnsi="Times New Roman"/>
                          <w:b/>
                        </w:rPr>
                      </w:pPr>
                      <w:r>
                        <w:rPr>
                          <w:rFonts w:ascii="Times New Roman" w:hAnsi="Times New Roman"/>
                          <w:b/>
                        </w:rPr>
                        <w:t>In Re:</w:t>
                      </w:r>
                    </w:p>
                    <w:p w14:paraId="7C0B1C60" w14:textId="77777777" w:rsidR="00E00941" w:rsidRDefault="00E00941" w:rsidP="00BF4AA5">
                      <w:pPr>
                        <w:rPr>
                          <w:rFonts w:ascii="Times New Roman" w:hAnsi="Times New Roman"/>
                          <w:b/>
                        </w:rPr>
                      </w:pPr>
                    </w:p>
                    <w:p w14:paraId="514C809E" w14:textId="77777777" w:rsidR="00E00941" w:rsidRPr="00012557" w:rsidRDefault="00E00941" w:rsidP="00BF4AA5">
                      <w:pPr>
                        <w:rPr>
                          <w:rFonts w:ascii="Times New Roman" w:hAnsi="Times New Roman"/>
                          <w:b/>
                        </w:rPr>
                      </w:pPr>
                      <w:r w:rsidRPr="00012557">
                        <w:rPr>
                          <w:rFonts w:ascii="Times New Roman" w:hAnsi="Times New Roman"/>
                          <w:b/>
                        </w:rPr>
                        <w:t>Georgia Power Company’s</w:t>
                      </w:r>
                    </w:p>
                    <w:p w14:paraId="7EEF13F9" w14:textId="77777777" w:rsidR="00E00941" w:rsidRPr="00012557" w:rsidRDefault="00E00941" w:rsidP="00BF4AA5">
                      <w:pPr>
                        <w:rPr>
                          <w:rFonts w:ascii="Times New Roman" w:hAnsi="Times New Roman"/>
                          <w:b/>
                        </w:rPr>
                      </w:pPr>
                      <w:r w:rsidRPr="00012557">
                        <w:rPr>
                          <w:rFonts w:ascii="Times New Roman" w:hAnsi="Times New Roman"/>
                          <w:b/>
                        </w:rPr>
                        <w:t>201</w:t>
                      </w:r>
                      <w:r>
                        <w:rPr>
                          <w:rFonts w:ascii="Times New Roman" w:hAnsi="Times New Roman"/>
                          <w:b/>
                        </w:rPr>
                        <w:t>9</w:t>
                      </w:r>
                      <w:r w:rsidRPr="00012557">
                        <w:rPr>
                          <w:rFonts w:ascii="Times New Roman" w:hAnsi="Times New Roman"/>
                          <w:b/>
                        </w:rPr>
                        <w:t xml:space="preserve"> Rate Case</w:t>
                      </w:r>
                    </w:p>
                    <w:p w14:paraId="34DE2AD9" w14:textId="77777777" w:rsidR="00E00941" w:rsidRPr="00012557" w:rsidRDefault="00E00941" w:rsidP="00BF4AA5">
                      <w:pPr>
                        <w:rPr>
                          <w:b/>
                        </w:rPr>
                      </w:pPr>
                      <w:r w:rsidRPr="00012557">
                        <w:rPr>
                          <w:rFonts w:ascii="Times New Roman" w:hAnsi="Times New Roman"/>
                          <w:b/>
                        </w:rPr>
                        <w:t>_________________________________</w:t>
                      </w:r>
                    </w:p>
                  </w:txbxContent>
                </v:textbox>
              </v:shape>
            </w:pict>
          </mc:Fallback>
        </mc:AlternateContent>
      </w:r>
      <w:r w:rsidR="00BF4AA5" w:rsidRPr="00C60454">
        <w:rPr>
          <w:rFonts w:ascii="Times New Roman" w:hAnsi="Times New Roman"/>
          <w:szCs w:val="24"/>
        </w:rPr>
        <w:tab/>
      </w:r>
      <w:r w:rsidR="00BF4AA5" w:rsidRPr="00C60454">
        <w:rPr>
          <w:rFonts w:ascii="Times New Roman" w:hAnsi="Times New Roman"/>
          <w:szCs w:val="24"/>
        </w:rPr>
        <w:tab/>
      </w:r>
      <w:r w:rsidR="00BF4AA5" w:rsidRPr="00C60454">
        <w:rPr>
          <w:rFonts w:ascii="Times New Roman" w:hAnsi="Times New Roman"/>
          <w:szCs w:val="24"/>
        </w:rPr>
        <w:tab/>
      </w:r>
    </w:p>
    <w:p w14:paraId="5EF826A7" w14:textId="77777777" w:rsidR="00BF4AA5" w:rsidRPr="00C60454" w:rsidRDefault="00011C0F" w:rsidP="00BF4AA5">
      <w:pPr>
        <w:rPr>
          <w:rFonts w:ascii="Times New Roman" w:hAnsi="Times New Roman"/>
          <w:szCs w:val="24"/>
        </w:rPr>
      </w:pPr>
      <w:r w:rsidRPr="00C60454">
        <w:rPr>
          <w:rFonts w:ascii="Times New Roman" w:hAnsi="Times New Roman"/>
          <w:noProof/>
          <w:szCs w:val="24"/>
        </w:rPr>
        <mc:AlternateContent>
          <mc:Choice Requires="wps">
            <w:drawing>
              <wp:anchor distT="0" distB="0" distL="114300" distR="114300" simplePos="0" relativeHeight="251660288" behindDoc="0" locked="0" layoutInCell="1" allowOverlap="1" wp14:anchorId="4FF46A1D" wp14:editId="6E97C6BB">
                <wp:simplePos x="0" y="0"/>
                <wp:positionH relativeFrom="column">
                  <wp:posOffset>3613150</wp:posOffset>
                </wp:positionH>
                <wp:positionV relativeFrom="paragraph">
                  <wp:posOffset>133350</wp:posOffset>
                </wp:positionV>
                <wp:extent cx="1649730" cy="393700"/>
                <wp:effectExtent l="3175" t="0" r="444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44A44" w14:textId="77777777" w:rsidR="00E00941" w:rsidRPr="00012557" w:rsidRDefault="00E00941" w:rsidP="00BF4AA5">
                            <w:pPr>
                              <w:rPr>
                                <w:rFonts w:ascii="Times New Roman" w:hAnsi="Times New Roman"/>
                                <w:b/>
                              </w:rPr>
                            </w:pPr>
                            <w:r w:rsidRPr="00012557">
                              <w:rPr>
                                <w:rFonts w:ascii="Times New Roman" w:hAnsi="Times New Roman"/>
                                <w:b/>
                              </w:rPr>
                              <w:t xml:space="preserve">Docket No. </w:t>
                            </w:r>
                            <w:r>
                              <w:rPr>
                                <w:rFonts w:ascii="Times New Roman" w:hAnsi="Times New Roman"/>
                                <w:b/>
                              </w:rPr>
                              <w:t>42516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46A1D" id="Text Box 9" o:spid="_x0000_s1031" type="#_x0000_t202" style="position:absolute;margin-left:284.5pt;margin-top:10.5pt;width:129.9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" stroked="f">
                <v:textbox>
                  <w:txbxContent>
                    <w:p w14:paraId="12744A44" w14:textId="77777777" w:rsidR="00E00941" w:rsidRPr="00012557" w:rsidRDefault="00E00941" w:rsidP="00BF4AA5">
                      <w:pPr>
                        <w:rPr>
                          <w:rFonts w:ascii="Times New Roman" w:hAnsi="Times New Roman"/>
                          <w:b/>
                        </w:rPr>
                      </w:pPr>
                      <w:r w:rsidRPr="00012557">
                        <w:rPr>
                          <w:rFonts w:ascii="Times New Roman" w:hAnsi="Times New Roman"/>
                          <w:b/>
                        </w:rPr>
                        <w:t xml:space="preserve">Docket No. </w:t>
                      </w:r>
                      <w:r>
                        <w:rPr>
                          <w:rFonts w:ascii="Times New Roman" w:hAnsi="Times New Roman"/>
                          <w:b/>
                        </w:rPr>
                        <w:t>42516</w:t>
                      </w:r>
                    </w:p>
                  </w:txbxContent>
                </v:textbox>
              </v:shape>
            </w:pict>
          </mc:Fallback>
        </mc:AlternateContent>
      </w:r>
    </w:p>
    <w:p w14:paraId="70EFBF70" w14:textId="77777777" w:rsidR="00BF4AA5" w:rsidRPr="00C60454" w:rsidRDefault="00BF4AA5" w:rsidP="00BF4AA5">
      <w:pPr>
        <w:rPr>
          <w:rFonts w:ascii="Times New Roman" w:hAnsi="Times New Roman"/>
          <w:szCs w:val="24"/>
        </w:rPr>
      </w:pP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p>
    <w:p w14:paraId="389025AC" w14:textId="77777777" w:rsidR="00BF4AA5" w:rsidRPr="00C60454" w:rsidRDefault="00BF4AA5" w:rsidP="00BF4AA5">
      <w:pPr>
        <w:rPr>
          <w:rFonts w:ascii="Times New Roman" w:hAnsi="Times New Roman"/>
          <w:szCs w:val="24"/>
        </w:rPr>
      </w:pPr>
    </w:p>
    <w:p w14:paraId="0D02063D" w14:textId="77777777" w:rsidR="00BF4AA5" w:rsidRPr="00C60454" w:rsidRDefault="00BF4AA5" w:rsidP="00BF4AA5">
      <w:pPr>
        <w:rPr>
          <w:rFonts w:ascii="Times New Roman" w:hAnsi="Times New Roman"/>
          <w:szCs w:val="24"/>
        </w:rPr>
      </w:pPr>
    </w:p>
    <w:p w14:paraId="21B601F7" w14:textId="77777777" w:rsidR="00BF4AA5" w:rsidRPr="00C60454" w:rsidRDefault="00BF4AA5" w:rsidP="00BF4AA5">
      <w:pPr>
        <w:rPr>
          <w:rFonts w:ascii="Times New Roman" w:hAnsi="Times New Roman"/>
          <w:szCs w:val="24"/>
        </w:rPr>
      </w:pPr>
    </w:p>
    <w:p w14:paraId="5E763639" w14:textId="77777777" w:rsidR="00BF4AA5" w:rsidRPr="00C60454" w:rsidRDefault="00BF4AA5" w:rsidP="00BF4AA5">
      <w:pPr>
        <w:rPr>
          <w:rFonts w:ascii="Times New Roman" w:hAnsi="Times New Roman"/>
          <w:szCs w:val="24"/>
        </w:rPr>
      </w:pP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r w:rsidRPr="00C60454">
        <w:rPr>
          <w:rFonts w:ascii="Times New Roman" w:hAnsi="Times New Roman"/>
          <w:szCs w:val="24"/>
        </w:rPr>
        <w:tab/>
      </w:r>
    </w:p>
    <w:p w14:paraId="780B0C35" w14:textId="77777777" w:rsidR="00BF4AA5" w:rsidRPr="00C60454" w:rsidRDefault="00BF4AA5" w:rsidP="00BF4AA5">
      <w:pPr>
        <w:widowControl/>
        <w:jc w:val="center"/>
        <w:rPr>
          <w:rFonts w:ascii="Times New Roman" w:hAnsi="Times New Roman"/>
          <w:szCs w:val="24"/>
        </w:rPr>
      </w:pPr>
    </w:p>
    <w:p w14:paraId="5AE055D9" w14:textId="77777777" w:rsidR="00CC1FAC" w:rsidRPr="00C60454" w:rsidRDefault="00D54DD2" w:rsidP="004D79CA">
      <w:pPr>
        <w:widowControl/>
        <w:spacing w:line="480" w:lineRule="auto"/>
        <w:jc w:val="center"/>
        <w:rPr>
          <w:rFonts w:ascii="Times New Roman" w:hAnsi="Times New Roman"/>
          <w:b/>
          <w:szCs w:val="24"/>
          <w:u w:val="single"/>
        </w:rPr>
      </w:pPr>
      <w:r w:rsidRPr="00C60454">
        <w:rPr>
          <w:rFonts w:ascii="Times New Roman" w:hAnsi="Times New Roman"/>
          <w:b/>
          <w:szCs w:val="24"/>
          <w:u w:val="single"/>
        </w:rPr>
        <w:t>POST HEARING BRIEF</w:t>
      </w:r>
      <w:r w:rsidR="00CC1FAC" w:rsidRPr="00C60454">
        <w:rPr>
          <w:rFonts w:ascii="Times New Roman" w:hAnsi="Times New Roman"/>
          <w:b/>
          <w:szCs w:val="24"/>
          <w:u w:val="single"/>
        </w:rPr>
        <w:t xml:space="preserve"> </w:t>
      </w:r>
      <w:r w:rsidRPr="00C60454">
        <w:rPr>
          <w:rFonts w:ascii="Times New Roman" w:hAnsi="Times New Roman"/>
          <w:b/>
          <w:szCs w:val="24"/>
          <w:u w:val="single"/>
        </w:rPr>
        <w:t xml:space="preserve">OF GEORGIA POWER COMPANY </w:t>
      </w:r>
    </w:p>
    <w:p w14:paraId="6B4A44C4" w14:textId="77777777" w:rsidR="009A2AA3" w:rsidRPr="00C60454" w:rsidRDefault="009A2AA3" w:rsidP="004D79CA">
      <w:pPr>
        <w:widowControl/>
        <w:spacing w:before="240" w:after="240" w:line="480" w:lineRule="auto"/>
        <w:jc w:val="center"/>
        <w:rPr>
          <w:rFonts w:ascii="Times New Roman" w:hAnsi="Times New Roman"/>
          <w:b/>
          <w:szCs w:val="24"/>
        </w:rPr>
      </w:pPr>
      <w:r w:rsidRPr="00C60454">
        <w:rPr>
          <w:rFonts w:ascii="Times New Roman" w:hAnsi="Times New Roman"/>
          <w:b/>
          <w:szCs w:val="24"/>
        </w:rPr>
        <w:t xml:space="preserve">I. </w:t>
      </w:r>
      <w:r w:rsidR="00156A32">
        <w:rPr>
          <w:rFonts w:ascii="Times New Roman" w:hAnsi="Times New Roman"/>
          <w:b/>
          <w:szCs w:val="24"/>
        </w:rPr>
        <w:t xml:space="preserve"> </w:t>
      </w:r>
      <w:r w:rsidRPr="00C60454">
        <w:rPr>
          <w:rFonts w:ascii="Times New Roman" w:hAnsi="Times New Roman"/>
          <w:b/>
          <w:szCs w:val="24"/>
        </w:rPr>
        <w:t>INTRODUCTION</w:t>
      </w:r>
    </w:p>
    <w:p w14:paraId="1B3CF25D" w14:textId="35713280" w:rsidR="00C60454" w:rsidRPr="00C60454" w:rsidRDefault="00D54DD2" w:rsidP="004D79CA">
      <w:pPr>
        <w:widowControl/>
        <w:spacing w:line="480" w:lineRule="auto"/>
        <w:jc w:val="both"/>
        <w:rPr>
          <w:rFonts w:ascii="Times New Roman" w:hAnsi="Times New Roman"/>
          <w:szCs w:val="24"/>
        </w:rPr>
      </w:pPr>
      <w:r w:rsidRPr="00C60454">
        <w:rPr>
          <w:rFonts w:ascii="Times New Roman" w:hAnsi="Times New Roman"/>
          <w:szCs w:val="24"/>
        </w:rPr>
        <w:tab/>
      </w:r>
      <w:r w:rsidR="00970A51" w:rsidRPr="00C60454">
        <w:rPr>
          <w:rFonts w:ascii="Times New Roman" w:hAnsi="Times New Roman"/>
          <w:szCs w:val="24"/>
        </w:rPr>
        <w:t xml:space="preserve"> </w:t>
      </w:r>
      <w:r w:rsidR="0047097C" w:rsidRPr="00C60454">
        <w:rPr>
          <w:rFonts w:ascii="Times New Roman" w:hAnsi="Times New Roman"/>
          <w:szCs w:val="24"/>
        </w:rPr>
        <w:t>Georgia Power Company</w:t>
      </w:r>
      <w:r w:rsidR="00DA6740" w:rsidRPr="00C60454">
        <w:rPr>
          <w:rFonts w:ascii="Times New Roman" w:hAnsi="Times New Roman"/>
          <w:szCs w:val="24"/>
        </w:rPr>
        <w:t xml:space="preserve"> (“Georgia Power” or the “Company”) submits this brief </w:t>
      </w:r>
      <w:r w:rsidR="002A28F5" w:rsidRPr="00C60454">
        <w:rPr>
          <w:rFonts w:ascii="Times New Roman" w:hAnsi="Times New Roman"/>
          <w:szCs w:val="24"/>
        </w:rPr>
        <w:t>in support</w:t>
      </w:r>
      <w:r w:rsidR="00DA6740" w:rsidRPr="00C60454">
        <w:rPr>
          <w:rFonts w:ascii="Times New Roman" w:hAnsi="Times New Roman"/>
          <w:szCs w:val="24"/>
        </w:rPr>
        <w:t xml:space="preserve"> of </w:t>
      </w:r>
      <w:r w:rsidR="00C60454" w:rsidRPr="00C60454">
        <w:rPr>
          <w:rFonts w:ascii="Times New Roman" w:hAnsi="Times New Roman"/>
          <w:szCs w:val="24"/>
        </w:rPr>
        <w:t>its proposed Alternate Rate Plan</w:t>
      </w:r>
      <w:r w:rsidR="00712BD7">
        <w:rPr>
          <w:rFonts w:ascii="Times New Roman" w:hAnsi="Times New Roman"/>
          <w:szCs w:val="24"/>
        </w:rPr>
        <w:t xml:space="preserve"> </w:t>
      </w:r>
      <w:r w:rsidR="002B0FF7">
        <w:rPr>
          <w:rFonts w:ascii="Times New Roman" w:hAnsi="Times New Roman"/>
          <w:szCs w:val="24"/>
        </w:rPr>
        <w:t xml:space="preserve">(“ARP”) </w:t>
      </w:r>
      <w:r w:rsidR="00712BD7">
        <w:rPr>
          <w:rFonts w:ascii="Times New Roman" w:hAnsi="Times New Roman"/>
          <w:szCs w:val="24"/>
        </w:rPr>
        <w:t>as amended by the Company’s September 24, 2019 Errata</w:t>
      </w:r>
      <w:r w:rsidR="00C60454" w:rsidRPr="00C60454">
        <w:rPr>
          <w:rFonts w:ascii="Times New Roman" w:hAnsi="Times New Roman"/>
          <w:szCs w:val="24"/>
        </w:rPr>
        <w:t xml:space="preserve"> (“</w:t>
      </w:r>
      <w:r w:rsidR="002B0FF7">
        <w:rPr>
          <w:rFonts w:ascii="Times New Roman" w:hAnsi="Times New Roman"/>
          <w:szCs w:val="24"/>
        </w:rPr>
        <w:t>Errata</w:t>
      </w:r>
      <w:r w:rsidR="00C60454" w:rsidRPr="00C60454">
        <w:rPr>
          <w:rFonts w:ascii="Times New Roman" w:hAnsi="Times New Roman"/>
          <w:szCs w:val="24"/>
        </w:rPr>
        <w:t>”) filed in this proceeding. The Company</w:t>
      </w:r>
      <w:r w:rsidR="006F6CB0">
        <w:rPr>
          <w:rFonts w:ascii="Times New Roman" w:hAnsi="Times New Roman"/>
          <w:szCs w:val="24"/>
        </w:rPr>
        <w:t>’</w:t>
      </w:r>
      <w:r w:rsidR="00C60454" w:rsidRPr="00C60454">
        <w:rPr>
          <w:rFonts w:ascii="Times New Roman" w:hAnsi="Times New Roman"/>
          <w:szCs w:val="24"/>
        </w:rPr>
        <w:t>s 2019 Rate Case was filed pursuant to the terms and conditions of the Georgia Public Service Commission</w:t>
      </w:r>
      <w:r w:rsidR="006F6CB0">
        <w:rPr>
          <w:rFonts w:ascii="Times New Roman" w:hAnsi="Times New Roman"/>
          <w:szCs w:val="24"/>
        </w:rPr>
        <w:t>’</w:t>
      </w:r>
      <w:r w:rsidR="00C60454" w:rsidRPr="00C60454">
        <w:rPr>
          <w:rFonts w:ascii="Times New Roman" w:hAnsi="Times New Roman"/>
          <w:szCs w:val="24"/>
        </w:rPr>
        <w:t>s (the “Commission”) December 23, 2013 Order Adopting Settlement Agreement in Georgia Power</w:t>
      </w:r>
      <w:r w:rsidR="006F6CB0">
        <w:rPr>
          <w:rFonts w:ascii="Times New Roman" w:hAnsi="Times New Roman"/>
          <w:szCs w:val="24"/>
        </w:rPr>
        <w:t>’</w:t>
      </w:r>
      <w:r w:rsidR="00C60454" w:rsidRPr="00C60454">
        <w:rPr>
          <w:rFonts w:ascii="Times New Roman" w:hAnsi="Times New Roman"/>
          <w:szCs w:val="24"/>
        </w:rPr>
        <w:t>s 2013 Rate Case in Docket No. 36989 (“2013 Rate Case Final Order”) and the Commission</w:t>
      </w:r>
      <w:r w:rsidR="006F6CB0">
        <w:rPr>
          <w:rFonts w:ascii="Times New Roman" w:hAnsi="Times New Roman"/>
          <w:szCs w:val="24"/>
        </w:rPr>
        <w:t>’</w:t>
      </w:r>
      <w:r w:rsidR="00C60454" w:rsidRPr="00C60454">
        <w:rPr>
          <w:rFonts w:ascii="Times New Roman" w:hAnsi="Times New Roman"/>
          <w:szCs w:val="24"/>
        </w:rPr>
        <w:t xml:space="preserve">s May 12, 2016 Order Adopting Settlement Agreement in Docket No. 39971, the </w:t>
      </w:r>
      <w:r w:rsidR="00C60454" w:rsidRPr="00E04B01">
        <w:rPr>
          <w:rFonts w:ascii="Times New Roman" w:hAnsi="Times New Roman"/>
          <w:bCs/>
          <w:szCs w:val="24"/>
        </w:rPr>
        <w:t>Joint Request of Atlanta Gas Light Company, AGL Resources Inc., and The</w:t>
      </w:r>
      <w:r w:rsidR="00C60454" w:rsidRPr="00C60454">
        <w:rPr>
          <w:rFonts w:ascii="Times New Roman" w:hAnsi="Times New Roman"/>
          <w:bCs/>
          <w:szCs w:val="24"/>
        </w:rPr>
        <w:t xml:space="preserve"> Southern Company for a Finding that Southern Company</w:t>
      </w:r>
      <w:r w:rsidR="006F6CB0">
        <w:rPr>
          <w:rFonts w:ascii="Times New Roman" w:hAnsi="Times New Roman"/>
          <w:bCs/>
          <w:szCs w:val="24"/>
        </w:rPr>
        <w:t>’</w:t>
      </w:r>
      <w:r w:rsidR="00C60454" w:rsidRPr="00C60454">
        <w:rPr>
          <w:rFonts w:ascii="Times New Roman" w:hAnsi="Times New Roman"/>
          <w:bCs/>
          <w:szCs w:val="24"/>
        </w:rPr>
        <w:t>s Merger with AGL Resources Complies with Applicable Law.</w:t>
      </w:r>
      <w:r w:rsidR="00C60454">
        <w:rPr>
          <w:rFonts w:ascii="Times New Roman" w:hAnsi="Times New Roman"/>
          <w:bCs/>
          <w:szCs w:val="24"/>
        </w:rPr>
        <w:t xml:space="preserve"> </w:t>
      </w:r>
      <w:r w:rsidR="00F50E72" w:rsidRPr="00F50E72">
        <w:rPr>
          <w:rFonts w:ascii="Times New Roman" w:hAnsi="Times New Roman"/>
          <w:bCs/>
          <w:szCs w:val="24"/>
        </w:rPr>
        <w:t xml:space="preserve">In this filing, Georgia Power has presented sufficient evidence for the Commission to review </w:t>
      </w:r>
      <w:r w:rsidR="00922F66">
        <w:rPr>
          <w:rFonts w:ascii="Times New Roman" w:hAnsi="Times New Roman"/>
          <w:bCs/>
          <w:szCs w:val="24"/>
        </w:rPr>
        <w:t xml:space="preserve">and approve the Company’s </w:t>
      </w:r>
      <w:r w:rsidR="004F26C1">
        <w:rPr>
          <w:rFonts w:ascii="Times New Roman" w:hAnsi="Times New Roman"/>
          <w:bCs/>
          <w:szCs w:val="24"/>
        </w:rPr>
        <w:t>application for a rate increase</w:t>
      </w:r>
      <w:r w:rsidR="00F50E72" w:rsidRPr="00F50E72">
        <w:rPr>
          <w:rFonts w:ascii="Times New Roman" w:hAnsi="Times New Roman"/>
          <w:bCs/>
          <w:szCs w:val="24"/>
        </w:rPr>
        <w:t>.</w:t>
      </w:r>
      <w:r w:rsidR="00F50E72">
        <w:rPr>
          <w:rFonts w:ascii="Times New Roman" w:hAnsi="Times New Roman"/>
          <w:bCs/>
          <w:szCs w:val="24"/>
        </w:rPr>
        <w:t xml:space="preserve"> </w:t>
      </w:r>
    </w:p>
    <w:p w14:paraId="0C2AA7A4" w14:textId="77777777" w:rsidR="004D247E" w:rsidRPr="00C60454" w:rsidRDefault="004D247E" w:rsidP="005059C6">
      <w:pPr>
        <w:keepNext/>
        <w:widowControl/>
        <w:spacing w:before="240" w:after="240" w:line="480" w:lineRule="auto"/>
        <w:ind w:left="720" w:hanging="720"/>
        <w:jc w:val="center"/>
        <w:rPr>
          <w:rFonts w:ascii="Times New Roman" w:hAnsi="Times New Roman"/>
          <w:szCs w:val="24"/>
        </w:rPr>
      </w:pPr>
      <w:r w:rsidRPr="00C60454">
        <w:rPr>
          <w:rFonts w:ascii="Times New Roman" w:hAnsi="Times New Roman"/>
          <w:b/>
          <w:szCs w:val="24"/>
        </w:rPr>
        <w:lastRenderedPageBreak/>
        <w:t>I</w:t>
      </w:r>
      <w:r w:rsidR="00156A32">
        <w:rPr>
          <w:rFonts w:ascii="Times New Roman" w:hAnsi="Times New Roman"/>
          <w:b/>
          <w:szCs w:val="24"/>
        </w:rPr>
        <w:t>I</w:t>
      </w:r>
      <w:r w:rsidRPr="00C60454">
        <w:rPr>
          <w:rFonts w:ascii="Times New Roman" w:hAnsi="Times New Roman"/>
          <w:b/>
          <w:szCs w:val="24"/>
        </w:rPr>
        <w:t>.</w:t>
      </w:r>
      <w:r w:rsidR="00156A32">
        <w:rPr>
          <w:rFonts w:ascii="Times New Roman" w:hAnsi="Times New Roman"/>
          <w:b/>
          <w:szCs w:val="24"/>
        </w:rPr>
        <w:t xml:space="preserve">  </w:t>
      </w:r>
      <w:r w:rsidRPr="00C60454">
        <w:rPr>
          <w:rFonts w:ascii="Times New Roman" w:hAnsi="Times New Roman"/>
          <w:b/>
          <w:szCs w:val="24"/>
        </w:rPr>
        <w:t>SUMMARY OF THE ARGUMENT</w:t>
      </w:r>
    </w:p>
    <w:p w14:paraId="1AB545A6" w14:textId="52C0D724" w:rsidR="00AC2C0C" w:rsidRDefault="004D247E" w:rsidP="005059C6">
      <w:pPr>
        <w:keepNext/>
        <w:widowControl/>
        <w:overflowPunct/>
        <w:autoSpaceDE/>
        <w:autoSpaceDN/>
        <w:adjustRightInd/>
        <w:spacing w:line="480" w:lineRule="auto"/>
        <w:jc w:val="both"/>
        <w:textAlignment w:val="auto"/>
        <w:rPr>
          <w:rFonts w:ascii="Times New Roman" w:hAnsi="Times New Roman"/>
          <w:szCs w:val="24"/>
        </w:rPr>
      </w:pPr>
      <w:r w:rsidRPr="00C60454">
        <w:rPr>
          <w:rFonts w:ascii="Times New Roman" w:hAnsi="Times New Roman"/>
          <w:szCs w:val="24"/>
        </w:rPr>
        <w:tab/>
      </w:r>
      <w:r w:rsidR="00E62E07">
        <w:rPr>
          <w:rFonts w:ascii="Times New Roman" w:hAnsi="Times New Roman"/>
          <w:szCs w:val="24"/>
        </w:rPr>
        <w:t>Parties that</w:t>
      </w:r>
      <w:r w:rsidR="00AC2C0C">
        <w:rPr>
          <w:rFonts w:ascii="Times New Roman" w:hAnsi="Times New Roman"/>
          <w:szCs w:val="24"/>
        </w:rPr>
        <w:t xml:space="preserve"> participated in the Company’s 2019 rate case offered various critiques to the Company’s ARP or offered some</w:t>
      </w:r>
      <w:r w:rsidR="00AC2C0C" w:rsidRPr="00AC2C0C">
        <w:rPr>
          <w:rFonts w:ascii="Times New Roman" w:hAnsi="Times New Roman"/>
          <w:szCs w:val="24"/>
        </w:rPr>
        <w:t xml:space="preserve"> form of an alternative rate plan</w:t>
      </w:r>
      <w:r w:rsidR="00E62E07">
        <w:rPr>
          <w:rFonts w:ascii="Times New Roman" w:hAnsi="Times New Roman"/>
          <w:szCs w:val="24"/>
        </w:rPr>
        <w:t xml:space="preserve">, </w:t>
      </w:r>
      <w:r w:rsidR="00AC2C0C" w:rsidRPr="00AC2C0C">
        <w:rPr>
          <w:rFonts w:ascii="Times New Roman" w:hAnsi="Times New Roman"/>
          <w:szCs w:val="24"/>
        </w:rPr>
        <w:t xml:space="preserve">with very little attention </w:t>
      </w:r>
      <w:r w:rsidR="00E62E07">
        <w:rPr>
          <w:rFonts w:ascii="Times New Roman" w:hAnsi="Times New Roman"/>
          <w:szCs w:val="24"/>
        </w:rPr>
        <w:t>paid to the potential</w:t>
      </w:r>
      <w:r w:rsidR="00AC2C0C" w:rsidRPr="00AC2C0C">
        <w:rPr>
          <w:rFonts w:ascii="Times New Roman" w:hAnsi="Times New Roman"/>
          <w:szCs w:val="24"/>
        </w:rPr>
        <w:t xml:space="preserve"> outcome</w:t>
      </w:r>
      <w:r w:rsidR="00E62E07">
        <w:rPr>
          <w:rFonts w:ascii="Times New Roman" w:hAnsi="Times New Roman"/>
          <w:szCs w:val="24"/>
        </w:rPr>
        <w:t xml:space="preserve"> of what happens</w:t>
      </w:r>
      <w:r w:rsidR="00AC2C0C" w:rsidRPr="00AC2C0C">
        <w:rPr>
          <w:rFonts w:ascii="Times New Roman" w:hAnsi="Times New Roman"/>
          <w:szCs w:val="24"/>
        </w:rPr>
        <w:t xml:space="preserve"> if an alternative rate plan is not adopted. </w:t>
      </w:r>
      <w:r w:rsidR="00E62E07">
        <w:rPr>
          <w:rFonts w:ascii="Times New Roman" w:hAnsi="Times New Roman"/>
          <w:szCs w:val="24"/>
        </w:rPr>
        <w:t xml:space="preserve">Many parties inappropriately assumed an agreement would be reached on the issues in this case, overlooking </w:t>
      </w:r>
      <w:r w:rsidR="00AC2C0C" w:rsidRPr="00AC2C0C">
        <w:rPr>
          <w:rFonts w:ascii="Times New Roman" w:hAnsi="Times New Roman"/>
          <w:szCs w:val="24"/>
        </w:rPr>
        <w:t xml:space="preserve">the very real fact that no alternative rate plan can be adopted unless it is agreed to by the Company. This is not to say that the Company’s proposed </w:t>
      </w:r>
      <w:r w:rsidR="00E62E07">
        <w:rPr>
          <w:rFonts w:ascii="Times New Roman" w:hAnsi="Times New Roman"/>
          <w:szCs w:val="24"/>
        </w:rPr>
        <w:t>ARP</w:t>
      </w:r>
      <w:r w:rsidR="00AC2C0C" w:rsidRPr="00AC2C0C">
        <w:rPr>
          <w:rFonts w:ascii="Times New Roman" w:hAnsi="Times New Roman"/>
          <w:szCs w:val="24"/>
        </w:rPr>
        <w:t xml:space="preserve"> is a “take it or leave it” proposal</w:t>
      </w:r>
      <w:r w:rsidR="00E62E07">
        <w:rPr>
          <w:rFonts w:ascii="Times New Roman" w:hAnsi="Times New Roman"/>
          <w:szCs w:val="24"/>
        </w:rPr>
        <w:t>—the</w:t>
      </w:r>
      <w:r w:rsidR="00AC2C0C" w:rsidRPr="00AC2C0C">
        <w:rPr>
          <w:rFonts w:ascii="Times New Roman" w:hAnsi="Times New Roman"/>
          <w:szCs w:val="24"/>
        </w:rPr>
        <w:t xml:space="preserve"> Company accepts that modifications can be made. In this case, however, the Company has made it abundantly clear that it </w:t>
      </w:r>
      <w:r w:rsidR="00E62E07" w:rsidRPr="00AC2C0C">
        <w:rPr>
          <w:rFonts w:ascii="Times New Roman" w:hAnsi="Times New Roman"/>
          <w:szCs w:val="24"/>
        </w:rPr>
        <w:t>can</w:t>
      </w:r>
      <w:r w:rsidR="00E62E07">
        <w:rPr>
          <w:rFonts w:ascii="Times New Roman" w:hAnsi="Times New Roman"/>
          <w:szCs w:val="24"/>
        </w:rPr>
        <w:t>not and</w:t>
      </w:r>
      <w:r w:rsidR="00E62E07" w:rsidRPr="00AC2C0C">
        <w:rPr>
          <w:rFonts w:ascii="Times New Roman" w:hAnsi="Times New Roman"/>
          <w:szCs w:val="24"/>
        </w:rPr>
        <w:t xml:space="preserve"> </w:t>
      </w:r>
      <w:r w:rsidR="00AC2C0C" w:rsidRPr="00AC2C0C">
        <w:rPr>
          <w:rFonts w:ascii="Times New Roman" w:hAnsi="Times New Roman"/>
          <w:szCs w:val="24"/>
        </w:rPr>
        <w:t xml:space="preserve">will not accept an alternative rate plan that would impair the Company’s financial integrity, threaten its current credit ratings, or fundamentally alter the framework of </w:t>
      </w:r>
      <w:r w:rsidR="00E62E07">
        <w:rPr>
          <w:rFonts w:ascii="Times New Roman" w:hAnsi="Times New Roman"/>
          <w:szCs w:val="24"/>
        </w:rPr>
        <w:t>the ARPs,</w:t>
      </w:r>
      <w:r w:rsidR="00AC2C0C" w:rsidRPr="00AC2C0C">
        <w:rPr>
          <w:rFonts w:ascii="Times New Roman" w:hAnsi="Times New Roman"/>
          <w:szCs w:val="24"/>
        </w:rPr>
        <w:t xml:space="preserve"> which have proven successful </w:t>
      </w:r>
      <w:r w:rsidR="00E62E07">
        <w:rPr>
          <w:rFonts w:ascii="Times New Roman" w:hAnsi="Times New Roman"/>
          <w:szCs w:val="24"/>
        </w:rPr>
        <w:t xml:space="preserve">and beneficial to customers </w:t>
      </w:r>
      <w:r w:rsidR="00AC2C0C" w:rsidRPr="00AC2C0C">
        <w:rPr>
          <w:rFonts w:ascii="Times New Roman" w:hAnsi="Times New Roman"/>
          <w:szCs w:val="24"/>
        </w:rPr>
        <w:t xml:space="preserve">over the past 25 years. When viewed from that perspective, the Company cannot </w:t>
      </w:r>
      <w:r w:rsidR="00AB7E83">
        <w:rPr>
          <w:rFonts w:ascii="Times New Roman" w:hAnsi="Times New Roman"/>
          <w:szCs w:val="24"/>
        </w:rPr>
        <w:t xml:space="preserve">and </w:t>
      </w:r>
      <w:r w:rsidR="00AB7E83" w:rsidRPr="00AC2C0C">
        <w:rPr>
          <w:rFonts w:ascii="Times New Roman" w:hAnsi="Times New Roman"/>
          <w:szCs w:val="24"/>
        </w:rPr>
        <w:t xml:space="preserve">will not </w:t>
      </w:r>
      <w:r w:rsidR="00AC2C0C" w:rsidRPr="00AC2C0C">
        <w:rPr>
          <w:rFonts w:ascii="Times New Roman" w:hAnsi="Times New Roman"/>
          <w:szCs w:val="24"/>
        </w:rPr>
        <w:t xml:space="preserve">accept any of the alternative rate plan proposals suggested by any of the other parties.    </w:t>
      </w:r>
    </w:p>
    <w:p w14:paraId="5B6DE77D" w14:textId="23BE45F0" w:rsidR="00D76893" w:rsidRPr="00C60454" w:rsidRDefault="00AB7E83" w:rsidP="00AC2C0C">
      <w:pPr>
        <w:keepNext/>
        <w:widowControl/>
        <w:overflowPunct/>
        <w:autoSpaceDE/>
        <w:autoSpaceDN/>
        <w:adjustRightInd/>
        <w:spacing w:line="480" w:lineRule="auto"/>
        <w:ind w:firstLine="720"/>
        <w:jc w:val="both"/>
        <w:textAlignment w:val="auto"/>
        <w:rPr>
          <w:rFonts w:ascii="Times New Roman" w:hAnsi="Times New Roman"/>
          <w:szCs w:val="24"/>
        </w:rPr>
      </w:pPr>
      <w:r>
        <w:rPr>
          <w:rFonts w:ascii="Times New Roman" w:hAnsi="Times New Roman"/>
          <w:szCs w:val="24"/>
        </w:rPr>
        <w:t>Rather, t</w:t>
      </w:r>
      <w:r w:rsidR="00A7607D" w:rsidRPr="00C60454">
        <w:rPr>
          <w:rFonts w:ascii="Times New Roman" w:hAnsi="Times New Roman"/>
          <w:szCs w:val="24"/>
        </w:rPr>
        <w:t>he Commission should approve t</w:t>
      </w:r>
      <w:r w:rsidR="004D247E" w:rsidRPr="00C60454">
        <w:rPr>
          <w:rFonts w:ascii="Times New Roman" w:hAnsi="Times New Roman"/>
          <w:szCs w:val="24"/>
        </w:rPr>
        <w:t xml:space="preserve">he </w:t>
      </w:r>
      <w:r w:rsidR="00D757CE" w:rsidRPr="00C60454">
        <w:rPr>
          <w:rFonts w:ascii="Times New Roman" w:hAnsi="Times New Roman"/>
          <w:szCs w:val="24"/>
        </w:rPr>
        <w:t>Company</w:t>
      </w:r>
      <w:r w:rsidR="006F6CB0">
        <w:rPr>
          <w:rFonts w:ascii="Times New Roman" w:hAnsi="Times New Roman"/>
          <w:szCs w:val="24"/>
        </w:rPr>
        <w:t>’</w:t>
      </w:r>
      <w:r w:rsidR="00D757CE" w:rsidRPr="00C60454">
        <w:rPr>
          <w:rFonts w:ascii="Times New Roman" w:hAnsi="Times New Roman"/>
          <w:szCs w:val="24"/>
        </w:rPr>
        <w:t>s ARP</w:t>
      </w:r>
      <w:r w:rsidR="00A7607D" w:rsidRPr="00C60454">
        <w:rPr>
          <w:rFonts w:ascii="Times New Roman" w:hAnsi="Times New Roman"/>
          <w:szCs w:val="24"/>
        </w:rPr>
        <w:t>, without modification, a</w:t>
      </w:r>
      <w:r w:rsidR="004D247E" w:rsidRPr="00C60454">
        <w:rPr>
          <w:rFonts w:ascii="Times New Roman" w:hAnsi="Times New Roman"/>
          <w:szCs w:val="24"/>
        </w:rPr>
        <w:t>s a fair</w:t>
      </w:r>
      <w:r w:rsidR="00846657" w:rsidRPr="00C60454">
        <w:rPr>
          <w:rFonts w:ascii="Times New Roman" w:hAnsi="Times New Roman"/>
          <w:szCs w:val="24"/>
        </w:rPr>
        <w:t xml:space="preserve"> and reasonable</w:t>
      </w:r>
      <w:r w:rsidR="004D247E" w:rsidRPr="00C60454">
        <w:rPr>
          <w:rFonts w:ascii="Times New Roman" w:hAnsi="Times New Roman"/>
          <w:szCs w:val="24"/>
        </w:rPr>
        <w:t xml:space="preserve"> resolution </w:t>
      </w:r>
      <w:r w:rsidR="002A3C8F">
        <w:rPr>
          <w:rFonts w:ascii="Times New Roman" w:hAnsi="Times New Roman"/>
          <w:szCs w:val="24"/>
        </w:rPr>
        <w:t>of</w:t>
      </w:r>
      <w:r w:rsidR="002A3C8F" w:rsidRPr="00C60454">
        <w:rPr>
          <w:rFonts w:ascii="Times New Roman" w:hAnsi="Times New Roman"/>
          <w:szCs w:val="24"/>
        </w:rPr>
        <w:t xml:space="preserve"> </w:t>
      </w:r>
      <w:r w:rsidR="004D247E" w:rsidRPr="00C60454">
        <w:rPr>
          <w:rFonts w:ascii="Times New Roman" w:hAnsi="Times New Roman"/>
          <w:szCs w:val="24"/>
        </w:rPr>
        <w:t>this proceeding</w:t>
      </w:r>
      <w:r w:rsidR="001B2C32" w:rsidRPr="00C60454">
        <w:rPr>
          <w:rFonts w:ascii="Times New Roman" w:hAnsi="Times New Roman"/>
          <w:szCs w:val="24"/>
        </w:rPr>
        <w:t xml:space="preserve"> </w:t>
      </w:r>
      <w:r w:rsidR="00A7607D" w:rsidRPr="00C60454">
        <w:rPr>
          <w:rFonts w:ascii="Times New Roman" w:hAnsi="Times New Roman"/>
          <w:szCs w:val="24"/>
        </w:rPr>
        <w:t xml:space="preserve">that </w:t>
      </w:r>
      <w:r w:rsidR="001B2C32" w:rsidRPr="00C60454">
        <w:rPr>
          <w:rFonts w:ascii="Times New Roman" w:hAnsi="Times New Roman"/>
          <w:szCs w:val="24"/>
        </w:rPr>
        <w:t xml:space="preserve">appropriately </w:t>
      </w:r>
      <w:r w:rsidR="004D247E" w:rsidRPr="00C60454">
        <w:rPr>
          <w:rFonts w:ascii="Times New Roman" w:hAnsi="Times New Roman"/>
          <w:szCs w:val="24"/>
        </w:rPr>
        <w:t xml:space="preserve">balances </w:t>
      </w:r>
      <w:r w:rsidR="00A7607D" w:rsidRPr="00C60454">
        <w:rPr>
          <w:rFonts w:ascii="Times New Roman" w:hAnsi="Times New Roman"/>
          <w:szCs w:val="24"/>
        </w:rPr>
        <w:t xml:space="preserve">the </w:t>
      </w:r>
      <w:r w:rsidR="007640F3" w:rsidRPr="00C60454">
        <w:rPr>
          <w:rFonts w:ascii="Times New Roman" w:hAnsi="Times New Roman"/>
          <w:szCs w:val="24"/>
        </w:rPr>
        <w:t>interests</w:t>
      </w:r>
      <w:r w:rsidR="00A7607D" w:rsidRPr="00C60454">
        <w:rPr>
          <w:rFonts w:ascii="Times New Roman" w:hAnsi="Times New Roman"/>
          <w:szCs w:val="24"/>
        </w:rPr>
        <w:t xml:space="preserve"> of</w:t>
      </w:r>
      <w:r w:rsidR="00D757CE" w:rsidRPr="00C60454">
        <w:rPr>
          <w:rFonts w:ascii="Times New Roman" w:hAnsi="Times New Roman"/>
          <w:szCs w:val="24"/>
        </w:rPr>
        <w:t xml:space="preserve"> customers, the Company and investors. A</w:t>
      </w:r>
      <w:r w:rsidR="001B246E" w:rsidRPr="00C60454">
        <w:rPr>
          <w:rFonts w:ascii="Times New Roman" w:hAnsi="Times New Roman"/>
          <w:szCs w:val="24"/>
        </w:rPr>
        <w:t xml:space="preserve">pproval of the </w:t>
      </w:r>
      <w:r w:rsidR="00D757CE" w:rsidRPr="00C60454">
        <w:rPr>
          <w:rFonts w:ascii="Times New Roman" w:hAnsi="Times New Roman"/>
          <w:szCs w:val="24"/>
        </w:rPr>
        <w:t>Company</w:t>
      </w:r>
      <w:r w:rsidR="006F6CB0">
        <w:rPr>
          <w:rFonts w:ascii="Times New Roman" w:hAnsi="Times New Roman"/>
          <w:szCs w:val="24"/>
        </w:rPr>
        <w:t>’</w:t>
      </w:r>
      <w:r w:rsidR="00D757CE" w:rsidRPr="00C60454">
        <w:rPr>
          <w:rFonts w:ascii="Times New Roman" w:hAnsi="Times New Roman"/>
          <w:szCs w:val="24"/>
        </w:rPr>
        <w:t>s ARP</w:t>
      </w:r>
      <w:r w:rsidR="001B246E" w:rsidRPr="00C60454">
        <w:rPr>
          <w:rFonts w:ascii="Times New Roman" w:hAnsi="Times New Roman"/>
          <w:szCs w:val="24"/>
        </w:rPr>
        <w:t xml:space="preserve"> would </w:t>
      </w:r>
      <w:r w:rsidR="002A3C8F">
        <w:rPr>
          <w:rFonts w:ascii="Times New Roman" w:hAnsi="Times New Roman"/>
          <w:szCs w:val="24"/>
        </w:rPr>
        <w:t>continue</w:t>
      </w:r>
      <w:r w:rsidR="001B246E" w:rsidRPr="00C60454">
        <w:rPr>
          <w:rFonts w:ascii="Times New Roman" w:hAnsi="Times New Roman"/>
          <w:szCs w:val="24"/>
        </w:rPr>
        <w:t xml:space="preserve"> the Commission</w:t>
      </w:r>
      <w:r w:rsidR="006F6CB0">
        <w:rPr>
          <w:rFonts w:ascii="Times New Roman" w:hAnsi="Times New Roman"/>
          <w:szCs w:val="24"/>
        </w:rPr>
        <w:t>’</w:t>
      </w:r>
      <w:r w:rsidR="001B246E" w:rsidRPr="00C60454">
        <w:rPr>
          <w:rFonts w:ascii="Times New Roman" w:hAnsi="Times New Roman"/>
          <w:szCs w:val="24"/>
        </w:rPr>
        <w:t xml:space="preserve">s </w:t>
      </w:r>
      <w:r w:rsidR="002A3C8F">
        <w:rPr>
          <w:rFonts w:ascii="Times New Roman" w:hAnsi="Times New Roman"/>
          <w:szCs w:val="24"/>
        </w:rPr>
        <w:t xml:space="preserve">long-standing tradition of </w:t>
      </w:r>
      <w:r w:rsidR="001B246E" w:rsidRPr="00C60454">
        <w:rPr>
          <w:rFonts w:ascii="Times New Roman" w:hAnsi="Times New Roman"/>
          <w:szCs w:val="24"/>
        </w:rPr>
        <w:t xml:space="preserve">constructive regulation, which created </w:t>
      </w:r>
      <w:r w:rsidR="00F76F6D" w:rsidRPr="00C60454">
        <w:rPr>
          <w:rFonts w:ascii="Times New Roman" w:hAnsi="Times New Roman"/>
          <w:szCs w:val="24"/>
        </w:rPr>
        <w:t xml:space="preserve">and continues to foster </w:t>
      </w:r>
      <w:r w:rsidR="001B246E" w:rsidRPr="00C60454">
        <w:rPr>
          <w:rFonts w:ascii="Times New Roman" w:hAnsi="Times New Roman"/>
          <w:szCs w:val="24"/>
        </w:rPr>
        <w:t xml:space="preserve">an environment that </w:t>
      </w:r>
      <w:r w:rsidR="00F76F6D" w:rsidRPr="00C60454">
        <w:rPr>
          <w:rFonts w:ascii="Times New Roman" w:hAnsi="Times New Roman"/>
          <w:szCs w:val="24"/>
        </w:rPr>
        <w:t xml:space="preserve">allows </w:t>
      </w:r>
      <w:r w:rsidR="001B246E" w:rsidRPr="00C60454">
        <w:rPr>
          <w:rFonts w:ascii="Times New Roman" w:hAnsi="Times New Roman"/>
          <w:szCs w:val="24"/>
        </w:rPr>
        <w:t>the Company to meet its customers</w:t>
      </w:r>
      <w:r w:rsidR="006F6CB0">
        <w:rPr>
          <w:rFonts w:ascii="Times New Roman" w:hAnsi="Times New Roman"/>
          <w:szCs w:val="24"/>
        </w:rPr>
        <w:t>’</w:t>
      </w:r>
      <w:r w:rsidR="001B246E" w:rsidRPr="00C60454">
        <w:rPr>
          <w:rFonts w:ascii="Times New Roman" w:hAnsi="Times New Roman"/>
          <w:szCs w:val="24"/>
        </w:rPr>
        <w:t xml:space="preserve"> needs, provide </w:t>
      </w:r>
      <w:r w:rsidR="00B7568F">
        <w:rPr>
          <w:rFonts w:ascii="Times New Roman" w:hAnsi="Times New Roman"/>
          <w:szCs w:val="24"/>
        </w:rPr>
        <w:t>industry leading</w:t>
      </w:r>
      <w:r w:rsidR="00B7568F" w:rsidRPr="00C60454">
        <w:rPr>
          <w:rFonts w:ascii="Times New Roman" w:hAnsi="Times New Roman"/>
          <w:szCs w:val="24"/>
        </w:rPr>
        <w:t xml:space="preserve"> </w:t>
      </w:r>
      <w:r w:rsidR="001B246E" w:rsidRPr="00C60454">
        <w:rPr>
          <w:rFonts w:ascii="Times New Roman" w:hAnsi="Times New Roman"/>
          <w:szCs w:val="24"/>
        </w:rPr>
        <w:t>customer service and maintain rates</w:t>
      </w:r>
      <w:r w:rsidR="00392F55">
        <w:rPr>
          <w:rFonts w:ascii="Times New Roman" w:hAnsi="Times New Roman"/>
          <w:szCs w:val="24"/>
        </w:rPr>
        <w:t xml:space="preserve"> well</w:t>
      </w:r>
      <w:r w:rsidR="001B246E" w:rsidRPr="00C60454">
        <w:rPr>
          <w:rFonts w:ascii="Times New Roman" w:hAnsi="Times New Roman"/>
          <w:szCs w:val="24"/>
        </w:rPr>
        <w:t xml:space="preserve"> below the national average. </w:t>
      </w:r>
      <w:r w:rsidR="00D757CE" w:rsidRPr="00C60454">
        <w:rPr>
          <w:rFonts w:ascii="Times New Roman" w:hAnsi="Times New Roman"/>
          <w:szCs w:val="24"/>
        </w:rPr>
        <w:t>This Commission</w:t>
      </w:r>
      <w:r w:rsidR="006F6CB0">
        <w:rPr>
          <w:rFonts w:ascii="Times New Roman" w:hAnsi="Times New Roman"/>
          <w:szCs w:val="24"/>
        </w:rPr>
        <w:t>’</w:t>
      </w:r>
      <w:r w:rsidR="00D757CE" w:rsidRPr="00C60454">
        <w:rPr>
          <w:rFonts w:ascii="Times New Roman" w:hAnsi="Times New Roman"/>
          <w:szCs w:val="24"/>
        </w:rPr>
        <w:t>s</w:t>
      </w:r>
      <w:r w:rsidR="00B7568F">
        <w:rPr>
          <w:rFonts w:ascii="Times New Roman" w:hAnsi="Times New Roman"/>
          <w:szCs w:val="24"/>
        </w:rPr>
        <w:t xml:space="preserve"> past</w:t>
      </w:r>
      <w:r w:rsidR="00D757CE" w:rsidRPr="00C60454">
        <w:rPr>
          <w:rFonts w:ascii="Times New Roman" w:hAnsi="Times New Roman"/>
          <w:szCs w:val="24"/>
        </w:rPr>
        <w:t xml:space="preserve"> approval</w:t>
      </w:r>
      <w:r w:rsidR="002A3C8F">
        <w:rPr>
          <w:rFonts w:ascii="Times New Roman" w:hAnsi="Times New Roman"/>
          <w:szCs w:val="24"/>
        </w:rPr>
        <w:t>s</w:t>
      </w:r>
      <w:r w:rsidR="00D757CE" w:rsidRPr="00C60454">
        <w:rPr>
          <w:rFonts w:ascii="Times New Roman" w:hAnsi="Times New Roman"/>
          <w:szCs w:val="24"/>
        </w:rPr>
        <w:t xml:space="preserve"> of the Company</w:t>
      </w:r>
      <w:r w:rsidR="006F6CB0">
        <w:rPr>
          <w:rFonts w:ascii="Times New Roman" w:hAnsi="Times New Roman"/>
          <w:szCs w:val="24"/>
        </w:rPr>
        <w:t>’</w:t>
      </w:r>
      <w:r w:rsidR="00D757CE" w:rsidRPr="00C60454">
        <w:rPr>
          <w:rFonts w:ascii="Times New Roman" w:hAnsi="Times New Roman"/>
          <w:szCs w:val="24"/>
        </w:rPr>
        <w:t xml:space="preserve">s </w:t>
      </w:r>
      <w:r w:rsidR="001E06E7" w:rsidRPr="00C60454">
        <w:rPr>
          <w:rFonts w:ascii="Times New Roman" w:hAnsi="Times New Roman"/>
          <w:szCs w:val="24"/>
        </w:rPr>
        <w:t>three-year</w:t>
      </w:r>
      <w:r w:rsidR="00D757CE" w:rsidRPr="00C60454">
        <w:rPr>
          <w:rFonts w:ascii="Times New Roman" w:hAnsi="Times New Roman"/>
          <w:szCs w:val="24"/>
        </w:rPr>
        <w:t xml:space="preserve"> ARPs</w:t>
      </w:r>
      <w:r w:rsidR="001E06E7" w:rsidRPr="00C60454">
        <w:rPr>
          <w:rFonts w:ascii="Times New Roman" w:hAnsi="Times New Roman"/>
          <w:szCs w:val="24"/>
        </w:rPr>
        <w:t xml:space="preserve"> have provided stability and certainty for </w:t>
      </w:r>
      <w:r w:rsidR="00B7568F">
        <w:rPr>
          <w:rFonts w:ascii="Times New Roman" w:hAnsi="Times New Roman"/>
          <w:szCs w:val="24"/>
        </w:rPr>
        <w:lastRenderedPageBreak/>
        <w:t xml:space="preserve">customers and </w:t>
      </w:r>
      <w:r w:rsidR="001E06E7" w:rsidRPr="00C60454">
        <w:rPr>
          <w:rFonts w:ascii="Times New Roman" w:hAnsi="Times New Roman"/>
          <w:szCs w:val="24"/>
        </w:rPr>
        <w:t xml:space="preserve">the Company and </w:t>
      </w:r>
      <w:r w:rsidR="00361F79">
        <w:rPr>
          <w:rFonts w:ascii="Times New Roman" w:hAnsi="Times New Roman"/>
          <w:szCs w:val="24"/>
        </w:rPr>
        <w:t>reflect</w:t>
      </w:r>
      <w:r w:rsidR="001E06E7" w:rsidRPr="00C60454">
        <w:rPr>
          <w:rFonts w:ascii="Times New Roman" w:hAnsi="Times New Roman"/>
          <w:szCs w:val="24"/>
        </w:rPr>
        <w:t xml:space="preserve"> reasoned compromise</w:t>
      </w:r>
      <w:r w:rsidR="00361F79">
        <w:rPr>
          <w:rFonts w:ascii="Times New Roman" w:hAnsi="Times New Roman"/>
          <w:szCs w:val="24"/>
        </w:rPr>
        <w:t>, a</w:t>
      </w:r>
      <w:r w:rsidR="001E06E7" w:rsidRPr="00C60454">
        <w:rPr>
          <w:rFonts w:ascii="Times New Roman" w:hAnsi="Times New Roman"/>
          <w:szCs w:val="24"/>
        </w:rPr>
        <w:t xml:space="preserve"> hallmark of the regulatory environment in Georgia.</w:t>
      </w:r>
      <w:r w:rsidR="00D757CE" w:rsidRPr="00C60454">
        <w:rPr>
          <w:rFonts w:ascii="Times New Roman" w:hAnsi="Times New Roman"/>
          <w:szCs w:val="24"/>
        </w:rPr>
        <w:t xml:space="preserve"> </w:t>
      </w:r>
    </w:p>
    <w:p w14:paraId="225686FF" w14:textId="4D30BC96" w:rsidR="00F50E72" w:rsidRPr="003C14E3" w:rsidRDefault="00D76893" w:rsidP="004D79CA">
      <w:pPr>
        <w:numPr>
          <w:ilvl w:val="2"/>
          <w:numId w:val="0"/>
        </w:numPr>
        <w:spacing w:line="480" w:lineRule="auto"/>
        <w:jc w:val="both"/>
        <w:outlineLvl w:val="2"/>
        <w:rPr>
          <w:rFonts w:ascii="Times New Roman" w:hAnsi="Times New Roman"/>
          <w:szCs w:val="24"/>
        </w:rPr>
      </w:pPr>
      <w:r w:rsidRPr="003C14E3">
        <w:rPr>
          <w:rFonts w:ascii="Times New Roman" w:hAnsi="Times New Roman"/>
          <w:szCs w:val="24"/>
        </w:rPr>
        <w:tab/>
      </w:r>
      <w:r w:rsidR="00F50E72" w:rsidRPr="003C14E3">
        <w:rPr>
          <w:rFonts w:ascii="Times New Roman" w:hAnsi="Times New Roman"/>
          <w:szCs w:val="24"/>
        </w:rPr>
        <w:t xml:space="preserve">The Company is proposing an ARP that will: </w:t>
      </w:r>
      <w:r w:rsidR="003C14E3" w:rsidRPr="003C14E3">
        <w:rPr>
          <w:rFonts w:ascii="Times New Roman" w:hAnsi="Times New Roman"/>
          <w:szCs w:val="24"/>
        </w:rPr>
        <w:t xml:space="preserve">(i) </w:t>
      </w:r>
      <w:r w:rsidR="003C14E3">
        <w:rPr>
          <w:rFonts w:ascii="Times New Roman" w:hAnsi="Times New Roman"/>
        </w:rPr>
        <w:t>p</w:t>
      </w:r>
      <w:r w:rsidR="00F50E72" w:rsidRPr="003C14E3">
        <w:rPr>
          <w:rFonts w:ascii="Times New Roman" w:hAnsi="Times New Roman"/>
        </w:rPr>
        <w:t>rovide customers with the full benefits of the 2017 Tax Cuts and Jobs Act (“Tax Reform Act”) while maintaining the Company</w:t>
      </w:r>
      <w:r w:rsidR="006F6CB0">
        <w:rPr>
          <w:rFonts w:ascii="Times New Roman" w:hAnsi="Times New Roman"/>
        </w:rPr>
        <w:t>’</w:t>
      </w:r>
      <w:r w:rsidR="00F50E72" w:rsidRPr="003C14E3">
        <w:rPr>
          <w:rFonts w:ascii="Times New Roman" w:hAnsi="Times New Roman"/>
        </w:rPr>
        <w:t>s financial integrity;</w:t>
      </w:r>
      <w:r w:rsidR="003C14E3" w:rsidRPr="003C14E3">
        <w:rPr>
          <w:rFonts w:ascii="Times New Roman" w:hAnsi="Times New Roman"/>
        </w:rPr>
        <w:t xml:space="preserve"> (ii) a</w:t>
      </w:r>
      <w:r w:rsidR="00F50E72" w:rsidRPr="003C14E3">
        <w:rPr>
          <w:rFonts w:ascii="Times New Roman" w:hAnsi="Times New Roman"/>
          <w:szCs w:val="24"/>
        </w:rPr>
        <w:t xml:space="preserve">llow the Company to recover the necessary capital investments made since 2013 and investments that will be made over the next three years with updated depreciation rates; </w:t>
      </w:r>
      <w:r w:rsidR="003C14E3" w:rsidRPr="003C14E3">
        <w:rPr>
          <w:rFonts w:ascii="Times New Roman" w:hAnsi="Times New Roman"/>
          <w:szCs w:val="24"/>
        </w:rPr>
        <w:t>(iii) r</w:t>
      </w:r>
      <w:r w:rsidR="00F50E72" w:rsidRPr="003C14E3">
        <w:rPr>
          <w:rFonts w:ascii="Times New Roman" w:hAnsi="Times New Roman"/>
        </w:rPr>
        <w:t xml:space="preserve">easonably amortize the substantial deferred storm damage expenses incurred since 2013 and set a reasonable level of anticipated storm damage expenses for the next three years in an effort to prevent further under recoveries; </w:t>
      </w:r>
      <w:r w:rsidR="003C14E3" w:rsidRPr="003C14E3">
        <w:rPr>
          <w:rFonts w:ascii="Times New Roman" w:hAnsi="Times New Roman"/>
        </w:rPr>
        <w:t>(iv) a</w:t>
      </w:r>
      <w:r w:rsidR="00F50E72" w:rsidRPr="003C14E3">
        <w:rPr>
          <w:rFonts w:ascii="Times New Roman" w:hAnsi="Times New Roman"/>
        </w:rPr>
        <w:t xml:space="preserve">llow the Company to recover the costs necessary to comply with the federal and state regulations for </w:t>
      </w:r>
      <w:r w:rsidR="0048458F">
        <w:rPr>
          <w:rFonts w:ascii="Times New Roman" w:hAnsi="Times New Roman"/>
        </w:rPr>
        <w:t>coal combustion residuals (“</w:t>
      </w:r>
      <w:r w:rsidR="00F50E72" w:rsidRPr="003C14E3">
        <w:rPr>
          <w:rFonts w:ascii="Times New Roman" w:hAnsi="Times New Roman"/>
        </w:rPr>
        <w:t>CCR</w:t>
      </w:r>
      <w:r w:rsidR="0048458F">
        <w:rPr>
          <w:rFonts w:ascii="Times New Roman" w:hAnsi="Times New Roman"/>
        </w:rPr>
        <w:t>”)</w:t>
      </w:r>
      <w:r w:rsidR="00F50E72" w:rsidRPr="003C14E3">
        <w:rPr>
          <w:rFonts w:ascii="Times New Roman" w:hAnsi="Times New Roman"/>
        </w:rPr>
        <w:t xml:space="preserve"> </w:t>
      </w:r>
      <w:r w:rsidR="0048458F">
        <w:rPr>
          <w:rFonts w:ascii="Times New Roman" w:hAnsi="Times New Roman"/>
        </w:rPr>
        <w:t>asset retirement obligations (“</w:t>
      </w:r>
      <w:r w:rsidR="00F50E72" w:rsidRPr="003C14E3">
        <w:rPr>
          <w:rFonts w:ascii="Times New Roman" w:hAnsi="Times New Roman"/>
        </w:rPr>
        <w:t>ARO</w:t>
      </w:r>
      <w:r w:rsidR="0048458F">
        <w:rPr>
          <w:rFonts w:ascii="Times New Roman" w:hAnsi="Times New Roman"/>
        </w:rPr>
        <w:t>”)</w:t>
      </w:r>
      <w:r w:rsidR="00F50E72" w:rsidRPr="003C14E3">
        <w:rPr>
          <w:rFonts w:ascii="Times New Roman" w:hAnsi="Times New Roman"/>
        </w:rPr>
        <w:t xml:space="preserve">; and </w:t>
      </w:r>
      <w:r w:rsidR="003C14E3" w:rsidRPr="003C14E3">
        <w:rPr>
          <w:rFonts w:ascii="Times New Roman" w:hAnsi="Times New Roman"/>
        </w:rPr>
        <w:t xml:space="preserve">(v) </w:t>
      </w:r>
      <w:r w:rsidR="002A3C8F">
        <w:rPr>
          <w:rFonts w:ascii="Times New Roman" w:hAnsi="Times New Roman"/>
        </w:rPr>
        <w:t xml:space="preserve">help </w:t>
      </w:r>
      <w:r w:rsidR="002A3C8F" w:rsidRPr="003C14E3">
        <w:rPr>
          <w:rFonts w:ascii="Times New Roman" w:hAnsi="Times New Roman"/>
        </w:rPr>
        <w:t xml:space="preserve">the Company </w:t>
      </w:r>
      <w:r w:rsidR="002A3C8F">
        <w:rPr>
          <w:rFonts w:ascii="Times New Roman" w:hAnsi="Times New Roman"/>
        </w:rPr>
        <w:t xml:space="preserve">modernize </w:t>
      </w:r>
      <w:r w:rsidR="002A3C8F" w:rsidRPr="003C14E3">
        <w:rPr>
          <w:rFonts w:ascii="Times New Roman" w:hAnsi="Times New Roman"/>
        </w:rPr>
        <w:t xml:space="preserve">rate design </w:t>
      </w:r>
      <w:r w:rsidR="002A3C8F">
        <w:rPr>
          <w:rFonts w:ascii="Times New Roman" w:hAnsi="Times New Roman"/>
        </w:rPr>
        <w:t>gradually</w:t>
      </w:r>
      <w:r w:rsidR="007F4277">
        <w:rPr>
          <w:rFonts w:ascii="Times New Roman" w:hAnsi="Times New Roman"/>
        </w:rPr>
        <w:t xml:space="preserve"> </w:t>
      </w:r>
      <w:r w:rsidR="00F50E72" w:rsidRPr="003C14E3">
        <w:rPr>
          <w:rFonts w:ascii="Times New Roman" w:hAnsi="Times New Roman"/>
        </w:rPr>
        <w:t xml:space="preserve">to reflect the evolving nature of </w:t>
      </w:r>
      <w:r w:rsidR="003C14E3">
        <w:rPr>
          <w:rFonts w:ascii="Times New Roman" w:hAnsi="Times New Roman"/>
        </w:rPr>
        <w:t>the Company</w:t>
      </w:r>
      <w:r w:rsidR="006F6CB0">
        <w:rPr>
          <w:rFonts w:ascii="Times New Roman" w:hAnsi="Times New Roman"/>
        </w:rPr>
        <w:t>’</w:t>
      </w:r>
      <w:r w:rsidR="003C14E3">
        <w:rPr>
          <w:rFonts w:ascii="Times New Roman" w:hAnsi="Times New Roman"/>
        </w:rPr>
        <w:t>s</w:t>
      </w:r>
      <w:r w:rsidR="00F50E72" w:rsidRPr="003C14E3">
        <w:rPr>
          <w:rFonts w:ascii="Times New Roman" w:hAnsi="Times New Roman"/>
        </w:rPr>
        <w:t xml:space="preserve"> business and customers</w:t>
      </w:r>
      <w:r w:rsidR="006F6CB0">
        <w:rPr>
          <w:rFonts w:ascii="Times New Roman" w:hAnsi="Times New Roman"/>
        </w:rPr>
        <w:t>’</w:t>
      </w:r>
      <w:r w:rsidR="00F50E72" w:rsidRPr="003C14E3">
        <w:rPr>
          <w:rFonts w:ascii="Times New Roman" w:hAnsi="Times New Roman"/>
        </w:rPr>
        <w:t xml:space="preserve"> usage patterns</w:t>
      </w:r>
      <w:r w:rsidR="008A27EF">
        <w:rPr>
          <w:rFonts w:ascii="Times New Roman" w:hAnsi="Times New Roman"/>
        </w:rPr>
        <w:t xml:space="preserve"> and preferences</w:t>
      </w:r>
      <w:r w:rsidR="00F50E72" w:rsidRPr="003C14E3">
        <w:rPr>
          <w:rFonts w:ascii="Times New Roman" w:hAnsi="Times New Roman"/>
        </w:rPr>
        <w:t xml:space="preserve">. </w:t>
      </w:r>
      <w:r w:rsidR="007B615A">
        <w:rPr>
          <w:rFonts w:ascii="Times New Roman" w:hAnsi="Times New Roman"/>
        </w:rPr>
        <w:t>(</w:t>
      </w:r>
      <w:r w:rsidR="00E74087">
        <w:rPr>
          <w:rFonts w:ascii="Times New Roman" w:hAnsi="Times New Roman"/>
        </w:rPr>
        <w:t>Tr.</w:t>
      </w:r>
      <w:r w:rsidR="007D4BE3">
        <w:rPr>
          <w:rFonts w:ascii="Times New Roman" w:hAnsi="Times New Roman"/>
        </w:rPr>
        <w:t> </w:t>
      </w:r>
      <w:r w:rsidR="00E74087">
        <w:rPr>
          <w:rFonts w:ascii="Times New Roman" w:hAnsi="Times New Roman"/>
        </w:rPr>
        <w:t>177-78</w:t>
      </w:r>
      <w:r w:rsidR="007B615A">
        <w:rPr>
          <w:rFonts w:ascii="Times New Roman" w:hAnsi="Times New Roman"/>
        </w:rPr>
        <w:t>.)</w:t>
      </w:r>
    </w:p>
    <w:p w14:paraId="6C859D48" w14:textId="53A75840" w:rsidR="004D247E" w:rsidRPr="00C60454" w:rsidRDefault="005571BA" w:rsidP="004D79CA">
      <w:pPr>
        <w:widowControl/>
        <w:overflowPunct/>
        <w:autoSpaceDE/>
        <w:autoSpaceDN/>
        <w:adjustRightInd/>
        <w:spacing w:line="480" w:lineRule="auto"/>
        <w:ind w:firstLine="720"/>
        <w:jc w:val="both"/>
        <w:textAlignment w:val="auto"/>
        <w:rPr>
          <w:rFonts w:ascii="Times New Roman" w:hAnsi="Times New Roman"/>
          <w:szCs w:val="24"/>
        </w:rPr>
      </w:pPr>
      <w:r w:rsidRPr="00C60454">
        <w:rPr>
          <w:rFonts w:ascii="Times New Roman" w:hAnsi="Times New Roman"/>
          <w:szCs w:val="24"/>
        </w:rPr>
        <w:t>T</w:t>
      </w:r>
      <w:r w:rsidR="00FF6A26" w:rsidRPr="00C60454">
        <w:rPr>
          <w:rFonts w:ascii="Times New Roman" w:hAnsi="Times New Roman"/>
          <w:szCs w:val="24"/>
        </w:rPr>
        <w:t>he</w:t>
      </w:r>
      <w:r w:rsidR="004D247E" w:rsidRPr="00C60454">
        <w:rPr>
          <w:rFonts w:ascii="Times New Roman" w:hAnsi="Times New Roman"/>
          <w:szCs w:val="24"/>
        </w:rPr>
        <w:t xml:space="preserve"> </w:t>
      </w:r>
      <w:r w:rsidR="00EE2671" w:rsidRPr="00C60454">
        <w:rPr>
          <w:rFonts w:ascii="Times New Roman" w:hAnsi="Times New Roman"/>
          <w:szCs w:val="24"/>
        </w:rPr>
        <w:t>ARP</w:t>
      </w:r>
      <w:r w:rsidRPr="00C60454">
        <w:rPr>
          <w:rFonts w:ascii="Times New Roman" w:hAnsi="Times New Roman"/>
          <w:szCs w:val="24"/>
        </w:rPr>
        <w:t xml:space="preserve"> and the Company</w:t>
      </w:r>
      <w:r w:rsidR="006F6CB0">
        <w:rPr>
          <w:rFonts w:ascii="Times New Roman" w:hAnsi="Times New Roman"/>
          <w:szCs w:val="24"/>
        </w:rPr>
        <w:t>’</w:t>
      </w:r>
      <w:r w:rsidRPr="00C60454">
        <w:rPr>
          <w:rFonts w:ascii="Times New Roman" w:hAnsi="Times New Roman"/>
          <w:szCs w:val="24"/>
        </w:rPr>
        <w:t>s proposed 10.90%</w:t>
      </w:r>
      <w:r w:rsidR="00377E8F">
        <w:rPr>
          <w:rFonts w:ascii="Times New Roman" w:hAnsi="Times New Roman"/>
          <w:szCs w:val="24"/>
        </w:rPr>
        <w:t xml:space="preserve"> return on equity (“</w:t>
      </w:r>
      <w:r w:rsidRPr="00C60454">
        <w:rPr>
          <w:rFonts w:ascii="Times New Roman" w:hAnsi="Times New Roman"/>
          <w:szCs w:val="24"/>
        </w:rPr>
        <w:t>ROE</w:t>
      </w:r>
      <w:r w:rsidR="00377E8F">
        <w:rPr>
          <w:rFonts w:ascii="Times New Roman" w:hAnsi="Times New Roman"/>
          <w:szCs w:val="24"/>
        </w:rPr>
        <w:t>”)</w:t>
      </w:r>
      <w:r w:rsidRPr="00C60454">
        <w:rPr>
          <w:rFonts w:ascii="Times New Roman" w:hAnsi="Times New Roman"/>
          <w:szCs w:val="24"/>
        </w:rPr>
        <w:t xml:space="preserve"> and 56% equity level in its capital structure</w:t>
      </w:r>
      <w:r w:rsidR="004D247E" w:rsidRPr="00C60454">
        <w:rPr>
          <w:rFonts w:ascii="Times New Roman" w:hAnsi="Times New Roman"/>
          <w:szCs w:val="24"/>
        </w:rPr>
        <w:t xml:space="preserve"> will </w:t>
      </w:r>
      <w:r w:rsidRPr="00C60454">
        <w:rPr>
          <w:rFonts w:ascii="Times New Roman" w:hAnsi="Times New Roman"/>
          <w:szCs w:val="24"/>
        </w:rPr>
        <w:t xml:space="preserve">enable </w:t>
      </w:r>
      <w:r w:rsidR="004D247E" w:rsidRPr="00C60454">
        <w:rPr>
          <w:rFonts w:ascii="Times New Roman" w:hAnsi="Times New Roman"/>
          <w:szCs w:val="24"/>
        </w:rPr>
        <w:t xml:space="preserve">the Company </w:t>
      </w:r>
      <w:r w:rsidRPr="00C60454">
        <w:rPr>
          <w:rFonts w:ascii="Times New Roman" w:hAnsi="Times New Roman"/>
          <w:szCs w:val="24"/>
        </w:rPr>
        <w:t>to</w:t>
      </w:r>
      <w:r w:rsidR="004D247E" w:rsidRPr="00C60454">
        <w:rPr>
          <w:rFonts w:ascii="Times New Roman" w:hAnsi="Times New Roman"/>
          <w:szCs w:val="24"/>
        </w:rPr>
        <w:t xml:space="preserve"> continue to access the capita</w:t>
      </w:r>
      <w:r w:rsidR="00A273DF" w:rsidRPr="00C60454">
        <w:rPr>
          <w:rFonts w:ascii="Times New Roman" w:hAnsi="Times New Roman"/>
          <w:szCs w:val="24"/>
        </w:rPr>
        <w:t>l markets at reasonable rates</w:t>
      </w:r>
      <w:r w:rsidR="00191F2A" w:rsidRPr="00C60454">
        <w:rPr>
          <w:rFonts w:ascii="Times New Roman" w:hAnsi="Times New Roman"/>
          <w:szCs w:val="24"/>
        </w:rPr>
        <w:t xml:space="preserve"> and on reasonable terms</w:t>
      </w:r>
      <w:r w:rsidR="001B2C32" w:rsidRPr="00C60454">
        <w:rPr>
          <w:rFonts w:ascii="Times New Roman" w:hAnsi="Times New Roman"/>
          <w:szCs w:val="24"/>
        </w:rPr>
        <w:t>.</w:t>
      </w:r>
      <w:r w:rsidRPr="00C60454">
        <w:rPr>
          <w:rFonts w:ascii="Times New Roman" w:hAnsi="Times New Roman"/>
          <w:szCs w:val="24"/>
        </w:rPr>
        <w:t xml:space="preserve"> At these levels, the Company</w:t>
      </w:r>
      <w:r w:rsidR="006F6CB0">
        <w:rPr>
          <w:rFonts w:ascii="Times New Roman" w:hAnsi="Times New Roman"/>
          <w:szCs w:val="24"/>
        </w:rPr>
        <w:t>’</w:t>
      </w:r>
      <w:r w:rsidRPr="00C60454">
        <w:rPr>
          <w:rFonts w:ascii="Times New Roman" w:hAnsi="Times New Roman"/>
          <w:szCs w:val="24"/>
        </w:rPr>
        <w:t>s Funds from Operation</w:t>
      </w:r>
      <w:r w:rsidR="00361F79">
        <w:rPr>
          <w:rFonts w:ascii="Times New Roman" w:hAnsi="Times New Roman"/>
          <w:szCs w:val="24"/>
        </w:rPr>
        <w:t>s</w:t>
      </w:r>
      <w:r w:rsidRPr="00C60454">
        <w:rPr>
          <w:rFonts w:ascii="Times New Roman" w:hAnsi="Times New Roman"/>
          <w:szCs w:val="24"/>
        </w:rPr>
        <w:t xml:space="preserve"> (“FFO”) to Debt ratio</w:t>
      </w:r>
      <w:r w:rsidR="005135F4">
        <w:rPr>
          <w:rFonts w:ascii="Times New Roman" w:hAnsi="Times New Roman"/>
          <w:szCs w:val="24"/>
        </w:rPr>
        <w:t>, a key metric used by the ratings agencies to analyze a company’s financial risk,</w:t>
      </w:r>
      <w:r w:rsidRPr="00C60454">
        <w:rPr>
          <w:rFonts w:ascii="Times New Roman" w:hAnsi="Times New Roman"/>
          <w:szCs w:val="24"/>
        </w:rPr>
        <w:t xml:space="preserve"> will meet the thresholds identified by the credit rating agencies as necessary to maintain the Company</w:t>
      </w:r>
      <w:r w:rsidR="006F6CB0">
        <w:rPr>
          <w:rFonts w:ascii="Times New Roman" w:hAnsi="Times New Roman"/>
          <w:szCs w:val="24"/>
        </w:rPr>
        <w:t>’</w:t>
      </w:r>
      <w:r w:rsidR="00D757CE" w:rsidRPr="00C60454">
        <w:rPr>
          <w:rFonts w:ascii="Times New Roman" w:hAnsi="Times New Roman"/>
          <w:szCs w:val="24"/>
        </w:rPr>
        <w:t>s current credit quality.</w:t>
      </w:r>
      <w:r w:rsidR="001B2C32" w:rsidRPr="00C60454">
        <w:rPr>
          <w:rFonts w:ascii="Times New Roman" w:hAnsi="Times New Roman"/>
          <w:szCs w:val="24"/>
        </w:rPr>
        <w:t xml:space="preserve"> Continued a</w:t>
      </w:r>
      <w:r w:rsidR="004D247E" w:rsidRPr="00C60454">
        <w:rPr>
          <w:rFonts w:ascii="Times New Roman" w:hAnsi="Times New Roman"/>
          <w:szCs w:val="24"/>
        </w:rPr>
        <w:t xml:space="preserve">ccess to the capital markets is of </w:t>
      </w:r>
      <w:r w:rsidR="0037296D">
        <w:rPr>
          <w:rFonts w:ascii="Times New Roman" w:hAnsi="Times New Roman"/>
          <w:szCs w:val="24"/>
        </w:rPr>
        <w:t>critical</w:t>
      </w:r>
      <w:r w:rsidR="0037296D" w:rsidRPr="00C60454">
        <w:rPr>
          <w:rFonts w:ascii="Times New Roman" w:hAnsi="Times New Roman"/>
          <w:szCs w:val="24"/>
        </w:rPr>
        <w:t xml:space="preserve"> </w:t>
      </w:r>
      <w:r w:rsidR="004D247E" w:rsidRPr="00C60454">
        <w:rPr>
          <w:rFonts w:ascii="Times New Roman" w:hAnsi="Times New Roman"/>
          <w:szCs w:val="24"/>
        </w:rPr>
        <w:t>importance as the Company</w:t>
      </w:r>
      <w:r w:rsidR="00191F2A" w:rsidRPr="00C60454">
        <w:rPr>
          <w:rFonts w:ascii="Times New Roman" w:hAnsi="Times New Roman"/>
          <w:szCs w:val="24"/>
        </w:rPr>
        <w:t xml:space="preserve"> </w:t>
      </w:r>
      <w:r w:rsidR="00B8313E" w:rsidRPr="00C60454">
        <w:rPr>
          <w:rFonts w:ascii="Times New Roman" w:hAnsi="Times New Roman"/>
          <w:szCs w:val="24"/>
        </w:rPr>
        <w:t>continues one of the largest</w:t>
      </w:r>
      <w:r w:rsidR="001E06E7" w:rsidRPr="00C60454">
        <w:rPr>
          <w:rFonts w:ascii="Times New Roman" w:hAnsi="Times New Roman"/>
          <w:szCs w:val="24"/>
        </w:rPr>
        <w:t xml:space="preserve"> </w:t>
      </w:r>
      <w:r w:rsidR="00EC0096" w:rsidRPr="00C60454">
        <w:rPr>
          <w:rFonts w:ascii="Times New Roman" w:hAnsi="Times New Roman"/>
          <w:szCs w:val="24"/>
        </w:rPr>
        <w:t>capital-intensive</w:t>
      </w:r>
      <w:r w:rsidR="002878FB">
        <w:rPr>
          <w:rFonts w:ascii="Times New Roman" w:hAnsi="Times New Roman"/>
          <w:szCs w:val="24"/>
        </w:rPr>
        <w:t xml:space="preserve"> periods</w:t>
      </w:r>
      <w:r w:rsidR="001E06E7" w:rsidRPr="00C60454">
        <w:rPr>
          <w:rFonts w:ascii="Times New Roman" w:hAnsi="Times New Roman"/>
          <w:szCs w:val="24"/>
        </w:rPr>
        <w:t xml:space="preserve"> in its history</w:t>
      </w:r>
      <w:r w:rsidR="00D757CE" w:rsidRPr="00C60454">
        <w:rPr>
          <w:rFonts w:ascii="Times New Roman" w:hAnsi="Times New Roman"/>
          <w:szCs w:val="24"/>
        </w:rPr>
        <w:t>, endeavors to close each of its coal ash ponds and landfills</w:t>
      </w:r>
      <w:r w:rsidR="00095E06">
        <w:rPr>
          <w:rFonts w:ascii="Times New Roman" w:hAnsi="Times New Roman"/>
          <w:szCs w:val="24"/>
        </w:rPr>
        <w:t xml:space="preserve"> in conformity with newly</w:t>
      </w:r>
      <w:r w:rsidR="009C08A5">
        <w:rPr>
          <w:rFonts w:ascii="Times New Roman" w:hAnsi="Times New Roman"/>
          <w:szCs w:val="24"/>
        </w:rPr>
        <w:t>-</w:t>
      </w:r>
      <w:r w:rsidR="00095E06">
        <w:rPr>
          <w:rFonts w:ascii="Times New Roman" w:hAnsi="Times New Roman"/>
          <w:szCs w:val="24"/>
        </w:rPr>
        <w:t>established</w:t>
      </w:r>
      <w:r w:rsidR="009C08A5">
        <w:rPr>
          <w:rFonts w:ascii="Times New Roman" w:hAnsi="Times New Roman"/>
          <w:szCs w:val="24"/>
        </w:rPr>
        <w:t xml:space="preserve"> federal and state mandates</w:t>
      </w:r>
      <w:r w:rsidR="00D757CE" w:rsidRPr="00C60454">
        <w:rPr>
          <w:rFonts w:ascii="Times New Roman" w:hAnsi="Times New Roman"/>
          <w:szCs w:val="24"/>
        </w:rPr>
        <w:t>, and invests in the continued reliability of the transmission and distribution grid</w:t>
      </w:r>
      <w:r w:rsidR="004D247E" w:rsidRPr="00C60454">
        <w:rPr>
          <w:rFonts w:ascii="Times New Roman" w:hAnsi="Times New Roman"/>
          <w:szCs w:val="24"/>
        </w:rPr>
        <w:t xml:space="preserve">. </w:t>
      </w:r>
      <w:r w:rsidR="00D76893" w:rsidRPr="00C60454">
        <w:rPr>
          <w:rFonts w:ascii="Times New Roman" w:hAnsi="Times New Roman"/>
          <w:szCs w:val="24"/>
        </w:rPr>
        <w:t>The</w:t>
      </w:r>
      <w:r w:rsidR="00D757CE" w:rsidRPr="00C60454">
        <w:rPr>
          <w:rFonts w:ascii="Times New Roman" w:hAnsi="Times New Roman"/>
          <w:szCs w:val="24"/>
        </w:rPr>
        <w:t xml:space="preserve"> Company</w:t>
      </w:r>
      <w:r w:rsidR="006F6CB0">
        <w:rPr>
          <w:rFonts w:ascii="Times New Roman" w:hAnsi="Times New Roman"/>
          <w:szCs w:val="24"/>
        </w:rPr>
        <w:t>’</w:t>
      </w:r>
      <w:r w:rsidR="00D757CE" w:rsidRPr="00C60454">
        <w:rPr>
          <w:rFonts w:ascii="Times New Roman" w:hAnsi="Times New Roman"/>
          <w:szCs w:val="24"/>
        </w:rPr>
        <w:t>s proposed</w:t>
      </w:r>
      <w:r w:rsidR="00D76893" w:rsidRPr="00C60454">
        <w:rPr>
          <w:rFonts w:ascii="Times New Roman" w:hAnsi="Times New Roman"/>
          <w:szCs w:val="24"/>
        </w:rPr>
        <w:t xml:space="preserve"> ARP </w:t>
      </w:r>
      <w:r w:rsidR="00B8313E" w:rsidRPr="00C60454">
        <w:rPr>
          <w:rFonts w:ascii="Times New Roman" w:hAnsi="Times New Roman"/>
          <w:szCs w:val="24"/>
        </w:rPr>
        <w:t>provides for</w:t>
      </w:r>
      <w:r w:rsidR="00D76893" w:rsidRPr="00C60454">
        <w:rPr>
          <w:rFonts w:ascii="Times New Roman" w:hAnsi="Times New Roman"/>
          <w:szCs w:val="24"/>
        </w:rPr>
        <w:t xml:space="preserve"> </w:t>
      </w:r>
      <w:r w:rsidR="00B8313E" w:rsidRPr="00C60454">
        <w:rPr>
          <w:rFonts w:ascii="Times New Roman" w:hAnsi="Times New Roman"/>
          <w:szCs w:val="24"/>
        </w:rPr>
        <w:t>continuation of the</w:t>
      </w:r>
      <w:r w:rsidR="00D757CE" w:rsidRPr="00C60454">
        <w:rPr>
          <w:rFonts w:ascii="Times New Roman" w:hAnsi="Times New Roman"/>
          <w:szCs w:val="24"/>
        </w:rPr>
        <w:t xml:space="preserve"> current</w:t>
      </w:r>
      <w:r w:rsidR="00B8313E" w:rsidRPr="00C60454">
        <w:rPr>
          <w:rFonts w:ascii="Times New Roman" w:hAnsi="Times New Roman"/>
          <w:szCs w:val="24"/>
        </w:rPr>
        <w:t xml:space="preserve"> earnings band, with two-</w:t>
      </w:r>
      <w:r w:rsidR="00B8313E" w:rsidRPr="00C60454">
        <w:rPr>
          <w:rFonts w:ascii="Times New Roman" w:hAnsi="Times New Roman"/>
          <w:szCs w:val="24"/>
        </w:rPr>
        <w:lastRenderedPageBreak/>
        <w:t>third</w:t>
      </w:r>
      <w:r w:rsidR="00F76F6D" w:rsidRPr="00C60454">
        <w:rPr>
          <w:rFonts w:ascii="Times New Roman" w:hAnsi="Times New Roman"/>
          <w:szCs w:val="24"/>
        </w:rPr>
        <w:t>s</w:t>
      </w:r>
      <w:r w:rsidR="00B8313E" w:rsidRPr="00C60454">
        <w:rPr>
          <w:rFonts w:ascii="Times New Roman" w:hAnsi="Times New Roman"/>
          <w:szCs w:val="24"/>
        </w:rPr>
        <w:t xml:space="preserve"> of any earnings above the top end of the band being directly returned to customers</w:t>
      </w:r>
      <w:r w:rsidR="00191F2A" w:rsidRPr="00C60454">
        <w:rPr>
          <w:rFonts w:ascii="Times New Roman" w:hAnsi="Times New Roman"/>
          <w:szCs w:val="24"/>
        </w:rPr>
        <w:t>,</w:t>
      </w:r>
      <w:r w:rsidR="00B8313E" w:rsidRPr="00C60454">
        <w:rPr>
          <w:rFonts w:ascii="Times New Roman" w:hAnsi="Times New Roman"/>
          <w:szCs w:val="24"/>
        </w:rPr>
        <w:t xml:space="preserve"> and continuation of the Interim Cost Recovery </w:t>
      </w:r>
      <w:r w:rsidR="00191F2A" w:rsidRPr="00C60454">
        <w:rPr>
          <w:rFonts w:ascii="Times New Roman" w:hAnsi="Times New Roman"/>
          <w:szCs w:val="24"/>
        </w:rPr>
        <w:t xml:space="preserve">(“ICR”) </w:t>
      </w:r>
      <w:r w:rsidR="00B8313E" w:rsidRPr="00C60454">
        <w:rPr>
          <w:rFonts w:ascii="Times New Roman" w:hAnsi="Times New Roman"/>
          <w:szCs w:val="24"/>
        </w:rPr>
        <w:t xml:space="preserve">tariff mechanism </w:t>
      </w:r>
      <w:r w:rsidR="00D757CE" w:rsidRPr="00C60454">
        <w:rPr>
          <w:rFonts w:ascii="Times New Roman" w:hAnsi="Times New Roman"/>
          <w:szCs w:val="24"/>
        </w:rPr>
        <w:t>if</w:t>
      </w:r>
      <w:r w:rsidR="00B8313E" w:rsidRPr="00C60454">
        <w:rPr>
          <w:rFonts w:ascii="Times New Roman" w:hAnsi="Times New Roman"/>
          <w:szCs w:val="24"/>
        </w:rPr>
        <w:t xml:space="preserve"> earnings are projected to fall below the bottom end of the band</w:t>
      </w:r>
      <w:r w:rsidR="00D76893" w:rsidRPr="00C60454">
        <w:rPr>
          <w:rFonts w:ascii="Times New Roman" w:hAnsi="Times New Roman"/>
          <w:szCs w:val="24"/>
        </w:rPr>
        <w:t xml:space="preserve">.  </w:t>
      </w:r>
    </w:p>
    <w:p w14:paraId="5CEFB948" w14:textId="07F5B5DA" w:rsidR="00EE2671" w:rsidRPr="00C60454" w:rsidRDefault="004D247E" w:rsidP="004D79CA">
      <w:pPr>
        <w:widowControl/>
        <w:overflowPunct/>
        <w:autoSpaceDE/>
        <w:autoSpaceDN/>
        <w:adjustRightInd/>
        <w:spacing w:line="480" w:lineRule="auto"/>
        <w:jc w:val="both"/>
        <w:textAlignment w:val="auto"/>
        <w:rPr>
          <w:rFonts w:ascii="Times New Roman" w:hAnsi="Times New Roman"/>
          <w:b/>
          <w:spacing w:val="-3"/>
          <w:szCs w:val="24"/>
        </w:rPr>
      </w:pPr>
      <w:r w:rsidRPr="00C60454">
        <w:rPr>
          <w:rFonts w:ascii="Times New Roman" w:hAnsi="Times New Roman"/>
          <w:szCs w:val="24"/>
        </w:rPr>
        <w:tab/>
      </w:r>
      <w:r w:rsidR="009A2AA3" w:rsidRPr="00C60454">
        <w:rPr>
          <w:rFonts w:ascii="Times New Roman" w:hAnsi="Times New Roman"/>
          <w:szCs w:val="24"/>
        </w:rPr>
        <w:t>Adopting the Company</w:t>
      </w:r>
      <w:r w:rsidR="006F6CB0">
        <w:rPr>
          <w:rFonts w:ascii="Times New Roman" w:hAnsi="Times New Roman"/>
          <w:szCs w:val="24"/>
        </w:rPr>
        <w:t>’</w:t>
      </w:r>
      <w:r w:rsidR="009A2AA3" w:rsidRPr="00C60454">
        <w:rPr>
          <w:rFonts w:ascii="Times New Roman" w:hAnsi="Times New Roman"/>
          <w:szCs w:val="24"/>
        </w:rPr>
        <w:t>s</w:t>
      </w:r>
      <w:r w:rsidR="005571BA" w:rsidRPr="00C60454">
        <w:rPr>
          <w:rFonts w:ascii="Times New Roman" w:hAnsi="Times New Roman"/>
          <w:szCs w:val="24"/>
        </w:rPr>
        <w:t xml:space="preserve"> proposed ARP is</w:t>
      </w:r>
      <w:r w:rsidRPr="00C60454">
        <w:rPr>
          <w:rFonts w:ascii="Times New Roman" w:hAnsi="Times New Roman"/>
          <w:szCs w:val="24"/>
        </w:rPr>
        <w:t xml:space="preserve"> a resolution</w:t>
      </w:r>
      <w:r w:rsidR="005571BA" w:rsidRPr="00C60454">
        <w:rPr>
          <w:rFonts w:ascii="Times New Roman" w:hAnsi="Times New Roman"/>
          <w:szCs w:val="24"/>
        </w:rPr>
        <w:t xml:space="preserve"> of this case</w:t>
      </w:r>
      <w:r w:rsidRPr="00C60454">
        <w:rPr>
          <w:rFonts w:ascii="Times New Roman" w:hAnsi="Times New Roman"/>
          <w:szCs w:val="24"/>
        </w:rPr>
        <w:t xml:space="preserve"> that will ensure the Company</w:t>
      </w:r>
      <w:r w:rsidR="003C14E3">
        <w:rPr>
          <w:rFonts w:ascii="Times New Roman" w:hAnsi="Times New Roman"/>
          <w:szCs w:val="24"/>
        </w:rPr>
        <w:t xml:space="preserve"> remains financially health</w:t>
      </w:r>
      <w:r w:rsidR="002A3C8F">
        <w:rPr>
          <w:rFonts w:ascii="Times New Roman" w:hAnsi="Times New Roman"/>
          <w:szCs w:val="24"/>
        </w:rPr>
        <w:t>y</w:t>
      </w:r>
      <w:r w:rsidR="003C14E3">
        <w:rPr>
          <w:rFonts w:ascii="Times New Roman" w:hAnsi="Times New Roman"/>
          <w:szCs w:val="24"/>
        </w:rPr>
        <w:t xml:space="preserve"> </w:t>
      </w:r>
      <w:r w:rsidR="007D4BE3">
        <w:rPr>
          <w:rFonts w:ascii="Times New Roman" w:hAnsi="Times New Roman"/>
          <w:szCs w:val="24"/>
        </w:rPr>
        <w:t>and able</w:t>
      </w:r>
      <w:r w:rsidR="0037296D">
        <w:rPr>
          <w:rFonts w:ascii="Times New Roman" w:hAnsi="Times New Roman"/>
          <w:szCs w:val="24"/>
        </w:rPr>
        <w:t xml:space="preserve"> to</w:t>
      </w:r>
      <w:r w:rsidR="003C14E3">
        <w:rPr>
          <w:rFonts w:ascii="Times New Roman" w:hAnsi="Times New Roman"/>
          <w:szCs w:val="24"/>
        </w:rPr>
        <w:t xml:space="preserve"> </w:t>
      </w:r>
      <w:r w:rsidRPr="00C60454">
        <w:rPr>
          <w:rFonts w:ascii="Times New Roman" w:hAnsi="Times New Roman"/>
          <w:szCs w:val="24"/>
        </w:rPr>
        <w:t>provide</w:t>
      </w:r>
      <w:r w:rsidR="005571BA" w:rsidRPr="00C60454">
        <w:rPr>
          <w:rFonts w:ascii="Times New Roman" w:hAnsi="Times New Roman"/>
          <w:szCs w:val="24"/>
        </w:rPr>
        <w:t xml:space="preserve"> clean, safe,</w:t>
      </w:r>
      <w:r w:rsidRPr="00C60454">
        <w:rPr>
          <w:rFonts w:ascii="Times New Roman" w:hAnsi="Times New Roman"/>
          <w:szCs w:val="24"/>
        </w:rPr>
        <w:t xml:space="preserve"> reliable and </w:t>
      </w:r>
      <w:r w:rsidR="005571BA" w:rsidRPr="00C60454">
        <w:rPr>
          <w:rFonts w:ascii="Times New Roman" w:hAnsi="Times New Roman"/>
          <w:szCs w:val="24"/>
        </w:rPr>
        <w:t>affordable</w:t>
      </w:r>
      <w:r w:rsidRPr="00C60454">
        <w:rPr>
          <w:rFonts w:ascii="Times New Roman" w:hAnsi="Times New Roman"/>
          <w:szCs w:val="24"/>
        </w:rPr>
        <w:t xml:space="preserve"> service to its customers now and into the future. </w:t>
      </w:r>
      <w:r w:rsidR="005571BA" w:rsidRPr="00C60454">
        <w:rPr>
          <w:rFonts w:ascii="Times New Roman" w:hAnsi="Times New Roman"/>
          <w:szCs w:val="24"/>
        </w:rPr>
        <w:t>The</w:t>
      </w:r>
      <w:r w:rsidR="001B2C32" w:rsidRPr="00C60454">
        <w:rPr>
          <w:rFonts w:ascii="Times New Roman" w:hAnsi="Times New Roman"/>
          <w:szCs w:val="24"/>
        </w:rPr>
        <w:t xml:space="preserve"> </w:t>
      </w:r>
      <w:r w:rsidRPr="00C60454">
        <w:rPr>
          <w:rFonts w:ascii="Times New Roman" w:hAnsi="Times New Roman"/>
          <w:szCs w:val="24"/>
        </w:rPr>
        <w:t xml:space="preserve">Commission should approve the </w:t>
      </w:r>
      <w:r w:rsidR="005571BA" w:rsidRPr="00C60454">
        <w:rPr>
          <w:rFonts w:ascii="Times New Roman" w:hAnsi="Times New Roman"/>
          <w:szCs w:val="24"/>
        </w:rPr>
        <w:t>Company</w:t>
      </w:r>
      <w:r w:rsidR="006F6CB0">
        <w:rPr>
          <w:rFonts w:ascii="Times New Roman" w:hAnsi="Times New Roman"/>
          <w:szCs w:val="24"/>
        </w:rPr>
        <w:t>’</w:t>
      </w:r>
      <w:r w:rsidR="005571BA" w:rsidRPr="00C60454">
        <w:rPr>
          <w:rFonts w:ascii="Times New Roman" w:hAnsi="Times New Roman"/>
          <w:szCs w:val="24"/>
        </w:rPr>
        <w:t xml:space="preserve">s </w:t>
      </w:r>
      <w:r w:rsidR="009F4419">
        <w:rPr>
          <w:rFonts w:ascii="Times New Roman" w:hAnsi="Times New Roman"/>
          <w:szCs w:val="24"/>
        </w:rPr>
        <w:t xml:space="preserve">application to adjust rates as filed including the </w:t>
      </w:r>
      <w:r w:rsidR="002878FB">
        <w:rPr>
          <w:rFonts w:ascii="Times New Roman" w:hAnsi="Times New Roman"/>
          <w:szCs w:val="24"/>
        </w:rPr>
        <w:t>C</w:t>
      </w:r>
      <w:r w:rsidR="009F4419">
        <w:rPr>
          <w:rFonts w:ascii="Times New Roman" w:hAnsi="Times New Roman"/>
          <w:szCs w:val="24"/>
        </w:rPr>
        <w:t>ompany’s proposed ARP</w:t>
      </w:r>
      <w:r w:rsidRPr="00C60454">
        <w:rPr>
          <w:rFonts w:ascii="Times New Roman" w:hAnsi="Times New Roman"/>
          <w:szCs w:val="24"/>
        </w:rPr>
        <w:t xml:space="preserve">.  </w:t>
      </w:r>
      <w:r w:rsidR="00EE5E2C" w:rsidRPr="00C60454">
        <w:rPr>
          <w:rFonts w:ascii="Times New Roman" w:hAnsi="Times New Roman"/>
          <w:b/>
          <w:spacing w:val="-3"/>
          <w:szCs w:val="24"/>
        </w:rPr>
        <w:tab/>
      </w:r>
    </w:p>
    <w:p w14:paraId="73A3EF2C" w14:textId="77777777" w:rsidR="00EE5E2C" w:rsidRPr="00C60454" w:rsidRDefault="00EE2671" w:rsidP="004D79CA">
      <w:pPr>
        <w:widowControl/>
        <w:overflowPunct/>
        <w:autoSpaceDE/>
        <w:autoSpaceDN/>
        <w:adjustRightInd/>
        <w:spacing w:before="240" w:after="240" w:line="480" w:lineRule="auto"/>
        <w:jc w:val="center"/>
        <w:textAlignment w:val="auto"/>
        <w:rPr>
          <w:rFonts w:ascii="Times New Roman" w:hAnsi="Times New Roman"/>
          <w:szCs w:val="24"/>
        </w:rPr>
      </w:pPr>
      <w:r w:rsidRPr="00774801">
        <w:rPr>
          <w:rFonts w:ascii="Times New Roman" w:hAnsi="Times New Roman"/>
          <w:b/>
          <w:spacing w:val="-3"/>
          <w:szCs w:val="24"/>
        </w:rPr>
        <w:t>II</w:t>
      </w:r>
      <w:r w:rsidR="00156A32" w:rsidRPr="00774801">
        <w:rPr>
          <w:rFonts w:ascii="Times New Roman" w:hAnsi="Times New Roman"/>
          <w:b/>
          <w:spacing w:val="-3"/>
          <w:szCs w:val="24"/>
        </w:rPr>
        <w:t>I</w:t>
      </w:r>
      <w:r w:rsidRPr="00774801">
        <w:rPr>
          <w:rFonts w:ascii="Times New Roman" w:hAnsi="Times New Roman"/>
          <w:b/>
          <w:spacing w:val="-3"/>
          <w:szCs w:val="24"/>
        </w:rPr>
        <w:t>.</w:t>
      </w:r>
      <w:r w:rsidR="00156A32" w:rsidRPr="00774801">
        <w:rPr>
          <w:rFonts w:ascii="Times New Roman" w:hAnsi="Times New Roman"/>
          <w:b/>
          <w:spacing w:val="-3"/>
          <w:szCs w:val="24"/>
        </w:rPr>
        <w:t xml:space="preserve">  </w:t>
      </w:r>
      <w:r w:rsidR="004D247E" w:rsidRPr="00774801">
        <w:rPr>
          <w:rFonts w:ascii="Times New Roman" w:hAnsi="Times New Roman"/>
          <w:b/>
          <w:spacing w:val="-3"/>
          <w:szCs w:val="24"/>
        </w:rPr>
        <w:t>PROCEDURAL BACKGROUND</w:t>
      </w:r>
    </w:p>
    <w:p w14:paraId="115D3DA6" w14:textId="75BD0EED" w:rsidR="0013153B" w:rsidRDefault="00B965F6" w:rsidP="004D79CA">
      <w:pPr>
        <w:pStyle w:val="Body"/>
        <w:pBdr>
          <w:top w:val="none" w:sz="0" w:space="0" w:color="auto"/>
          <w:left w:val="none" w:sz="0" w:space="0" w:color="auto"/>
          <w:bottom w:val="none" w:sz="0" w:space="0" w:color="auto"/>
          <w:right w:val="none" w:sz="0" w:space="0" w:color="auto"/>
          <w:bar w:val="none" w:sz="0" w:color="auto"/>
        </w:pBdr>
        <w:spacing w:after="0" w:line="480" w:lineRule="auto"/>
        <w:jc w:val="both"/>
        <w:rPr>
          <w:rFonts w:ascii="Times New Roman" w:hAnsi="Times New Roman" w:cs="Times New Roman"/>
          <w:sz w:val="24"/>
          <w:szCs w:val="24"/>
        </w:rPr>
      </w:pPr>
      <w:r w:rsidRPr="00C60454">
        <w:rPr>
          <w:rFonts w:ascii="Times New Roman" w:hAnsi="Times New Roman" w:cs="Times New Roman"/>
          <w:sz w:val="24"/>
          <w:szCs w:val="24"/>
        </w:rPr>
        <w:tab/>
      </w:r>
      <w:r w:rsidR="00BD72DF">
        <w:rPr>
          <w:rFonts w:ascii="Times New Roman" w:hAnsi="Times New Roman" w:cs="Times New Roman"/>
          <w:sz w:val="24"/>
          <w:szCs w:val="24"/>
        </w:rPr>
        <w:t xml:space="preserve">The Commission issued its Procedural and Scheduling Order (“PSO”) </w:t>
      </w:r>
      <w:r w:rsidR="0013153B">
        <w:rPr>
          <w:rFonts w:ascii="Times New Roman" w:hAnsi="Times New Roman" w:cs="Times New Roman"/>
          <w:sz w:val="24"/>
          <w:szCs w:val="24"/>
        </w:rPr>
        <w:t>for the Company</w:t>
      </w:r>
      <w:r w:rsidR="006F6CB0">
        <w:rPr>
          <w:rFonts w:ascii="Times New Roman" w:hAnsi="Times New Roman" w:cs="Times New Roman"/>
          <w:sz w:val="24"/>
          <w:szCs w:val="24"/>
        </w:rPr>
        <w:t>’</w:t>
      </w:r>
      <w:r w:rsidR="0013153B">
        <w:rPr>
          <w:rFonts w:ascii="Times New Roman" w:hAnsi="Times New Roman" w:cs="Times New Roman"/>
          <w:sz w:val="24"/>
          <w:szCs w:val="24"/>
        </w:rPr>
        <w:t>s 2019 Rate Case on May 24, 2019. In accordance with the PSO, t</w:t>
      </w:r>
      <w:r w:rsidR="0013023C" w:rsidRPr="00C60454">
        <w:rPr>
          <w:rFonts w:ascii="Times New Roman" w:hAnsi="Times New Roman" w:cs="Times New Roman"/>
          <w:sz w:val="24"/>
          <w:szCs w:val="24"/>
        </w:rPr>
        <w:t>he Company</w:t>
      </w:r>
      <w:r w:rsidR="006F6CB0">
        <w:rPr>
          <w:rFonts w:ascii="Times New Roman" w:hAnsi="Times New Roman" w:cs="Times New Roman"/>
          <w:sz w:val="24"/>
          <w:szCs w:val="24"/>
        </w:rPr>
        <w:t>’</w:t>
      </w:r>
      <w:r w:rsidR="0013023C" w:rsidRPr="00C60454">
        <w:rPr>
          <w:rFonts w:ascii="Times New Roman" w:hAnsi="Times New Roman" w:cs="Times New Roman"/>
          <w:sz w:val="24"/>
          <w:szCs w:val="24"/>
        </w:rPr>
        <w:t xml:space="preserve">s </w:t>
      </w:r>
      <w:r w:rsidR="00193504" w:rsidRPr="00C60454">
        <w:rPr>
          <w:rFonts w:ascii="Times New Roman" w:hAnsi="Times New Roman" w:cs="Times New Roman"/>
          <w:sz w:val="24"/>
          <w:szCs w:val="24"/>
        </w:rPr>
        <w:t>June 28</w:t>
      </w:r>
      <w:r w:rsidR="008C53A0" w:rsidRPr="00C60454">
        <w:rPr>
          <w:rFonts w:ascii="Times New Roman" w:hAnsi="Times New Roman" w:cs="Times New Roman"/>
          <w:sz w:val="24"/>
          <w:szCs w:val="24"/>
        </w:rPr>
        <w:t>, 201</w:t>
      </w:r>
      <w:r w:rsidR="006419D5" w:rsidRPr="00C60454">
        <w:rPr>
          <w:rFonts w:ascii="Times New Roman" w:hAnsi="Times New Roman" w:cs="Times New Roman"/>
          <w:sz w:val="24"/>
          <w:szCs w:val="24"/>
        </w:rPr>
        <w:t>9</w:t>
      </w:r>
      <w:r w:rsidR="008C53A0" w:rsidRPr="00C60454">
        <w:rPr>
          <w:rFonts w:ascii="Times New Roman" w:hAnsi="Times New Roman" w:cs="Times New Roman"/>
          <w:sz w:val="24"/>
          <w:szCs w:val="24"/>
        </w:rPr>
        <w:t xml:space="preserve"> </w:t>
      </w:r>
      <w:r w:rsidR="0013023C" w:rsidRPr="00C60454">
        <w:rPr>
          <w:rFonts w:ascii="Times New Roman" w:hAnsi="Times New Roman" w:cs="Times New Roman"/>
          <w:sz w:val="24"/>
          <w:szCs w:val="24"/>
        </w:rPr>
        <w:t xml:space="preserve">filing included the minimum filing requirements </w:t>
      </w:r>
      <w:r w:rsidR="00332C73" w:rsidRPr="00C60454">
        <w:rPr>
          <w:rFonts w:ascii="Times New Roman" w:hAnsi="Times New Roman" w:cs="Times New Roman"/>
          <w:sz w:val="24"/>
          <w:szCs w:val="24"/>
        </w:rPr>
        <w:t>specified</w:t>
      </w:r>
      <w:r w:rsidR="0013023C" w:rsidRPr="00C60454">
        <w:rPr>
          <w:rFonts w:ascii="Times New Roman" w:hAnsi="Times New Roman" w:cs="Times New Roman"/>
          <w:sz w:val="24"/>
          <w:szCs w:val="24"/>
        </w:rPr>
        <w:t xml:space="preserve"> </w:t>
      </w:r>
      <w:r w:rsidR="00F76F6D" w:rsidRPr="00C60454">
        <w:rPr>
          <w:rFonts w:ascii="Times New Roman" w:hAnsi="Times New Roman" w:cs="Times New Roman"/>
          <w:sz w:val="24"/>
          <w:szCs w:val="24"/>
        </w:rPr>
        <w:t xml:space="preserve">by </w:t>
      </w:r>
      <w:r w:rsidR="007D479E" w:rsidRPr="00C60454">
        <w:rPr>
          <w:rFonts w:ascii="Times New Roman" w:hAnsi="Times New Roman" w:cs="Times New Roman"/>
          <w:sz w:val="24"/>
          <w:szCs w:val="24"/>
        </w:rPr>
        <w:t>Commission Rule 515-2-1-.04</w:t>
      </w:r>
      <w:r w:rsidR="0031439D" w:rsidRPr="00C60454">
        <w:rPr>
          <w:rFonts w:ascii="Times New Roman" w:hAnsi="Times New Roman" w:cs="Times New Roman"/>
          <w:sz w:val="24"/>
          <w:szCs w:val="24"/>
        </w:rPr>
        <w:t>,</w:t>
      </w:r>
      <w:r w:rsidR="0013023C" w:rsidRPr="00C60454">
        <w:rPr>
          <w:rFonts w:ascii="Times New Roman" w:hAnsi="Times New Roman" w:cs="Times New Roman"/>
          <w:sz w:val="24"/>
          <w:szCs w:val="24"/>
        </w:rPr>
        <w:t xml:space="preserve"> along with the direct testimony </w:t>
      </w:r>
      <w:r w:rsidR="00332C73" w:rsidRPr="00C60454">
        <w:rPr>
          <w:rFonts w:ascii="Times New Roman" w:hAnsi="Times New Roman" w:cs="Times New Roman"/>
          <w:sz w:val="24"/>
          <w:szCs w:val="24"/>
        </w:rPr>
        <w:t xml:space="preserve">and exhibits </w:t>
      </w:r>
      <w:r w:rsidR="0013023C" w:rsidRPr="00C60454">
        <w:rPr>
          <w:rFonts w:ascii="Times New Roman" w:hAnsi="Times New Roman" w:cs="Times New Roman"/>
          <w:sz w:val="24"/>
          <w:szCs w:val="24"/>
        </w:rPr>
        <w:t xml:space="preserve">of </w:t>
      </w:r>
      <w:r w:rsidR="00F6316B" w:rsidRPr="00C60454">
        <w:rPr>
          <w:rFonts w:ascii="Times New Roman" w:hAnsi="Times New Roman" w:cs="Times New Roman"/>
          <w:sz w:val="24"/>
          <w:szCs w:val="24"/>
        </w:rPr>
        <w:t>W. Paul Bowers,</w:t>
      </w:r>
      <w:r w:rsidR="0013023C" w:rsidRPr="00C60454">
        <w:rPr>
          <w:rFonts w:ascii="Times New Roman" w:hAnsi="Times New Roman" w:cs="Times New Roman"/>
          <w:sz w:val="24"/>
          <w:szCs w:val="24"/>
        </w:rPr>
        <w:t xml:space="preserve"> the panel of </w:t>
      </w:r>
      <w:r w:rsidR="00F6316B" w:rsidRPr="00C60454">
        <w:rPr>
          <w:rFonts w:ascii="Times New Roman" w:hAnsi="Times New Roman" w:cs="Times New Roman"/>
          <w:sz w:val="24"/>
          <w:szCs w:val="24"/>
        </w:rPr>
        <w:t>David P. Poroch, Sarah P. Adams</w:t>
      </w:r>
      <w:r w:rsidR="00454EC7" w:rsidRPr="00C60454">
        <w:rPr>
          <w:rFonts w:ascii="Times New Roman" w:hAnsi="Times New Roman" w:cs="Times New Roman"/>
          <w:sz w:val="24"/>
          <w:szCs w:val="24"/>
        </w:rPr>
        <w:t xml:space="preserve"> and </w:t>
      </w:r>
      <w:r w:rsidR="00F6316B" w:rsidRPr="00C60454">
        <w:rPr>
          <w:rFonts w:ascii="Times New Roman" w:hAnsi="Times New Roman" w:cs="Times New Roman"/>
          <w:sz w:val="24"/>
          <w:szCs w:val="24"/>
        </w:rPr>
        <w:t>Michael B. Robinson</w:t>
      </w:r>
      <w:r w:rsidR="00454EC7" w:rsidRPr="00C60454">
        <w:rPr>
          <w:rFonts w:ascii="Times New Roman" w:hAnsi="Times New Roman" w:cs="Times New Roman"/>
          <w:sz w:val="24"/>
          <w:szCs w:val="24"/>
        </w:rPr>
        <w:t>,</w:t>
      </w:r>
      <w:r w:rsidR="0013023C" w:rsidRPr="00C60454">
        <w:rPr>
          <w:rFonts w:ascii="Times New Roman" w:hAnsi="Times New Roman" w:cs="Times New Roman"/>
          <w:sz w:val="24"/>
          <w:szCs w:val="24"/>
        </w:rPr>
        <w:t xml:space="preserve"> </w:t>
      </w:r>
      <w:r w:rsidR="00332C73" w:rsidRPr="00C60454">
        <w:rPr>
          <w:rFonts w:ascii="Times New Roman" w:hAnsi="Times New Roman" w:cs="Times New Roman"/>
          <w:sz w:val="24"/>
          <w:szCs w:val="24"/>
        </w:rPr>
        <w:t>James H. Vander Weide</w:t>
      </w:r>
      <w:r w:rsidR="0013023C" w:rsidRPr="00C60454">
        <w:rPr>
          <w:rFonts w:ascii="Times New Roman" w:hAnsi="Times New Roman" w:cs="Times New Roman"/>
          <w:sz w:val="24"/>
          <w:szCs w:val="24"/>
        </w:rPr>
        <w:t>,</w:t>
      </w:r>
      <w:r w:rsidR="00193504" w:rsidRPr="00C60454">
        <w:rPr>
          <w:rFonts w:ascii="Times New Roman" w:hAnsi="Times New Roman" w:cs="Times New Roman"/>
          <w:sz w:val="24"/>
          <w:szCs w:val="24"/>
        </w:rPr>
        <w:t xml:space="preserve"> </w:t>
      </w:r>
      <w:r w:rsidR="007B5A1E" w:rsidRPr="00C60454">
        <w:rPr>
          <w:rFonts w:ascii="Times New Roman" w:hAnsi="Times New Roman" w:cs="Times New Roman"/>
          <w:sz w:val="24"/>
          <w:szCs w:val="24"/>
        </w:rPr>
        <w:t xml:space="preserve">Ph.D., </w:t>
      </w:r>
      <w:r w:rsidR="00193504" w:rsidRPr="00C60454">
        <w:rPr>
          <w:rFonts w:ascii="Times New Roman" w:hAnsi="Times New Roman" w:cs="Times New Roman"/>
          <w:sz w:val="24"/>
          <w:szCs w:val="24"/>
        </w:rPr>
        <w:t>Steven M. Fetter,</w:t>
      </w:r>
      <w:r w:rsidR="0013023C" w:rsidRPr="00C60454">
        <w:rPr>
          <w:rFonts w:ascii="Times New Roman" w:hAnsi="Times New Roman" w:cs="Times New Roman"/>
          <w:sz w:val="24"/>
          <w:szCs w:val="24"/>
        </w:rPr>
        <w:t xml:space="preserve"> </w:t>
      </w:r>
      <w:r w:rsidR="00F6316B" w:rsidRPr="00C60454">
        <w:rPr>
          <w:rFonts w:ascii="Times New Roman" w:hAnsi="Times New Roman" w:cs="Times New Roman"/>
          <w:sz w:val="24"/>
          <w:szCs w:val="24"/>
        </w:rPr>
        <w:t>Lawrence J. Vogt</w:t>
      </w:r>
      <w:r w:rsidR="00F76F6D" w:rsidRPr="00C60454">
        <w:rPr>
          <w:rFonts w:ascii="Times New Roman" w:hAnsi="Times New Roman" w:cs="Times New Roman"/>
          <w:sz w:val="24"/>
          <w:szCs w:val="24"/>
        </w:rPr>
        <w:t>,</w:t>
      </w:r>
      <w:r w:rsidR="00332C73" w:rsidRPr="00C60454">
        <w:rPr>
          <w:rFonts w:ascii="Times New Roman" w:hAnsi="Times New Roman" w:cs="Times New Roman"/>
          <w:sz w:val="24"/>
          <w:szCs w:val="24"/>
        </w:rPr>
        <w:t xml:space="preserve"> </w:t>
      </w:r>
      <w:r w:rsidR="00F6316B" w:rsidRPr="00C60454">
        <w:rPr>
          <w:rFonts w:ascii="Times New Roman" w:hAnsi="Times New Roman" w:cs="Times New Roman"/>
          <w:sz w:val="24"/>
          <w:szCs w:val="24"/>
        </w:rPr>
        <w:t>Ahmad Faruqui, Ph.D</w:t>
      </w:r>
      <w:r w:rsidR="00377E8F">
        <w:rPr>
          <w:rFonts w:ascii="Times New Roman" w:hAnsi="Times New Roman" w:cs="Times New Roman"/>
          <w:sz w:val="24"/>
          <w:szCs w:val="24"/>
        </w:rPr>
        <w:t>.,</w:t>
      </w:r>
      <w:r w:rsidR="00F6316B" w:rsidRPr="00C60454">
        <w:rPr>
          <w:rFonts w:ascii="Times New Roman" w:hAnsi="Times New Roman" w:cs="Times New Roman"/>
          <w:sz w:val="24"/>
          <w:szCs w:val="24"/>
        </w:rPr>
        <w:t xml:space="preserve"> </w:t>
      </w:r>
      <w:r w:rsidR="00332C73" w:rsidRPr="00C60454">
        <w:rPr>
          <w:rFonts w:ascii="Times New Roman" w:hAnsi="Times New Roman" w:cs="Times New Roman"/>
          <w:sz w:val="24"/>
          <w:szCs w:val="24"/>
        </w:rPr>
        <w:t xml:space="preserve">and </w:t>
      </w:r>
      <w:r w:rsidR="00F6316B" w:rsidRPr="00C60454">
        <w:rPr>
          <w:rFonts w:ascii="Times New Roman" w:hAnsi="Times New Roman" w:cs="Times New Roman"/>
          <w:sz w:val="24"/>
          <w:szCs w:val="24"/>
        </w:rPr>
        <w:t>Larry T</w:t>
      </w:r>
      <w:r w:rsidR="00332C73" w:rsidRPr="00C60454">
        <w:rPr>
          <w:rFonts w:ascii="Times New Roman" w:hAnsi="Times New Roman" w:cs="Times New Roman"/>
          <w:sz w:val="24"/>
          <w:szCs w:val="24"/>
        </w:rPr>
        <w:t xml:space="preserve">. </w:t>
      </w:r>
      <w:r w:rsidR="00302561" w:rsidRPr="00C60454">
        <w:rPr>
          <w:rFonts w:ascii="Times New Roman" w:hAnsi="Times New Roman" w:cs="Times New Roman"/>
          <w:sz w:val="24"/>
          <w:szCs w:val="24"/>
        </w:rPr>
        <w:t>Legg</w:t>
      </w:r>
      <w:r w:rsidR="00332C73" w:rsidRPr="00C60454">
        <w:rPr>
          <w:rFonts w:ascii="Times New Roman" w:hAnsi="Times New Roman" w:cs="Times New Roman"/>
          <w:sz w:val="24"/>
          <w:szCs w:val="24"/>
        </w:rPr>
        <w:t xml:space="preserve">. </w:t>
      </w:r>
      <w:r w:rsidR="004430A3" w:rsidRPr="00C60454">
        <w:rPr>
          <w:rFonts w:ascii="Times New Roman" w:hAnsi="Times New Roman" w:cs="Times New Roman"/>
          <w:sz w:val="24"/>
          <w:szCs w:val="24"/>
        </w:rPr>
        <w:t>Hearings regarding the Company</w:t>
      </w:r>
      <w:r w:rsidR="006F6CB0">
        <w:rPr>
          <w:rFonts w:ascii="Times New Roman" w:hAnsi="Times New Roman" w:cs="Times New Roman"/>
          <w:sz w:val="24"/>
          <w:szCs w:val="24"/>
        </w:rPr>
        <w:t>’</w:t>
      </w:r>
      <w:r w:rsidR="004430A3" w:rsidRPr="00C60454">
        <w:rPr>
          <w:rFonts w:ascii="Times New Roman" w:hAnsi="Times New Roman" w:cs="Times New Roman"/>
          <w:sz w:val="24"/>
          <w:szCs w:val="24"/>
        </w:rPr>
        <w:t xml:space="preserve">s direct case were held </w:t>
      </w:r>
      <w:r w:rsidR="00302561" w:rsidRPr="00C60454">
        <w:rPr>
          <w:rFonts w:ascii="Times New Roman" w:hAnsi="Times New Roman" w:cs="Times New Roman"/>
          <w:sz w:val="24"/>
          <w:szCs w:val="24"/>
        </w:rPr>
        <w:t xml:space="preserve">September 30, 2019 through </w:t>
      </w:r>
      <w:r w:rsidR="00193504" w:rsidRPr="00C60454">
        <w:rPr>
          <w:rFonts w:ascii="Times New Roman" w:hAnsi="Times New Roman" w:cs="Times New Roman"/>
          <w:sz w:val="24"/>
          <w:szCs w:val="24"/>
        </w:rPr>
        <w:t>Octo</w:t>
      </w:r>
      <w:r w:rsidR="004430A3" w:rsidRPr="00C60454">
        <w:rPr>
          <w:rFonts w:ascii="Times New Roman" w:hAnsi="Times New Roman" w:cs="Times New Roman"/>
          <w:sz w:val="24"/>
          <w:szCs w:val="24"/>
        </w:rPr>
        <w:t xml:space="preserve">ber </w:t>
      </w:r>
      <w:r w:rsidR="00302561" w:rsidRPr="00C60454">
        <w:rPr>
          <w:rFonts w:ascii="Times New Roman" w:hAnsi="Times New Roman" w:cs="Times New Roman"/>
          <w:sz w:val="24"/>
          <w:szCs w:val="24"/>
        </w:rPr>
        <w:t>2, 2019</w:t>
      </w:r>
      <w:r w:rsidR="004430A3" w:rsidRPr="00C60454">
        <w:rPr>
          <w:rFonts w:ascii="Times New Roman" w:hAnsi="Times New Roman" w:cs="Times New Roman"/>
          <w:sz w:val="24"/>
          <w:szCs w:val="24"/>
        </w:rPr>
        <w:t xml:space="preserve">. </w:t>
      </w:r>
    </w:p>
    <w:p w14:paraId="731B5A06" w14:textId="5599CA0A" w:rsidR="0084258F" w:rsidRDefault="00EE5E2C" w:rsidP="004D79CA">
      <w:pPr>
        <w:pStyle w:val="Body"/>
        <w:pBdr>
          <w:top w:val="none" w:sz="0" w:space="0" w:color="auto"/>
          <w:left w:val="none" w:sz="0" w:space="0" w:color="auto"/>
          <w:bottom w:val="none" w:sz="0" w:space="0" w:color="auto"/>
          <w:right w:val="none" w:sz="0" w:space="0" w:color="auto"/>
          <w:bar w:val="none" w:sz="0" w:color="auto"/>
        </w:pBdr>
        <w:spacing w:after="0" w:line="480" w:lineRule="auto"/>
        <w:ind w:firstLine="720"/>
        <w:jc w:val="both"/>
        <w:rPr>
          <w:rFonts w:ascii="Times New Roman" w:hAnsi="Times New Roman" w:cs="Times New Roman"/>
          <w:sz w:val="24"/>
          <w:szCs w:val="24"/>
        </w:rPr>
      </w:pPr>
      <w:r w:rsidRPr="00277D67">
        <w:rPr>
          <w:rFonts w:ascii="Times New Roman" w:hAnsi="Times New Roman" w:cs="Times New Roman"/>
          <w:sz w:val="24"/>
          <w:szCs w:val="24"/>
        </w:rPr>
        <w:t xml:space="preserve">On October </w:t>
      </w:r>
      <w:r w:rsidR="00193504" w:rsidRPr="00277D67">
        <w:rPr>
          <w:rFonts w:ascii="Times New Roman" w:hAnsi="Times New Roman" w:cs="Times New Roman"/>
          <w:sz w:val="24"/>
          <w:szCs w:val="24"/>
        </w:rPr>
        <w:t>1</w:t>
      </w:r>
      <w:r w:rsidR="00302561" w:rsidRPr="00277D67">
        <w:rPr>
          <w:rFonts w:ascii="Times New Roman" w:hAnsi="Times New Roman" w:cs="Times New Roman"/>
          <w:sz w:val="24"/>
          <w:szCs w:val="24"/>
        </w:rPr>
        <w:t>7</w:t>
      </w:r>
      <w:r w:rsidRPr="00277D67">
        <w:rPr>
          <w:rFonts w:ascii="Times New Roman" w:hAnsi="Times New Roman" w:cs="Times New Roman"/>
          <w:sz w:val="24"/>
          <w:szCs w:val="24"/>
        </w:rPr>
        <w:t>, 201</w:t>
      </w:r>
      <w:r w:rsidR="00302561" w:rsidRPr="00277D67">
        <w:rPr>
          <w:rFonts w:ascii="Times New Roman" w:hAnsi="Times New Roman" w:cs="Times New Roman"/>
          <w:sz w:val="24"/>
          <w:szCs w:val="24"/>
        </w:rPr>
        <w:t>9</w:t>
      </w:r>
      <w:r w:rsidRPr="00277D67">
        <w:rPr>
          <w:rFonts w:ascii="Times New Roman" w:hAnsi="Times New Roman" w:cs="Times New Roman"/>
          <w:sz w:val="24"/>
          <w:szCs w:val="24"/>
        </w:rPr>
        <w:t xml:space="preserve">, </w:t>
      </w:r>
      <w:r w:rsidR="00277D67" w:rsidRPr="00277D67">
        <w:rPr>
          <w:rFonts w:ascii="Times New Roman" w:hAnsi="Times New Roman" w:cs="Times New Roman"/>
          <w:sz w:val="24"/>
          <w:szCs w:val="24"/>
        </w:rPr>
        <w:t>the Commission</w:t>
      </w:r>
      <w:r w:rsidR="006F6CB0">
        <w:rPr>
          <w:rFonts w:ascii="Times New Roman" w:hAnsi="Times New Roman" w:cs="Times New Roman"/>
          <w:sz w:val="24"/>
          <w:szCs w:val="24"/>
        </w:rPr>
        <w:t>’</w:t>
      </w:r>
      <w:r w:rsidR="00277D67" w:rsidRPr="00277D67">
        <w:rPr>
          <w:rFonts w:ascii="Times New Roman" w:hAnsi="Times New Roman" w:cs="Times New Roman"/>
          <w:sz w:val="24"/>
          <w:szCs w:val="24"/>
        </w:rPr>
        <w:t>s Public Interest Advocacy (“</w:t>
      </w:r>
      <w:r w:rsidR="0044742B" w:rsidRPr="00277D67">
        <w:rPr>
          <w:rFonts w:ascii="Times New Roman" w:hAnsi="Times New Roman" w:cs="Times New Roman"/>
          <w:sz w:val="24"/>
          <w:szCs w:val="24"/>
        </w:rPr>
        <w:t>PIA</w:t>
      </w:r>
      <w:r w:rsidR="00277D67" w:rsidRPr="00277D67">
        <w:rPr>
          <w:rFonts w:ascii="Times New Roman" w:hAnsi="Times New Roman" w:cs="Times New Roman"/>
          <w:sz w:val="24"/>
          <w:szCs w:val="24"/>
        </w:rPr>
        <w:t>”)</w:t>
      </w:r>
      <w:r w:rsidR="0044742B" w:rsidRPr="00277D67">
        <w:rPr>
          <w:rFonts w:ascii="Times New Roman" w:hAnsi="Times New Roman" w:cs="Times New Roman"/>
          <w:sz w:val="24"/>
          <w:szCs w:val="24"/>
        </w:rPr>
        <w:t xml:space="preserve"> Staff filed the direct testimony and exhibits of </w:t>
      </w:r>
      <w:r w:rsidR="00342BB4" w:rsidRPr="00277D67">
        <w:rPr>
          <w:rFonts w:ascii="Times New Roman" w:hAnsi="Times New Roman" w:cs="Times New Roman"/>
          <w:sz w:val="24"/>
          <w:szCs w:val="24"/>
        </w:rPr>
        <w:t xml:space="preserve">the panel of </w:t>
      </w:r>
      <w:r w:rsidR="00B74F7A" w:rsidRPr="00277D67">
        <w:rPr>
          <w:rFonts w:ascii="Times New Roman" w:hAnsi="Times New Roman" w:cs="Times New Roman"/>
          <w:sz w:val="24"/>
          <w:szCs w:val="24"/>
        </w:rPr>
        <w:t>Ralph C. Smith and Robert L. Trokey, Michael P. Gorman, the panel of Jamie Barber, George Brown, Benjamin Deitchman and Stan Faryniarz</w:t>
      </w:r>
      <w:r w:rsidR="0013153B" w:rsidRPr="00277D67">
        <w:rPr>
          <w:rFonts w:ascii="Times New Roman" w:hAnsi="Times New Roman" w:cs="Times New Roman"/>
          <w:sz w:val="24"/>
          <w:szCs w:val="24"/>
        </w:rPr>
        <w:t>,</w:t>
      </w:r>
      <w:r w:rsidR="00B74F7A" w:rsidRPr="00277D67">
        <w:rPr>
          <w:rFonts w:ascii="Times New Roman" w:hAnsi="Times New Roman" w:cs="Times New Roman"/>
          <w:sz w:val="24"/>
          <w:szCs w:val="24"/>
        </w:rPr>
        <w:t xml:space="preserve"> and the panel of John W. Chiles and Blair A. Fink</w:t>
      </w:r>
      <w:r w:rsidR="008E2FA9" w:rsidRPr="00277D67">
        <w:rPr>
          <w:rFonts w:ascii="Times New Roman" w:hAnsi="Times New Roman" w:cs="Times New Roman"/>
          <w:sz w:val="24"/>
          <w:szCs w:val="24"/>
        </w:rPr>
        <w:t xml:space="preserve">. </w:t>
      </w:r>
      <w:r w:rsidR="00223AF4" w:rsidRPr="00277D67">
        <w:rPr>
          <w:rFonts w:ascii="Times New Roman" w:hAnsi="Times New Roman" w:cs="Times New Roman"/>
          <w:sz w:val="24"/>
          <w:szCs w:val="24"/>
        </w:rPr>
        <w:t xml:space="preserve">Also on October 17, 2019, </w:t>
      </w:r>
      <w:r w:rsidR="00B63FB2">
        <w:rPr>
          <w:rFonts w:ascii="Times New Roman" w:hAnsi="Times New Roman" w:cs="Times New Roman"/>
          <w:sz w:val="24"/>
          <w:szCs w:val="24"/>
        </w:rPr>
        <w:t xml:space="preserve">the City of Atlanta filed the direct testimony and exhibits of </w:t>
      </w:r>
      <w:r w:rsidR="00626540">
        <w:rPr>
          <w:rFonts w:ascii="Times New Roman" w:hAnsi="Times New Roman" w:cs="Times New Roman"/>
          <w:sz w:val="24"/>
          <w:szCs w:val="24"/>
        </w:rPr>
        <w:t xml:space="preserve">Roosevelt Council, William M. </w:t>
      </w:r>
      <w:r w:rsidR="00B63FB2" w:rsidRPr="00626540">
        <w:rPr>
          <w:rFonts w:ascii="Times New Roman" w:hAnsi="Times New Roman" w:cs="Times New Roman"/>
          <w:sz w:val="24"/>
          <w:szCs w:val="24"/>
        </w:rPr>
        <w:t>Cox</w:t>
      </w:r>
      <w:r w:rsidR="00626540" w:rsidRPr="00626540">
        <w:rPr>
          <w:rFonts w:ascii="Times New Roman" w:hAnsi="Times New Roman" w:cs="Times New Roman"/>
          <w:sz w:val="24"/>
          <w:szCs w:val="24"/>
        </w:rPr>
        <w:t>, Ph.D</w:t>
      </w:r>
      <w:r w:rsidR="00B63FB2" w:rsidRPr="00626540">
        <w:rPr>
          <w:rFonts w:ascii="Times New Roman" w:hAnsi="Times New Roman" w:cs="Times New Roman"/>
          <w:sz w:val="24"/>
          <w:szCs w:val="24"/>
        </w:rPr>
        <w:t>, and</w:t>
      </w:r>
      <w:r w:rsidR="00626540" w:rsidRPr="00626540">
        <w:rPr>
          <w:rFonts w:ascii="Times New Roman" w:hAnsi="Times New Roman" w:cs="Times New Roman"/>
          <w:sz w:val="24"/>
          <w:szCs w:val="24"/>
        </w:rPr>
        <w:t xml:space="preserve"> William L.</w:t>
      </w:r>
      <w:r w:rsidR="00B63FB2" w:rsidRPr="00626540">
        <w:rPr>
          <w:rFonts w:ascii="Times New Roman" w:hAnsi="Times New Roman" w:cs="Times New Roman"/>
          <w:sz w:val="24"/>
          <w:szCs w:val="24"/>
        </w:rPr>
        <w:t xml:space="preserve"> Hawthorne</w:t>
      </w:r>
      <w:r w:rsidR="00626540" w:rsidRPr="00626540">
        <w:rPr>
          <w:rFonts w:ascii="Times New Roman" w:hAnsi="Times New Roman" w:cs="Times New Roman"/>
          <w:sz w:val="24"/>
          <w:szCs w:val="24"/>
        </w:rPr>
        <w:t xml:space="preserve"> III</w:t>
      </w:r>
      <w:r w:rsidR="00B63FB2" w:rsidRPr="00626540">
        <w:rPr>
          <w:rFonts w:ascii="Times New Roman" w:hAnsi="Times New Roman" w:cs="Times New Roman"/>
          <w:sz w:val="24"/>
          <w:szCs w:val="24"/>
        </w:rPr>
        <w:t xml:space="preserve">; </w:t>
      </w:r>
      <w:r w:rsidR="00223AF4" w:rsidRPr="00626540">
        <w:rPr>
          <w:rFonts w:ascii="Times New Roman" w:hAnsi="Times New Roman"/>
          <w:sz w:val="24"/>
          <w:szCs w:val="24"/>
        </w:rPr>
        <w:t>the Commercial Group</w:t>
      </w:r>
      <w:r w:rsidR="00277D67" w:rsidRPr="00626540">
        <w:rPr>
          <w:rFonts w:ascii="Times New Roman" w:hAnsi="Times New Roman"/>
          <w:sz w:val="24"/>
          <w:szCs w:val="24"/>
        </w:rPr>
        <w:t xml:space="preserve"> filed the direct testimony and exhibits of Steve Chriss</w:t>
      </w:r>
      <w:r w:rsidR="00223AF4" w:rsidRPr="00626540">
        <w:rPr>
          <w:rFonts w:ascii="Times New Roman" w:hAnsi="Times New Roman"/>
          <w:sz w:val="24"/>
          <w:szCs w:val="24"/>
        </w:rPr>
        <w:t xml:space="preserve">; </w:t>
      </w:r>
      <w:r w:rsidR="00277D67" w:rsidRPr="00626540">
        <w:rPr>
          <w:rFonts w:ascii="Times New Roman" w:hAnsi="Times New Roman"/>
          <w:sz w:val="24"/>
          <w:szCs w:val="24"/>
        </w:rPr>
        <w:t xml:space="preserve">the Georgia Industrial Group (“GIG”) and </w:t>
      </w:r>
      <w:r w:rsidR="00223AF4" w:rsidRPr="00626540">
        <w:rPr>
          <w:rFonts w:ascii="Times New Roman" w:hAnsi="Times New Roman"/>
          <w:sz w:val="24"/>
          <w:szCs w:val="24"/>
        </w:rPr>
        <w:t>the Georgia Association of Manufacturers</w:t>
      </w:r>
      <w:r w:rsidR="00223AF4" w:rsidRPr="00277D67">
        <w:rPr>
          <w:rFonts w:ascii="Times New Roman" w:hAnsi="Times New Roman"/>
          <w:sz w:val="24"/>
          <w:szCs w:val="24"/>
        </w:rPr>
        <w:t xml:space="preserve"> (“GAM”)</w:t>
      </w:r>
      <w:r w:rsidR="00277D67">
        <w:rPr>
          <w:rFonts w:ascii="Times New Roman" w:hAnsi="Times New Roman"/>
          <w:sz w:val="24"/>
          <w:szCs w:val="24"/>
        </w:rPr>
        <w:t xml:space="preserve"> filed </w:t>
      </w:r>
      <w:r w:rsidR="00277D67">
        <w:rPr>
          <w:rFonts w:ascii="Times New Roman" w:hAnsi="Times New Roman"/>
          <w:sz w:val="24"/>
          <w:szCs w:val="24"/>
        </w:rPr>
        <w:lastRenderedPageBreak/>
        <w:t xml:space="preserve">the direct testimony </w:t>
      </w:r>
      <w:r w:rsidR="00B63FB2">
        <w:rPr>
          <w:rFonts w:ascii="Times New Roman" w:hAnsi="Times New Roman"/>
          <w:sz w:val="24"/>
          <w:szCs w:val="24"/>
        </w:rPr>
        <w:t xml:space="preserve">and exhibits </w:t>
      </w:r>
      <w:r w:rsidR="00277D67">
        <w:rPr>
          <w:rFonts w:ascii="Times New Roman" w:hAnsi="Times New Roman"/>
          <w:sz w:val="24"/>
          <w:szCs w:val="24"/>
        </w:rPr>
        <w:t xml:space="preserve">of Jeffry Pollock, </w:t>
      </w:r>
      <w:r w:rsidR="00B63FB2">
        <w:rPr>
          <w:rFonts w:ascii="Times New Roman" w:hAnsi="Times New Roman"/>
          <w:sz w:val="24"/>
          <w:szCs w:val="24"/>
        </w:rPr>
        <w:t>Billie S. LaConte, and Roger Tutterow, Ph.D</w:t>
      </w:r>
      <w:r w:rsidR="00223AF4" w:rsidRPr="00277D67">
        <w:rPr>
          <w:rFonts w:ascii="Times New Roman" w:hAnsi="Times New Roman"/>
          <w:sz w:val="24"/>
          <w:szCs w:val="24"/>
        </w:rPr>
        <w:t xml:space="preserve">; </w:t>
      </w:r>
      <w:r w:rsidR="00B63FB2">
        <w:rPr>
          <w:rFonts w:ascii="Times New Roman" w:hAnsi="Times New Roman"/>
          <w:sz w:val="24"/>
          <w:szCs w:val="24"/>
        </w:rPr>
        <w:t>Georgia Interfaith Power &amp; Light (“GIPL”), Southface Energy Institute (“Southface”) and Vote Solar filed the direct testimony and exhibits of the panel of Tyler Fitch and Rick Gilliam, Justin Barnes, and Michael Murray;</w:t>
      </w:r>
      <w:r w:rsidR="00223AF4" w:rsidRPr="00277D67">
        <w:rPr>
          <w:rFonts w:ascii="Times New Roman" w:hAnsi="Times New Roman"/>
          <w:sz w:val="24"/>
          <w:szCs w:val="24"/>
        </w:rPr>
        <w:t xml:space="preserve"> </w:t>
      </w:r>
      <w:r w:rsidR="00B63FB2">
        <w:rPr>
          <w:rFonts w:ascii="Times New Roman" w:hAnsi="Times New Roman"/>
          <w:sz w:val="24"/>
          <w:szCs w:val="24"/>
        </w:rPr>
        <w:t>the Georgia Restaurant Association (“GRA”) filed the direct testimony of Karen Bremer</w:t>
      </w:r>
      <w:r w:rsidR="002A3C8F">
        <w:rPr>
          <w:rFonts w:ascii="Times New Roman" w:hAnsi="Times New Roman"/>
          <w:sz w:val="24"/>
          <w:szCs w:val="24"/>
        </w:rPr>
        <w:t>;</w:t>
      </w:r>
      <w:r w:rsidR="00B63FB2">
        <w:rPr>
          <w:rFonts w:ascii="Times New Roman" w:hAnsi="Times New Roman"/>
          <w:sz w:val="24"/>
          <w:szCs w:val="24"/>
        </w:rPr>
        <w:t xml:space="preserve"> </w:t>
      </w:r>
      <w:r w:rsidR="00223AF4" w:rsidRPr="00277D67">
        <w:rPr>
          <w:rFonts w:ascii="Times New Roman" w:hAnsi="Times New Roman"/>
          <w:sz w:val="24"/>
          <w:szCs w:val="24"/>
        </w:rPr>
        <w:t>the Kroger Company</w:t>
      </w:r>
      <w:r w:rsidR="00F707DC">
        <w:rPr>
          <w:rFonts w:ascii="Times New Roman" w:hAnsi="Times New Roman"/>
          <w:sz w:val="24"/>
          <w:szCs w:val="24"/>
        </w:rPr>
        <w:t xml:space="preserve"> (“Kroger”)</w:t>
      </w:r>
      <w:r w:rsidR="00626540">
        <w:rPr>
          <w:rFonts w:ascii="Times New Roman" w:hAnsi="Times New Roman"/>
          <w:sz w:val="24"/>
          <w:szCs w:val="24"/>
        </w:rPr>
        <w:t xml:space="preserve"> filed the direct testimony of Kevin C. Higgins</w:t>
      </w:r>
      <w:r w:rsidR="00223AF4" w:rsidRPr="00277D67">
        <w:rPr>
          <w:rFonts w:ascii="Times New Roman" w:hAnsi="Times New Roman"/>
          <w:sz w:val="24"/>
          <w:szCs w:val="24"/>
        </w:rPr>
        <w:t>; Metropolitan Atlanta Rapid Transit Authority (“MARTA”)</w:t>
      </w:r>
      <w:r w:rsidR="00626540">
        <w:rPr>
          <w:rFonts w:ascii="Times New Roman" w:hAnsi="Times New Roman"/>
          <w:sz w:val="24"/>
          <w:szCs w:val="24"/>
        </w:rPr>
        <w:t xml:space="preserve"> filed the direct testimony of Richard A. Polich and David M. Springstead</w:t>
      </w:r>
      <w:r w:rsidR="00223AF4" w:rsidRPr="00277D67">
        <w:rPr>
          <w:rFonts w:ascii="Times New Roman" w:hAnsi="Times New Roman"/>
          <w:sz w:val="24"/>
          <w:szCs w:val="24"/>
        </w:rPr>
        <w:t>; Resource Supply Management</w:t>
      </w:r>
      <w:r w:rsidR="00984304">
        <w:rPr>
          <w:rFonts w:ascii="Times New Roman" w:hAnsi="Times New Roman"/>
          <w:sz w:val="24"/>
          <w:szCs w:val="24"/>
        </w:rPr>
        <w:t xml:space="preserve"> (“RSM”)</w:t>
      </w:r>
      <w:r w:rsidR="00626540">
        <w:rPr>
          <w:rFonts w:ascii="Times New Roman" w:hAnsi="Times New Roman"/>
          <w:sz w:val="24"/>
          <w:szCs w:val="24"/>
        </w:rPr>
        <w:t xml:space="preserve"> filed the direct testimony and exhibits of Joseph T. Pokalsky</w:t>
      </w:r>
      <w:r w:rsidR="00223AF4" w:rsidRPr="00277D67">
        <w:rPr>
          <w:rFonts w:ascii="Times New Roman" w:hAnsi="Times New Roman"/>
          <w:sz w:val="24"/>
          <w:szCs w:val="24"/>
        </w:rPr>
        <w:t>; the S</w:t>
      </w:r>
      <w:r w:rsidR="00626540">
        <w:rPr>
          <w:rFonts w:ascii="Times New Roman" w:hAnsi="Times New Roman"/>
          <w:sz w:val="24"/>
          <w:szCs w:val="24"/>
        </w:rPr>
        <w:t>ierra Club filed the direct testimony and exhibits of Rachel S. Wilson and the panel of Melissa Whited and Ben Havumaki</w:t>
      </w:r>
      <w:r w:rsidR="00223AF4" w:rsidRPr="00277D67">
        <w:rPr>
          <w:rFonts w:ascii="Times New Roman" w:hAnsi="Times New Roman"/>
          <w:sz w:val="24"/>
          <w:szCs w:val="24"/>
        </w:rPr>
        <w:t xml:space="preserve">; and the U.S. Department of Defense (on behalf of all </w:t>
      </w:r>
      <w:r w:rsidR="002A3C8F">
        <w:rPr>
          <w:rFonts w:ascii="Times New Roman" w:hAnsi="Times New Roman"/>
          <w:sz w:val="24"/>
          <w:szCs w:val="24"/>
        </w:rPr>
        <w:t>o</w:t>
      </w:r>
      <w:r w:rsidR="002A3C8F" w:rsidRPr="00277D67">
        <w:rPr>
          <w:rFonts w:ascii="Times New Roman" w:hAnsi="Times New Roman"/>
          <w:sz w:val="24"/>
          <w:szCs w:val="24"/>
        </w:rPr>
        <w:t xml:space="preserve">ther </w:t>
      </w:r>
      <w:r w:rsidR="00223AF4" w:rsidRPr="00277D67">
        <w:rPr>
          <w:rFonts w:ascii="Times New Roman" w:hAnsi="Times New Roman"/>
          <w:sz w:val="24"/>
          <w:szCs w:val="24"/>
        </w:rPr>
        <w:t>Federal Executive Agencies) (“DOD”)</w:t>
      </w:r>
      <w:r w:rsidR="00B63FB2">
        <w:rPr>
          <w:rFonts w:ascii="Times New Roman" w:hAnsi="Times New Roman"/>
          <w:sz w:val="24"/>
          <w:szCs w:val="24"/>
        </w:rPr>
        <w:t xml:space="preserve"> filed the direct testimony and exhibits of Maureen</w:t>
      </w:r>
      <w:r w:rsidR="00626540">
        <w:rPr>
          <w:rFonts w:ascii="Times New Roman" w:hAnsi="Times New Roman"/>
          <w:sz w:val="24"/>
          <w:szCs w:val="24"/>
        </w:rPr>
        <w:t xml:space="preserve"> L.</w:t>
      </w:r>
      <w:r w:rsidR="00B63FB2">
        <w:rPr>
          <w:rFonts w:ascii="Times New Roman" w:hAnsi="Times New Roman"/>
          <w:sz w:val="24"/>
          <w:szCs w:val="24"/>
        </w:rPr>
        <w:t xml:space="preserve"> Reno and Larry Blank</w:t>
      </w:r>
      <w:r w:rsidR="00223AF4" w:rsidRPr="00277D67">
        <w:rPr>
          <w:rFonts w:ascii="Times New Roman" w:hAnsi="Times New Roman"/>
          <w:sz w:val="24"/>
          <w:szCs w:val="24"/>
        </w:rPr>
        <w:t xml:space="preserve"> (</w:t>
      </w:r>
      <w:r w:rsidR="00277D67" w:rsidRPr="00277D67">
        <w:rPr>
          <w:rFonts w:ascii="Times New Roman" w:hAnsi="Times New Roman"/>
          <w:sz w:val="24"/>
          <w:szCs w:val="24"/>
        </w:rPr>
        <w:t>each an “Intervenor”)</w:t>
      </w:r>
      <w:r w:rsidR="00223AF4" w:rsidRPr="00277D67">
        <w:rPr>
          <w:rFonts w:ascii="Times New Roman" w:hAnsi="Times New Roman"/>
          <w:sz w:val="24"/>
          <w:szCs w:val="24"/>
        </w:rPr>
        <w:t>.</w:t>
      </w:r>
      <w:r w:rsidR="00952C9D">
        <w:rPr>
          <w:rFonts w:ascii="Times New Roman" w:hAnsi="Times New Roman"/>
          <w:sz w:val="24"/>
          <w:szCs w:val="24"/>
        </w:rPr>
        <w:t xml:space="preserve"> Intervenors Concerned Ratepayers of Georgia, Georgia Solar Energy Industries Association (“GSEIA”)</w:t>
      </w:r>
      <w:r w:rsidR="00984304">
        <w:rPr>
          <w:rFonts w:ascii="Times New Roman" w:hAnsi="Times New Roman"/>
          <w:sz w:val="24"/>
          <w:szCs w:val="24"/>
        </w:rPr>
        <w:t xml:space="preserve"> and Georgia Solar Energy Association (“GSEA”)</w:t>
      </w:r>
      <w:r w:rsidR="00952C9D">
        <w:rPr>
          <w:rFonts w:ascii="Times New Roman" w:hAnsi="Times New Roman"/>
          <w:sz w:val="24"/>
          <w:szCs w:val="24"/>
        </w:rPr>
        <w:t xml:space="preserve">, and Georgia Watch did not file testimony in this case. </w:t>
      </w:r>
      <w:r w:rsidR="0044742B" w:rsidRPr="00C60454">
        <w:rPr>
          <w:rFonts w:ascii="Times New Roman" w:hAnsi="Times New Roman" w:cs="Times New Roman"/>
          <w:sz w:val="24"/>
          <w:szCs w:val="24"/>
        </w:rPr>
        <w:t>Hearings regarding the direct testimony of PIA Staf</w:t>
      </w:r>
      <w:r w:rsidR="0084258F" w:rsidRPr="00C60454">
        <w:rPr>
          <w:rFonts w:ascii="Times New Roman" w:hAnsi="Times New Roman" w:cs="Times New Roman"/>
          <w:sz w:val="24"/>
          <w:szCs w:val="24"/>
        </w:rPr>
        <w:t>f</w:t>
      </w:r>
      <w:r w:rsidR="0044742B" w:rsidRPr="00C60454">
        <w:rPr>
          <w:rFonts w:ascii="Times New Roman" w:hAnsi="Times New Roman" w:cs="Times New Roman"/>
          <w:sz w:val="24"/>
          <w:szCs w:val="24"/>
        </w:rPr>
        <w:t xml:space="preserve"> and </w:t>
      </w:r>
      <w:r w:rsidR="00223AF4">
        <w:rPr>
          <w:rFonts w:ascii="Times New Roman" w:hAnsi="Times New Roman" w:cs="Times New Roman"/>
          <w:sz w:val="24"/>
          <w:szCs w:val="24"/>
        </w:rPr>
        <w:t>I</w:t>
      </w:r>
      <w:r w:rsidR="0044742B" w:rsidRPr="00C60454">
        <w:rPr>
          <w:rFonts w:ascii="Times New Roman" w:hAnsi="Times New Roman" w:cs="Times New Roman"/>
          <w:sz w:val="24"/>
          <w:szCs w:val="24"/>
        </w:rPr>
        <w:t xml:space="preserve">ntervenors were held on </w:t>
      </w:r>
      <w:r w:rsidR="00223AF4">
        <w:rPr>
          <w:rFonts w:ascii="Times New Roman" w:hAnsi="Times New Roman" w:cs="Times New Roman"/>
          <w:sz w:val="24"/>
          <w:szCs w:val="24"/>
        </w:rPr>
        <w:t>November 4-</w:t>
      </w:r>
      <w:r w:rsidR="00F60FEF">
        <w:rPr>
          <w:rFonts w:ascii="Times New Roman" w:hAnsi="Times New Roman" w:cs="Times New Roman"/>
          <w:sz w:val="24"/>
          <w:szCs w:val="24"/>
        </w:rPr>
        <w:t>6</w:t>
      </w:r>
      <w:r w:rsidR="00B74F7A" w:rsidRPr="00C60454">
        <w:rPr>
          <w:rFonts w:ascii="Times New Roman" w:hAnsi="Times New Roman" w:cs="Times New Roman"/>
          <w:sz w:val="24"/>
          <w:szCs w:val="24"/>
        </w:rPr>
        <w:t>,</w:t>
      </w:r>
      <w:r w:rsidR="008E2FA9" w:rsidRPr="00C60454">
        <w:rPr>
          <w:rFonts w:ascii="Times New Roman" w:hAnsi="Times New Roman" w:cs="Times New Roman"/>
          <w:sz w:val="24"/>
          <w:szCs w:val="24"/>
        </w:rPr>
        <w:t xml:space="preserve"> </w:t>
      </w:r>
      <w:r w:rsidR="00B74F7A" w:rsidRPr="00C60454">
        <w:rPr>
          <w:rFonts w:ascii="Times New Roman" w:hAnsi="Times New Roman" w:cs="Times New Roman"/>
          <w:sz w:val="24"/>
          <w:szCs w:val="24"/>
        </w:rPr>
        <w:t>2019</w:t>
      </w:r>
      <w:r w:rsidR="0044742B" w:rsidRPr="00C60454">
        <w:rPr>
          <w:rFonts w:ascii="Times New Roman" w:hAnsi="Times New Roman" w:cs="Times New Roman"/>
          <w:sz w:val="24"/>
          <w:szCs w:val="24"/>
        </w:rPr>
        <w:t xml:space="preserve">. </w:t>
      </w:r>
    </w:p>
    <w:p w14:paraId="7B599FDF" w14:textId="67B80810" w:rsidR="0013023C" w:rsidRPr="00C60454" w:rsidRDefault="0084258F" w:rsidP="004D79CA">
      <w:pPr>
        <w:widowControl/>
        <w:spacing w:line="480" w:lineRule="auto"/>
        <w:jc w:val="both"/>
        <w:rPr>
          <w:rFonts w:ascii="Times New Roman" w:hAnsi="Times New Roman"/>
          <w:szCs w:val="24"/>
        </w:rPr>
      </w:pPr>
      <w:r w:rsidRPr="00C60454">
        <w:rPr>
          <w:rFonts w:ascii="Times New Roman" w:hAnsi="Times New Roman"/>
          <w:szCs w:val="24"/>
        </w:rPr>
        <w:tab/>
      </w:r>
      <w:r w:rsidR="00553CCC" w:rsidRPr="00C60454">
        <w:rPr>
          <w:rFonts w:ascii="Times New Roman" w:hAnsi="Times New Roman"/>
          <w:szCs w:val="24"/>
        </w:rPr>
        <w:t>On November 1</w:t>
      </w:r>
      <w:r w:rsidR="00354691" w:rsidRPr="00C60454">
        <w:rPr>
          <w:rFonts w:ascii="Times New Roman" w:hAnsi="Times New Roman"/>
          <w:szCs w:val="24"/>
        </w:rPr>
        <w:t>5</w:t>
      </w:r>
      <w:r w:rsidR="00553CCC" w:rsidRPr="00C60454">
        <w:rPr>
          <w:rFonts w:ascii="Times New Roman" w:hAnsi="Times New Roman"/>
          <w:szCs w:val="24"/>
        </w:rPr>
        <w:t>, 201</w:t>
      </w:r>
      <w:r w:rsidR="008E2FA9" w:rsidRPr="00C60454">
        <w:rPr>
          <w:rFonts w:ascii="Times New Roman" w:hAnsi="Times New Roman"/>
          <w:szCs w:val="24"/>
        </w:rPr>
        <w:t>9</w:t>
      </w:r>
      <w:r w:rsidR="00553CCC" w:rsidRPr="00C60454">
        <w:rPr>
          <w:rFonts w:ascii="Times New Roman" w:hAnsi="Times New Roman"/>
          <w:szCs w:val="24"/>
        </w:rPr>
        <w:t xml:space="preserve">, the Company </w:t>
      </w:r>
      <w:r w:rsidR="00354691" w:rsidRPr="00C60454">
        <w:rPr>
          <w:rFonts w:ascii="Times New Roman" w:hAnsi="Times New Roman"/>
          <w:szCs w:val="24"/>
        </w:rPr>
        <w:t>filed</w:t>
      </w:r>
      <w:r w:rsidR="00223AF4">
        <w:rPr>
          <w:rFonts w:ascii="Times New Roman" w:hAnsi="Times New Roman"/>
          <w:szCs w:val="24"/>
        </w:rPr>
        <w:t xml:space="preserve"> the</w:t>
      </w:r>
      <w:r w:rsidR="00202D8C" w:rsidRPr="00C60454">
        <w:rPr>
          <w:rFonts w:ascii="Times New Roman" w:hAnsi="Times New Roman"/>
          <w:szCs w:val="24"/>
        </w:rPr>
        <w:t xml:space="preserve"> </w:t>
      </w:r>
      <w:r w:rsidR="00191F2A" w:rsidRPr="00C60454">
        <w:rPr>
          <w:rFonts w:ascii="Times New Roman" w:hAnsi="Times New Roman"/>
          <w:szCs w:val="24"/>
        </w:rPr>
        <w:t>rebuttal testimony</w:t>
      </w:r>
      <w:r w:rsidR="00223AF4">
        <w:rPr>
          <w:rFonts w:ascii="Times New Roman" w:hAnsi="Times New Roman"/>
          <w:szCs w:val="24"/>
        </w:rPr>
        <w:t xml:space="preserve"> of the panel of David P. Poroch and Sarah P. Adams, James Vander Weide, Ph.D., Steven M. Fetter, and the panel of </w:t>
      </w:r>
      <w:r w:rsidR="00701DD4">
        <w:rPr>
          <w:rFonts w:ascii="Times New Roman" w:hAnsi="Times New Roman"/>
          <w:szCs w:val="24"/>
        </w:rPr>
        <w:t>Larry T. Legg</w:t>
      </w:r>
      <w:r w:rsidR="00701DD4" w:rsidRPr="00C60454">
        <w:rPr>
          <w:rFonts w:ascii="Times New Roman" w:hAnsi="Times New Roman"/>
          <w:szCs w:val="24"/>
        </w:rPr>
        <w:t xml:space="preserve"> </w:t>
      </w:r>
      <w:r w:rsidR="00701DD4">
        <w:rPr>
          <w:rFonts w:ascii="Times New Roman" w:hAnsi="Times New Roman"/>
          <w:szCs w:val="24"/>
        </w:rPr>
        <w:t xml:space="preserve">and </w:t>
      </w:r>
      <w:r w:rsidR="00223AF4">
        <w:rPr>
          <w:rFonts w:ascii="Times New Roman" w:hAnsi="Times New Roman"/>
          <w:szCs w:val="24"/>
        </w:rPr>
        <w:t xml:space="preserve">Lawrence J. Vogt </w:t>
      </w:r>
      <w:r w:rsidR="00191F2A" w:rsidRPr="00C60454">
        <w:rPr>
          <w:rFonts w:ascii="Times New Roman" w:hAnsi="Times New Roman"/>
          <w:szCs w:val="24"/>
        </w:rPr>
        <w:t xml:space="preserve">in response to the positions </w:t>
      </w:r>
      <w:r w:rsidR="00774801">
        <w:rPr>
          <w:rFonts w:ascii="Times New Roman" w:hAnsi="Times New Roman"/>
          <w:szCs w:val="24"/>
        </w:rPr>
        <w:t>advocated by</w:t>
      </w:r>
      <w:r w:rsidR="00191F2A" w:rsidRPr="00C60454">
        <w:rPr>
          <w:rFonts w:ascii="Times New Roman" w:hAnsi="Times New Roman"/>
          <w:szCs w:val="24"/>
        </w:rPr>
        <w:t xml:space="preserve"> PIA Staff and various </w:t>
      </w:r>
      <w:r w:rsidR="00223AF4">
        <w:rPr>
          <w:rFonts w:ascii="Times New Roman" w:hAnsi="Times New Roman"/>
          <w:szCs w:val="24"/>
        </w:rPr>
        <w:t>I</w:t>
      </w:r>
      <w:r w:rsidR="00191F2A" w:rsidRPr="00C60454">
        <w:rPr>
          <w:rFonts w:ascii="Times New Roman" w:hAnsi="Times New Roman"/>
          <w:szCs w:val="24"/>
        </w:rPr>
        <w:t>ntervenors</w:t>
      </w:r>
      <w:r w:rsidR="00223AF4">
        <w:rPr>
          <w:rFonts w:ascii="Times New Roman" w:hAnsi="Times New Roman"/>
          <w:szCs w:val="24"/>
        </w:rPr>
        <w:t>.</w:t>
      </w:r>
      <w:r w:rsidR="00765030" w:rsidRPr="00C60454">
        <w:rPr>
          <w:rFonts w:ascii="Times New Roman" w:hAnsi="Times New Roman"/>
          <w:szCs w:val="24"/>
        </w:rPr>
        <w:t xml:space="preserve"> </w:t>
      </w:r>
      <w:r w:rsidR="00952C9D">
        <w:rPr>
          <w:rFonts w:ascii="Times New Roman" w:hAnsi="Times New Roman"/>
          <w:szCs w:val="24"/>
        </w:rPr>
        <w:t>Hearings</w:t>
      </w:r>
      <w:r w:rsidR="007640F3" w:rsidRPr="00C60454">
        <w:rPr>
          <w:rFonts w:ascii="Times New Roman" w:hAnsi="Times New Roman"/>
          <w:szCs w:val="24"/>
        </w:rPr>
        <w:t xml:space="preserve"> regarding</w:t>
      </w:r>
      <w:r w:rsidR="00025B98" w:rsidRPr="00C60454">
        <w:rPr>
          <w:rFonts w:ascii="Times New Roman" w:hAnsi="Times New Roman"/>
          <w:szCs w:val="24"/>
        </w:rPr>
        <w:t xml:space="preserve"> the Company</w:t>
      </w:r>
      <w:r w:rsidR="006F6CB0">
        <w:rPr>
          <w:rFonts w:ascii="Times New Roman" w:hAnsi="Times New Roman"/>
          <w:szCs w:val="24"/>
        </w:rPr>
        <w:t>’</w:t>
      </w:r>
      <w:r w:rsidR="00025B98" w:rsidRPr="00C60454">
        <w:rPr>
          <w:rFonts w:ascii="Times New Roman" w:hAnsi="Times New Roman"/>
          <w:szCs w:val="24"/>
        </w:rPr>
        <w:t xml:space="preserve">s rebuttal testimony </w:t>
      </w:r>
      <w:r w:rsidR="00952C9D">
        <w:rPr>
          <w:rFonts w:ascii="Times New Roman" w:hAnsi="Times New Roman"/>
          <w:szCs w:val="24"/>
        </w:rPr>
        <w:t>were</w:t>
      </w:r>
      <w:r w:rsidR="00223AF4">
        <w:rPr>
          <w:rFonts w:ascii="Times New Roman" w:hAnsi="Times New Roman"/>
          <w:szCs w:val="24"/>
        </w:rPr>
        <w:t xml:space="preserve"> held </w:t>
      </w:r>
      <w:r w:rsidR="0031439D" w:rsidRPr="00C60454">
        <w:rPr>
          <w:rFonts w:ascii="Times New Roman" w:hAnsi="Times New Roman"/>
          <w:szCs w:val="24"/>
        </w:rPr>
        <w:t xml:space="preserve">on </w:t>
      </w:r>
      <w:r w:rsidR="00354691" w:rsidRPr="00C60454">
        <w:rPr>
          <w:rFonts w:ascii="Times New Roman" w:hAnsi="Times New Roman"/>
          <w:szCs w:val="24"/>
        </w:rPr>
        <w:t>November</w:t>
      </w:r>
      <w:r w:rsidR="00774801">
        <w:rPr>
          <w:rFonts w:ascii="Times New Roman" w:hAnsi="Times New Roman"/>
          <w:szCs w:val="24"/>
        </w:rPr>
        <w:t> </w:t>
      </w:r>
      <w:r w:rsidR="00354691" w:rsidRPr="00C60454">
        <w:rPr>
          <w:rFonts w:ascii="Times New Roman" w:hAnsi="Times New Roman"/>
          <w:szCs w:val="24"/>
        </w:rPr>
        <w:t>25</w:t>
      </w:r>
      <w:r w:rsidR="00223AF4">
        <w:rPr>
          <w:rFonts w:ascii="Times New Roman" w:hAnsi="Times New Roman"/>
          <w:szCs w:val="24"/>
        </w:rPr>
        <w:t xml:space="preserve">-26, </w:t>
      </w:r>
      <w:r w:rsidR="00025B98" w:rsidRPr="00C60454">
        <w:rPr>
          <w:rFonts w:ascii="Times New Roman" w:hAnsi="Times New Roman"/>
          <w:szCs w:val="24"/>
        </w:rPr>
        <w:t>201</w:t>
      </w:r>
      <w:r w:rsidR="005635B5" w:rsidRPr="00C60454">
        <w:rPr>
          <w:rFonts w:ascii="Times New Roman" w:hAnsi="Times New Roman"/>
          <w:szCs w:val="24"/>
        </w:rPr>
        <w:t>9</w:t>
      </w:r>
      <w:r w:rsidR="00025B98" w:rsidRPr="00C60454">
        <w:rPr>
          <w:rFonts w:ascii="Times New Roman" w:hAnsi="Times New Roman"/>
          <w:szCs w:val="24"/>
        </w:rPr>
        <w:t xml:space="preserve">.  </w:t>
      </w:r>
    </w:p>
    <w:p w14:paraId="38572C6B" w14:textId="6C8E0871" w:rsidR="00C32A9A" w:rsidRPr="00C60454" w:rsidRDefault="00C32A9A" w:rsidP="0032156E">
      <w:pPr>
        <w:keepNext/>
        <w:widowControl/>
        <w:overflowPunct/>
        <w:autoSpaceDE/>
        <w:autoSpaceDN/>
        <w:adjustRightInd/>
        <w:spacing w:before="240" w:after="240" w:line="480" w:lineRule="auto"/>
        <w:jc w:val="center"/>
        <w:textAlignment w:val="auto"/>
        <w:rPr>
          <w:rFonts w:ascii="Times New Roman" w:hAnsi="Times New Roman"/>
          <w:b/>
          <w:szCs w:val="24"/>
        </w:rPr>
      </w:pPr>
      <w:r w:rsidRPr="00C60454">
        <w:rPr>
          <w:rFonts w:ascii="Times New Roman" w:hAnsi="Times New Roman"/>
          <w:b/>
          <w:szCs w:val="24"/>
        </w:rPr>
        <w:lastRenderedPageBreak/>
        <w:t>I</w:t>
      </w:r>
      <w:r w:rsidR="00156A32">
        <w:rPr>
          <w:rFonts w:ascii="Times New Roman" w:hAnsi="Times New Roman"/>
          <w:b/>
          <w:szCs w:val="24"/>
        </w:rPr>
        <w:t>V</w:t>
      </w:r>
      <w:r w:rsidRPr="00C60454">
        <w:rPr>
          <w:rFonts w:ascii="Times New Roman" w:hAnsi="Times New Roman"/>
          <w:b/>
          <w:szCs w:val="24"/>
        </w:rPr>
        <w:t>.</w:t>
      </w:r>
      <w:r w:rsidR="0032156E">
        <w:rPr>
          <w:rFonts w:ascii="Times New Roman" w:hAnsi="Times New Roman"/>
          <w:b/>
          <w:szCs w:val="24"/>
        </w:rPr>
        <w:t xml:space="preserve">  </w:t>
      </w:r>
      <w:r w:rsidR="00156A32">
        <w:rPr>
          <w:rFonts w:ascii="Times New Roman" w:hAnsi="Times New Roman"/>
          <w:b/>
          <w:szCs w:val="24"/>
        </w:rPr>
        <w:t xml:space="preserve">ARGUMENT </w:t>
      </w:r>
    </w:p>
    <w:p w14:paraId="034FC8D6" w14:textId="183C452E" w:rsidR="00186C1F" w:rsidRPr="00186C1F" w:rsidRDefault="00186C1F" w:rsidP="00522C94">
      <w:pPr>
        <w:keepNext/>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0" w:name="_Hlk26111322"/>
      <w:r>
        <w:rPr>
          <w:rFonts w:ascii="Times New Roman" w:hAnsi="Times New Roman"/>
          <w:b/>
          <w:szCs w:val="24"/>
        </w:rPr>
        <w:t>A.</w:t>
      </w:r>
      <w:r>
        <w:rPr>
          <w:rFonts w:ascii="Times New Roman" w:hAnsi="Times New Roman"/>
          <w:b/>
          <w:szCs w:val="24"/>
        </w:rPr>
        <w:tab/>
      </w:r>
      <w:r w:rsidR="009F4419">
        <w:rPr>
          <w:rFonts w:ascii="Times New Roman" w:hAnsi="Times New Roman"/>
          <w:b/>
          <w:szCs w:val="24"/>
        </w:rPr>
        <w:t>Approval of the Company’s Application as filed provides for the continuation of the</w:t>
      </w:r>
      <w:r w:rsidRPr="00186C1F">
        <w:rPr>
          <w:rFonts w:ascii="Times New Roman" w:hAnsi="Times New Roman"/>
          <w:b/>
          <w:szCs w:val="24"/>
        </w:rPr>
        <w:t xml:space="preserve"> Constructive Regulatory Environment that </w:t>
      </w:r>
      <w:r w:rsidR="0037296D" w:rsidRPr="00186C1F">
        <w:rPr>
          <w:rFonts w:ascii="Times New Roman" w:hAnsi="Times New Roman"/>
          <w:b/>
          <w:szCs w:val="24"/>
        </w:rPr>
        <w:t>Customers</w:t>
      </w:r>
      <w:r w:rsidR="0037296D">
        <w:rPr>
          <w:rFonts w:ascii="Times New Roman" w:hAnsi="Times New Roman"/>
          <w:b/>
          <w:szCs w:val="24"/>
        </w:rPr>
        <w:t>,</w:t>
      </w:r>
      <w:r w:rsidR="0037296D" w:rsidRPr="00186C1F">
        <w:rPr>
          <w:rFonts w:ascii="Times New Roman" w:hAnsi="Times New Roman"/>
          <w:b/>
          <w:szCs w:val="24"/>
        </w:rPr>
        <w:t xml:space="preserve"> </w:t>
      </w:r>
      <w:r w:rsidRPr="00186C1F">
        <w:rPr>
          <w:rFonts w:ascii="Times New Roman" w:hAnsi="Times New Roman"/>
          <w:b/>
          <w:szCs w:val="24"/>
        </w:rPr>
        <w:t>the Commission, the Company, and Investor</w:t>
      </w:r>
      <w:r w:rsidR="00B118C2">
        <w:rPr>
          <w:rFonts w:ascii="Times New Roman" w:hAnsi="Times New Roman"/>
          <w:b/>
          <w:szCs w:val="24"/>
        </w:rPr>
        <w:t>s</w:t>
      </w:r>
      <w:r w:rsidRPr="00186C1F">
        <w:rPr>
          <w:rFonts w:ascii="Times New Roman" w:hAnsi="Times New Roman"/>
          <w:b/>
          <w:szCs w:val="24"/>
        </w:rPr>
        <w:t xml:space="preserve"> Rely </w:t>
      </w:r>
      <w:r w:rsidR="005453C2">
        <w:rPr>
          <w:rFonts w:ascii="Times New Roman" w:hAnsi="Times New Roman"/>
          <w:b/>
          <w:szCs w:val="24"/>
        </w:rPr>
        <w:t>Upo</w:t>
      </w:r>
      <w:r w:rsidRPr="00186C1F">
        <w:rPr>
          <w:rFonts w:ascii="Times New Roman" w:hAnsi="Times New Roman"/>
          <w:b/>
          <w:szCs w:val="24"/>
        </w:rPr>
        <w:t>n.</w:t>
      </w:r>
    </w:p>
    <w:bookmarkEnd w:id="0"/>
    <w:p w14:paraId="5ADC58D9" w14:textId="66DFE9A4" w:rsidR="00361F79" w:rsidRDefault="00186C1F" w:rsidP="00361F79">
      <w:pPr>
        <w:widowControl/>
        <w:tabs>
          <w:tab w:val="left" w:pos="0"/>
        </w:tabs>
        <w:overflowPunct/>
        <w:autoSpaceDE/>
        <w:autoSpaceDN/>
        <w:adjustRightInd/>
        <w:spacing w:line="480" w:lineRule="auto"/>
        <w:jc w:val="both"/>
        <w:textAlignment w:val="auto"/>
        <w:rPr>
          <w:rFonts w:ascii="Times New Roman" w:hAnsi="Times New Roman"/>
          <w:bCs/>
          <w:szCs w:val="24"/>
        </w:rPr>
      </w:pPr>
      <w:r>
        <w:rPr>
          <w:rFonts w:ascii="Times New Roman" w:hAnsi="Times New Roman"/>
          <w:bCs/>
          <w:szCs w:val="24"/>
        </w:rPr>
        <w:tab/>
      </w:r>
      <w:r w:rsidR="009F4419">
        <w:rPr>
          <w:rFonts w:ascii="Times New Roman" w:hAnsi="Times New Roman"/>
          <w:bCs/>
          <w:szCs w:val="24"/>
        </w:rPr>
        <w:t xml:space="preserve">Approval of the </w:t>
      </w:r>
      <w:r w:rsidR="009F4419" w:rsidRPr="00186C1F">
        <w:rPr>
          <w:rFonts w:ascii="Times New Roman" w:hAnsi="Times New Roman"/>
          <w:bCs/>
          <w:szCs w:val="24"/>
        </w:rPr>
        <w:t>C</w:t>
      </w:r>
      <w:r w:rsidR="009F4419">
        <w:rPr>
          <w:rFonts w:ascii="Times New Roman" w:hAnsi="Times New Roman"/>
          <w:bCs/>
          <w:szCs w:val="24"/>
        </w:rPr>
        <w:t xml:space="preserve">ompany’s Application, including the Company’s proposal for an ARP, will continue to foster the </w:t>
      </w:r>
      <w:r w:rsidR="009F4419" w:rsidRPr="00186C1F">
        <w:rPr>
          <w:rFonts w:ascii="Times New Roman" w:hAnsi="Times New Roman"/>
          <w:bCs/>
          <w:szCs w:val="24"/>
        </w:rPr>
        <w:t xml:space="preserve">constructive </w:t>
      </w:r>
      <w:r w:rsidR="009F4419">
        <w:rPr>
          <w:rFonts w:ascii="Times New Roman" w:hAnsi="Times New Roman"/>
          <w:bCs/>
          <w:szCs w:val="24"/>
        </w:rPr>
        <w:t xml:space="preserve">regulation </w:t>
      </w:r>
      <w:r w:rsidR="009F4419" w:rsidRPr="00186C1F">
        <w:rPr>
          <w:rFonts w:ascii="Times New Roman" w:hAnsi="Times New Roman"/>
          <w:bCs/>
          <w:szCs w:val="24"/>
        </w:rPr>
        <w:t xml:space="preserve">that has benefitted customers for </w:t>
      </w:r>
      <w:r w:rsidR="00A83F5E">
        <w:rPr>
          <w:rFonts w:ascii="Times New Roman" w:hAnsi="Times New Roman"/>
          <w:bCs/>
          <w:szCs w:val="24"/>
        </w:rPr>
        <w:t>more than</w:t>
      </w:r>
      <w:r w:rsidR="00A83F5E" w:rsidRPr="00186C1F">
        <w:rPr>
          <w:rFonts w:ascii="Times New Roman" w:hAnsi="Times New Roman"/>
          <w:bCs/>
          <w:szCs w:val="24"/>
        </w:rPr>
        <w:t xml:space="preserve"> </w:t>
      </w:r>
      <w:r w:rsidR="009F4419" w:rsidRPr="00186C1F">
        <w:rPr>
          <w:rFonts w:ascii="Times New Roman" w:hAnsi="Times New Roman"/>
          <w:bCs/>
          <w:szCs w:val="24"/>
        </w:rPr>
        <w:t>two decades. Th</w:t>
      </w:r>
      <w:r w:rsidR="009F4419">
        <w:rPr>
          <w:rFonts w:ascii="Times New Roman" w:hAnsi="Times New Roman"/>
          <w:bCs/>
          <w:szCs w:val="24"/>
        </w:rPr>
        <w:t xml:space="preserve">e Company’s filing in this case is consistent with the Commission’s policies that </w:t>
      </w:r>
      <w:r w:rsidR="009F4419" w:rsidRPr="00186C1F">
        <w:rPr>
          <w:rFonts w:ascii="Times New Roman" w:hAnsi="Times New Roman"/>
          <w:bCs/>
          <w:szCs w:val="24"/>
        </w:rPr>
        <w:t>ha</w:t>
      </w:r>
      <w:r w:rsidR="009F4419">
        <w:rPr>
          <w:rFonts w:ascii="Times New Roman" w:hAnsi="Times New Roman"/>
          <w:bCs/>
          <w:szCs w:val="24"/>
        </w:rPr>
        <w:t>ve</w:t>
      </w:r>
      <w:r w:rsidR="009F4419" w:rsidRPr="00186C1F">
        <w:rPr>
          <w:rFonts w:ascii="Times New Roman" w:hAnsi="Times New Roman"/>
          <w:bCs/>
          <w:szCs w:val="24"/>
        </w:rPr>
        <w:t xml:space="preserve"> </w:t>
      </w:r>
      <w:r w:rsidRPr="00186C1F">
        <w:rPr>
          <w:rFonts w:ascii="Times New Roman" w:hAnsi="Times New Roman"/>
          <w:bCs/>
          <w:szCs w:val="24"/>
        </w:rPr>
        <w:t>supported a sustained period of high customer satisfaction, high reliability, rates well below the national average, and Georgia being consistently ranked as the best state in which to do business. This Commission</w:t>
      </w:r>
      <w:r w:rsidR="006F6CB0">
        <w:rPr>
          <w:rFonts w:ascii="Times New Roman" w:hAnsi="Times New Roman"/>
          <w:bCs/>
          <w:szCs w:val="24"/>
        </w:rPr>
        <w:t>’</w:t>
      </w:r>
      <w:r w:rsidRPr="00186C1F">
        <w:rPr>
          <w:rFonts w:ascii="Times New Roman" w:hAnsi="Times New Roman"/>
          <w:bCs/>
          <w:szCs w:val="24"/>
        </w:rPr>
        <w:t xml:space="preserve">s ability to balance strong and consistent policy </w:t>
      </w:r>
      <w:r w:rsidR="005453C2">
        <w:rPr>
          <w:rFonts w:ascii="Times New Roman" w:hAnsi="Times New Roman"/>
          <w:bCs/>
          <w:szCs w:val="24"/>
        </w:rPr>
        <w:t>while also adapting to rapidly evolving</w:t>
      </w:r>
      <w:r w:rsidRPr="00186C1F">
        <w:rPr>
          <w:rFonts w:ascii="Times New Roman" w:hAnsi="Times New Roman"/>
          <w:bCs/>
          <w:szCs w:val="24"/>
        </w:rPr>
        <w:t xml:space="preserve"> technology</w:t>
      </w:r>
      <w:r w:rsidR="005453C2">
        <w:rPr>
          <w:rFonts w:ascii="Times New Roman" w:hAnsi="Times New Roman"/>
          <w:bCs/>
          <w:szCs w:val="24"/>
        </w:rPr>
        <w:t xml:space="preserve"> and</w:t>
      </w:r>
      <w:r w:rsidRPr="00186C1F">
        <w:rPr>
          <w:rFonts w:ascii="Times New Roman" w:hAnsi="Times New Roman"/>
          <w:bCs/>
          <w:szCs w:val="24"/>
        </w:rPr>
        <w:t xml:space="preserve"> implement</w:t>
      </w:r>
      <w:r w:rsidR="005453C2">
        <w:rPr>
          <w:rFonts w:ascii="Times New Roman" w:hAnsi="Times New Roman"/>
          <w:bCs/>
          <w:szCs w:val="24"/>
        </w:rPr>
        <w:t>ing</w:t>
      </w:r>
      <w:r w:rsidRPr="00186C1F">
        <w:rPr>
          <w:rFonts w:ascii="Times New Roman" w:hAnsi="Times New Roman"/>
          <w:bCs/>
          <w:szCs w:val="24"/>
        </w:rPr>
        <w:t xml:space="preserve"> gradual changes when appropriate</w:t>
      </w:r>
      <w:r w:rsidR="005453C2">
        <w:rPr>
          <w:rFonts w:ascii="Times New Roman" w:hAnsi="Times New Roman"/>
          <w:bCs/>
          <w:szCs w:val="24"/>
        </w:rPr>
        <w:t>,</w:t>
      </w:r>
      <w:r w:rsidRPr="00186C1F">
        <w:rPr>
          <w:rFonts w:ascii="Times New Roman" w:hAnsi="Times New Roman"/>
          <w:bCs/>
          <w:szCs w:val="24"/>
        </w:rPr>
        <w:t xml:space="preserve"> has </w:t>
      </w:r>
      <w:r w:rsidR="005453C2">
        <w:rPr>
          <w:rFonts w:ascii="Times New Roman" w:hAnsi="Times New Roman"/>
          <w:bCs/>
          <w:szCs w:val="24"/>
        </w:rPr>
        <w:t>facilitated</w:t>
      </w:r>
      <w:r w:rsidRPr="00186C1F">
        <w:rPr>
          <w:rFonts w:ascii="Times New Roman" w:hAnsi="Times New Roman"/>
          <w:bCs/>
          <w:szCs w:val="24"/>
        </w:rPr>
        <w:t xml:space="preserve"> a consistent regulatory environment viewed favorably by customers and investors alike. </w:t>
      </w:r>
      <w:r w:rsidR="009F4419">
        <w:rPr>
          <w:rFonts w:ascii="Times New Roman" w:hAnsi="Times New Roman"/>
          <w:bCs/>
          <w:szCs w:val="24"/>
        </w:rPr>
        <w:t>Approval of the Company’s filing will continue this trend.</w:t>
      </w:r>
      <w:r w:rsidR="009F4419" w:rsidRPr="00186C1F">
        <w:rPr>
          <w:rFonts w:ascii="Times New Roman" w:hAnsi="Times New Roman"/>
          <w:bCs/>
          <w:szCs w:val="24"/>
        </w:rPr>
        <w:t xml:space="preserve"> </w:t>
      </w:r>
      <w:r w:rsidR="009F4419">
        <w:rPr>
          <w:rFonts w:ascii="Times New Roman" w:hAnsi="Times New Roman"/>
          <w:bCs/>
          <w:szCs w:val="24"/>
        </w:rPr>
        <w:t>The Company’s proposal in this case will allow</w:t>
      </w:r>
      <w:r w:rsidRPr="00186C1F">
        <w:rPr>
          <w:rFonts w:ascii="Times New Roman" w:hAnsi="Times New Roman"/>
          <w:bCs/>
          <w:szCs w:val="24"/>
        </w:rPr>
        <w:t xml:space="preserve">: (i) the Company </w:t>
      </w:r>
      <w:r w:rsidR="009F4419">
        <w:rPr>
          <w:rFonts w:ascii="Times New Roman" w:hAnsi="Times New Roman"/>
          <w:bCs/>
          <w:szCs w:val="24"/>
        </w:rPr>
        <w:t>to</w:t>
      </w:r>
      <w:r w:rsidR="009F4419" w:rsidRPr="00186C1F">
        <w:rPr>
          <w:rFonts w:ascii="Times New Roman" w:hAnsi="Times New Roman"/>
          <w:bCs/>
          <w:szCs w:val="24"/>
        </w:rPr>
        <w:t xml:space="preserve"> </w:t>
      </w:r>
      <w:r w:rsidRPr="00186C1F">
        <w:rPr>
          <w:rFonts w:ascii="Times New Roman" w:hAnsi="Times New Roman"/>
          <w:bCs/>
          <w:szCs w:val="24"/>
        </w:rPr>
        <w:t>continue access</w:t>
      </w:r>
      <w:r w:rsidR="005453C2">
        <w:rPr>
          <w:rFonts w:ascii="Times New Roman" w:hAnsi="Times New Roman"/>
          <w:bCs/>
          <w:szCs w:val="24"/>
        </w:rPr>
        <w:t>ing</w:t>
      </w:r>
      <w:r w:rsidRPr="00186C1F">
        <w:rPr>
          <w:rFonts w:ascii="Times New Roman" w:hAnsi="Times New Roman"/>
          <w:bCs/>
          <w:szCs w:val="24"/>
        </w:rPr>
        <w:t xml:space="preserve"> capital</w:t>
      </w:r>
      <w:r w:rsidR="0037296D">
        <w:rPr>
          <w:rFonts w:ascii="Times New Roman" w:hAnsi="Times New Roman"/>
          <w:bCs/>
          <w:szCs w:val="24"/>
        </w:rPr>
        <w:t xml:space="preserve"> at reasonable rates and terms</w:t>
      </w:r>
      <w:r w:rsidRPr="00186C1F">
        <w:rPr>
          <w:rFonts w:ascii="Times New Roman" w:hAnsi="Times New Roman"/>
          <w:bCs/>
          <w:szCs w:val="24"/>
        </w:rPr>
        <w:t xml:space="preserve"> to meet future needs; (ii) the Company </w:t>
      </w:r>
      <w:r w:rsidR="009F4419">
        <w:rPr>
          <w:rFonts w:ascii="Times New Roman" w:hAnsi="Times New Roman"/>
          <w:bCs/>
          <w:szCs w:val="24"/>
        </w:rPr>
        <w:t>to</w:t>
      </w:r>
      <w:r w:rsidR="009F4419" w:rsidRPr="00186C1F">
        <w:rPr>
          <w:rFonts w:ascii="Times New Roman" w:hAnsi="Times New Roman"/>
          <w:bCs/>
          <w:szCs w:val="24"/>
        </w:rPr>
        <w:t xml:space="preserve"> </w:t>
      </w:r>
      <w:r w:rsidRPr="00186C1F">
        <w:rPr>
          <w:rFonts w:ascii="Times New Roman" w:hAnsi="Times New Roman"/>
          <w:bCs/>
          <w:szCs w:val="24"/>
        </w:rPr>
        <w:t xml:space="preserve">continue providing clean, safe, reliable, and affordable service that meets or exceeds the customer service </w:t>
      </w:r>
      <w:r w:rsidR="005453C2">
        <w:rPr>
          <w:rFonts w:ascii="Times New Roman" w:hAnsi="Times New Roman"/>
          <w:bCs/>
          <w:szCs w:val="24"/>
        </w:rPr>
        <w:t xml:space="preserve">levels </w:t>
      </w:r>
      <w:r w:rsidRPr="00186C1F">
        <w:rPr>
          <w:rFonts w:ascii="Times New Roman" w:hAnsi="Times New Roman"/>
          <w:bCs/>
          <w:szCs w:val="24"/>
        </w:rPr>
        <w:t>Georgia Power</w:t>
      </w:r>
      <w:r w:rsidR="006F6CB0">
        <w:rPr>
          <w:rFonts w:ascii="Times New Roman" w:hAnsi="Times New Roman"/>
          <w:bCs/>
          <w:szCs w:val="24"/>
        </w:rPr>
        <w:t>’</w:t>
      </w:r>
      <w:r w:rsidRPr="00186C1F">
        <w:rPr>
          <w:rFonts w:ascii="Times New Roman" w:hAnsi="Times New Roman"/>
          <w:bCs/>
          <w:szCs w:val="24"/>
        </w:rPr>
        <w:t>s customers expect; and (iii)</w:t>
      </w:r>
      <w:r w:rsidR="00EE3F21">
        <w:rPr>
          <w:rFonts w:ascii="Times New Roman" w:hAnsi="Times New Roman"/>
          <w:bCs/>
          <w:szCs w:val="24"/>
        </w:rPr>
        <w:t xml:space="preserve"> the</w:t>
      </w:r>
      <w:r w:rsidRPr="00186C1F">
        <w:rPr>
          <w:rFonts w:ascii="Times New Roman" w:hAnsi="Times New Roman"/>
          <w:bCs/>
          <w:szCs w:val="24"/>
        </w:rPr>
        <w:t xml:space="preserve"> Company</w:t>
      </w:r>
      <w:r w:rsidR="00EE3F21">
        <w:rPr>
          <w:rFonts w:ascii="Times New Roman" w:hAnsi="Times New Roman"/>
          <w:bCs/>
          <w:szCs w:val="24"/>
        </w:rPr>
        <w:t>’s</w:t>
      </w:r>
      <w:r w:rsidRPr="00186C1F">
        <w:rPr>
          <w:rFonts w:ascii="Times New Roman" w:hAnsi="Times New Roman"/>
          <w:bCs/>
          <w:szCs w:val="24"/>
        </w:rPr>
        <w:t xml:space="preserve"> investors </w:t>
      </w:r>
      <w:r w:rsidR="009F4419">
        <w:rPr>
          <w:rFonts w:ascii="Times New Roman" w:hAnsi="Times New Roman"/>
          <w:bCs/>
          <w:szCs w:val="24"/>
        </w:rPr>
        <w:t>to</w:t>
      </w:r>
      <w:r w:rsidR="009F4419" w:rsidRPr="00186C1F">
        <w:rPr>
          <w:rFonts w:ascii="Times New Roman" w:hAnsi="Times New Roman"/>
          <w:bCs/>
          <w:szCs w:val="24"/>
        </w:rPr>
        <w:t xml:space="preserve"> </w:t>
      </w:r>
      <w:r w:rsidRPr="00186C1F">
        <w:rPr>
          <w:rFonts w:ascii="Times New Roman" w:hAnsi="Times New Roman"/>
          <w:bCs/>
          <w:szCs w:val="24"/>
        </w:rPr>
        <w:t xml:space="preserve">have an opportunity to </w:t>
      </w:r>
      <w:r w:rsidR="00EE3F21">
        <w:rPr>
          <w:rFonts w:ascii="Times New Roman" w:hAnsi="Times New Roman"/>
          <w:bCs/>
          <w:szCs w:val="24"/>
        </w:rPr>
        <w:t>earn a fair return</w:t>
      </w:r>
      <w:r w:rsidRPr="00186C1F">
        <w:rPr>
          <w:rFonts w:ascii="Times New Roman" w:hAnsi="Times New Roman"/>
          <w:bCs/>
          <w:szCs w:val="24"/>
        </w:rPr>
        <w:t xml:space="preserve"> appropriate for a well-run and efficient utility that satisfies customer needs. </w:t>
      </w:r>
      <w:r w:rsidR="00361F79">
        <w:rPr>
          <w:rFonts w:ascii="Times New Roman" w:hAnsi="Times New Roman"/>
          <w:bCs/>
          <w:szCs w:val="24"/>
        </w:rPr>
        <w:t>The ARP filed by the Company satisfies the core responsibilities of the Commission as stated by the Supreme Court of Georgia:</w:t>
      </w:r>
    </w:p>
    <w:p w14:paraId="71D8E2FD" w14:textId="77777777" w:rsidR="007D4BE3" w:rsidRDefault="00361F79" w:rsidP="00567CF4">
      <w:pPr>
        <w:widowControl/>
        <w:tabs>
          <w:tab w:val="left" w:pos="0"/>
        </w:tabs>
        <w:overflowPunct/>
        <w:autoSpaceDE/>
        <w:autoSpaceDN/>
        <w:adjustRightInd/>
        <w:ind w:left="720" w:right="720"/>
        <w:jc w:val="both"/>
        <w:textAlignment w:val="auto"/>
        <w:rPr>
          <w:rFonts w:ascii="Times New Roman" w:hAnsi="Times New Roman"/>
          <w:bCs/>
          <w:szCs w:val="24"/>
        </w:rPr>
      </w:pPr>
      <w:r w:rsidRPr="00A86A7E">
        <w:rPr>
          <w:rFonts w:ascii="Times New Roman" w:hAnsi="Times New Roman"/>
          <w:bCs/>
          <w:szCs w:val="24"/>
        </w:rPr>
        <w:t>It is the responsibility of the commission to require a regulated utility to provide a level of service within its service area this year, next year, and in the foreseeable future; consonant with this responsibility the commission must approve utility rates that will produce enough revenue not only for operating expenses but also for the capital costs of the business.</w:t>
      </w:r>
      <w:r>
        <w:rPr>
          <w:rFonts w:ascii="Times New Roman" w:hAnsi="Times New Roman"/>
          <w:bCs/>
          <w:szCs w:val="24"/>
        </w:rPr>
        <w:t xml:space="preserve"> </w:t>
      </w:r>
      <w:r w:rsidRPr="00A86A7E">
        <w:rPr>
          <w:rFonts w:ascii="Times New Roman" w:hAnsi="Times New Roman"/>
          <w:bCs/>
          <w:szCs w:val="24"/>
        </w:rPr>
        <w:t>Capital for the business includes that required for current and future construction, and its costs include interest and dividends that must be paid to reasonably attract such capital.</w:t>
      </w:r>
      <w:r>
        <w:rPr>
          <w:rFonts w:ascii="Times New Roman" w:hAnsi="Times New Roman"/>
          <w:bCs/>
          <w:szCs w:val="24"/>
        </w:rPr>
        <w:t xml:space="preserve"> </w:t>
      </w:r>
    </w:p>
    <w:p w14:paraId="72BDD510" w14:textId="77777777" w:rsidR="00567CF4" w:rsidRDefault="00567CF4" w:rsidP="007D4BE3">
      <w:pPr>
        <w:widowControl/>
        <w:tabs>
          <w:tab w:val="left" w:pos="0"/>
        </w:tabs>
        <w:overflowPunct/>
        <w:autoSpaceDE/>
        <w:autoSpaceDN/>
        <w:adjustRightInd/>
        <w:ind w:right="720"/>
        <w:jc w:val="both"/>
        <w:textAlignment w:val="auto"/>
        <w:rPr>
          <w:rFonts w:ascii="Times New Roman" w:hAnsi="Times New Roman"/>
          <w:bCs/>
          <w:i/>
          <w:szCs w:val="24"/>
        </w:rPr>
      </w:pPr>
    </w:p>
    <w:p w14:paraId="26D8638E" w14:textId="4B7215DE" w:rsidR="00186C1F" w:rsidRDefault="00361F79" w:rsidP="007D4BE3">
      <w:pPr>
        <w:widowControl/>
        <w:tabs>
          <w:tab w:val="left" w:pos="0"/>
        </w:tabs>
        <w:overflowPunct/>
        <w:autoSpaceDE/>
        <w:autoSpaceDN/>
        <w:adjustRightInd/>
        <w:ind w:right="720"/>
        <w:jc w:val="both"/>
        <w:textAlignment w:val="auto"/>
        <w:rPr>
          <w:rFonts w:ascii="Times New Roman" w:hAnsi="Times New Roman"/>
          <w:bCs/>
          <w:szCs w:val="24"/>
        </w:rPr>
      </w:pPr>
      <w:r w:rsidRPr="00361F79">
        <w:rPr>
          <w:rFonts w:ascii="Times New Roman" w:hAnsi="Times New Roman"/>
          <w:bCs/>
          <w:i/>
          <w:szCs w:val="24"/>
        </w:rPr>
        <w:lastRenderedPageBreak/>
        <w:t>Georgia Power Co.</w:t>
      </w:r>
      <w:r w:rsidR="00377E8F">
        <w:rPr>
          <w:rFonts w:ascii="Times New Roman" w:hAnsi="Times New Roman"/>
          <w:bCs/>
          <w:i/>
          <w:szCs w:val="24"/>
        </w:rPr>
        <w:t xml:space="preserve"> </w:t>
      </w:r>
      <w:r w:rsidRPr="00361F79">
        <w:rPr>
          <w:rFonts w:ascii="Times New Roman" w:hAnsi="Times New Roman"/>
          <w:bCs/>
          <w:i/>
          <w:szCs w:val="24"/>
        </w:rPr>
        <w:t>v. Georgia Public Service Commission</w:t>
      </w:r>
      <w:r>
        <w:rPr>
          <w:rFonts w:ascii="Times New Roman" w:hAnsi="Times New Roman"/>
          <w:bCs/>
          <w:szCs w:val="24"/>
        </w:rPr>
        <w:t>, 231 Ga. 339, 344 (1973).</w:t>
      </w:r>
    </w:p>
    <w:p w14:paraId="34C1133A" w14:textId="77777777" w:rsidR="0032156E" w:rsidRPr="00186C1F" w:rsidRDefault="0032156E" w:rsidP="0032156E">
      <w:pPr>
        <w:widowControl/>
        <w:tabs>
          <w:tab w:val="left" w:pos="0"/>
        </w:tabs>
        <w:overflowPunct/>
        <w:autoSpaceDE/>
        <w:autoSpaceDN/>
        <w:adjustRightInd/>
        <w:ind w:left="1440" w:right="720"/>
        <w:jc w:val="both"/>
        <w:textAlignment w:val="auto"/>
        <w:rPr>
          <w:rFonts w:ascii="Times New Roman" w:hAnsi="Times New Roman"/>
          <w:bCs/>
          <w:szCs w:val="24"/>
        </w:rPr>
      </w:pPr>
    </w:p>
    <w:p w14:paraId="3F2AD695" w14:textId="4A8678F5" w:rsidR="00361F79" w:rsidRPr="000B756F" w:rsidRDefault="00186C1F"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361F79" w:rsidRPr="00186C1F">
        <w:rPr>
          <w:rFonts w:ascii="Times New Roman" w:hAnsi="Times New Roman"/>
          <w:szCs w:val="24"/>
        </w:rPr>
        <w:t>Given the Company</w:t>
      </w:r>
      <w:r w:rsidR="00361F79">
        <w:rPr>
          <w:rFonts w:ascii="Times New Roman" w:hAnsi="Times New Roman"/>
          <w:szCs w:val="24"/>
        </w:rPr>
        <w:t>’</w:t>
      </w:r>
      <w:r w:rsidR="00361F79" w:rsidRPr="00186C1F">
        <w:rPr>
          <w:rFonts w:ascii="Times New Roman" w:hAnsi="Times New Roman"/>
          <w:szCs w:val="24"/>
        </w:rPr>
        <w:t>s performance under the Commission</w:t>
      </w:r>
      <w:r w:rsidR="00361F79">
        <w:rPr>
          <w:rFonts w:ascii="Times New Roman" w:hAnsi="Times New Roman"/>
          <w:szCs w:val="24"/>
        </w:rPr>
        <w:t>’</w:t>
      </w:r>
      <w:r w:rsidR="00361F79" w:rsidRPr="00186C1F">
        <w:rPr>
          <w:rFonts w:ascii="Times New Roman" w:hAnsi="Times New Roman"/>
          <w:szCs w:val="24"/>
        </w:rPr>
        <w:t>s consistent regulation, the modifications and changes proposed by PIA Staff and Intervenors</w:t>
      </w:r>
      <w:r w:rsidR="00361F79">
        <w:rPr>
          <w:rFonts w:ascii="Times New Roman" w:hAnsi="Times New Roman"/>
          <w:szCs w:val="24"/>
        </w:rPr>
        <w:t xml:space="preserve"> </w:t>
      </w:r>
      <w:r w:rsidR="00361F79" w:rsidRPr="00186C1F">
        <w:rPr>
          <w:rFonts w:ascii="Times New Roman" w:hAnsi="Times New Roman"/>
          <w:szCs w:val="24"/>
        </w:rPr>
        <w:t xml:space="preserve">are </w:t>
      </w:r>
      <w:r w:rsidR="00361F79">
        <w:rPr>
          <w:rFonts w:ascii="Times New Roman" w:hAnsi="Times New Roman"/>
          <w:szCs w:val="24"/>
        </w:rPr>
        <w:t>inappropriately</w:t>
      </w:r>
      <w:r w:rsidR="00361F79" w:rsidRPr="00186C1F">
        <w:rPr>
          <w:rFonts w:ascii="Times New Roman" w:hAnsi="Times New Roman"/>
          <w:szCs w:val="24"/>
        </w:rPr>
        <w:t xml:space="preserve"> punitive. </w:t>
      </w:r>
      <w:r w:rsidR="00361F79">
        <w:rPr>
          <w:rFonts w:ascii="Times New Roman" w:hAnsi="Times New Roman"/>
          <w:szCs w:val="24"/>
        </w:rPr>
        <w:t>There is no support under Georgia law</w:t>
      </w:r>
      <w:r w:rsidR="007D4BE3">
        <w:rPr>
          <w:rFonts w:ascii="Times New Roman" w:hAnsi="Times New Roman"/>
          <w:szCs w:val="24"/>
        </w:rPr>
        <w:t xml:space="preserve">, </w:t>
      </w:r>
      <w:r w:rsidR="00361F79">
        <w:rPr>
          <w:rFonts w:ascii="Times New Roman" w:hAnsi="Times New Roman"/>
          <w:szCs w:val="24"/>
        </w:rPr>
        <w:t>the Commission’s regulatory precedent</w:t>
      </w:r>
      <w:r w:rsidR="003E385F">
        <w:rPr>
          <w:rFonts w:ascii="Times New Roman" w:hAnsi="Times New Roman"/>
          <w:szCs w:val="24"/>
        </w:rPr>
        <w:t>,</w:t>
      </w:r>
      <w:r w:rsidR="00361F79">
        <w:rPr>
          <w:rFonts w:ascii="Times New Roman" w:hAnsi="Times New Roman"/>
          <w:szCs w:val="24"/>
        </w:rPr>
        <w:t xml:space="preserve"> </w:t>
      </w:r>
      <w:r w:rsidR="007D4BE3">
        <w:rPr>
          <w:rFonts w:ascii="Times New Roman" w:hAnsi="Times New Roman"/>
          <w:szCs w:val="24"/>
        </w:rPr>
        <w:t>or</w:t>
      </w:r>
      <w:r w:rsidR="003E385F">
        <w:rPr>
          <w:rFonts w:ascii="Times New Roman" w:hAnsi="Times New Roman"/>
          <w:szCs w:val="24"/>
        </w:rPr>
        <w:t xml:space="preserve"> the</w:t>
      </w:r>
      <w:r w:rsidR="007D4BE3">
        <w:rPr>
          <w:rFonts w:ascii="Times New Roman" w:hAnsi="Times New Roman"/>
          <w:szCs w:val="24"/>
        </w:rPr>
        <w:t xml:space="preserve"> record in this proceeding</w:t>
      </w:r>
      <w:r w:rsidR="003E385F">
        <w:rPr>
          <w:rFonts w:ascii="Times New Roman" w:hAnsi="Times New Roman"/>
          <w:szCs w:val="24"/>
        </w:rPr>
        <w:t>,</w:t>
      </w:r>
      <w:r w:rsidR="007D4BE3">
        <w:rPr>
          <w:rFonts w:ascii="Times New Roman" w:hAnsi="Times New Roman"/>
          <w:szCs w:val="24"/>
        </w:rPr>
        <w:t xml:space="preserve"> </w:t>
      </w:r>
      <w:r w:rsidR="00361F79">
        <w:rPr>
          <w:rFonts w:ascii="Times New Roman" w:hAnsi="Times New Roman"/>
          <w:szCs w:val="24"/>
        </w:rPr>
        <w:t xml:space="preserve">for the proposition implicit in PIA Staff and certain Intervenor’s recommendations that rates should be set as low as possible under calculations that </w:t>
      </w:r>
      <w:r w:rsidR="0037296D">
        <w:rPr>
          <w:rFonts w:ascii="Times New Roman" w:hAnsi="Times New Roman"/>
          <w:szCs w:val="24"/>
        </w:rPr>
        <w:t>clearly threaten</w:t>
      </w:r>
      <w:r w:rsidR="00361F79">
        <w:rPr>
          <w:rFonts w:ascii="Times New Roman" w:hAnsi="Times New Roman"/>
          <w:szCs w:val="24"/>
        </w:rPr>
        <w:t xml:space="preserve"> credit downgrades. The calculational errors of PIA Staff</w:t>
      </w:r>
      <w:r w:rsidR="0037296D">
        <w:rPr>
          <w:rFonts w:ascii="Times New Roman" w:hAnsi="Times New Roman"/>
          <w:szCs w:val="24"/>
        </w:rPr>
        <w:t>’s</w:t>
      </w:r>
      <w:r w:rsidR="00361F79">
        <w:rPr>
          <w:rFonts w:ascii="Times New Roman" w:hAnsi="Times New Roman"/>
          <w:szCs w:val="24"/>
        </w:rPr>
        <w:t xml:space="preserve"> cost of capital witness, discussed below in Section </w:t>
      </w:r>
      <w:r w:rsidR="0037296D">
        <w:rPr>
          <w:rFonts w:ascii="Times New Roman" w:hAnsi="Times New Roman"/>
          <w:szCs w:val="24"/>
        </w:rPr>
        <w:t>IV(</w:t>
      </w:r>
      <w:r w:rsidR="00361F79">
        <w:rPr>
          <w:rFonts w:ascii="Times New Roman" w:hAnsi="Times New Roman"/>
          <w:szCs w:val="24"/>
        </w:rPr>
        <w:t>B</w:t>
      </w:r>
      <w:r w:rsidR="0037296D">
        <w:rPr>
          <w:rFonts w:ascii="Times New Roman" w:hAnsi="Times New Roman"/>
          <w:szCs w:val="24"/>
        </w:rPr>
        <w:t>)</w:t>
      </w:r>
      <w:r w:rsidR="00361F79">
        <w:rPr>
          <w:rFonts w:ascii="Times New Roman" w:hAnsi="Times New Roman"/>
          <w:szCs w:val="24"/>
        </w:rPr>
        <w:t xml:space="preserve">(3), demonstrate that his recommendations result in a much lower FFO to Debt ratio than </w:t>
      </w:r>
      <w:r w:rsidR="00377E8F">
        <w:rPr>
          <w:rFonts w:ascii="Times New Roman" w:hAnsi="Times New Roman"/>
          <w:szCs w:val="24"/>
        </w:rPr>
        <w:t>originally calculated</w:t>
      </w:r>
      <w:r w:rsidR="00361F79">
        <w:rPr>
          <w:rFonts w:ascii="Times New Roman" w:hAnsi="Times New Roman"/>
          <w:szCs w:val="24"/>
        </w:rPr>
        <w:t xml:space="preserve"> based </w:t>
      </w:r>
      <w:r w:rsidR="00361F79" w:rsidRPr="000B756F">
        <w:rPr>
          <w:rFonts w:ascii="Times New Roman" w:hAnsi="Times New Roman"/>
          <w:szCs w:val="24"/>
        </w:rPr>
        <w:t>on his faulty calculations. In fact, his FFO to Deb</w:t>
      </w:r>
      <w:r w:rsidR="00900B8B" w:rsidRPr="000B756F">
        <w:rPr>
          <w:rFonts w:ascii="Times New Roman" w:hAnsi="Times New Roman"/>
          <w:szCs w:val="24"/>
        </w:rPr>
        <w:t xml:space="preserve">t calculations are so </w:t>
      </w:r>
      <w:r w:rsidR="00361F79" w:rsidRPr="000B756F">
        <w:rPr>
          <w:rFonts w:ascii="Times New Roman" w:hAnsi="Times New Roman"/>
          <w:szCs w:val="24"/>
        </w:rPr>
        <w:t xml:space="preserve">low </w:t>
      </w:r>
      <w:r w:rsidR="00567CF4">
        <w:rPr>
          <w:rFonts w:ascii="Times New Roman" w:hAnsi="Times New Roman"/>
          <w:szCs w:val="24"/>
        </w:rPr>
        <w:t>that they are likely to</w:t>
      </w:r>
      <w:r w:rsidR="00361F79" w:rsidRPr="000B756F">
        <w:rPr>
          <w:rFonts w:ascii="Times New Roman" w:hAnsi="Times New Roman"/>
          <w:szCs w:val="24"/>
        </w:rPr>
        <w:t xml:space="preserve"> trigger a </w:t>
      </w:r>
      <w:r w:rsidR="00361F79" w:rsidRPr="00EC0096">
        <w:rPr>
          <w:rFonts w:ascii="Times New Roman" w:hAnsi="Times New Roman"/>
          <w:szCs w:val="24"/>
        </w:rPr>
        <w:t xml:space="preserve">credit downgrade. </w:t>
      </w:r>
      <w:r w:rsidR="00AC3147" w:rsidRPr="00EC0096">
        <w:rPr>
          <w:rFonts w:ascii="Times New Roman" w:hAnsi="Times New Roman"/>
          <w:szCs w:val="24"/>
        </w:rPr>
        <w:t>(</w:t>
      </w:r>
      <w:r w:rsidR="008324FB" w:rsidRPr="00EC0096">
        <w:rPr>
          <w:rFonts w:ascii="Times New Roman" w:hAnsi="Times New Roman"/>
          <w:i/>
          <w:szCs w:val="24"/>
        </w:rPr>
        <w:t xml:space="preserve">See Infra </w:t>
      </w:r>
      <w:r w:rsidR="008324FB" w:rsidRPr="00EC0096">
        <w:rPr>
          <w:rFonts w:ascii="Times New Roman" w:hAnsi="Times New Roman"/>
          <w:szCs w:val="24"/>
        </w:rPr>
        <w:t xml:space="preserve">Section </w:t>
      </w:r>
      <w:r w:rsidR="000B756F" w:rsidRPr="00EC0096">
        <w:rPr>
          <w:rFonts w:ascii="Times New Roman" w:hAnsi="Times New Roman"/>
          <w:szCs w:val="24"/>
        </w:rPr>
        <w:t>IV(B)(7).)</w:t>
      </w:r>
    </w:p>
    <w:p w14:paraId="566FFFB3" w14:textId="3E7BE946" w:rsidR="00186C1F" w:rsidRPr="00186C1F" w:rsidRDefault="00361F79"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5453C2">
        <w:rPr>
          <w:rFonts w:ascii="Times New Roman" w:hAnsi="Times New Roman"/>
          <w:szCs w:val="24"/>
        </w:rPr>
        <w:t>Moreover,</w:t>
      </w:r>
      <w:r w:rsidR="00186C1F" w:rsidRPr="00186C1F">
        <w:rPr>
          <w:rFonts w:ascii="Times New Roman" w:hAnsi="Times New Roman"/>
          <w:szCs w:val="24"/>
        </w:rPr>
        <w:t xml:space="preserve"> the parties </w:t>
      </w:r>
      <w:r w:rsidR="005453C2">
        <w:rPr>
          <w:rFonts w:ascii="Times New Roman" w:hAnsi="Times New Roman"/>
          <w:szCs w:val="24"/>
        </w:rPr>
        <w:t>advocating for these modifications</w:t>
      </w:r>
      <w:r w:rsidR="00186C1F" w:rsidRPr="00186C1F">
        <w:rPr>
          <w:rFonts w:ascii="Times New Roman" w:hAnsi="Times New Roman"/>
          <w:szCs w:val="24"/>
        </w:rPr>
        <w:t xml:space="preserve"> </w:t>
      </w:r>
      <w:r w:rsidR="005453C2">
        <w:rPr>
          <w:rFonts w:ascii="Times New Roman" w:hAnsi="Times New Roman"/>
          <w:szCs w:val="24"/>
        </w:rPr>
        <w:t>disregard</w:t>
      </w:r>
      <w:r w:rsidR="002A3C8F">
        <w:rPr>
          <w:rFonts w:ascii="Times New Roman" w:hAnsi="Times New Roman"/>
          <w:szCs w:val="24"/>
        </w:rPr>
        <w:t xml:space="preserve"> the</w:t>
      </w:r>
      <w:r w:rsidR="00186C1F" w:rsidRPr="00186C1F">
        <w:rPr>
          <w:rFonts w:ascii="Times New Roman" w:hAnsi="Times New Roman"/>
          <w:szCs w:val="24"/>
        </w:rPr>
        <w:t xml:space="preserve"> impact</w:t>
      </w:r>
      <w:r w:rsidR="005453C2">
        <w:rPr>
          <w:rFonts w:ascii="Times New Roman" w:hAnsi="Times New Roman"/>
          <w:szCs w:val="24"/>
        </w:rPr>
        <w:t xml:space="preserve"> that</w:t>
      </w:r>
      <w:r w:rsidR="00186C1F" w:rsidRPr="00186C1F">
        <w:rPr>
          <w:rFonts w:ascii="Times New Roman" w:hAnsi="Times New Roman"/>
          <w:szCs w:val="24"/>
        </w:rPr>
        <w:t xml:space="preserve"> their proposals would have on the Company</w:t>
      </w:r>
      <w:r w:rsidR="006F6CB0">
        <w:rPr>
          <w:rFonts w:ascii="Times New Roman" w:hAnsi="Times New Roman"/>
          <w:szCs w:val="24"/>
        </w:rPr>
        <w:t>’</w:t>
      </w:r>
      <w:r w:rsidR="00186C1F" w:rsidRPr="00186C1F">
        <w:rPr>
          <w:rFonts w:ascii="Times New Roman" w:hAnsi="Times New Roman"/>
          <w:szCs w:val="24"/>
        </w:rPr>
        <w:t>s ability to access capital markets and attract the substantial capital necessary to provide industry</w:t>
      </w:r>
      <w:r w:rsidR="00C40843">
        <w:rPr>
          <w:rFonts w:ascii="Times New Roman" w:hAnsi="Times New Roman"/>
          <w:szCs w:val="24"/>
        </w:rPr>
        <w:t>-</w:t>
      </w:r>
      <w:r w:rsidR="00186C1F" w:rsidRPr="00186C1F">
        <w:rPr>
          <w:rFonts w:ascii="Times New Roman" w:hAnsi="Times New Roman"/>
          <w:szCs w:val="24"/>
        </w:rPr>
        <w:t xml:space="preserve">leading customer service and comply with environmental mandates. Rating agencies look for consistent application of sound economic regulatory principles by utility regulators. </w:t>
      </w:r>
      <w:r w:rsidR="009F2930">
        <w:rPr>
          <w:rFonts w:ascii="Times New Roman" w:hAnsi="Times New Roman"/>
          <w:szCs w:val="24"/>
        </w:rPr>
        <w:t>(</w:t>
      </w:r>
      <w:r w:rsidR="007E0BE9">
        <w:rPr>
          <w:rFonts w:ascii="Times New Roman" w:hAnsi="Times New Roman"/>
          <w:szCs w:val="24"/>
        </w:rPr>
        <w:t>Tr. 561</w:t>
      </w:r>
      <w:r w:rsidR="00AF7656">
        <w:rPr>
          <w:rFonts w:ascii="Times New Roman" w:hAnsi="Times New Roman"/>
          <w:szCs w:val="24"/>
        </w:rPr>
        <w:t>, 2619</w:t>
      </w:r>
      <w:r w:rsidR="009F2930">
        <w:rPr>
          <w:rFonts w:ascii="Times New Roman" w:hAnsi="Times New Roman"/>
          <w:szCs w:val="24"/>
        </w:rPr>
        <w:t xml:space="preserve">.) </w:t>
      </w:r>
      <w:r w:rsidR="00186C1F" w:rsidRPr="00186C1F">
        <w:rPr>
          <w:rFonts w:ascii="Times New Roman" w:hAnsi="Times New Roman"/>
          <w:szCs w:val="24"/>
        </w:rPr>
        <w:t>In fact</w:t>
      </w:r>
      <w:r w:rsidR="002A3C8F">
        <w:rPr>
          <w:rFonts w:ascii="Times New Roman" w:hAnsi="Times New Roman"/>
          <w:szCs w:val="24"/>
        </w:rPr>
        <w:t>, the most recent opinions from</w:t>
      </w:r>
      <w:r w:rsidR="00186C1F" w:rsidRPr="00186C1F">
        <w:rPr>
          <w:rFonts w:ascii="Times New Roman" w:hAnsi="Times New Roman"/>
          <w:szCs w:val="24"/>
        </w:rPr>
        <w:t xml:space="preserve"> each of the three credit rating agencies reference their assessment of the “strength of the regulatory compact in Georgia,”</w:t>
      </w:r>
      <w:r w:rsidR="00186C1F" w:rsidRPr="00186C1F">
        <w:rPr>
          <w:rFonts w:ascii="Times New Roman" w:hAnsi="Times New Roman"/>
          <w:szCs w:val="24"/>
          <w:vertAlign w:val="superscript"/>
        </w:rPr>
        <w:footnoteReference w:id="1"/>
      </w:r>
      <w:r w:rsidR="00186C1F" w:rsidRPr="00186C1F">
        <w:rPr>
          <w:rFonts w:ascii="Times New Roman" w:hAnsi="Times New Roman"/>
          <w:szCs w:val="24"/>
        </w:rPr>
        <w:t xml:space="preserve"> </w:t>
      </w:r>
      <w:r w:rsidR="0037296D">
        <w:rPr>
          <w:rFonts w:ascii="Times New Roman" w:hAnsi="Times New Roman"/>
          <w:szCs w:val="24"/>
        </w:rPr>
        <w:t xml:space="preserve">their </w:t>
      </w:r>
      <w:r w:rsidR="00186C1F" w:rsidRPr="00186C1F">
        <w:rPr>
          <w:rFonts w:ascii="Times New Roman" w:hAnsi="Times New Roman"/>
          <w:szCs w:val="24"/>
        </w:rPr>
        <w:t>assumption that “the overall regulatory framework in Georgia will remain credit supportive,”</w:t>
      </w:r>
      <w:r w:rsidR="00186C1F" w:rsidRPr="00186C1F">
        <w:rPr>
          <w:rFonts w:ascii="Times New Roman" w:hAnsi="Times New Roman"/>
          <w:szCs w:val="24"/>
          <w:vertAlign w:val="superscript"/>
        </w:rPr>
        <w:footnoteReference w:id="2"/>
      </w:r>
      <w:r w:rsidR="00186C1F" w:rsidRPr="00186C1F">
        <w:rPr>
          <w:rFonts w:ascii="Times New Roman" w:hAnsi="Times New Roman"/>
          <w:szCs w:val="24"/>
        </w:rPr>
        <w:t xml:space="preserve"> and how </w:t>
      </w:r>
      <w:r w:rsidR="00EE3F21">
        <w:rPr>
          <w:rFonts w:ascii="Times New Roman" w:hAnsi="Times New Roman"/>
          <w:szCs w:val="24"/>
        </w:rPr>
        <w:t xml:space="preserve">current </w:t>
      </w:r>
      <w:r w:rsidR="00186C1F" w:rsidRPr="00186C1F">
        <w:rPr>
          <w:rFonts w:ascii="Times New Roman" w:hAnsi="Times New Roman"/>
          <w:szCs w:val="24"/>
        </w:rPr>
        <w:t xml:space="preserve">ratings reflect “constructive regulation in </w:t>
      </w:r>
      <w:r w:rsidR="00186C1F" w:rsidRPr="00AF7656">
        <w:rPr>
          <w:rFonts w:ascii="Times New Roman" w:hAnsi="Times New Roman"/>
          <w:szCs w:val="24"/>
        </w:rPr>
        <w:t>Georgia.”</w:t>
      </w:r>
      <w:r w:rsidR="00186C1F" w:rsidRPr="00AF7656">
        <w:rPr>
          <w:rFonts w:ascii="Times New Roman" w:hAnsi="Times New Roman"/>
          <w:szCs w:val="24"/>
          <w:vertAlign w:val="superscript"/>
        </w:rPr>
        <w:footnoteReference w:id="3"/>
      </w:r>
      <w:r w:rsidR="00186C1F" w:rsidRPr="00AF7656">
        <w:rPr>
          <w:rFonts w:ascii="Times New Roman" w:hAnsi="Times New Roman"/>
          <w:szCs w:val="24"/>
        </w:rPr>
        <w:t xml:space="preserve"> </w:t>
      </w:r>
      <w:r w:rsidR="009F2930" w:rsidRPr="00AF7656">
        <w:rPr>
          <w:rFonts w:ascii="Times New Roman" w:hAnsi="Times New Roman"/>
          <w:szCs w:val="24"/>
        </w:rPr>
        <w:t>(</w:t>
      </w:r>
      <w:r w:rsidR="00AF7656" w:rsidRPr="00AF7656">
        <w:rPr>
          <w:rFonts w:ascii="Times New Roman" w:hAnsi="Times New Roman"/>
          <w:szCs w:val="24"/>
        </w:rPr>
        <w:t>Tr. 2619-20</w:t>
      </w:r>
      <w:r w:rsidR="009F2930" w:rsidRPr="00AF7656">
        <w:rPr>
          <w:rFonts w:ascii="Times New Roman" w:hAnsi="Times New Roman"/>
          <w:szCs w:val="24"/>
        </w:rPr>
        <w:t xml:space="preserve">.) </w:t>
      </w:r>
      <w:r w:rsidR="00186C1F" w:rsidRPr="00AF7656">
        <w:rPr>
          <w:rFonts w:ascii="Times New Roman" w:hAnsi="Times New Roman"/>
          <w:szCs w:val="24"/>
        </w:rPr>
        <w:t>In</w:t>
      </w:r>
      <w:r w:rsidR="00186C1F" w:rsidRPr="00186C1F">
        <w:rPr>
          <w:rFonts w:ascii="Times New Roman" w:hAnsi="Times New Roman"/>
          <w:szCs w:val="24"/>
        </w:rPr>
        <w:t xml:space="preserve"> contrast, </w:t>
      </w:r>
      <w:r w:rsidR="00560EF7" w:rsidRPr="00186C1F">
        <w:rPr>
          <w:rFonts w:ascii="Times New Roman" w:hAnsi="Times New Roman"/>
          <w:szCs w:val="24"/>
        </w:rPr>
        <w:t xml:space="preserve">regulatory principles contrary to </w:t>
      </w:r>
      <w:r w:rsidR="00560EF7">
        <w:rPr>
          <w:rFonts w:ascii="Times New Roman" w:hAnsi="Times New Roman"/>
          <w:szCs w:val="24"/>
        </w:rPr>
        <w:t xml:space="preserve">constructive regulation </w:t>
      </w:r>
      <w:r w:rsidR="00560EF7" w:rsidRPr="00186C1F">
        <w:rPr>
          <w:rFonts w:ascii="Times New Roman" w:hAnsi="Times New Roman"/>
          <w:szCs w:val="24"/>
        </w:rPr>
        <w:t xml:space="preserve">would likely </w:t>
      </w:r>
      <w:r w:rsidR="00560EF7">
        <w:rPr>
          <w:rFonts w:ascii="Times New Roman" w:hAnsi="Times New Roman"/>
          <w:szCs w:val="24"/>
        </w:rPr>
        <w:t xml:space="preserve">lead to a decline in investor </w:t>
      </w:r>
      <w:r w:rsidR="004233D7">
        <w:rPr>
          <w:rFonts w:ascii="Times New Roman" w:hAnsi="Times New Roman"/>
          <w:szCs w:val="24"/>
        </w:rPr>
        <w:t>confidence</w:t>
      </w:r>
      <w:r w:rsidR="00560EF7">
        <w:rPr>
          <w:rFonts w:ascii="Times New Roman" w:hAnsi="Times New Roman"/>
          <w:szCs w:val="24"/>
        </w:rPr>
        <w:t xml:space="preserve">, credit ratings </w:t>
      </w:r>
      <w:r w:rsidR="00560EF7" w:rsidRPr="00186C1F">
        <w:rPr>
          <w:rFonts w:ascii="Times New Roman" w:hAnsi="Times New Roman"/>
          <w:szCs w:val="24"/>
        </w:rPr>
        <w:t>would suffer, and the utility</w:t>
      </w:r>
      <w:r w:rsidR="00560EF7">
        <w:rPr>
          <w:rFonts w:ascii="Times New Roman" w:hAnsi="Times New Roman"/>
          <w:szCs w:val="24"/>
        </w:rPr>
        <w:t>’</w:t>
      </w:r>
      <w:r w:rsidR="00560EF7" w:rsidRPr="00186C1F">
        <w:rPr>
          <w:rFonts w:ascii="Times New Roman" w:hAnsi="Times New Roman"/>
          <w:szCs w:val="24"/>
        </w:rPr>
        <w:t>s cost of capital would increase</w:t>
      </w:r>
      <w:r w:rsidR="00186C1F" w:rsidRPr="00186C1F">
        <w:rPr>
          <w:rFonts w:ascii="Times New Roman" w:hAnsi="Times New Roman"/>
          <w:szCs w:val="24"/>
        </w:rPr>
        <w:t xml:space="preserve">. </w:t>
      </w:r>
      <w:r w:rsidR="009F2930">
        <w:rPr>
          <w:rFonts w:ascii="Times New Roman" w:hAnsi="Times New Roman"/>
          <w:szCs w:val="24"/>
        </w:rPr>
        <w:t>(</w:t>
      </w:r>
      <w:r w:rsidR="00AF7656">
        <w:rPr>
          <w:rFonts w:ascii="Times New Roman" w:hAnsi="Times New Roman"/>
          <w:szCs w:val="24"/>
        </w:rPr>
        <w:t>Tr. 2619</w:t>
      </w:r>
      <w:r w:rsidR="009F2930">
        <w:rPr>
          <w:rFonts w:ascii="Times New Roman" w:hAnsi="Times New Roman"/>
          <w:szCs w:val="24"/>
        </w:rPr>
        <w:t>.)</w:t>
      </w:r>
    </w:p>
    <w:p w14:paraId="21B160F4" w14:textId="7777BAE6" w:rsidR="00186C1F" w:rsidRPr="00186C1F" w:rsidRDefault="00186C1F"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lastRenderedPageBreak/>
        <w:tab/>
      </w:r>
      <w:r w:rsidRPr="00186C1F">
        <w:rPr>
          <w:rFonts w:ascii="Times New Roman" w:hAnsi="Times New Roman"/>
          <w:szCs w:val="24"/>
        </w:rPr>
        <w:t>The combined effect of the recommendations by PIA Staff and some Intervenors</w:t>
      </w:r>
      <w:r w:rsidR="00560EF7">
        <w:rPr>
          <w:rFonts w:ascii="Times New Roman" w:hAnsi="Times New Roman"/>
          <w:szCs w:val="24"/>
        </w:rPr>
        <w:t xml:space="preserve"> to alter the Company’s proposal</w:t>
      </w:r>
      <w:r w:rsidRPr="00186C1F">
        <w:rPr>
          <w:rFonts w:ascii="Times New Roman" w:hAnsi="Times New Roman"/>
          <w:szCs w:val="24"/>
        </w:rPr>
        <w:t xml:space="preserve"> would result in a dramatic, negative reaction from investors and likely </w:t>
      </w:r>
      <w:r w:rsidR="002A3C8F">
        <w:rPr>
          <w:rFonts w:ascii="Times New Roman" w:hAnsi="Times New Roman"/>
          <w:szCs w:val="24"/>
        </w:rPr>
        <w:t xml:space="preserve">cause </w:t>
      </w:r>
      <w:r w:rsidRPr="00186C1F">
        <w:rPr>
          <w:rFonts w:ascii="Times New Roman" w:hAnsi="Times New Roman"/>
          <w:szCs w:val="24"/>
        </w:rPr>
        <w:t>downgrades of the Company</w:t>
      </w:r>
      <w:r w:rsidR="006F6CB0">
        <w:rPr>
          <w:rFonts w:ascii="Times New Roman" w:hAnsi="Times New Roman"/>
          <w:szCs w:val="24"/>
        </w:rPr>
        <w:t>’</w:t>
      </w:r>
      <w:r w:rsidRPr="00186C1F">
        <w:rPr>
          <w:rFonts w:ascii="Times New Roman" w:hAnsi="Times New Roman"/>
          <w:szCs w:val="24"/>
        </w:rPr>
        <w:t xml:space="preserve">s credit ratings – all of which would directly harm customers. </w:t>
      </w:r>
      <w:r w:rsidR="00900B8B">
        <w:rPr>
          <w:rFonts w:ascii="Times New Roman" w:hAnsi="Times New Roman"/>
          <w:szCs w:val="24"/>
        </w:rPr>
        <w:t>(</w:t>
      </w:r>
      <w:r w:rsidR="00AF7656">
        <w:rPr>
          <w:rFonts w:ascii="Times New Roman" w:hAnsi="Times New Roman"/>
          <w:szCs w:val="24"/>
        </w:rPr>
        <w:t>Tr. 2617</w:t>
      </w:r>
      <w:r w:rsidR="00900B8B">
        <w:rPr>
          <w:rFonts w:ascii="Times New Roman" w:hAnsi="Times New Roman"/>
          <w:szCs w:val="24"/>
        </w:rPr>
        <w:t xml:space="preserve">.) </w:t>
      </w:r>
      <w:r w:rsidRPr="00186C1F">
        <w:rPr>
          <w:rFonts w:ascii="Times New Roman" w:hAnsi="Times New Roman"/>
          <w:bCs/>
          <w:szCs w:val="24"/>
        </w:rPr>
        <w:t>The Company encourages th</w:t>
      </w:r>
      <w:r w:rsidR="00C40843">
        <w:rPr>
          <w:rFonts w:ascii="Times New Roman" w:hAnsi="Times New Roman"/>
          <w:bCs/>
          <w:szCs w:val="24"/>
        </w:rPr>
        <w:t>is</w:t>
      </w:r>
      <w:r w:rsidRPr="00186C1F">
        <w:rPr>
          <w:rFonts w:ascii="Times New Roman" w:hAnsi="Times New Roman"/>
          <w:bCs/>
          <w:szCs w:val="24"/>
        </w:rPr>
        <w:t xml:space="preserve"> Commission to continue </w:t>
      </w:r>
      <w:r w:rsidR="00C40843">
        <w:rPr>
          <w:rFonts w:ascii="Times New Roman" w:hAnsi="Times New Roman"/>
          <w:bCs/>
          <w:szCs w:val="24"/>
        </w:rPr>
        <w:t>fostering regulatory consistency</w:t>
      </w:r>
      <w:r w:rsidRPr="00186C1F">
        <w:rPr>
          <w:rFonts w:ascii="Times New Roman" w:hAnsi="Times New Roman"/>
          <w:bCs/>
          <w:szCs w:val="24"/>
        </w:rPr>
        <w:t xml:space="preserve"> and avoid drastic action that could disturb the balance</w:t>
      </w:r>
      <w:r w:rsidR="00C40843">
        <w:rPr>
          <w:rFonts w:ascii="Times New Roman" w:hAnsi="Times New Roman"/>
          <w:bCs/>
          <w:szCs w:val="24"/>
        </w:rPr>
        <w:t xml:space="preserve"> </w:t>
      </w:r>
      <w:r w:rsidRPr="00186C1F">
        <w:rPr>
          <w:rFonts w:ascii="Times New Roman" w:hAnsi="Times New Roman"/>
          <w:bCs/>
          <w:szCs w:val="24"/>
        </w:rPr>
        <w:t xml:space="preserve">this Commission has created, which has been proven to benefit </w:t>
      </w:r>
      <w:r w:rsidR="00560EF7">
        <w:rPr>
          <w:rFonts w:ascii="Times New Roman" w:hAnsi="Times New Roman"/>
          <w:bCs/>
          <w:szCs w:val="24"/>
        </w:rPr>
        <w:t>customers</w:t>
      </w:r>
      <w:r w:rsidRPr="00186C1F">
        <w:rPr>
          <w:rFonts w:ascii="Times New Roman" w:hAnsi="Times New Roman"/>
          <w:bCs/>
          <w:szCs w:val="24"/>
        </w:rPr>
        <w:t>.</w:t>
      </w:r>
    </w:p>
    <w:p w14:paraId="2CE12BD6" w14:textId="7D963288" w:rsidR="00186C1F" w:rsidRPr="00186C1F" w:rsidRDefault="00186C1F" w:rsidP="00A322F8">
      <w:pPr>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1" w:name="_Hlk26111354"/>
      <w:r>
        <w:rPr>
          <w:rFonts w:ascii="Times New Roman" w:hAnsi="Times New Roman"/>
          <w:b/>
          <w:szCs w:val="24"/>
        </w:rPr>
        <w:t>B.</w:t>
      </w:r>
      <w:r>
        <w:rPr>
          <w:rFonts w:ascii="Times New Roman" w:hAnsi="Times New Roman"/>
          <w:b/>
          <w:szCs w:val="24"/>
        </w:rPr>
        <w:tab/>
      </w:r>
      <w:r w:rsidR="00560EF7">
        <w:rPr>
          <w:rFonts w:ascii="Times New Roman" w:hAnsi="Times New Roman"/>
          <w:b/>
          <w:szCs w:val="24"/>
        </w:rPr>
        <w:t xml:space="preserve">The Commission Should </w:t>
      </w:r>
      <w:r w:rsidR="002878FB">
        <w:rPr>
          <w:rFonts w:ascii="Times New Roman" w:hAnsi="Times New Roman"/>
          <w:b/>
          <w:szCs w:val="24"/>
        </w:rPr>
        <w:t>A</w:t>
      </w:r>
      <w:r w:rsidR="00560EF7">
        <w:rPr>
          <w:rFonts w:ascii="Times New Roman" w:hAnsi="Times New Roman"/>
          <w:b/>
          <w:szCs w:val="24"/>
        </w:rPr>
        <w:t>dopt the Company’s Proposed ROE</w:t>
      </w:r>
      <w:r w:rsidR="00F0622E">
        <w:rPr>
          <w:rFonts w:ascii="Times New Roman" w:hAnsi="Times New Roman"/>
          <w:b/>
          <w:szCs w:val="24"/>
        </w:rPr>
        <w:t>, Cost of Capital</w:t>
      </w:r>
      <w:r w:rsidR="00560EF7">
        <w:rPr>
          <w:rFonts w:ascii="Times New Roman" w:hAnsi="Times New Roman"/>
          <w:b/>
          <w:szCs w:val="24"/>
        </w:rPr>
        <w:t xml:space="preserve"> and Capital Structure, and Reject </w:t>
      </w:r>
      <w:r w:rsidR="00C40843">
        <w:rPr>
          <w:rFonts w:ascii="Times New Roman" w:hAnsi="Times New Roman"/>
          <w:b/>
          <w:szCs w:val="24"/>
        </w:rPr>
        <w:t>PIA Staff’s</w:t>
      </w:r>
      <w:r w:rsidR="00560EF7">
        <w:rPr>
          <w:rFonts w:ascii="Times New Roman" w:hAnsi="Times New Roman"/>
          <w:b/>
          <w:szCs w:val="24"/>
        </w:rPr>
        <w:t xml:space="preserve"> ROE</w:t>
      </w:r>
      <w:r w:rsidR="00F0622E">
        <w:rPr>
          <w:rFonts w:ascii="Times New Roman" w:hAnsi="Times New Roman"/>
          <w:b/>
          <w:szCs w:val="24"/>
        </w:rPr>
        <w:t>, Cost of Capital</w:t>
      </w:r>
      <w:r w:rsidR="00734058">
        <w:rPr>
          <w:rFonts w:ascii="Times New Roman" w:hAnsi="Times New Roman"/>
          <w:b/>
          <w:szCs w:val="24"/>
        </w:rPr>
        <w:t>,</w:t>
      </w:r>
      <w:r w:rsidR="00560EF7">
        <w:rPr>
          <w:rFonts w:ascii="Times New Roman" w:hAnsi="Times New Roman"/>
          <w:b/>
          <w:szCs w:val="24"/>
        </w:rPr>
        <w:t xml:space="preserve"> and</w:t>
      </w:r>
      <w:r w:rsidR="00C40843">
        <w:rPr>
          <w:rFonts w:ascii="Times New Roman" w:hAnsi="Times New Roman"/>
          <w:b/>
          <w:szCs w:val="24"/>
        </w:rPr>
        <w:t xml:space="preserve"> Capital Structure Recommendations </w:t>
      </w:r>
      <w:r w:rsidR="00560EF7">
        <w:rPr>
          <w:rFonts w:ascii="Times New Roman" w:hAnsi="Times New Roman"/>
          <w:b/>
          <w:szCs w:val="24"/>
        </w:rPr>
        <w:t>to Avoid Jeopardizing</w:t>
      </w:r>
      <w:r w:rsidR="00C40843">
        <w:rPr>
          <w:rFonts w:ascii="Times New Roman" w:hAnsi="Times New Roman"/>
          <w:b/>
          <w:szCs w:val="24"/>
        </w:rPr>
        <w:t xml:space="preserve"> </w:t>
      </w:r>
      <w:r w:rsidRPr="00186C1F">
        <w:rPr>
          <w:rFonts w:ascii="Times New Roman" w:hAnsi="Times New Roman"/>
          <w:b/>
          <w:szCs w:val="24"/>
        </w:rPr>
        <w:t>Georgia Power</w:t>
      </w:r>
      <w:r w:rsidR="006F6CB0">
        <w:rPr>
          <w:rFonts w:ascii="Times New Roman" w:hAnsi="Times New Roman"/>
          <w:b/>
          <w:szCs w:val="24"/>
        </w:rPr>
        <w:t>’</w:t>
      </w:r>
      <w:r w:rsidRPr="00186C1F">
        <w:rPr>
          <w:rFonts w:ascii="Times New Roman" w:hAnsi="Times New Roman"/>
          <w:b/>
          <w:szCs w:val="24"/>
        </w:rPr>
        <w:t>s Financial Integrity.</w:t>
      </w:r>
    </w:p>
    <w:p w14:paraId="47CCB4CA" w14:textId="1C630BA8" w:rsidR="00560EF7" w:rsidRDefault="00533458" w:rsidP="004F6EC5">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2" w:name="_Hlk26111359"/>
      <w:bookmarkEnd w:id="1"/>
      <w:r>
        <w:rPr>
          <w:rFonts w:ascii="Times New Roman" w:hAnsi="Times New Roman"/>
          <w:szCs w:val="24"/>
        </w:rPr>
        <w:t>1.</w:t>
      </w:r>
      <w:r>
        <w:rPr>
          <w:rFonts w:ascii="Times New Roman" w:hAnsi="Times New Roman"/>
          <w:szCs w:val="24"/>
        </w:rPr>
        <w:tab/>
      </w:r>
      <w:r w:rsidR="008F4BDF" w:rsidRPr="00F91ACD">
        <w:rPr>
          <w:rFonts w:ascii="Times New Roman" w:hAnsi="Times New Roman"/>
          <w:szCs w:val="24"/>
          <w:u w:val="single"/>
        </w:rPr>
        <w:t xml:space="preserve">The Commission should adopt the Company’s proposed </w:t>
      </w:r>
      <w:r w:rsidR="004C4C67" w:rsidRPr="009C0523">
        <w:rPr>
          <w:rFonts w:ascii="Times New Roman" w:hAnsi="Times New Roman"/>
          <w:szCs w:val="24"/>
          <w:u w:val="single"/>
        </w:rPr>
        <w:t xml:space="preserve">capital structure </w:t>
      </w:r>
      <w:r w:rsidR="008F4BDF" w:rsidRPr="00F91ACD">
        <w:rPr>
          <w:rFonts w:ascii="Times New Roman" w:hAnsi="Times New Roman"/>
          <w:szCs w:val="24"/>
          <w:u w:val="single"/>
        </w:rPr>
        <w:t xml:space="preserve">and </w:t>
      </w:r>
      <w:r w:rsidR="00712BD7">
        <w:rPr>
          <w:rFonts w:ascii="Times New Roman" w:hAnsi="Times New Roman"/>
          <w:szCs w:val="24"/>
          <w:u w:val="single"/>
        </w:rPr>
        <w:t xml:space="preserve">the </w:t>
      </w:r>
      <w:r w:rsidR="004C4C67" w:rsidRPr="00EB39D3">
        <w:rPr>
          <w:rFonts w:ascii="Times New Roman" w:hAnsi="Times New Roman"/>
          <w:szCs w:val="24"/>
          <w:u w:val="single"/>
        </w:rPr>
        <w:t xml:space="preserve">ROE </w:t>
      </w:r>
      <w:r w:rsidR="008F4BDF" w:rsidRPr="00F91ACD">
        <w:rPr>
          <w:rFonts w:ascii="Times New Roman" w:hAnsi="Times New Roman"/>
          <w:szCs w:val="24"/>
          <w:u w:val="single"/>
        </w:rPr>
        <w:t>as calculated by Dr. Vander Weide</w:t>
      </w:r>
      <w:r w:rsidR="008F4BDF">
        <w:rPr>
          <w:rFonts w:ascii="Times New Roman" w:hAnsi="Times New Roman"/>
          <w:szCs w:val="24"/>
        </w:rPr>
        <w:t>.</w:t>
      </w:r>
    </w:p>
    <w:bookmarkEnd w:id="2"/>
    <w:p w14:paraId="134D5BEC" w14:textId="19CC16B2" w:rsidR="004F6EC5" w:rsidRDefault="00172E2F" w:rsidP="004F6EC5">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FE0883">
        <w:rPr>
          <w:rFonts w:ascii="Times New Roman" w:hAnsi="Times New Roman"/>
          <w:szCs w:val="24"/>
        </w:rPr>
        <w:t>T</w:t>
      </w:r>
      <w:r w:rsidR="00FE0883" w:rsidRPr="00FE0883">
        <w:rPr>
          <w:rFonts w:ascii="Times New Roman" w:hAnsi="Times New Roman"/>
          <w:szCs w:val="24"/>
        </w:rPr>
        <w:t>he Commission should adopt Dr. Vander Weide</w:t>
      </w:r>
      <w:r w:rsidR="00712BD7">
        <w:rPr>
          <w:rFonts w:ascii="Times New Roman" w:hAnsi="Times New Roman"/>
          <w:szCs w:val="24"/>
        </w:rPr>
        <w:t xml:space="preserve">’s </w:t>
      </w:r>
      <w:r w:rsidR="00FE0883" w:rsidRPr="00FE0883">
        <w:rPr>
          <w:rFonts w:ascii="Times New Roman" w:hAnsi="Times New Roman"/>
          <w:szCs w:val="24"/>
        </w:rPr>
        <w:t>ROE</w:t>
      </w:r>
      <w:r w:rsidR="00712BD7">
        <w:rPr>
          <w:rFonts w:ascii="Times New Roman" w:hAnsi="Times New Roman"/>
          <w:szCs w:val="24"/>
        </w:rPr>
        <w:t xml:space="preserve"> recommendation</w:t>
      </w:r>
      <w:r w:rsidR="00FE0883" w:rsidRPr="00FE0883">
        <w:rPr>
          <w:rFonts w:ascii="Times New Roman" w:hAnsi="Times New Roman"/>
          <w:szCs w:val="24"/>
        </w:rPr>
        <w:t xml:space="preserve"> and the </w:t>
      </w:r>
      <w:r w:rsidR="00712BD7">
        <w:rPr>
          <w:rFonts w:ascii="Times New Roman" w:hAnsi="Times New Roman"/>
          <w:szCs w:val="24"/>
        </w:rPr>
        <w:t>Company’s proposed</w:t>
      </w:r>
      <w:r w:rsidR="00712BD7" w:rsidRPr="00FE0883">
        <w:rPr>
          <w:rFonts w:ascii="Times New Roman" w:hAnsi="Times New Roman"/>
          <w:szCs w:val="24"/>
        </w:rPr>
        <w:t xml:space="preserve"> </w:t>
      </w:r>
      <w:r w:rsidR="00FE0883" w:rsidRPr="00FE0883">
        <w:rPr>
          <w:rFonts w:ascii="Times New Roman" w:hAnsi="Times New Roman"/>
          <w:szCs w:val="24"/>
        </w:rPr>
        <w:t xml:space="preserve">capital structure to ensure the Company can continue to access capital markets at reasonable rates and terms. </w:t>
      </w:r>
      <w:r w:rsidR="004C4C67">
        <w:rPr>
          <w:rFonts w:ascii="Times New Roman" w:hAnsi="Times New Roman"/>
          <w:szCs w:val="24"/>
        </w:rPr>
        <w:t>Georgia Power proposes that its capital structure containing</w:t>
      </w:r>
      <w:r w:rsidR="00712BD7">
        <w:rPr>
          <w:rFonts w:ascii="Times New Roman" w:hAnsi="Times New Roman"/>
          <w:szCs w:val="24"/>
        </w:rPr>
        <w:t xml:space="preserve"> approximately</w:t>
      </w:r>
      <w:r w:rsidR="004C4C67">
        <w:rPr>
          <w:rFonts w:ascii="Times New Roman" w:hAnsi="Times New Roman"/>
          <w:szCs w:val="24"/>
        </w:rPr>
        <w:t xml:space="preserve"> </w:t>
      </w:r>
      <w:r w:rsidR="00712BD7">
        <w:rPr>
          <w:rFonts w:ascii="Times New Roman" w:hAnsi="Times New Roman"/>
          <w:szCs w:val="24"/>
        </w:rPr>
        <w:t>44</w:t>
      </w:r>
      <w:r w:rsidR="004C4C67">
        <w:rPr>
          <w:rFonts w:ascii="Times New Roman" w:hAnsi="Times New Roman"/>
          <w:szCs w:val="24"/>
        </w:rPr>
        <w:t>% debt and 56% common equity be used for ratemaking purposes in this proceeding. (</w:t>
      </w:r>
      <w:r w:rsidR="00AF7656">
        <w:rPr>
          <w:rFonts w:ascii="Times New Roman" w:hAnsi="Times New Roman"/>
          <w:szCs w:val="24"/>
        </w:rPr>
        <w:t>Tr. 459, 501</w:t>
      </w:r>
      <w:r w:rsidR="004C4C67">
        <w:rPr>
          <w:rFonts w:ascii="Times New Roman" w:hAnsi="Times New Roman"/>
          <w:szCs w:val="24"/>
        </w:rPr>
        <w:t xml:space="preserve">.) </w:t>
      </w:r>
      <w:r w:rsidR="00556D73">
        <w:rPr>
          <w:rFonts w:ascii="Times New Roman" w:hAnsi="Times New Roman"/>
          <w:szCs w:val="24"/>
        </w:rPr>
        <w:t xml:space="preserve">Dr. Vander Weide analyzed the Discounted Cash Flow (DCF), Ex Ante Risk Premium, Ex Post Risk Premium, Capital Asset Pricing Model (“CAPM”) </w:t>
      </w:r>
      <w:r w:rsidR="004233D7">
        <w:rPr>
          <w:rFonts w:ascii="Times New Roman" w:hAnsi="Times New Roman"/>
          <w:szCs w:val="24"/>
        </w:rPr>
        <w:t>– Historical</w:t>
      </w:r>
      <w:r w:rsidR="00556D73">
        <w:rPr>
          <w:rFonts w:ascii="Times New Roman" w:hAnsi="Times New Roman"/>
          <w:szCs w:val="24"/>
        </w:rPr>
        <w:t xml:space="preserve">, CAPM – DCF Based, and Comparable Earnings cost of equity models for a comparable utility group and estimated the cost of equity to run from 9.3% to 11.7%, with an average of 10.4%. </w:t>
      </w:r>
      <w:r w:rsidR="009F2930">
        <w:rPr>
          <w:rFonts w:ascii="Times New Roman" w:hAnsi="Times New Roman"/>
          <w:szCs w:val="24"/>
        </w:rPr>
        <w:t>(</w:t>
      </w:r>
      <w:r w:rsidR="00DC4265">
        <w:rPr>
          <w:rFonts w:ascii="Times New Roman" w:hAnsi="Times New Roman"/>
          <w:szCs w:val="24"/>
        </w:rPr>
        <w:t>Tr. 500</w:t>
      </w:r>
      <w:r w:rsidR="009F2930">
        <w:rPr>
          <w:rFonts w:ascii="Times New Roman" w:hAnsi="Times New Roman"/>
          <w:szCs w:val="24"/>
        </w:rPr>
        <w:t xml:space="preserve">.) </w:t>
      </w:r>
      <w:r w:rsidR="00556D73">
        <w:rPr>
          <w:rFonts w:ascii="Times New Roman" w:hAnsi="Times New Roman"/>
          <w:szCs w:val="24"/>
        </w:rPr>
        <w:t>Dr. Vander Weide</w:t>
      </w:r>
      <w:r w:rsidR="00E85527">
        <w:rPr>
          <w:rFonts w:ascii="Times New Roman" w:hAnsi="Times New Roman"/>
          <w:szCs w:val="24"/>
        </w:rPr>
        <w:t xml:space="preserve"> then</w:t>
      </w:r>
      <w:r w:rsidR="00556D73">
        <w:rPr>
          <w:rFonts w:ascii="Times New Roman" w:hAnsi="Times New Roman"/>
          <w:szCs w:val="24"/>
        </w:rPr>
        <w:t xml:space="preserve"> adjusted the 10.4% average cost of equity to reflect </w:t>
      </w:r>
      <w:r w:rsidR="00E85527">
        <w:rPr>
          <w:rFonts w:ascii="Times New Roman" w:hAnsi="Times New Roman"/>
          <w:szCs w:val="24"/>
        </w:rPr>
        <w:t xml:space="preserve">the greater financial risk in the Company’s proposed capital structure to ensure Georgia Power has the same </w:t>
      </w:r>
      <w:r w:rsidR="00712BD7">
        <w:rPr>
          <w:rFonts w:ascii="Times New Roman" w:hAnsi="Times New Roman"/>
          <w:szCs w:val="24"/>
        </w:rPr>
        <w:t>weighted aver</w:t>
      </w:r>
      <w:r w:rsidR="00ED17CE">
        <w:rPr>
          <w:rFonts w:ascii="Times New Roman" w:hAnsi="Times New Roman"/>
          <w:szCs w:val="24"/>
        </w:rPr>
        <w:t>age cost of capital (“</w:t>
      </w:r>
      <w:r w:rsidR="00E85527">
        <w:rPr>
          <w:rFonts w:ascii="Times New Roman" w:hAnsi="Times New Roman"/>
          <w:szCs w:val="24"/>
        </w:rPr>
        <w:t>WACC</w:t>
      </w:r>
      <w:r w:rsidR="00ED17CE">
        <w:rPr>
          <w:rFonts w:ascii="Times New Roman" w:hAnsi="Times New Roman"/>
          <w:szCs w:val="24"/>
        </w:rPr>
        <w:t>”)</w:t>
      </w:r>
      <w:r w:rsidR="00E85527">
        <w:rPr>
          <w:rFonts w:ascii="Times New Roman" w:hAnsi="Times New Roman"/>
          <w:szCs w:val="24"/>
        </w:rPr>
        <w:t xml:space="preserve"> as the average cost of capital for the proxy group. </w:t>
      </w:r>
      <w:r w:rsidR="009F2930">
        <w:rPr>
          <w:rFonts w:ascii="Times New Roman" w:hAnsi="Times New Roman"/>
          <w:szCs w:val="24"/>
        </w:rPr>
        <w:t>(</w:t>
      </w:r>
      <w:r w:rsidR="00DC4265">
        <w:rPr>
          <w:rFonts w:ascii="Times New Roman" w:hAnsi="Times New Roman"/>
          <w:szCs w:val="24"/>
        </w:rPr>
        <w:t>Tr. 501-</w:t>
      </w:r>
      <w:r w:rsidR="00734058">
        <w:rPr>
          <w:rFonts w:ascii="Times New Roman" w:hAnsi="Times New Roman"/>
          <w:szCs w:val="24"/>
        </w:rPr>
        <w:t>0</w:t>
      </w:r>
      <w:r w:rsidR="00DC4265">
        <w:rPr>
          <w:rFonts w:ascii="Times New Roman" w:hAnsi="Times New Roman"/>
          <w:szCs w:val="24"/>
        </w:rPr>
        <w:t>2</w:t>
      </w:r>
      <w:r w:rsidR="009F2930">
        <w:rPr>
          <w:rFonts w:ascii="Times New Roman" w:hAnsi="Times New Roman"/>
          <w:szCs w:val="24"/>
        </w:rPr>
        <w:t xml:space="preserve">.) </w:t>
      </w:r>
      <w:r w:rsidR="00E85527">
        <w:rPr>
          <w:rFonts w:ascii="Times New Roman" w:hAnsi="Times New Roman"/>
          <w:szCs w:val="24"/>
        </w:rPr>
        <w:t xml:space="preserve">As such, Dr. Vander Weide recommends an allowed ROE equal to 10.9% for Georgia </w:t>
      </w:r>
      <w:r w:rsidR="00E85527">
        <w:rPr>
          <w:rFonts w:ascii="Times New Roman" w:hAnsi="Times New Roman"/>
          <w:szCs w:val="24"/>
        </w:rPr>
        <w:lastRenderedPageBreak/>
        <w:t xml:space="preserve">Power in this proceeding. </w:t>
      </w:r>
      <w:r w:rsidR="009F2930">
        <w:rPr>
          <w:rFonts w:ascii="Times New Roman" w:hAnsi="Times New Roman"/>
          <w:szCs w:val="24"/>
        </w:rPr>
        <w:t>(</w:t>
      </w:r>
      <w:r w:rsidR="00DC4265">
        <w:rPr>
          <w:rFonts w:ascii="Times New Roman" w:hAnsi="Times New Roman"/>
          <w:szCs w:val="24"/>
        </w:rPr>
        <w:t>Tr. 502</w:t>
      </w:r>
      <w:r w:rsidR="009F2930">
        <w:rPr>
          <w:rFonts w:ascii="Times New Roman" w:hAnsi="Times New Roman"/>
          <w:szCs w:val="24"/>
        </w:rPr>
        <w:t xml:space="preserve">.) </w:t>
      </w:r>
      <w:r w:rsidR="00E85527">
        <w:rPr>
          <w:rFonts w:ascii="Times New Roman" w:hAnsi="Times New Roman"/>
          <w:szCs w:val="24"/>
        </w:rPr>
        <w:t>A 10.9% ROE is a</w:t>
      </w:r>
      <w:r w:rsidR="00E85527" w:rsidRPr="00E85527">
        <w:rPr>
          <w:rFonts w:ascii="Times New Roman" w:hAnsi="Times New Roman"/>
          <w:szCs w:val="24"/>
        </w:rPr>
        <w:t xml:space="preserve"> fair</w:t>
      </w:r>
      <w:r w:rsidR="00E85527">
        <w:rPr>
          <w:rFonts w:ascii="Times New Roman" w:hAnsi="Times New Roman"/>
          <w:szCs w:val="24"/>
        </w:rPr>
        <w:t>, forward</w:t>
      </w:r>
      <w:r w:rsidR="00567CF4">
        <w:rPr>
          <w:rFonts w:ascii="Times New Roman" w:hAnsi="Times New Roman"/>
          <w:szCs w:val="24"/>
        </w:rPr>
        <w:t>-</w:t>
      </w:r>
      <w:r w:rsidR="00E85527">
        <w:rPr>
          <w:rFonts w:ascii="Times New Roman" w:hAnsi="Times New Roman"/>
          <w:szCs w:val="24"/>
        </w:rPr>
        <w:t>looking</w:t>
      </w:r>
      <w:r w:rsidR="00E85527" w:rsidRPr="00E85527">
        <w:rPr>
          <w:rFonts w:ascii="Times New Roman" w:hAnsi="Times New Roman"/>
          <w:szCs w:val="24"/>
        </w:rPr>
        <w:t xml:space="preserve"> rate of return on equity that provides </w:t>
      </w:r>
      <w:r w:rsidR="00E85527">
        <w:rPr>
          <w:rFonts w:ascii="Times New Roman" w:hAnsi="Times New Roman"/>
          <w:szCs w:val="24"/>
        </w:rPr>
        <w:t>the Company</w:t>
      </w:r>
      <w:r w:rsidR="00E85527" w:rsidRPr="00E85527">
        <w:rPr>
          <w:rFonts w:ascii="Times New Roman" w:hAnsi="Times New Roman"/>
          <w:szCs w:val="24"/>
        </w:rPr>
        <w:t xml:space="preserve"> with an opportunity to earn a return on its investment over the period in which rates are in effect commensurate with returns that investors expect to earn on other investments of similar risk. </w:t>
      </w:r>
      <w:r w:rsidR="005769CD">
        <w:rPr>
          <w:rFonts w:ascii="Times New Roman" w:hAnsi="Times New Roman"/>
          <w:szCs w:val="24"/>
        </w:rPr>
        <w:t>As Company Witness Fetter noted, the Commission should maintain Georgia Power’s equity level and authorized ROE no lower than current levels: 55% and 10.95%, respectively</w:t>
      </w:r>
      <w:r w:rsidR="00567CF4">
        <w:rPr>
          <w:rFonts w:ascii="Times New Roman" w:hAnsi="Times New Roman"/>
          <w:szCs w:val="24"/>
        </w:rPr>
        <w:t>,</w:t>
      </w:r>
      <w:r w:rsidR="005769CD">
        <w:rPr>
          <w:rFonts w:ascii="Times New Roman" w:hAnsi="Times New Roman"/>
          <w:szCs w:val="24"/>
        </w:rPr>
        <w:t xml:space="preserve"> in order to maintain the Company’s financial integrity.</w:t>
      </w:r>
      <w:r w:rsidR="00EE3F21">
        <w:rPr>
          <w:rFonts w:ascii="Times New Roman" w:hAnsi="Times New Roman"/>
          <w:szCs w:val="24"/>
        </w:rPr>
        <w:t xml:space="preserve"> (Tr. 2817.)</w:t>
      </w:r>
      <w:bookmarkStart w:id="3" w:name="_Hlk26111442"/>
    </w:p>
    <w:p w14:paraId="555B7740" w14:textId="1CA8D057" w:rsidR="00186C1F" w:rsidRPr="00186C1F" w:rsidRDefault="00560EF7" w:rsidP="004F6EC5">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r>
        <w:rPr>
          <w:rFonts w:ascii="Times New Roman" w:hAnsi="Times New Roman"/>
          <w:szCs w:val="24"/>
        </w:rPr>
        <w:t>2.</w:t>
      </w:r>
      <w:r>
        <w:rPr>
          <w:rFonts w:ascii="Times New Roman" w:hAnsi="Times New Roman"/>
          <w:szCs w:val="24"/>
        </w:rPr>
        <w:tab/>
      </w:r>
      <w:r w:rsidR="00186C1F" w:rsidRPr="006C2783">
        <w:rPr>
          <w:rFonts w:ascii="Times New Roman" w:hAnsi="Times New Roman"/>
          <w:szCs w:val="24"/>
          <w:u w:val="single"/>
        </w:rPr>
        <w:t>PIA Staff</w:t>
      </w:r>
      <w:r w:rsidR="006F6CB0">
        <w:rPr>
          <w:rFonts w:ascii="Times New Roman" w:hAnsi="Times New Roman"/>
          <w:szCs w:val="24"/>
          <w:u w:val="single"/>
        </w:rPr>
        <w:t>’</w:t>
      </w:r>
      <w:r w:rsidR="00186C1F" w:rsidRPr="006C2783">
        <w:rPr>
          <w:rFonts w:ascii="Times New Roman" w:hAnsi="Times New Roman"/>
          <w:szCs w:val="24"/>
          <w:u w:val="single"/>
        </w:rPr>
        <w:t xml:space="preserve">s </w:t>
      </w:r>
      <w:r w:rsidR="006C2783" w:rsidRPr="006C2783">
        <w:rPr>
          <w:rFonts w:ascii="Times New Roman" w:hAnsi="Times New Roman"/>
          <w:szCs w:val="24"/>
          <w:u w:val="single"/>
        </w:rPr>
        <w:t xml:space="preserve">recommended </w:t>
      </w:r>
      <w:r w:rsidR="00C40843">
        <w:rPr>
          <w:rFonts w:ascii="Times New Roman" w:hAnsi="Times New Roman"/>
          <w:szCs w:val="24"/>
          <w:u w:val="single"/>
        </w:rPr>
        <w:t>ROE</w:t>
      </w:r>
      <w:r w:rsidR="006C2783" w:rsidRPr="006C2783">
        <w:rPr>
          <w:rFonts w:ascii="Times New Roman" w:hAnsi="Times New Roman"/>
          <w:szCs w:val="24"/>
          <w:u w:val="single"/>
        </w:rPr>
        <w:t xml:space="preserve"> reduction is drastic, unprecedented, and punitive</w:t>
      </w:r>
      <w:r w:rsidR="00186C1F" w:rsidRPr="00186C1F">
        <w:rPr>
          <w:rFonts w:ascii="Times New Roman" w:hAnsi="Times New Roman"/>
          <w:szCs w:val="24"/>
        </w:rPr>
        <w:t>.</w:t>
      </w:r>
    </w:p>
    <w:bookmarkEnd w:id="3"/>
    <w:p w14:paraId="30FAA92B" w14:textId="2BE7661E"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i/>
          <w:szCs w:val="24"/>
        </w:rPr>
      </w:pPr>
      <w:r>
        <w:rPr>
          <w:rFonts w:ascii="Times New Roman" w:hAnsi="Times New Roman"/>
          <w:szCs w:val="24"/>
        </w:rPr>
        <w:tab/>
      </w:r>
      <w:r w:rsidR="00186C1F" w:rsidRPr="00186C1F">
        <w:rPr>
          <w:rFonts w:ascii="Times New Roman" w:hAnsi="Times New Roman"/>
          <w:szCs w:val="24"/>
        </w:rPr>
        <w:t>PIA Staff and several Intervenor recommendations to lower the Company</w:t>
      </w:r>
      <w:r w:rsidR="006F6CB0">
        <w:rPr>
          <w:rFonts w:ascii="Times New Roman" w:hAnsi="Times New Roman"/>
          <w:szCs w:val="24"/>
        </w:rPr>
        <w:t>’</w:t>
      </w:r>
      <w:r w:rsidR="00186C1F" w:rsidRPr="00186C1F">
        <w:rPr>
          <w:rFonts w:ascii="Times New Roman" w:hAnsi="Times New Roman"/>
          <w:szCs w:val="24"/>
        </w:rPr>
        <w:t>s ROE by at least 175 basis points is drastic and unwarranted. The ROE reduction proposed by PIA Staff and Intervenors</w:t>
      </w:r>
      <w:r w:rsidR="00186C1F" w:rsidRPr="00186C1F">
        <w:rPr>
          <w:rFonts w:ascii="Times New Roman" w:hAnsi="Times New Roman"/>
          <w:bCs/>
          <w:szCs w:val="24"/>
        </w:rPr>
        <w:t xml:space="preserve"> would represent the largest ROE reduction for any utility over the past several decades</w:t>
      </w:r>
      <w:r w:rsidR="002A3C8F">
        <w:rPr>
          <w:rFonts w:ascii="Times New Roman" w:hAnsi="Times New Roman"/>
          <w:bCs/>
          <w:szCs w:val="24"/>
        </w:rPr>
        <w:t>,</w:t>
      </w:r>
      <w:r w:rsidR="00186C1F" w:rsidRPr="00186C1F">
        <w:rPr>
          <w:rFonts w:ascii="Times New Roman" w:hAnsi="Times New Roman"/>
          <w:bCs/>
          <w:szCs w:val="24"/>
        </w:rPr>
        <w:t xml:space="preserve"> notwithstanding the Company</w:t>
      </w:r>
      <w:r w:rsidR="006F6CB0">
        <w:rPr>
          <w:rFonts w:ascii="Times New Roman" w:hAnsi="Times New Roman"/>
          <w:bCs/>
          <w:szCs w:val="24"/>
        </w:rPr>
        <w:t>’</w:t>
      </w:r>
      <w:r w:rsidR="00186C1F" w:rsidRPr="00186C1F">
        <w:rPr>
          <w:rFonts w:ascii="Times New Roman" w:hAnsi="Times New Roman"/>
          <w:bCs/>
          <w:szCs w:val="24"/>
        </w:rPr>
        <w:t xml:space="preserve">s exemplary performance over the past six years since rates were last set. </w:t>
      </w:r>
      <w:r w:rsidR="00186C1F" w:rsidRPr="00186C1F">
        <w:rPr>
          <w:rFonts w:ascii="Times New Roman" w:hAnsi="Times New Roman"/>
          <w:szCs w:val="24"/>
        </w:rPr>
        <w:t xml:space="preserve">A </w:t>
      </w:r>
      <w:r w:rsidR="0048458F" w:rsidRPr="00186C1F">
        <w:rPr>
          <w:rFonts w:ascii="Times New Roman" w:hAnsi="Times New Roman"/>
          <w:szCs w:val="24"/>
        </w:rPr>
        <w:t>175-basis</w:t>
      </w:r>
      <w:r w:rsidR="00186C1F" w:rsidRPr="00186C1F">
        <w:rPr>
          <w:rFonts w:ascii="Times New Roman" w:hAnsi="Times New Roman"/>
          <w:szCs w:val="24"/>
        </w:rPr>
        <w:t xml:space="preserve"> point reduction in ROE is </w:t>
      </w:r>
      <w:r w:rsidR="002A3C8F">
        <w:rPr>
          <w:rFonts w:ascii="Times New Roman" w:hAnsi="Times New Roman"/>
          <w:szCs w:val="24"/>
        </w:rPr>
        <w:t>not consistent</w:t>
      </w:r>
      <w:r w:rsidR="002A3C8F" w:rsidRPr="00186C1F">
        <w:rPr>
          <w:rFonts w:ascii="Times New Roman" w:hAnsi="Times New Roman"/>
          <w:szCs w:val="24"/>
        </w:rPr>
        <w:t xml:space="preserve"> </w:t>
      </w:r>
      <w:r w:rsidR="00186C1F" w:rsidRPr="00186C1F">
        <w:rPr>
          <w:rFonts w:ascii="Times New Roman" w:hAnsi="Times New Roman"/>
          <w:szCs w:val="24"/>
        </w:rPr>
        <w:t>with utility</w:t>
      </w:r>
      <w:r w:rsidR="003075E4">
        <w:rPr>
          <w:rFonts w:ascii="Times New Roman" w:hAnsi="Times New Roman"/>
          <w:szCs w:val="24"/>
        </w:rPr>
        <w:t xml:space="preserve"> performance</w:t>
      </w:r>
      <w:r w:rsidR="00186C1F" w:rsidRPr="00186C1F">
        <w:rPr>
          <w:rFonts w:ascii="Times New Roman" w:hAnsi="Times New Roman"/>
          <w:szCs w:val="24"/>
        </w:rPr>
        <w:t xml:space="preserve"> that exceeds customer and investor expectations. </w:t>
      </w:r>
      <w:r w:rsidR="00186C1F" w:rsidRPr="00186C1F">
        <w:rPr>
          <w:rFonts w:ascii="Times New Roman" w:hAnsi="Times New Roman"/>
          <w:bCs/>
          <w:szCs w:val="24"/>
        </w:rPr>
        <w:t>Since 2013, t</w:t>
      </w:r>
      <w:r w:rsidR="00186C1F" w:rsidRPr="00186C1F">
        <w:rPr>
          <w:rFonts w:ascii="Times New Roman" w:hAnsi="Times New Roman"/>
          <w:szCs w:val="24"/>
        </w:rPr>
        <w:t xml:space="preserve">he Company has performed well, delivering clean, safe, reliable and affordable electricity to customers while striving to find efficiencies and foster innovation. </w:t>
      </w:r>
      <w:r w:rsidR="009F2930">
        <w:rPr>
          <w:rFonts w:ascii="Times New Roman" w:hAnsi="Times New Roman"/>
          <w:szCs w:val="24"/>
        </w:rPr>
        <w:t>(</w:t>
      </w:r>
      <w:r w:rsidR="00450AB2">
        <w:rPr>
          <w:rFonts w:ascii="Times New Roman" w:hAnsi="Times New Roman"/>
          <w:i/>
          <w:szCs w:val="24"/>
        </w:rPr>
        <w:t xml:space="preserve">See </w:t>
      </w:r>
      <w:r w:rsidR="00450AB2">
        <w:rPr>
          <w:rFonts w:ascii="Times New Roman" w:hAnsi="Times New Roman"/>
          <w:szCs w:val="24"/>
        </w:rPr>
        <w:t xml:space="preserve">Tr. </w:t>
      </w:r>
      <w:r w:rsidR="00450AB2" w:rsidRPr="00450AB2">
        <w:rPr>
          <w:rFonts w:ascii="Times New Roman" w:hAnsi="Times New Roman"/>
          <w:szCs w:val="24"/>
        </w:rPr>
        <w:t>26</w:t>
      </w:r>
      <w:r w:rsidR="00450AB2">
        <w:rPr>
          <w:rFonts w:ascii="Times New Roman" w:hAnsi="Times New Roman"/>
          <w:szCs w:val="24"/>
        </w:rPr>
        <w:t>78</w:t>
      </w:r>
      <w:r w:rsidR="009F2930">
        <w:rPr>
          <w:rFonts w:ascii="Times New Roman" w:hAnsi="Times New Roman"/>
          <w:szCs w:val="24"/>
        </w:rPr>
        <w:t xml:space="preserve">.) </w:t>
      </w:r>
      <w:r w:rsidR="00186C1F" w:rsidRPr="00186C1F">
        <w:rPr>
          <w:rFonts w:ascii="Times New Roman" w:hAnsi="Times New Roman"/>
          <w:szCs w:val="24"/>
        </w:rPr>
        <w:t>The ROE reductions proposed by Mr. Gorman and Ms. Reno would signify a dramatic departure from the gradual approach employed by this Commission over the past several rate cases</w:t>
      </w:r>
      <w:r w:rsidR="008F4BDF">
        <w:rPr>
          <w:rFonts w:ascii="Times New Roman" w:hAnsi="Times New Roman"/>
          <w:szCs w:val="24"/>
        </w:rPr>
        <w:t xml:space="preserve"> and would undo the steps the Commission took in 2018 to address the Tax Reform Act and protect the Company’s credit quality from the stresses placed on it by tax reform</w:t>
      </w:r>
      <w:r w:rsidR="00186C1F" w:rsidRPr="00186C1F">
        <w:rPr>
          <w:rFonts w:ascii="Times New Roman" w:hAnsi="Times New Roman"/>
          <w:szCs w:val="24"/>
        </w:rPr>
        <w:t xml:space="preserve">. </w:t>
      </w:r>
      <w:r w:rsidR="00C40843">
        <w:rPr>
          <w:rFonts w:ascii="Times New Roman" w:hAnsi="Times New Roman"/>
          <w:szCs w:val="24"/>
        </w:rPr>
        <w:t>The capital markets would surely view such a reduction negatively as</w:t>
      </w:r>
      <w:r w:rsidR="00186C1F" w:rsidRPr="00186C1F">
        <w:rPr>
          <w:rFonts w:ascii="Times New Roman" w:hAnsi="Times New Roman"/>
          <w:szCs w:val="24"/>
        </w:rPr>
        <w:t xml:space="preserve"> it would </w:t>
      </w:r>
      <w:r w:rsidR="00C40843">
        <w:rPr>
          <w:rFonts w:ascii="Times New Roman" w:hAnsi="Times New Roman"/>
          <w:szCs w:val="24"/>
        </w:rPr>
        <w:t>represent</w:t>
      </w:r>
      <w:r w:rsidR="00186C1F" w:rsidRPr="00186C1F">
        <w:rPr>
          <w:rFonts w:ascii="Times New Roman" w:hAnsi="Times New Roman"/>
          <w:szCs w:val="24"/>
        </w:rPr>
        <w:t xml:space="preserve"> a radical and dramatic </w:t>
      </w:r>
      <w:r w:rsidR="00C40843">
        <w:rPr>
          <w:rFonts w:ascii="Times New Roman" w:hAnsi="Times New Roman"/>
          <w:szCs w:val="24"/>
        </w:rPr>
        <w:t>departure</w:t>
      </w:r>
      <w:r w:rsidR="00186C1F" w:rsidRPr="00186C1F">
        <w:rPr>
          <w:rFonts w:ascii="Times New Roman" w:hAnsi="Times New Roman"/>
          <w:szCs w:val="24"/>
        </w:rPr>
        <w:t xml:space="preserve"> from the consistent and historically constructive regulation for which this Commission has a reputation – one where excellence is recognized and rewarded, not punished.</w:t>
      </w:r>
    </w:p>
    <w:p w14:paraId="1B38A513" w14:textId="2510ABB3" w:rsid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lastRenderedPageBreak/>
        <w:tab/>
      </w:r>
      <w:r w:rsidR="00900B8B">
        <w:rPr>
          <w:rFonts w:ascii="Times New Roman" w:hAnsi="Times New Roman"/>
          <w:szCs w:val="24"/>
        </w:rPr>
        <w:t>The Company’s proposed ARP includes a</w:t>
      </w:r>
      <w:r w:rsidR="00567CF4">
        <w:rPr>
          <w:rFonts w:ascii="Times New Roman" w:hAnsi="Times New Roman"/>
          <w:szCs w:val="24"/>
        </w:rPr>
        <w:t>n</w:t>
      </w:r>
      <w:r w:rsidR="00900B8B">
        <w:rPr>
          <w:rFonts w:ascii="Times New Roman" w:hAnsi="Times New Roman"/>
          <w:szCs w:val="24"/>
        </w:rPr>
        <w:t xml:space="preserve"> ROE only slightly higher than the average projected by Value</w:t>
      </w:r>
      <w:r w:rsidR="00A83F5E">
        <w:rPr>
          <w:rFonts w:ascii="Times New Roman" w:hAnsi="Times New Roman"/>
          <w:szCs w:val="24"/>
        </w:rPr>
        <w:t xml:space="preserve"> </w:t>
      </w:r>
      <w:r w:rsidR="00900B8B">
        <w:rPr>
          <w:rFonts w:ascii="Times New Roman" w:hAnsi="Times New Roman"/>
          <w:szCs w:val="24"/>
        </w:rPr>
        <w:t>Line (10.7%) for the group of utilities DOD’s Witness Reno deems to be a reasonable proxy for Georgia Power. (</w:t>
      </w:r>
      <w:r w:rsidR="005A14B7">
        <w:rPr>
          <w:rFonts w:ascii="Times New Roman" w:hAnsi="Times New Roman"/>
          <w:szCs w:val="24"/>
        </w:rPr>
        <w:t xml:space="preserve">Tr. 2435 </w:t>
      </w:r>
      <w:r w:rsidR="005A14B7" w:rsidRPr="00734058">
        <w:rPr>
          <w:rFonts w:ascii="Times New Roman" w:hAnsi="Times New Roman"/>
          <w:i/>
          <w:szCs w:val="24"/>
        </w:rPr>
        <w:t xml:space="preserve">citing to </w:t>
      </w:r>
      <w:r w:rsidR="00900B8B" w:rsidRPr="00734058">
        <w:rPr>
          <w:rFonts w:ascii="Times New Roman" w:hAnsi="Times New Roman"/>
          <w:szCs w:val="24"/>
        </w:rPr>
        <w:t>Exhibit_(MLR-8e</w:t>
      </w:r>
      <w:r w:rsidR="00567CF4">
        <w:rPr>
          <w:rFonts w:ascii="Times New Roman" w:hAnsi="Times New Roman"/>
          <w:szCs w:val="24"/>
        </w:rPr>
        <w:t>)</w:t>
      </w:r>
      <w:r w:rsidR="00900B8B" w:rsidRPr="00734058">
        <w:rPr>
          <w:rFonts w:ascii="Times New Roman" w:hAnsi="Times New Roman"/>
          <w:szCs w:val="24"/>
        </w:rPr>
        <w:t>.)</w:t>
      </w:r>
      <w:r w:rsidR="005A14B7" w:rsidRPr="00734058">
        <w:rPr>
          <w:rFonts w:ascii="Times New Roman" w:hAnsi="Times New Roman"/>
          <w:szCs w:val="24"/>
        </w:rPr>
        <w:t>,</w:t>
      </w:r>
      <w:r w:rsidR="00900B8B" w:rsidRPr="00734058">
        <w:rPr>
          <w:rFonts w:ascii="Times New Roman" w:hAnsi="Times New Roman"/>
          <w:szCs w:val="24"/>
        </w:rPr>
        <w:t xml:space="preserve"> </w:t>
      </w:r>
      <w:r w:rsidR="005A14B7" w:rsidRPr="00734058">
        <w:rPr>
          <w:rFonts w:ascii="Times New Roman" w:hAnsi="Times New Roman"/>
          <w:i/>
          <w:szCs w:val="24"/>
        </w:rPr>
        <w:t>see also</w:t>
      </w:r>
      <w:r w:rsidR="005A14B7">
        <w:rPr>
          <w:rFonts w:ascii="Times New Roman" w:hAnsi="Times New Roman"/>
          <w:szCs w:val="24"/>
        </w:rPr>
        <w:t xml:space="preserve"> Tr. 2536-37</w:t>
      </w:r>
      <w:r w:rsidR="00186C1F" w:rsidRPr="00186C1F">
        <w:rPr>
          <w:rFonts w:ascii="Times New Roman" w:hAnsi="Times New Roman"/>
          <w:szCs w:val="24"/>
        </w:rPr>
        <w:t xml:space="preserve">.) </w:t>
      </w:r>
      <w:r w:rsidR="00900B8B">
        <w:rPr>
          <w:rFonts w:ascii="Times New Roman" w:hAnsi="Times New Roman"/>
          <w:szCs w:val="24"/>
        </w:rPr>
        <w:t>The</w:t>
      </w:r>
      <w:r w:rsidR="00186C1F" w:rsidRPr="00186C1F">
        <w:rPr>
          <w:rFonts w:ascii="Times New Roman" w:hAnsi="Times New Roman"/>
          <w:szCs w:val="24"/>
        </w:rPr>
        <w:t xml:space="preserve"> Commission has </w:t>
      </w:r>
      <w:r w:rsidR="008F4BDF">
        <w:rPr>
          <w:rFonts w:ascii="Times New Roman" w:hAnsi="Times New Roman"/>
          <w:szCs w:val="24"/>
        </w:rPr>
        <w:t>never approved Georgia Power’s ROEs based upon industry average. Indeed, the Commission has historically approved</w:t>
      </w:r>
      <w:r w:rsidR="00C5709F">
        <w:rPr>
          <w:rFonts w:ascii="Times New Roman" w:hAnsi="Times New Roman"/>
          <w:szCs w:val="24"/>
        </w:rPr>
        <w:t>,</w:t>
      </w:r>
      <w:r w:rsidR="008F4BDF">
        <w:rPr>
          <w:rFonts w:ascii="Times New Roman" w:hAnsi="Times New Roman"/>
          <w:szCs w:val="24"/>
        </w:rPr>
        <w:t xml:space="preserve"> through the three-year ARPs</w:t>
      </w:r>
      <w:r w:rsidR="00C5709F">
        <w:rPr>
          <w:rFonts w:ascii="Times New Roman" w:hAnsi="Times New Roman"/>
          <w:szCs w:val="24"/>
        </w:rPr>
        <w:t>,</w:t>
      </w:r>
      <w:r w:rsidR="008F4BDF">
        <w:rPr>
          <w:rFonts w:ascii="Times New Roman" w:hAnsi="Times New Roman"/>
          <w:szCs w:val="24"/>
        </w:rPr>
        <w:t xml:space="preserve"> ROEs </w:t>
      </w:r>
      <w:r w:rsidR="0032593E">
        <w:rPr>
          <w:rFonts w:ascii="Times New Roman" w:hAnsi="Times New Roman"/>
          <w:szCs w:val="24"/>
        </w:rPr>
        <w:t>approximately</w:t>
      </w:r>
      <w:r w:rsidR="008F4BDF">
        <w:rPr>
          <w:rFonts w:ascii="Times New Roman" w:hAnsi="Times New Roman"/>
          <w:szCs w:val="24"/>
        </w:rPr>
        <w:t xml:space="preserve"> 100 basis points above the industry average</w:t>
      </w:r>
      <w:r w:rsidR="00567CF4">
        <w:rPr>
          <w:rFonts w:ascii="Times New Roman" w:hAnsi="Times New Roman"/>
          <w:szCs w:val="24"/>
        </w:rPr>
        <w:t>,</w:t>
      </w:r>
      <w:r w:rsidR="00C5709F">
        <w:rPr>
          <w:rFonts w:ascii="Times New Roman" w:hAnsi="Times New Roman"/>
          <w:szCs w:val="24"/>
        </w:rPr>
        <w:t xml:space="preserve"> </w:t>
      </w:r>
      <w:r w:rsidR="00CA20C0">
        <w:rPr>
          <w:rFonts w:ascii="Times New Roman" w:hAnsi="Times New Roman"/>
          <w:szCs w:val="24"/>
        </w:rPr>
        <w:t xml:space="preserve">taking into consideration the increased risk of operating under a three-year plan during which the Company is unable to seek rate relief for three years, as well as rewarding the Company’s superior performance. </w:t>
      </w:r>
      <w:r w:rsidR="0037296D">
        <w:rPr>
          <w:rFonts w:ascii="Times New Roman" w:hAnsi="Times New Roman"/>
          <w:szCs w:val="24"/>
        </w:rPr>
        <w:t xml:space="preserve">A dramatic </w:t>
      </w:r>
      <w:r w:rsidR="00C40843">
        <w:rPr>
          <w:rFonts w:ascii="Times New Roman" w:hAnsi="Times New Roman"/>
          <w:szCs w:val="24"/>
        </w:rPr>
        <w:t>reduction</w:t>
      </w:r>
      <w:r w:rsidR="00186C1F" w:rsidRPr="00186C1F">
        <w:rPr>
          <w:rFonts w:ascii="Times New Roman" w:hAnsi="Times New Roman"/>
          <w:szCs w:val="24"/>
        </w:rPr>
        <w:t xml:space="preserve"> in the Company</w:t>
      </w:r>
      <w:r w:rsidR="006F6CB0">
        <w:rPr>
          <w:rFonts w:ascii="Times New Roman" w:hAnsi="Times New Roman"/>
          <w:szCs w:val="24"/>
        </w:rPr>
        <w:t>’</w:t>
      </w:r>
      <w:r w:rsidR="00186C1F" w:rsidRPr="00186C1F">
        <w:rPr>
          <w:rFonts w:ascii="Times New Roman" w:hAnsi="Times New Roman"/>
          <w:szCs w:val="24"/>
        </w:rPr>
        <w:t xml:space="preserve">s allowed ROE would </w:t>
      </w:r>
      <w:r w:rsidR="00C40843">
        <w:rPr>
          <w:rFonts w:ascii="Times New Roman" w:hAnsi="Times New Roman"/>
          <w:szCs w:val="24"/>
        </w:rPr>
        <w:t>undermine</w:t>
      </w:r>
      <w:r w:rsidR="00186C1F" w:rsidRPr="00186C1F">
        <w:rPr>
          <w:rFonts w:ascii="Times New Roman" w:hAnsi="Times New Roman"/>
          <w:szCs w:val="24"/>
        </w:rPr>
        <w:t xml:space="preserve"> Georgia Power</w:t>
      </w:r>
      <w:r w:rsidR="006F6CB0">
        <w:rPr>
          <w:rFonts w:ascii="Times New Roman" w:hAnsi="Times New Roman"/>
          <w:szCs w:val="24"/>
        </w:rPr>
        <w:t>’</w:t>
      </w:r>
      <w:r w:rsidR="00186C1F" w:rsidRPr="00186C1F">
        <w:rPr>
          <w:rFonts w:ascii="Times New Roman" w:hAnsi="Times New Roman"/>
          <w:szCs w:val="24"/>
        </w:rPr>
        <w:t xml:space="preserve">s ability to leverage the performance improvements it has </w:t>
      </w:r>
      <w:r w:rsidR="00C40843">
        <w:rPr>
          <w:rFonts w:ascii="Times New Roman" w:hAnsi="Times New Roman"/>
          <w:szCs w:val="24"/>
        </w:rPr>
        <w:t>achieved</w:t>
      </w:r>
      <w:r w:rsidR="00186C1F" w:rsidRPr="00186C1F">
        <w:rPr>
          <w:rFonts w:ascii="Times New Roman" w:hAnsi="Times New Roman"/>
          <w:szCs w:val="24"/>
        </w:rPr>
        <w:t xml:space="preserve"> over the last six years and </w:t>
      </w:r>
      <w:r w:rsidR="00567CF4">
        <w:rPr>
          <w:rFonts w:ascii="Times New Roman" w:hAnsi="Times New Roman"/>
          <w:szCs w:val="24"/>
        </w:rPr>
        <w:t xml:space="preserve">to </w:t>
      </w:r>
      <w:r w:rsidR="00186C1F" w:rsidRPr="00186C1F">
        <w:rPr>
          <w:rFonts w:ascii="Times New Roman" w:hAnsi="Times New Roman"/>
          <w:szCs w:val="24"/>
        </w:rPr>
        <w:t>continue provid</w:t>
      </w:r>
      <w:r w:rsidR="00567CF4">
        <w:rPr>
          <w:rFonts w:ascii="Times New Roman" w:hAnsi="Times New Roman"/>
          <w:szCs w:val="24"/>
        </w:rPr>
        <w:t>ing</w:t>
      </w:r>
      <w:r w:rsidR="00186C1F" w:rsidRPr="00186C1F">
        <w:rPr>
          <w:rFonts w:ascii="Times New Roman" w:hAnsi="Times New Roman"/>
          <w:szCs w:val="24"/>
        </w:rPr>
        <w:t xml:space="preserve"> clean, safe, reliable and affordable service </w:t>
      </w:r>
      <w:r w:rsidR="00900B8B">
        <w:rPr>
          <w:rFonts w:ascii="Times New Roman" w:hAnsi="Times New Roman"/>
          <w:szCs w:val="24"/>
        </w:rPr>
        <w:t>to the growing Georgia economy</w:t>
      </w:r>
      <w:r w:rsidR="00186C1F" w:rsidRPr="00186C1F">
        <w:rPr>
          <w:rFonts w:ascii="Times New Roman" w:hAnsi="Times New Roman"/>
          <w:szCs w:val="24"/>
        </w:rPr>
        <w:t xml:space="preserve">. </w:t>
      </w:r>
    </w:p>
    <w:p w14:paraId="2B2AA0C4" w14:textId="0B97BB03" w:rsidR="00900B8B" w:rsidRDefault="00900B8B" w:rsidP="00900B8B">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t>The Company’s proposed ROE of 10.9%, a slight reduction from the ROE last approved by the Commission, is thoroughly supported by Dr. Vander Weide.</w:t>
      </w:r>
      <w:r w:rsidR="004D751D">
        <w:rPr>
          <w:rFonts w:ascii="Times New Roman" w:hAnsi="Times New Roman"/>
          <w:szCs w:val="24"/>
        </w:rPr>
        <w:t xml:space="preserve"> While PIA Staff Witness Gorman and DOD Witness Reno questioned Dr. Vander Weide’s results by taking positions that can differ among professional experts, Dr. Vander Weide has appropriately defended his positions based on his considerable and extensive knowledge and expertise. For example, both witnesses questioned Dr. Vander Weide’s use of market capital structure adjustment to correct for financial risk differences between the proxy group’s market capital structure and the book regulatory capital structure proposed for Georgia Power. Dr. Vander Weide defended this adjustment as correct and necessary to provide an overall cost of capital commensurate with market expectations</w:t>
      </w:r>
      <w:r w:rsidR="00660CE2">
        <w:rPr>
          <w:rStyle w:val="FootnoteReference"/>
          <w:rFonts w:ascii="Times New Roman" w:hAnsi="Times New Roman"/>
          <w:szCs w:val="24"/>
        </w:rPr>
        <w:footnoteReference w:id="4"/>
      </w:r>
      <w:r w:rsidR="004D751D">
        <w:rPr>
          <w:rFonts w:ascii="Times New Roman" w:hAnsi="Times New Roman"/>
          <w:szCs w:val="24"/>
        </w:rPr>
        <w:t xml:space="preserve">. </w:t>
      </w:r>
      <w:r>
        <w:rPr>
          <w:rFonts w:ascii="Times New Roman" w:hAnsi="Times New Roman"/>
          <w:szCs w:val="24"/>
        </w:rPr>
        <w:t xml:space="preserve">Contrary </w:t>
      </w:r>
      <w:r>
        <w:rPr>
          <w:rFonts w:ascii="Times New Roman" w:hAnsi="Times New Roman"/>
          <w:szCs w:val="24"/>
        </w:rPr>
        <w:lastRenderedPageBreak/>
        <w:t xml:space="preserve">to </w:t>
      </w:r>
      <w:r w:rsidR="00EF1929">
        <w:rPr>
          <w:rFonts w:ascii="Times New Roman" w:hAnsi="Times New Roman"/>
          <w:szCs w:val="24"/>
        </w:rPr>
        <w:t>arguments against</w:t>
      </w:r>
      <w:r>
        <w:rPr>
          <w:rFonts w:ascii="Times New Roman" w:hAnsi="Times New Roman"/>
          <w:szCs w:val="24"/>
        </w:rPr>
        <w:t xml:space="preserve"> including flotation costs, Dr</w:t>
      </w:r>
      <w:r w:rsidR="00EF1929">
        <w:rPr>
          <w:rFonts w:ascii="Times New Roman" w:hAnsi="Times New Roman"/>
          <w:szCs w:val="24"/>
        </w:rPr>
        <w:t>.</w:t>
      </w:r>
      <w:r>
        <w:rPr>
          <w:rFonts w:ascii="Times New Roman" w:hAnsi="Times New Roman"/>
          <w:szCs w:val="24"/>
        </w:rPr>
        <w:t xml:space="preserve"> Vander Weide </w:t>
      </w:r>
      <w:r w:rsidRPr="00734058">
        <w:rPr>
          <w:rFonts w:ascii="Times New Roman" w:hAnsi="Times New Roman"/>
          <w:szCs w:val="24"/>
        </w:rPr>
        <w:t>calculates</w:t>
      </w:r>
      <w:r w:rsidRPr="009D75D0">
        <w:rPr>
          <w:rFonts w:ascii="Times New Roman" w:hAnsi="Times New Roman"/>
          <w:i/>
          <w:szCs w:val="24"/>
        </w:rPr>
        <w:t xml:space="preserve"> </w:t>
      </w:r>
      <w:r w:rsidRPr="00EF1929">
        <w:rPr>
          <w:rFonts w:ascii="Times New Roman" w:hAnsi="Times New Roman"/>
          <w:szCs w:val="24"/>
        </w:rPr>
        <w:t>fl</w:t>
      </w:r>
      <w:r>
        <w:rPr>
          <w:rFonts w:ascii="Times New Roman" w:hAnsi="Times New Roman"/>
          <w:szCs w:val="24"/>
        </w:rPr>
        <w:t>otation costs based upon economic evidence</w:t>
      </w:r>
      <w:r w:rsidR="00377E8F">
        <w:rPr>
          <w:rFonts w:ascii="Times New Roman" w:hAnsi="Times New Roman"/>
          <w:szCs w:val="24"/>
        </w:rPr>
        <w:t xml:space="preserve">. </w:t>
      </w:r>
      <w:r w:rsidR="00EF1929">
        <w:rPr>
          <w:rFonts w:ascii="Times New Roman" w:hAnsi="Times New Roman"/>
          <w:szCs w:val="24"/>
        </w:rPr>
        <w:t xml:space="preserve">PIA </w:t>
      </w:r>
      <w:r>
        <w:rPr>
          <w:rFonts w:ascii="Times New Roman" w:hAnsi="Times New Roman"/>
          <w:szCs w:val="24"/>
        </w:rPr>
        <w:t>Staff’s witness fail</w:t>
      </w:r>
      <w:r w:rsidR="00EF1929">
        <w:rPr>
          <w:rFonts w:ascii="Times New Roman" w:hAnsi="Times New Roman"/>
          <w:szCs w:val="24"/>
        </w:rPr>
        <w:t>s</w:t>
      </w:r>
      <w:r>
        <w:rPr>
          <w:rFonts w:ascii="Times New Roman" w:hAnsi="Times New Roman"/>
          <w:szCs w:val="24"/>
        </w:rPr>
        <w:t xml:space="preserve"> to address</w:t>
      </w:r>
      <w:r w:rsidR="00377E8F">
        <w:rPr>
          <w:rFonts w:ascii="Times New Roman" w:hAnsi="Times New Roman"/>
          <w:szCs w:val="24"/>
        </w:rPr>
        <w:t xml:space="preserve"> this evidence</w:t>
      </w:r>
      <w:r>
        <w:rPr>
          <w:rFonts w:ascii="Times New Roman" w:hAnsi="Times New Roman"/>
          <w:szCs w:val="24"/>
        </w:rPr>
        <w:t xml:space="preserve">. DOD </w:t>
      </w:r>
      <w:r w:rsidR="00EF1929">
        <w:rPr>
          <w:rFonts w:ascii="Times New Roman" w:hAnsi="Times New Roman"/>
          <w:szCs w:val="24"/>
        </w:rPr>
        <w:t>W</w:t>
      </w:r>
      <w:r>
        <w:rPr>
          <w:rFonts w:ascii="Times New Roman" w:hAnsi="Times New Roman"/>
          <w:szCs w:val="24"/>
        </w:rPr>
        <w:t>itness Reno accepts the reasonableness of including flotation costs, albeit at a lower level and providing no calculations or economic evidence to support an estimate lower than Dr. Vander Weide’s</w:t>
      </w:r>
      <w:r w:rsidR="00EF1929">
        <w:rPr>
          <w:rFonts w:ascii="Times New Roman" w:hAnsi="Times New Roman"/>
          <w:szCs w:val="24"/>
        </w:rPr>
        <w:t>.</w:t>
      </w:r>
      <w:r w:rsidR="009F2930">
        <w:rPr>
          <w:rFonts w:ascii="Times New Roman" w:hAnsi="Times New Roman"/>
          <w:szCs w:val="24"/>
        </w:rPr>
        <w:t xml:space="preserve"> (</w:t>
      </w:r>
      <w:r w:rsidR="00D45AD6">
        <w:rPr>
          <w:rFonts w:ascii="Times New Roman" w:hAnsi="Times New Roman"/>
          <w:szCs w:val="24"/>
        </w:rPr>
        <w:t>Tr. 2441-42</w:t>
      </w:r>
      <w:r w:rsidR="009F2930">
        <w:rPr>
          <w:rFonts w:ascii="Times New Roman" w:hAnsi="Times New Roman"/>
          <w:szCs w:val="24"/>
        </w:rPr>
        <w:t>.)</w:t>
      </w:r>
      <w:r>
        <w:rPr>
          <w:rFonts w:ascii="Times New Roman" w:hAnsi="Times New Roman"/>
          <w:szCs w:val="24"/>
        </w:rPr>
        <w:t xml:space="preserve"> </w:t>
      </w:r>
      <w:r w:rsidR="00EF1929">
        <w:rPr>
          <w:rFonts w:ascii="Times New Roman" w:hAnsi="Times New Roman"/>
          <w:szCs w:val="24"/>
        </w:rPr>
        <w:t>W</w:t>
      </w:r>
      <w:r>
        <w:rPr>
          <w:rFonts w:ascii="Times New Roman" w:hAnsi="Times New Roman"/>
          <w:szCs w:val="24"/>
        </w:rPr>
        <w:t>itness Reno also conducted a comparable earnings analysis</w:t>
      </w:r>
      <w:r w:rsidR="00EF1929">
        <w:rPr>
          <w:rFonts w:ascii="Times New Roman" w:hAnsi="Times New Roman"/>
          <w:szCs w:val="24"/>
        </w:rPr>
        <w:t>,</w:t>
      </w:r>
      <w:r>
        <w:rPr>
          <w:rFonts w:ascii="Times New Roman" w:hAnsi="Times New Roman"/>
          <w:szCs w:val="24"/>
        </w:rPr>
        <w:t xml:space="preserve"> which is generally consistent with Dr. Vander Weide’s</w:t>
      </w:r>
      <w:r w:rsidR="00EF1929">
        <w:rPr>
          <w:rFonts w:ascii="Times New Roman" w:hAnsi="Times New Roman"/>
          <w:szCs w:val="24"/>
        </w:rPr>
        <w:t xml:space="preserve"> comparable earnings</w:t>
      </w:r>
      <w:r>
        <w:rPr>
          <w:rFonts w:ascii="Times New Roman" w:hAnsi="Times New Roman"/>
          <w:szCs w:val="24"/>
        </w:rPr>
        <w:t xml:space="preserve"> analysis, but ignored the results.</w:t>
      </w:r>
      <w:r w:rsidR="009F2930">
        <w:rPr>
          <w:rFonts w:ascii="Times New Roman" w:hAnsi="Times New Roman"/>
          <w:szCs w:val="24"/>
        </w:rPr>
        <w:t xml:space="preserve"> (</w:t>
      </w:r>
      <w:r w:rsidR="00D45AD6">
        <w:rPr>
          <w:rFonts w:ascii="Times New Roman" w:hAnsi="Times New Roman"/>
          <w:szCs w:val="24"/>
        </w:rPr>
        <w:t>Tr. 2435</w:t>
      </w:r>
      <w:r w:rsidR="009F2930">
        <w:rPr>
          <w:rFonts w:ascii="Times New Roman" w:hAnsi="Times New Roman"/>
          <w:szCs w:val="24"/>
        </w:rPr>
        <w:t>.)</w:t>
      </w:r>
      <w:r>
        <w:rPr>
          <w:rFonts w:ascii="Times New Roman" w:hAnsi="Times New Roman"/>
          <w:szCs w:val="24"/>
        </w:rPr>
        <w:t xml:space="preserve"> </w:t>
      </w:r>
      <w:r w:rsidR="00EF1929">
        <w:rPr>
          <w:rFonts w:ascii="Times New Roman" w:hAnsi="Times New Roman"/>
          <w:szCs w:val="24"/>
        </w:rPr>
        <w:t xml:space="preserve">In </w:t>
      </w:r>
      <w:r w:rsidR="009F2930">
        <w:rPr>
          <w:rFonts w:ascii="Times New Roman" w:hAnsi="Times New Roman"/>
          <w:szCs w:val="24"/>
        </w:rPr>
        <w:t>contrast</w:t>
      </w:r>
      <w:r w:rsidR="00EF1929">
        <w:rPr>
          <w:rFonts w:ascii="Times New Roman" w:hAnsi="Times New Roman"/>
          <w:szCs w:val="24"/>
        </w:rPr>
        <w:t xml:space="preserve">, </w:t>
      </w:r>
      <w:r w:rsidR="00592C2E">
        <w:rPr>
          <w:rFonts w:ascii="Times New Roman" w:hAnsi="Times New Roman"/>
          <w:szCs w:val="24"/>
        </w:rPr>
        <w:t xml:space="preserve">unlike Dr. Vander Weide, </w:t>
      </w:r>
      <w:r w:rsidR="00EF1929">
        <w:rPr>
          <w:rFonts w:ascii="Times New Roman" w:hAnsi="Times New Roman"/>
          <w:szCs w:val="24"/>
        </w:rPr>
        <w:t>PIA Staff Witness</w:t>
      </w:r>
      <w:r>
        <w:rPr>
          <w:rFonts w:ascii="Times New Roman" w:hAnsi="Times New Roman"/>
          <w:szCs w:val="24"/>
        </w:rPr>
        <w:t xml:space="preserve"> Gorman </w:t>
      </w:r>
      <w:r w:rsidR="0075224C">
        <w:rPr>
          <w:rFonts w:ascii="Times New Roman" w:hAnsi="Times New Roman"/>
          <w:szCs w:val="24"/>
        </w:rPr>
        <w:t>did</w:t>
      </w:r>
      <w:r>
        <w:rPr>
          <w:rFonts w:ascii="Times New Roman" w:hAnsi="Times New Roman"/>
          <w:szCs w:val="24"/>
        </w:rPr>
        <w:t xml:space="preserve"> not </w:t>
      </w:r>
      <w:r w:rsidR="0075224C">
        <w:rPr>
          <w:rFonts w:ascii="Times New Roman" w:hAnsi="Times New Roman"/>
          <w:szCs w:val="24"/>
        </w:rPr>
        <w:t>conduct</w:t>
      </w:r>
      <w:r>
        <w:rPr>
          <w:rFonts w:ascii="Times New Roman" w:hAnsi="Times New Roman"/>
          <w:szCs w:val="24"/>
        </w:rPr>
        <w:t xml:space="preserve"> </w:t>
      </w:r>
      <w:r w:rsidR="0075224C">
        <w:rPr>
          <w:rFonts w:ascii="Times New Roman" w:hAnsi="Times New Roman"/>
          <w:szCs w:val="24"/>
        </w:rPr>
        <w:t>a comparable earnings analysis and rejects its use in determining cost of equity</w:t>
      </w:r>
      <w:r w:rsidR="00EF1929">
        <w:rPr>
          <w:rFonts w:ascii="Times New Roman" w:hAnsi="Times New Roman"/>
          <w:szCs w:val="24"/>
        </w:rPr>
        <w:t>.</w:t>
      </w:r>
      <w:r>
        <w:rPr>
          <w:rFonts w:ascii="Times New Roman" w:hAnsi="Times New Roman"/>
          <w:szCs w:val="24"/>
        </w:rPr>
        <w:t xml:space="preserve"> </w:t>
      </w:r>
      <w:r w:rsidR="009F2930" w:rsidRPr="00592C2E">
        <w:rPr>
          <w:rFonts w:ascii="Times New Roman" w:hAnsi="Times New Roman"/>
          <w:szCs w:val="24"/>
        </w:rPr>
        <w:t>(</w:t>
      </w:r>
      <w:r w:rsidR="00592C2E">
        <w:rPr>
          <w:rFonts w:ascii="Times New Roman" w:hAnsi="Times New Roman"/>
          <w:i/>
          <w:szCs w:val="24"/>
        </w:rPr>
        <w:t xml:space="preserve">See </w:t>
      </w:r>
      <w:r w:rsidR="00592C2E" w:rsidRPr="00592C2E">
        <w:rPr>
          <w:rFonts w:ascii="Times New Roman" w:hAnsi="Times New Roman"/>
          <w:szCs w:val="24"/>
        </w:rPr>
        <w:t>Tr. 1606</w:t>
      </w:r>
      <w:r w:rsidR="00592C2E">
        <w:rPr>
          <w:rFonts w:ascii="Times New Roman" w:hAnsi="Times New Roman"/>
          <w:szCs w:val="24"/>
        </w:rPr>
        <w:t>, 1616</w:t>
      </w:r>
      <w:r w:rsidR="009F2930" w:rsidRPr="00592C2E">
        <w:rPr>
          <w:rFonts w:ascii="Times New Roman" w:hAnsi="Times New Roman"/>
          <w:szCs w:val="24"/>
        </w:rPr>
        <w:t>.)</w:t>
      </w:r>
      <w:r w:rsidR="009F2930">
        <w:rPr>
          <w:rFonts w:ascii="Times New Roman" w:hAnsi="Times New Roman"/>
          <w:szCs w:val="24"/>
        </w:rPr>
        <w:t xml:space="preserve"> </w:t>
      </w:r>
      <w:r w:rsidR="00EF1929">
        <w:rPr>
          <w:rFonts w:ascii="Times New Roman" w:hAnsi="Times New Roman"/>
          <w:szCs w:val="24"/>
        </w:rPr>
        <w:t>A</w:t>
      </w:r>
      <w:r>
        <w:rPr>
          <w:rFonts w:ascii="Times New Roman" w:hAnsi="Times New Roman"/>
          <w:szCs w:val="24"/>
        </w:rPr>
        <w:t>ccordingly</w:t>
      </w:r>
      <w:r w:rsidR="00EF1929">
        <w:rPr>
          <w:rFonts w:ascii="Times New Roman" w:hAnsi="Times New Roman"/>
          <w:szCs w:val="24"/>
        </w:rPr>
        <w:t>,</w:t>
      </w:r>
      <w:r>
        <w:rPr>
          <w:rFonts w:ascii="Times New Roman" w:hAnsi="Times New Roman"/>
          <w:szCs w:val="24"/>
        </w:rPr>
        <w:t xml:space="preserve"> </w:t>
      </w:r>
      <w:r w:rsidR="00EF1929">
        <w:rPr>
          <w:rFonts w:ascii="Times New Roman" w:hAnsi="Times New Roman"/>
          <w:szCs w:val="24"/>
        </w:rPr>
        <w:t>Witness</w:t>
      </w:r>
      <w:r>
        <w:rPr>
          <w:rFonts w:ascii="Times New Roman" w:hAnsi="Times New Roman"/>
          <w:szCs w:val="24"/>
        </w:rPr>
        <w:t xml:space="preserve"> Gorman elects to ignore a</w:t>
      </w:r>
      <w:r w:rsidR="00EF1929">
        <w:rPr>
          <w:rFonts w:ascii="Times New Roman" w:hAnsi="Times New Roman"/>
          <w:szCs w:val="24"/>
        </w:rPr>
        <w:t xml:space="preserve"> methodology</w:t>
      </w:r>
      <w:r>
        <w:rPr>
          <w:rFonts w:ascii="Times New Roman" w:hAnsi="Times New Roman"/>
          <w:szCs w:val="24"/>
        </w:rPr>
        <w:t xml:space="preserve"> that is responsive to the constitutional test for a non-confiscatory return on equity:</w:t>
      </w:r>
    </w:p>
    <w:p w14:paraId="438821B2" w14:textId="77777777" w:rsidR="00567CF4" w:rsidRDefault="00900B8B" w:rsidP="00567CF4">
      <w:pPr>
        <w:widowControl/>
        <w:tabs>
          <w:tab w:val="left" w:pos="0"/>
        </w:tabs>
        <w:overflowPunct/>
        <w:autoSpaceDE/>
        <w:autoSpaceDN/>
        <w:adjustRightInd/>
        <w:ind w:left="720" w:right="720"/>
        <w:jc w:val="both"/>
        <w:textAlignment w:val="auto"/>
        <w:rPr>
          <w:rFonts w:ascii="Times New Roman" w:hAnsi="Times New Roman"/>
          <w:szCs w:val="24"/>
        </w:rPr>
      </w:pPr>
      <w:r w:rsidRPr="00452253">
        <w:rPr>
          <w:rFonts w:ascii="Times New Roman" w:hAnsi="Times New Roman"/>
          <w:szCs w:val="24"/>
        </w:rPr>
        <w:t>From the investor or company point of view it is important that there be enough revenue not only for operating expenses but also for the capital costs of the business. These include service on the debt and dividends on the stock</w:t>
      </w:r>
      <w:r>
        <w:rPr>
          <w:rFonts w:ascii="Times New Roman" w:hAnsi="Times New Roman"/>
          <w:szCs w:val="24"/>
        </w:rPr>
        <w:t>….</w:t>
      </w:r>
      <w:r w:rsidR="00EF1929">
        <w:rPr>
          <w:rFonts w:ascii="Times New Roman" w:hAnsi="Times New Roman"/>
          <w:szCs w:val="24"/>
        </w:rPr>
        <w:t xml:space="preserve"> </w:t>
      </w:r>
      <w:r w:rsidRPr="00452253">
        <w:rPr>
          <w:rFonts w:ascii="Times New Roman" w:hAnsi="Times New Roman"/>
          <w:szCs w:val="24"/>
        </w:rPr>
        <w:t xml:space="preserve">By that standard the return to the equity owner should be commensurate with returns on investments in other enterprises having corresponding risks. That return, moreover, should be sufficient to assure confidence in the </w:t>
      </w:r>
      <w:r w:rsidR="00EF1929">
        <w:rPr>
          <w:rFonts w:ascii="Times New Roman" w:hAnsi="Times New Roman"/>
          <w:szCs w:val="24"/>
        </w:rPr>
        <w:t>f</w:t>
      </w:r>
      <w:r w:rsidRPr="00452253">
        <w:rPr>
          <w:rFonts w:ascii="Times New Roman" w:hAnsi="Times New Roman"/>
          <w:szCs w:val="24"/>
        </w:rPr>
        <w:t>inancial integrity of the enterprise, so as to maintain its credit and to attract capital.”</w:t>
      </w:r>
      <w:r w:rsidR="00EF1929">
        <w:rPr>
          <w:rFonts w:ascii="Times New Roman" w:hAnsi="Times New Roman"/>
          <w:szCs w:val="24"/>
        </w:rPr>
        <w:t xml:space="preserve"> </w:t>
      </w:r>
    </w:p>
    <w:p w14:paraId="78F29C50" w14:textId="77777777" w:rsidR="00567CF4" w:rsidRDefault="00567CF4" w:rsidP="00567CF4">
      <w:pPr>
        <w:widowControl/>
        <w:tabs>
          <w:tab w:val="left" w:pos="0"/>
        </w:tabs>
        <w:overflowPunct/>
        <w:autoSpaceDE/>
        <w:autoSpaceDN/>
        <w:adjustRightInd/>
        <w:ind w:right="720"/>
        <w:jc w:val="both"/>
        <w:textAlignment w:val="auto"/>
        <w:rPr>
          <w:rFonts w:ascii="Times New Roman" w:hAnsi="Times New Roman"/>
          <w:szCs w:val="24"/>
        </w:rPr>
      </w:pPr>
    </w:p>
    <w:p w14:paraId="77FABD19" w14:textId="37629B41" w:rsidR="00900B8B" w:rsidRDefault="00900B8B" w:rsidP="00567CF4">
      <w:pPr>
        <w:widowControl/>
        <w:tabs>
          <w:tab w:val="left" w:pos="0"/>
        </w:tabs>
        <w:overflowPunct/>
        <w:autoSpaceDE/>
        <w:autoSpaceDN/>
        <w:adjustRightInd/>
        <w:ind w:right="720"/>
        <w:jc w:val="both"/>
        <w:textAlignment w:val="auto"/>
        <w:rPr>
          <w:rFonts w:ascii="Times New Roman" w:hAnsi="Times New Roman"/>
          <w:szCs w:val="24"/>
        </w:rPr>
      </w:pPr>
      <w:r w:rsidRPr="009D75D0">
        <w:rPr>
          <w:rFonts w:ascii="Times New Roman" w:hAnsi="Times New Roman"/>
          <w:i/>
          <w:szCs w:val="24"/>
        </w:rPr>
        <w:t>Federal Power Commission v. Hope Natural Gas Co</w:t>
      </w:r>
      <w:r w:rsidRPr="00452253">
        <w:rPr>
          <w:rFonts w:ascii="Times New Roman" w:hAnsi="Times New Roman"/>
          <w:szCs w:val="24"/>
        </w:rPr>
        <w:t>., 320 U.S. 591, 605 (1944)</w:t>
      </w:r>
      <w:r w:rsidR="00EF1929">
        <w:rPr>
          <w:rFonts w:ascii="Times New Roman" w:hAnsi="Times New Roman"/>
          <w:szCs w:val="24"/>
        </w:rPr>
        <w:t>.</w:t>
      </w:r>
    </w:p>
    <w:p w14:paraId="61A94FAD" w14:textId="77777777" w:rsidR="00567CF4" w:rsidRDefault="00567CF4" w:rsidP="00567CF4">
      <w:pPr>
        <w:widowControl/>
        <w:tabs>
          <w:tab w:val="left" w:pos="0"/>
        </w:tabs>
        <w:overflowPunct/>
        <w:autoSpaceDE/>
        <w:autoSpaceDN/>
        <w:adjustRightInd/>
        <w:ind w:right="720"/>
        <w:jc w:val="both"/>
        <w:textAlignment w:val="auto"/>
        <w:rPr>
          <w:rFonts w:ascii="Times New Roman" w:hAnsi="Times New Roman"/>
          <w:szCs w:val="24"/>
        </w:rPr>
      </w:pPr>
    </w:p>
    <w:p w14:paraId="6B43A706" w14:textId="5C28C0F2" w:rsidR="00EF1929" w:rsidRDefault="007B73D6"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t>It is one thing for reasonable experts to disagree on the appropriate method to use in calculating the return on equity, however, it is a</w:t>
      </w:r>
      <w:r w:rsidRPr="007B73D6">
        <w:rPr>
          <w:rFonts w:ascii="Times New Roman" w:hAnsi="Times New Roman"/>
          <w:szCs w:val="24"/>
        </w:rPr>
        <w:t xml:space="preserve"> very different for the same party to have a witness in </w:t>
      </w:r>
      <w:r>
        <w:rPr>
          <w:rFonts w:ascii="Times New Roman" w:hAnsi="Times New Roman"/>
          <w:szCs w:val="24"/>
        </w:rPr>
        <w:t>the current</w:t>
      </w:r>
      <w:r w:rsidRPr="007B73D6">
        <w:rPr>
          <w:rFonts w:ascii="Times New Roman" w:hAnsi="Times New Roman"/>
          <w:szCs w:val="24"/>
        </w:rPr>
        <w:t xml:space="preserve"> case entirely </w:t>
      </w:r>
      <w:r>
        <w:rPr>
          <w:rFonts w:ascii="Times New Roman" w:hAnsi="Times New Roman"/>
          <w:szCs w:val="24"/>
        </w:rPr>
        <w:t>discredit</w:t>
      </w:r>
      <w:r w:rsidRPr="007B73D6">
        <w:rPr>
          <w:rFonts w:ascii="Times New Roman" w:hAnsi="Times New Roman"/>
          <w:szCs w:val="24"/>
        </w:rPr>
        <w:t xml:space="preserve"> the</w:t>
      </w:r>
      <w:r>
        <w:rPr>
          <w:rFonts w:ascii="Times New Roman" w:hAnsi="Times New Roman"/>
          <w:szCs w:val="24"/>
        </w:rPr>
        <w:t xml:space="preserve"> basis for the</w:t>
      </w:r>
      <w:r w:rsidRPr="007B73D6">
        <w:rPr>
          <w:rFonts w:ascii="Times New Roman" w:hAnsi="Times New Roman"/>
          <w:szCs w:val="24"/>
        </w:rPr>
        <w:t xml:space="preserve"> testimony of the past witness for the same party</w:t>
      </w:r>
      <w:r>
        <w:rPr>
          <w:rFonts w:ascii="Times New Roman" w:hAnsi="Times New Roman"/>
          <w:szCs w:val="24"/>
        </w:rPr>
        <w:t>.</w:t>
      </w:r>
      <w:r w:rsidR="001E6315">
        <w:rPr>
          <w:rFonts w:ascii="Times New Roman" w:hAnsi="Times New Roman"/>
          <w:szCs w:val="24"/>
        </w:rPr>
        <w:t xml:space="preserve"> </w:t>
      </w:r>
      <w:r w:rsidR="006A4C42">
        <w:rPr>
          <w:rFonts w:ascii="Times New Roman" w:hAnsi="Times New Roman"/>
          <w:szCs w:val="24"/>
        </w:rPr>
        <w:t xml:space="preserve">Witness Gorman’s rejection of the comparable earnings test is inconsistent with PIA Staff’s position in each of the last three Georgia Power rate cases (Tr. 1615-16.) </w:t>
      </w:r>
      <w:r w:rsidR="001E6315">
        <w:rPr>
          <w:rFonts w:ascii="Times New Roman" w:hAnsi="Times New Roman"/>
          <w:szCs w:val="24"/>
        </w:rPr>
        <w:t>Mr. Parcell, PIA Staff’s cost of equity witness in the last three Georgia Power rate cases, used the comparable earnings test and explained its importance in estimating cost of equity. (Tr. 2628.)</w:t>
      </w:r>
      <w:r>
        <w:rPr>
          <w:rFonts w:ascii="Times New Roman" w:hAnsi="Times New Roman"/>
          <w:szCs w:val="24"/>
        </w:rPr>
        <w:t xml:space="preserve"> </w:t>
      </w:r>
      <w:r w:rsidR="001E6315">
        <w:rPr>
          <w:rFonts w:ascii="Times New Roman" w:hAnsi="Times New Roman"/>
          <w:szCs w:val="24"/>
        </w:rPr>
        <w:t xml:space="preserve">The Company calculated the impact on PIA Staff’s case of ignoring the impact of the comparable earnings test and found that </w:t>
      </w:r>
      <w:r w:rsidR="001E6315">
        <w:rPr>
          <w:rFonts w:ascii="Times New Roman" w:hAnsi="Times New Roman"/>
          <w:szCs w:val="24"/>
        </w:rPr>
        <w:lastRenderedPageBreak/>
        <w:t>had PIA Staff used the same methods used in the last three rate cases to estimate the Company’s cost of capital, their recommendation would have been significantly higher than that presented by Mr. Gorman in this case. (</w:t>
      </w:r>
      <w:r w:rsidR="001E6315" w:rsidRPr="001E6315">
        <w:rPr>
          <w:rFonts w:ascii="Times New Roman" w:hAnsi="Times New Roman"/>
          <w:i/>
          <w:szCs w:val="24"/>
        </w:rPr>
        <w:t>Id</w:t>
      </w:r>
      <w:r w:rsidR="001E6315">
        <w:rPr>
          <w:rFonts w:ascii="Times New Roman" w:hAnsi="Times New Roman"/>
          <w:szCs w:val="24"/>
        </w:rPr>
        <w:t xml:space="preserve">.) </w:t>
      </w:r>
      <w:r w:rsidR="00150189">
        <w:rPr>
          <w:rFonts w:ascii="Times New Roman" w:hAnsi="Times New Roman"/>
          <w:szCs w:val="24"/>
        </w:rPr>
        <w:t xml:space="preserve">No Party, including PIA Staff, presented any evidence to this fact. </w:t>
      </w:r>
      <w:r w:rsidR="001E6315">
        <w:rPr>
          <w:rFonts w:ascii="Times New Roman" w:hAnsi="Times New Roman"/>
          <w:szCs w:val="24"/>
        </w:rPr>
        <w:t xml:space="preserve">Not only </w:t>
      </w:r>
      <w:r w:rsidR="00567CF4">
        <w:rPr>
          <w:rFonts w:ascii="Times New Roman" w:hAnsi="Times New Roman"/>
          <w:szCs w:val="24"/>
        </w:rPr>
        <w:t>did</w:t>
      </w:r>
      <w:r w:rsidR="001E6315">
        <w:rPr>
          <w:rFonts w:ascii="Times New Roman" w:hAnsi="Times New Roman"/>
          <w:szCs w:val="24"/>
        </w:rPr>
        <w:t xml:space="preserve"> Mr. Gorman ignore prior PIA Staff methodologies and recommendations</w:t>
      </w:r>
      <w:r>
        <w:rPr>
          <w:rFonts w:ascii="Times New Roman" w:hAnsi="Times New Roman"/>
          <w:szCs w:val="24"/>
        </w:rPr>
        <w:t xml:space="preserve">, </w:t>
      </w:r>
      <w:r w:rsidR="001E6315">
        <w:rPr>
          <w:rFonts w:ascii="Times New Roman" w:hAnsi="Times New Roman"/>
          <w:szCs w:val="24"/>
        </w:rPr>
        <w:t>he</w:t>
      </w:r>
      <w:r w:rsidRPr="007B73D6">
        <w:rPr>
          <w:rFonts w:ascii="Times New Roman" w:hAnsi="Times New Roman"/>
          <w:szCs w:val="24"/>
        </w:rPr>
        <w:t xml:space="preserve"> ignore</w:t>
      </w:r>
      <w:r w:rsidR="001E6315">
        <w:rPr>
          <w:rFonts w:ascii="Times New Roman" w:hAnsi="Times New Roman"/>
          <w:szCs w:val="24"/>
        </w:rPr>
        <w:t>d</w:t>
      </w:r>
      <w:r w:rsidRPr="007B73D6">
        <w:rPr>
          <w:rFonts w:ascii="Times New Roman" w:hAnsi="Times New Roman"/>
          <w:szCs w:val="24"/>
        </w:rPr>
        <w:t xml:space="preserve"> the</w:t>
      </w:r>
      <w:r w:rsidR="007D3F9F">
        <w:rPr>
          <w:rFonts w:ascii="Times New Roman" w:hAnsi="Times New Roman"/>
          <w:szCs w:val="24"/>
        </w:rPr>
        <w:t xml:space="preserve"> precedence and policy of the Commission as stated in the</w:t>
      </w:r>
      <w:r w:rsidRPr="007B73D6">
        <w:rPr>
          <w:rFonts w:ascii="Times New Roman" w:hAnsi="Times New Roman"/>
          <w:szCs w:val="24"/>
        </w:rPr>
        <w:t xml:space="preserve"> orders in </w:t>
      </w:r>
      <w:r w:rsidR="007D3F9F">
        <w:rPr>
          <w:rFonts w:ascii="Times New Roman" w:hAnsi="Times New Roman"/>
          <w:szCs w:val="24"/>
        </w:rPr>
        <w:t>prior</w:t>
      </w:r>
      <w:r w:rsidRPr="007B73D6">
        <w:rPr>
          <w:rFonts w:ascii="Times New Roman" w:hAnsi="Times New Roman"/>
          <w:szCs w:val="24"/>
        </w:rPr>
        <w:t xml:space="preserve"> cases</w:t>
      </w:r>
      <w:r w:rsidR="006A4C42">
        <w:rPr>
          <w:rFonts w:ascii="Times New Roman" w:hAnsi="Times New Roman"/>
          <w:szCs w:val="24"/>
        </w:rPr>
        <w:t xml:space="preserve">. (Tr. 1617.) The Commission held in each of the last two rate cases that “[c]onsistent with the </w:t>
      </w:r>
      <w:r w:rsidR="006A4C42">
        <w:rPr>
          <w:rFonts w:ascii="Times New Roman" w:hAnsi="Times New Roman"/>
          <w:i/>
          <w:szCs w:val="24"/>
        </w:rPr>
        <w:t>Bluefield</w:t>
      </w:r>
      <w:r w:rsidR="006A4C42">
        <w:rPr>
          <w:rFonts w:ascii="Times New Roman" w:hAnsi="Times New Roman"/>
          <w:szCs w:val="24"/>
        </w:rPr>
        <w:t xml:space="preserve"> and </w:t>
      </w:r>
      <w:r w:rsidR="006A4C42">
        <w:rPr>
          <w:rFonts w:ascii="Times New Roman" w:hAnsi="Times New Roman"/>
          <w:i/>
          <w:szCs w:val="24"/>
        </w:rPr>
        <w:t>Hope</w:t>
      </w:r>
      <w:r w:rsidR="006A4C42">
        <w:rPr>
          <w:rFonts w:ascii="Times New Roman" w:hAnsi="Times New Roman"/>
          <w:szCs w:val="24"/>
        </w:rPr>
        <w:t xml:space="preserve"> decisions, the Commission has considered comparable earnings, financial integrity and capital attraction” in reaching the decision that the ROE set forth in the settlement agreement </w:t>
      </w:r>
      <w:r w:rsidR="00567CF4">
        <w:rPr>
          <w:rFonts w:ascii="Times New Roman" w:hAnsi="Times New Roman"/>
          <w:szCs w:val="24"/>
        </w:rPr>
        <w:t>wa</w:t>
      </w:r>
      <w:r w:rsidR="006A4C42">
        <w:rPr>
          <w:rFonts w:ascii="Times New Roman" w:hAnsi="Times New Roman"/>
          <w:szCs w:val="24"/>
        </w:rPr>
        <w:t>s just and reasonable. (</w:t>
      </w:r>
      <w:r w:rsidR="006A4C42">
        <w:rPr>
          <w:rFonts w:ascii="Times New Roman" w:hAnsi="Times New Roman"/>
          <w:i/>
          <w:szCs w:val="24"/>
        </w:rPr>
        <w:t>Id.</w:t>
      </w:r>
      <w:r w:rsidR="006A4C42">
        <w:rPr>
          <w:rFonts w:ascii="Times New Roman" w:hAnsi="Times New Roman"/>
          <w:szCs w:val="24"/>
        </w:rPr>
        <w:t xml:space="preserve">) </w:t>
      </w:r>
      <w:r w:rsidR="007D3F9F">
        <w:rPr>
          <w:rFonts w:ascii="Times New Roman" w:hAnsi="Times New Roman"/>
          <w:szCs w:val="24"/>
        </w:rPr>
        <w:t xml:space="preserve">The impact of Witness Gorman’s rejection and Witness </w:t>
      </w:r>
      <w:r w:rsidRPr="007B73D6">
        <w:rPr>
          <w:rFonts w:ascii="Times New Roman" w:hAnsi="Times New Roman"/>
          <w:szCs w:val="24"/>
        </w:rPr>
        <w:t>Reno</w:t>
      </w:r>
      <w:r w:rsidR="007D3F9F">
        <w:rPr>
          <w:rFonts w:ascii="Times New Roman" w:hAnsi="Times New Roman"/>
          <w:szCs w:val="24"/>
        </w:rPr>
        <w:t>’s disregard for the comparable earnings test is to</w:t>
      </w:r>
      <w:r w:rsidRPr="007B73D6">
        <w:rPr>
          <w:rFonts w:ascii="Times New Roman" w:hAnsi="Times New Roman"/>
          <w:szCs w:val="24"/>
        </w:rPr>
        <w:t xml:space="preserve"> coincidentally</w:t>
      </w:r>
      <w:r w:rsidR="007D3F9F">
        <w:rPr>
          <w:rFonts w:ascii="Times New Roman" w:hAnsi="Times New Roman"/>
          <w:szCs w:val="24"/>
        </w:rPr>
        <w:t xml:space="preserve"> eliminate</w:t>
      </w:r>
      <w:r w:rsidRPr="007B73D6">
        <w:rPr>
          <w:rFonts w:ascii="Times New Roman" w:hAnsi="Times New Roman"/>
          <w:szCs w:val="24"/>
        </w:rPr>
        <w:t xml:space="preserve"> the higher </w:t>
      </w:r>
      <w:r w:rsidR="007D3F9F">
        <w:rPr>
          <w:rFonts w:ascii="Times New Roman" w:hAnsi="Times New Roman"/>
          <w:szCs w:val="24"/>
        </w:rPr>
        <w:t>ROE calculations from this Commission’s consideration.</w:t>
      </w:r>
      <w:r w:rsidR="006A4C42">
        <w:rPr>
          <w:rFonts w:ascii="Times New Roman" w:hAnsi="Times New Roman"/>
          <w:szCs w:val="24"/>
        </w:rPr>
        <w:t xml:space="preserve"> PIA Staff failed to justify why their witness in this case performed his analysis so fundamentally different from what PIA Staff used in the last three cases and why they did not use a comparable earnings test, even if only as a check against extreme results s</w:t>
      </w:r>
      <w:r w:rsidR="00567CF4">
        <w:rPr>
          <w:rFonts w:ascii="Times New Roman" w:hAnsi="Times New Roman"/>
          <w:szCs w:val="24"/>
        </w:rPr>
        <w:t>uch</w:t>
      </w:r>
      <w:r w:rsidR="006A4C42">
        <w:rPr>
          <w:rFonts w:ascii="Times New Roman" w:hAnsi="Times New Roman"/>
          <w:szCs w:val="24"/>
        </w:rPr>
        <w:t xml:space="preserve"> as those supported by PIA Staff in this case. (Tr. 2628.)</w:t>
      </w:r>
    </w:p>
    <w:p w14:paraId="3804CC9E" w14:textId="76D990BB" w:rsidR="00900B8B" w:rsidRPr="00186C1F" w:rsidRDefault="002269B7"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75224C">
        <w:rPr>
          <w:rFonts w:ascii="Times New Roman" w:hAnsi="Times New Roman"/>
          <w:szCs w:val="24"/>
        </w:rPr>
        <w:t>In addition, t</w:t>
      </w:r>
      <w:r w:rsidR="00900B8B">
        <w:rPr>
          <w:rFonts w:ascii="Times New Roman" w:hAnsi="Times New Roman"/>
          <w:szCs w:val="24"/>
        </w:rPr>
        <w:t xml:space="preserve">here are numerous inconsistencies and errors in Mr. Gorman’s analysis, as demonstrated in the rebuttal testimonies of </w:t>
      </w:r>
      <w:r w:rsidR="00000ECC">
        <w:rPr>
          <w:rFonts w:ascii="Times New Roman" w:hAnsi="Times New Roman"/>
          <w:szCs w:val="24"/>
        </w:rPr>
        <w:t>Company Witnesses</w:t>
      </w:r>
      <w:r w:rsidR="00900B8B">
        <w:rPr>
          <w:rFonts w:ascii="Times New Roman" w:hAnsi="Times New Roman"/>
          <w:szCs w:val="24"/>
        </w:rPr>
        <w:t xml:space="preserve"> </w:t>
      </w:r>
      <w:r w:rsidR="00ED17CE">
        <w:rPr>
          <w:rFonts w:ascii="Times New Roman" w:hAnsi="Times New Roman"/>
          <w:szCs w:val="24"/>
        </w:rPr>
        <w:t xml:space="preserve">Vander </w:t>
      </w:r>
      <w:r w:rsidR="00900B8B">
        <w:rPr>
          <w:rFonts w:ascii="Times New Roman" w:hAnsi="Times New Roman"/>
          <w:szCs w:val="24"/>
        </w:rPr>
        <w:t xml:space="preserve">Weide, Fetter, </w:t>
      </w:r>
      <w:r w:rsidR="00000ECC">
        <w:rPr>
          <w:rFonts w:ascii="Times New Roman" w:hAnsi="Times New Roman"/>
          <w:szCs w:val="24"/>
        </w:rPr>
        <w:t>Poroch and Adams and explained herein</w:t>
      </w:r>
      <w:r w:rsidR="00900B8B">
        <w:rPr>
          <w:rFonts w:ascii="Times New Roman" w:hAnsi="Times New Roman"/>
          <w:szCs w:val="24"/>
        </w:rPr>
        <w:t>. Most startling is</w:t>
      </w:r>
      <w:r w:rsidR="00000ECC">
        <w:rPr>
          <w:rFonts w:ascii="Times New Roman" w:hAnsi="Times New Roman"/>
          <w:szCs w:val="24"/>
        </w:rPr>
        <w:t xml:space="preserve"> PIA Staff and certain Intervenor</w:t>
      </w:r>
      <w:r w:rsidR="00EE3F21">
        <w:rPr>
          <w:rFonts w:ascii="Times New Roman" w:hAnsi="Times New Roman"/>
          <w:szCs w:val="24"/>
        </w:rPr>
        <w:t>’</w:t>
      </w:r>
      <w:r w:rsidR="00000ECC">
        <w:rPr>
          <w:rFonts w:ascii="Times New Roman" w:hAnsi="Times New Roman"/>
          <w:szCs w:val="24"/>
        </w:rPr>
        <w:t>s</w:t>
      </w:r>
      <w:r w:rsidR="00900B8B">
        <w:rPr>
          <w:rFonts w:ascii="Times New Roman" w:hAnsi="Times New Roman"/>
          <w:szCs w:val="24"/>
        </w:rPr>
        <w:t xml:space="preserve"> failure to account for the reality that investors are faced </w:t>
      </w:r>
      <w:r w:rsidR="00000ECC">
        <w:rPr>
          <w:rFonts w:ascii="Times New Roman" w:hAnsi="Times New Roman"/>
          <w:szCs w:val="24"/>
        </w:rPr>
        <w:t>with</w:t>
      </w:r>
      <w:r w:rsidR="00900B8B">
        <w:rPr>
          <w:rFonts w:ascii="Times New Roman" w:hAnsi="Times New Roman"/>
          <w:szCs w:val="24"/>
        </w:rPr>
        <w:t xml:space="preserve"> a number of roughly equivalent utilities </w:t>
      </w:r>
      <w:r w:rsidR="00000ECC">
        <w:rPr>
          <w:rFonts w:ascii="Times New Roman" w:hAnsi="Times New Roman"/>
          <w:szCs w:val="24"/>
        </w:rPr>
        <w:t>competing for their</w:t>
      </w:r>
      <w:r w:rsidR="00900B8B">
        <w:rPr>
          <w:rFonts w:ascii="Times New Roman" w:hAnsi="Times New Roman"/>
          <w:szCs w:val="24"/>
        </w:rPr>
        <w:t xml:space="preserve"> prospective investments, which on average are projected by Value Line</w:t>
      </w:r>
      <w:r w:rsidR="00000ECC">
        <w:rPr>
          <w:rFonts w:ascii="Times New Roman" w:hAnsi="Times New Roman"/>
          <w:szCs w:val="24"/>
        </w:rPr>
        <w:t xml:space="preserve"> (</w:t>
      </w:r>
      <w:r w:rsidR="00900B8B">
        <w:rPr>
          <w:rFonts w:ascii="Times New Roman" w:hAnsi="Times New Roman"/>
          <w:szCs w:val="24"/>
        </w:rPr>
        <w:t xml:space="preserve">a neutral source) to earn on average a 10.7% </w:t>
      </w:r>
      <w:r w:rsidR="00000ECC">
        <w:rPr>
          <w:rFonts w:ascii="Times New Roman" w:hAnsi="Times New Roman"/>
          <w:szCs w:val="24"/>
        </w:rPr>
        <w:t>ROE</w:t>
      </w:r>
      <w:r w:rsidR="00900B8B">
        <w:rPr>
          <w:rFonts w:ascii="Times New Roman" w:hAnsi="Times New Roman"/>
          <w:szCs w:val="24"/>
        </w:rPr>
        <w:t>. No record evidence</w:t>
      </w:r>
      <w:r w:rsidR="00000ECC">
        <w:rPr>
          <w:rFonts w:ascii="Times New Roman" w:hAnsi="Times New Roman"/>
          <w:szCs w:val="24"/>
        </w:rPr>
        <w:t xml:space="preserve"> in this proceeding</w:t>
      </w:r>
      <w:r w:rsidR="00900B8B">
        <w:rPr>
          <w:rFonts w:ascii="Times New Roman" w:hAnsi="Times New Roman"/>
          <w:szCs w:val="24"/>
        </w:rPr>
        <w:t xml:space="preserve"> support</w:t>
      </w:r>
      <w:r w:rsidR="00000ECC">
        <w:rPr>
          <w:rFonts w:ascii="Times New Roman" w:hAnsi="Times New Roman"/>
          <w:szCs w:val="24"/>
        </w:rPr>
        <w:t>s</w:t>
      </w:r>
      <w:r w:rsidR="00900B8B">
        <w:rPr>
          <w:rFonts w:ascii="Times New Roman" w:hAnsi="Times New Roman"/>
          <w:szCs w:val="24"/>
        </w:rPr>
        <w:t xml:space="preserve"> merely mimicking the most recent low</w:t>
      </w:r>
      <w:r w:rsidR="002878FB">
        <w:rPr>
          <w:rFonts w:ascii="Times New Roman" w:hAnsi="Times New Roman"/>
          <w:szCs w:val="24"/>
        </w:rPr>
        <w:t>est</w:t>
      </w:r>
      <w:r w:rsidR="00900B8B">
        <w:rPr>
          <w:rFonts w:ascii="Times New Roman" w:hAnsi="Times New Roman"/>
          <w:szCs w:val="24"/>
        </w:rPr>
        <w:t xml:space="preserve"> allowed </w:t>
      </w:r>
      <w:r w:rsidR="00000ECC">
        <w:rPr>
          <w:rFonts w:ascii="Times New Roman" w:hAnsi="Times New Roman"/>
          <w:szCs w:val="24"/>
        </w:rPr>
        <w:t>ROEs</w:t>
      </w:r>
      <w:r w:rsidR="00071126">
        <w:rPr>
          <w:rFonts w:ascii="Times New Roman" w:hAnsi="Times New Roman"/>
          <w:szCs w:val="24"/>
        </w:rPr>
        <w:t xml:space="preserve"> in other jurisdictions</w:t>
      </w:r>
      <w:r w:rsidR="00900B8B">
        <w:rPr>
          <w:rFonts w:ascii="Times New Roman" w:hAnsi="Times New Roman"/>
          <w:szCs w:val="24"/>
        </w:rPr>
        <w:t xml:space="preserve">, which may be punitive in nature, with or without cause, </w:t>
      </w:r>
      <w:r w:rsidR="00071126">
        <w:rPr>
          <w:rFonts w:ascii="Times New Roman" w:hAnsi="Times New Roman"/>
          <w:szCs w:val="24"/>
        </w:rPr>
        <w:t>and does not</w:t>
      </w:r>
      <w:r w:rsidR="00500D28">
        <w:rPr>
          <w:rFonts w:ascii="Times New Roman" w:hAnsi="Times New Roman"/>
          <w:szCs w:val="24"/>
        </w:rPr>
        <w:t xml:space="preserve"> reflect the Company’s performance over the last six years. </w:t>
      </w:r>
    </w:p>
    <w:p w14:paraId="67218432" w14:textId="7C5F4278" w:rsidR="00186C1F" w:rsidRPr="00186C1F" w:rsidRDefault="008F4BDF" w:rsidP="00A322F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4" w:name="_Hlk26111451"/>
      <w:r>
        <w:rPr>
          <w:rFonts w:ascii="Times New Roman" w:hAnsi="Times New Roman"/>
          <w:szCs w:val="24"/>
        </w:rPr>
        <w:lastRenderedPageBreak/>
        <w:t>3</w:t>
      </w:r>
      <w:r w:rsidR="00533458">
        <w:rPr>
          <w:rFonts w:ascii="Times New Roman" w:hAnsi="Times New Roman"/>
          <w:szCs w:val="24"/>
        </w:rPr>
        <w:t>.</w:t>
      </w:r>
      <w:r w:rsidR="00533458">
        <w:rPr>
          <w:rFonts w:ascii="Times New Roman" w:hAnsi="Times New Roman"/>
          <w:szCs w:val="24"/>
        </w:rPr>
        <w:tab/>
      </w:r>
      <w:r w:rsidR="00186C1F" w:rsidRPr="006C2783">
        <w:rPr>
          <w:rFonts w:ascii="Times New Roman" w:hAnsi="Times New Roman"/>
          <w:szCs w:val="24"/>
          <w:u w:val="single"/>
        </w:rPr>
        <w:t>PIA Staff</w:t>
      </w:r>
      <w:r w:rsidR="006F6CB0">
        <w:rPr>
          <w:rFonts w:ascii="Times New Roman" w:hAnsi="Times New Roman"/>
          <w:szCs w:val="24"/>
          <w:u w:val="single"/>
        </w:rPr>
        <w:t>’</w:t>
      </w:r>
      <w:r w:rsidR="00186C1F" w:rsidRPr="006C2783">
        <w:rPr>
          <w:rFonts w:ascii="Times New Roman" w:hAnsi="Times New Roman"/>
          <w:szCs w:val="24"/>
          <w:u w:val="single"/>
        </w:rPr>
        <w:t xml:space="preserve">s </w:t>
      </w:r>
      <w:r w:rsidR="003075E4">
        <w:rPr>
          <w:rFonts w:ascii="Times New Roman" w:hAnsi="Times New Roman"/>
          <w:szCs w:val="24"/>
          <w:u w:val="single"/>
        </w:rPr>
        <w:t xml:space="preserve">proposed </w:t>
      </w:r>
      <w:r w:rsidR="006C2783" w:rsidRPr="006C2783">
        <w:rPr>
          <w:rFonts w:ascii="Times New Roman" w:hAnsi="Times New Roman"/>
          <w:szCs w:val="24"/>
          <w:u w:val="single"/>
        </w:rPr>
        <w:t xml:space="preserve">equity reduction </w:t>
      </w:r>
      <w:r w:rsidR="003075E4">
        <w:rPr>
          <w:rFonts w:ascii="Times New Roman" w:hAnsi="Times New Roman"/>
          <w:szCs w:val="24"/>
          <w:u w:val="single"/>
        </w:rPr>
        <w:t xml:space="preserve">would </w:t>
      </w:r>
      <w:r w:rsidR="006C2783" w:rsidRPr="006C2783">
        <w:rPr>
          <w:rFonts w:ascii="Times New Roman" w:hAnsi="Times New Roman"/>
          <w:szCs w:val="24"/>
          <w:u w:val="single"/>
        </w:rPr>
        <w:t xml:space="preserve">destroy the necessary balance agreed to following the Tax Reform Settlement </w:t>
      </w:r>
      <w:r w:rsidR="00F30913">
        <w:rPr>
          <w:rFonts w:ascii="Times New Roman" w:hAnsi="Times New Roman"/>
          <w:szCs w:val="24"/>
          <w:u w:val="single"/>
        </w:rPr>
        <w:t xml:space="preserve">less than two years ago </w:t>
      </w:r>
      <w:r w:rsidR="006C2783" w:rsidRPr="006C2783">
        <w:rPr>
          <w:rFonts w:ascii="Times New Roman" w:hAnsi="Times New Roman"/>
          <w:szCs w:val="24"/>
          <w:u w:val="single"/>
        </w:rPr>
        <w:t xml:space="preserve">and </w:t>
      </w:r>
      <w:r w:rsidR="003075E4">
        <w:rPr>
          <w:rFonts w:ascii="Times New Roman" w:hAnsi="Times New Roman"/>
          <w:szCs w:val="24"/>
          <w:u w:val="single"/>
        </w:rPr>
        <w:t>would</w:t>
      </w:r>
      <w:r w:rsidR="003075E4" w:rsidRPr="006C2783">
        <w:rPr>
          <w:rFonts w:ascii="Times New Roman" w:hAnsi="Times New Roman"/>
          <w:szCs w:val="24"/>
          <w:u w:val="single"/>
        </w:rPr>
        <w:t xml:space="preserve"> </w:t>
      </w:r>
      <w:r w:rsidR="006C2783" w:rsidRPr="006C2783">
        <w:rPr>
          <w:rFonts w:ascii="Times New Roman" w:hAnsi="Times New Roman"/>
          <w:szCs w:val="24"/>
          <w:u w:val="single"/>
        </w:rPr>
        <w:t>not support the Company</w:t>
      </w:r>
      <w:r w:rsidR="006F6CB0">
        <w:rPr>
          <w:rFonts w:ascii="Times New Roman" w:hAnsi="Times New Roman"/>
          <w:szCs w:val="24"/>
          <w:u w:val="single"/>
        </w:rPr>
        <w:t>’</w:t>
      </w:r>
      <w:r w:rsidR="006C2783" w:rsidRPr="006C2783">
        <w:rPr>
          <w:rFonts w:ascii="Times New Roman" w:hAnsi="Times New Roman"/>
          <w:szCs w:val="24"/>
          <w:u w:val="single"/>
        </w:rPr>
        <w:t>s current credit quality</w:t>
      </w:r>
      <w:r w:rsidR="00186C1F" w:rsidRPr="00186C1F">
        <w:rPr>
          <w:rFonts w:ascii="Times New Roman" w:hAnsi="Times New Roman"/>
          <w:szCs w:val="24"/>
        </w:rPr>
        <w:t>.</w:t>
      </w:r>
    </w:p>
    <w:bookmarkEnd w:id="4"/>
    <w:p w14:paraId="0BD95825" w14:textId="1339D400"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bCs/>
          <w:szCs w:val="24"/>
        </w:rPr>
        <w:tab/>
      </w:r>
      <w:r w:rsidR="00186C1F" w:rsidRPr="00186C1F">
        <w:rPr>
          <w:rFonts w:ascii="Times New Roman" w:hAnsi="Times New Roman"/>
          <w:bCs/>
          <w:szCs w:val="24"/>
        </w:rPr>
        <w:t>PIA Staff recommends reducing the allowed equity in the Company</w:t>
      </w:r>
      <w:r w:rsidR="006F6CB0">
        <w:rPr>
          <w:rFonts w:ascii="Times New Roman" w:hAnsi="Times New Roman"/>
          <w:bCs/>
          <w:szCs w:val="24"/>
        </w:rPr>
        <w:t>’</w:t>
      </w:r>
      <w:r w:rsidR="00186C1F" w:rsidRPr="00186C1F">
        <w:rPr>
          <w:rFonts w:ascii="Times New Roman" w:hAnsi="Times New Roman"/>
          <w:bCs/>
          <w:szCs w:val="24"/>
        </w:rPr>
        <w:t>s capital structure by 400 basis points from the level deemed appropriate by this Commission less than two years ago. The Company</w:t>
      </w:r>
      <w:r w:rsidR="006F6CB0">
        <w:rPr>
          <w:rFonts w:ascii="Times New Roman" w:hAnsi="Times New Roman"/>
          <w:bCs/>
          <w:szCs w:val="24"/>
        </w:rPr>
        <w:t>’</w:t>
      </w:r>
      <w:r w:rsidR="00186C1F" w:rsidRPr="00186C1F">
        <w:rPr>
          <w:rFonts w:ascii="Times New Roman" w:hAnsi="Times New Roman"/>
          <w:bCs/>
          <w:szCs w:val="24"/>
        </w:rPr>
        <w:t xml:space="preserve">s allowed equity was reviewed in 2018 following the passage of the </w:t>
      </w:r>
      <w:r w:rsidR="009F2930">
        <w:rPr>
          <w:rFonts w:ascii="Times New Roman" w:hAnsi="Times New Roman"/>
          <w:bCs/>
          <w:szCs w:val="24"/>
        </w:rPr>
        <w:t>Tax Reform Act</w:t>
      </w:r>
      <w:r w:rsidR="00EF0CED">
        <w:rPr>
          <w:rFonts w:ascii="Times New Roman" w:hAnsi="Times New Roman"/>
          <w:bCs/>
          <w:szCs w:val="24"/>
        </w:rPr>
        <w:t>,</w:t>
      </w:r>
      <w:r w:rsidR="00186C1F" w:rsidRPr="00186C1F">
        <w:rPr>
          <w:rFonts w:ascii="Times New Roman" w:hAnsi="Times New Roman"/>
          <w:bCs/>
          <w:szCs w:val="24"/>
        </w:rPr>
        <w:t xml:space="preserve"> which lowered the federal income tax rate from 35% to 21%.</w:t>
      </w:r>
      <w:r w:rsidR="009F2930">
        <w:rPr>
          <w:rFonts w:ascii="Times New Roman" w:hAnsi="Times New Roman"/>
          <w:bCs/>
          <w:szCs w:val="24"/>
        </w:rPr>
        <w:t xml:space="preserve"> (</w:t>
      </w:r>
      <w:r w:rsidR="00592C2E">
        <w:rPr>
          <w:rFonts w:ascii="Times New Roman" w:hAnsi="Times New Roman"/>
          <w:bCs/>
          <w:szCs w:val="24"/>
        </w:rPr>
        <w:t>Tr. 185-86</w:t>
      </w:r>
      <w:r w:rsidR="009F2930">
        <w:rPr>
          <w:rFonts w:ascii="Times New Roman" w:hAnsi="Times New Roman"/>
          <w:bCs/>
          <w:szCs w:val="24"/>
        </w:rPr>
        <w:t>.)</w:t>
      </w:r>
      <w:r w:rsidR="00186C1F" w:rsidRPr="00186C1F">
        <w:rPr>
          <w:rFonts w:ascii="Times New Roman" w:hAnsi="Times New Roman"/>
          <w:bCs/>
          <w:szCs w:val="24"/>
        </w:rPr>
        <w:t xml:space="preserve"> In April of 2018, the Commission </w:t>
      </w:r>
      <w:r w:rsidR="00186C1F" w:rsidRPr="00186C1F">
        <w:rPr>
          <w:rFonts w:ascii="Times New Roman" w:hAnsi="Times New Roman"/>
          <w:szCs w:val="24"/>
        </w:rPr>
        <w:t>adjusted</w:t>
      </w:r>
      <w:r w:rsidR="00186C1F" w:rsidRPr="00186C1F">
        <w:rPr>
          <w:rFonts w:ascii="Times New Roman" w:hAnsi="Times New Roman"/>
          <w:bCs/>
          <w:szCs w:val="24"/>
        </w:rPr>
        <w:t xml:space="preserve"> </w:t>
      </w:r>
      <w:r w:rsidR="00186C1F" w:rsidRPr="00186C1F">
        <w:rPr>
          <w:rFonts w:ascii="Times New Roman" w:hAnsi="Times New Roman"/>
          <w:szCs w:val="24"/>
        </w:rPr>
        <w:t>the Company</w:t>
      </w:r>
      <w:r w:rsidR="006F6CB0">
        <w:rPr>
          <w:rFonts w:ascii="Times New Roman" w:hAnsi="Times New Roman"/>
          <w:szCs w:val="24"/>
        </w:rPr>
        <w:t>’</w:t>
      </w:r>
      <w:r w:rsidR="00186C1F" w:rsidRPr="00186C1F">
        <w:rPr>
          <w:rFonts w:ascii="Times New Roman" w:hAnsi="Times New Roman"/>
          <w:szCs w:val="24"/>
        </w:rPr>
        <w:t xml:space="preserve">s equity ratio upward from 51% (previously approved in the 2013 rate case) to 55% as a part of the Tax </w:t>
      </w:r>
      <w:r w:rsidR="00E04B01">
        <w:rPr>
          <w:rFonts w:ascii="Times New Roman" w:hAnsi="Times New Roman"/>
          <w:szCs w:val="24"/>
        </w:rPr>
        <w:t>Reform Act</w:t>
      </w:r>
      <w:r w:rsidR="00186C1F" w:rsidRPr="00186C1F">
        <w:rPr>
          <w:rFonts w:ascii="Times New Roman" w:hAnsi="Times New Roman"/>
          <w:szCs w:val="24"/>
        </w:rPr>
        <w:t xml:space="preserve"> </w:t>
      </w:r>
      <w:r w:rsidR="00E04B01">
        <w:rPr>
          <w:rFonts w:ascii="Times New Roman" w:hAnsi="Times New Roman"/>
          <w:szCs w:val="24"/>
        </w:rPr>
        <w:t>s</w:t>
      </w:r>
      <w:r w:rsidR="00E04B01" w:rsidRPr="00186C1F">
        <w:rPr>
          <w:rFonts w:ascii="Times New Roman" w:hAnsi="Times New Roman"/>
          <w:szCs w:val="24"/>
        </w:rPr>
        <w:t xml:space="preserve">ettlement </w:t>
      </w:r>
      <w:r w:rsidR="00186C1F" w:rsidRPr="00186C1F">
        <w:rPr>
          <w:rFonts w:ascii="Times New Roman" w:hAnsi="Times New Roman"/>
          <w:szCs w:val="24"/>
        </w:rPr>
        <w:t xml:space="preserve">in Docket No. 36989 (“Tax Reform Settlement”). The equity adjustment approved in the Tax Reform Settlement was </w:t>
      </w:r>
      <w:r w:rsidR="00EF0CED">
        <w:rPr>
          <w:rFonts w:ascii="Times New Roman" w:hAnsi="Times New Roman"/>
          <w:szCs w:val="24"/>
        </w:rPr>
        <w:t xml:space="preserve">intentionally </w:t>
      </w:r>
      <w:r w:rsidR="00186C1F" w:rsidRPr="00186C1F">
        <w:rPr>
          <w:rFonts w:ascii="Times New Roman" w:hAnsi="Times New Roman"/>
          <w:szCs w:val="24"/>
        </w:rPr>
        <w:t>implemented to address the negative implications of tax reform, provide support for maintaining the Company</w:t>
      </w:r>
      <w:r w:rsidR="006F6CB0">
        <w:rPr>
          <w:rFonts w:ascii="Times New Roman" w:hAnsi="Times New Roman"/>
          <w:szCs w:val="24"/>
        </w:rPr>
        <w:t>’</w:t>
      </w:r>
      <w:r w:rsidR="00186C1F" w:rsidRPr="00186C1F">
        <w:rPr>
          <w:rFonts w:ascii="Times New Roman" w:hAnsi="Times New Roman"/>
          <w:szCs w:val="24"/>
        </w:rPr>
        <w:t>s credit profile, and allow the Company timely access to capital markets and the ability to borrow at reasonable interest rates</w:t>
      </w:r>
      <w:r w:rsidR="00EF0CED">
        <w:rPr>
          <w:rFonts w:ascii="Times New Roman" w:hAnsi="Times New Roman"/>
          <w:szCs w:val="24"/>
        </w:rPr>
        <w:t xml:space="preserve"> and terms</w:t>
      </w:r>
      <w:r w:rsidR="00186C1F" w:rsidRPr="00186C1F">
        <w:rPr>
          <w:rFonts w:ascii="Times New Roman" w:hAnsi="Times New Roman"/>
          <w:szCs w:val="24"/>
        </w:rPr>
        <w:t xml:space="preserve">. </w:t>
      </w:r>
      <w:r w:rsidR="00381486">
        <w:rPr>
          <w:rFonts w:ascii="Times New Roman" w:hAnsi="Times New Roman"/>
          <w:szCs w:val="24"/>
        </w:rPr>
        <w:t>(</w:t>
      </w:r>
      <w:r w:rsidR="00592C2E">
        <w:rPr>
          <w:rFonts w:ascii="Times New Roman" w:hAnsi="Times New Roman"/>
          <w:szCs w:val="24"/>
        </w:rPr>
        <w:t xml:space="preserve">Tr. </w:t>
      </w:r>
      <w:r w:rsidR="0026277F">
        <w:rPr>
          <w:rFonts w:ascii="Times New Roman" w:hAnsi="Times New Roman"/>
          <w:szCs w:val="24"/>
        </w:rPr>
        <w:t>2626-27</w:t>
      </w:r>
      <w:r w:rsidR="00381486">
        <w:rPr>
          <w:rFonts w:ascii="Times New Roman" w:hAnsi="Times New Roman"/>
          <w:szCs w:val="24"/>
        </w:rPr>
        <w:t xml:space="preserve">.) </w:t>
      </w:r>
      <w:r w:rsidR="00186C1F" w:rsidRPr="00186C1F">
        <w:rPr>
          <w:rFonts w:ascii="Times New Roman" w:hAnsi="Times New Roman"/>
          <w:szCs w:val="24"/>
        </w:rPr>
        <w:t xml:space="preserve">Since the Tax Reform Settlement was adopted, there have been no subsequent revisions to the Tax Reform Settlement or any change to the </w:t>
      </w:r>
      <w:r w:rsidR="00E04B01">
        <w:rPr>
          <w:rFonts w:ascii="Times New Roman" w:hAnsi="Times New Roman"/>
          <w:szCs w:val="24"/>
        </w:rPr>
        <w:t>Tax Reform Act</w:t>
      </w:r>
      <w:r w:rsidR="00E04B01" w:rsidRPr="00186C1F">
        <w:rPr>
          <w:rFonts w:ascii="Times New Roman" w:hAnsi="Times New Roman"/>
          <w:szCs w:val="24"/>
        </w:rPr>
        <w:t xml:space="preserve"> </w:t>
      </w:r>
      <w:r w:rsidR="00186C1F" w:rsidRPr="00186C1F">
        <w:rPr>
          <w:rFonts w:ascii="Times New Roman" w:hAnsi="Times New Roman"/>
          <w:szCs w:val="24"/>
        </w:rPr>
        <w:t xml:space="preserve">that have altered its impact on regulated utilities or the Company. </w:t>
      </w:r>
      <w:r w:rsidR="0026277F">
        <w:rPr>
          <w:rFonts w:ascii="Times New Roman" w:hAnsi="Times New Roman"/>
          <w:szCs w:val="24"/>
        </w:rPr>
        <w:t xml:space="preserve">(Tr. 2627.) </w:t>
      </w:r>
      <w:r w:rsidR="00186C1F" w:rsidRPr="00186C1F">
        <w:rPr>
          <w:rFonts w:ascii="Times New Roman" w:hAnsi="Times New Roman"/>
          <w:szCs w:val="24"/>
        </w:rPr>
        <w:t xml:space="preserve">Since the negative impacts of tax reform on credit metrics remain going forward, it is </w:t>
      </w:r>
      <w:r w:rsidR="00F30913">
        <w:rPr>
          <w:rFonts w:ascii="Times New Roman" w:hAnsi="Times New Roman"/>
          <w:szCs w:val="24"/>
        </w:rPr>
        <w:t>irresponsible</w:t>
      </w:r>
      <w:r w:rsidR="00F30913" w:rsidRPr="00186C1F">
        <w:rPr>
          <w:rFonts w:ascii="Times New Roman" w:hAnsi="Times New Roman"/>
          <w:szCs w:val="24"/>
        </w:rPr>
        <w:t xml:space="preserve"> </w:t>
      </w:r>
      <w:r w:rsidR="00186C1F" w:rsidRPr="00186C1F">
        <w:rPr>
          <w:rFonts w:ascii="Times New Roman" w:hAnsi="Times New Roman"/>
          <w:szCs w:val="24"/>
        </w:rPr>
        <w:t>to reduce the Company</w:t>
      </w:r>
      <w:r w:rsidR="006F6CB0">
        <w:rPr>
          <w:rFonts w:ascii="Times New Roman" w:hAnsi="Times New Roman"/>
          <w:szCs w:val="24"/>
        </w:rPr>
        <w:t>’</w:t>
      </w:r>
      <w:r w:rsidR="00186C1F" w:rsidRPr="00186C1F">
        <w:rPr>
          <w:rFonts w:ascii="Times New Roman" w:hAnsi="Times New Roman"/>
          <w:szCs w:val="24"/>
        </w:rPr>
        <w:t xml:space="preserve">s equity ratio to the pre-tax reform level of equity. </w:t>
      </w:r>
      <w:r w:rsidR="0026277F">
        <w:rPr>
          <w:rFonts w:ascii="Times New Roman" w:hAnsi="Times New Roman"/>
          <w:szCs w:val="24"/>
        </w:rPr>
        <w:t>(</w:t>
      </w:r>
      <w:r w:rsidR="0026277F" w:rsidRPr="00CB6BED">
        <w:rPr>
          <w:rFonts w:ascii="Times New Roman" w:hAnsi="Times New Roman"/>
          <w:i/>
          <w:szCs w:val="24"/>
        </w:rPr>
        <w:t>Id</w:t>
      </w:r>
      <w:r w:rsidR="0026277F">
        <w:rPr>
          <w:rFonts w:ascii="Times New Roman" w:hAnsi="Times New Roman"/>
          <w:szCs w:val="24"/>
        </w:rPr>
        <w:t>.)</w:t>
      </w:r>
    </w:p>
    <w:p w14:paraId="2C173F16" w14:textId="27DEC3E7"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bCs/>
          <w:szCs w:val="24"/>
        </w:rPr>
      </w:pPr>
      <w:r>
        <w:rPr>
          <w:rFonts w:ascii="Times New Roman" w:hAnsi="Times New Roman"/>
          <w:szCs w:val="24"/>
        </w:rPr>
        <w:tab/>
      </w:r>
      <w:r w:rsidR="00186C1F" w:rsidRPr="00186C1F">
        <w:rPr>
          <w:rFonts w:ascii="Times New Roman" w:hAnsi="Times New Roman"/>
          <w:szCs w:val="24"/>
        </w:rPr>
        <w:t>Each of the three credit rating agencies have issued a Georgia Power</w:t>
      </w:r>
      <w:r w:rsidR="00C40843">
        <w:rPr>
          <w:rFonts w:ascii="Times New Roman" w:hAnsi="Times New Roman"/>
          <w:szCs w:val="24"/>
        </w:rPr>
        <w:t>-</w:t>
      </w:r>
      <w:r w:rsidR="00186C1F" w:rsidRPr="00186C1F">
        <w:rPr>
          <w:rFonts w:ascii="Times New Roman" w:hAnsi="Times New Roman"/>
          <w:szCs w:val="24"/>
        </w:rPr>
        <w:t xml:space="preserve">specific credit opinion since the Tax Reform Settlement was approved. </w:t>
      </w:r>
      <w:r w:rsidR="00381486">
        <w:rPr>
          <w:rFonts w:ascii="Times New Roman" w:hAnsi="Times New Roman"/>
          <w:szCs w:val="24"/>
        </w:rPr>
        <w:t>(</w:t>
      </w:r>
      <w:r w:rsidR="00381486">
        <w:rPr>
          <w:rFonts w:ascii="Times New Roman" w:hAnsi="Times New Roman"/>
          <w:i/>
          <w:szCs w:val="24"/>
        </w:rPr>
        <w:t>See</w:t>
      </w:r>
      <w:r w:rsidR="00D7137A">
        <w:rPr>
          <w:rFonts w:ascii="Times New Roman" w:hAnsi="Times New Roman"/>
          <w:i/>
          <w:szCs w:val="24"/>
        </w:rPr>
        <w:t xml:space="preserve"> </w:t>
      </w:r>
      <w:r w:rsidR="00D7137A">
        <w:rPr>
          <w:rFonts w:ascii="Times New Roman" w:hAnsi="Times New Roman"/>
          <w:szCs w:val="24"/>
        </w:rPr>
        <w:t>Tr. 214, 2619-20</w:t>
      </w:r>
      <w:r w:rsidR="00381486">
        <w:rPr>
          <w:rFonts w:ascii="Times New Roman" w:hAnsi="Times New Roman"/>
          <w:szCs w:val="24"/>
        </w:rPr>
        <w:t xml:space="preserve">.) </w:t>
      </w:r>
      <w:r w:rsidR="00186C1F" w:rsidRPr="00186C1F">
        <w:rPr>
          <w:rFonts w:ascii="Times New Roman" w:hAnsi="Times New Roman"/>
          <w:szCs w:val="24"/>
        </w:rPr>
        <w:t xml:space="preserve">As such, the revised 55% equity level is one of the critical assumptions upon which their projections and opinions were based. </w:t>
      </w:r>
      <w:r w:rsidR="001E3FDB">
        <w:rPr>
          <w:rFonts w:ascii="Times New Roman" w:hAnsi="Times New Roman"/>
          <w:szCs w:val="24"/>
        </w:rPr>
        <w:t>In 2018, the Commission Staff made an independent inquiry regarding the credit rating agency support or reaction to the then-proposed 55% equity level.</w:t>
      </w:r>
      <w:r w:rsidR="00B46F26">
        <w:rPr>
          <w:rFonts w:ascii="Times New Roman" w:hAnsi="Times New Roman"/>
          <w:szCs w:val="24"/>
        </w:rPr>
        <w:t xml:space="preserve"> PIA Staff and its witnesses did not initiate a similar inquiry to determine the credit rating agencies’ </w:t>
      </w:r>
      <w:r w:rsidR="00A91982">
        <w:rPr>
          <w:rFonts w:ascii="Times New Roman" w:hAnsi="Times New Roman"/>
          <w:szCs w:val="24"/>
        </w:rPr>
        <w:t>likely response</w:t>
      </w:r>
      <w:r w:rsidR="00B46F26">
        <w:rPr>
          <w:rFonts w:ascii="Times New Roman" w:hAnsi="Times New Roman"/>
          <w:szCs w:val="24"/>
        </w:rPr>
        <w:t xml:space="preserve"> to PIA Staff’s </w:t>
      </w:r>
      <w:r w:rsidR="00B46F26">
        <w:rPr>
          <w:rFonts w:ascii="Times New Roman" w:hAnsi="Times New Roman"/>
          <w:szCs w:val="24"/>
        </w:rPr>
        <w:lastRenderedPageBreak/>
        <w:t>recommendations in this case.</w:t>
      </w:r>
      <w:r w:rsidR="001E3FDB">
        <w:rPr>
          <w:rFonts w:ascii="Times New Roman" w:hAnsi="Times New Roman"/>
          <w:szCs w:val="24"/>
        </w:rPr>
        <w:t xml:space="preserve"> </w:t>
      </w:r>
      <w:r w:rsidR="00186C1F" w:rsidRPr="00186C1F">
        <w:rPr>
          <w:rFonts w:ascii="Times New Roman" w:hAnsi="Times New Roman"/>
          <w:szCs w:val="24"/>
        </w:rPr>
        <w:t>Reducing the Company</w:t>
      </w:r>
      <w:r w:rsidR="006F6CB0">
        <w:rPr>
          <w:rFonts w:ascii="Times New Roman" w:hAnsi="Times New Roman"/>
          <w:szCs w:val="24"/>
        </w:rPr>
        <w:t>’</w:t>
      </w:r>
      <w:r w:rsidR="00186C1F" w:rsidRPr="00186C1F">
        <w:rPr>
          <w:rFonts w:ascii="Times New Roman" w:hAnsi="Times New Roman"/>
          <w:szCs w:val="24"/>
        </w:rPr>
        <w:t>s equity level by 400 basis points back to the pre-tax reform level approved in 2013 is significant enough to trigger a revised outlook from the credit agencies and threatens a downgrade. Although the Tax Reform Settlement reserved the Commission</w:t>
      </w:r>
      <w:r w:rsidR="006F6CB0">
        <w:rPr>
          <w:rFonts w:ascii="Times New Roman" w:hAnsi="Times New Roman"/>
          <w:szCs w:val="24"/>
        </w:rPr>
        <w:t>’</w:t>
      </w:r>
      <w:r w:rsidR="00186C1F" w:rsidRPr="00186C1F">
        <w:rPr>
          <w:rFonts w:ascii="Times New Roman" w:hAnsi="Times New Roman"/>
          <w:szCs w:val="24"/>
        </w:rPr>
        <w:t>s right to address the appropriate equity level in the Company</w:t>
      </w:r>
      <w:r w:rsidR="006F6CB0">
        <w:rPr>
          <w:rFonts w:ascii="Times New Roman" w:hAnsi="Times New Roman"/>
          <w:szCs w:val="24"/>
        </w:rPr>
        <w:t>’</w:t>
      </w:r>
      <w:r w:rsidR="00186C1F" w:rsidRPr="00186C1F">
        <w:rPr>
          <w:rFonts w:ascii="Times New Roman" w:hAnsi="Times New Roman"/>
          <w:szCs w:val="24"/>
        </w:rPr>
        <w:t>s capital structure, the lack of changed circumstances do</w:t>
      </w:r>
      <w:r w:rsidR="00E64B30">
        <w:rPr>
          <w:rFonts w:ascii="Times New Roman" w:hAnsi="Times New Roman"/>
          <w:szCs w:val="24"/>
        </w:rPr>
        <w:t>es</w:t>
      </w:r>
      <w:r w:rsidR="00186C1F" w:rsidRPr="00186C1F">
        <w:rPr>
          <w:rFonts w:ascii="Times New Roman" w:hAnsi="Times New Roman"/>
          <w:szCs w:val="24"/>
        </w:rPr>
        <w:t xml:space="preserve"> not warrant a reduction to the equity level and PIA Staff </w:t>
      </w:r>
      <w:r w:rsidR="00ED17CE">
        <w:rPr>
          <w:rFonts w:ascii="Times New Roman" w:hAnsi="Times New Roman"/>
          <w:szCs w:val="24"/>
        </w:rPr>
        <w:t>has</w:t>
      </w:r>
      <w:r w:rsidR="00ED17CE" w:rsidRPr="00186C1F">
        <w:rPr>
          <w:rFonts w:ascii="Times New Roman" w:hAnsi="Times New Roman"/>
          <w:szCs w:val="24"/>
        </w:rPr>
        <w:t xml:space="preserve"> </w:t>
      </w:r>
      <w:r w:rsidR="00186C1F" w:rsidRPr="00186C1F">
        <w:rPr>
          <w:rFonts w:ascii="Times New Roman" w:hAnsi="Times New Roman"/>
          <w:szCs w:val="24"/>
        </w:rPr>
        <w:t xml:space="preserve">not articulated a justifiable reason to depart from the currently approved 55% equity level. </w:t>
      </w:r>
      <w:r w:rsidR="008D59A1">
        <w:rPr>
          <w:rFonts w:ascii="Times New Roman" w:hAnsi="Times New Roman"/>
          <w:szCs w:val="24"/>
        </w:rPr>
        <w:t xml:space="preserve">PIA Staff offers no justification for reducing the equity component of the Company’s capital structure below that approved by the Commission </w:t>
      </w:r>
      <w:r w:rsidR="00F30913">
        <w:rPr>
          <w:rFonts w:ascii="Times New Roman" w:hAnsi="Times New Roman"/>
          <w:szCs w:val="24"/>
        </w:rPr>
        <w:t xml:space="preserve">less than two years ago </w:t>
      </w:r>
      <w:r w:rsidR="008D59A1" w:rsidRPr="00186C1F">
        <w:rPr>
          <w:rFonts w:ascii="Times New Roman" w:hAnsi="Times New Roman"/>
          <w:szCs w:val="24"/>
        </w:rPr>
        <w:t>and</w:t>
      </w:r>
      <w:r w:rsidR="008D59A1">
        <w:rPr>
          <w:rFonts w:ascii="Times New Roman" w:hAnsi="Times New Roman"/>
          <w:szCs w:val="24"/>
        </w:rPr>
        <w:t xml:space="preserve"> fails to address the increased financial risk associated with the change </w:t>
      </w:r>
      <w:r w:rsidR="00ED17CE">
        <w:rPr>
          <w:rFonts w:ascii="Times New Roman" w:hAnsi="Times New Roman"/>
          <w:szCs w:val="24"/>
        </w:rPr>
        <w:t xml:space="preserve">it </w:t>
      </w:r>
      <w:r w:rsidR="008D59A1">
        <w:rPr>
          <w:rFonts w:ascii="Times New Roman" w:hAnsi="Times New Roman"/>
          <w:szCs w:val="24"/>
        </w:rPr>
        <w:t>propose</w:t>
      </w:r>
      <w:r w:rsidR="00ED17CE">
        <w:rPr>
          <w:rFonts w:ascii="Times New Roman" w:hAnsi="Times New Roman"/>
          <w:szCs w:val="24"/>
        </w:rPr>
        <w:t>s</w:t>
      </w:r>
      <w:r w:rsidR="008D59A1">
        <w:rPr>
          <w:rFonts w:ascii="Times New Roman" w:hAnsi="Times New Roman"/>
          <w:szCs w:val="24"/>
        </w:rPr>
        <w:t>.</w:t>
      </w:r>
    </w:p>
    <w:p w14:paraId="5FC4D33B" w14:textId="05E405B8" w:rsidR="00EC117B" w:rsidRDefault="008F4BDF" w:rsidP="008D59A1">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5" w:name="_Hlk26111459"/>
      <w:r>
        <w:rPr>
          <w:rFonts w:ascii="Times New Roman" w:hAnsi="Times New Roman"/>
          <w:szCs w:val="24"/>
        </w:rPr>
        <w:t>4</w:t>
      </w:r>
      <w:r w:rsidR="00533458">
        <w:rPr>
          <w:rFonts w:ascii="Times New Roman" w:hAnsi="Times New Roman"/>
          <w:szCs w:val="24"/>
        </w:rPr>
        <w:t>.</w:t>
      </w:r>
      <w:r w:rsidR="00533458">
        <w:rPr>
          <w:rFonts w:ascii="Times New Roman" w:hAnsi="Times New Roman"/>
          <w:szCs w:val="24"/>
        </w:rPr>
        <w:tab/>
      </w:r>
      <w:r w:rsidR="007C4770" w:rsidRPr="00000ECC">
        <w:rPr>
          <w:rFonts w:ascii="Times New Roman" w:hAnsi="Times New Roman"/>
          <w:u w:val="single"/>
        </w:rPr>
        <w:t>FFO to Debt must be maintained to ensure the Company retains its credit rating</w:t>
      </w:r>
      <w:r w:rsidR="006A0A4E" w:rsidRPr="007C4770">
        <w:rPr>
          <w:rFonts w:ascii="Times New Roman" w:hAnsi="Times New Roman"/>
          <w:szCs w:val="24"/>
        </w:rPr>
        <w:t>.</w:t>
      </w:r>
      <w:r w:rsidR="006A0A4E">
        <w:rPr>
          <w:rFonts w:ascii="Times New Roman" w:hAnsi="Times New Roman"/>
          <w:szCs w:val="24"/>
        </w:rPr>
        <w:t xml:space="preserve"> </w:t>
      </w:r>
    </w:p>
    <w:bookmarkEnd w:id="5"/>
    <w:p w14:paraId="329DF058" w14:textId="222EE4F1" w:rsidR="00EC117B" w:rsidRDefault="009636D1" w:rsidP="007C4770">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r>
      <w:r w:rsidR="00F13A45">
        <w:rPr>
          <w:rFonts w:ascii="Times New Roman" w:hAnsi="Times New Roman"/>
          <w:szCs w:val="24"/>
        </w:rPr>
        <w:t xml:space="preserve">The Company’s request in this case carefully sought to ensure the Company could continue to </w:t>
      </w:r>
      <w:r w:rsidR="00F13A45" w:rsidRPr="00F13A45">
        <w:rPr>
          <w:rFonts w:ascii="Times New Roman" w:hAnsi="Times New Roman"/>
          <w:szCs w:val="24"/>
        </w:rPr>
        <w:t>access</w:t>
      </w:r>
      <w:r w:rsidR="00F13A45">
        <w:rPr>
          <w:rFonts w:ascii="Times New Roman" w:hAnsi="Times New Roman"/>
          <w:szCs w:val="24"/>
        </w:rPr>
        <w:t xml:space="preserve"> </w:t>
      </w:r>
      <w:r w:rsidR="00F13A45" w:rsidRPr="00F13A45">
        <w:rPr>
          <w:rFonts w:ascii="Times New Roman" w:hAnsi="Times New Roman"/>
          <w:szCs w:val="24"/>
        </w:rPr>
        <w:t xml:space="preserve">capital markets to meet </w:t>
      </w:r>
      <w:r w:rsidR="00EF0CED">
        <w:rPr>
          <w:rFonts w:ascii="Times New Roman" w:hAnsi="Times New Roman"/>
          <w:szCs w:val="24"/>
        </w:rPr>
        <w:t xml:space="preserve">the </w:t>
      </w:r>
      <w:r w:rsidR="00F13A45" w:rsidRPr="00F13A45">
        <w:rPr>
          <w:rFonts w:ascii="Times New Roman" w:hAnsi="Times New Roman"/>
          <w:szCs w:val="24"/>
        </w:rPr>
        <w:t>future</w:t>
      </w:r>
      <w:r w:rsidR="00F13A45">
        <w:rPr>
          <w:rFonts w:ascii="Times New Roman" w:hAnsi="Times New Roman"/>
          <w:szCs w:val="24"/>
        </w:rPr>
        <w:t xml:space="preserve"> </w:t>
      </w:r>
      <w:r w:rsidR="00F13A45" w:rsidRPr="00F13A45">
        <w:rPr>
          <w:rFonts w:ascii="Times New Roman" w:hAnsi="Times New Roman"/>
          <w:szCs w:val="24"/>
        </w:rPr>
        <w:t>needs</w:t>
      </w:r>
      <w:r w:rsidR="00EF0CED">
        <w:rPr>
          <w:rFonts w:ascii="Times New Roman" w:hAnsi="Times New Roman"/>
          <w:szCs w:val="24"/>
        </w:rPr>
        <w:t xml:space="preserve"> of customers</w:t>
      </w:r>
      <w:r w:rsidR="00F13A45">
        <w:rPr>
          <w:rFonts w:ascii="Times New Roman" w:hAnsi="Times New Roman"/>
          <w:szCs w:val="24"/>
        </w:rPr>
        <w:t xml:space="preserve">, </w:t>
      </w:r>
      <w:r w:rsidR="00CE12DF">
        <w:rPr>
          <w:rFonts w:ascii="Times New Roman" w:hAnsi="Times New Roman"/>
          <w:szCs w:val="24"/>
        </w:rPr>
        <w:t xml:space="preserve">continue </w:t>
      </w:r>
      <w:r w:rsidR="00F13A45">
        <w:rPr>
          <w:rFonts w:ascii="Times New Roman" w:hAnsi="Times New Roman"/>
          <w:szCs w:val="24"/>
        </w:rPr>
        <w:t>to provide</w:t>
      </w:r>
      <w:r w:rsidR="00F13A45" w:rsidRPr="00F13A45">
        <w:rPr>
          <w:rFonts w:ascii="Times New Roman" w:hAnsi="Times New Roman"/>
          <w:szCs w:val="24"/>
        </w:rPr>
        <w:t xml:space="preserve"> high levels of service and </w:t>
      </w:r>
      <w:r w:rsidR="00CD72D0">
        <w:rPr>
          <w:rFonts w:ascii="Times New Roman" w:hAnsi="Times New Roman"/>
          <w:szCs w:val="24"/>
        </w:rPr>
        <w:t>preserve</w:t>
      </w:r>
      <w:r w:rsidR="00B937F6">
        <w:rPr>
          <w:rFonts w:ascii="Times New Roman" w:hAnsi="Times New Roman"/>
          <w:szCs w:val="24"/>
        </w:rPr>
        <w:t xml:space="preserve"> the</w:t>
      </w:r>
      <w:r w:rsidR="00F13A45">
        <w:rPr>
          <w:rFonts w:ascii="Times New Roman" w:hAnsi="Times New Roman"/>
          <w:szCs w:val="24"/>
        </w:rPr>
        <w:t xml:space="preserve"> o</w:t>
      </w:r>
      <w:r w:rsidR="00F13A45" w:rsidRPr="00F13A45">
        <w:rPr>
          <w:rFonts w:ascii="Times New Roman" w:hAnsi="Times New Roman"/>
          <w:szCs w:val="24"/>
        </w:rPr>
        <w:t>pportunity</w:t>
      </w:r>
      <w:r w:rsidR="00F13A45">
        <w:rPr>
          <w:rFonts w:ascii="Times New Roman" w:hAnsi="Times New Roman"/>
          <w:szCs w:val="24"/>
        </w:rPr>
        <w:t xml:space="preserve"> t</w:t>
      </w:r>
      <w:r w:rsidR="00F13A45" w:rsidRPr="00F13A45">
        <w:rPr>
          <w:rFonts w:ascii="Times New Roman" w:hAnsi="Times New Roman"/>
          <w:szCs w:val="24"/>
        </w:rPr>
        <w:t xml:space="preserve">o earn </w:t>
      </w:r>
      <w:r w:rsidR="00EF0CED">
        <w:rPr>
          <w:rFonts w:ascii="Times New Roman" w:hAnsi="Times New Roman"/>
          <w:szCs w:val="24"/>
        </w:rPr>
        <w:t>a fair</w:t>
      </w:r>
      <w:r w:rsidR="009C08A5">
        <w:rPr>
          <w:rFonts w:ascii="Times New Roman" w:hAnsi="Times New Roman"/>
          <w:szCs w:val="24"/>
        </w:rPr>
        <w:t xml:space="preserve"> return </w:t>
      </w:r>
      <w:r w:rsidR="00F13A45" w:rsidRPr="00F13A45">
        <w:rPr>
          <w:rFonts w:ascii="Times New Roman" w:hAnsi="Times New Roman"/>
          <w:szCs w:val="24"/>
        </w:rPr>
        <w:t>on investments</w:t>
      </w:r>
      <w:r w:rsidR="00F13A45">
        <w:rPr>
          <w:rFonts w:ascii="Times New Roman" w:hAnsi="Times New Roman"/>
          <w:szCs w:val="24"/>
        </w:rPr>
        <w:t xml:space="preserve"> </w:t>
      </w:r>
      <w:r w:rsidR="00F13A45" w:rsidRPr="00F13A45">
        <w:rPr>
          <w:rFonts w:ascii="Times New Roman" w:hAnsi="Times New Roman"/>
          <w:szCs w:val="24"/>
        </w:rPr>
        <w:t>necessary</w:t>
      </w:r>
      <w:r w:rsidR="00F13A45">
        <w:rPr>
          <w:rFonts w:ascii="Times New Roman" w:hAnsi="Times New Roman"/>
          <w:szCs w:val="24"/>
        </w:rPr>
        <w:t xml:space="preserve"> </w:t>
      </w:r>
      <w:r w:rsidR="00F13A45" w:rsidRPr="00F13A45">
        <w:rPr>
          <w:rFonts w:ascii="Times New Roman" w:hAnsi="Times New Roman"/>
          <w:szCs w:val="24"/>
        </w:rPr>
        <w:t>to</w:t>
      </w:r>
      <w:r w:rsidR="00F13A45">
        <w:rPr>
          <w:rFonts w:ascii="Times New Roman" w:hAnsi="Times New Roman"/>
          <w:szCs w:val="24"/>
        </w:rPr>
        <w:t xml:space="preserve"> </w:t>
      </w:r>
      <w:r w:rsidR="00F13A45" w:rsidRPr="00F13A45">
        <w:rPr>
          <w:rFonts w:ascii="Times New Roman" w:hAnsi="Times New Roman"/>
          <w:szCs w:val="24"/>
        </w:rPr>
        <w:t>support</w:t>
      </w:r>
      <w:r w:rsidR="00F13A45">
        <w:rPr>
          <w:rFonts w:ascii="Times New Roman" w:hAnsi="Times New Roman"/>
          <w:szCs w:val="24"/>
        </w:rPr>
        <w:t xml:space="preserve"> </w:t>
      </w:r>
      <w:r w:rsidR="007F4277">
        <w:rPr>
          <w:rFonts w:ascii="Times New Roman" w:hAnsi="Times New Roman"/>
          <w:szCs w:val="24"/>
        </w:rPr>
        <w:t xml:space="preserve">a </w:t>
      </w:r>
      <w:r w:rsidR="00F13A45" w:rsidRPr="00F13A45">
        <w:rPr>
          <w:rFonts w:ascii="Times New Roman" w:hAnsi="Times New Roman"/>
          <w:szCs w:val="24"/>
        </w:rPr>
        <w:t>well-run and efficient</w:t>
      </w:r>
      <w:r w:rsidR="00F13A45">
        <w:rPr>
          <w:rFonts w:ascii="Times New Roman" w:hAnsi="Times New Roman"/>
          <w:szCs w:val="24"/>
        </w:rPr>
        <w:t xml:space="preserve"> </w:t>
      </w:r>
      <w:r w:rsidR="00F13A45" w:rsidRPr="00F13A45">
        <w:rPr>
          <w:rFonts w:ascii="Times New Roman" w:hAnsi="Times New Roman"/>
          <w:szCs w:val="24"/>
        </w:rPr>
        <w:t>utility</w:t>
      </w:r>
      <w:r w:rsidR="00F13A45">
        <w:rPr>
          <w:rFonts w:ascii="Times New Roman" w:hAnsi="Times New Roman"/>
          <w:szCs w:val="24"/>
        </w:rPr>
        <w:t>.</w:t>
      </w:r>
      <w:r w:rsidR="00B937F6">
        <w:rPr>
          <w:rFonts w:ascii="Times New Roman" w:hAnsi="Times New Roman"/>
          <w:szCs w:val="24"/>
        </w:rPr>
        <w:t xml:space="preserve"> The Company calculated its FFO to Debt ratio to evaluate how its recommendations would impact Georgia Power’s credit ratings. </w:t>
      </w:r>
      <w:r w:rsidR="00ED407F">
        <w:rPr>
          <w:rFonts w:ascii="Times New Roman" w:hAnsi="Times New Roman"/>
          <w:szCs w:val="24"/>
        </w:rPr>
        <w:t xml:space="preserve">Georgia Power’s recommendations in this proceeding result in </w:t>
      </w:r>
      <w:r w:rsidR="00CE12DF">
        <w:rPr>
          <w:rFonts w:ascii="Times New Roman" w:hAnsi="Times New Roman"/>
          <w:szCs w:val="24"/>
        </w:rPr>
        <w:t>average</w:t>
      </w:r>
      <w:r w:rsidR="00ED407F">
        <w:rPr>
          <w:rFonts w:ascii="Times New Roman" w:hAnsi="Times New Roman"/>
          <w:szCs w:val="24"/>
        </w:rPr>
        <w:t xml:space="preserve"> FFO to Debt </w:t>
      </w:r>
      <w:r w:rsidR="00CD72D0">
        <w:rPr>
          <w:rFonts w:ascii="Times New Roman" w:hAnsi="Times New Roman"/>
          <w:szCs w:val="24"/>
        </w:rPr>
        <w:t>ratio</w:t>
      </w:r>
      <w:r w:rsidR="00F30913">
        <w:rPr>
          <w:rFonts w:ascii="Times New Roman" w:hAnsi="Times New Roman"/>
          <w:szCs w:val="24"/>
        </w:rPr>
        <w:t>s</w:t>
      </w:r>
      <w:r w:rsidR="00ED407F">
        <w:rPr>
          <w:rFonts w:ascii="Times New Roman" w:hAnsi="Times New Roman"/>
          <w:szCs w:val="24"/>
        </w:rPr>
        <w:t xml:space="preserve"> </w:t>
      </w:r>
      <w:r w:rsidR="00CE12DF">
        <w:rPr>
          <w:rFonts w:ascii="Times New Roman" w:hAnsi="Times New Roman"/>
          <w:szCs w:val="24"/>
        </w:rPr>
        <w:t xml:space="preserve">over the three-year ARP period </w:t>
      </w:r>
      <w:r w:rsidR="00ED407F">
        <w:rPr>
          <w:rFonts w:ascii="Times New Roman" w:hAnsi="Times New Roman"/>
          <w:szCs w:val="24"/>
        </w:rPr>
        <w:t xml:space="preserve">of </w:t>
      </w:r>
      <w:r w:rsidR="00CE12DF">
        <w:rPr>
          <w:rFonts w:ascii="Times New Roman" w:hAnsi="Times New Roman"/>
          <w:szCs w:val="24"/>
        </w:rPr>
        <w:t xml:space="preserve">approximately </w:t>
      </w:r>
      <w:r w:rsidR="00ED407F">
        <w:rPr>
          <w:rFonts w:ascii="Times New Roman" w:hAnsi="Times New Roman"/>
          <w:szCs w:val="24"/>
        </w:rPr>
        <w:t xml:space="preserve">21% and 16% for </w:t>
      </w:r>
      <w:r w:rsidR="00CE12DF">
        <w:rPr>
          <w:rFonts w:ascii="Times New Roman" w:hAnsi="Times New Roman"/>
          <w:szCs w:val="24"/>
        </w:rPr>
        <w:t>Moody</w:t>
      </w:r>
      <w:r w:rsidR="00CD72D0">
        <w:rPr>
          <w:rFonts w:ascii="Times New Roman" w:hAnsi="Times New Roman"/>
          <w:szCs w:val="24"/>
        </w:rPr>
        <w:t>’</w:t>
      </w:r>
      <w:r w:rsidR="00CE12DF">
        <w:rPr>
          <w:rFonts w:ascii="Times New Roman" w:hAnsi="Times New Roman"/>
          <w:szCs w:val="24"/>
        </w:rPr>
        <w:t xml:space="preserve">s and S&amp;P, respectively. </w:t>
      </w:r>
      <w:r w:rsidR="00381486">
        <w:rPr>
          <w:rFonts w:ascii="Times New Roman" w:hAnsi="Times New Roman"/>
          <w:szCs w:val="24"/>
        </w:rPr>
        <w:t>(</w:t>
      </w:r>
      <w:r w:rsidR="001F3297">
        <w:rPr>
          <w:rFonts w:ascii="Times New Roman" w:hAnsi="Times New Roman"/>
          <w:szCs w:val="24"/>
        </w:rPr>
        <w:t>Tr. 2626</w:t>
      </w:r>
      <w:r w:rsidR="00381486">
        <w:rPr>
          <w:rFonts w:ascii="Times New Roman" w:hAnsi="Times New Roman"/>
          <w:szCs w:val="24"/>
        </w:rPr>
        <w:t xml:space="preserve">.) </w:t>
      </w:r>
      <w:r w:rsidR="00CE12DF">
        <w:rPr>
          <w:rFonts w:ascii="Times New Roman" w:hAnsi="Times New Roman"/>
          <w:szCs w:val="24"/>
        </w:rPr>
        <w:t>At these levels, the Company’s cash flow and financial risk will remain at levels</w:t>
      </w:r>
      <w:r w:rsidR="00ED407F">
        <w:rPr>
          <w:rFonts w:ascii="Times New Roman" w:hAnsi="Times New Roman"/>
          <w:szCs w:val="24"/>
        </w:rPr>
        <w:t xml:space="preserve"> within </w:t>
      </w:r>
      <w:r w:rsidR="00CE12DF">
        <w:rPr>
          <w:rFonts w:ascii="Times New Roman" w:hAnsi="Times New Roman"/>
          <w:szCs w:val="24"/>
        </w:rPr>
        <w:t xml:space="preserve">Moody’s 20-23% range and above S&amp;P’s 15% threshold for </w:t>
      </w:r>
      <w:r w:rsidR="00ED407F">
        <w:rPr>
          <w:rFonts w:ascii="Times New Roman" w:hAnsi="Times New Roman"/>
          <w:szCs w:val="24"/>
        </w:rPr>
        <w:t>FFO to Debt ratios</w:t>
      </w:r>
      <w:r w:rsidR="00CE12DF">
        <w:rPr>
          <w:rFonts w:ascii="Times New Roman" w:hAnsi="Times New Roman"/>
          <w:szCs w:val="24"/>
        </w:rPr>
        <w:t xml:space="preserve"> (or equivalent calculations) that are likely to </w:t>
      </w:r>
      <w:r w:rsidR="00F30913">
        <w:rPr>
          <w:rFonts w:ascii="Times New Roman" w:hAnsi="Times New Roman"/>
          <w:szCs w:val="24"/>
        </w:rPr>
        <w:t>continue meeting</w:t>
      </w:r>
      <w:r w:rsidR="00CE12DF">
        <w:rPr>
          <w:rFonts w:ascii="Times New Roman" w:hAnsi="Times New Roman"/>
          <w:szCs w:val="24"/>
        </w:rPr>
        <w:t xml:space="preserve"> the credit </w:t>
      </w:r>
      <w:r w:rsidR="004D4636">
        <w:rPr>
          <w:rFonts w:ascii="Times New Roman" w:hAnsi="Times New Roman"/>
          <w:szCs w:val="24"/>
        </w:rPr>
        <w:t xml:space="preserve">rating </w:t>
      </w:r>
      <w:r w:rsidR="00CE12DF">
        <w:rPr>
          <w:rFonts w:ascii="Times New Roman" w:hAnsi="Times New Roman"/>
          <w:szCs w:val="24"/>
        </w:rPr>
        <w:t>agencies</w:t>
      </w:r>
      <w:r w:rsidR="00F30913">
        <w:rPr>
          <w:rFonts w:ascii="Times New Roman" w:hAnsi="Times New Roman"/>
          <w:szCs w:val="24"/>
        </w:rPr>
        <w:t>’</w:t>
      </w:r>
      <w:r w:rsidR="00CE12DF">
        <w:rPr>
          <w:rFonts w:ascii="Times New Roman" w:hAnsi="Times New Roman"/>
          <w:szCs w:val="24"/>
        </w:rPr>
        <w:t xml:space="preserve"> expectations and keep the Company’s credit quality stable. </w:t>
      </w:r>
      <w:r w:rsidR="00381486">
        <w:rPr>
          <w:rFonts w:ascii="Times New Roman" w:hAnsi="Times New Roman"/>
          <w:szCs w:val="24"/>
        </w:rPr>
        <w:t>(</w:t>
      </w:r>
      <w:r w:rsidR="001E4EF6">
        <w:rPr>
          <w:rFonts w:ascii="Times New Roman" w:hAnsi="Times New Roman"/>
          <w:szCs w:val="24"/>
        </w:rPr>
        <w:t>Tr. 2623</w:t>
      </w:r>
      <w:r w:rsidR="00381486">
        <w:rPr>
          <w:rFonts w:ascii="Times New Roman" w:hAnsi="Times New Roman"/>
          <w:szCs w:val="24"/>
        </w:rPr>
        <w:t>.)</w:t>
      </w:r>
      <w:r w:rsidR="00ED407F">
        <w:rPr>
          <w:rFonts w:ascii="Times New Roman" w:hAnsi="Times New Roman"/>
          <w:szCs w:val="24"/>
        </w:rPr>
        <w:t xml:space="preserve"> </w:t>
      </w:r>
      <w:r w:rsidR="00B543F8" w:rsidRPr="00B543F8">
        <w:rPr>
          <w:rFonts w:ascii="Times New Roman" w:hAnsi="Times New Roman"/>
          <w:szCs w:val="24"/>
        </w:rPr>
        <w:t xml:space="preserve">Notably, as Company Witness Poroch discussed during the rebuttal hearing, this rate proposal seeks only to protect the Company’s credit quality as it exists today, not </w:t>
      </w:r>
      <w:r w:rsidR="00B543F8" w:rsidRPr="00B543F8">
        <w:rPr>
          <w:rFonts w:ascii="Times New Roman" w:hAnsi="Times New Roman"/>
          <w:szCs w:val="24"/>
        </w:rPr>
        <w:lastRenderedPageBreak/>
        <w:t xml:space="preserve">improve Georgia Power’s standing considering recent credit metric impacts of the Vogtle project. (Tr. 2723.) The impact of Vogtle construction will be addressed when those units begin operating and those costs are in rates. The purpose of this rate case is to maintain the credit quality Georgia Power has today, not diminish it. </w:t>
      </w:r>
      <w:r w:rsidR="00CD72D0">
        <w:rPr>
          <w:rFonts w:ascii="Times New Roman" w:hAnsi="Times New Roman"/>
          <w:szCs w:val="24"/>
        </w:rPr>
        <w:t xml:space="preserve">The Commission should approve the Company’s request in this case to enable the Company to continue to provide clean, safe, reliable, and affordable electric service and provide the level of service customers deserve and expect without threatening the Company’s financial health. </w:t>
      </w:r>
    </w:p>
    <w:p w14:paraId="12DBF8F3" w14:textId="5C8190C7" w:rsidR="00186C1F" w:rsidRPr="00186C1F" w:rsidRDefault="008F4BDF" w:rsidP="00774801">
      <w:pPr>
        <w:widowControl/>
        <w:tabs>
          <w:tab w:val="left" w:pos="0"/>
        </w:tabs>
        <w:overflowPunct/>
        <w:autoSpaceDE/>
        <w:autoSpaceDN/>
        <w:adjustRightInd/>
        <w:spacing w:after="240"/>
        <w:ind w:left="1440" w:hanging="720"/>
        <w:jc w:val="both"/>
        <w:textAlignment w:val="auto"/>
        <w:rPr>
          <w:rFonts w:ascii="Times New Roman" w:hAnsi="Times New Roman"/>
          <w:szCs w:val="24"/>
        </w:rPr>
      </w:pPr>
      <w:bookmarkStart w:id="6" w:name="_Hlk26111465"/>
      <w:r>
        <w:rPr>
          <w:rFonts w:ascii="Times New Roman" w:hAnsi="Times New Roman"/>
          <w:szCs w:val="24"/>
        </w:rPr>
        <w:t>5.</w:t>
      </w:r>
      <w:r>
        <w:rPr>
          <w:rFonts w:ascii="Times New Roman" w:hAnsi="Times New Roman"/>
          <w:szCs w:val="24"/>
        </w:rPr>
        <w:tab/>
      </w:r>
      <w:r w:rsidR="00186C1F" w:rsidRPr="00A9271E">
        <w:rPr>
          <w:rFonts w:ascii="Times New Roman" w:hAnsi="Times New Roman"/>
          <w:szCs w:val="24"/>
          <w:u w:val="single"/>
        </w:rPr>
        <w:t>Errors in PIA Staff Witness Gorman</w:t>
      </w:r>
      <w:r w:rsidR="006F6CB0" w:rsidRPr="00A9271E">
        <w:rPr>
          <w:rFonts w:ascii="Times New Roman" w:hAnsi="Times New Roman"/>
          <w:szCs w:val="24"/>
          <w:u w:val="single"/>
        </w:rPr>
        <w:t>’</w:t>
      </w:r>
      <w:r w:rsidR="00186C1F" w:rsidRPr="00A9271E">
        <w:rPr>
          <w:rFonts w:ascii="Times New Roman" w:hAnsi="Times New Roman"/>
          <w:szCs w:val="24"/>
          <w:u w:val="single"/>
        </w:rPr>
        <w:t xml:space="preserve">s </w:t>
      </w:r>
      <w:r w:rsidR="00774801" w:rsidRPr="00A9271E">
        <w:rPr>
          <w:rFonts w:ascii="Times New Roman" w:hAnsi="Times New Roman"/>
          <w:szCs w:val="24"/>
          <w:u w:val="single"/>
        </w:rPr>
        <w:t>c</w:t>
      </w:r>
      <w:r w:rsidR="00186C1F" w:rsidRPr="00A9271E">
        <w:rPr>
          <w:rFonts w:ascii="Times New Roman" w:hAnsi="Times New Roman"/>
          <w:szCs w:val="24"/>
          <w:u w:val="single"/>
        </w:rPr>
        <w:t xml:space="preserve">alculations </w:t>
      </w:r>
      <w:r w:rsidR="00774801" w:rsidRPr="00A9271E">
        <w:rPr>
          <w:rFonts w:ascii="Times New Roman" w:hAnsi="Times New Roman"/>
          <w:szCs w:val="24"/>
          <w:u w:val="single"/>
        </w:rPr>
        <w:t>o</w:t>
      </w:r>
      <w:r w:rsidR="00186C1F" w:rsidRPr="00A9271E">
        <w:rPr>
          <w:rFonts w:ascii="Times New Roman" w:hAnsi="Times New Roman"/>
          <w:szCs w:val="24"/>
          <w:u w:val="single"/>
        </w:rPr>
        <w:t>verestimate the Company</w:t>
      </w:r>
      <w:r w:rsidR="006F6CB0" w:rsidRPr="00A9271E">
        <w:rPr>
          <w:rFonts w:ascii="Times New Roman" w:hAnsi="Times New Roman"/>
          <w:szCs w:val="24"/>
          <w:u w:val="single"/>
        </w:rPr>
        <w:t>’</w:t>
      </w:r>
      <w:r w:rsidR="00186C1F" w:rsidRPr="00A9271E">
        <w:rPr>
          <w:rFonts w:ascii="Times New Roman" w:hAnsi="Times New Roman"/>
          <w:szCs w:val="24"/>
          <w:u w:val="single"/>
        </w:rPr>
        <w:t xml:space="preserve">s FFO to Debt and </w:t>
      </w:r>
      <w:r w:rsidR="00774801" w:rsidRPr="00A9271E">
        <w:rPr>
          <w:rFonts w:ascii="Times New Roman" w:hAnsi="Times New Roman"/>
          <w:szCs w:val="24"/>
          <w:u w:val="single"/>
        </w:rPr>
        <w:t>u</w:t>
      </w:r>
      <w:r w:rsidR="00186C1F" w:rsidRPr="00A9271E">
        <w:rPr>
          <w:rFonts w:ascii="Times New Roman" w:hAnsi="Times New Roman"/>
          <w:szCs w:val="24"/>
          <w:u w:val="single"/>
        </w:rPr>
        <w:t>nderestimate the Company</w:t>
      </w:r>
      <w:r w:rsidR="006F6CB0" w:rsidRPr="00A9271E">
        <w:rPr>
          <w:rFonts w:ascii="Times New Roman" w:hAnsi="Times New Roman"/>
          <w:szCs w:val="24"/>
          <w:u w:val="single"/>
        </w:rPr>
        <w:t>’</w:t>
      </w:r>
      <w:r w:rsidR="00186C1F" w:rsidRPr="00A9271E">
        <w:rPr>
          <w:rFonts w:ascii="Times New Roman" w:hAnsi="Times New Roman"/>
          <w:szCs w:val="24"/>
          <w:u w:val="single"/>
        </w:rPr>
        <w:t xml:space="preserve">s </w:t>
      </w:r>
      <w:r w:rsidR="00774801" w:rsidRPr="00A9271E">
        <w:rPr>
          <w:rFonts w:ascii="Times New Roman" w:hAnsi="Times New Roman"/>
          <w:szCs w:val="24"/>
          <w:u w:val="single"/>
        </w:rPr>
        <w:t>f</w:t>
      </w:r>
      <w:r w:rsidR="00186C1F" w:rsidRPr="00A9271E">
        <w:rPr>
          <w:rFonts w:ascii="Times New Roman" w:hAnsi="Times New Roman"/>
          <w:szCs w:val="24"/>
          <w:u w:val="single"/>
        </w:rPr>
        <w:t xml:space="preserve">inancial </w:t>
      </w:r>
      <w:r w:rsidR="00774801" w:rsidRPr="00A9271E">
        <w:rPr>
          <w:rFonts w:ascii="Times New Roman" w:hAnsi="Times New Roman"/>
          <w:szCs w:val="24"/>
          <w:u w:val="single"/>
        </w:rPr>
        <w:t>r</w:t>
      </w:r>
      <w:r w:rsidR="00186C1F" w:rsidRPr="00A9271E">
        <w:rPr>
          <w:rFonts w:ascii="Times New Roman" w:hAnsi="Times New Roman"/>
          <w:szCs w:val="24"/>
          <w:u w:val="single"/>
        </w:rPr>
        <w:t>isk</w:t>
      </w:r>
      <w:r w:rsidR="00186C1F" w:rsidRPr="00A9271E">
        <w:rPr>
          <w:rFonts w:ascii="Times New Roman" w:hAnsi="Times New Roman"/>
          <w:szCs w:val="24"/>
        </w:rPr>
        <w:t>.</w:t>
      </w:r>
    </w:p>
    <w:bookmarkEnd w:id="6"/>
    <w:p w14:paraId="1BEA4078" w14:textId="4C87273E"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186C1F" w:rsidRPr="00186C1F">
        <w:rPr>
          <w:rFonts w:ascii="Times New Roman" w:hAnsi="Times New Roman"/>
          <w:szCs w:val="24"/>
        </w:rPr>
        <w:t xml:space="preserve">Although </w:t>
      </w:r>
      <w:r w:rsidR="00C40843">
        <w:rPr>
          <w:rFonts w:ascii="Times New Roman" w:hAnsi="Times New Roman"/>
          <w:szCs w:val="24"/>
        </w:rPr>
        <w:t>PIA Staff Witness</w:t>
      </w:r>
      <w:r w:rsidR="00186C1F" w:rsidRPr="00186C1F">
        <w:rPr>
          <w:rFonts w:ascii="Times New Roman" w:hAnsi="Times New Roman"/>
          <w:szCs w:val="24"/>
        </w:rPr>
        <w:t xml:space="preserve"> Gorman </w:t>
      </w:r>
      <w:r w:rsidR="00150189">
        <w:rPr>
          <w:rFonts w:ascii="Times New Roman" w:hAnsi="Times New Roman"/>
          <w:szCs w:val="24"/>
        </w:rPr>
        <w:t>clearly</w:t>
      </w:r>
      <w:r w:rsidR="00186C1F" w:rsidRPr="00186C1F">
        <w:rPr>
          <w:rFonts w:ascii="Times New Roman" w:hAnsi="Times New Roman"/>
          <w:szCs w:val="24"/>
        </w:rPr>
        <w:t xml:space="preserve"> </w:t>
      </w:r>
      <w:r w:rsidR="00C40843">
        <w:rPr>
          <w:rFonts w:ascii="Times New Roman" w:hAnsi="Times New Roman"/>
          <w:szCs w:val="24"/>
        </w:rPr>
        <w:t>acknowledge</w:t>
      </w:r>
      <w:r w:rsidR="00150189">
        <w:rPr>
          <w:rFonts w:ascii="Times New Roman" w:hAnsi="Times New Roman"/>
          <w:szCs w:val="24"/>
        </w:rPr>
        <w:t>s</w:t>
      </w:r>
      <w:r w:rsidR="00C40843">
        <w:rPr>
          <w:rFonts w:ascii="Times New Roman" w:hAnsi="Times New Roman"/>
          <w:szCs w:val="24"/>
        </w:rPr>
        <w:t xml:space="preserve"> the importance of maintaining</w:t>
      </w:r>
      <w:r w:rsidR="00186C1F" w:rsidRPr="00186C1F">
        <w:rPr>
          <w:rFonts w:ascii="Times New Roman" w:hAnsi="Times New Roman"/>
          <w:szCs w:val="24"/>
        </w:rPr>
        <w:t xml:space="preserve"> the Company</w:t>
      </w:r>
      <w:r w:rsidR="006F6CB0">
        <w:rPr>
          <w:rFonts w:ascii="Times New Roman" w:hAnsi="Times New Roman"/>
          <w:szCs w:val="24"/>
        </w:rPr>
        <w:t>’</w:t>
      </w:r>
      <w:r w:rsidR="00186C1F" w:rsidRPr="00186C1F">
        <w:rPr>
          <w:rFonts w:ascii="Times New Roman" w:hAnsi="Times New Roman"/>
          <w:szCs w:val="24"/>
        </w:rPr>
        <w:t xml:space="preserve">s FFO to Debt (financial risk metrics) above </w:t>
      </w:r>
      <w:r w:rsidR="00470779">
        <w:rPr>
          <w:rFonts w:ascii="Times New Roman" w:hAnsi="Times New Roman"/>
          <w:szCs w:val="24"/>
        </w:rPr>
        <w:t>the credit rating agencies’</w:t>
      </w:r>
      <w:r w:rsidR="00186C1F" w:rsidRPr="00186C1F">
        <w:rPr>
          <w:rFonts w:ascii="Times New Roman" w:hAnsi="Times New Roman"/>
          <w:szCs w:val="24"/>
        </w:rPr>
        <w:t xml:space="preserve"> general benchmarks,</w:t>
      </w:r>
      <w:r w:rsidR="00150189">
        <w:rPr>
          <w:rFonts w:ascii="Times New Roman" w:hAnsi="Times New Roman"/>
          <w:szCs w:val="24"/>
        </w:rPr>
        <w:t xml:space="preserve"> and tries to present his analysis with that in mind,</w:t>
      </w:r>
      <w:r w:rsidR="00186C1F" w:rsidRPr="00186C1F">
        <w:rPr>
          <w:rFonts w:ascii="Times New Roman" w:hAnsi="Times New Roman"/>
          <w:szCs w:val="24"/>
        </w:rPr>
        <w:t xml:space="preserve"> he fails to consider S&amp;P</w:t>
      </w:r>
      <w:r w:rsidR="00CB6BED">
        <w:rPr>
          <w:rFonts w:ascii="Times New Roman" w:hAnsi="Times New Roman"/>
          <w:szCs w:val="24"/>
        </w:rPr>
        <w:t xml:space="preserve">’s </w:t>
      </w:r>
      <w:r w:rsidR="00186C1F" w:rsidRPr="00186C1F">
        <w:rPr>
          <w:rFonts w:ascii="Times New Roman" w:hAnsi="Times New Roman"/>
          <w:szCs w:val="24"/>
        </w:rPr>
        <w:t>and Moody</w:t>
      </w:r>
      <w:r w:rsidR="006F6CB0">
        <w:rPr>
          <w:rFonts w:ascii="Times New Roman" w:hAnsi="Times New Roman"/>
          <w:szCs w:val="24"/>
        </w:rPr>
        <w:t>’</w:t>
      </w:r>
      <w:r w:rsidR="00186C1F" w:rsidRPr="00186C1F">
        <w:rPr>
          <w:rFonts w:ascii="Times New Roman" w:hAnsi="Times New Roman"/>
          <w:szCs w:val="24"/>
        </w:rPr>
        <w:t>s specific expectations</w:t>
      </w:r>
      <w:r w:rsidR="00470779">
        <w:rPr>
          <w:rFonts w:ascii="Times New Roman" w:hAnsi="Times New Roman"/>
          <w:szCs w:val="24"/>
        </w:rPr>
        <w:t xml:space="preserve"> applicable to</w:t>
      </w:r>
      <w:r w:rsidR="00186C1F" w:rsidRPr="00186C1F">
        <w:rPr>
          <w:rFonts w:ascii="Times New Roman" w:hAnsi="Times New Roman"/>
          <w:szCs w:val="24"/>
        </w:rPr>
        <w:t xml:space="preserve"> Georgia Power.</w:t>
      </w:r>
      <w:r w:rsidR="00381486">
        <w:rPr>
          <w:rFonts w:ascii="Times New Roman" w:hAnsi="Times New Roman"/>
          <w:szCs w:val="24"/>
        </w:rPr>
        <w:t xml:space="preserve"> (</w:t>
      </w:r>
      <w:r w:rsidR="00470779">
        <w:rPr>
          <w:rFonts w:ascii="Times New Roman" w:hAnsi="Times New Roman"/>
          <w:szCs w:val="24"/>
        </w:rPr>
        <w:t>Tr. 2622</w:t>
      </w:r>
      <w:r w:rsidR="004503E4">
        <w:rPr>
          <w:rFonts w:ascii="Times New Roman" w:hAnsi="Times New Roman"/>
          <w:szCs w:val="24"/>
        </w:rPr>
        <w:t>, 2625</w:t>
      </w:r>
      <w:r w:rsidR="00381486">
        <w:rPr>
          <w:rFonts w:ascii="Times New Roman" w:hAnsi="Times New Roman"/>
          <w:szCs w:val="24"/>
        </w:rPr>
        <w:t>.)</w:t>
      </w:r>
      <w:r w:rsidR="00186C1F" w:rsidRPr="00186C1F">
        <w:rPr>
          <w:rFonts w:ascii="Times New Roman" w:hAnsi="Times New Roman"/>
          <w:szCs w:val="24"/>
        </w:rPr>
        <w:t xml:space="preserve"> In addition, </w:t>
      </w:r>
      <w:r w:rsidR="00C40843">
        <w:rPr>
          <w:rFonts w:ascii="Times New Roman" w:hAnsi="Times New Roman"/>
          <w:szCs w:val="24"/>
        </w:rPr>
        <w:t>Witness Gorman</w:t>
      </w:r>
      <w:r w:rsidR="00186C1F" w:rsidRPr="00186C1F">
        <w:rPr>
          <w:rFonts w:ascii="Times New Roman" w:hAnsi="Times New Roman"/>
          <w:szCs w:val="24"/>
        </w:rPr>
        <w:t xml:space="preserve"> made</w:t>
      </w:r>
      <w:r w:rsidR="00186C1F" w:rsidRPr="00186C1F">
        <w:rPr>
          <w:rFonts w:ascii="Times New Roman" w:hAnsi="Times New Roman"/>
          <w:b/>
          <w:szCs w:val="24"/>
        </w:rPr>
        <w:t xml:space="preserve"> </w:t>
      </w:r>
      <w:r w:rsidR="00186C1F" w:rsidRPr="00186C1F">
        <w:rPr>
          <w:rFonts w:ascii="Times New Roman" w:hAnsi="Times New Roman"/>
          <w:szCs w:val="24"/>
        </w:rPr>
        <w:t>several calculational errors and incorrect assumptions</w:t>
      </w:r>
      <w:r w:rsidR="004503E4">
        <w:rPr>
          <w:rFonts w:ascii="Times New Roman" w:hAnsi="Times New Roman"/>
          <w:szCs w:val="24"/>
        </w:rPr>
        <w:t xml:space="preserve"> in his application of S&amp;P’s methodology for calculating financial risk. (Tr. 2623.) W</w:t>
      </w:r>
      <w:r w:rsidR="00186C1F" w:rsidRPr="00186C1F">
        <w:rPr>
          <w:rFonts w:ascii="Times New Roman" w:hAnsi="Times New Roman"/>
          <w:szCs w:val="24"/>
        </w:rPr>
        <w:t xml:space="preserve">hen corrected, </w:t>
      </w:r>
      <w:r w:rsidR="004503E4">
        <w:rPr>
          <w:rFonts w:ascii="Times New Roman" w:hAnsi="Times New Roman"/>
          <w:szCs w:val="24"/>
        </w:rPr>
        <w:t xml:space="preserve">these errors </w:t>
      </w:r>
      <w:r w:rsidR="00186C1F" w:rsidRPr="00186C1F">
        <w:rPr>
          <w:rFonts w:ascii="Times New Roman" w:hAnsi="Times New Roman"/>
          <w:szCs w:val="24"/>
        </w:rPr>
        <w:t xml:space="preserve">reveal </w:t>
      </w:r>
      <w:r w:rsidR="003075E4">
        <w:rPr>
          <w:rFonts w:ascii="Times New Roman" w:hAnsi="Times New Roman"/>
          <w:szCs w:val="24"/>
        </w:rPr>
        <w:t xml:space="preserve">that </w:t>
      </w:r>
      <w:r w:rsidR="00186C1F" w:rsidRPr="00186C1F">
        <w:rPr>
          <w:rFonts w:ascii="Times New Roman" w:hAnsi="Times New Roman"/>
          <w:szCs w:val="24"/>
        </w:rPr>
        <w:t>PIA Staff</w:t>
      </w:r>
      <w:r w:rsidR="006F6CB0">
        <w:rPr>
          <w:rFonts w:ascii="Times New Roman" w:hAnsi="Times New Roman"/>
          <w:szCs w:val="24"/>
        </w:rPr>
        <w:t>’</w:t>
      </w:r>
      <w:r w:rsidR="00186C1F" w:rsidRPr="00186C1F">
        <w:rPr>
          <w:rFonts w:ascii="Times New Roman" w:hAnsi="Times New Roman"/>
          <w:szCs w:val="24"/>
        </w:rPr>
        <w:t>s proposals would reduce the Company</w:t>
      </w:r>
      <w:r w:rsidR="006F6CB0">
        <w:rPr>
          <w:rFonts w:ascii="Times New Roman" w:hAnsi="Times New Roman"/>
          <w:szCs w:val="24"/>
        </w:rPr>
        <w:t>’</w:t>
      </w:r>
      <w:r w:rsidR="00186C1F" w:rsidRPr="00186C1F">
        <w:rPr>
          <w:rFonts w:ascii="Times New Roman" w:hAnsi="Times New Roman"/>
          <w:szCs w:val="24"/>
        </w:rPr>
        <w:t>s credit metrics to levels</w:t>
      </w:r>
      <w:r w:rsidR="009C08A5">
        <w:rPr>
          <w:rFonts w:ascii="Times New Roman" w:hAnsi="Times New Roman"/>
          <w:szCs w:val="24"/>
        </w:rPr>
        <w:t xml:space="preserve"> well below the very clearly communicated expectations of the credit rating agencies, and </w:t>
      </w:r>
      <w:r w:rsidR="00186C1F" w:rsidRPr="00186C1F">
        <w:rPr>
          <w:rFonts w:ascii="Times New Roman" w:hAnsi="Times New Roman"/>
          <w:szCs w:val="24"/>
        </w:rPr>
        <w:t xml:space="preserve">that </w:t>
      </w:r>
      <w:r w:rsidR="009C08A5">
        <w:rPr>
          <w:rFonts w:ascii="Times New Roman" w:hAnsi="Times New Roman"/>
          <w:szCs w:val="24"/>
        </w:rPr>
        <w:t>w</w:t>
      </w:r>
      <w:r w:rsidR="00186C1F" w:rsidRPr="00186C1F">
        <w:rPr>
          <w:rFonts w:ascii="Times New Roman" w:hAnsi="Times New Roman"/>
          <w:szCs w:val="24"/>
        </w:rPr>
        <w:t xml:space="preserve">ould </w:t>
      </w:r>
      <w:r w:rsidR="009C08A5">
        <w:rPr>
          <w:rFonts w:ascii="Times New Roman" w:hAnsi="Times New Roman"/>
          <w:szCs w:val="24"/>
        </w:rPr>
        <w:t xml:space="preserve">likely </w:t>
      </w:r>
      <w:r w:rsidR="00186C1F" w:rsidRPr="00186C1F">
        <w:rPr>
          <w:rFonts w:ascii="Times New Roman" w:hAnsi="Times New Roman"/>
          <w:szCs w:val="24"/>
        </w:rPr>
        <w:t>trigger a ratings downgrade.</w:t>
      </w:r>
      <w:r w:rsidR="004503E4">
        <w:rPr>
          <w:rFonts w:ascii="Times New Roman" w:hAnsi="Times New Roman"/>
          <w:szCs w:val="24"/>
        </w:rPr>
        <w:t xml:space="preserve"> (Tr. 2625.)</w:t>
      </w:r>
      <w:r w:rsidR="00186C1F" w:rsidRPr="00186C1F">
        <w:rPr>
          <w:rFonts w:ascii="Times New Roman" w:hAnsi="Times New Roman"/>
          <w:szCs w:val="24"/>
        </w:rPr>
        <w:t xml:space="preserve"> This degradation in financial health and credit quality would </w:t>
      </w:r>
      <w:r w:rsidR="003075E4">
        <w:rPr>
          <w:rFonts w:ascii="Times New Roman" w:hAnsi="Times New Roman"/>
          <w:szCs w:val="24"/>
        </w:rPr>
        <w:t>harm</w:t>
      </w:r>
      <w:r w:rsidR="00186C1F" w:rsidRPr="00186C1F">
        <w:rPr>
          <w:rFonts w:ascii="Times New Roman" w:hAnsi="Times New Roman"/>
          <w:szCs w:val="24"/>
        </w:rPr>
        <w:t xml:space="preserve"> the Company</w:t>
      </w:r>
      <w:r w:rsidR="006F6CB0">
        <w:rPr>
          <w:rFonts w:ascii="Times New Roman" w:hAnsi="Times New Roman"/>
          <w:szCs w:val="24"/>
        </w:rPr>
        <w:t>’</w:t>
      </w:r>
      <w:r w:rsidR="00186C1F" w:rsidRPr="00186C1F">
        <w:rPr>
          <w:rFonts w:ascii="Times New Roman" w:hAnsi="Times New Roman"/>
          <w:szCs w:val="24"/>
        </w:rPr>
        <w:t>s customers.</w:t>
      </w:r>
      <w:r w:rsidR="004503E4">
        <w:rPr>
          <w:rFonts w:ascii="Times New Roman" w:hAnsi="Times New Roman"/>
          <w:szCs w:val="24"/>
        </w:rPr>
        <w:t xml:space="preserve"> Notably, PIA Staff counsel did not </w:t>
      </w:r>
      <w:r w:rsidR="00315804">
        <w:rPr>
          <w:rFonts w:ascii="Times New Roman" w:hAnsi="Times New Roman"/>
          <w:szCs w:val="24"/>
        </w:rPr>
        <w:t xml:space="preserve">question the Company’s calculations or resulting impact of Mr. Gorman’s errors during the hearings on the Company’s rebuttal testimony. PIA Staff appears to have changed its position on the importance of Georgia Power’s financial integrity, implying that it is less important than Mr. Gorman intimated before the calculational errors were identified. </w:t>
      </w:r>
    </w:p>
    <w:p w14:paraId="23BC64C7" w14:textId="2BC09CBC"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lastRenderedPageBreak/>
        <w:tab/>
      </w:r>
      <w:r w:rsidR="00186C1F" w:rsidRPr="00186C1F">
        <w:rPr>
          <w:rFonts w:ascii="Times New Roman" w:hAnsi="Times New Roman"/>
          <w:szCs w:val="24"/>
        </w:rPr>
        <w:t xml:space="preserve">The Company identified several errors and inconsistencies in </w:t>
      </w:r>
      <w:r w:rsidR="00363099">
        <w:rPr>
          <w:rFonts w:ascii="Times New Roman" w:hAnsi="Times New Roman"/>
          <w:szCs w:val="24"/>
        </w:rPr>
        <w:t>Witness</w:t>
      </w:r>
      <w:r w:rsidR="00186C1F" w:rsidRPr="00186C1F">
        <w:rPr>
          <w:rFonts w:ascii="Times New Roman" w:hAnsi="Times New Roman"/>
          <w:szCs w:val="24"/>
        </w:rPr>
        <w:t xml:space="preserve"> Gorman</w:t>
      </w:r>
      <w:r w:rsidR="006F6CB0">
        <w:rPr>
          <w:rFonts w:ascii="Times New Roman" w:hAnsi="Times New Roman"/>
          <w:szCs w:val="24"/>
        </w:rPr>
        <w:t>’</w:t>
      </w:r>
      <w:r w:rsidR="00186C1F" w:rsidRPr="00186C1F">
        <w:rPr>
          <w:rFonts w:ascii="Times New Roman" w:hAnsi="Times New Roman"/>
          <w:szCs w:val="24"/>
        </w:rPr>
        <w:t>s calculation and application of S&amp;P</w:t>
      </w:r>
      <w:r w:rsidR="006F6CB0">
        <w:rPr>
          <w:rFonts w:ascii="Times New Roman" w:hAnsi="Times New Roman"/>
          <w:szCs w:val="24"/>
        </w:rPr>
        <w:t>’</w:t>
      </w:r>
      <w:r w:rsidR="00186C1F" w:rsidRPr="00186C1F">
        <w:rPr>
          <w:rFonts w:ascii="Times New Roman" w:hAnsi="Times New Roman"/>
          <w:szCs w:val="24"/>
        </w:rPr>
        <w:t>s methodology for calculating the FFO to Debt financial risk metric. However, as explained in the Company</w:t>
      </w:r>
      <w:r w:rsidR="006F6CB0">
        <w:rPr>
          <w:rFonts w:ascii="Times New Roman" w:hAnsi="Times New Roman"/>
          <w:szCs w:val="24"/>
        </w:rPr>
        <w:t>’</w:t>
      </w:r>
      <w:r w:rsidR="00186C1F" w:rsidRPr="00186C1F">
        <w:rPr>
          <w:rFonts w:ascii="Times New Roman" w:hAnsi="Times New Roman"/>
          <w:szCs w:val="24"/>
        </w:rPr>
        <w:t>s rebuttal testimony</w:t>
      </w:r>
      <w:r w:rsidR="003075E4">
        <w:rPr>
          <w:rFonts w:ascii="Times New Roman" w:hAnsi="Times New Roman"/>
          <w:szCs w:val="24"/>
        </w:rPr>
        <w:t>,</w:t>
      </w:r>
      <w:r w:rsidR="00186C1F" w:rsidRPr="00186C1F">
        <w:rPr>
          <w:rFonts w:ascii="Times New Roman" w:hAnsi="Times New Roman"/>
          <w:szCs w:val="24"/>
        </w:rPr>
        <w:t xml:space="preserve"> three of these errors were of a magnitude that merited additional analysis and discussion. First,</w:t>
      </w:r>
      <w:r w:rsidR="00363099">
        <w:rPr>
          <w:rFonts w:ascii="Times New Roman" w:hAnsi="Times New Roman"/>
          <w:szCs w:val="24"/>
        </w:rPr>
        <w:t xml:space="preserve"> in his test year and 2022 FFO to Debt calculations, Witness</w:t>
      </w:r>
      <w:r w:rsidR="00186C1F" w:rsidRPr="00186C1F">
        <w:rPr>
          <w:rFonts w:ascii="Times New Roman" w:hAnsi="Times New Roman"/>
          <w:szCs w:val="24"/>
        </w:rPr>
        <w:t xml:space="preserve"> Gorman drastically understated the amount of Georgia Power</w:t>
      </w:r>
      <w:r w:rsidR="006F6CB0">
        <w:rPr>
          <w:rFonts w:ascii="Times New Roman" w:hAnsi="Times New Roman"/>
          <w:szCs w:val="24"/>
        </w:rPr>
        <w:t>’</w:t>
      </w:r>
      <w:r w:rsidR="00186C1F" w:rsidRPr="00186C1F">
        <w:rPr>
          <w:rFonts w:ascii="Times New Roman" w:hAnsi="Times New Roman"/>
          <w:szCs w:val="24"/>
        </w:rPr>
        <w:t>s debt by omitting the $3 billion increase in the Company</w:t>
      </w:r>
      <w:r w:rsidR="006F6CB0">
        <w:rPr>
          <w:rFonts w:ascii="Times New Roman" w:hAnsi="Times New Roman"/>
          <w:szCs w:val="24"/>
        </w:rPr>
        <w:t>’</w:t>
      </w:r>
      <w:r w:rsidR="00186C1F" w:rsidRPr="00186C1F">
        <w:rPr>
          <w:rFonts w:ascii="Times New Roman" w:hAnsi="Times New Roman"/>
          <w:szCs w:val="24"/>
        </w:rPr>
        <w:t>s ARO obligation recorded in 2018 in his calculation of S&amp;P</w:t>
      </w:r>
      <w:r w:rsidR="006F6CB0">
        <w:rPr>
          <w:rFonts w:ascii="Times New Roman" w:hAnsi="Times New Roman"/>
          <w:szCs w:val="24"/>
        </w:rPr>
        <w:t>’</w:t>
      </w:r>
      <w:r w:rsidR="00186C1F" w:rsidRPr="00186C1F">
        <w:rPr>
          <w:rFonts w:ascii="Times New Roman" w:hAnsi="Times New Roman"/>
          <w:szCs w:val="24"/>
        </w:rPr>
        <w:t xml:space="preserve">s debt imputation methodology. </w:t>
      </w:r>
      <w:r w:rsidR="00381486">
        <w:rPr>
          <w:rFonts w:ascii="Times New Roman" w:hAnsi="Times New Roman"/>
          <w:szCs w:val="24"/>
        </w:rPr>
        <w:t>(</w:t>
      </w:r>
      <w:r w:rsidR="00A218BF">
        <w:rPr>
          <w:rFonts w:ascii="Times New Roman" w:hAnsi="Times New Roman"/>
          <w:szCs w:val="24"/>
        </w:rPr>
        <w:t>Tr. 2623.</w:t>
      </w:r>
      <w:r w:rsidR="00381486">
        <w:rPr>
          <w:rFonts w:ascii="Times New Roman" w:hAnsi="Times New Roman"/>
          <w:szCs w:val="24"/>
        </w:rPr>
        <w:t xml:space="preserve">) </w:t>
      </w:r>
      <w:r w:rsidR="00186C1F" w:rsidRPr="00186C1F">
        <w:rPr>
          <w:rFonts w:ascii="Times New Roman" w:hAnsi="Times New Roman"/>
          <w:szCs w:val="24"/>
        </w:rPr>
        <w:t xml:space="preserve">This modification </w:t>
      </w:r>
      <w:r w:rsidR="00363099">
        <w:rPr>
          <w:rFonts w:ascii="Times New Roman" w:hAnsi="Times New Roman"/>
          <w:szCs w:val="24"/>
        </w:rPr>
        <w:t>contradicts</w:t>
      </w:r>
      <w:r w:rsidR="00186C1F" w:rsidRPr="00186C1F">
        <w:rPr>
          <w:rFonts w:ascii="Times New Roman" w:hAnsi="Times New Roman"/>
          <w:szCs w:val="24"/>
        </w:rPr>
        <w:t xml:space="preserve"> S&amp;P</w:t>
      </w:r>
      <w:r w:rsidR="006F6CB0">
        <w:rPr>
          <w:rFonts w:ascii="Times New Roman" w:hAnsi="Times New Roman"/>
          <w:szCs w:val="24"/>
        </w:rPr>
        <w:t>’</w:t>
      </w:r>
      <w:r w:rsidR="00186C1F" w:rsidRPr="00186C1F">
        <w:rPr>
          <w:rFonts w:ascii="Times New Roman" w:hAnsi="Times New Roman"/>
          <w:szCs w:val="24"/>
        </w:rPr>
        <w:t>s current methodologies and Mr. Gorman does not provide a rational justification for deviating from S&amp;P</w:t>
      </w:r>
      <w:r w:rsidR="006F6CB0">
        <w:rPr>
          <w:rFonts w:ascii="Times New Roman" w:hAnsi="Times New Roman"/>
          <w:szCs w:val="24"/>
        </w:rPr>
        <w:t>’</w:t>
      </w:r>
      <w:r w:rsidR="00186C1F" w:rsidRPr="00186C1F">
        <w:rPr>
          <w:rFonts w:ascii="Times New Roman" w:hAnsi="Times New Roman"/>
          <w:szCs w:val="24"/>
        </w:rPr>
        <w:t xml:space="preserve">s established method. </w:t>
      </w:r>
      <w:r w:rsidR="00381486">
        <w:rPr>
          <w:rFonts w:ascii="Times New Roman" w:hAnsi="Times New Roman"/>
          <w:szCs w:val="24"/>
        </w:rPr>
        <w:t>(</w:t>
      </w:r>
      <w:r w:rsidR="00E02D4F" w:rsidRPr="00E02D4F">
        <w:rPr>
          <w:rFonts w:ascii="Times New Roman" w:hAnsi="Times New Roman"/>
          <w:i/>
          <w:szCs w:val="24"/>
        </w:rPr>
        <w:t>Id</w:t>
      </w:r>
      <w:r w:rsidR="00381486">
        <w:rPr>
          <w:rFonts w:ascii="Times New Roman" w:hAnsi="Times New Roman"/>
          <w:szCs w:val="24"/>
        </w:rPr>
        <w:t xml:space="preserve">.) </w:t>
      </w:r>
      <w:r w:rsidR="00363099">
        <w:rPr>
          <w:rFonts w:ascii="Times New Roman" w:hAnsi="Times New Roman"/>
          <w:szCs w:val="24"/>
        </w:rPr>
        <w:t>This omission of</w:t>
      </w:r>
      <w:r w:rsidR="00186C1F" w:rsidRPr="00186C1F">
        <w:rPr>
          <w:rFonts w:ascii="Times New Roman" w:hAnsi="Times New Roman"/>
          <w:szCs w:val="24"/>
        </w:rPr>
        <w:t xml:space="preserve"> the Company</w:t>
      </w:r>
      <w:r w:rsidR="006F6CB0">
        <w:rPr>
          <w:rFonts w:ascii="Times New Roman" w:hAnsi="Times New Roman"/>
          <w:szCs w:val="24"/>
        </w:rPr>
        <w:t>’</w:t>
      </w:r>
      <w:r w:rsidR="00186C1F" w:rsidRPr="00186C1F">
        <w:rPr>
          <w:rFonts w:ascii="Times New Roman" w:hAnsi="Times New Roman"/>
          <w:szCs w:val="24"/>
        </w:rPr>
        <w:t xml:space="preserve">s $3 billion increase in ARO obligation </w:t>
      </w:r>
      <w:r w:rsidR="004D4636">
        <w:rPr>
          <w:rFonts w:ascii="Times New Roman" w:hAnsi="Times New Roman"/>
          <w:szCs w:val="24"/>
        </w:rPr>
        <w:t xml:space="preserve">artificially </w:t>
      </w:r>
      <w:r w:rsidR="00186C1F" w:rsidRPr="00186C1F">
        <w:rPr>
          <w:rFonts w:ascii="Times New Roman" w:hAnsi="Times New Roman"/>
          <w:szCs w:val="24"/>
        </w:rPr>
        <w:t>inflates the Company</w:t>
      </w:r>
      <w:r w:rsidR="006F6CB0">
        <w:rPr>
          <w:rFonts w:ascii="Times New Roman" w:hAnsi="Times New Roman"/>
          <w:szCs w:val="24"/>
        </w:rPr>
        <w:t>’</w:t>
      </w:r>
      <w:r w:rsidR="00186C1F" w:rsidRPr="00186C1F">
        <w:rPr>
          <w:rFonts w:ascii="Times New Roman" w:hAnsi="Times New Roman"/>
          <w:szCs w:val="24"/>
        </w:rPr>
        <w:t xml:space="preserve">s credit metrics, </w:t>
      </w:r>
      <w:r w:rsidR="00DF3416">
        <w:rPr>
          <w:rFonts w:ascii="Times New Roman" w:hAnsi="Times New Roman"/>
          <w:szCs w:val="24"/>
        </w:rPr>
        <w:t>masking</w:t>
      </w:r>
      <w:r w:rsidR="00186C1F" w:rsidRPr="00186C1F">
        <w:rPr>
          <w:rFonts w:ascii="Times New Roman" w:hAnsi="Times New Roman"/>
          <w:szCs w:val="24"/>
        </w:rPr>
        <w:t xml:space="preserve"> the true impact of PIA Staff</w:t>
      </w:r>
      <w:r w:rsidR="006F6CB0">
        <w:rPr>
          <w:rFonts w:ascii="Times New Roman" w:hAnsi="Times New Roman"/>
          <w:szCs w:val="24"/>
        </w:rPr>
        <w:t>’</w:t>
      </w:r>
      <w:r w:rsidR="00186C1F" w:rsidRPr="00186C1F">
        <w:rPr>
          <w:rFonts w:ascii="Times New Roman" w:hAnsi="Times New Roman"/>
          <w:szCs w:val="24"/>
        </w:rPr>
        <w:t>s recommendations on Georgia Power</w:t>
      </w:r>
      <w:r w:rsidR="006F6CB0">
        <w:rPr>
          <w:rFonts w:ascii="Times New Roman" w:hAnsi="Times New Roman"/>
          <w:szCs w:val="24"/>
        </w:rPr>
        <w:t>’</w:t>
      </w:r>
      <w:r w:rsidR="00186C1F" w:rsidRPr="00186C1F">
        <w:rPr>
          <w:rFonts w:ascii="Times New Roman" w:hAnsi="Times New Roman"/>
          <w:szCs w:val="24"/>
        </w:rPr>
        <w:t>s overall credit quality.</w:t>
      </w:r>
      <w:r w:rsidR="00381486">
        <w:rPr>
          <w:rFonts w:ascii="Times New Roman" w:hAnsi="Times New Roman"/>
          <w:szCs w:val="24"/>
        </w:rPr>
        <w:t xml:space="preserve"> (</w:t>
      </w:r>
      <w:r w:rsidR="00E02D4F">
        <w:rPr>
          <w:rFonts w:ascii="Times New Roman" w:hAnsi="Times New Roman"/>
          <w:szCs w:val="24"/>
        </w:rPr>
        <w:t>Tr. 2623-24.</w:t>
      </w:r>
      <w:r w:rsidR="00381486">
        <w:rPr>
          <w:rFonts w:ascii="Times New Roman" w:hAnsi="Times New Roman"/>
          <w:szCs w:val="24"/>
        </w:rPr>
        <w:t>)</w:t>
      </w:r>
    </w:p>
    <w:p w14:paraId="0D72DD5E" w14:textId="05C89161"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bookmarkStart w:id="7" w:name="_Hlk26337397"/>
      <w:r w:rsidR="00186C1F" w:rsidRPr="00186C1F">
        <w:rPr>
          <w:rFonts w:ascii="Times New Roman" w:hAnsi="Times New Roman"/>
          <w:szCs w:val="24"/>
        </w:rPr>
        <w:t xml:space="preserve">Second, </w:t>
      </w:r>
      <w:r w:rsidR="00363099">
        <w:rPr>
          <w:rFonts w:ascii="Times New Roman" w:hAnsi="Times New Roman"/>
          <w:szCs w:val="24"/>
        </w:rPr>
        <w:t xml:space="preserve">Witness </w:t>
      </w:r>
      <w:r w:rsidR="00186C1F" w:rsidRPr="00186C1F">
        <w:rPr>
          <w:rFonts w:ascii="Times New Roman" w:hAnsi="Times New Roman"/>
          <w:szCs w:val="24"/>
        </w:rPr>
        <w:t>Gorman incorrectly projects that</w:t>
      </w:r>
      <w:r w:rsidR="00363099">
        <w:rPr>
          <w:rFonts w:ascii="Times New Roman" w:hAnsi="Times New Roman"/>
          <w:szCs w:val="24"/>
        </w:rPr>
        <w:t xml:space="preserve"> in 2022,</w:t>
      </w:r>
      <w:r w:rsidR="00186C1F" w:rsidRPr="00186C1F">
        <w:rPr>
          <w:rFonts w:ascii="Times New Roman" w:hAnsi="Times New Roman"/>
          <w:szCs w:val="24"/>
        </w:rPr>
        <w:t xml:space="preserve"> the Company will recover roughly $130 million of depreciation expenses (assuming 12 months of depreciation and a 40-year useful life) associated with Plant Vogtle Units 3 and 4. </w:t>
      </w:r>
      <w:r w:rsidR="00381486">
        <w:rPr>
          <w:rFonts w:ascii="Times New Roman" w:hAnsi="Times New Roman"/>
          <w:szCs w:val="24"/>
        </w:rPr>
        <w:t>(</w:t>
      </w:r>
      <w:r w:rsidR="00DF3416">
        <w:rPr>
          <w:rFonts w:ascii="Times New Roman" w:hAnsi="Times New Roman"/>
          <w:szCs w:val="24"/>
        </w:rPr>
        <w:t>Tr. 2624</w:t>
      </w:r>
      <w:r w:rsidR="00381486">
        <w:rPr>
          <w:rFonts w:ascii="Times New Roman" w:hAnsi="Times New Roman"/>
          <w:szCs w:val="24"/>
        </w:rPr>
        <w:t xml:space="preserve">.) </w:t>
      </w:r>
      <w:r w:rsidR="00363099">
        <w:rPr>
          <w:rFonts w:ascii="Times New Roman" w:hAnsi="Times New Roman"/>
          <w:szCs w:val="24"/>
        </w:rPr>
        <w:t>Witness</w:t>
      </w:r>
      <w:r w:rsidR="00363099" w:rsidRPr="00186C1F">
        <w:rPr>
          <w:rFonts w:ascii="Times New Roman" w:hAnsi="Times New Roman"/>
          <w:szCs w:val="24"/>
        </w:rPr>
        <w:t xml:space="preserve"> Gorman’s depreciation expense recovery projection</w:t>
      </w:r>
      <w:r w:rsidR="00363099">
        <w:rPr>
          <w:rFonts w:ascii="Times New Roman" w:hAnsi="Times New Roman"/>
          <w:szCs w:val="24"/>
        </w:rPr>
        <w:t>s</w:t>
      </w:r>
      <w:r w:rsidR="00363099" w:rsidRPr="00186C1F">
        <w:rPr>
          <w:rFonts w:ascii="Times New Roman" w:hAnsi="Times New Roman"/>
          <w:szCs w:val="24"/>
        </w:rPr>
        <w:t xml:space="preserve"> </w:t>
      </w:r>
      <w:r w:rsidR="00363099">
        <w:rPr>
          <w:rFonts w:ascii="Times New Roman" w:hAnsi="Times New Roman"/>
          <w:szCs w:val="24"/>
        </w:rPr>
        <w:t>i</w:t>
      </w:r>
      <w:r w:rsidR="00363099" w:rsidRPr="00186C1F">
        <w:rPr>
          <w:rFonts w:ascii="Times New Roman" w:hAnsi="Times New Roman"/>
          <w:szCs w:val="24"/>
        </w:rPr>
        <w:t>gnore</w:t>
      </w:r>
      <w:r w:rsidR="00363099">
        <w:rPr>
          <w:rFonts w:ascii="Times New Roman" w:hAnsi="Times New Roman"/>
          <w:szCs w:val="24"/>
        </w:rPr>
        <w:t xml:space="preserve"> the process </w:t>
      </w:r>
      <w:r w:rsidR="00363099" w:rsidRPr="00186C1F">
        <w:rPr>
          <w:rFonts w:ascii="Times New Roman" w:hAnsi="Times New Roman"/>
          <w:szCs w:val="24"/>
        </w:rPr>
        <w:t>th</w:t>
      </w:r>
      <w:r w:rsidR="00363099">
        <w:rPr>
          <w:rFonts w:ascii="Times New Roman" w:hAnsi="Times New Roman"/>
          <w:szCs w:val="24"/>
        </w:rPr>
        <w:t>is</w:t>
      </w:r>
      <w:r w:rsidR="00363099" w:rsidRPr="00186C1F">
        <w:rPr>
          <w:rFonts w:ascii="Times New Roman" w:hAnsi="Times New Roman"/>
          <w:szCs w:val="24"/>
        </w:rPr>
        <w:t xml:space="preserve"> Commission</w:t>
      </w:r>
      <w:r w:rsidR="00363099">
        <w:rPr>
          <w:rFonts w:ascii="Times New Roman" w:hAnsi="Times New Roman"/>
          <w:szCs w:val="24"/>
        </w:rPr>
        <w:t xml:space="preserve"> outlined in</w:t>
      </w:r>
      <w:r w:rsidR="00363099" w:rsidRPr="00186C1F">
        <w:rPr>
          <w:rFonts w:ascii="Times New Roman" w:hAnsi="Times New Roman"/>
          <w:szCs w:val="24"/>
        </w:rPr>
        <w:t xml:space="preserve"> </w:t>
      </w:r>
      <w:r w:rsidR="00186C1F" w:rsidRPr="00186C1F">
        <w:rPr>
          <w:rFonts w:ascii="Times New Roman" w:hAnsi="Times New Roman"/>
          <w:szCs w:val="24"/>
        </w:rPr>
        <w:t>its</w:t>
      </w:r>
      <w:r w:rsidR="00186C1F" w:rsidRPr="00186C1F" w:rsidDel="006E06EA">
        <w:rPr>
          <w:rFonts w:ascii="Times New Roman" w:hAnsi="Times New Roman"/>
          <w:szCs w:val="24"/>
        </w:rPr>
        <w:t xml:space="preserve"> </w:t>
      </w:r>
      <w:r w:rsidR="00186C1F" w:rsidRPr="00186C1F">
        <w:rPr>
          <w:rFonts w:ascii="Times New Roman" w:hAnsi="Times New Roman"/>
          <w:szCs w:val="24"/>
        </w:rPr>
        <w:t>Vogtle Construction Monitoring (“VCM”) 17 Order</w:t>
      </w:r>
      <w:r w:rsidR="00F0622E">
        <w:rPr>
          <w:rFonts w:ascii="Times New Roman" w:hAnsi="Times New Roman"/>
          <w:szCs w:val="24"/>
        </w:rPr>
        <w:t xml:space="preserve"> in Docket No. 29849</w:t>
      </w:r>
      <w:r w:rsidR="00186C1F" w:rsidRPr="00186C1F">
        <w:rPr>
          <w:rFonts w:ascii="Times New Roman" w:hAnsi="Times New Roman"/>
          <w:szCs w:val="24"/>
        </w:rPr>
        <w:t xml:space="preserve">, which provides for retail base rates to be adjusted the first month after Unit 3 is in </w:t>
      </w:r>
      <w:r w:rsidR="009D221C">
        <w:rPr>
          <w:rFonts w:ascii="Times New Roman" w:hAnsi="Times New Roman"/>
          <w:szCs w:val="24"/>
        </w:rPr>
        <w:t>c</w:t>
      </w:r>
      <w:r w:rsidR="00186C1F" w:rsidRPr="00186C1F">
        <w:rPr>
          <w:rFonts w:ascii="Times New Roman" w:hAnsi="Times New Roman"/>
          <w:szCs w:val="24"/>
        </w:rPr>
        <w:t xml:space="preserve">ommercial </w:t>
      </w:r>
      <w:r w:rsidR="009D221C">
        <w:rPr>
          <w:rFonts w:ascii="Times New Roman" w:hAnsi="Times New Roman"/>
          <w:szCs w:val="24"/>
        </w:rPr>
        <w:t>o</w:t>
      </w:r>
      <w:r w:rsidR="00186C1F" w:rsidRPr="00186C1F">
        <w:rPr>
          <w:rFonts w:ascii="Times New Roman" w:hAnsi="Times New Roman"/>
          <w:szCs w:val="24"/>
        </w:rPr>
        <w:t>peration for</w:t>
      </w:r>
      <w:r w:rsidR="002160A8">
        <w:rPr>
          <w:rFonts w:ascii="Times New Roman" w:hAnsi="Times New Roman"/>
          <w:szCs w:val="24"/>
        </w:rPr>
        <w:t xml:space="preserve"> only</w:t>
      </w:r>
      <w:r w:rsidR="00186C1F" w:rsidRPr="00186C1F">
        <w:rPr>
          <w:rFonts w:ascii="Times New Roman" w:hAnsi="Times New Roman"/>
          <w:szCs w:val="24"/>
        </w:rPr>
        <w:t xml:space="preserve"> the portion of costs related to Unit 3 and common facilities deemed prudent in the January 3, 2017 Stipulation</w:t>
      </w:r>
      <w:r w:rsidR="00D57E30">
        <w:rPr>
          <w:rFonts w:ascii="Times New Roman" w:hAnsi="Times New Roman"/>
          <w:szCs w:val="24"/>
        </w:rPr>
        <w:t>, leaving recovery of depreciation expense deferred until Vogtle Unit 4 is online</w:t>
      </w:r>
      <w:r w:rsidR="00186C1F" w:rsidRPr="00186C1F">
        <w:rPr>
          <w:rFonts w:ascii="Times New Roman" w:hAnsi="Times New Roman"/>
          <w:szCs w:val="24"/>
        </w:rPr>
        <w:t xml:space="preserve">. </w:t>
      </w:r>
      <w:r w:rsidR="00363099">
        <w:rPr>
          <w:rFonts w:ascii="Times New Roman" w:hAnsi="Times New Roman"/>
          <w:szCs w:val="24"/>
        </w:rPr>
        <w:t xml:space="preserve">(VCM-17 Order at 18.) </w:t>
      </w:r>
      <w:r w:rsidR="00186C1F" w:rsidRPr="00186C1F">
        <w:rPr>
          <w:rFonts w:ascii="Times New Roman" w:hAnsi="Times New Roman"/>
          <w:szCs w:val="24"/>
        </w:rPr>
        <w:t>Vogtle Unit 3 is expected to be placed in service in November 2021; therefore, base rates would be adjusted in December 2021</w:t>
      </w:r>
      <w:r w:rsidR="002878FB">
        <w:rPr>
          <w:rFonts w:ascii="Times New Roman" w:hAnsi="Times New Roman"/>
          <w:szCs w:val="24"/>
        </w:rPr>
        <w:t xml:space="preserve"> for this portion of the construction cost</w:t>
      </w:r>
      <w:r w:rsidR="00186C1F" w:rsidRPr="00186C1F">
        <w:rPr>
          <w:rFonts w:ascii="Times New Roman" w:hAnsi="Times New Roman"/>
          <w:szCs w:val="24"/>
        </w:rPr>
        <w:t>.</w:t>
      </w:r>
      <w:r w:rsidR="00381486">
        <w:rPr>
          <w:rFonts w:ascii="Times New Roman" w:hAnsi="Times New Roman"/>
          <w:szCs w:val="24"/>
        </w:rPr>
        <w:t xml:space="preserve"> (</w:t>
      </w:r>
      <w:r w:rsidR="00DF3416">
        <w:rPr>
          <w:rFonts w:ascii="Times New Roman" w:hAnsi="Times New Roman"/>
          <w:szCs w:val="24"/>
        </w:rPr>
        <w:t>Tr. 2624</w:t>
      </w:r>
      <w:r w:rsidR="00381486">
        <w:rPr>
          <w:rFonts w:ascii="Times New Roman" w:hAnsi="Times New Roman"/>
          <w:szCs w:val="24"/>
        </w:rPr>
        <w:t>.)</w:t>
      </w:r>
      <w:r w:rsidR="00186C1F" w:rsidRPr="00186C1F">
        <w:rPr>
          <w:rFonts w:ascii="Times New Roman" w:hAnsi="Times New Roman"/>
          <w:szCs w:val="24"/>
        </w:rPr>
        <w:t xml:space="preserve"> Because of Mr. Gorman</w:t>
      </w:r>
      <w:r w:rsidR="006F6CB0">
        <w:rPr>
          <w:rFonts w:ascii="Times New Roman" w:hAnsi="Times New Roman"/>
          <w:szCs w:val="24"/>
        </w:rPr>
        <w:t>’</w:t>
      </w:r>
      <w:r w:rsidR="00186C1F" w:rsidRPr="00186C1F">
        <w:rPr>
          <w:rFonts w:ascii="Times New Roman" w:hAnsi="Times New Roman"/>
          <w:szCs w:val="24"/>
        </w:rPr>
        <w:t>s gross over-projection of depreciation expense recovery in 2022, he significantly overstated the Company</w:t>
      </w:r>
      <w:r w:rsidR="006F6CB0">
        <w:rPr>
          <w:rFonts w:ascii="Times New Roman" w:hAnsi="Times New Roman"/>
          <w:szCs w:val="24"/>
        </w:rPr>
        <w:t>’</w:t>
      </w:r>
      <w:r w:rsidR="00186C1F" w:rsidRPr="00186C1F">
        <w:rPr>
          <w:rFonts w:ascii="Times New Roman" w:hAnsi="Times New Roman"/>
          <w:szCs w:val="24"/>
        </w:rPr>
        <w:t xml:space="preserve">s funds from operations resulting in </w:t>
      </w:r>
      <w:r w:rsidR="00EC7009">
        <w:rPr>
          <w:rFonts w:ascii="Times New Roman" w:hAnsi="Times New Roman"/>
          <w:szCs w:val="24"/>
        </w:rPr>
        <w:t>his inflated</w:t>
      </w:r>
      <w:r w:rsidR="00186C1F" w:rsidRPr="00186C1F">
        <w:rPr>
          <w:rFonts w:ascii="Times New Roman" w:hAnsi="Times New Roman"/>
          <w:szCs w:val="24"/>
        </w:rPr>
        <w:t xml:space="preserve"> 2022 FFO to Debt ratio. </w:t>
      </w:r>
      <w:bookmarkEnd w:id="7"/>
    </w:p>
    <w:p w14:paraId="0AA32609" w14:textId="7C08931A"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lastRenderedPageBreak/>
        <w:tab/>
      </w:r>
      <w:r w:rsidR="00186C1F" w:rsidRPr="00186C1F">
        <w:rPr>
          <w:rFonts w:ascii="Times New Roman" w:hAnsi="Times New Roman"/>
          <w:szCs w:val="24"/>
        </w:rPr>
        <w:t xml:space="preserve">Third, Mr. Gorman incorrectly used the wrong calendar year debt balance in calculating the FFO to Debt ratio for 2022. Mr. Gorman used his 2020 projected Company debt balance of $15.5 billion rather than his projected 2022 Company debt balance of $17.9 billion to calculate the 2022 FFO to Debt ratio. </w:t>
      </w:r>
      <w:r w:rsidR="00381486">
        <w:rPr>
          <w:rFonts w:ascii="Times New Roman" w:hAnsi="Times New Roman"/>
          <w:szCs w:val="24"/>
        </w:rPr>
        <w:t>(</w:t>
      </w:r>
      <w:r w:rsidR="00DF3416" w:rsidRPr="00DF3416">
        <w:rPr>
          <w:rFonts w:ascii="Times New Roman" w:hAnsi="Times New Roman"/>
          <w:i/>
          <w:szCs w:val="24"/>
        </w:rPr>
        <w:t>Id</w:t>
      </w:r>
      <w:r w:rsidR="00381486">
        <w:rPr>
          <w:rFonts w:ascii="Times New Roman" w:hAnsi="Times New Roman"/>
          <w:szCs w:val="24"/>
        </w:rPr>
        <w:t xml:space="preserve">.) </w:t>
      </w:r>
      <w:r w:rsidR="00186C1F" w:rsidRPr="00186C1F">
        <w:rPr>
          <w:rFonts w:ascii="Times New Roman" w:hAnsi="Times New Roman"/>
          <w:szCs w:val="24"/>
        </w:rPr>
        <w:t xml:space="preserve">By using the data from the wrong year, </w:t>
      </w:r>
      <w:r w:rsidR="003075E4">
        <w:rPr>
          <w:rFonts w:ascii="Times New Roman" w:hAnsi="Times New Roman"/>
          <w:szCs w:val="24"/>
        </w:rPr>
        <w:t>Mr. Gorman</w:t>
      </w:r>
      <w:r w:rsidR="003075E4" w:rsidRPr="00186C1F">
        <w:rPr>
          <w:rFonts w:ascii="Times New Roman" w:hAnsi="Times New Roman"/>
          <w:szCs w:val="24"/>
        </w:rPr>
        <w:t xml:space="preserve"> </w:t>
      </w:r>
      <w:r w:rsidR="00186C1F" w:rsidRPr="00186C1F">
        <w:rPr>
          <w:rFonts w:ascii="Times New Roman" w:hAnsi="Times New Roman"/>
          <w:szCs w:val="24"/>
        </w:rPr>
        <w:t xml:space="preserve">understated the projected debt amount in 2022 by approximately $2.4 billion, and thereby incorrectly increased the FFO to Debt ratio in 2022. </w:t>
      </w:r>
      <w:r w:rsidR="00381486">
        <w:rPr>
          <w:rFonts w:ascii="Times New Roman" w:hAnsi="Times New Roman"/>
          <w:szCs w:val="24"/>
        </w:rPr>
        <w:t>(</w:t>
      </w:r>
      <w:r w:rsidR="00DF3416" w:rsidRPr="00DF3416">
        <w:rPr>
          <w:rFonts w:ascii="Times New Roman" w:hAnsi="Times New Roman"/>
          <w:i/>
          <w:szCs w:val="24"/>
        </w:rPr>
        <w:t>Id</w:t>
      </w:r>
      <w:r w:rsidR="00381486">
        <w:rPr>
          <w:rFonts w:ascii="Times New Roman" w:hAnsi="Times New Roman"/>
          <w:szCs w:val="24"/>
        </w:rPr>
        <w:t>.)</w:t>
      </w:r>
    </w:p>
    <w:p w14:paraId="2B3B6E2F" w14:textId="0E9BA02F"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186C1F" w:rsidRPr="00186C1F">
        <w:rPr>
          <w:rFonts w:ascii="Times New Roman" w:hAnsi="Times New Roman"/>
          <w:szCs w:val="24"/>
        </w:rPr>
        <w:t>The magnitude of these clear, obvious, and material errors, along with other credit metric errors</w:t>
      </w:r>
      <w:r w:rsidR="00EC7009">
        <w:rPr>
          <w:rFonts w:ascii="Times New Roman" w:hAnsi="Times New Roman"/>
          <w:szCs w:val="24"/>
        </w:rPr>
        <w:t xml:space="preserve"> that</w:t>
      </w:r>
      <w:r w:rsidR="00186C1F" w:rsidRPr="00186C1F">
        <w:rPr>
          <w:rFonts w:ascii="Times New Roman" w:hAnsi="Times New Roman"/>
          <w:szCs w:val="24"/>
        </w:rPr>
        <w:t xml:space="preserve"> the Company identified, cast substantial doubt on the reliability of</w:t>
      </w:r>
      <w:r w:rsidR="00EC7009">
        <w:rPr>
          <w:rFonts w:ascii="Times New Roman" w:hAnsi="Times New Roman"/>
          <w:szCs w:val="24"/>
        </w:rPr>
        <w:t xml:space="preserve"> Witness</w:t>
      </w:r>
      <w:r w:rsidR="00186C1F" w:rsidRPr="00186C1F">
        <w:rPr>
          <w:rFonts w:ascii="Times New Roman" w:hAnsi="Times New Roman"/>
          <w:szCs w:val="24"/>
        </w:rPr>
        <w:t xml:space="preserve"> Gorman</w:t>
      </w:r>
      <w:r w:rsidR="006F6CB0">
        <w:rPr>
          <w:rFonts w:ascii="Times New Roman" w:hAnsi="Times New Roman"/>
          <w:szCs w:val="24"/>
        </w:rPr>
        <w:t>’</w:t>
      </w:r>
      <w:r w:rsidR="00186C1F" w:rsidRPr="00186C1F">
        <w:rPr>
          <w:rFonts w:ascii="Times New Roman" w:hAnsi="Times New Roman"/>
          <w:szCs w:val="24"/>
        </w:rPr>
        <w:t>s statements supporting how his recommendations affect the Company</w:t>
      </w:r>
      <w:r w:rsidR="006F6CB0">
        <w:rPr>
          <w:rFonts w:ascii="Times New Roman" w:hAnsi="Times New Roman"/>
          <w:szCs w:val="24"/>
        </w:rPr>
        <w:t>’</w:t>
      </w:r>
      <w:r w:rsidR="00186C1F" w:rsidRPr="00186C1F">
        <w:rPr>
          <w:rFonts w:ascii="Times New Roman" w:hAnsi="Times New Roman"/>
          <w:szCs w:val="24"/>
        </w:rPr>
        <w:t>s credit quality. In addition,</w:t>
      </w:r>
      <w:r w:rsidR="00EC7009">
        <w:rPr>
          <w:rFonts w:ascii="Times New Roman" w:hAnsi="Times New Roman"/>
          <w:szCs w:val="24"/>
        </w:rPr>
        <w:t xml:space="preserve"> Witness</w:t>
      </w:r>
      <w:r w:rsidR="00186C1F" w:rsidRPr="00186C1F">
        <w:rPr>
          <w:rFonts w:ascii="Times New Roman" w:hAnsi="Times New Roman"/>
          <w:szCs w:val="24"/>
        </w:rPr>
        <w:t xml:space="preserve"> Gorman admitted during cross examination that he did not analyze the cumulative impact of PIA Staff</w:t>
      </w:r>
      <w:r w:rsidR="006F6CB0">
        <w:rPr>
          <w:rFonts w:ascii="Times New Roman" w:hAnsi="Times New Roman"/>
          <w:szCs w:val="24"/>
        </w:rPr>
        <w:t>’</w:t>
      </w:r>
      <w:r w:rsidR="00186C1F" w:rsidRPr="00186C1F">
        <w:rPr>
          <w:rFonts w:ascii="Times New Roman" w:hAnsi="Times New Roman"/>
          <w:szCs w:val="24"/>
        </w:rPr>
        <w:t xml:space="preserve">s proposals beyond his own ROE and equity level recommendations. </w:t>
      </w:r>
      <w:r w:rsidR="00381486">
        <w:rPr>
          <w:rFonts w:ascii="Times New Roman" w:hAnsi="Times New Roman"/>
          <w:szCs w:val="24"/>
        </w:rPr>
        <w:t>(</w:t>
      </w:r>
      <w:r w:rsidR="00DF3416">
        <w:rPr>
          <w:rFonts w:ascii="Times New Roman" w:hAnsi="Times New Roman"/>
          <w:szCs w:val="24"/>
        </w:rPr>
        <w:t>Tr. 1595-96</w:t>
      </w:r>
      <w:r w:rsidR="00381486">
        <w:rPr>
          <w:rFonts w:ascii="Times New Roman" w:hAnsi="Times New Roman"/>
          <w:szCs w:val="24"/>
        </w:rPr>
        <w:t xml:space="preserve">.) </w:t>
      </w:r>
      <w:r w:rsidR="00186C1F" w:rsidRPr="00186C1F">
        <w:rPr>
          <w:rFonts w:ascii="Times New Roman" w:hAnsi="Times New Roman"/>
          <w:szCs w:val="24"/>
        </w:rPr>
        <w:t xml:space="preserve">As such, even if </w:t>
      </w:r>
      <w:r w:rsidR="00EC7009">
        <w:rPr>
          <w:rFonts w:ascii="Times New Roman" w:hAnsi="Times New Roman"/>
          <w:szCs w:val="24"/>
        </w:rPr>
        <w:t>Witness</w:t>
      </w:r>
      <w:r w:rsidR="00186C1F" w:rsidRPr="00186C1F">
        <w:rPr>
          <w:rFonts w:ascii="Times New Roman" w:hAnsi="Times New Roman"/>
          <w:szCs w:val="24"/>
        </w:rPr>
        <w:t xml:space="preserve"> Gorman</w:t>
      </w:r>
      <w:r w:rsidR="006F6CB0">
        <w:rPr>
          <w:rFonts w:ascii="Times New Roman" w:hAnsi="Times New Roman"/>
          <w:szCs w:val="24"/>
        </w:rPr>
        <w:t>’</w:t>
      </w:r>
      <w:r w:rsidR="00186C1F" w:rsidRPr="00186C1F">
        <w:rPr>
          <w:rFonts w:ascii="Times New Roman" w:hAnsi="Times New Roman"/>
          <w:szCs w:val="24"/>
        </w:rPr>
        <w:t>s calculations were corrected, PIA Staff</w:t>
      </w:r>
      <w:r w:rsidR="006F6CB0">
        <w:rPr>
          <w:rFonts w:ascii="Times New Roman" w:hAnsi="Times New Roman"/>
          <w:szCs w:val="24"/>
        </w:rPr>
        <w:t>’</w:t>
      </w:r>
      <w:r w:rsidR="00186C1F" w:rsidRPr="00186C1F">
        <w:rPr>
          <w:rFonts w:ascii="Times New Roman" w:hAnsi="Times New Roman"/>
          <w:szCs w:val="24"/>
        </w:rPr>
        <w:t>s proposal does not accurately depict the effect of its recommendations on the Company</w:t>
      </w:r>
      <w:r w:rsidR="006F6CB0">
        <w:rPr>
          <w:rFonts w:ascii="Times New Roman" w:hAnsi="Times New Roman"/>
          <w:szCs w:val="24"/>
        </w:rPr>
        <w:t>’</w:t>
      </w:r>
      <w:r w:rsidR="00186C1F" w:rsidRPr="00186C1F">
        <w:rPr>
          <w:rFonts w:ascii="Times New Roman" w:hAnsi="Times New Roman"/>
          <w:szCs w:val="24"/>
        </w:rPr>
        <w:t>s financial health and integrity.</w:t>
      </w:r>
    </w:p>
    <w:p w14:paraId="1CB1AF9F" w14:textId="4051CD4A" w:rsidR="0069361E" w:rsidRDefault="003075E4" w:rsidP="002269B7">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8" w:name="_Hlk26111473"/>
      <w:r w:rsidRPr="00011768">
        <w:rPr>
          <w:rFonts w:ascii="Times New Roman" w:hAnsi="Times New Roman"/>
          <w:szCs w:val="24"/>
        </w:rPr>
        <w:t>6</w:t>
      </w:r>
      <w:r w:rsidR="00533458" w:rsidRPr="00011768">
        <w:rPr>
          <w:rFonts w:ascii="Times New Roman" w:hAnsi="Times New Roman"/>
          <w:szCs w:val="24"/>
        </w:rPr>
        <w:t>.</w:t>
      </w:r>
      <w:r w:rsidR="00533458" w:rsidRPr="00011768">
        <w:rPr>
          <w:rFonts w:ascii="Times New Roman" w:hAnsi="Times New Roman"/>
          <w:szCs w:val="24"/>
        </w:rPr>
        <w:tab/>
      </w:r>
      <w:r w:rsidR="0069361E" w:rsidRPr="00011768">
        <w:rPr>
          <w:rFonts w:ascii="Times New Roman" w:hAnsi="Times New Roman"/>
          <w:szCs w:val="24"/>
          <w:u w:val="single"/>
        </w:rPr>
        <w:t xml:space="preserve">The Commission </w:t>
      </w:r>
      <w:r w:rsidR="006C2783" w:rsidRPr="00011768">
        <w:rPr>
          <w:rFonts w:ascii="Times New Roman" w:hAnsi="Times New Roman"/>
          <w:szCs w:val="24"/>
          <w:u w:val="single"/>
        </w:rPr>
        <w:t xml:space="preserve">should not adopt </w:t>
      </w:r>
      <w:r w:rsidR="00EC7009" w:rsidRPr="00011768">
        <w:rPr>
          <w:rFonts w:ascii="Times New Roman" w:hAnsi="Times New Roman"/>
          <w:szCs w:val="24"/>
          <w:u w:val="single"/>
        </w:rPr>
        <w:t>Witness</w:t>
      </w:r>
      <w:r w:rsidR="006C2783" w:rsidRPr="00011768">
        <w:rPr>
          <w:rFonts w:ascii="Times New Roman" w:hAnsi="Times New Roman"/>
          <w:szCs w:val="24"/>
          <w:u w:val="single"/>
        </w:rPr>
        <w:t xml:space="preserve"> Gorman</w:t>
      </w:r>
      <w:r w:rsidR="006F6CB0" w:rsidRPr="00011768">
        <w:rPr>
          <w:rFonts w:ascii="Times New Roman" w:hAnsi="Times New Roman"/>
          <w:szCs w:val="24"/>
          <w:u w:val="single"/>
        </w:rPr>
        <w:t>’</w:t>
      </w:r>
      <w:r w:rsidR="006C2783" w:rsidRPr="00011768">
        <w:rPr>
          <w:rFonts w:ascii="Times New Roman" w:hAnsi="Times New Roman"/>
          <w:szCs w:val="24"/>
          <w:u w:val="single"/>
        </w:rPr>
        <w:t>s adjustments to</w:t>
      </w:r>
      <w:r w:rsidR="00156C06" w:rsidRPr="00011768">
        <w:rPr>
          <w:rFonts w:ascii="Times New Roman" w:hAnsi="Times New Roman"/>
          <w:szCs w:val="24"/>
          <w:u w:val="single"/>
        </w:rPr>
        <w:t xml:space="preserve"> the Company’s</w:t>
      </w:r>
      <w:r w:rsidR="006C2783" w:rsidRPr="00011768">
        <w:rPr>
          <w:rFonts w:ascii="Times New Roman" w:hAnsi="Times New Roman"/>
          <w:szCs w:val="24"/>
          <w:u w:val="single"/>
        </w:rPr>
        <w:t xml:space="preserve"> cost of debt</w:t>
      </w:r>
      <w:r w:rsidR="0069361E" w:rsidRPr="00011768">
        <w:rPr>
          <w:rFonts w:ascii="Times New Roman" w:hAnsi="Times New Roman"/>
          <w:szCs w:val="24"/>
        </w:rPr>
        <w:t>.</w:t>
      </w:r>
    </w:p>
    <w:bookmarkEnd w:id="8"/>
    <w:p w14:paraId="160D4A25" w14:textId="6D4384A7" w:rsidR="0069361E" w:rsidRPr="0069361E" w:rsidRDefault="0069361E" w:rsidP="00156C06">
      <w:pPr>
        <w:keepNext/>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EC7009">
        <w:rPr>
          <w:rFonts w:ascii="Times New Roman" w:hAnsi="Times New Roman"/>
          <w:szCs w:val="24"/>
        </w:rPr>
        <w:t>Witness</w:t>
      </w:r>
      <w:r w:rsidRPr="0069361E">
        <w:rPr>
          <w:rFonts w:ascii="Times New Roman" w:hAnsi="Times New Roman"/>
          <w:szCs w:val="24"/>
        </w:rPr>
        <w:t xml:space="preserve"> Gorman makes two major adjustments to the Company</w:t>
      </w:r>
      <w:r w:rsidR="006F6CB0">
        <w:rPr>
          <w:rFonts w:ascii="Times New Roman" w:hAnsi="Times New Roman"/>
          <w:szCs w:val="24"/>
        </w:rPr>
        <w:t>’</w:t>
      </w:r>
      <w:r w:rsidRPr="0069361E">
        <w:rPr>
          <w:rFonts w:ascii="Times New Roman" w:hAnsi="Times New Roman"/>
          <w:szCs w:val="24"/>
        </w:rPr>
        <w:t>s filed cost of debt</w:t>
      </w:r>
      <w:r w:rsidR="00156C06">
        <w:rPr>
          <w:rFonts w:ascii="Times New Roman" w:hAnsi="Times New Roman"/>
          <w:szCs w:val="24"/>
        </w:rPr>
        <w:t xml:space="preserve">, neither of which are necessary or appropriate adjustments. </w:t>
      </w:r>
      <w:r w:rsidRPr="0069361E">
        <w:rPr>
          <w:rFonts w:ascii="Times New Roman" w:hAnsi="Times New Roman"/>
          <w:szCs w:val="24"/>
        </w:rPr>
        <w:t xml:space="preserve">First, </w:t>
      </w:r>
      <w:r w:rsidR="00EC7009">
        <w:rPr>
          <w:rFonts w:ascii="Times New Roman" w:hAnsi="Times New Roman"/>
          <w:szCs w:val="24"/>
        </w:rPr>
        <w:t>Witness</w:t>
      </w:r>
      <w:r w:rsidRPr="0069361E">
        <w:rPr>
          <w:rFonts w:ascii="Times New Roman" w:hAnsi="Times New Roman"/>
          <w:szCs w:val="24"/>
        </w:rPr>
        <w:t xml:space="preserve"> Gorman</w:t>
      </w:r>
      <w:r w:rsidR="006F6CB0">
        <w:rPr>
          <w:rFonts w:ascii="Times New Roman" w:hAnsi="Times New Roman"/>
          <w:szCs w:val="24"/>
        </w:rPr>
        <w:t>’</w:t>
      </w:r>
      <w:r w:rsidRPr="0069361E">
        <w:rPr>
          <w:rFonts w:ascii="Times New Roman" w:hAnsi="Times New Roman"/>
          <w:szCs w:val="24"/>
        </w:rPr>
        <w:t>s recommended adjustment to the cost of debt revises only one component of the Company</w:t>
      </w:r>
      <w:r w:rsidR="006F6CB0">
        <w:rPr>
          <w:rFonts w:ascii="Times New Roman" w:hAnsi="Times New Roman"/>
          <w:szCs w:val="24"/>
        </w:rPr>
        <w:t>’</w:t>
      </w:r>
      <w:r w:rsidRPr="0069361E">
        <w:rPr>
          <w:rFonts w:ascii="Times New Roman" w:hAnsi="Times New Roman"/>
          <w:szCs w:val="24"/>
        </w:rPr>
        <w:t>s filing impacted by interest rates and creates inconsistencies with the interest rate assumptions throughout the remainder of the Company</w:t>
      </w:r>
      <w:r w:rsidR="006F6CB0">
        <w:rPr>
          <w:rFonts w:ascii="Times New Roman" w:hAnsi="Times New Roman"/>
          <w:szCs w:val="24"/>
        </w:rPr>
        <w:t>’</w:t>
      </w:r>
      <w:r w:rsidRPr="0069361E">
        <w:rPr>
          <w:rFonts w:ascii="Times New Roman" w:hAnsi="Times New Roman"/>
          <w:szCs w:val="24"/>
        </w:rPr>
        <w:t xml:space="preserve">s filing. </w:t>
      </w:r>
      <w:r w:rsidR="00381486">
        <w:rPr>
          <w:rFonts w:ascii="Times New Roman" w:hAnsi="Times New Roman"/>
          <w:szCs w:val="24"/>
        </w:rPr>
        <w:t>(</w:t>
      </w:r>
      <w:r w:rsidR="00011768">
        <w:rPr>
          <w:rFonts w:ascii="Times New Roman" w:hAnsi="Times New Roman"/>
          <w:szCs w:val="24"/>
        </w:rPr>
        <w:t>Tr. 2629</w:t>
      </w:r>
      <w:r w:rsidR="00381486">
        <w:rPr>
          <w:rFonts w:ascii="Times New Roman" w:hAnsi="Times New Roman"/>
          <w:szCs w:val="24"/>
        </w:rPr>
        <w:t xml:space="preserve">.) </w:t>
      </w:r>
      <w:r w:rsidRPr="0069361E">
        <w:rPr>
          <w:rFonts w:ascii="Times New Roman" w:hAnsi="Times New Roman"/>
          <w:szCs w:val="24"/>
        </w:rPr>
        <w:t>For example, adjusting interest rates only for the debt assumptions included in the Company</w:t>
      </w:r>
      <w:r w:rsidR="006F6CB0">
        <w:rPr>
          <w:rFonts w:ascii="Times New Roman" w:hAnsi="Times New Roman"/>
          <w:szCs w:val="24"/>
        </w:rPr>
        <w:t>’</w:t>
      </w:r>
      <w:r w:rsidRPr="0069361E">
        <w:rPr>
          <w:rFonts w:ascii="Times New Roman" w:hAnsi="Times New Roman"/>
          <w:szCs w:val="24"/>
        </w:rPr>
        <w:t xml:space="preserve">s WACC and ignoring </w:t>
      </w:r>
      <w:r w:rsidR="009D221C" w:rsidRPr="0069361E">
        <w:rPr>
          <w:rFonts w:ascii="Times New Roman" w:hAnsi="Times New Roman"/>
          <w:szCs w:val="24"/>
        </w:rPr>
        <w:t xml:space="preserve">the </w:t>
      </w:r>
      <w:r w:rsidR="009D221C">
        <w:rPr>
          <w:rFonts w:ascii="Times New Roman" w:hAnsi="Times New Roman"/>
          <w:szCs w:val="24"/>
        </w:rPr>
        <w:t>interest rate assumptions</w:t>
      </w:r>
      <w:r w:rsidR="009D221C" w:rsidRPr="0069361E">
        <w:rPr>
          <w:rFonts w:ascii="Times New Roman" w:hAnsi="Times New Roman"/>
          <w:szCs w:val="24"/>
        </w:rPr>
        <w:t xml:space="preserve"> </w:t>
      </w:r>
      <w:r w:rsidR="009D221C">
        <w:rPr>
          <w:rFonts w:ascii="Times New Roman" w:hAnsi="Times New Roman"/>
          <w:szCs w:val="24"/>
        </w:rPr>
        <w:t xml:space="preserve">that are </w:t>
      </w:r>
      <w:r w:rsidR="009D221C" w:rsidRPr="0069361E">
        <w:rPr>
          <w:rFonts w:ascii="Times New Roman" w:hAnsi="Times New Roman"/>
          <w:szCs w:val="24"/>
        </w:rPr>
        <w:t>used to project the Company</w:t>
      </w:r>
      <w:r w:rsidR="009D221C">
        <w:rPr>
          <w:rFonts w:ascii="Times New Roman" w:hAnsi="Times New Roman"/>
          <w:szCs w:val="24"/>
        </w:rPr>
        <w:t>’</w:t>
      </w:r>
      <w:r w:rsidR="009D221C" w:rsidRPr="0069361E">
        <w:rPr>
          <w:rFonts w:ascii="Times New Roman" w:hAnsi="Times New Roman"/>
          <w:szCs w:val="24"/>
        </w:rPr>
        <w:t>s pension obligations</w:t>
      </w:r>
      <w:r w:rsidR="009D221C">
        <w:rPr>
          <w:rFonts w:ascii="Times New Roman" w:hAnsi="Times New Roman"/>
          <w:szCs w:val="24"/>
        </w:rPr>
        <w:t>,</w:t>
      </w:r>
      <w:r w:rsidR="009D221C" w:rsidRPr="0069361E">
        <w:rPr>
          <w:rFonts w:ascii="Times New Roman" w:hAnsi="Times New Roman"/>
          <w:szCs w:val="24"/>
        </w:rPr>
        <w:t xml:space="preserve"> </w:t>
      </w:r>
      <w:r w:rsidR="009D221C">
        <w:rPr>
          <w:rFonts w:ascii="Times New Roman" w:hAnsi="Times New Roman"/>
          <w:szCs w:val="24"/>
        </w:rPr>
        <w:t xml:space="preserve">creates a distorted and inconsistent </w:t>
      </w:r>
      <w:r w:rsidR="009D221C">
        <w:rPr>
          <w:rFonts w:ascii="Times New Roman" w:hAnsi="Times New Roman"/>
          <w:szCs w:val="24"/>
        </w:rPr>
        <w:lastRenderedPageBreak/>
        <w:t>application of interest rates used in calculating the cost to serve our customers. If Witness Gorman w</w:t>
      </w:r>
      <w:r w:rsidR="00E64B30">
        <w:rPr>
          <w:rFonts w:ascii="Times New Roman" w:hAnsi="Times New Roman"/>
          <w:szCs w:val="24"/>
        </w:rPr>
        <w:t>as</w:t>
      </w:r>
      <w:r w:rsidR="009D221C">
        <w:rPr>
          <w:rFonts w:ascii="Times New Roman" w:hAnsi="Times New Roman"/>
          <w:szCs w:val="24"/>
        </w:rPr>
        <w:t xml:space="preserve"> systematic in the application of </w:t>
      </w:r>
      <w:r w:rsidR="00BC3C05">
        <w:rPr>
          <w:rFonts w:ascii="Times New Roman" w:hAnsi="Times New Roman"/>
          <w:szCs w:val="24"/>
        </w:rPr>
        <w:t xml:space="preserve">his </w:t>
      </w:r>
      <w:r w:rsidR="009D221C">
        <w:rPr>
          <w:rFonts w:ascii="Times New Roman" w:hAnsi="Times New Roman"/>
          <w:szCs w:val="24"/>
        </w:rPr>
        <w:t>alternative interest rates assumptions, he would have calculated increased pension costs that</w:t>
      </w:r>
      <w:r w:rsidR="009D221C" w:rsidRPr="0069361E">
        <w:rPr>
          <w:rFonts w:ascii="Times New Roman" w:hAnsi="Times New Roman"/>
          <w:szCs w:val="24"/>
        </w:rPr>
        <w:t xml:space="preserve"> would more than offset any debt cost rate decreases </w:t>
      </w:r>
      <w:r w:rsidR="009D221C">
        <w:rPr>
          <w:rFonts w:ascii="Times New Roman" w:hAnsi="Times New Roman"/>
          <w:szCs w:val="24"/>
        </w:rPr>
        <w:t>included</w:t>
      </w:r>
      <w:r w:rsidR="009D221C" w:rsidRPr="0069361E">
        <w:rPr>
          <w:rFonts w:ascii="Times New Roman" w:hAnsi="Times New Roman"/>
          <w:szCs w:val="24"/>
        </w:rPr>
        <w:t xml:space="preserve"> in his testimony.</w:t>
      </w:r>
      <w:r w:rsidR="009D221C">
        <w:rPr>
          <w:rFonts w:ascii="Times New Roman" w:hAnsi="Times New Roman"/>
          <w:szCs w:val="24"/>
        </w:rPr>
        <w:t xml:space="preserve">  </w:t>
      </w:r>
    </w:p>
    <w:p w14:paraId="7D0CDDEB" w14:textId="29E6C2CE" w:rsidR="0069361E" w:rsidRPr="0069361E" w:rsidRDefault="0069361E" w:rsidP="004D79CA">
      <w:pPr>
        <w:widowControl/>
        <w:tabs>
          <w:tab w:val="left" w:pos="0"/>
        </w:tabs>
        <w:overflowPunct/>
        <w:autoSpaceDE/>
        <w:autoSpaceDN/>
        <w:adjustRightInd/>
        <w:spacing w:line="480" w:lineRule="auto"/>
        <w:jc w:val="both"/>
        <w:textAlignment w:val="auto"/>
        <w:rPr>
          <w:rFonts w:ascii="Times New Roman" w:hAnsi="Times New Roman"/>
          <w:szCs w:val="24"/>
        </w:rPr>
      </w:pPr>
      <w:r w:rsidRPr="0069361E">
        <w:rPr>
          <w:rFonts w:ascii="Times New Roman" w:hAnsi="Times New Roman"/>
          <w:szCs w:val="24"/>
        </w:rPr>
        <w:tab/>
        <w:t xml:space="preserve">Second, </w:t>
      </w:r>
      <w:r w:rsidR="00EC7009">
        <w:rPr>
          <w:rFonts w:ascii="Times New Roman" w:hAnsi="Times New Roman"/>
          <w:szCs w:val="24"/>
        </w:rPr>
        <w:t>Witness</w:t>
      </w:r>
      <w:r w:rsidRPr="0069361E">
        <w:rPr>
          <w:rFonts w:ascii="Times New Roman" w:hAnsi="Times New Roman"/>
          <w:szCs w:val="24"/>
        </w:rPr>
        <w:t xml:space="preserve"> Gorman</w:t>
      </w:r>
      <w:r w:rsidR="006F6CB0">
        <w:rPr>
          <w:rFonts w:ascii="Times New Roman" w:hAnsi="Times New Roman"/>
          <w:szCs w:val="24"/>
        </w:rPr>
        <w:t>’</w:t>
      </w:r>
      <w:r w:rsidRPr="0069361E">
        <w:rPr>
          <w:rFonts w:ascii="Times New Roman" w:hAnsi="Times New Roman"/>
          <w:szCs w:val="24"/>
        </w:rPr>
        <w:t>s adjustment of projected cost of debt to 3.65% for the projected issuances beyond March 2020 is inappropriate for forecasting the Company</w:t>
      </w:r>
      <w:r w:rsidR="006F6CB0">
        <w:rPr>
          <w:rFonts w:ascii="Times New Roman" w:hAnsi="Times New Roman"/>
          <w:szCs w:val="24"/>
        </w:rPr>
        <w:t>’</w:t>
      </w:r>
      <w:r w:rsidRPr="0069361E">
        <w:rPr>
          <w:rFonts w:ascii="Times New Roman" w:hAnsi="Times New Roman"/>
          <w:szCs w:val="24"/>
        </w:rPr>
        <w:t xml:space="preserve">s future cost of debt because it: (i) is estimated on a backward-looking basis; (ii) contains only 13-weeks of history; and (iii) is unclear on tenure. </w:t>
      </w:r>
      <w:r w:rsidR="00381486">
        <w:rPr>
          <w:rFonts w:ascii="Times New Roman" w:hAnsi="Times New Roman"/>
          <w:szCs w:val="24"/>
        </w:rPr>
        <w:t>(</w:t>
      </w:r>
      <w:r w:rsidR="00172E06" w:rsidRPr="00172E06">
        <w:rPr>
          <w:rFonts w:ascii="Times New Roman" w:hAnsi="Times New Roman"/>
          <w:i/>
          <w:szCs w:val="24"/>
        </w:rPr>
        <w:t>Id</w:t>
      </w:r>
      <w:r w:rsidR="00381486">
        <w:rPr>
          <w:rFonts w:ascii="Times New Roman" w:hAnsi="Times New Roman"/>
          <w:szCs w:val="24"/>
        </w:rPr>
        <w:t xml:space="preserve">.) </w:t>
      </w:r>
      <w:r w:rsidRPr="0069361E">
        <w:rPr>
          <w:rFonts w:ascii="Times New Roman" w:hAnsi="Times New Roman"/>
          <w:szCs w:val="24"/>
        </w:rPr>
        <w:t>Georgia Power</w:t>
      </w:r>
      <w:r w:rsidR="006F6CB0">
        <w:rPr>
          <w:rFonts w:ascii="Times New Roman" w:hAnsi="Times New Roman"/>
          <w:szCs w:val="24"/>
        </w:rPr>
        <w:t>’</w:t>
      </w:r>
      <w:r w:rsidRPr="0069361E">
        <w:rPr>
          <w:rFonts w:ascii="Times New Roman" w:hAnsi="Times New Roman"/>
          <w:szCs w:val="24"/>
        </w:rPr>
        <w:t xml:space="preserve">s forward-looking approach using a reputable, third party, independently-developed interest rate forecast is more appropriate and consistent with industry best practice and has been supported historically by this Commission. </w:t>
      </w:r>
    </w:p>
    <w:p w14:paraId="21FEBD3E" w14:textId="555BCEEB" w:rsidR="00186C1F" w:rsidRPr="00186C1F" w:rsidRDefault="003075E4" w:rsidP="002269B7">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9" w:name="_Hlk26111478"/>
      <w:r>
        <w:rPr>
          <w:rFonts w:ascii="Times New Roman" w:hAnsi="Times New Roman"/>
          <w:szCs w:val="24"/>
        </w:rPr>
        <w:t>7</w:t>
      </w:r>
      <w:r w:rsidR="0069361E">
        <w:rPr>
          <w:rFonts w:ascii="Times New Roman" w:hAnsi="Times New Roman"/>
          <w:szCs w:val="24"/>
        </w:rPr>
        <w:t>.</w:t>
      </w:r>
      <w:r w:rsidR="0069361E">
        <w:rPr>
          <w:rFonts w:ascii="Times New Roman" w:hAnsi="Times New Roman"/>
          <w:szCs w:val="24"/>
        </w:rPr>
        <w:tab/>
      </w:r>
      <w:r w:rsidR="00186C1F" w:rsidRPr="006C2783">
        <w:rPr>
          <w:rFonts w:ascii="Times New Roman" w:hAnsi="Times New Roman"/>
          <w:szCs w:val="24"/>
          <w:u w:val="single"/>
        </w:rPr>
        <w:t xml:space="preserve">Adopting PIA </w:t>
      </w:r>
      <w:r w:rsidR="006C2783">
        <w:rPr>
          <w:rFonts w:ascii="Times New Roman" w:hAnsi="Times New Roman"/>
          <w:szCs w:val="24"/>
          <w:u w:val="single"/>
        </w:rPr>
        <w:t>S</w:t>
      </w:r>
      <w:r w:rsidR="006C2783" w:rsidRPr="006C2783">
        <w:rPr>
          <w:rFonts w:ascii="Times New Roman" w:hAnsi="Times New Roman"/>
          <w:szCs w:val="24"/>
          <w:u w:val="single"/>
        </w:rPr>
        <w:t>taff</w:t>
      </w:r>
      <w:r w:rsidR="006F6CB0">
        <w:rPr>
          <w:rFonts w:ascii="Times New Roman" w:hAnsi="Times New Roman"/>
          <w:szCs w:val="24"/>
          <w:u w:val="single"/>
        </w:rPr>
        <w:t>’</w:t>
      </w:r>
      <w:r w:rsidR="006C2783" w:rsidRPr="006C2783">
        <w:rPr>
          <w:rFonts w:ascii="Times New Roman" w:hAnsi="Times New Roman"/>
          <w:szCs w:val="24"/>
          <w:u w:val="single"/>
        </w:rPr>
        <w:t>s recommendations will likely lead to credit downgrade</w:t>
      </w:r>
      <w:r w:rsidR="00186C1F" w:rsidRPr="00186C1F">
        <w:rPr>
          <w:rFonts w:ascii="Times New Roman" w:hAnsi="Times New Roman"/>
          <w:szCs w:val="24"/>
        </w:rPr>
        <w:t>.</w:t>
      </w:r>
    </w:p>
    <w:bookmarkEnd w:id="9"/>
    <w:p w14:paraId="44AEC7E5" w14:textId="429ADA86" w:rsidR="00186C1F" w:rsidRPr="00186C1F" w:rsidRDefault="00533458" w:rsidP="005059C6">
      <w:pPr>
        <w:keepNext/>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186C1F" w:rsidRPr="00186C1F">
        <w:rPr>
          <w:rFonts w:ascii="Times New Roman" w:hAnsi="Times New Roman"/>
          <w:szCs w:val="24"/>
        </w:rPr>
        <w:t xml:space="preserve">Taken as </w:t>
      </w:r>
      <w:r w:rsidR="00701DD4">
        <w:rPr>
          <w:rFonts w:ascii="Times New Roman" w:hAnsi="Times New Roman"/>
          <w:szCs w:val="24"/>
        </w:rPr>
        <w:t xml:space="preserve">a </w:t>
      </w:r>
      <w:r w:rsidR="00186C1F" w:rsidRPr="00186C1F">
        <w:rPr>
          <w:rFonts w:ascii="Times New Roman" w:hAnsi="Times New Roman"/>
          <w:szCs w:val="24"/>
        </w:rPr>
        <w:t>whole, and in many cases taken as individual parts, PIA Staff</w:t>
      </w:r>
      <w:r w:rsidR="006F6CB0">
        <w:rPr>
          <w:rFonts w:ascii="Times New Roman" w:hAnsi="Times New Roman"/>
          <w:szCs w:val="24"/>
        </w:rPr>
        <w:t>’</w:t>
      </w:r>
      <w:r w:rsidR="00186C1F" w:rsidRPr="00186C1F">
        <w:rPr>
          <w:rFonts w:ascii="Times New Roman" w:hAnsi="Times New Roman"/>
          <w:szCs w:val="24"/>
        </w:rPr>
        <w:t>s recommendations would impair the Company</w:t>
      </w:r>
      <w:r w:rsidR="006F6CB0">
        <w:rPr>
          <w:rFonts w:ascii="Times New Roman" w:hAnsi="Times New Roman"/>
          <w:szCs w:val="24"/>
        </w:rPr>
        <w:t>’</w:t>
      </w:r>
      <w:r w:rsidR="00186C1F" w:rsidRPr="00186C1F">
        <w:rPr>
          <w:rFonts w:ascii="Times New Roman" w:hAnsi="Times New Roman"/>
          <w:szCs w:val="24"/>
        </w:rPr>
        <w:t xml:space="preserve">s financial integrity and threaten its access to capital markets. </w:t>
      </w:r>
      <w:r w:rsidR="00EC7009">
        <w:rPr>
          <w:rFonts w:ascii="Times New Roman" w:hAnsi="Times New Roman"/>
          <w:szCs w:val="24"/>
        </w:rPr>
        <w:t>Witness</w:t>
      </w:r>
      <w:r w:rsidR="00186C1F" w:rsidRPr="00186C1F">
        <w:rPr>
          <w:rFonts w:ascii="Times New Roman" w:hAnsi="Times New Roman"/>
          <w:szCs w:val="24"/>
        </w:rPr>
        <w:t xml:space="preserve"> Gorman</w:t>
      </w:r>
      <w:r w:rsidR="006F6CB0">
        <w:rPr>
          <w:rFonts w:ascii="Times New Roman" w:hAnsi="Times New Roman"/>
          <w:szCs w:val="24"/>
        </w:rPr>
        <w:t>’</w:t>
      </w:r>
      <w:r w:rsidR="00186C1F" w:rsidRPr="00186C1F">
        <w:rPr>
          <w:rFonts w:ascii="Times New Roman" w:hAnsi="Times New Roman"/>
          <w:szCs w:val="24"/>
        </w:rPr>
        <w:t>s recommended 9.2% ROE and capital structure of 51% equity alone threaten the Company</w:t>
      </w:r>
      <w:r w:rsidR="006F6CB0">
        <w:rPr>
          <w:rFonts w:ascii="Times New Roman" w:hAnsi="Times New Roman"/>
          <w:szCs w:val="24"/>
        </w:rPr>
        <w:t>’</w:t>
      </w:r>
      <w:r w:rsidR="00186C1F" w:rsidRPr="00186C1F">
        <w:rPr>
          <w:rFonts w:ascii="Times New Roman" w:hAnsi="Times New Roman"/>
          <w:szCs w:val="24"/>
        </w:rPr>
        <w:t xml:space="preserve">s financial health. However, the cumulative effect of </w:t>
      </w:r>
      <w:r w:rsidR="004E0AB4">
        <w:rPr>
          <w:rFonts w:ascii="Times New Roman" w:hAnsi="Times New Roman"/>
          <w:szCs w:val="24"/>
        </w:rPr>
        <w:t>Witness</w:t>
      </w:r>
      <w:r w:rsidR="00186C1F" w:rsidRPr="00186C1F">
        <w:rPr>
          <w:rFonts w:ascii="Times New Roman" w:hAnsi="Times New Roman"/>
          <w:szCs w:val="24"/>
        </w:rPr>
        <w:t xml:space="preserve"> Gorman</w:t>
      </w:r>
      <w:r w:rsidR="006F6CB0">
        <w:rPr>
          <w:rFonts w:ascii="Times New Roman" w:hAnsi="Times New Roman"/>
          <w:szCs w:val="24"/>
        </w:rPr>
        <w:t>’</w:t>
      </w:r>
      <w:r w:rsidR="00186C1F" w:rsidRPr="00186C1F">
        <w:rPr>
          <w:rFonts w:ascii="Times New Roman" w:hAnsi="Times New Roman"/>
          <w:szCs w:val="24"/>
        </w:rPr>
        <w:t>s recommendations</w:t>
      </w:r>
      <w:r w:rsidR="00A414AB">
        <w:rPr>
          <w:rFonts w:ascii="Times New Roman" w:hAnsi="Times New Roman"/>
          <w:szCs w:val="24"/>
        </w:rPr>
        <w:t>,</w:t>
      </w:r>
      <w:r w:rsidR="00186C1F" w:rsidRPr="00186C1F">
        <w:rPr>
          <w:rFonts w:ascii="Times New Roman" w:hAnsi="Times New Roman"/>
          <w:szCs w:val="24"/>
        </w:rPr>
        <w:t xml:space="preserve"> coupled with</w:t>
      </w:r>
      <w:r w:rsidR="00701DD4">
        <w:rPr>
          <w:rFonts w:ascii="Times New Roman" w:hAnsi="Times New Roman"/>
          <w:szCs w:val="24"/>
        </w:rPr>
        <w:t xml:space="preserve"> PIA Staff</w:t>
      </w:r>
      <w:r w:rsidR="00186C1F" w:rsidRPr="00186C1F">
        <w:rPr>
          <w:rFonts w:ascii="Times New Roman" w:hAnsi="Times New Roman"/>
          <w:szCs w:val="24"/>
        </w:rPr>
        <w:t xml:space="preserve"> </w:t>
      </w:r>
      <w:r w:rsidR="00EC7009">
        <w:rPr>
          <w:rFonts w:ascii="Times New Roman" w:hAnsi="Times New Roman"/>
          <w:szCs w:val="24"/>
        </w:rPr>
        <w:t>Witnesses</w:t>
      </w:r>
      <w:r w:rsidR="00186C1F" w:rsidRPr="00186C1F">
        <w:rPr>
          <w:rFonts w:ascii="Times New Roman" w:hAnsi="Times New Roman"/>
          <w:szCs w:val="24"/>
        </w:rPr>
        <w:t xml:space="preserve"> Smith and Trokey</w:t>
      </w:r>
      <w:r w:rsidR="006F6CB0">
        <w:rPr>
          <w:rFonts w:ascii="Times New Roman" w:hAnsi="Times New Roman"/>
          <w:szCs w:val="24"/>
        </w:rPr>
        <w:t>’</w:t>
      </w:r>
      <w:r w:rsidR="00186C1F" w:rsidRPr="00186C1F">
        <w:rPr>
          <w:rFonts w:ascii="Times New Roman" w:hAnsi="Times New Roman"/>
          <w:szCs w:val="24"/>
        </w:rPr>
        <w:t>s recommendations</w:t>
      </w:r>
      <w:r w:rsidR="00A414AB">
        <w:rPr>
          <w:rFonts w:ascii="Times New Roman" w:hAnsi="Times New Roman"/>
          <w:szCs w:val="24"/>
        </w:rPr>
        <w:t>,</w:t>
      </w:r>
      <w:r w:rsidR="00186C1F" w:rsidRPr="00186C1F">
        <w:rPr>
          <w:rFonts w:ascii="Times New Roman" w:hAnsi="Times New Roman"/>
          <w:szCs w:val="24"/>
        </w:rPr>
        <w:t xml:space="preserve"> is even more pronounced on the Company</w:t>
      </w:r>
      <w:r w:rsidR="006F6CB0">
        <w:rPr>
          <w:rFonts w:ascii="Times New Roman" w:hAnsi="Times New Roman"/>
          <w:szCs w:val="24"/>
        </w:rPr>
        <w:t>’</w:t>
      </w:r>
      <w:r w:rsidR="00186C1F" w:rsidRPr="00186C1F">
        <w:rPr>
          <w:rFonts w:ascii="Times New Roman" w:hAnsi="Times New Roman"/>
          <w:szCs w:val="24"/>
        </w:rPr>
        <w:t xml:space="preserve">s </w:t>
      </w:r>
      <w:r w:rsidR="00744D12">
        <w:rPr>
          <w:rFonts w:ascii="Times New Roman" w:hAnsi="Times New Roman"/>
          <w:szCs w:val="24"/>
        </w:rPr>
        <w:t>credit</w:t>
      </w:r>
      <w:r w:rsidR="00186C1F" w:rsidRPr="00186C1F">
        <w:rPr>
          <w:rFonts w:ascii="Times New Roman" w:hAnsi="Times New Roman"/>
          <w:szCs w:val="24"/>
        </w:rPr>
        <w:t xml:space="preserve"> metrics. PIA Staff</w:t>
      </w:r>
      <w:r w:rsidR="006F6CB0">
        <w:rPr>
          <w:rFonts w:ascii="Times New Roman" w:hAnsi="Times New Roman"/>
          <w:szCs w:val="24"/>
        </w:rPr>
        <w:t>’</w:t>
      </w:r>
      <w:r w:rsidR="00186C1F" w:rsidRPr="00186C1F">
        <w:rPr>
          <w:rFonts w:ascii="Times New Roman" w:hAnsi="Times New Roman"/>
          <w:szCs w:val="24"/>
        </w:rPr>
        <w:t>s combined proposal would cause the Company</w:t>
      </w:r>
      <w:r w:rsidR="006F6CB0">
        <w:rPr>
          <w:rFonts w:ascii="Times New Roman" w:hAnsi="Times New Roman"/>
          <w:szCs w:val="24"/>
        </w:rPr>
        <w:t>’</w:t>
      </w:r>
      <w:r w:rsidR="00186C1F" w:rsidRPr="00186C1F">
        <w:rPr>
          <w:rFonts w:ascii="Times New Roman" w:hAnsi="Times New Roman"/>
          <w:szCs w:val="24"/>
        </w:rPr>
        <w:t>s FFO to Debt to fall well below S&amp;P</w:t>
      </w:r>
      <w:r w:rsidR="00701DD4">
        <w:rPr>
          <w:rFonts w:ascii="Times New Roman" w:hAnsi="Times New Roman"/>
          <w:szCs w:val="24"/>
        </w:rPr>
        <w:t>’s</w:t>
      </w:r>
      <w:r w:rsidR="00186C1F" w:rsidRPr="00186C1F">
        <w:rPr>
          <w:rFonts w:ascii="Times New Roman" w:hAnsi="Times New Roman"/>
          <w:szCs w:val="24"/>
        </w:rPr>
        <w:t xml:space="preserve"> and Moody</w:t>
      </w:r>
      <w:r w:rsidR="006F6CB0">
        <w:rPr>
          <w:rFonts w:ascii="Times New Roman" w:hAnsi="Times New Roman"/>
          <w:szCs w:val="24"/>
        </w:rPr>
        <w:t>’</w:t>
      </w:r>
      <w:r w:rsidR="00186C1F" w:rsidRPr="00186C1F">
        <w:rPr>
          <w:rFonts w:ascii="Times New Roman" w:hAnsi="Times New Roman"/>
          <w:szCs w:val="24"/>
        </w:rPr>
        <w:t>s established expectations necessary to retain the Company</w:t>
      </w:r>
      <w:r w:rsidR="006F6CB0">
        <w:rPr>
          <w:rFonts w:ascii="Times New Roman" w:hAnsi="Times New Roman"/>
          <w:szCs w:val="24"/>
        </w:rPr>
        <w:t>’</w:t>
      </w:r>
      <w:r w:rsidR="00186C1F" w:rsidRPr="00186C1F">
        <w:rPr>
          <w:rFonts w:ascii="Times New Roman" w:hAnsi="Times New Roman"/>
          <w:szCs w:val="24"/>
        </w:rPr>
        <w:t xml:space="preserve">s current credit ratings. </w:t>
      </w:r>
      <w:r w:rsidR="00381486">
        <w:rPr>
          <w:rFonts w:ascii="Times New Roman" w:hAnsi="Times New Roman"/>
          <w:szCs w:val="24"/>
        </w:rPr>
        <w:t>(</w:t>
      </w:r>
      <w:r w:rsidR="00172E06">
        <w:rPr>
          <w:rFonts w:ascii="Times New Roman" w:hAnsi="Times New Roman"/>
          <w:szCs w:val="24"/>
        </w:rPr>
        <w:t>Tr. 2625</w:t>
      </w:r>
      <w:r w:rsidR="00381486">
        <w:rPr>
          <w:rFonts w:ascii="Times New Roman" w:hAnsi="Times New Roman"/>
          <w:szCs w:val="24"/>
        </w:rPr>
        <w:t>.)</w:t>
      </w:r>
    </w:p>
    <w:p w14:paraId="003763E7" w14:textId="7A92C287"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186C1F" w:rsidRPr="00186C1F" w:rsidDel="00B057F9">
        <w:rPr>
          <w:rFonts w:ascii="Times New Roman" w:hAnsi="Times New Roman"/>
          <w:szCs w:val="24"/>
        </w:rPr>
        <w:t>Based on the latest Moody</w:t>
      </w:r>
      <w:r w:rsidR="006F6CB0">
        <w:rPr>
          <w:rFonts w:ascii="Times New Roman" w:hAnsi="Times New Roman"/>
          <w:szCs w:val="24"/>
        </w:rPr>
        <w:t>’</w:t>
      </w:r>
      <w:r w:rsidR="00186C1F" w:rsidRPr="00186C1F" w:rsidDel="00B057F9">
        <w:rPr>
          <w:rFonts w:ascii="Times New Roman" w:hAnsi="Times New Roman"/>
          <w:szCs w:val="24"/>
        </w:rPr>
        <w:t>s Credit Opinion issued on October 16, 2019, Moody</w:t>
      </w:r>
      <w:r w:rsidR="006F6CB0">
        <w:rPr>
          <w:rFonts w:ascii="Times New Roman" w:hAnsi="Times New Roman"/>
          <w:szCs w:val="24"/>
        </w:rPr>
        <w:t>’</w:t>
      </w:r>
      <w:r w:rsidR="00186C1F" w:rsidRPr="00186C1F" w:rsidDel="00B057F9">
        <w:rPr>
          <w:rFonts w:ascii="Times New Roman" w:hAnsi="Times New Roman"/>
          <w:szCs w:val="24"/>
        </w:rPr>
        <w:t xml:space="preserve">s stated that a ratio of cash flow from operations (“CFO”) pre-working capital (“W/C”) to debt should be about 20-23% in order to support the </w:t>
      </w:r>
      <w:r w:rsidR="00701DD4">
        <w:rPr>
          <w:rFonts w:ascii="Times New Roman" w:hAnsi="Times New Roman"/>
          <w:szCs w:val="24"/>
        </w:rPr>
        <w:t>s</w:t>
      </w:r>
      <w:r w:rsidR="00186C1F" w:rsidRPr="00186C1F" w:rsidDel="00B057F9">
        <w:rPr>
          <w:rFonts w:ascii="Times New Roman" w:hAnsi="Times New Roman"/>
          <w:szCs w:val="24"/>
        </w:rPr>
        <w:t xml:space="preserve">table outlook for the Company. </w:t>
      </w:r>
      <w:r w:rsidR="00381486">
        <w:rPr>
          <w:rFonts w:ascii="Times New Roman" w:hAnsi="Times New Roman"/>
          <w:szCs w:val="24"/>
        </w:rPr>
        <w:t>(</w:t>
      </w:r>
      <w:r w:rsidR="003E4132">
        <w:rPr>
          <w:rFonts w:ascii="Times New Roman" w:hAnsi="Times New Roman"/>
          <w:szCs w:val="24"/>
        </w:rPr>
        <w:t>Tr. 2623</w:t>
      </w:r>
      <w:r w:rsidR="00381486">
        <w:rPr>
          <w:rFonts w:ascii="Times New Roman" w:hAnsi="Times New Roman"/>
          <w:szCs w:val="24"/>
        </w:rPr>
        <w:t xml:space="preserve">.) </w:t>
      </w:r>
      <w:r w:rsidR="00186C1F" w:rsidRPr="00186C1F" w:rsidDel="00B057F9">
        <w:rPr>
          <w:rFonts w:ascii="Times New Roman" w:hAnsi="Times New Roman"/>
          <w:szCs w:val="24"/>
        </w:rPr>
        <w:t xml:space="preserve">In addition, S&amp;P </w:t>
      </w:r>
      <w:r w:rsidR="00186C1F" w:rsidRPr="00186C1F" w:rsidDel="00B057F9">
        <w:rPr>
          <w:rFonts w:ascii="Times New Roman" w:hAnsi="Times New Roman"/>
          <w:szCs w:val="24"/>
        </w:rPr>
        <w:lastRenderedPageBreak/>
        <w:t xml:space="preserve">stated in the latest </w:t>
      </w:r>
      <w:r w:rsidR="00A414AB">
        <w:rPr>
          <w:rFonts w:ascii="Times New Roman" w:hAnsi="Times New Roman"/>
          <w:szCs w:val="24"/>
        </w:rPr>
        <w:t>s</w:t>
      </w:r>
      <w:r w:rsidR="00A414AB" w:rsidRPr="00186C1F" w:rsidDel="00B057F9">
        <w:rPr>
          <w:rFonts w:ascii="Times New Roman" w:hAnsi="Times New Roman"/>
          <w:szCs w:val="24"/>
        </w:rPr>
        <w:t xml:space="preserve">ummary </w:t>
      </w:r>
      <w:r w:rsidR="00186C1F" w:rsidRPr="00186C1F" w:rsidDel="00B057F9">
        <w:rPr>
          <w:rFonts w:ascii="Times New Roman" w:hAnsi="Times New Roman"/>
          <w:szCs w:val="24"/>
        </w:rPr>
        <w:t>for Georgia Power</w:t>
      </w:r>
      <w:r w:rsidR="00A414AB">
        <w:rPr>
          <w:rFonts w:ascii="Times New Roman" w:hAnsi="Times New Roman"/>
          <w:szCs w:val="24"/>
        </w:rPr>
        <w:t>,</w:t>
      </w:r>
      <w:r w:rsidR="00186C1F" w:rsidRPr="00186C1F" w:rsidDel="00B057F9">
        <w:rPr>
          <w:rFonts w:ascii="Times New Roman" w:hAnsi="Times New Roman"/>
          <w:szCs w:val="24"/>
        </w:rPr>
        <w:t xml:space="preserve"> issued on </w:t>
      </w:r>
      <w:r w:rsidR="00186C1F" w:rsidRPr="00186C1F">
        <w:rPr>
          <w:rFonts w:ascii="Times New Roman" w:hAnsi="Times New Roman"/>
          <w:szCs w:val="24"/>
        </w:rPr>
        <w:t>October 12, 2018</w:t>
      </w:r>
      <w:r w:rsidR="00186C1F" w:rsidRPr="00186C1F" w:rsidDel="00B057F9">
        <w:rPr>
          <w:rFonts w:ascii="Times New Roman" w:hAnsi="Times New Roman"/>
          <w:szCs w:val="24"/>
        </w:rPr>
        <w:t xml:space="preserve"> that they “expect GPC</w:t>
      </w:r>
      <w:r w:rsidR="006F6CB0">
        <w:rPr>
          <w:rFonts w:ascii="Times New Roman" w:hAnsi="Times New Roman"/>
          <w:szCs w:val="24"/>
        </w:rPr>
        <w:t>’</w:t>
      </w:r>
      <w:r w:rsidR="00186C1F" w:rsidRPr="00186C1F" w:rsidDel="00B057F9">
        <w:rPr>
          <w:rFonts w:ascii="Times New Roman" w:hAnsi="Times New Roman"/>
          <w:szCs w:val="24"/>
        </w:rPr>
        <w:t>s funds from operations (FFO)-to-debt ratio to average close to 15% through 2019, with gradual improvements beginning in 2020.”</w:t>
      </w:r>
      <w:r w:rsidR="00A414AB">
        <w:rPr>
          <w:rFonts w:ascii="Times New Roman" w:hAnsi="Times New Roman"/>
          <w:szCs w:val="24"/>
        </w:rPr>
        <w:t xml:space="preserve"> (</w:t>
      </w:r>
      <w:r w:rsidR="00373228" w:rsidRPr="005809F2">
        <w:rPr>
          <w:rFonts w:ascii="Times New Roman" w:hAnsi="Times New Roman"/>
          <w:i/>
          <w:szCs w:val="24"/>
        </w:rPr>
        <w:t>Id</w:t>
      </w:r>
      <w:r w:rsidR="00A414AB">
        <w:rPr>
          <w:rFonts w:ascii="Times New Roman" w:hAnsi="Times New Roman"/>
          <w:szCs w:val="24"/>
        </w:rPr>
        <w:t>.)</w:t>
      </w:r>
      <w:r w:rsidR="00186C1F" w:rsidRPr="00186C1F" w:rsidDel="00B057F9">
        <w:rPr>
          <w:rFonts w:ascii="Times New Roman" w:hAnsi="Times New Roman"/>
          <w:szCs w:val="24"/>
        </w:rPr>
        <w:t xml:space="preserve"> </w:t>
      </w:r>
      <w:r w:rsidR="00186C1F" w:rsidRPr="00186C1F">
        <w:rPr>
          <w:rFonts w:ascii="Times New Roman" w:hAnsi="Times New Roman"/>
          <w:szCs w:val="24"/>
        </w:rPr>
        <w:t>The Company</w:t>
      </w:r>
      <w:r w:rsidR="006F6CB0">
        <w:rPr>
          <w:rFonts w:ascii="Times New Roman" w:hAnsi="Times New Roman"/>
          <w:szCs w:val="24"/>
        </w:rPr>
        <w:t>’</w:t>
      </w:r>
      <w:r w:rsidR="00186C1F" w:rsidRPr="00186C1F">
        <w:rPr>
          <w:rFonts w:ascii="Times New Roman" w:hAnsi="Times New Roman"/>
          <w:szCs w:val="24"/>
        </w:rPr>
        <w:t>s proposed case results in a</w:t>
      </w:r>
      <w:r w:rsidR="002878FB">
        <w:rPr>
          <w:rFonts w:ascii="Times New Roman" w:hAnsi="Times New Roman"/>
          <w:szCs w:val="24"/>
        </w:rPr>
        <w:t>n average</w:t>
      </w:r>
      <w:r w:rsidR="00186C1F" w:rsidRPr="00186C1F">
        <w:rPr>
          <w:rFonts w:ascii="Times New Roman" w:hAnsi="Times New Roman"/>
          <w:szCs w:val="24"/>
        </w:rPr>
        <w:t xml:space="preserve"> CFO pre-W/C to debt</w:t>
      </w:r>
      <w:r w:rsidR="00A414AB">
        <w:rPr>
          <w:rFonts w:ascii="Times New Roman" w:hAnsi="Times New Roman"/>
          <w:szCs w:val="24"/>
        </w:rPr>
        <w:t xml:space="preserve"> ratio</w:t>
      </w:r>
      <w:r w:rsidR="00186C1F" w:rsidRPr="00186C1F">
        <w:rPr>
          <w:rFonts w:ascii="Times New Roman" w:hAnsi="Times New Roman"/>
          <w:szCs w:val="24"/>
        </w:rPr>
        <w:t xml:space="preserve"> of 21.2% and an FFO to Debt calculation of 16.3%, both of which are within the reasonable range or above the minimum threshold noted by Moody</w:t>
      </w:r>
      <w:r w:rsidR="006F6CB0">
        <w:rPr>
          <w:rFonts w:ascii="Times New Roman" w:hAnsi="Times New Roman"/>
          <w:szCs w:val="24"/>
        </w:rPr>
        <w:t>’</w:t>
      </w:r>
      <w:r w:rsidR="00186C1F" w:rsidRPr="00186C1F">
        <w:rPr>
          <w:rFonts w:ascii="Times New Roman" w:hAnsi="Times New Roman"/>
          <w:szCs w:val="24"/>
        </w:rPr>
        <w:t>s and S&amp;P.</w:t>
      </w:r>
      <w:r w:rsidR="00381486">
        <w:rPr>
          <w:rFonts w:ascii="Times New Roman" w:hAnsi="Times New Roman"/>
          <w:szCs w:val="24"/>
        </w:rPr>
        <w:t xml:space="preserve"> (</w:t>
      </w:r>
      <w:r w:rsidR="005809F2">
        <w:rPr>
          <w:rFonts w:ascii="Times New Roman" w:hAnsi="Times New Roman"/>
          <w:i/>
          <w:szCs w:val="24"/>
        </w:rPr>
        <w:t xml:space="preserve">See </w:t>
      </w:r>
      <w:r w:rsidR="005809F2">
        <w:rPr>
          <w:rFonts w:ascii="Times New Roman" w:hAnsi="Times New Roman"/>
          <w:szCs w:val="24"/>
        </w:rPr>
        <w:t>Tr. 2623, 2626</w:t>
      </w:r>
      <w:r w:rsidR="00381486">
        <w:rPr>
          <w:rFonts w:ascii="Times New Roman" w:hAnsi="Times New Roman"/>
          <w:szCs w:val="24"/>
        </w:rPr>
        <w:t>.)</w:t>
      </w:r>
      <w:r w:rsidR="00186C1F" w:rsidRPr="00186C1F">
        <w:rPr>
          <w:rFonts w:ascii="Times New Roman" w:hAnsi="Times New Roman"/>
          <w:szCs w:val="24"/>
        </w:rPr>
        <w:t xml:space="preserve"> </w:t>
      </w:r>
      <w:r w:rsidR="00D21B96">
        <w:rPr>
          <w:rFonts w:ascii="Times New Roman" w:hAnsi="Times New Roman"/>
          <w:szCs w:val="24"/>
        </w:rPr>
        <w:t xml:space="preserve">The combination of Witness Gorman’s recommendations and those of Witnesses Smith and Trokey, </w:t>
      </w:r>
      <w:r w:rsidR="00186C1F" w:rsidRPr="00186C1F">
        <w:rPr>
          <w:rFonts w:ascii="Times New Roman" w:hAnsi="Times New Roman"/>
          <w:szCs w:val="24"/>
        </w:rPr>
        <w:t xml:space="preserve">when corrected for the errors the Company identified in </w:t>
      </w:r>
      <w:r w:rsidR="00D21B96">
        <w:rPr>
          <w:rFonts w:ascii="Times New Roman" w:hAnsi="Times New Roman"/>
          <w:szCs w:val="24"/>
        </w:rPr>
        <w:t>Mr. Gorman’s</w:t>
      </w:r>
      <w:r w:rsidR="00D21B96" w:rsidRPr="00186C1F">
        <w:rPr>
          <w:rFonts w:ascii="Times New Roman" w:hAnsi="Times New Roman"/>
          <w:szCs w:val="24"/>
        </w:rPr>
        <w:t xml:space="preserve"> </w:t>
      </w:r>
      <w:r w:rsidR="00186C1F" w:rsidRPr="00186C1F">
        <w:rPr>
          <w:rFonts w:ascii="Times New Roman" w:hAnsi="Times New Roman"/>
          <w:szCs w:val="24"/>
        </w:rPr>
        <w:t>calculations, cause the Company</w:t>
      </w:r>
      <w:r w:rsidR="006F6CB0">
        <w:rPr>
          <w:rFonts w:ascii="Times New Roman" w:hAnsi="Times New Roman"/>
          <w:szCs w:val="24"/>
        </w:rPr>
        <w:t>’</w:t>
      </w:r>
      <w:r w:rsidR="00186C1F" w:rsidRPr="00186C1F">
        <w:rPr>
          <w:rFonts w:ascii="Times New Roman" w:hAnsi="Times New Roman"/>
          <w:szCs w:val="24"/>
        </w:rPr>
        <w:t>s financial metrics to fall to 16.</w:t>
      </w:r>
      <w:r w:rsidR="00D21B96">
        <w:rPr>
          <w:rFonts w:ascii="Times New Roman" w:hAnsi="Times New Roman"/>
          <w:szCs w:val="24"/>
        </w:rPr>
        <w:t>4</w:t>
      </w:r>
      <w:r w:rsidR="00186C1F" w:rsidRPr="00186C1F">
        <w:rPr>
          <w:rFonts w:ascii="Times New Roman" w:hAnsi="Times New Roman"/>
          <w:szCs w:val="24"/>
        </w:rPr>
        <w:t>% and 13.</w:t>
      </w:r>
      <w:r w:rsidR="00D21B96">
        <w:rPr>
          <w:rFonts w:ascii="Times New Roman" w:hAnsi="Times New Roman"/>
          <w:szCs w:val="24"/>
        </w:rPr>
        <w:t>1</w:t>
      </w:r>
      <w:r w:rsidR="00186C1F" w:rsidRPr="00186C1F">
        <w:rPr>
          <w:rFonts w:ascii="Times New Roman" w:hAnsi="Times New Roman"/>
          <w:szCs w:val="24"/>
        </w:rPr>
        <w:t xml:space="preserve">%, </w:t>
      </w:r>
      <w:r w:rsidR="00A414AB">
        <w:rPr>
          <w:rFonts w:ascii="Times New Roman" w:hAnsi="Times New Roman"/>
          <w:szCs w:val="24"/>
        </w:rPr>
        <w:t xml:space="preserve">respectively, </w:t>
      </w:r>
      <w:r w:rsidR="00186C1F" w:rsidRPr="00186C1F">
        <w:rPr>
          <w:rFonts w:ascii="Times New Roman" w:hAnsi="Times New Roman"/>
          <w:szCs w:val="24"/>
        </w:rPr>
        <w:t>both of which are</w:t>
      </w:r>
      <w:r w:rsidR="00D21B96">
        <w:rPr>
          <w:rFonts w:ascii="Times New Roman" w:hAnsi="Times New Roman"/>
          <w:szCs w:val="24"/>
        </w:rPr>
        <w:t xml:space="preserve"> well</w:t>
      </w:r>
      <w:r w:rsidR="00186C1F" w:rsidRPr="00186C1F">
        <w:rPr>
          <w:rFonts w:ascii="Times New Roman" w:hAnsi="Times New Roman"/>
          <w:szCs w:val="24"/>
        </w:rPr>
        <w:t xml:space="preserve"> below the credit agencies</w:t>
      </w:r>
      <w:r w:rsidR="006F6CB0">
        <w:rPr>
          <w:rFonts w:ascii="Times New Roman" w:hAnsi="Times New Roman"/>
          <w:szCs w:val="24"/>
        </w:rPr>
        <w:t>’</w:t>
      </w:r>
      <w:r w:rsidR="00186C1F" w:rsidRPr="00186C1F">
        <w:rPr>
          <w:rFonts w:ascii="Times New Roman" w:hAnsi="Times New Roman"/>
          <w:szCs w:val="24"/>
        </w:rPr>
        <w:t xml:space="preserve"> lower bound threshold</w:t>
      </w:r>
      <w:r w:rsidR="00A414AB">
        <w:rPr>
          <w:rFonts w:ascii="Times New Roman" w:hAnsi="Times New Roman"/>
          <w:szCs w:val="24"/>
        </w:rPr>
        <w:t>s</w:t>
      </w:r>
      <w:r w:rsidR="00186C1F" w:rsidRPr="00186C1F">
        <w:rPr>
          <w:rFonts w:ascii="Times New Roman" w:hAnsi="Times New Roman"/>
          <w:szCs w:val="24"/>
        </w:rPr>
        <w:t xml:space="preserve"> to maintain the Company</w:t>
      </w:r>
      <w:r w:rsidR="006F6CB0">
        <w:rPr>
          <w:rFonts w:ascii="Times New Roman" w:hAnsi="Times New Roman"/>
          <w:szCs w:val="24"/>
        </w:rPr>
        <w:t>’</w:t>
      </w:r>
      <w:r w:rsidR="00186C1F" w:rsidRPr="00186C1F">
        <w:rPr>
          <w:rFonts w:ascii="Times New Roman" w:hAnsi="Times New Roman"/>
          <w:szCs w:val="24"/>
        </w:rPr>
        <w:t xml:space="preserve">s current credit quality. </w:t>
      </w:r>
      <w:r w:rsidR="00381486">
        <w:rPr>
          <w:rFonts w:ascii="Times New Roman" w:hAnsi="Times New Roman"/>
          <w:szCs w:val="24"/>
        </w:rPr>
        <w:t>(</w:t>
      </w:r>
      <w:r w:rsidR="005809F2">
        <w:rPr>
          <w:rFonts w:ascii="Times New Roman" w:hAnsi="Times New Roman"/>
          <w:szCs w:val="24"/>
        </w:rPr>
        <w:t>Tr. 2626</w:t>
      </w:r>
      <w:r w:rsidR="00381486">
        <w:rPr>
          <w:rFonts w:ascii="Times New Roman" w:hAnsi="Times New Roman"/>
          <w:szCs w:val="24"/>
        </w:rPr>
        <w:t xml:space="preserve">.) </w:t>
      </w:r>
    </w:p>
    <w:p w14:paraId="680041DF" w14:textId="383ADC7C"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186C1F" w:rsidRPr="00186C1F">
        <w:rPr>
          <w:rFonts w:ascii="Times New Roman" w:hAnsi="Times New Roman"/>
          <w:szCs w:val="24"/>
        </w:rPr>
        <w:t>The Company</w:t>
      </w:r>
      <w:r w:rsidR="006F6CB0">
        <w:rPr>
          <w:rFonts w:ascii="Times New Roman" w:hAnsi="Times New Roman"/>
          <w:szCs w:val="24"/>
        </w:rPr>
        <w:t>’</w:t>
      </w:r>
      <w:r w:rsidR="00186C1F" w:rsidRPr="00186C1F">
        <w:rPr>
          <w:rFonts w:ascii="Times New Roman" w:hAnsi="Times New Roman"/>
          <w:szCs w:val="24"/>
        </w:rPr>
        <w:t xml:space="preserve">s concerns about a potential downgrade </w:t>
      </w:r>
      <w:r w:rsidR="004E0AB4">
        <w:rPr>
          <w:rFonts w:ascii="Times New Roman" w:hAnsi="Times New Roman"/>
          <w:szCs w:val="24"/>
        </w:rPr>
        <w:t>if</w:t>
      </w:r>
      <w:r w:rsidR="00186C1F" w:rsidRPr="00186C1F">
        <w:rPr>
          <w:rFonts w:ascii="Times New Roman" w:hAnsi="Times New Roman"/>
          <w:szCs w:val="24"/>
        </w:rPr>
        <w:t xml:space="preserve"> PIA Staff</w:t>
      </w:r>
      <w:r w:rsidR="006F6CB0">
        <w:rPr>
          <w:rFonts w:ascii="Times New Roman" w:hAnsi="Times New Roman"/>
          <w:szCs w:val="24"/>
        </w:rPr>
        <w:t>’</w:t>
      </w:r>
      <w:r w:rsidR="00186C1F" w:rsidRPr="00186C1F">
        <w:rPr>
          <w:rFonts w:ascii="Times New Roman" w:hAnsi="Times New Roman"/>
          <w:szCs w:val="24"/>
        </w:rPr>
        <w:t xml:space="preserve">s recommendations are adopted </w:t>
      </w:r>
      <w:r w:rsidR="00677A91">
        <w:rPr>
          <w:rFonts w:ascii="Times New Roman" w:hAnsi="Times New Roman"/>
          <w:szCs w:val="24"/>
        </w:rPr>
        <w:t xml:space="preserve">are </w:t>
      </w:r>
      <w:r w:rsidR="004E0AB4">
        <w:rPr>
          <w:rFonts w:ascii="Times New Roman" w:hAnsi="Times New Roman"/>
          <w:szCs w:val="24"/>
        </w:rPr>
        <w:t>based on more than mere speculation</w:t>
      </w:r>
      <w:r w:rsidR="00186C1F" w:rsidRPr="00186C1F">
        <w:rPr>
          <w:rFonts w:ascii="Times New Roman" w:hAnsi="Times New Roman"/>
          <w:szCs w:val="24"/>
        </w:rPr>
        <w:t>. The Moody</w:t>
      </w:r>
      <w:r w:rsidR="006F6CB0">
        <w:rPr>
          <w:rFonts w:ascii="Times New Roman" w:hAnsi="Times New Roman"/>
          <w:szCs w:val="24"/>
        </w:rPr>
        <w:t>’</w:t>
      </w:r>
      <w:r w:rsidR="00186C1F" w:rsidRPr="00186C1F">
        <w:rPr>
          <w:rFonts w:ascii="Times New Roman" w:hAnsi="Times New Roman"/>
          <w:szCs w:val="24"/>
        </w:rPr>
        <w:t>s October 16, 2019 Credit Opinion stated that a downgrade of the Company could occur if financial metrics are expected to decline for an extended period, including a ratio of CFO pre-W/C to debt</w:t>
      </w:r>
      <w:r w:rsidR="00186C1F" w:rsidRPr="00186C1F" w:rsidDel="001B4392">
        <w:rPr>
          <w:rFonts w:ascii="Times New Roman" w:hAnsi="Times New Roman"/>
          <w:szCs w:val="24"/>
        </w:rPr>
        <w:t xml:space="preserve"> </w:t>
      </w:r>
      <w:r w:rsidR="00186C1F" w:rsidRPr="00186C1F">
        <w:rPr>
          <w:rFonts w:ascii="Times New Roman" w:hAnsi="Times New Roman"/>
          <w:szCs w:val="24"/>
        </w:rPr>
        <w:t xml:space="preserve">below 19%. </w:t>
      </w:r>
      <w:r w:rsidR="00381486">
        <w:rPr>
          <w:rFonts w:ascii="Times New Roman" w:hAnsi="Times New Roman"/>
          <w:szCs w:val="24"/>
        </w:rPr>
        <w:t>(</w:t>
      </w:r>
      <w:r w:rsidR="004F6B3A" w:rsidRPr="004F6B3A">
        <w:rPr>
          <w:rFonts w:ascii="Times New Roman" w:hAnsi="Times New Roman"/>
          <w:i/>
          <w:szCs w:val="24"/>
        </w:rPr>
        <w:t>Id</w:t>
      </w:r>
      <w:r w:rsidR="00381486">
        <w:rPr>
          <w:rFonts w:ascii="Times New Roman" w:hAnsi="Times New Roman"/>
          <w:szCs w:val="24"/>
        </w:rPr>
        <w:t xml:space="preserve">.) </w:t>
      </w:r>
      <w:r w:rsidR="00186C1F" w:rsidRPr="00186C1F">
        <w:rPr>
          <w:rFonts w:ascii="Times New Roman" w:hAnsi="Times New Roman"/>
          <w:szCs w:val="24"/>
        </w:rPr>
        <w:t>The projected impact of Staff</w:t>
      </w:r>
      <w:r w:rsidR="006F6CB0">
        <w:rPr>
          <w:rFonts w:ascii="Times New Roman" w:hAnsi="Times New Roman"/>
          <w:szCs w:val="24"/>
        </w:rPr>
        <w:t>’</w:t>
      </w:r>
      <w:r w:rsidR="00186C1F" w:rsidRPr="00186C1F">
        <w:rPr>
          <w:rFonts w:ascii="Times New Roman" w:hAnsi="Times New Roman"/>
          <w:szCs w:val="24"/>
        </w:rPr>
        <w:t>s cumulative recommendations will almost certainly lead to a credit downgrade based on the Company</w:t>
      </w:r>
      <w:r w:rsidR="006F6CB0">
        <w:rPr>
          <w:rFonts w:ascii="Times New Roman" w:hAnsi="Times New Roman"/>
          <w:szCs w:val="24"/>
        </w:rPr>
        <w:t>’</w:t>
      </w:r>
      <w:r w:rsidR="00186C1F" w:rsidRPr="00186C1F">
        <w:rPr>
          <w:rFonts w:ascii="Times New Roman" w:hAnsi="Times New Roman"/>
          <w:szCs w:val="24"/>
        </w:rPr>
        <w:t>s CFO pre-W/</w:t>
      </w:r>
      <w:r w:rsidR="00A83F5E">
        <w:rPr>
          <w:rFonts w:ascii="Times New Roman" w:hAnsi="Times New Roman"/>
          <w:szCs w:val="24"/>
        </w:rPr>
        <w:t xml:space="preserve">C </w:t>
      </w:r>
      <w:r w:rsidR="00186C1F" w:rsidRPr="00186C1F">
        <w:rPr>
          <w:rFonts w:ascii="Times New Roman" w:hAnsi="Times New Roman"/>
          <w:szCs w:val="24"/>
        </w:rPr>
        <w:t>debt and FFO to Debt estimations compared with the projections in Moody</w:t>
      </w:r>
      <w:r w:rsidR="006F6CB0">
        <w:rPr>
          <w:rFonts w:ascii="Times New Roman" w:hAnsi="Times New Roman"/>
          <w:szCs w:val="24"/>
        </w:rPr>
        <w:t>’</w:t>
      </w:r>
      <w:r w:rsidR="00186C1F" w:rsidRPr="00186C1F">
        <w:rPr>
          <w:rFonts w:ascii="Times New Roman" w:hAnsi="Times New Roman"/>
          <w:szCs w:val="24"/>
        </w:rPr>
        <w:t>s and S&amp;P</w:t>
      </w:r>
      <w:r w:rsidR="006F6CB0">
        <w:rPr>
          <w:rFonts w:ascii="Times New Roman" w:hAnsi="Times New Roman"/>
          <w:szCs w:val="24"/>
        </w:rPr>
        <w:t>’</w:t>
      </w:r>
      <w:r w:rsidR="00186C1F" w:rsidRPr="00186C1F">
        <w:rPr>
          <w:rFonts w:ascii="Times New Roman" w:hAnsi="Times New Roman"/>
          <w:szCs w:val="24"/>
        </w:rPr>
        <w:t xml:space="preserve">s most recent rating agency reports. </w:t>
      </w:r>
      <w:r w:rsidR="00381486">
        <w:rPr>
          <w:rFonts w:ascii="Times New Roman" w:hAnsi="Times New Roman"/>
          <w:szCs w:val="24"/>
        </w:rPr>
        <w:t>(</w:t>
      </w:r>
      <w:r w:rsidR="004F6B3A" w:rsidRPr="004F6B3A">
        <w:rPr>
          <w:rFonts w:ascii="Times New Roman" w:hAnsi="Times New Roman"/>
          <w:i/>
          <w:szCs w:val="24"/>
        </w:rPr>
        <w:t>Id</w:t>
      </w:r>
      <w:r w:rsidR="00381486">
        <w:rPr>
          <w:rFonts w:ascii="Times New Roman" w:hAnsi="Times New Roman"/>
          <w:szCs w:val="24"/>
        </w:rPr>
        <w:t xml:space="preserve">.) </w:t>
      </w:r>
      <w:r w:rsidR="004F6B3A" w:rsidRPr="00186C1F">
        <w:rPr>
          <w:rFonts w:ascii="Times New Roman" w:hAnsi="Times New Roman"/>
          <w:szCs w:val="24"/>
        </w:rPr>
        <w:t>Such a reduction in credit quality would clearly impair the Company</w:t>
      </w:r>
      <w:r w:rsidR="004F6B3A">
        <w:rPr>
          <w:rFonts w:ascii="Times New Roman" w:hAnsi="Times New Roman"/>
          <w:szCs w:val="24"/>
        </w:rPr>
        <w:t>’</w:t>
      </w:r>
      <w:r w:rsidR="004F6B3A" w:rsidRPr="00186C1F">
        <w:rPr>
          <w:rFonts w:ascii="Times New Roman" w:hAnsi="Times New Roman"/>
          <w:szCs w:val="24"/>
        </w:rPr>
        <w:t xml:space="preserve">s financial integrity and threaten its access to capital markets at reasonable terms and at reasonable cost. </w:t>
      </w:r>
      <w:r w:rsidR="004F6B3A">
        <w:rPr>
          <w:rFonts w:ascii="Times New Roman" w:hAnsi="Times New Roman"/>
          <w:szCs w:val="24"/>
        </w:rPr>
        <w:t>In addition, PIA Staff ignore</w:t>
      </w:r>
      <w:r w:rsidR="00E64B30">
        <w:rPr>
          <w:rFonts w:ascii="Times New Roman" w:hAnsi="Times New Roman"/>
          <w:szCs w:val="24"/>
        </w:rPr>
        <w:t>s</w:t>
      </w:r>
      <w:r w:rsidR="004F6B3A">
        <w:rPr>
          <w:rFonts w:ascii="Times New Roman" w:hAnsi="Times New Roman"/>
          <w:szCs w:val="24"/>
        </w:rPr>
        <w:t xml:space="preserve"> the qualitative factors the credit rating agencies consider in evaluating the credit quality of a company. (Tr. 2818-19.) </w:t>
      </w:r>
      <w:r w:rsidR="000F2712">
        <w:rPr>
          <w:rFonts w:ascii="Times New Roman" w:hAnsi="Times New Roman"/>
          <w:szCs w:val="24"/>
        </w:rPr>
        <w:t xml:space="preserve">The most important qualitative factor is regulation. (Tr. 2819.) If the Commission adopts Witness Gorman’s recommendations, </w:t>
      </w:r>
      <w:r w:rsidR="00E64B30">
        <w:rPr>
          <w:rFonts w:ascii="Times New Roman" w:hAnsi="Times New Roman"/>
          <w:szCs w:val="24"/>
        </w:rPr>
        <w:t>it</w:t>
      </w:r>
      <w:r w:rsidR="000F2712">
        <w:rPr>
          <w:rFonts w:ascii="Times New Roman" w:hAnsi="Times New Roman"/>
          <w:szCs w:val="24"/>
        </w:rPr>
        <w:t xml:space="preserve"> would signal a clear break with the Commission’s past constructive decision making and would likely result in negative actions by the credit rating </w:t>
      </w:r>
      <w:r w:rsidR="000F2712">
        <w:rPr>
          <w:rFonts w:ascii="Times New Roman" w:hAnsi="Times New Roman"/>
          <w:szCs w:val="24"/>
        </w:rPr>
        <w:lastRenderedPageBreak/>
        <w:t>agencies. (</w:t>
      </w:r>
      <w:r w:rsidR="000F2712" w:rsidRPr="000F2712">
        <w:rPr>
          <w:rFonts w:ascii="Times New Roman" w:hAnsi="Times New Roman"/>
          <w:i/>
          <w:szCs w:val="24"/>
        </w:rPr>
        <w:t>Id</w:t>
      </w:r>
      <w:r w:rsidR="000F2712">
        <w:rPr>
          <w:rFonts w:ascii="Times New Roman" w:hAnsi="Times New Roman"/>
          <w:szCs w:val="24"/>
        </w:rPr>
        <w:t>.) T</w:t>
      </w:r>
      <w:r w:rsidR="00186C1F" w:rsidRPr="00186C1F">
        <w:rPr>
          <w:rFonts w:ascii="Times New Roman" w:hAnsi="Times New Roman"/>
          <w:szCs w:val="24"/>
        </w:rPr>
        <w:t xml:space="preserve">his </w:t>
      </w:r>
      <w:r w:rsidR="00E64B30" w:rsidRPr="00186C1F">
        <w:rPr>
          <w:rFonts w:ascii="Times New Roman" w:hAnsi="Times New Roman"/>
          <w:szCs w:val="24"/>
        </w:rPr>
        <w:t xml:space="preserve">ultimately </w:t>
      </w:r>
      <w:r w:rsidR="00186C1F" w:rsidRPr="00186C1F">
        <w:rPr>
          <w:rFonts w:ascii="Times New Roman" w:hAnsi="Times New Roman"/>
          <w:szCs w:val="24"/>
        </w:rPr>
        <w:t>would increase costs to customers and restrict the Company</w:t>
      </w:r>
      <w:r w:rsidR="006F6CB0">
        <w:rPr>
          <w:rFonts w:ascii="Times New Roman" w:hAnsi="Times New Roman"/>
          <w:szCs w:val="24"/>
        </w:rPr>
        <w:t>’</w:t>
      </w:r>
      <w:r w:rsidR="00186C1F" w:rsidRPr="00186C1F">
        <w:rPr>
          <w:rFonts w:ascii="Times New Roman" w:hAnsi="Times New Roman"/>
          <w:szCs w:val="24"/>
        </w:rPr>
        <w:t>s ability to</w:t>
      </w:r>
      <w:r w:rsidR="004E0AB4">
        <w:rPr>
          <w:rFonts w:ascii="Times New Roman" w:hAnsi="Times New Roman"/>
          <w:szCs w:val="24"/>
        </w:rPr>
        <w:t xml:space="preserve"> continue</w:t>
      </w:r>
      <w:r w:rsidR="00186C1F" w:rsidRPr="00186C1F">
        <w:rPr>
          <w:rFonts w:ascii="Times New Roman" w:hAnsi="Times New Roman"/>
          <w:szCs w:val="24"/>
        </w:rPr>
        <w:t xml:space="preserve"> provi</w:t>
      </w:r>
      <w:r w:rsidR="004E0AB4">
        <w:rPr>
          <w:rFonts w:ascii="Times New Roman" w:hAnsi="Times New Roman"/>
          <w:szCs w:val="24"/>
        </w:rPr>
        <w:t>ding</w:t>
      </w:r>
      <w:r w:rsidR="00186C1F" w:rsidRPr="00186C1F">
        <w:rPr>
          <w:rFonts w:ascii="Times New Roman" w:hAnsi="Times New Roman"/>
          <w:szCs w:val="24"/>
        </w:rPr>
        <w:t xml:space="preserve"> </w:t>
      </w:r>
      <w:r w:rsidR="004E0AB4">
        <w:rPr>
          <w:rFonts w:ascii="Times New Roman" w:hAnsi="Times New Roman"/>
          <w:szCs w:val="24"/>
        </w:rPr>
        <w:t>customer service</w:t>
      </w:r>
      <w:r w:rsidR="00A414AB">
        <w:rPr>
          <w:rFonts w:ascii="Times New Roman" w:hAnsi="Times New Roman"/>
          <w:szCs w:val="24"/>
        </w:rPr>
        <w:t xml:space="preserve"> at</w:t>
      </w:r>
      <w:r w:rsidR="00186C1F" w:rsidRPr="00186C1F">
        <w:rPr>
          <w:rFonts w:ascii="Times New Roman" w:hAnsi="Times New Roman"/>
          <w:szCs w:val="24"/>
        </w:rPr>
        <w:t xml:space="preserve"> level</w:t>
      </w:r>
      <w:r w:rsidR="00A414AB">
        <w:rPr>
          <w:rFonts w:ascii="Times New Roman" w:hAnsi="Times New Roman"/>
          <w:szCs w:val="24"/>
        </w:rPr>
        <w:t>s</w:t>
      </w:r>
      <w:r w:rsidR="00186C1F" w:rsidRPr="00186C1F">
        <w:rPr>
          <w:rFonts w:ascii="Times New Roman" w:hAnsi="Times New Roman"/>
          <w:szCs w:val="24"/>
        </w:rPr>
        <w:t xml:space="preserve"> that</w:t>
      </w:r>
      <w:r w:rsidR="00A414AB">
        <w:rPr>
          <w:rFonts w:ascii="Times New Roman" w:hAnsi="Times New Roman"/>
          <w:szCs w:val="24"/>
        </w:rPr>
        <w:t xml:space="preserve"> Georgia Power’s</w:t>
      </w:r>
      <w:r w:rsidR="00186C1F" w:rsidRPr="00186C1F">
        <w:rPr>
          <w:rFonts w:ascii="Times New Roman" w:hAnsi="Times New Roman"/>
          <w:szCs w:val="24"/>
        </w:rPr>
        <w:t xml:space="preserve"> customers expect and deserve.</w:t>
      </w:r>
    </w:p>
    <w:p w14:paraId="6CEC079D" w14:textId="53FA6833" w:rsidR="00186C1F" w:rsidRPr="00186C1F" w:rsidRDefault="0032156E" w:rsidP="00F67047">
      <w:pPr>
        <w:keepNext/>
        <w:widowControl/>
        <w:tabs>
          <w:tab w:val="left" w:pos="0"/>
        </w:tabs>
        <w:overflowPunct/>
        <w:autoSpaceDE/>
        <w:autoSpaceDN/>
        <w:adjustRightInd/>
        <w:spacing w:after="240"/>
        <w:ind w:left="1440" w:hanging="720"/>
        <w:jc w:val="both"/>
        <w:textAlignment w:val="auto"/>
        <w:rPr>
          <w:rFonts w:ascii="Times New Roman" w:hAnsi="Times New Roman"/>
          <w:szCs w:val="24"/>
        </w:rPr>
      </w:pPr>
      <w:bookmarkStart w:id="10" w:name="_Hlk26111495"/>
      <w:r>
        <w:rPr>
          <w:rFonts w:ascii="Times New Roman" w:hAnsi="Times New Roman"/>
          <w:szCs w:val="24"/>
        </w:rPr>
        <w:t>8</w:t>
      </w:r>
      <w:r w:rsidR="00533458">
        <w:rPr>
          <w:rFonts w:ascii="Times New Roman" w:hAnsi="Times New Roman"/>
          <w:szCs w:val="24"/>
        </w:rPr>
        <w:t>.</w:t>
      </w:r>
      <w:r w:rsidR="00533458">
        <w:rPr>
          <w:rFonts w:ascii="Times New Roman" w:hAnsi="Times New Roman"/>
          <w:szCs w:val="24"/>
        </w:rPr>
        <w:tab/>
      </w:r>
      <w:r w:rsidR="004E0AB4" w:rsidRPr="004E0AB4">
        <w:rPr>
          <w:rFonts w:ascii="Times New Roman" w:hAnsi="Times New Roman"/>
          <w:szCs w:val="24"/>
          <w:u w:val="single"/>
        </w:rPr>
        <w:t xml:space="preserve">The Company’s ability to manage its business </w:t>
      </w:r>
      <w:r w:rsidR="006C2783" w:rsidRPr="004E0AB4">
        <w:rPr>
          <w:rFonts w:ascii="Times New Roman" w:hAnsi="Times New Roman"/>
          <w:szCs w:val="24"/>
          <w:u w:val="single"/>
        </w:rPr>
        <w:t>to</w:t>
      </w:r>
      <w:r w:rsidR="006C2783" w:rsidRPr="006C2783">
        <w:rPr>
          <w:rFonts w:ascii="Times New Roman" w:hAnsi="Times New Roman"/>
          <w:szCs w:val="24"/>
          <w:u w:val="single"/>
        </w:rPr>
        <w:t xml:space="preserve"> meet investor expectations ensures</w:t>
      </w:r>
      <w:r w:rsidR="004E0AB4">
        <w:rPr>
          <w:rFonts w:ascii="Times New Roman" w:hAnsi="Times New Roman"/>
          <w:szCs w:val="24"/>
          <w:u w:val="single"/>
        </w:rPr>
        <w:t xml:space="preserve"> that</w:t>
      </w:r>
      <w:r w:rsidR="006C2783" w:rsidRPr="006C2783">
        <w:rPr>
          <w:rFonts w:ascii="Times New Roman" w:hAnsi="Times New Roman"/>
          <w:szCs w:val="24"/>
          <w:u w:val="single"/>
        </w:rPr>
        <w:t xml:space="preserve"> </w:t>
      </w:r>
      <w:r w:rsidR="004E0AB4">
        <w:rPr>
          <w:rFonts w:ascii="Times New Roman" w:hAnsi="Times New Roman"/>
          <w:szCs w:val="24"/>
          <w:u w:val="single"/>
        </w:rPr>
        <w:t>Georgia Power</w:t>
      </w:r>
      <w:r w:rsidR="006C2783" w:rsidRPr="006C2783">
        <w:rPr>
          <w:rFonts w:ascii="Times New Roman" w:hAnsi="Times New Roman"/>
          <w:szCs w:val="24"/>
          <w:u w:val="single"/>
        </w:rPr>
        <w:t xml:space="preserve"> is in a financially healthy position to meet customer expectations as it delivers clean, safe, reliable and affordable electric service</w:t>
      </w:r>
      <w:r w:rsidR="00186C1F" w:rsidRPr="00186C1F">
        <w:rPr>
          <w:rFonts w:ascii="Times New Roman" w:hAnsi="Times New Roman"/>
          <w:szCs w:val="24"/>
        </w:rPr>
        <w:t>.</w:t>
      </w:r>
    </w:p>
    <w:bookmarkEnd w:id="10"/>
    <w:p w14:paraId="35ED0713" w14:textId="6647DC5A" w:rsidR="00186C1F" w:rsidRPr="00186C1F" w:rsidRDefault="00533458" w:rsidP="00F67047">
      <w:pPr>
        <w:keepNext/>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186C1F" w:rsidRPr="00186C1F">
        <w:rPr>
          <w:rFonts w:ascii="Times New Roman" w:hAnsi="Times New Roman"/>
          <w:szCs w:val="24"/>
        </w:rPr>
        <w:t xml:space="preserve">Customers benefit when the Company </w:t>
      </w:r>
      <w:r w:rsidR="00A414AB">
        <w:rPr>
          <w:rFonts w:ascii="Times New Roman" w:hAnsi="Times New Roman"/>
          <w:szCs w:val="24"/>
        </w:rPr>
        <w:t>meets</w:t>
      </w:r>
      <w:r w:rsidR="00186C1F" w:rsidRPr="00186C1F">
        <w:rPr>
          <w:rFonts w:ascii="Times New Roman" w:hAnsi="Times New Roman"/>
          <w:szCs w:val="24"/>
        </w:rPr>
        <w:t xml:space="preserve"> investor expectations because it provides the Company the ability to access and attract the capital (both debt and equity) needed to maintain and expand the system to meet </w:t>
      </w:r>
      <w:r w:rsidR="00A414AB">
        <w:rPr>
          <w:rFonts w:ascii="Times New Roman" w:hAnsi="Times New Roman"/>
          <w:szCs w:val="24"/>
        </w:rPr>
        <w:t>customer</w:t>
      </w:r>
      <w:r w:rsidR="00A414AB" w:rsidRPr="00186C1F">
        <w:rPr>
          <w:rFonts w:ascii="Times New Roman" w:hAnsi="Times New Roman"/>
          <w:szCs w:val="24"/>
        </w:rPr>
        <w:t xml:space="preserve"> </w:t>
      </w:r>
      <w:r w:rsidR="00186C1F" w:rsidRPr="00186C1F">
        <w:rPr>
          <w:rFonts w:ascii="Times New Roman" w:hAnsi="Times New Roman"/>
          <w:szCs w:val="24"/>
        </w:rPr>
        <w:t xml:space="preserve">needs in a cost-effective manner. A financially healthy company is able to dedicate additional resources to focus on its customers and is more likely to meet customer expectations of high reliability and satisfaction. Customers also benefit from operating efficiencies realized by the Company in its efforts to meet investor expectations. </w:t>
      </w:r>
      <w:r w:rsidR="00186C1F" w:rsidRPr="00186C1F">
        <w:rPr>
          <w:rFonts w:ascii="Times New Roman" w:hAnsi="Times New Roman"/>
          <w:bCs/>
          <w:szCs w:val="24"/>
        </w:rPr>
        <w:t xml:space="preserve">The efficiencies gained and the corresponding cost reductions that result from those efforts are provided to customers </w:t>
      </w:r>
      <w:r w:rsidR="00186C1F" w:rsidRPr="00186C1F">
        <w:rPr>
          <w:rFonts w:ascii="Times New Roman" w:hAnsi="Times New Roman"/>
          <w:szCs w:val="24"/>
        </w:rPr>
        <w:t>through savings in rates.</w:t>
      </w:r>
      <w:r w:rsidR="00186C1F" w:rsidRPr="00186C1F" w:rsidDel="001F5EFB">
        <w:rPr>
          <w:rFonts w:ascii="Times New Roman" w:hAnsi="Times New Roman"/>
          <w:szCs w:val="24"/>
        </w:rPr>
        <w:t xml:space="preserve"> </w:t>
      </w:r>
      <w:r w:rsidR="00381486">
        <w:rPr>
          <w:rFonts w:ascii="Times New Roman" w:hAnsi="Times New Roman"/>
          <w:szCs w:val="24"/>
        </w:rPr>
        <w:t>(</w:t>
      </w:r>
      <w:r w:rsidR="000F2712">
        <w:rPr>
          <w:rFonts w:ascii="Times New Roman" w:hAnsi="Times New Roman"/>
          <w:szCs w:val="24"/>
        </w:rPr>
        <w:t>Tr. 2620</w:t>
      </w:r>
      <w:r w:rsidR="00381486">
        <w:rPr>
          <w:rFonts w:ascii="Times New Roman" w:hAnsi="Times New Roman"/>
          <w:szCs w:val="24"/>
        </w:rPr>
        <w:t>.)</w:t>
      </w:r>
    </w:p>
    <w:p w14:paraId="61353340" w14:textId="428DA238" w:rsidR="00186C1F" w:rsidRPr="00186C1F" w:rsidRDefault="00533458"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186C1F" w:rsidRPr="00186C1F">
        <w:rPr>
          <w:rFonts w:ascii="Times New Roman" w:hAnsi="Times New Roman"/>
          <w:szCs w:val="24"/>
        </w:rPr>
        <w:t xml:space="preserve">In addition to accessing capital markets on a timely basis at reasonable rates, a utility with strong credit ratings can also share the benefit of those attractive interest rate levels with customers since the cost of capital </w:t>
      </w:r>
      <w:r w:rsidR="00050DC1">
        <w:rPr>
          <w:rFonts w:ascii="Times New Roman" w:hAnsi="Times New Roman"/>
          <w:szCs w:val="24"/>
        </w:rPr>
        <w:t>is</w:t>
      </w:r>
      <w:r w:rsidR="00050DC1" w:rsidRPr="00186C1F">
        <w:rPr>
          <w:rFonts w:ascii="Times New Roman" w:hAnsi="Times New Roman"/>
          <w:szCs w:val="24"/>
        </w:rPr>
        <w:t xml:space="preserve"> </w:t>
      </w:r>
      <w:r w:rsidR="00186C1F" w:rsidRPr="00186C1F">
        <w:rPr>
          <w:rFonts w:ascii="Times New Roman" w:hAnsi="Times New Roman"/>
          <w:szCs w:val="24"/>
        </w:rPr>
        <w:t xml:space="preserve">factored into utility rates. </w:t>
      </w:r>
      <w:r w:rsidR="00381486">
        <w:rPr>
          <w:rFonts w:ascii="Times New Roman" w:hAnsi="Times New Roman"/>
          <w:szCs w:val="24"/>
        </w:rPr>
        <w:t>(</w:t>
      </w:r>
      <w:r w:rsidR="000F2712">
        <w:rPr>
          <w:rFonts w:ascii="Times New Roman" w:hAnsi="Times New Roman"/>
          <w:szCs w:val="24"/>
        </w:rPr>
        <w:t>Tr. 2621-22</w:t>
      </w:r>
      <w:r w:rsidR="00381486">
        <w:rPr>
          <w:rFonts w:ascii="Times New Roman" w:hAnsi="Times New Roman"/>
          <w:szCs w:val="24"/>
        </w:rPr>
        <w:t xml:space="preserve">.) </w:t>
      </w:r>
      <w:r w:rsidR="00186C1F" w:rsidRPr="00186C1F">
        <w:rPr>
          <w:rFonts w:ascii="Times New Roman" w:hAnsi="Times New Roman"/>
          <w:szCs w:val="24"/>
        </w:rPr>
        <w:t>Conversely, the lower a regulated utility</w:t>
      </w:r>
      <w:r w:rsidR="006F6CB0">
        <w:rPr>
          <w:rFonts w:ascii="Times New Roman" w:hAnsi="Times New Roman"/>
          <w:szCs w:val="24"/>
        </w:rPr>
        <w:t>’</w:t>
      </w:r>
      <w:r w:rsidR="00186C1F" w:rsidRPr="00186C1F">
        <w:rPr>
          <w:rFonts w:ascii="Times New Roman" w:hAnsi="Times New Roman"/>
          <w:szCs w:val="24"/>
        </w:rPr>
        <w:t xml:space="preserve">s credit rating, the more that utility must pay to raise funds from debt and equity investors to carry out its capital-intensive operations. </w:t>
      </w:r>
      <w:r w:rsidR="00381486">
        <w:rPr>
          <w:rFonts w:ascii="Times New Roman" w:hAnsi="Times New Roman"/>
          <w:szCs w:val="24"/>
        </w:rPr>
        <w:t>(</w:t>
      </w:r>
      <w:r w:rsidR="000F2712">
        <w:rPr>
          <w:rFonts w:ascii="Times New Roman" w:hAnsi="Times New Roman"/>
          <w:szCs w:val="24"/>
        </w:rPr>
        <w:t>Tr. 2622</w:t>
      </w:r>
      <w:r w:rsidR="00381486">
        <w:rPr>
          <w:rFonts w:ascii="Times New Roman" w:hAnsi="Times New Roman"/>
          <w:szCs w:val="24"/>
        </w:rPr>
        <w:t xml:space="preserve">.) </w:t>
      </w:r>
      <w:r w:rsidR="00186C1F" w:rsidRPr="00186C1F">
        <w:rPr>
          <w:rFonts w:ascii="Times New Roman" w:hAnsi="Times New Roman"/>
          <w:szCs w:val="24"/>
        </w:rPr>
        <w:t xml:space="preserve">In turn, the ratemaking process factors the cost of capital for both debt and equity into customer rates. This is especially true for a company like Georgia Power, which needs to attract significant levels of capital in the near term for continued transmission and distribution investments, environmental </w:t>
      </w:r>
      <w:r w:rsidR="00F6657B">
        <w:rPr>
          <w:rFonts w:ascii="Times New Roman" w:hAnsi="Times New Roman"/>
          <w:szCs w:val="24"/>
        </w:rPr>
        <w:t>compliance</w:t>
      </w:r>
      <w:r w:rsidR="00186C1F" w:rsidRPr="00186C1F">
        <w:rPr>
          <w:rFonts w:ascii="Times New Roman" w:hAnsi="Times New Roman"/>
          <w:szCs w:val="24"/>
        </w:rPr>
        <w:t>, and the construction of new nuclear units, all while continuing to safely and reliably serve customers.</w:t>
      </w:r>
    </w:p>
    <w:p w14:paraId="50FC05CD" w14:textId="6B5975AD" w:rsidR="00186C1F" w:rsidRDefault="00533458" w:rsidP="002269B7">
      <w:pPr>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11" w:name="_Hlk26111502"/>
      <w:r>
        <w:rPr>
          <w:rFonts w:ascii="Times New Roman" w:hAnsi="Times New Roman"/>
          <w:b/>
          <w:szCs w:val="24"/>
        </w:rPr>
        <w:lastRenderedPageBreak/>
        <w:t>C.</w:t>
      </w:r>
      <w:r>
        <w:rPr>
          <w:rFonts w:ascii="Times New Roman" w:hAnsi="Times New Roman"/>
          <w:b/>
          <w:szCs w:val="24"/>
        </w:rPr>
        <w:tab/>
      </w:r>
      <w:r w:rsidR="005109B4">
        <w:rPr>
          <w:rFonts w:ascii="Times New Roman" w:hAnsi="Times New Roman"/>
          <w:b/>
          <w:szCs w:val="24"/>
        </w:rPr>
        <w:t xml:space="preserve">The </w:t>
      </w:r>
      <w:r w:rsidR="002E550E">
        <w:rPr>
          <w:rFonts w:ascii="Times New Roman" w:hAnsi="Times New Roman"/>
          <w:b/>
          <w:szCs w:val="24"/>
        </w:rPr>
        <w:t xml:space="preserve">Company </w:t>
      </w:r>
      <w:r w:rsidR="00F67047">
        <w:rPr>
          <w:rFonts w:ascii="Times New Roman" w:hAnsi="Times New Roman"/>
          <w:b/>
          <w:szCs w:val="24"/>
        </w:rPr>
        <w:t>W</w:t>
      </w:r>
      <w:r w:rsidR="002E550E">
        <w:rPr>
          <w:rFonts w:ascii="Times New Roman" w:hAnsi="Times New Roman"/>
          <w:b/>
          <w:szCs w:val="24"/>
        </w:rPr>
        <w:t xml:space="preserve">ill </w:t>
      </w:r>
      <w:r w:rsidR="00F67047">
        <w:rPr>
          <w:rFonts w:ascii="Times New Roman" w:hAnsi="Times New Roman"/>
          <w:b/>
          <w:szCs w:val="24"/>
        </w:rPr>
        <w:t>N</w:t>
      </w:r>
      <w:r w:rsidR="002E550E">
        <w:rPr>
          <w:rFonts w:ascii="Times New Roman" w:hAnsi="Times New Roman"/>
          <w:b/>
          <w:szCs w:val="24"/>
        </w:rPr>
        <w:t xml:space="preserve">ot and </w:t>
      </w:r>
      <w:r w:rsidR="00F67047">
        <w:rPr>
          <w:rFonts w:ascii="Times New Roman" w:hAnsi="Times New Roman"/>
          <w:b/>
          <w:szCs w:val="24"/>
        </w:rPr>
        <w:t>C</w:t>
      </w:r>
      <w:r w:rsidR="002E550E">
        <w:rPr>
          <w:rFonts w:ascii="Times New Roman" w:hAnsi="Times New Roman"/>
          <w:b/>
          <w:szCs w:val="24"/>
        </w:rPr>
        <w:t xml:space="preserve">annot </w:t>
      </w:r>
      <w:r w:rsidR="00F67047">
        <w:rPr>
          <w:rFonts w:ascii="Times New Roman" w:hAnsi="Times New Roman"/>
          <w:b/>
          <w:szCs w:val="24"/>
        </w:rPr>
        <w:t>A</w:t>
      </w:r>
      <w:r w:rsidR="002E550E">
        <w:rPr>
          <w:rFonts w:ascii="Times New Roman" w:hAnsi="Times New Roman"/>
          <w:b/>
          <w:szCs w:val="24"/>
        </w:rPr>
        <w:t>ccept an ARP as</w:t>
      </w:r>
      <w:r w:rsidR="00FE6B21">
        <w:rPr>
          <w:rFonts w:ascii="Times New Roman" w:hAnsi="Times New Roman"/>
          <w:b/>
          <w:szCs w:val="24"/>
        </w:rPr>
        <w:t xml:space="preserve"> Proposed by PIA Staff and Intervenors.</w:t>
      </w:r>
    </w:p>
    <w:bookmarkEnd w:id="11"/>
    <w:p w14:paraId="7269DE51" w14:textId="5CEE43A9" w:rsidR="00B02A25" w:rsidRPr="00186C1F" w:rsidRDefault="00FE6B21" w:rsidP="006C2783">
      <w:pPr>
        <w:widowControl/>
        <w:overflowPunct/>
        <w:autoSpaceDE/>
        <w:autoSpaceDN/>
        <w:adjustRightInd/>
        <w:spacing w:before="240" w:line="480" w:lineRule="auto"/>
        <w:ind w:firstLine="720"/>
        <w:jc w:val="both"/>
        <w:textAlignment w:val="auto"/>
        <w:rPr>
          <w:rFonts w:ascii="Times New Roman" w:hAnsi="Times New Roman"/>
          <w:szCs w:val="24"/>
        </w:rPr>
      </w:pPr>
      <w:r w:rsidRPr="00FE6B21">
        <w:rPr>
          <w:rFonts w:ascii="Times New Roman" w:hAnsi="Times New Roman"/>
          <w:szCs w:val="24"/>
        </w:rPr>
        <w:t xml:space="preserve">Under Georgia law, the Commission may not “order” </w:t>
      </w:r>
      <w:r>
        <w:rPr>
          <w:rFonts w:ascii="Times New Roman" w:hAnsi="Times New Roman"/>
          <w:szCs w:val="24"/>
        </w:rPr>
        <w:t xml:space="preserve">the Company to enter into an ARP </w:t>
      </w:r>
      <w:r w:rsidRPr="00FE6B21">
        <w:rPr>
          <w:rFonts w:ascii="Times New Roman" w:hAnsi="Times New Roman"/>
          <w:szCs w:val="24"/>
        </w:rPr>
        <w:t xml:space="preserve">unless Georgia Power agrees to such an </w:t>
      </w:r>
      <w:r>
        <w:rPr>
          <w:rFonts w:ascii="Times New Roman" w:hAnsi="Times New Roman"/>
          <w:szCs w:val="24"/>
        </w:rPr>
        <w:t>ARP</w:t>
      </w:r>
      <w:r w:rsidRPr="00FE6B21">
        <w:rPr>
          <w:rFonts w:ascii="Times New Roman" w:hAnsi="Times New Roman"/>
          <w:szCs w:val="24"/>
        </w:rPr>
        <w:t>. Without an agreement, the Commission must resolve this case under</w:t>
      </w:r>
      <w:r>
        <w:rPr>
          <w:rFonts w:ascii="Times New Roman" w:hAnsi="Times New Roman"/>
          <w:szCs w:val="24"/>
        </w:rPr>
        <w:t xml:space="preserve"> traditional ratemaking</w:t>
      </w:r>
      <w:r w:rsidRPr="00FE6B21">
        <w:rPr>
          <w:rFonts w:ascii="Times New Roman" w:hAnsi="Times New Roman"/>
          <w:szCs w:val="24"/>
        </w:rPr>
        <w:t xml:space="preserve"> standards</w:t>
      </w:r>
      <w:r>
        <w:rPr>
          <w:rFonts w:ascii="Times New Roman" w:hAnsi="Times New Roman"/>
          <w:szCs w:val="24"/>
        </w:rPr>
        <w:t>,</w:t>
      </w:r>
      <w:r w:rsidRPr="00FE6B21">
        <w:rPr>
          <w:rFonts w:ascii="Times New Roman" w:hAnsi="Times New Roman"/>
          <w:szCs w:val="24"/>
        </w:rPr>
        <w:t xml:space="preserve"> which involve a single test year analysis and </w:t>
      </w:r>
      <w:r>
        <w:rPr>
          <w:rFonts w:ascii="Times New Roman" w:hAnsi="Times New Roman"/>
          <w:szCs w:val="24"/>
        </w:rPr>
        <w:t>would eliminate the positive attributes of a three-year predictable plan such as the institution of</w:t>
      </w:r>
      <w:r w:rsidRPr="00FE6B21">
        <w:rPr>
          <w:rFonts w:ascii="Times New Roman" w:hAnsi="Times New Roman"/>
          <w:szCs w:val="24"/>
        </w:rPr>
        <w:t xml:space="preserve"> earnings ranges </w:t>
      </w:r>
      <w:r>
        <w:rPr>
          <w:rFonts w:ascii="Times New Roman" w:hAnsi="Times New Roman"/>
          <w:szCs w:val="24"/>
        </w:rPr>
        <w:t>and</w:t>
      </w:r>
      <w:r w:rsidRPr="00FE6B21">
        <w:rPr>
          <w:rFonts w:ascii="Times New Roman" w:hAnsi="Times New Roman"/>
          <w:szCs w:val="24"/>
        </w:rPr>
        <w:t xml:space="preserve"> earnings sharing mechanisms. O.C.G.A. §</w:t>
      </w:r>
      <w:r w:rsidR="00A414AB" w:rsidRPr="00FE6B21">
        <w:rPr>
          <w:rFonts w:ascii="Times New Roman" w:hAnsi="Times New Roman"/>
          <w:szCs w:val="24"/>
        </w:rPr>
        <w:t>§</w:t>
      </w:r>
      <w:r w:rsidRPr="00FE6B21">
        <w:rPr>
          <w:rFonts w:ascii="Times New Roman" w:hAnsi="Times New Roman"/>
          <w:szCs w:val="24"/>
        </w:rPr>
        <w:t xml:space="preserve"> 46-2-25; 46-2-26.1. </w:t>
      </w:r>
      <w:r w:rsidR="00C74CD7">
        <w:rPr>
          <w:rFonts w:ascii="Times New Roman" w:hAnsi="Times New Roman"/>
          <w:szCs w:val="24"/>
        </w:rPr>
        <w:t xml:space="preserve">Without an ARP, more frequent, successive rate cases </w:t>
      </w:r>
      <w:r w:rsidR="00E64B30">
        <w:rPr>
          <w:rFonts w:ascii="Times New Roman" w:hAnsi="Times New Roman"/>
          <w:szCs w:val="24"/>
        </w:rPr>
        <w:t xml:space="preserve">would be required </w:t>
      </w:r>
      <w:r w:rsidR="00C74CD7">
        <w:rPr>
          <w:rFonts w:ascii="Times New Roman" w:hAnsi="Times New Roman"/>
          <w:szCs w:val="24"/>
        </w:rPr>
        <w:t>over the next three years to accomplish what a three-year ARP would accomplish</w:t>
      </w:r>
      <w:r w:rsidR="00E64B30">
        <w:rPr>
          <w:rFonts w:ascii="Times New Roman" w:hAnsi="Times New Roman"/>
          <w:szCs w:val="24"/>
        </w:rPr>
        <w:t>, but</w:t>
      </w:r>
      <w:r w:rsidR="00C74CD7">
        <w:rPr>
          <w:rFonts w:ascii="Times New Roman" w:hAnsi="Times New Roman"/>
          <w:szCs w:val="24"/>
        </w:rPr>
        <w:t xml:space="preserve"> without any of the benefits of rate certainty, rate stability and the earnings sharing mechanism. (Tr. 2630-31.) </w:t>
      </w:r>
      <w:r w:rsidR="00B02A25" w:rsidRPr="00186C1F">
        <w:rPr>
          <w:rFonts w:ascii="Times New Roman" w:hAnsi="Times New Roman"/>
          <w:szCs w:val="24"/>
        </w:rPr>
        <w:t>A</w:t>
      </w:r>
      <w:r w:rsidR="006A0A4E">
        <w:rPr>
          <w:rFonts w:ascii="Times New Roman" w:hAnsi="Times New Roman"/>
          <w:szCs w:val="24"/>
        </w:rPr>
        <w:t>lmost a</w:t>
      </w:r>
      <w:r w:rsidR="00B02A25" w:rsidRPr="00186C1F">
        <w:rPr>
          <w:rFonts w:ascii="Times New Roman" w:hAnsi="Times New Roman"/>
          <w:szCs w:val="24"/>
        </w:rPr>
        <w:t>ll parties acknowledge, in one form or another, the benefits of the ARP that have worked so well in the past.</w:t>
      </w:r>
      <w:r w:rsidR="00381486">
        <w:rPr>
          <w:rFonts w:ascii="Times New Roman" w:hAnsi="Times New Roman"/>
          <w:szCs w:val="24"/>
        </w:rPr>
        <w:t xml:space="preserve"> (</w:t>
      </w:r>
      <w:r w:rsidR="00C74CD7">
        <w:rPr>
          <w:rFonts w:ascii="Times New Roman" w:hAnsi="Times New Roman"/>
          <w:szCs w:val="24"/>
        </w:rPr>
        <w:t>Tr. 2672</w:t>
      </w:r>
      <w:r w:rsidR="00381486">
        <w:rPr>
          <w:rFonts w:ascii="Times New Roman" w:hAnsi="Times New Roman"/>
          <w:szCs w:val="24"/>
        </w:rPr>
        <w:t>.)</w:t>
      </w:r>
      <w:r w:rsidR="00B02A25" w:rsidRPr="00186C1F">
        <w:rPr>
          <w:rFonts w:ascii="Times New Roman" w:hAnsi="Times New Roman"/>
          <w:szCs w:val="24"/>
        </w:rPr>
        <w:t xml:space="preserve"> </w:t>
      </w:r>
      <w:r>
        <w:rPr>
          <w:rFonts w:ascii="Times New Roman" w:hAnsi="Times New Roman"/>
          <w:szCs w:val="24"/>
        </w:rPr>
        <w:t>However, PIA Staff and Intervenor</w:t>
      </w:r>
      <w:r w:rsidR="00B02A25" w:rsidRPr="00186C1F">
        <w:rPr>
          <w:rFonts w:ascii="Times New Roman" w:hAnsi="Times New Roman"/>
          <w:szCs w:val="24"/>
        </w:rPr>
        <w:t xml:space="preserve"> modifications to the </w:t>
      </w:r>
      <w:r>
        <w:rPr>
          <w:rFonts w:ascii="Times New Roman" w:hAnsi="Times New Roman"/>
          <w:szCs w:val="24"/>
        </w:rPr>
        <w:t xml:space="preserve">earnings </w:t>
      </w:r>
      <w:r w:rsidR="00B02A25" w:rsidRPr="00186C1F">
        <w:rPr>
          <w:rFonts w:ascii="Times New Roman" w:hAnsi="Times New Roman"/>
          <w:szCs w:val="24"/>
        </w:rPr>
        <w:t>band</w:t>
      </w:r>
      <w:r>
        <w:rPr>
          <w:rFonts w:ascii="Times New Roman" w:hAnsi="Times New Roman"/>
          <w:szCs w:val="24"/>
        </w:rPr>
        <w:t xml:space="preserve"> and sharing mechanism would deteriorate customer benefits and remove the Company</w:t>
      </w:r>
      <w:r w:rsidR="006F6CB0">
        <w:rPr>
          <w:rFonts w:ascii="Times New Roman" w:hAnsi="Times New Roman"/>
          <w:szCs w:val="24"/>
        </w:rPr>
        <w:t>’</w:t>
      </w:r>
      <w:r>
        <w:rPr>
          <w:rFonts w:ascii="Times New Roman" w:hAnsi="Times New Roman"/>
          <w:szCs w:val="24"/>
        </w:rPr>
        <w:t>s incentive to agree to an ARP in the first place.</w:t>
      </w:r>
      <w:r w:rsidR="00B02A25" w:rsidRPr="00186C1F">
        <w:rPr>
          <w:rFonts w:ascii="Times New Roman" w:hAnsi="Times New Roman"/>
          <w:szCs w:val="24"/>
        </w:rPr>
        <w:t xml:space="preserve"> Th</w:t>
      </w:r>
      <w:r w:rsidR="00CD78C8">
        <w:rPr>
          <w:rFonts w:ascii="Times New Roman" w:hAnsi="Times New Roman"/>
          <w:szCs w:val="24"/>
        </w:rPr>
        <w:t>ese</w:t>
      </w:r>
      <w:r w:rsidR="00B02A25" w:rsidRPr="00186C1F">
        <w:rPr>
          <w:rFonts w:ascii="Times New Roman" w:hAnsi="Times New Roman"/>
          <w:szCs w:val="24"/>
        </w:rPr>
        <w:t xml:space="preserve"> modifications </w:t>
      </w:r>
      <w:r w:rsidR="00CD78C8">
        <w:rPr>
          <w:rFonts w:ascii="Times New Roman" w:hAnsi="Times New Roman"/>
          <w:szCs w:val="24"/>
        </w:rPr>
        <w:t xml:space="preserve">are </w:t>
      </w:r>
      <w:r w:rsidR="00B02A25" w:rsidRPr="00186C1F">
        <w:rPr>
          <w:rFonts w:ascii="Times New Roman" w:hAnsi="Times New Roman"/>
          <w:szCs w:val="24"/>
        </w:rPr>
        <w:t>unacceptable</w:t>
      </w:r>
      <w:r w:rsidR="00A414AB">
        <w:rPr>
          <w:rFonts w:ascii="Times New Roman" w:hAnsi="Times New Roman"/>
          <w:szCs w:val="24"/>
        </w:rPr>
        <w:t>,</w:t>
      </w:r>
      <w:r w:rsidR="00B02A25" w:rsidRPr="00186C1F">
        <w:rPr>
          <w:rFonts w:ascii="Times New Roman" w:hAnsi="Times New Roman"/>
          <w:szCs w:val="24"/>
        </w:rPr>
        <w:t xml:space="preserve"> and</w:t>
      </w:r>
      <w:r w:rsidR="00CD78C8">
        <w:rPr>
          <w:rFonts w:ascii="Times New Roman" w:hAnsi="Times New Roman"/>
          <w:szCs w:val="24"/>
        </w:rPr>
        <w:t xml:space="preserve"> the Company</w:t>
      </w:r>
      <w:r w:rsidR="00B02A25" w:rsidRPr="00186C1F">
        <w:rPr>
          <w:rFonts w:ascii="Times New Roman" w:hAnsi="Times New Roman"/>
          <w:szCs w:val="24"/>
        </w:rPr>
        <w:t xml:space="preserve"> would not agree to such an ARP.</w:t>
      </w:r>
    </w:p>
    <w:p w14:paraId="6693E669" w14:textId="7D251CA7" w:rsidR="006A0A4E" w:rsidRDefault="00533458" w:rsidP="00F67047">
      <w:pPr>
        <w:widowControl/>
        <w:tabs>
          <w:tab w:val="left" w:pos="0"/>
        </w:tabs>
        <w:overflowPunct/>
        <w:autoSpaceDE/>
        <w:autoSpaceDN/>
        <w:adjustRightInd/>
        <w:spacing w:before="240" w:after="240"/>
        <w:ind w:left="1440" w:hanging="720"/>
        <w:jc w:val="both"/>
        <w:textAlignment w:val="auto"/>
        <w:rPr>
          <w:rFonts w:ascii="Times New Roman" w:hAnsi="Times New Roman"/>
          <w:szCs w:val="24"/>
          <w:u w:val="single"/>
        </w:rPr>
      </w:pPr>
      <w:bookmarkStart w:id="12" w:name="_Hlk26111521"/>
      <w:r>
        <w:rPr>
          <w:rFonts w:ascii="Times New Roman" w:hAnsi="Times New Roman"/>
          <w:szCs w:val="24"/>
        </w:rPr>
        <w:t>1.</w:t>
      </w:r>
      <w:r>
        <w:rPr>
          <w:rFonts w:ascii="Times New Roman" w:hAnsi="Times New Roman"/>
          <w:szCs w:val="24"/>
        </w:rPr>
        <w:tab/>
      </w:r>
      <w:r w:rsidR="007630E1">
        <w:rPr>
          <w:rFonts w:ascii="Times New Roman" w:hAnsi="Times New Roman"/>
          <w:szCs w:val="24"/>
          <w:u w:val="single"/>
        </w:rPr>
        <w:t>Continuation of the Company’s current earnings band will retain many of the positive structural features of the ARP for customers’ benefit.</w:t>
      </w:r>
    </w:p>
    <w:bookmarkEnd w:id="12"/>
    <w:p w14:paraId="739E8F7B" w14:textId="4E950C91" w:rsidR="007630E1" w:rsidRDefault="007630E1" w:rsidP="003B2E09">
      <w:pPr>
        <w:widowControl/>
        <w:tabs>
          <w:tab w:val="left" w:pos="0"/>
        </w:tabs>
        <w:overflowPunct/>
        <w:autoSpaceDE/>
        <w:autoSpaceDN/>
        <w:adjustRightInd/>
        <w:spacing w:after="240" w:line="480" w:lineRule="auto"/>
        <w:jc w:val="both"/>
        <w:textAlignment w:val="auto"/>
        <w:rPr>
          <w:rFonts w:ascii="Times New Roman" w:hAnsi="Times New Roman"/>
          <w:szCs w:val="24"/>
        </w:rPr>
      </w:pPr>
      <w:r w:rsidRPr="0032156E">
        <w:rPr>
          <w:rFonts w:ascii="Times New Roman" w:hAnsi="Times New Roman"/>
          <w:szCs w:val="24"/>
        </w:rPr>
        <w:tab/>
        <w:t xml:space="preserve">The Company requested to maintain the current earnings band of 10.00% to 12.00% within an ARP construct that provides for the Company to share two thirds of any earnings above the band with customers. </w:t>
      </w:r>
      <w:r w:rsidR="00381486">
        <w:rPr>
          <w:rFonts w:ascii="Times New Roman" w:hAnsi="Times New Roman"/>
          <w:szCs w:val="24"/>
        </w:rPr>
        <w:t>(</w:t>
      </w:r>
      <w:r w:rsidR="002B4D4D">
        <w:rPr>
          <w:rFonts w:ascii="Times New Roman" w:hAnsi="Times New Roman"/>
          <w:szCs w:val="24"/>
        </w:rPr>
        <w:t>Tr. 191, 260</w:t>
      </w:r>
      <w:r w:rsidR="00381486">
        <w:rPr>
          <w:rFonts w:ascii="Times New Roman" w:hAnsi="Times New Roman"/>
          <w:szCs w:val="24"/>
        </w:rPr>
        <w:t xml:space="preserve">.) </w:t>
      </w:r>
      <w:r w:rsidR="00336CEE" w:rsidRPr="0032156E">
        <w:rPr>
          <w:rFonts w:ascii="Times New Roman" w:hAnsi="Times New Roman"/>
          <w:szCs w:val="24"/>
        </w:rPr>
        <w:t>The Company’s proposed ARP with an earnings band a</w:t>
      </w:r>
      <w:r w:rsidRPr="0032156E">
        <w:rPr>
          <w:rFonts w:ascii="Times New Roman" w:hAnsi="Times New Roman"/>
          <w:szCs w:val="24"/>
        </w:rPr>
        <w:t xml:space="preserve">t this level </w:t>
      </w:r>
      <w:r w:rsidR="00336CEE" w:rsidRPr="0032156E">
        <w:rPr>
          <w:rFonts w:ascii="Times New Roman" w:hAnsi="Times New Roman"/>
          <w:szCs w:val="24"/>
        </w:rPr>
        <w:t xml:space="preserve">benefits customers and the Company. (Tr. 260.) </w:t>
      </w:r>
      <w:r w:rsidR="00336CEE" w:rsidRPr="003B2E09">
        <w:rPr>
          <w:rFonts w:ascii="Times New Roman" w:hAnsi="Times New Roman"/>
        </w:rPr>
        <w:t xml:space="preserve">Under this arrangement all stakeholders win as demonstrated by the Company’s </w:t>
      </w:r>
      <w:r w:rsidR="00F6657B">
        <w:rPr>
          <w:rFonts w:ascii="Times New Roman" w:hAnsi="Times New Roman"/>
        </w:rPr>
        <w:t>consistent</w:t>
      </w:r>
      <w:r w:rsidR="00F6657B" w:rsidRPr="003B2E09">
        <w:rPr>
          <w:rFonts w:ascii="Times New Roman" w:hAnsi="Times New Roman"/>
        </w:rPr>
        <w:t xml:space="preserve"> </w:t>
      </w:r>
      <w:r w:rsidR="00336CEE" w:rsidRPr="003B2E09">
        <w:rPr>
          <w:rFonts w:ascii="Times New Roman" w:hAnsi="Times New Roman"/>
        </w:rPr>
        <w:t>delivery of exception</w:t>
      </w:r>
      <w:r w:rsidR="007F4277">
        <w:rPr>
          <w:rFonts w:ascii="Times New Roman" w:hAnsi="Times New Roman"/>
        </w:rPr>
        <w:t>al</w:t>
      </w:r>
      <w:r w:rsidR="00336CEE" w:rsidRPr="003B2E09">
        <w:rPr>
          <w:rFonts w:ascii="Times New Roman" w:hAnsi="Times New Roman"/>
        </w:rPr>
        <w:t xml:space="preserve"> service while keeping rates low in relation to other</w:t>
      </w:r>
      <w:r w:rsidR="007E21BC">
        <w:rPr>
          <w:rFonts w:ascii="Times New Roman" w:hAnsi="Times New Roman"/>
        </w:rPr>
        <w:t xml:space="preserve"> utilitie</w:t>
      </w:r>
      <w:r w:rsidR="00336CEE" w:rsidRPr="003B2E09">
        <w:rPr>
          <w:rFonts w:ascii="Times New Roman" w:hAnsi="Times New Roman"/>
        </w:rPr>
        <w:t xml:space="preserve">s. </w:t>
      </w:r>
      <w:r w:rsidR="00596BFE">
        <w:rPr>
          <w:rFonts w:ascii="Times New Roman" w:hAnsi="Times New Roman"/>
        </w:rPr>
        <w:t>(</w:t>
      </w:r>
      <w:r w:rsidR="00336CEE" w:rsidRPr="002B4D4D">
        <w:rPr>
          <w:rFonts w:ascii="Times New Roman" w:hAnsi="Times New Roman"/>
          <w:i/>
        </w:rPr>
        <w:t>Id</w:t>
      </w:r>
      <w:r w:rsidR="00336CEE" w:rsidRPr="003B2E09">
        <w:rPr>
          <w:rFonts w:ascii="Times New Roman" w:hAnsi="Times New Roman"/>
        </w:rPr>
        <w:t>.</w:t>
      </w:r>
      <w:r w:rsidR="00596BFE">
        <w:rPr>
          <w:rFonts w:ascii="Times New Roman" w:hAnsi="Times New Roman"/>
        </w:rPr>
        <w:t>)</w:t>
      </w:r>
      <w:r w:rsidR="00336CEE" w:rsidRPr="003B2E09">
        <w:rPr>
          <w:rFonts w:ascii="Times New Roman" w:hAnsi="Times New Roman"/>
        </w:rPr>
        <w:t xml:space="preserve"> Maintaining the earnings band as</w:t>
      </w:r>
      <w:r w:rsidR="00596BFE" w:rsidRPr="003B2E09">
        <w:rPr>
          <w:rFonts w:ascii="Times New Roman" w:hAnsi="Times New Roman"/>
        </w:rPr>
        <w:t>-</w:t>
      </w:r>
      <w:r w:rsidR="00336CEE" w:rsidRPr="003B2E09">
        <w:rPr>
          <w:rFonts w:ascii="Times New Roman" w:hAnsi="Times New Roman"/>
        </w:rPr>
        <w:t xml:space="preserve">is affords the Company the </w:t>
      </w:r>
      <w:r w:rsidR="00336CEE" w:rsidRPr="003B2E09">
        <w:rPr>
          <w:rFonts w:ascii="Times New Roman" w:hAnsi="Times New Roman"/>
        </w:rPr>
        <w:lastRenderedPageBreak/>
        <w:t xml:space="preserve">opportunity to continue </w:t>
      </w:r>
      <w:r w:rsidR="00596BFE" w:rsidRPr="003B2E09">
        <w:rPr>
          <w:rFonts w:ascii="Times New Roman" w:hAnsi="Times New Roman"/>
        </w:rPr>
        <w:t>the innovation and efficiencies in operation</w:t>
      </w:r>
      <w:r w:rsidR="007F4277">
        <w:rPr>
          <w:rFonts w:ascii="Times New Roman" w:hAnsi="Times New Roman"/>
        </w:rPr>
        <w:t>s</w:t>
      </w:r>
      <w:r w:rsidR="00596BFE" w:rsidRPr="003B2E09">
        <w:rPr>
          <w:rFonts w:ascii="Times New Roman" w:hAnsi="Times New Roman"/>
        </w:rPr>
        <w:t xml:space="preserve"> that the Company was able to identify since the last</w:t>
      </w:r>
      <w:r w:rsidR="00336CEE" w:rsidRPr="003B2E09">
        <w:rPr>
          <w:rFonts w:ascii="Times New Roman" w:hAnsi="Times New Roman"/>
        </w:rPr>
        <w:t xml:space="preserve"> rate case</w:t>
      </w:r>
      <w:r w:rsidR="00596BFE" w:rsidRPr="003B2E09">
        <w:rPr>
          <w:rFonts w:ascii="Times New Roman" w:hAnsi="Times New Roman"/>
        </w:rPr>
        <w:t xml:space="preserve">. Customers </w:t>
      </w:r>
      <w:r w:rsidR="00596BFE">
        <w:rPr>
          <w:rFonts w:ascii="Times New Roman" w:hAnsi="Times New Roman"/>
        </w:rPr>
        <w:t xml:space="preserve">have </w:t>
      </w:r>
      <w:r w:rsidR="00596BFE" w:rsidRPr="003B2E09">
        <w:rPr>
          <w:rFonts w:ascii="Times New Roman" w:hAnsi="Times New Roman"/>
        </w:rPr>
        <w:t>benefit</w:t>
      </w:r>
      <w:r w:rsidR="00596BFE">
        <w:rPr>
          <w:rFonts w:ascii="Times New Roman" w:hAnsi="Times New Roman"/>
        </w:rPr>
        <w:t>ted</w:t>
      </w:r>
      <w:r w:rsidR="00596BFE" w:rsidRPr="003B2E09">
        <w:rPr>
          <w:rFonts w:ascii="Times New Roman" w:hAnsi="Times New Roman"/>
        </w:rPr>
        <w:t xml:space="preserve"> under this structure and will continue to benefit under the Company’s proposed ARP and earnings band if approved by the Commission.</w:t>
      </w:r>
      <w:r w:rsidR="00596BFE">
        <w:t xml:space="preserve"> </w:t>
      </w:r>
    </w:p>
    <w:p w14:paraId="6F77645C" w14:textId="78695C29" w:rsidR="00186C1F" w:rsidRPr="00186C1F" w:rsidRDefault="006A0A4E" w:rsidP="00F67047">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13" w:name="_Hlk26111527"/>
      <w:r>
        <w:rPr>
          <w:rFonts w:ascii="Times New Roman" w:hAnsi="Times New Roman"/>
          <w:szCs w:val="24"/>
        </w:rPr>
        <w:t>2.</w:t>
      </w:r>
      <w:r>
        <w:rPr>
          <w:rFonts w:ascii="Times New Roman" w:hAnsi="Times New Roman"/>
          <w:szCs w:val="24"/>
        </w:rPr>
        <w:tab/>
      </w:r>
      <w:r w:rsidR="00596BFE" w:rsidRPr="0032156E">
        <w:rPr>
          <w:rFonts w:ascii="Times New Roman" w:hAnsi="Times New Roman"/>
          <w:szCs w:val="24"/>
          <w:u w:val="single"/>
        </w:rPr>
        <w:t>PIA Staff and Intervenor p</w:t>
      </w:r>
      <w:r w:rsidR="006C2783" w:rsidRPr="0032156E">
        <w:rPr>
          <w:rFonts w:ascii="Times New Roman" w:hAnsi="Times New Roman"/>
          <w:szCs w:val="24"/>
          <w:u w:val="single"/>
        </w:rPr>
        <w:t>roposed</w:t>
      </w:r>
      <w:r w:rsidR="006C2783" w:rsidRPr="006C2783">
        <w:rPr>
          <w:rFonts w:ascii="Times New Roman" w:hAnsi="Times New Roman"/>
          <w:szCs w:val="24"/>
          <w:u w:val="single"/>
        </w:rPr>
        <w:t xml:space="preserve"> changes to the earnings band completely eliminate </w:t>
      </w:r>
      <w:r w:rsidR="006C2783">
        <w:rPr>
          <w:rFonts w:ascii="Times New Roman" w:hAnsi="Times New Roman"/>
          <w:szCs w:val="24"/>
          <w:u w:val="single"/>
        </w:rPr>
        <w:t>C</w:t>
      </w:r>
      <w:r w:rsidR="006C2783" w:rsidRPr="006C2783">
        <w:rPr>
          <w:rFonts w:ascii="Times New Roman" w:hAnsi="Times New Roman"/>
          <w:szCs w:val="24"/>
          <w:u w:val="single"/>
        </w:rPr>
        <w:t>ompany incentives to innovate and seek efficiencies, thereby eliminating the resulting customer benefits</w:t>
      </w:r>
      <w:r w:rsidR="00B118C2">
        <w:rPr>
          <w:rFonts w:ascii="Times New Roman" w:hAnsi="Times New Roman"/>
          <w:szCs w:val="24"/>
        </w:rPr>
        <w:t>.</w:t>
      </w:r>
    </w:p>
    <w:p w14:paraId="12350F01" w14:textId="59671EAE" w:rsidR="00186C1F" w:rsidRDefault="00533458" w:rsidP="006F420B">
      <w:pPr>
        <w:widowControl/>
        <w:tabs>
          <w:tab w:val="left" w:pos="720"/>
        </w:tabs>
        <w:overflowPunct/>
        <w:autoSpaceDE/>
        <w:autoSpaceDN/>
        <w:adjustRightInd/>
        <w:spacing w:before="240" w:after="240"/>
        <w:ind w:left="2160" w:hanging="720"/>
        <w:jc w:val="both"/>
        <w:textAlignment w:val="auto"/>
        <w:rPr>
          <w:rFonts w:ascii="Times New Roman" w:hAnsi="Times New Roman"/>
          <w:i/>
          <w:iCs/>
          <w:szCs w:val="24"/>
        </w:rPr>
      </w:pPr>
      <w:r>
        <w:rPr>
          <w:rFonts w:ascii="Times New Roman" w:hAnsi="Times New Roman"/>
          <w:i/>
          <w:iCs/>
          <w:szCs w:val="24"/>
        </w:rPr>
        <w:t>a.</w:t>
      </w:r>
      <w:r>
        <w:rPr>
          <w:rFonts w:ascii="Times New Roman" w:hAnsi="Times New Roman"/>
          <w:i/>
          <w:iCs/>
          <w:szCs w:val="24"/>
        </w:rPr>
        <w:tab/>
      </w:r>
      <w:r w:rsidR="00B118C2">
        <w:rPr>
          <w:rFonts w:ascii="Times New Roman" w:hAnsi="Times New Roman"/>
          <w:i/>
          <w:iCs/>
          <w:szCs w:val="24"/>
        </w:rPr>
        <w:t xml:space="preserve">The </w:t>
      </w:r>
      <w:r w:rsidR="0079564C">
        <w:rPr>
          <w:rFonts w:ascii="Times New Roman" w:hAnsi="Times New Roman"/>
          <w:i/>
          <w:iCs/>
          <w:szCs w:val="24"/>
        </w:rPr>
        <w:t xml:space="preserve">earnings </w:t>
      </w:r>
      <w:r w:rsidR="00651567">
        <w:rPr>
          <w:rFonts w:ascii="Times New Roman" w:hAnsi="Times New Roman"/>
          <w:i/>
          <w:iCs/>
          <w:szCs w:val="24"/>
        </w:rPr>
        <w:t xml:space="preserve">sharing mechanism should not be eliminated and PIA </w:t>
      </w:r>
      <w:r w:rsidR="00400E3C">
        <w:rPr>
          <w:rFonts w:ascii="Times New Roman" w:hAnsi="Times New Roman"/>
          <w:i/>
          <w:iCs/>
          <w:szCs w:val="24"/>
        </w:rPr>
        <w:t>S</w:t>
      </w:r>
      <w:r w:rsidR="00651567" w:rsidRPr="00186C1F">
        <w:rPr>
          <w:rFonts w:ascii="Times New Roman" w:hAnsi="Times New Roman"/>
          <w:i/>
          <w:iCs/>
          <w:szCs w:val="24"/>
        </w:rPr>
        <w:t>taff</w:t>
      </w:r>
      <w:r w:rsidR="006F6CB0">
        <w:rPr>
          <w:rFonts w:ascii="Times New Roman" w:hAnsi="Times New Roman"/>
          <w:i/>
          <w:iCs/>
          <w:szCs w:val="24"/>
        </w:rPr>
        <w:t>’</w:t>
      </w:r>
      <w:r w:rsidR="00651567" w:rsidRPr="00186C1F">
        <w:rPr>
          <w:rFonts w:ascii="Times New Roman" w:hAnsi="Times New Roman"/>
          <w:i/>
          <w:iCs/>
          <w:szCs w:val="24"/>
        </w:rPr>
        <w:t xml:space="preserve">s </w:t>
      </w:r>
      <w:r w:rsidR="00A414AB">
        <w:rPr>
          <w:rFonts w:ascii="Times New Roman" w:hAnsi="Times New Roman"/>
          <w:i/>
          <w:iCs/>
          <w:szCs w:val="24"/>
        </w:rPr>
        <w:t>p</w:t>
      </w:r>
      <w:r w:rsidR="00A414AB" w:rsidRPr="00186C1F">
        <w:rPr>
          <w:rFonts w:ascii="Times New Roman" w:hAnsi="Times New Roman"/>
          <w:i/>
          <w:iCs/>
          <w:szCs w:val="24"/>
        </w:rPr>
        <w:t>ropos</w:t>
      </w:r>
      <w:r w:rsidR="00A414AB">
        <w:rPr>
          <w:rFonts w:ascii="Times New Roman" w:hAnsi="Times New Roman"/>
          <w:i/>
          <w:iCs/>
          <w:szCs w:val="24"/>
        </w:rPr>
        <w:t>ed</w:t>
      </w:r>
      <w:r w:rsidR="00A414AB" w:rsidRPr="00186C1F">
        <w:rPr>
          <w:rFonts w:ascii="Times New Roman" w:hAnsi="Times New Roman"/>
          <w:i/>
          <w:iCs/>
          <w:szCs w:val="24"/>
        </w:rPr>
        <w:t xml:space="preserve"> </w:t>
      </w:r>
      <w:r w:rsidR="00651567">
        <w:rPr>
          <w:rFonts w:ascii="Times New Roman" w:hAnsi="Times New Roman"/>
          <w:i/>
          <w:iCs/>
          <w:szCs w:val="24"/>
        </w:rPr>
        <w:t>earnings</w:t>
      </w:r>
      <w:r w:rsidR="00651567" w:rsidRPr="00186C1F">
        <w:rPr>
          <w:rFonts w:ascii="Times New Roman" w:hAnsi="Times New Roman"/>
          <w:i/>
          <w:iCs/>
          <w:szCs w:val="24"/>
        </w:rPr>
        <w:t xml:space="preserve"> </w:t>
      </w:r>
      <w:r w:rsidR="00651567">
        <w:rPr>
          <w:rFonts w:ascii="Times New Roman" w:hAnsi="Times New Roman"/>
          <w:i/>
          <w:iCs/>
          <w:szCs w:val="24"/>
        </w:rPr>
        <w:t>c</w:t>
      </w:r>
      <w:r w:rsidR="00651567" w:rsidRPr="00186C1F">
        <w:rPr>
          <w:rFonts w:ascii="Times New Roman" w:hAnsi="Times New Roman"/>
          <w:i/>
          <w:iCs/>
          <w:szCs w:val="24"/>
        </w:rPr>
        <w:t>ap</w:t>
      </w:r>
      <w:r w:rsidR="00651567">
        <w:rPr>
          <w:rFonts w:ascii="Times New Roman" w:hAnsi="Times New Roman"/>
          <w:i/>
          <w:iCs/>
          <w:szCs w:val="24"/>
        </w:rPr>
        <w:t xml:space="preserve"> should be rejected.</w:t>
      </w:r>
    </w:p>
    <w:bookmarkEnd w:id="13"/>
    <w:p w14:paraId="7B8C0AA8" w14:textId="049AE583" w:rsidR="009D68C4" w:rsidRDefault="00D47BE2" w:rsidP="004D79CA">
      <w:pPr>
        <w:widowControl/>
        <w:tabs>
          <w:tab w:val="left" w:pos="720"/>
        </w:tabs>
        <w:overflowPunct/>
        <w:autoSpaceDE/>
        <w:autoSpaceDN/>
        <w:adjustRightInd/>
        <w:spacing w:before="240" w:line="480" w:lineRule="auto"/>
        <w:jc w:val="both"/>
        <w:textAlignment w:val="auto"/>
        <w:rPr>
          <w:rFonts w:ascii="Times New Roman" w:hAnsi="Times New Roman"/>
          <w:iCs/>
          <w:szCs w:val="24"/>
        </w:rPr>
      </w:pPr>
      <w:r>
        <w:rPr>
          <w:rFonts w:ascii="Times New Roman" w:hAnsi="Times New Roman"/>
          <w:iCs/>
          <w:szCs w:val="24"/>
        </w:rPr>
        <w:tab/>
        <w:t xml:space="preserve">PIA Staff has proposed an earnings band ranging from 9.20 to 10.50% and recommended that earnings above the band be applied to deferred costs rather than split between customers and the Company. </w:t>
      </w:r>
      <w:r w:rsidR="00381486">
        <w:rPr>
          <w:rFonts w:ascii="Times New Roman" w:hAnsi="Times New Roman"/>
          <w:szCs w:val="24"/>
        </w:rPr>
        <w:t>(</w:t>
      </w:r>
      <w:r w:rsidR="005D6E97">
        <w:rPr>
          <w:rFonts w:ascii="Times New Roman" w:hAnsi="Times New Roman"/>
          <w:szCs w:val="24"/>
        </w:rPr>
        <w:t>Tr. 1316</w:t>
      </w:r>
      <w:r w:rsidR="00381486">
        <w:rPr>
          <w:rFonts w:ascii="Times New Roman" w:hAnsi="Times New Roman"/>
          <w:szCs w:val="24"/>
        </w:rPr>
        <w:t xml:space="preserve">.) </w:t>
      </w:r>
      <w:r>
        <w:rPr>
          <w:rFonts w:ascii="Times New Roman" w:hAnsi="Times New Roman"/>
          <w:iCs/>
          <w:szCs w:val="24"/>
        </w:rPr>
        <w:t>By proposing to eliminate the earnings sharing mechanism</w:t>
      </w:r>
      <w:r w:rsidR="009D68C4">
        <w:rPr>
          <w:rFonts w:ascii="Times New Roman" w:hAnsi="Times New Roman"/>
          <w:iCs/>
          <w:szCs w:val="24"/>
        </w:rPr>
        <w:t>, PIA Staff has effectively proposed an earnings cap. As stated in rebuttal testimony,</w:t>
      </w:r>
      <w:r w:rsidR="006F420B" w:rsidRPr="006F420B">
        <w:rPr>
          <w:rFonts w:ascii="Times New Roman" w:hAnsi="Times New Roman"/>
          <w:iCs/>
          <w:szCs w:val="24"/>
        </w:rPr>
        <w:t xml:space="preserve"> the Company</w:t>
      </w:r>
      <w:r w:rsidR="006F6CB0">
        <w:rPr>
          <w:rFonts w:ascii="Times New Roman" w:hAnsi="Times New Roman"/>
          <w:iCs/>
          <w:szCs w:val="24"/>
        </w:rPr>
        <w:t>’</w:t>
      </w:r>
      <w:r w:rsidR="006F420B" w:rsidRPr="006F420B">
        <w:rPr>
          <w:rFonts w:ascii="Times New Roman" w:hAnsi="Times New Roman"/>
          <w:iCs/>
          <w:szCs w:val="24"/>
        </w:rPr>
        <w:t>s objection to the earnings cap as proposed is that the top end of the band is set artificially low at a level below even the Company</w:t>
      </w:r>
      <w:r w:rsidR="006F6CB0">
        <w:rPr>
          <w:rFonts w:ascii="Times New Roman" w:hAnsi="Times New Roman"/>
          <w:iCs/>
          <w:szCs w:val="24"/>
        </w:rPr>
        <w:t>’</w:t>
      </w:r>
      <w:r w:rsidR="006F420B" w:rsidRPr="006F420B">
        <w:rPr>
          <w:rFonts w:ascii="Times New Roman" w:hAnsi="Times New Roman"/>
          <w:iCs/>
          <w:szCs w:val="24"/>
        </w:rPr>
        <w:t>s cost of equity.</w:t>
      </w:r>
      <w:r w:rsidR="009D68C4">
        <w:rPr>
          <w:rFonts w:ascii="Times New Roman" w:hAnsi="Times New Roman"/>
          <w:iCs/>
          <w:szCs w:val="24"/>
        </w:rPr>
        <w:t xml:space="preserve"> </w:t>
      </w:r>
      <w:r w:rsidR="00381486">
        <w:rPr>
          <w:rFonts w:ascii="Times New Roman" w:hAnsi="Times New Roman"/>
          <w:szCs w:val="24"/>
        </w:rPr>
        <w:t>(</w:t>
      </w:r>
      <w:r w:rsidR="00085A42">
        <w:rPr>
          <w:rFonts w:ascii="Times New Roman" w:hAnsi="Times New Roman"/>
          <w:szCs w:val="24"/>
        </w:rPr>
        <w:t>Tr. 2634</w:t>
      </w:r>
      <w:r w:rsidR="00381486">
        <w:rPr>
          <w:rFonts w:ascii="Times New Roman" w:hAnsi="Times New Roman"/>
          <w:szCs w:val="24"/>
        </w:rPr>
        <w:t xml:space="preserve">.) </w:t>
      </w:r>
      <w:r w:rsidR="009D68C4">
        <w:rPr>
          <w:rFonts w:ascii="Times New Roman" w:hAnsi="Times New Roman"/>
          <w:iCs/>
          <w:szCs w:val="24"/>
        </w:rPr>
        <w:t xml:space="preserve">If an earnings cap </w:t>
      </w:r>
      <w:r w:rsidR="00A414AB">
        <w:rPr>
          <w:rFonts w:ascii="Times New Roman" w:hAnsi="Times New Roman"/>
          <w:iCs/>
          <w:szCs w:val="24"/>
        </w:rPr>
        <w:t xml:space="preserve">was </w:t>
      </w:r>
      <w:r w:rsidR="009D68C4">
        <w:rPr>
          <w:rFonts w:ascii="Times New Roman" w:hAnsi="Times New Roman"/>
          <w:iCs/>
          <w:szCs w:val="24"/>
        </w:rPr>
        <w:t>approved in this manner, the Company would be disincentivized from continuing to innovate and seek efficiencies</w:t>
      </w:r>
      <w:r w:rsidR="00A414AB">
        <w:rPr>
          <w:rFonts w:ascii="Times New Roman" w:hAnsi="Times New Roman"/>
          <w:iCs/>
          <w:szCs w:val="24"/>
        </w:rPr>
        <w:t xml:space="preserve">, which would be </w:t>
      </w:r>
      <w:r w:rsidR="009D68C4">
        <w:rPr>
          <w:rFonts w:ascii="Times New Roman" w:hAnsi="Times New Roman"/>
          <w:iCs/>
          <w:szCs w:val="24"/>
        </w:rPr>
        <w:t>detriment</w:t>
      </w:r>
      <w:r w:rsidR="00A414AB">
        <w:rPr>
          <w:rFonts w:ascii="Times New Roman" w:hAnsi="Times New Roman"/>
          <w:iCs/>
          <w:szCs w:val="24"/>
        </w:rPr>
        <w:t>al to</w:t>
      </w:r>
      <w:r w:rsidR="009D68C4">
        <w:rPr>
          <w:rFonts w:ascii="Times New Roman" w:hAnsi="Times New Roman"/>
          <w:iCs/>
          <w:szCs w:val="24"/>
        </w:rPr>
        <w:t xml:space="preserve"> customers.</w:t>
      </w:r>
    </w:p>
    <w:p w14:paraId="189516B0" w14:textId="730B9D12" w:rsidR="006F420B" w:rsidRPr="006F420B" w:rsidRDefault="009D68C4" w:rsidP="006C2783">
      <w:pPr>
        <w:widowControl/>
        <w:tabs>
          <w:tab w:val="left" w:pos="720"/>
        </w:tabs>
        <w:overflowPunct/>
        <w:autoSpaceDE/>
        <w:autoSpaceDN/>
        <w:adjustRightInd/>
        <w:spacing w:line="480" w:lineRule="auto"/>
        <w:jc w:val="both"/>
        <w:textAlignment w:val="auto"/>
        <w:rPr>
          <w:rFonts w:ascii="Times New Roman" w:hAnsi="Times New Roman"/>
          <w:iCs/>
          <w:szCs w:val="24"/>
        </w:rPr>
      </w:pPr>
      <w:r>
        <w:rPr>
          <w:rFonts w:ascii="Times New Roman" w:hAnsi="Times New Roman"/>
          <w:iCs/>
          <w:szCs w:val="24"/>
        </w:rPr>
        <w:tab/>
      </w:r>
      <w:r w:rsidR="006F420B" w:rsidRPr="009D68C4">
        <w:rPr>
          <w:rFonts w:ascii="Times New Roman" w:hAnsi="Times New Roman"/>
          <w:iCs/>
          <w:szCs w:val="24"/>
        </w:rPr>
        <w:t xml:space="preserve">While it is </w:t>
      </w:r>
      <w:r w:rsidR="007449B5">
        <w:rPr>
          <w:rFonts w:ascii="Times New Roman" w:hAnsi="Times New Roman"/>
          <w:iCs/>
          <w:szCs w:val="24"/>
        </w:rPr>
        <w:t>accurate</w:t>
      </w:r>
      <w:r w:rsidR="006F420B" w:rsidRPr="009D68C4">
        <w:rPr>
          <w:rFonts w:ascii="Times New Roman" w:hAnsi="Times New Roman"/>
          <w:iCs/>
          <w:szCs w:val="24"/>
        </w:rPr>
        <w:t xml:space="preserve"> that</w:t>
      </w:r>
      <w:r w:rsidR="007449B5">
        <w:rPr>
          <w:rFonts w:ascii="Times New Roman" w:hAnsi="Times New Roman"/>
          <w:iCs/>
          <w:szCs w:val="24"/>
        </w:rPr>
        <w:t>,</w:t>
      </w:r>
      <w:r w:rsidR="006F420B" w:rsidRPr="009D68C4">
        <w:rPr>
          <w:rFonts w:ascii="Times New Roman" w:hAnsi="Times New Roman"/>
          <w:iCs/>
          <w:szCs w:val="24"/>
        </w:rPr>
        <w:t xml:space="preserve"> in at least one prior case</w:t>
      </w:r>
      <w:r w:rsidR="007449B5">
        <w:rPr>
          <w:rFonts w:ascii="Times New Roman" w:hAnsi="Times New Roman"/>
          <w:iCs/>
          <w:szCs w:val="24"/>
        </w:rPr>
        <w:t>,</w:t>
      </w:r>
      <w:r w:rsidR="006F420B" w:rsidRPr="009D68C4">
        <w:rPr>
          <w:rFonts w:ascii="Times New Roman" w:hAnsi="Times New Roman"/>
          <w:iCs/>
          <w:szCs w:val="24"/>
        </w:rPr>
        <w:t xml:space="preserve"> the Company</w:t>
      </w:r>
      <w:r w:rsidR="007449B5">
        <w:rPr>
          <w:rFonts w:ascii="Times New Roman" w:hAnsi="Times New Roman"/>
          <w:iCs/>
          <w:szCs w:val="24"/>
        </w:rPr>
        <w:t xml:space="preserve"> has</w:t>
      </w:r>
      <w:r w:rsidR="006F420B" w:rsidRPr="009D68C4">
        <w:rPr>
          <w:rFonts w:ascii="Times New Roman" w:hAnsi="Times New Roman"/>
          <w:iCs/>
          <w:szCs w:val="24"/>
        </w:rPr>
        <w:t xml:space="preserve"> agreed to use all earnings above the top of the band to retire regulatory assets</w:t>
      </w:r>
      <w:r>
        <w:rPr>
          <w:rFonts w:ascii="Times New Roman" w:hAnsi="Times New Roman"/>
          <w:iCs/>
          <w:szCs w:val="24"/>
        </w:rPr>
        <w:t xml:space="preserve"> as part of the settlement in that case</w:t>
      </w:r>
      <w:r w:rsidR="006F420B" w:rsidRPr="009D68C4">
        <w:rPr>
          <w:rFonts w:ascii="Times New Roman" w:hAnsi="Times New Roman"/>
          <w:iCs/>
          <w:szCs w:val="24"/>
        </w:rPr>
        <w:t>, that agreement was dependent upon an appropriate earnings band having been set.</w:t>
      </w:r>
      <w:r w:rsidR="00787059">
        <w:rPr>
          <w:rFonts w:ascii="Times New Roman" w:hAnsi="Times New Roman"/>
          <w:iCs/>
          <w:szCs w:val="24"/>
        </w:rPr>
        <w:t xml:space="preserve"> </w:t>
      </w:r>
      <w:r w:rsidR="00F25780">
        <w:rPr>
          <w:rFonts w:ascii="Times New Roman" w:hAnsi="Times New Roman"/>
          <w:szCs w:val="24"/>
        </w:rPr>
        <w:t>(</w:t>
      </w:r>
      <w:r w:rsidR="00085A42" w:rsidRPr="00085A42">
        <w:rPr>
          <w:rFonts w:ascii="Times New Roman" w:hAnsi="Times New Roman"/>
          <w:i/>
          <w:szCs w:val="24"/>
        </w:rPr>
        <w:t>Id</w:t>
      </w:r>
      <w:r w:rsidR="00F25780">
        <w:rPr>
          <w:rFonts w:ascii="Times New Roman" w:hAnsi="Times New Roman"/>
          <w:szCs w:val="24"/>
        </w:rPr>
        <w:t xml:space="preserve">.) </w:t>
      </w:r>
      <w:r w:rsidR="00944DD2">
        <w:rPr>
          <w:rFonts w:ascii="Times New Roman" w:hAnsi="Times New Roman"/>
          <w:iCs/>
          <w:szCs w:val="24"/>
        </w:rPr>
        <w:t>Since t</w:t>
      </w:r>
      <w:r w:rsidR="00787059">
        <w:rPr>
          <w:rFonts w:ascii="Times New Roman" w:hAnsi="Times New Roman"/>
          <w:iCs/>
          <w:szCs w:val="24"/>
        </w:rPr>
        <w:t>he</w:t>
      </w:r>
      <w:r w:rsidR="00944DD2">
        <w:rPr>
          <w:rFonts w:ascii="Times New Roman" w:hAnsi="Times New Roman"/>
          <w:iCs/>
          <w:szCs w:val="24"/>
        </w:rPr>
        <w:t xml:space="preserve"> Company </w:t>
      </w:r>
      <w:r w:rsidR="0034481C">
        <w:rPr>
          <w:rFonts w:ascii="Times New Roman" w:hAnsi="Times New Roman"/>
          <w:iCs/>
          <w:szCs w:val="24"/>
        </w:rPr>
        <w:t>disagrees</w:t>
      </w:r>
      <w:r w:rsidR="00944DD2">
        <w:rPr>
          <w:rFonts w:ascii="Times New Roman" w:hAnsi="Times New Roman"/>
          <w:iCs/>
          <w:szCs w:val="24"/>
        </w:rPr>
        <w:t xml:space="preserve"> with the appropriateness of PIA Staff</w:t>
      </w:r>
      <w:r w:rsidR="006F6CB0">
        <w:rPr>
          <w:rFonts w:ascii="Times New Roman" w:hAnsi="Times New Roman"/>
          <w:iCs/>
          <w:szCs w:val="24"/>
        </w:rPr>
        <w:t>’</w:t>
      </w:r>
      <w:r w:rsidR="00944DD2">
        <w:rPr>
          <w:rFonts w:ascii="Times New Roman" w:hAnsi="Times New Roman"/>
          <w:iCs/>
          <w:szCs w:val="24"/>
        </w:rPr>
        <w:t>s proposed</w:t>
      </w:r>
      <w:r w:rsidR="00787059">
        <w:rPr>
          <w:rFonts w:ascii="Times New Roman" w:hAnsi="Times New Roman"/>
          <w:iCs/>
          <w:szCs w:val="24"/>
        </w:rPr>
        <w:t xml:space="preserve"> earnings band</w:t>
      </w:r>
      <w:r w:rsidR="00944DD2">
        <w:rPr>
          <w:rFonts w:ascii="Times New Roman" w:hAnsi="Times New Roman"/>
          <w:iCs/>
          <w:szCs w:val="24"/>
        </w:rPr>
        <w:t xml:space="preserve">, the Company </w:t>
      </w:r>
      <w:r w:rsidR="00D72CF2">
        <w:rPr>
          <w:rFonts w:ascii="Times New Roman" w:hAnsi="Times New Roman"/>
          <w:iCs/>
          <w:szCs w:val="24"/>
        </w:rPr>
        <w:t>finds PIA Staff</w:t>
      </w:r>
      <w:r w:rsidR="006F6CB0">
        <w:rPr>
          <w:rFonts w:ascii="Times New Roman" w:hAnsi="Times New Roman"/>
          <w:iCs/>
          <w:szCs w:val="24"/>
        </w:rPr>
        <w:t>’</w:t>
      </w:r>
      <w:r w:rsidR="00D72CF2">
        <w:rPr>
          <w:rFonts w:ascii="Times New Roman" w:hAnsi="Times New Roman"/>
          <w:iCs/>
          <w:szCs w:val="24"/>
        </w:rPr>
        <w:t xml:space="preserve">s elimination of the sharing mechanism and imposition of the cap </w:t>
      </w:r>
      <w:r w:rsidR="007449B5">
        <w:rPr>
          <w:rFonts w:ascii="Times New Roman" w:hAnsi="Times New Roman"/>
          <w:iCs/>
          <w:szCs w:val="24"/>
        </w:rPr>
        <w:t xml:space="preserve">is </w:t>
      </w:r>
      <w:r w:rsidR="00D72CF2">
        <w:rPr>
          <w:rFonts w:ascii="Times New Roman" w:hAnsi="Times New Roman"/>
          <w:iCs/>
          <w:szCs w:val="24"/>
        </w:rPr>
        <w:t xml:space="preserve">unreasonable </w:t>
      </w:r>
      <w:r w:rsidR="00F30913">
        <w:rPr>
          <w:rFonts w:ascii="Times New Roman" w:hAnsi="Times New Roman"/>
          <w:iCs/>
          <w:szCs w:val="24"/>
        </w:rPr>
        <w:t>and</w:t>
      </w:r>
      <w:r w:rsidR="00D72CF2">
        <w:rPr>
          <w:rFonts w:ascii="Times New Roman" w:hAnsi="Times New Roman"/>
          <w:iCs/>
          <w:szCs w:val="24"/>
        </w:rPr>
        <w:t xml:space="preserve"> unacceptable.</w:t>
      </w:r>
      <w:r>
        <w:rPr>
          <w:rFonts w:ascii="Times New Roman" w:hAnsi="Times New Roman"/>
          <w:iCs/>
          <w:szCs w:val="24"/>
        </w:rPr>
        <w:t xml:space="preserve"> </w:t>
      </w:r>
    </w:p>
    <w:p w14:paraId="188D5A2E" w14:textId="6761E9FC" w:rsidR="00186C1F" w:rsidRDefault="00D07CAC" w:rsidP="0032156E">
      <w:pPr>
        <w:widowControl/>
        <w:tabs>
          <w:tab w:val="left" w:pos="720"/>
        </w:tabs>
        <w:overflowPunct/>
        <w:autoSpaceDE/>
        <w:autoSpaceDN/>
        <w:adjustRightInd/>
        <w:spacing w:after="240"/>
        <w:ind w:left="2160" w:hanging="720"/>
        <w:jc w:val="both"/>
        <w:textAlignment w:val="auto"/>
        <w:rPr>
          <w:rFonts w:ascii="Times New Roman" w:hAnsi="Times New Roman"/>
          <w:i/>
          <w:iCs/>
          <w:szCs w:val="24"/>
        </w:rPr>
      </w:pPr>
      <w:bookmarkStart w:id="14" w:name="_Hlk26111533"/>
      <w:r>
        <w:rPr>
          <w:rFonts w:ascii="Times New Roman" w:hAnsi="Times New Roman"/>
          <w:i/>
          <w:iCs/>
          <w:szCs w:val="24"/>
        </w:rPr>
        <w:t>b</w:t>
      </w:r>
      <w:r w:rsidR="00533458">
        <w:rPr>
          <w:rFonts w:ascii="Times New Roman" w:hAnsi="Times New Roman"/>
          <w:i/>
          <w:iCs/>
          <w:szCs w:val="24"/>
        </w:rPr>
        <w:t>.</w:t>
      </w:r>
      <w:r w:rsidR="00533458">
        <w:rPr>
          <w:rFonts w:ascii="Times New Roman" w:hAnsi="Times New Roman"/>
          <w:i/>
          <w:iCs/>
          <w:szCs w:val="24"/>
        </w:rPr>
        <w:tab/>
      </w:r>
      <w:r w:rsidR="00651567">
        <w:rPr>
          <w:rFonts w:ascii="Times New Roman" w:hAnsi="Times New Roman"/>
          <w:i/>
          <w:iCs/>
          <w:szCs w:val="24"/>
        </w:rPr>
        <w:t xml:space="preserve">The </w:t>
      </w:r>
      <w:r w:rsidR="002E550E">
        <w:rPr>
          <w:rFonts w:ascii="Times New Roman" w:hAnsi="Times New Roman"/>
          <w:i/>
          <w:iCs/>
          <w:szCs w:val="24"/>
        </w:rPr>
        <w:t xml:space="preserve">Company </w:t>
      </w:r>
      <w:r w:rsidR="00150189">
        <w:rPr>
          <w:rFonts w:ascii="Times New Roman" w:hAnsi="Times New Roman"/>
          <w:i/>
          <w:iCs/>
          <w:szCs w:val="24"/>
        </w:rPr>
        <w:t>will</w:t>
      </w:r>
      <w:r w:rsidR="002E550E">
        <w:rPr>
          <w:rFonts w:ascii="Times New Roman" w:hAnsi="Times New Roman"/>
          <w:i/>
          <w:iCs/>
          <w:szCs w:val="24"/>
        </w:rPr>
        <w:t xml:space="preserve"> not accept a narrowed earnings band</w:t>
      </w:r>
      <w:r w:rsidR="00BD3798">
        <w:rPr>
          <w:rFonts w:ascii="Times New Roman" w:hAnsi="Times New Roman"/>
          <w:i/>
          <w:iCs/>
          <w:szCs w:val="24"/>
        </w:rPr>
        <w:t xml:space="preserve"> as recommended by </w:t>
      </w:r>
      <w:r w:rsidR="00031345">
        <w:rPr>
          <w:rFonts w:ascii="Times New Roman" w:hAnsi="Times New Roman"/>
          <w:i/>
          <w:iCs/>
          <w:szCs w:val="24"/>
        </w:rPr>
        <w:t>DOD</w:t>
      </w:r>
      <w:r w:rsidR="00BD3798">
        <w:rPr>
          <w:rFonts w:ascii="Times New Roman" w:hAnsi="Times New Roman"/>
          <w:i/>
          <w:iCs/>
          <w:szCs w:val="24"/>
        </w:rPr>
        <w:t xml:space="preserve"> Witness Blank.</w:t>
      </w:r>
    </w:p>
    <w:bookmarkEnd w:id="14"/>
    <w:p w14:paraId="04B224E7" w14:textId="5428DE59" w:rsidR="00153435" w:rsidRPr="00153435" w:rsidRDefault="00D07CAC" w:rsidP="0032156E">
      <w:pPr>
        <w:widowControl/>
        <w:tabs>
          <w:tab w:val="left" w:pos="720"/>
        </w:tabs>
        <w:overflowPunct/>
        <w:autoSpaceDE/>
        <w:autoSpaceDN/>
        <w:adjustRightInd/>
        <w:spacing w:before="240" w:line="480" w:lineRule="auto"/>
        <w:jc w:val="both"/>
        <w:textAlignment w:val="auto"/>
        <w:rPr>
          <w:rFonts w:ascii="Times New Roman" w:hAnsi="Times New Roman"/>
          <w:iCs/>
          <w:szCs w:val="24"/>
        </w:rPr>
      </w:pPr>
      <w:r>
        <w:rPr>
          <w:rFonts w:ascii="Times New Roman" w:hAnsi="Times New Roman"/>
          <w:iCs/>
          <w:szCs w:val="24"/>
        </w:rPr>
        <w:lastRenderedPageBreak/>
        <w:tab/>
      </w:r>
      <w:r w:rsidR="007449B5">
        <w:rPr>
          <w:rFonts w:ascii="Times New Roman" w:hAnsi="Times New Roman"/>
          <w:iCs/>
          <w:szCs w:val="24"/>
        </w:rPr>
        <w:t>Witness</w:t>
      </w:r>
      <w:r w:rsidR="00153435" w:rsidRPr="00153435">
        <w:rPr>
          <w:rFonts w:ascii="Times New Roman" w:hAnsi="Times New Roman"/>
          <w:iCs/>
          <w:szCs w:val="24"/>
        </w:rPr>
        <w:t xml:space="preserve"> Blank recommends narrowing the ROE earnings band to +/- 50 basis points around the authorized ROE</w:t>
      </w:r>
      <w:r>
        <w:rPr>
          <w:rFonts w:ascii="Times New Roman" w:hAnsi="Times New Roman"/>
          <w:iCs/>
          <w:szCs w:val="24"/>
        </w:rPr>
        <w:t xml:space="preserve"> </w:t>
      </w:r>
      <w:r w:rsidR="00153435" w:rsidRPr="00153435">
        <w:rPr>
          <w:rFonts w:ascii="Times New Roman" w:hAnsi="Times New Roman"/>
          <w:iCs/>
          <w:szCs w:val="24"/>
        </w:rPr>
        <w:t xml:space="preserve">based on </w:t>
      </w:r>
      <w:r>
        <w:rPr>
          <w:rFonts w:ascii="Times New Roman" w:hAnsi="Times New Roman"/>
          <w:iCs/>
          <w:szCs w:val="24"/>
        </w:rPr>
        <w:t xml:space="preserve">the </w:t>
      </w:r>
      <w:r w:rsidR="00153435" w:rsidRPr="00153435">
        <w:rPr>
          <w:rFonts w:ascii="Times New Roman" w:hAnsi="Times New Roman"/>
          <w:iCs/>
          <w:szCs w:val="24"/>
        </w:rPr>
        <w:t xml:space="preserve">assumption that it would reduce the risk to the Company. </w:t>
      </w:r>
      <w:r w:rsidR="00F25780">
        <w:rPr>
          <w:rFonts w:ascii="Times New Roman" w:hAnsi="Times New Roman"/>
          <w:szCs w:val="24"/>
        </w:rPr>
        <w:t>(</w:t>
      </w:r>
      <w:r w:rsidR="006D6D49">
        <w:rPr>
          <w:rFonts w:ascii="Times New Roman" w:hAnsi="Times New Roman"/>
          <w:szCs w:val="24"/>
        </w:rPr>
        <w:t>Tr. 1015</w:t>
      </w:r>
      <w:r w:rsidR="00F25780">
        <w:rPr>
          <w:rFonts w:ascii="Times New Roman" w:hAnsi="Times New Roman"/>
          <w:szCs w:val="24"/>
        </w:rPr>
        <w:t xml:space="preserve">.) </w:t>
      </w:r>
      <w:r w:rsidR="006F076B">
        <w:rPr>
          <w:rFonts w:ascii="Times New Roman" w:hAnsi="Times New Roman"/>
          <w:iCs/>
          <w:szCs w:val="24"/>
        </w:rPr>
        <w:t>T</w:t>
      </w:r>
      <w:r w:rsidR="00F23F80">
        <w:rPr>
          <w:rFonts w:ascii="Times New Roman" w:hAnsi="Times New Roman"/>
          <w:iCs/>
          <w:szCs w:val="24"/>
        </w:rPr>
        <w:t>his assumption</w:t>
      </w:r>
      <w:r w:rsidR="006F076B">
        <w:rPr>
          <w:rFonts w:ascii="Times New Roman" w:hAnsi="Times New Roman"/>
          <w:iCs/>
          <w:szCs w:val="24"/>
        </w:rPr>
        <w:t>, however,</w:t>
      </w:r>
      <w:r w:rsidR="00153435" w:rsidRPr="00153435">
        <w:rPr>
          <w:rFonts w:ascii="Times New Roman" w:hAnsi="Times New Roman"/>
          <w:iCs/>
          <w:szCs w:val="24"/>
        </w:rPr>
        <w:t xml:space="preserve"> fails to recognize that by reducing the risk to the Company</w:t>
      </w:r>
      <w:r w:rsidR="006F076B">
        <w:rPr>
          <w:rFonts w:ascii="Times New Roman" w:hAnsi="Times New Roman"/>
          <w:iCs/>
          <w:szCs w:val="24"/>
        </w:rPr>
        <w:t xml:space="preserve"> it </w:t>
      </w:r>
      <w:r w:rsidR="00153435" w:rsidRPr="00153435">
        <w:rPr>
          <w:rFonts w:ascii="Times New Roman" w:hAnsi="Times New Roman"/>
          <w:iCs/>
          <w:szCs w:val="24"/>
        </w:rPr>
        <w:t>would necessarily increase the risk to customers</w:t>
      </w:r>
      <w:r w:rsidR="00F23F80">
        <w:rPr>
          <w:rFonts w:ascii="Times New Roman" w:hAnsi="Times New Roman"/>
          <w:iCs/>
          <w:szCs w:val="24"/>
        </w:rPr>
        <w:t xml:space="preserve">. </w:t>
      </w:r>
      <w:r w:rsidR="00F25780">
        <w:rPr>
          <w:rFonts w:ascii="Times New Roman" w:hAnsi="Times New Roman"/>
          <w:szCs w:val="24"/>
        </w:rPr>
        <w:t>(</w:t>
      </w:r>
      <w:r w:rsidR="006D6D49">
        <w:rPr>
          <w:rFonts w:ascii="Times New Roman" w:hAnsi="Times New Roman"/>
          <w:szCs w:val="24"/>
        </w:rPr>
        <w:t>Tr. 2636</w:t>
      </w:r>
      <w:r w:rsidR="00F25780">
        <w:rPr>
          <w:rFonts w:ascii="Times New Roman" w:hAnsi="Times New Roman"/>
          <w:szCs w:val="24"/>
        </w:rPr>
        <w:t xml:space="preserve">.) </w:t>
      </w:r>
      <w:r w:rsidR="00F23F80">
        <w:rPr>
          <w:rFonts w:ascii="Times New Roman" w:hAnsi="Times New Roman"/>
          <w:iCs/>
          <w:szCs w:val="24"/>
        </w:rPr>
        <w:t>Increasing the risk to customers</w:t>
      </w:r>
      <w:r w:rsidR="00153435" w:rsidRPr="00153435">
        <w:rPr>
          <w:rFonts w:ascii="Times New Roman" w:hAnsi="Times New Roman"/>
          <w:iCs/>
          <w:szCs w:val="24"/>
        </w:rPr>
        <w:t xml:space="preserve"> alter</w:t>
      </w:r>
      <w:r w:rsidR="00F23F80">
        <w:rPr>
          <w:rFonts w:ascii="Times New Roman" w:hAnsi="Times New Roman"/>
          <w:iCs/>
          <w:szCs w:val="24"/>
        </w:rPr>
        <w:t xml:space="preserve">s </w:t>
      </w:r>
      <w:r w:rsidR="00153435" w:rsidRPr="00153435">
        <w:rPr>
          <w:rFonts w:ascii="Times New Roman" w:hAnsi="Times New Roman"/>
          <w:iCs/>
          <w:szCs w:val="24"/>
        </w:rPr>
        <w:t>the fundamental nature of the ARPs that have been in place for the last 25 years.</w:t>
      </w:r>
      <w:r w:rsidR="00F23F80">
        <w:rPr>
          <w:rFonts w:ascii="Times New Roman" w:hAnsi="Times New Roman"/>
          <w:iCs/>
          <w:szCs w:val="24"/>
        </w:rPr>
        <w:t xml:space="preserve"> </w:t>
      </w:r>
      <w:r w:rsidR="006D6D49">
        <w:rPr>
          <w:rFonts w:ascii="Times New Roman" w:hAnsi="Times New Roman"/>
          <w:iCs/>
          <w:szCs w:val="24"/>
        </w:rPr>
        <w:t>(</w:t>
      </w:r>
      <w:r w:rsidR="006D6D49" w:rsidRPr="006D6D49">
        <w:rPr>
          <w:rFonts w:ascii="Times New Roman" w:hAnsi="Times New Roman"/>
          <w:i/>
          <w:iCs/>
          <w:szCs w:val="24"/>
        </w:rPr>
        <w:t>Id</w:t>
      </w:r>
      <w:r w:rsidR="006D6D49">
        <w:rPr>
          <w:rFonts w:ascii="Times New Roman" w:hAnsi="Times New Roman"/>
          <w:iCs/>
          <w:szCs w:val="24"/>
        </w:rPr>
        <w:t xml:space="preserve">.) </w:t>
      </w:r>
      <w:r w:rsidR="00F23F80">
        <w:rPr>
          <w:rFonts w:ascii="Times New Roman" w:hAnsi="Times New Roman"/>
          <w:iCs/>
          <w:szCs w:val="24"/>
        </w:rPr>
        <w:t xml:space="preserve">Georgia Power has proposed an earnings band approximately +/-100 basis points around the proposed ROE, consistent with </w:t>
      </w:r>
      <w:r w:rsidR="00B12BCB">
        <w:rPr>
          <w:rFonts w:ascii="Times New Roman" w:hAnsi="Times New Roman"/>
          <w:iCs/>
          <w:szCs w:val="24"/>
        </w:rPr>
        <w:t>the structure of the earnings bands previously approved by the Commission for the last several decades.</w:t>
      </w:r>
    </w:p>
    <w:p w14:paraId="06F7EA60" w14:textId="612DDB05" w:rsidR="00A35833" w:rsidRPr="00F23F80" w:rsidRDefault="00F23F80" w:rsidP="0032156E">
      <w:pPr>
        <w:widowControl/>
        <w:tabs>
          <w:tab w:val="left" w:pos="720"/>
        </w:tabs>
        <w:overflowPunct/>
        <w:autoSpaceDE/>
        <w:autoSpaceDN/>
        <w:adjustRightInd/>
        <w:spacing w:after="240"/>
        <w:ind w:left="2160" w:hanging="720"/>
        <w:jc w:val="both"/>
        <w:textAlignment w:val="auto"/>
        <w:rPr>
          <w:rFonts w:ascii="Times New Roman" w:hAnsi="Times New Roman"/>
          <w:i/>
          <w:iCs/>
          <w:szCs w:val="24"/>
        </w:rPr>
      </w:pPr>
      <w:bookmarkStart w:id="15" w:name="_Hlk26111538"/>
      <w:r>
        <w:rPr>
          <w:rFonts w:ascii="Times New Roman" w:hAnsi="Times New Roman"/>
          <w:i/>
          <w:iCs/>
          <w:szCs w:val="24"/>
        </w:rPr>
        <w:t>c</w:t>
      </w:r>
      <w:r w:rsidR="00533458">
        <w:rPr>
          <w:rFonts w:ascii="Times New Roman" w:hAnsi="Times New Roman"/>
          <w:i/>
          <w:iCs/>
          <w:szCs w:val="24"/>
        </w:rPr>
        <w:t>.</w:t>
      </w:r>
      <w:r w:rsidR="00533458">
        <w:rPr>
          <w:rFonts w:ascii="Times New Roman" w:hAnsi="Times New Roman"/>
          <w:i/>
          <w:iCs/>
          <w:szCs w:val="24"/>
        </w:rPr>
        <w:tab/>
      </w:r>
      <w:r w:rsidR="00651567">
        <w:rPr>
          <w:rFonts w:ascii="Times New Roman" w:hAnsi="Times New Roman"/>
          <w:i/>
          <w:iCs/>
          <w:szCs w:val="24"/>
        </w:rPr>
        <w:t>The</w:t>
      </w:r>
      <w:r w:rsidR="00A35833">
        <w:rPr>
          <w:rFonts w:ascii="Times New Roman" w:hAnsi="Times New Roman"/>
          <w:i/>
          <w:iCs/>
          <w:szCs w:val="24"/>
        </w:rPr>
        <w:t xml:space="preserve"> Company</w:t>
      </w:r>
      <w:r w:rsidR="006F6CB0">
        <w:rPr>
          <w:rFonts w:ascii="Times New Roman" w:hAnsi="Times New Roman"/>
          <w:i/>
          <w:iCs/>
          <w:szCs w:val="24"/>
        </w:rPr>
        <w:t>’</w:t>
      </w:r>
      <w:r w:rsidR="00A35833">
        <w:rPr>
          <w:rFonts w:ascii="Times New Roman" w:hAnsi="Times New Roman"/>
          <w:i/>
          <w:iCs/>
          <w:szCs w:val="24"/>
        </w:rPr>
        <w:t xml:space="preserve">s </w:t>
      </w:r>
      <w:r w:rsidR="00651567">
        <w:rPr>
          <w:rFonts w:ascii="Times New Roman" w:hAnsi="Times New Roman"/>
          <w:i/>
          <w:iCs/>
          <w:szCs w:val="24"/>
        </w:rPr>
        <w:t>r</w:t>
      </w:r>
      <w:r w:rsidR="00A35833">
        <w:rPr>
          <w:rFonts w:ascii="Times New Roman" w:hAnsi="Times New Roman"/>
          <w:i/>
          <w:iCs/>
          <w:szCs w:val="24"/>
        </w:rPr>
        <w:t xml:space="preserve">ecovery </w:t>
      </w:r>
      <w:r w:rsidR="00651567">
        <w:rPr>
          <w:rFonts w:ascii="Times New Roman" w:hAnsi="Times New Roman"/>
          <w:i/>
          <w:iCs/>
          <w:szCs w:val="24"/>
        </w:rPr>
        <w:t>b</w:t>
      </w:r>
      <w:r w:rsidR="00A35833">
        <w:rPr>
          <w:rFonts w:ascii="Times New Roman" w:hAnsi="Times New Roman"/>
          <w:i/>
          <w:iCs/>
          <w:szCs w:val="24"/>
        </w:rPr>
        <w:t xml:space="preserve">elow the </w:t>
      </w:r>
      <w:r w:rsidR="00651567">
        <w:rPr>
          <w:rFonts w:ascii="Times New Roman" w:hAnsi="Times New Roman"/>
          <w:i/>
          <w:iCs/>
          <w:szCs w:val="24"/>
        </w:rPr>
        <w:t>earnings band should not be limited</w:t>
      </w:r>
      <w:r w:rsidR="00A35833">
        <w:rPr>
          <w:rFonts w:ascii="Times New Roman" w:hAnsi="Times New Roman"/>
          <w:i/>
          <w:iCs/>
          <w:szCs w:val="24"/>
        </w:rPr>
        <w:t xml:space="preserve"> to </w:t>
      </w:r>
      <w:r w:rsidR="00A35833" w:rsidRPr="00F23F80">
        <w:rPr>
          <w:rFonts w:ascii="Times New Roman" w:hAnsi="Times New Roman"/>
          <w:i/>
          <w:iCs/>
          <w:szCs w:val="24"/>
        </w:rPr>
        <w:t xml:space="preserve">2/3 of the </w:t>
      </w:r>
      <w:r w:rsidR="00651567" w:rsidRPr="00F23F80">
        <w:rPr>
          <w:rFonts w:ascii="Times New Roman" w:hAnsi="Times New Roman"/>
          <w:i/>
          <w:iCs/>
          <w:szCs w:val="24"/>
        </w:rPr>
        <w:t>u</w:t>
      </w:r>
      <w:r w:rsidR="00A35833" w:rsidRPr="00F23F80">
        <w:rPr>
          <w:rFonts w:ascii="Times New Roman" w:hAnsi="Times New Roman"/>
          <w:i/>
          <w:iCs/>
          <w:szCs w:val="24"/>
        </w:rPr>
        <w:t xml:space="preserve">nder-recovered </w:t>
      </w:r>
      <w:r w:rsidR="00651567" w:rsidRPr="00F23F80">
        <w:rPr>
          <w:rFonts w:ascii="Times New Roman" w:hAnsi="Times New Roman"/>
          <w:i/>
          <w:iCs/>
          <w:szCs w:val="24"/>
        </w:rPr>
        <w:t>a</w:t>
      </w:r>
      <w:r w:rsidR="00A35833" w:rsidRPr="00F23F80">
        <w:rPr>
          <w:rFonts w:ascii="Times New Roman" w:hAnsi="Times New Roman"/>
          <w:i/>
          <w:iCs/>
          <w:szCs w:val="24"/>
        </w:rPr>
        <w:t>mount</w:t>
      </w:r>
      <w:r w:rsidR="00B12BCB">
        <w:rPr>
          <w:rFonts w:ascii="Times New Roman" w:hAnsi="Times New Roman"/>
          <w:i/>
          <w:iCs/>
          <w:szCs w:val="24"/>
        </w:rPr>
        <w:t xml:space="preserve"> as proposed by Commercial Group Witness Chriss</w:t>
      </w:r>
      <w:r w:rsidR="00A35833" w:rsidRPr="00F23F80">
        <w:rPr>
          <w:rFonts w:ascii="Times New Roman" w:hAnsi="Times New Roman"/>
          <w:i/>
          <w:iCs/>
          <w:szCs w:val="24"/>
        </w:rPr>
        <w:t>.</w:t>
      </w:r>
    </w:p>
    <w:bookmarkEnd w:id="15"/>
    <w:p w14:paraId="0FEAA819" w14:textId="3A9BD1AC" w:rsidR="00153435" w:rsidRPr="00153435" w:rsidRDefault="00EB715A" w:rsidP="006C2783">
      <w:pPr>
        <w:widowControl/>
        <w:tabs>
          <w:tab w:val="left" w:pos="720"/>
        </w:tabs>
        <w:overflowPunct/>
        <w:autoSpaceDE/>
        <w:autoSpaceDN/>
        <w:adjustRightInd/>
        <w:spacing w:before="240" w:line="480" w:lineRule="auto"/>
        <w:jc w:val="both"/>
        <w:textAlignment w:val="auto"/>
        <w:rPr>
          <w:rFonts w:ascii="Times New Roman" w:hAnsi="Times New Roman"/>
          <w:iCs/>
          <w:szCs w:val="24"/>
        </w:rPr>
      </w:pPr>
      <w:r>
        <w:rPr>
          <w:rFonts w:ascii="Times New Roman" w:hAnsi="Times New Roman"/>
          <w:iCs/>
          <w:szCs w:val="24"/>
        </w:rPr>
        <w:tab/>
      </w:r>
      <w:r w:rsidR="00153435" w:rsidRPr="00153435">
        <w:rPr>
          <w:rFonts w:ascii="Times New Roman" w:hAnsi="Times New Roman"/>
          <w:iCs/>
          <w:szCs w:val="24"/>
        </w:rPr>
        <w:t xml:space="preserve">One of the protections afforded by the </w:t>
      </w:r>
      <w:r w:rsidR="00AD6BF6">
        <w:rPr>
          <w:rFonts w:ascii="Times New Roman" w:hAnsi="Times New Roman"/>
          <w:iCs/>
          <w:szCs w:val="24"/>
        </w:rPr>
        <w:t>earnings band</w:t>
      </w:r>
      <w:r>
        <w:rPr>
          <w:rFonts w:ascii="Times New Roman" w:hAnsi="Times New Roman"/>
          <w:iCs/>
          <w:szCs w:val="24"/>
        </w:rPr>
        <w:t>,</w:t>
      </w:r>
      <w:r w:rsidR="00AD6BF6">
        <w:rPr>
          <w:rFonts w:ascii="Times New Roman" w:hAnsi="Times New Roman"/>
          <w:iCs/>
          <w:szCs w:val="24"/>
        </w:rPr>
        <w:t xml:space="preserve"> agreed to as part of an approved </w:t>
      </w:r>
      <w:r w:rsidR="00153435" w:rsidRPr="00153435">
        <w:rPr>
          <w:rFonts w:ascii="Times New Roman" w:hAnsi="Times New Roman"/>
          <w:iCs/>
          <w:szCs w:val="24"/>
        </w:rPr>
        <w:t>ARP</w:t>
      </w:r>
      <w:r w:rsidR="00AD6BF6">
        <w:rPr>
          <w:rFonts w:ascii="Times New Roman" w:hAnsi="Times New Roman"/>
          <w:iCs/>
          <w:szCs w:val="24"/>
        </w:rPr>
        <w:t>,</w:t>
      </w:r>
      <w:r w:rsidR="00153435" w:rsidRPr="00153435">
        <w:rPr>
          <w:rFonts w:ascii="Times New Roman" w:hAnsi="Times New Roman"/>
          <w:iCs/>
          <w:szCs w:val="24"/>
        </w:rPr>
        <w:t xml:space="preserve"> is the Company</w:t>
      </w:r>
      <w:r w:rsidR="006F6CB0">
        <w:rPr>
          <w:rFonts w:ascii="Times New Roman" w:hAnsi="Times New Roman"/>
          <w:iCs/>
          <w:szCs w:val="24"/>
        </w:rPr>
        <w:t>’</w:t>
      </w:r>
      <w:r w:rsidR="00153435" w:rsidRPr="00153435">
        <w:rPr>
          <w:rFonts w:ascii="Times New Roman" w:hAnsi="Times New Roman"/>
          <w:iCs/>
          <w:szCs w:val="24"/>
        </w:rPr>
        <w:t>s ability to apply for rate relief if earnings are projected to fall below the bottom of the band.</w:t>
      </w:r>
      <w:r>
        <w:rPr>
          <w:rFonts w:ascii="Times New Roman" w:hAnsi="Times New Roman"/>
          <w:iCs/>
          <w:szCs w:val="24"/>
        </w:rPr>
        <w:t xml:space="preserve"> As currently structured and proposed </w:t>
      </w:r>
      <w:r w:rsidR="002E1E15">
        <w:rPr>
          <w:rFonts w:ascii="Times New Roman" w:hAnsi="Times New Roman"/>
          <w:iCs/>
          <w:szCs w:val="24"/>
        </w:rPr>
        <w:t xml:space="preserve">by the Company </w:t>
      </w:r>
      <w:r>
        <w:rPr>
          <w:rFonts w:ascii="Times New Roman" w:hAnsi="Times New Roman"/>
          <w:iCs/>
          <w:szCs w:val="24"/>
        </w:rPr>
        <w:t>to be continued</w:t>
      </w:r>
      <w:r w:rsidR="002E1E15">
        <w:rPr>
          <w:rFonts w:ascii="Times New Roman" w:hAnsi="Times New Roman"/>
          <w:iCs/>
          <w:szCs w:val="24"/>
        </w:rPr>
        <w:t>,</w:t>
      </w:r>
      <w:r>
        <w:rPr>
          <w:rFonts w:ascii="Times New Roman" w:hAnsi="Times New Roman"/>
          <w:iCs/>
          <w:szCs w:val="24"/>
        </w:rPr>
        <w:t xml:space="preserve"> </w:t>
      </w:r>
      <w:r w:rsidR="002E1E15">
        <w:rPr>
          <w:rFonts w:ascii="Times New Roman" w:hAnsi="Times New Roman"/>
          <w:iCs/>
          <w:szCs w:val="24"/>
        </w:rPr>
        <w:t>if the Company</w:t>
      </w:r>
      <w:r w:rsidR="006F6CB0">
        <w:rPr>
          <w:rFonts w:ascii="Times New Roman" w:hAnsi="Times New Roman"/>
          <w:iCs/>
          <w:szCs w:val="24"/>
        </w:rPr>
        <w:t>’</w:t>
      </w:r>
      <w:r w:rsidR="002E1E15">
        <w:rPr>
          <w:rFonts w:ascii="Times New Roman" w:hAnsi="Times New Roman"/>
          <w:iCs/>
          <w:szCs w:val="24"/>
        </w:rPr>
        <w:t>s earnings are projected to be below the low end of the band, t</w:t>
      </w:r>
      <w:r>
        <w:rPr>
          <w:rFonts w:ascii="Times New Roman" w:hAnsi="Times New Roman"/>
          <w:iCs/>
          <w:szCs w:val="24"/>
        </w:rPr>
        <w:t>he ICR</w:t>
      </w:r>
      <w:r w:rsidR="00153435" w:rsidRPr="00153435">
        <w:rPr>
          <w:rFonts w:ascii="Times New Roman" w:hAnsi="Times New Roman"/>
          <w:iCs/>
          <w:szCs w:val="24"/>
        </w:rPr>
        <w:t xml:space="preserve"> mechanism allows the Company the opportunity to earn a full return on equity commensurate with the bottom of the ROE earnings range. </w:t>
      </w:r>
      <w:r w:rsidR="00F25780">
        <w:rPr>
          <w:rFonts w:ascii="Times New Roman" w:hAnsi="Times New Roman"/>
          <w:szCs w:val="24"/>
        </w:rPr>
        <w:t>(</w:t>
      </w:r>
      <w:r w:rsidR="006D6D49">
        <w:rPr>
          <w:rFonts w:ascii="Times New Roman" w:hAnsi="Times New Roman"/>
          <w:szCs w:val="24"/>
        </w:rPr>
        <w:t>Tr. 191</w:t>
      </w:r>
      <w:r w:rsidR="00F25780">
        <w:rPr>
          <w:rFonts w:ascii="Times New Roman" w:hAnsi="Times New Roman"/>
          <w:szCs w:val="24"/>
        </w:rPr>
        <w:t xml:space="preserve">.) </w:t>
      </w:r>
      <w:r w:rsidR="002E1E15">
        <w:rPr>
          <w:rFonts w:ascii="Times New Roman" w:hAnsi="Times New Roman"/>
          <w:iCs/>
          <w:szCs w:val="24"/>
        </w:rPr>
        <w:t>If</w:t>
      </w:r>
      <w:r w:rsidR="007449B5">
        <w:rPr>
          <w:rFonts w:ascii="Times New Roman" w:hAnsi="Times New Roman"/>
          <w:iCs/>
          <w:szCs w:val="24"/>
        </w:rPr>
        <w:t xml:space="preserve"> Witness</w:t>
      </w:r>
      <w:r w:rsidR="002E1E15">
        <w:rPr>
          <w:rFonts w:ascii="Times New Roman" w:hAnsi="Times New Roman"/>
          <w:iCs/>
          <w:szCs w:val="24"/>
        </w:rPr>
        <w:t xml:space="preserve"> Chriss</w:t>
      </w:r>
      <w:r w:rsidR="006F6CB0">
        <w:rPr>
          <w:rFonts w:ascii="Times New Roman" w:hAnsi="Times New Roman"/>
          <w:iCs/>
          <w:szCs w:val="24"/>
        </w:rPr>
        <w:t>’</w:t>
      </w:r>
      <w:r w:rsidR="002E1E15">
        <w:rPr>
          <w:rFonts w:ascii="Times New Roman" w:hAnsi="Times New Roman"/>
          <w:iCs/>
          <w:szCs w:val="24"/>
        </w:rPr>
        <w:t xml:space="preserve"> recommendations were adopted, the Company would only </w:t>
      </w:r>
      <w:r w:rsidR="00153435" w:rsidRPr="00153435">
        <w:rPr>
          <w:rFonts w:ascii="Times New Roman" w:hAnsi="Times New Roman"/>
          <w:iCs/>
          <w:szCs w:val="24"/>
        </w:rPr>
        <w:t>recover</w:t>
      </w:r>
      <w:r w:rsidR="002E1E15">
        <w:rPr>
          <w:rFonts w:ascii="Times New Roman" w:hAnsi="Times New Roman"/>
          <w:iCs/>
          <w:szCs w:val="24"/>
        </w:rPr>
        <w:t xml:space="preserve"> a portion of i</w:t>
      </w:r>
      <w:r w:rsidR="00050DC1">
        <w:rPr>
          <w:rFonts w:ascii="Times New Roman" w:hAnsi="Times New Roman"/>
          <w:iCs/>
          <w:szCs w:val="24"/>
        </w:rPr>
        <w:t>t</w:t>
      </w:r>
      <w:r w:rsidR="002E1E15">
        <w:rPr>
          <w:rFonts w:ascii="Times New Roman" w:hAnsi="Times New Roman"/>
          <w:iCs/>
          <w:szCs w:val="24"/>
        </w:rPr>
        <w:t xml:space="preserve">s under-recovered costs. </w:t>
      </w:r>
      <w:r w:rsidR="00F25780">
        <w:rPr>
          <w:rFonts w:ascii="Times New Roman" w:hAnsi="Times New Roman"/>
          <w:szCs w:val="24"/>
        </w:rPr>
        <w:t>(</w:t>
      </w:r>
      <w:r w:rsidR="00A00818">
        <w:rPr>
          <w:rFonts w:ascii="Times New Roman" w:hAnsi="Times New Roman"/>
          <w:szCs w:val="24"/>
        </w:rPr>
        <w:t>Tr. 1458</w:t>
      </w:r>
      <w:r w:rsidR="00F25780">
        <w:rPr>
          <w:rFonts w:ascii="Times New Roman" w:hAnsi="Times New Roman"/>
          <w:szCs w:val="24"/>
        </w:rPr>
        <w:t xml:space="preserve">.) </w:t>
      </w:r>
      <w:r w:rsidR="002E1E15">
        <w:rPr>
          <w:rFonts w:ascii="Times New Roman" w:hAnsi="Times New Roman"/>
          <w:iCs/>
          <w:szCs w:val="24"/>
        </w:rPr>
        <w:t>Altering the structure of the earnings band to limit the Company</w:t>
      </w:r>
      <w:r w:rsidR="006F6CB0">
        <w:rPr>
          <w:rFonts w:ascii="Times New Roman" w:hAnsi="Times New Roman"/>
          <w:iCs/>
          <w:szCs w:val="24"/>
        </w:rPr>
        <w:t>’</w:t>
      </w:r>
      <w:r w:rsidR="002E1E15">
        <w:rPr>
          <w:rFonts w:ascii="Times New Roman" w:hAnsi="Times New Roman"/>
          <w:iCs/>
          <w:szCs w:val="24"/>
        </w:rPr>
        <w:t>s potential</w:t>
      </w:r>
      <w:r w:rsidR="00153435" w:rsidRPr="00153435">
        <w:rPr>
          <w:rFonts w:ascii="Times New Roman" w:hAnsi="Times New Roman"/>
          <w:iCs/>
          <w:szCs w:val="24"/>
        </w:rPr>
        <w:t xml:space="preserve"> interim rate relief</w:t>
      </w:r>
      <w:r w:rsidR="00BF55DF">
        <w:rPr>
          <w:rFonts w:ascii="Times New Roman" w:hAnsi="Times New Roman"/>
          <w:iCs/>
          <w:szCs w:val="24"/>
        </w:rPr>
        <w:t xml:space="preserve"> </w:t>
      </w:r>
      <w:r w:rsidR="00153435" w:rsidRPr="00153435">
        <w:rPr>
          <w:rFonts w:ascii="Times New Roman" w:hAnsi="Times New Roman"/>
          <w:iCs/>
          <w:szCs w:val="24"/>
        </w:rPr>
        <w:t xml:space="preserve">could send a signal to </w:t>
      </w:r>
      <w:r>
        <w:rPr>
          <w:rFonts w:ascii="Times New Roman" w:hAnsi="Times New Roman"/>
          <w:iCs/>
          <w:szCs w:val="24"/>
        </w:rPr>
        <w:t xml:space="preserve">credit </w:t>
      </w:r>
      <w:r w:rsidR="00153435" w:rsidRPr="00153435">
        <w:rPr>
          <w:rFonts w:ascii="Times New Roman" w:hAnsi="Times New Roman"/>
          <w:iCs/>
          <w:szCs w:val="24"/>
        </w:rPr>
        <w:t>rating agencies and investors that the long-standing constructive regulatory environment in Georgia has been compromised. This recognition could worsen the qualitative factors that rating agencies use when assessing the Company</w:t>
      </w:r>
      <w:r w:rsidR="006F6CB0">
        <w:rPr>
          <w:rFonts w:ascii="Times New Roman" w:hAnsi="Times New Roman"/>
          <w:iCs/>
          <w:szCs w:val="24"/>
        </w:rPr>
        <w:t>’</w:t>
      </w:r>
      <w:r w:rsidR="00153435" w:rsidRPr="00153435">
        <w:rPr>
          <w:rFonts w:ascii="Times New Roman" w:hAnsi="Times New Roman"/>
          <w:iCs/>
          <w:szCs w:val="24"/>
        </w:rPr>
        <w:t>s credit quality, which ultimately has a negative impact on customers.</w:t>
      </w:r>
    </w:p>
    <w:p w14:paraId="22DF3D39" w14:textId="2DD71A3C" w:rsidR="00186C1F" w:rsidRDefault="0032156E" w:rsidP="00F67047">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16" w:name="_Hlk26111563"/>
      <w:r>
        <w:rPr>
          <w:rFonts w:ascii="Times New Roman" w:hAnsi="Times New Roman"/>
          <w:szCs w:val="24"/>
        </w:rPr>
        <w:lastRenderedPageBreak/>
        <w:t>3</w:t>
      </w:r>
      <w:r w:rsidR="00533458" w:rsidRPr="000155A0">
        <w:rPr>
          <w:rFonts w:ascii="Times New Roman" w:hAnsi="Times New Roman"/>
          <w:szCs w:val="24"/>
        </w:rPr>
        <w:t>.</w:t>
      </w:r>
      <w:r w:rsidR="00533458" w:rsidRPr="000155A0">
        <w:rPr>
          <w:rFonts w:ascii="Times New Roman" w:hAnsi="Times New Roman"/>
          <w:szCs w:val="24"/>
        </w:rPr>
        <w:tab/>
      </w:r>
      <w:r w:rsidR="00186C1F" w:rsidRPr="006C2783">
        <w:rPr>
          <w:rFonts w:ascii="Times New Roman" w:hAnsi="Times New Roman"/>
          <w:szCs w:val="24"/>
          <w:u w:val="single"/>
        </w:rPr>
        <w:t>Customers benefit from the Commission</w:t>
      </w:r>
      <w:r w:rsidR="006F6CB0">
        <w:rPr>
          <w:rFonts w:ascii="Times New Roman" w:hAnsi="Times New Roman"/>
          <w:szCs w:val="24"/>
          <w:u w:val="single"/>
        </w:rPr>
        <w:t>’</w:t>
      </w:r>
      <w:r w:rsidR="00186C1F" w:rsidRPr="006C2783">
        <w:rPr>
          <w:rFonts w:ascii="Times New Roman" w:hAnsi="Times New Roman"/>
          <w:szCs w:val="24"/>
          <w:u w:val="single"/>
        </w:rPr>
        <w:t xml:space="preserve">s adoption of an </w:t>
      </w:r>
      <w:r w:rsidR="007449B5">
        <w:rPr>
          <w:rFonts w:ascii="Times New Roman" w:hAnsi="Times New Roman"/>
          <w:szCs w:val="24"/>
          <w:u w:val="single"/>
        </w:rPr>
        <w:t>ARP</w:t>
      </w:r>
      <w:r w:rsidR="0071275A" w:rsidRPr="000155A0">
        <w:rPr>
          <w:rFonts w:ascii="Times New Roman" w:hAnsi="Times New Roman"/>
          <w:szCs w:val="24"/>
        </w:rPr>
        <w:t>.</w:t>
      </w:r>
    </w:p>
    <w:bookmarkEnd w:id="16"/>
    <w:p w14:paraId="2DDF0B39" w14:textId="6ACBC7BC" w:rsidR="006F420B" w:rsidRPr="0048458F" w:rsidRDefault="0071275A" w:rsidP="004D79CA">
      <w:pPr>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00C04FA6">
        <w:rPr>
          <w:rFonts w:ascii="Times New Roman" w:hAnsi="Times New Roman"/>
          <w:szCs w:val="24"/>
        </w:rPr>
        <w:t>As a result of the ARP currently in place, t</w:t>
      </w:r>
      <w:r w:rsidR="006F420B" w:rsidRPr="006F420B">
        <w:rPr>
          <w:rFonts w:ascii="Times New Roman" w:hAnsi="Times New Roman"/>
          <w:szCs w:val="24"/>
        </w:rPr>
        <w:t xml:space="preserve">he Company returned approximately $160 million to customers </w:t>
      </w:r>
      <w:r w:rsidR="00C04FA6">
        <w:rPr>
          <w:rFonts w:ascii="Times New Roman" w:hAnsi="Times New Roman"/>
          <w:szCs w:val="24"/>
        </w:rPr>
        <w:t>through the earnings</w:t>
      </w:r>
      <w:r w:rsidR="006F420B" w:rsidRPr="006F420B">
        <w:rPr>
          <w:rFonts w:ascii="Times New Roman" w:hAnsi="Times New Roman"/>
          <w:szCs w:val="24"/>
        </w:rPr>
        <w:t xml:space="preserve"> sharing arrangement approved by the Commission in the 2013 base rate case</w:t>
      </w:r>
      <w:r w:rsidR="00C04FA6" w:rsidRPr="006F420B">
        <w:rPr>
          <w:rFonts w:ascii="Times New Roman" w:hAnsi="Times New Roman"/>
          <w:szCs w:val="24"/>
        </w:rPr>
        <w:t xml:space="preserve"> without jeopardizing superior customer satisfaction or reliability. </w:t>
      </w:r>
      <w:r w:rsidR="008A57BE">
        <w:rPr>
          <w:rFonts w:ascii="Times New Roman" w:hAnsi="Times New Roman"/>
          <w:szCs w:val="24"/>
        </w:rPr>
        <w:t>(</w:t>
      </w:r>
      <w:r w:rsidR="00A00818">
        <w:rPr>
          <w:rFonts w:ascii="Times New Roman" w:hAnsi="Times New Roman"/>
          <w:szCs w:val="24"/>
        </w:rPr>
        <w:t>Tr. 16, 2635</w:t>
      </w:r>
      <w:r w:rsidR="008A57BE">
        <w:rPr>
          <w:rFonts w:ascii="Times New Roman" w:hAnsi="Times New Roman"/>
          <w:szCs w:val="24"/>
        </w:rPr>
        <w:t xml:space="preserve">.) </w:t>
      </w:r>
      <w:r w:rsidR="00C04FA6">
        <w:rPr>
          <w:rFonts w:ascii="Times New Roman" w:hAnsi="Times New Roman"/>
          <w:szCs w:val="24"/>
        </w:rPr>
        <w:t xml:space="preserve">In the absence of an ARP, there would be no earnings sharing mechanism or incentive for the Company to share earnings with </w:t>
      </w:r>
      <w:r w:rsidR="007E21BC">
        <w:rPr>
          <w:rFonts w:ascii="Times New Roman" w:hAnsi="Times New Roman"/>
          <w:szCs w:val="24"/>
        </w:rPr>
        <w:t>c</w:t>
      </w:r>
      <w:r w:rsidR="00C04FA6">
        <w:rPr>
          <w:rFonts w:ascii="Times New Roman" w:hAnsi="Times New Roman"/>
          <w:szCs w:val="24"/>
        </w:rPr>
        <w:t xml:space="preserve">ustomers. </w:t>
      </w:r>
      <w:r w:rsidR="008A57BE">
        <w:rPr>
          <w:rFonts w:ascii="Times New Roman" w:hAnsi="Times New Roman"/>
          <w:szCs w:val="24"/>
        </w:rPr>
        <w:t>(</w:t>
      </w:r>
      <w:r w:rsidR="004B5F59">
        <w:rPr>
          <w:rFonts w:ascii="Times New Roman" w:hAnsi="Times New Roman"/>
          <w:i/>
          <w:szCs w:val="24"/>
        </w:rPr>
        <w:t xml:space="preserve">See </w:t>
      </w:r>
      <w:r w:rsidR="004B5F59">
        <w:rPr>
          <w:rFonts w:ascii="Times New Roman" w:hAnsi="Times New Roman"/>
          <w:szCs w:val="24"/>
        </w:rPr>
        <w:t>Tr. 2631, 2635</w:t>
      </w:r>
      <w:r w:rsidR="008A57BE">
        <w:rPr>
          <w:rFonts w:ascii="Times New Roman" w:hAnsi="Times New Roman"/>
          <w:szCs w:val="24"/>
        </w:rPr>
        <w:t xml:space="preserve">.) </w:t>
      </w:r>
      <w:r w:rsidR="006F420B" w:rsidRPr="006F420B">
        <w:rPr>
          <w:rFonts w:ascii="Times New Roman" w:hAnsi="Times New Roman"/>
          <w:szCs w:val="24"/>
        </w:rPr>
        <w:t xml:space="preserve">In addition, </w:t>
      </w:r>
      <w:r w:rsidR="007E21BC">
        <w:rPr>
          <w:rFonts w:ascii="Times New Roman" w:hAnsi="Times New Roman"/>
          <w:szCs w:val="24"/>
        </w:rPr>
        <w:t xml:space="preserve">under the ARP, </w:t>
      </w:r>
      <w:r w:rsidR="006F420B" w:rsidRPr="006F420B">
        <w:rPr>
          <w:rFonts w:ascii="Times New Roman" w:hAnsi="Times New Roman"/>
          <w:szCs w:val="24"/>
        </w:rPr>
        <w:t>the amount customers pay through rates does not change when the Company</w:t>
      </w:r>
      <w:r w:rsidR="006F6CB0">
        <w:rPr>
          <w:rFonts w:ascii="Times New Roman" w:hAnsi="Times New Roman"/>
          <w:szCs w:val="24"/>
        </w:rPr>
        <w:t>’</w:t>
      </w:r>
      <w:r w:rsidR="006F420B" w:rsidRPr="006F420B">
        <w:rPr>
          <w:rFonts w:ascii="Times New Roman" w:hAnsi="Times New Roman"/>
          <w:szCs w:val="24"/>
        </w:rPr>
        <w:t>s earnings are within</w:t>
      </w:r>
      <w:r w:rsidR="00F30913">
        <w:rPr>
          <w:rFonts w:ascii="Times New Roman" w:hAnsi="Times New Roman"/>
          <w:szCs w:val="24"/>
        </w:rPr>
        <w:t>, or exceed,</w:t>
      </w:r>
      <w:r w:rsidR="006F420B" w:rsidRPr="006F420B">
        <w:rPr>
          <w:rFonts w:ascii="Times New Roman" w:hAnsi="Times New Roman"/>
          <w:szCs w:val="24"/>
        </w:rPr>
        <w:t xml:space="preserve"> the band because rates are </w:t>
      </w:r>
      <w:r w:rsidR="00C5709F">
        <w:rPr>
          <w:rFonts w:ascii="Times New Roman" w:hAnsi="Times New Roman"/>
          <w:szCs w:val="24"/>
        </w:rPr>
        <w:t>established at the</w:t>
      </w:r>
      <w:r w:rsidR="006F420B" w:rsidRPr="006F420B">
        <w:rPr>
          <w:rFonts w:ascii="Times New Roman" w:hAnsi="Times New Roman"/>
          <w:szCs w:val="24"/>
        </w:rPr>
        <w:t xml:space="preserve"> ROE set point. </w:t>
      </w:r>
      <w:r w:rsidR="008A57BE">
        <w:rPr>
          <w:rFonts w:ascii="Times New Roman" w:hAnsi="Times New Roman"/>
          <w:szCs w:val="24"/>
        </w:rPr>
        <w:t>(</w:t>
      </w:r>
      <w:r w:rsidR="008D2229">
        <w:rPr>
          <w:rFonts w:ascii="Times New Roman" w:hAnsi="Times New Roman"/>
          <w:szCs w:val="24"/>
        </w:rPr>
        <w:t>Tr. 2635</w:t>
      </w:r>
      <w:r w:rsidR="008A57BE">
        <w:rPr>
          <w:rFonts w:ascii="Times New Roman" w:hAnsi="Times New Roman"/>
          <w:szCs w:val="24"/>
        </w:rPr>
        <w:t xml:space="preserve">.) </w:t>
      </w:r>
      <w:r w:rsidR="006F420B" w:rsidRPr="006F420B">
        <w:rPr>
          <w:rFonts w:ascii="Times New Roman" w:hAnsi="Times New Roman"/>
          <w:szCs w:val="24"/>
        </w:rPr>
        <w:t>As previously mentioned, the sharing mechanism is a critical component of the ARP and appropriately encourages the Company to look for efficiencies and process improvements</w:t>
      </w:r>
      <w:r w:rsidR="000155A0">
        <w:rPr>
          <w:rFonts w:ascii="Times New Roman" w:hAnsi="Times New Roman"/>
          <w:szCs w:val="24"/>
        </w:rPr>
        <w:t xml:space="preserve">. </w:t>
      </w:r>
      <w:r w:rsidR="008D2229">
        <w:rPr>
          <w:rFonts w:ascii="Times New Roman" w:hAnsi="Times New Roman"/>
          <w:szCs w:val="24"/>
        </w:rPr>
        <w:t>(</w:t>
      </w:r>
      <w:r w:rsidR="004012B4">
        <w:rPr>
          <w:rFonts w:ascii="Times New Roman" w:hAnsi="Times New Roman"/>
          <w:szCs w:val="24"/>
        </w:rPr>
        <w:t>Tr. 2802</w:t>
      </w:r>
      <w:r w:rsidR="008D2229">
        <w:rPr>
          <w:rFonts w:ascii="Times New Roman" w:hAnsi="Times New Roman"/>
          <w:szCs w:val="24"/>
        </w:rPr>
        <w:t xml:space="preserve">.) </w:t>
      </w:r>
      <w:r w:rsidR="000155A0">
        <w:rPr>
          <w:rFonts w:ascii="Times New Roman" w:hAnsi="Times New Roman"/>
          <w:szCs w:val="24"/>
        </w:rPr>
        <w:t xml:space="preserve">This incentive </w:t>
      </w:r>
      <w:r w:rsidR="00C5709F">
        <w:rPr>
          <w:rFonts w:ascii="Times New Roman" w:hAnsi="Times New Roman"/>
          <w:szCs w:val="24"/>
        </w:rPr>
        <w:t>provides the opportunity for increased</w:t>
      </w:r>
      <w:r w:rsidR="006F420B" w:rsidRPr="006F420B">
        <w:rPr>
          <w:rFonts w:ascii="Times New Roman" w:hAnsi="Times New Roman"/>
          <w:szCs w:val="24"/>
        </w:rPr>
        <w:t xml:space="preserve"> earnings that benefit both customers and the </w:t>
      </w:r>
      <w:r w:rsidR="006F420B" w:rsidRPr="0048458F">
        <w:rPr>
          <w:rFonts w:ascii="Times New Roman" w:hAnsi="Times New Roman"/>
          <w:szCs w:val="24"/>
        </w:rPr>
        <w:t>Company.</w:t>
      </w:r>
    </w:p>
    <w:p w14:paraId="693C77E4" w14:textId="5C1B16F6" w:rsidR="00186C1F" w:rsidRPr="00186C1F" w:rsidRDefault="00533458" w:rsidP="00F67047">
      <w:pPr>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17" w:name="_Hlk26111604"/>
      <w:r w:rsidRPr="0048458F">
        <w:rPr>
          <w:rFonts w:ascii="Times New Roman" w:hAnsi="Times New Roman"/>
          <w:b/>
          <w:szCs w:val="24"/>
        </w:rPr>
        <w:t>D.</w:t>
      </w:r>
      <w:r w:rsidRPr="0048458F">
        <w:rPr>
          <w:rFonts w:ascii="Times New Roman" w:hAnsi="Times New Roman"/>
          <w:b/>
          <w:szCs w:val="24"/>
        </w:rPr>
        <w:tab/>
      </w:r>
      <w:r w:rsidR="00876E21" w:rsidRPr="0048458F">
        <w:rPr>
          <w:rFonts w:ascii="Times New Roman" w:hAnsi="Times New Roman"/>
          <w:b/>
          <w:szCs w:val="24"/>
        </w:rPr>
        <w:t xml:space="preserve">The Commission </w:t>
      </w:r>
      <w:r w:rsidR="00A414AB">
        <w:rPr>
          <w:rFonts w:ascii="Times New Roman" w:hAnsi="Times New Roman"/>
          <w:b/>
          <w:szCs w:val="24"/>
        </w:rPr>
        <w:t>Should R</w:t>
      </w:r>
      <w:r w:rsidR="00876E21" w:rsidRPr="0048458F">
        <w:rPr>
          <w:rFonts w:ascii="Times New Roman" w:hAnsi="Times New Roman"/>
          <w:b/>
          <w:szCs w:val="24"/>
        </w:rPr>
        <w:t xml:space="preserve">eject PIA Staff and Intervenor Recommendations </w:t>
      </w:r>
      <w:r w:rsidR="00A01C88" w:rsidRPr="0048458F">
        <w:rPr>
          <w:rFonts w:ascii="Times New Roman" w:hAnsi="Times New Roman"/>
          <w:b/>
          <w:szCs w:val="24"/>
        </w:rPr>
        <w:t>Limiting the Company</w:t>
      </w:r>
      <w:r w:rsidR="006F6CB0">
        <w:rPr>
          <w:rFonts w:ascii="Times New Roman" w:hAnsi="Times New Roman"/>
          <w:b/>
          <w:szCs w:val="24"/>
        </w:rPr>
        <w:t>’</w:t>
      </w:r>
      <w:r w:rsidR="00A01C88" w:rsidRPr="0048458F">
        <w:rPr>
          <w:rFonts w:ascii="Times New Roman" w:hAnsi="Times New Roman"/>
          <w:b/>
          <w:szCs w:val="24"/>
        </w:rPr>
        <w:t xml:space="preserve">s Ability to Fully Recover and </w:t>
      </w:r>
      <w:r w:rsidR="00A414AB">
        <w:rPr>
          <w:rFonts w:ascii="Times New Roman" w:hAnsi="Times New Roman"/>
          <w:b/>
          <w:szCs w:val="24"/>
        </w:rPr>
        <w:t>E</w:t>
      </w:r>
      <w:r w:rsidR="00A414AB" w:rsidRPr="0048458F">
        <w:rPr>
          <w:rFonts w:ascii="Times New Roman" w:hAnsi="Times New Roman"/>
          <w:b/>
          <w:szCs w:val="24"/>
        </w:rPr>
        <w:t xml:space="preserve">arn </w:t>
      </w:r>
      <w:r w:rsidR="00A01C88" w:rsidRPr="0048458F">
        <w:rPr>
          <w:rFonts w:ascii="Times New Roman" w:hAnsi="Times New Roman"/>
          <w:b/>
          <w:szCs w:val="24"/>
        </w:rPr>
        <w:t>a Return on Prudently Incurred CCR ARO Compliance Costs and Removing Contingency from the Company</w:t>
      </w:r>
      <w:r w:rsidR="006F6CB0">
        <w:rPr>
          <w:rFonts w:ascii="Times New Roman" w:hAnsi="Times New Roman"/>
          <w:b/>
          <w:szCs w:val="24"/>
        </w:rPr>
        <w:t>’</w:t>
      </w:r>
      <w:r w:rsidR="00A01C88" w:rsidRPr="0048458F">
        <w:rPr>
          <w:rFonts w:ascii="Times New Roman" w:hAnsi="Times New Roman"/>
          <w:b/>
          <w:szCs w:val="24"/>
        </w:rPr>
        <w:t xml:space="preserve">s CCR ARO and ECCR </w:t>
      </w:r>
      <w:r w:rsidR="00A414AB">
        <w:rPr>
          <w:rFonts w:ascii="Times New Roman" w:hAnsi="Times New Roman"/>
          <w:b/>
          <w:szCs w:val="24"/>
        </w:rPr>
        <w:t>E</w:t>
      </w:r>
      <w:r w:rsidR="00A414AB" w:rsidRPr="0048458F">
        <w:rPr>
          <w:rFonts w:ascii="Times New Roman" w:hAnsi="Times New Roman"/>
          <w:b/>
          <w:szCs w:val="24"/>
        </w:rPr>
        <w:t>stimates</w:t>
      </w:r>
      <w:r w:rsidR="00A01C88" w:rsidRPr="0048458F">
        <w:rPr>
          <w:rFonts w:ascii="Times New Roman" w:hAnsi="Times New Roman"/>
          <w:b/>
          <w:szCs w:val="24"/>
        </w:rPr>
        <w:t>.</w:t>
      </w:r>
    </w:p>
    <w:p w14:paraId="4965038D" w14:textId="05C81627" w:rsidR="00AF7524" w:rsidRDefault="00533458" w:rsidP="00F67047">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r>
        <w:rPr>
          <w:rFonts w:ascii="Times New Roman" w:hAnsi="Times New Roman"/>
          <w:szCs w:val="24"/>
        </w:rPr>
        <w:t>1.</w:t>
      </w:r>
      <w:r>
        <w:rPr>
          <w:rFonts w:ascii="Times New Roman" w:hAnsi="Times New Roman"/>
          <w:szCs w:val="24"/>
        </w:rPr>
        <w:tab/>
      </w:r>
      <w:r w:rsidR="00596BFE" w:rsidRPr="003B2E09">
        <w:rPr>
          <w:rFonts w:ascii="Times New Roman" w:hAnsi="Times New Roman"/>
          <w:szCs w:val="24"/>
          <w:u w:val="single"/>
        </w:rPr>
        <w:t>The Commission should adopt the Company’s proposed recovery plan for CCR ARO compliance costs</w:t>
      </w:r>
      <w:r w:rsidR="00596BFE">
        <w:rPr>
          <w:rFonts w:ascii="Times New Roman" w:hAnsi="Times New Roman"/>
          <w:szCs w:val="24"/>
        </w:rPr>
        <w:t>.</w:t>
      </w:r>
    </w:p>
    <w:bookmarkEnd w:id="17"/>
    <w:p w14:paraId="6806872B" w14:textId="06C782D6" w:rsidR="0038237B" w:rsidRDefault="0038237B" w:rsidP="003B2E09">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Pr="0038237B">
        <w:rPr>
          <w:rFonts w:ascii="Times New Roman" w:hAnsi="Times New Roman"/>
          <w:szCs w:val="24"/>
        </w:rPr>
        <w:t xml:space="preserve">The Company currently recovers all ARO costs based on the annual accrual approved in the 2013 Rate Case Order. </w:t>
      </w:r>
      <w:r w:rsidR="008A57BE">
        <w:rPr>
          <w:rFonts w:ascii="Times New Roman" w:hAnsi="Times New Roman"/>
          <w:szCs w:val="24"/>
        </w:rPr>
        <w:t>(</w:t>
      </w:r>
      <w:r w:rsidR="004012B4">
        <w:rPr>
          <w:rFonts w:ascii="Times New Roman" w:hAnsi="Times New Roman"/>
          <w:szCs w:val="24"/>
        </w:rPr>
        <w:t>Tr. 196</w:t>
      </w:r>
      <w:r w:rsidR="008A57BE">
        <w:rPr>
          <w:rFonts w:ascii="Times New Roman" w:hAnsi="Times New Roman"/>
          <w:szCs w:val="24"/>
        </w:rPr>
        <w:t xml:space="preserve">.) </w:t>
      </w:r>
      <w:r w:rsidRPr="0038237B">
        <w:rPr>
          <w:rFonts w:ascii="Times New Roman" w:hAnsi="Times New Roman"/>
          <w:szCs w:val="24"/>
        </w:rPr>
        <w:t xml:space="preserve">Similar to plant removal and dismantlement, ARO costs were designed to be recovered over the life of the related asset and prior to the expected date of the ARO settlements, which were generally expected to occur at the end of life of the asset. The accrued recovery of the ARO costs and actual settlements </w:t>
      </w:r>
      <w:r w:rsidR="007F4277">
        <w:rPr>
          <w:rFonts w:ascii="Times New Roman" w:hAnsi="Times New Roman"/>
          <w:szCs w:val="24"/>
        </w:rPr>
        <w:t xml:space="preserve">are </w:t>
      </w:r>
      <w:r w:rsidRPr="0038237B">
        <w:rPr>
          <w:rFonts w:ascii="Times New Roman" w:hAnsi="Times New Roman"/>
          <w:szCs w:val="24"/>
        </w:rPr>
        <w:t xml:space="preserve">offset and any resulting under- or over-recovery </w:t>
      </w:r>
      <w:r w:rsidR="00050DC1">
        <w:rPr>
          <w:rFonts w:ascii="Times New Roman" w:hAnsi="Times New Roman"/>
          <w:szCs w:val="24"/>
        </w:rPr>
        <w:t>has been</w:t>
      </w:r>
      <w:r w:rsidR="00050DC1" w:rsidRPr="0038237B">
        <w:rPr>
          <w:rFonts w:ascii="Times New Roman" w:hAnsi="Times New Roman"/>
          <w:szCs w:val="24"/>
        </w:rPr>
        <w:t xml:space="preserve"> </w:t>
      </w:r>
      <w:r w:rsidRPr="0038237B">
        <w:rPr>
          <w:rFonts w:ascii="Times New Roman" w:hAnsi="Times New Roman"/>
          <w:szCs w:val="24"/>
        </w:rPr>
        <w:t xml:space="preserve">reflected in a net regulatory liability account included in retail rate base. Except </w:t>
      </w:r>
      <w:r w:rsidRPr="0038237B">
        <w:rPr>
          <w:rFonts w:ascii="Times New Roman" w:hAnsi="Times New Roman"/>
          <w:szCs w:val="24"/>
        </w:rPr>
        <w:lastRenderedPageBreak/>
        <w:t xml:space="preserve">for costs associated with </w:t>
      </w:r>
      <w:r w:rsidR="00437B26">
        <w:rPr>
          <w:rFonts w:ascii="Times New Roman" w:hAnsi="Times New Roman"/>
          <w:szCs w:val="24"/>
        </w:rPr>
        <w:t xml:space="preserve">closing </w:t>
      </w:r>
      <w:r w:rsidRPr="0038237B">
        <w:rPr>
          <w:rFonts w:ascii="Times New Roman" w:hAnsi="Times New Roman"/>
          <w:szCs w:val="24"/>
        </w:rPr>
        <w:t>ash ponds and certain landfills for CCR compliance, Georgia Power proposes to continue following this methodology of accruing for ARO costs over the life of the related asset.</w:t>
      </w:r>
      <w:r w:rsidR="00AF07F8" w:rsidRPr="00AF07F8">
        <w:rPr>
          <w:rFonts w:ascii="Times New Roman" w:hAnsi="Times New Roman"/>
          <w:szCs w:val="24"/>
        </w:rPr>
        <w:t xml:space="preserve"> </w:t>
      </w:r>
      <w:r w:rsidR="008A57BE">
        <w:rPr>
          <w:rFonts w:ascii="Times New Roman" w:hAnsi="Times New Roman"/>
          <w:szCs w:val="24"/>
        </w:rPr>
        <w:t>(</w:t>
      </w:r>
      <w:r w:rsidR="00FE7926" w:rsidRPr="00FE7926">
        <w:rPr>
          <w:rFonts w:ascii="Times New Roman" w:hAnsi="Times New Roman"/>
          <w:i/>
          <w:szCs w:val="24"/>
        </w:rPr>
        <w:t>Id</w:t>
      </w:r>
      <w:r w:rsidR="008A57BE">
        <w:rPr>
          <w:rFonts w:ascii="Times New Roman" w:hAnsi="Times New Roman"/>
          <w:szCs w:val="24"/>
        </w:rPr>
        <w:t xml:space="preserve">.) </w:t>
      </w:r>
      <w:r w:rsidR="00AF07F8" w:rsidRPr="0038237B">
        <w:rPr>
          <w:rFonts w:ascii="Times New Roman" w:hAnsi="Times New Roman"/>
          <w:szCs w:val="24"/>
        </w:rPr>
        <w:t xml:space="preserve">To address </w:t>
      </w:r>
      <w:r w:rsidR="00AF07F8">
        <w:rPr>
          <w:rFonts w:ascii="Times New Roman" w:hAnsi="Times New Roman"/>
          <w:szCs w:val="24"/>
        </w:rPr>
        <w:t>the</w:t>
      </w:r>
      <w:r w:rsidR="00AF07F8" w:rsidRPr="0038237B">
        <w:rPr>
          <w:rFonts w:ascii="Times New Roman" w:hAnsi="Times New Roman"/>
          <w:szCs w:val="24"/>
        </w:rPr>
        <w:t xml:space="preserve"> under-recovery</w:t>
      </w:r>
      <w:r w:rsidR="00AF07F8">
        <w:rPr>
          <w:rFonts w:ascii="Times New Roman" w:hAnsi="Times New Roman"/>
          <w:szCs w:val="24"/>
        </w:rPr>
        <w:t xml:space="preserve"> of the ARO regulatory balance related to CCR AROs</w:t>
      </w:r>
      <w:r w:rsidR="00AF07F8" w:rsidRPr="0038237B">
        <w:rPr>
          <w:rFonts w:ascii="Times New Roman" w:hAnsi="Times New Roman"/>
          <w:szCs w:val="24"/>
        </w:rPr>
        <w:t>, the Company proposes to recover the</w:t>
      </w:r>
      <w:r w:rsidR="00664004">
        <w:rPr>
          <w:rFonts w:ascii="Times New Roman" w:hAnsi="Times New Roman"/>
          <w:szCs w:val="24"/>
        </w:rPr>
        <w:t xml:space="preserve"> projected</w:t>
      </w:r>
      <w:r w:rsidR="00AF07F8" w:rsidRPr="0038237B">
        <w:rPr>
          <w:rFonts w:ascii="Times New Roman" w:hAnsi="Times New Roman"/>
          <w:szCs w:val="24"/>
        </w:rPr>
        <w:t xml:space="preserve"> balance as of December 31, 2019 ratably over the three-year period ending December 31, 2022.</w:t>
      </w:r>
      <w:r w:rsidR="008A57BE">
        <w:rPr>
          <w:rFonts w:ascii="Times New Roman" w:hAnsi="Times New Roman"/>
          <w:szCs w:val="24"/>
        </w:rPr>
        <w:t xml:space="preserve"> (</w:t>
      </w:r>
      <w:r w:rsidR="00FE7926">
        <w:rPr>
          <w:rFonts w:ascii="Times New Roman" w:hAnsi="Times New Roman"/>
          <w:szCs w:val="24"/>
        </w:rPr>
        <w:t>Tr. 197</w:t>
      </w:r>
      <w:r w:rsidR="008A57BE">
        <w:rPr>
          <w:rFonts w:ascii="Times New Roman" w:hAnsi="Times New Roman"/>
          <w:szCs w:val="24"/>
        </w:rPr>
        <w:t>.)</w:t>
      </w:r>
    </w:p>
    <w:p w14:paraId="2F34BF6D" w14:textId="3D43E159" w:rsidR="002958EC" w:rsidRDefault="00AF07F8" w:rsidP="003B2E09">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38237B" w:rsidRPr="0038237B">
        <w:rPr>
          <w:rFonts w:ascii="Times New Roman" w:hAnsi="Times New Roman"/>
          <w:szCs w:val="24"/>
        </w:rPr>
        <w:t xml:space="preserve">For costs projected to be incurred in 2020, the Company proposes to recover the annual spend on ash ponds and landfills ratably over the three-year period ending December 31, 2022. </w:t>
      </w:r>
      <w:r>
        <w:rPr>
          <w:rFonts w:ascii="Times New Roman" w:hAnsi="Times New Roman"/>
          <w:szCs w:val="24"/>
        </w:rPr>
        <w:t>Similarly, t</w:t>
      </w:r>
      <w:r w:rsidR="0038237B" w:rsidRPr="0038237B">
        <w:rPr>
          <w:rFonts w:ascii="Times New Roman" w:hAnsi="Times New Roman"/>
          <w:szCs w:val="24"/>
        </w:rPr>
        <w:t xml:space="preserve">he projected annual spend in 2021 would be recovered in years 2021 through 2023 and the projected annual spend in 2022 would be recovered in years 2022 through 2024. </w:t>
      </w:r>
      <w:r w:rsidR="008A57BE">
        <w:rPr>
          <w:rFonts w:ascii="Times New Roman" w:hAnsi="Times New Roman"/>
          <w:szCs w:val="24"/>
        </w:rPr>
        <w:t>(</w:t>
      </w:r>
      <w:r w:rsidR="00E102F1">
        <w:rPr>
          <w:rFonts w:ascii="Times New Roman" w:hAnsi="Times New Roman"/>
          <w:szCs w:val="24"/>
        </w:rPr>
        <w:t>Tr. 198</w:t>
      </w:r>
      <w:r w:rsidR="008A57BE">
        <w:rPr>
          <w:rFonts w:ascii="Times New Roman" w:hAnsi="Times New Roman"/>
          <w:szCs w:val="24"/>
        </w:rPr>
        <w:t xml:space="preserve">.) </w:t>
      </w:r>
      <w:r>
        <w:rPr>
          <w:rFonts w:ascii="Times New Roman" w:hAnsi="Times New Roman"/>
          <w:szCs w:val="24"/>
        </w:rPr>
        <w:t>The Company proposes to increase traditional base rates to recover the projected under-collected balance at December 31, 2019, expenditures</w:t>
      </w:r>
      <w:r w:rsidR="007F4277">
        <w:rPr>
          <w:rFonts w:ascii="Times New Roman" w:hAnsi="Times New Roman"/>
          <w:szCs w:val="24"/>
        </w:rPr>
        <w:t xml:space="preserve"> projected to be</w:t>
      </w:r>
      <w:r>
        <w:rPr>
          <w:rFonts w:ascii="Times New Roman" w:hAnsi="Times New Roman"/>
          <w:szCs w:val="24"/>
        </w:rPr>
        <w:t xml:space="preserve"> incurred 2020 through 2022, and the return on the under-recovered balance minus the ARO accrual for ash pond</w:t>
      </w:r>
      <w:r w:rsidR="00FC74BD">
        <w:rPr>
          <w:rFonts w:ascii="Times New Roman" w:hAnsi="Times New Roman"/>
          <w:szCs w:val="24"/>
        </w:rPr>
        <w:t xml:space="preserve"> and landfill</w:t>
      </w:r>
      <w:r>
        <w:rPr>
          <w:rFonts w:ascii="Times New Roman" w:hAnsi="Times New Roman"/>
          <w:szCs w:val="24"/>
        </w:rPr>
        <w:t xml:space="preserve"> compliance </w:t>
      </w:r>
      <w:r w:rsidR="007F4277">
        <w:rPr>
          <w:rFonts w:ascii="Times New Roman" w:hAnsi="Times New Roman"/>
          <w:szCs w:val="24"/>
        </w:rPr>
        <w:t xml:space="preserve">in </w:t>
      </w:r>
      <w:r>
        <w:rPr>
          <w:rFonts w:ascii="Times New Roman" w:hAnsi="Times New Roman"/>
          <w:szCs w:val="24"/>
        </w:rPr>
        <w:t>current rates, as described in the</w:t>
      </w:r>
      <w:r w:rsidR="002958EC">
        <w:rPr>
          <w:rFonts w:ascii="Times New Roman" w:hAnsi="Times New Roman"/>
          <w:szCs w:val="24"/>
        </w:rPr>
        <w:t xml:space="preserve"> Chart 4 of the Direct Testimony of David P. Poroch, Sarah P. Adams, and Michael B. Robinson</w:t>
      </w:r>
      <w:r>
        <w:rPr>
          <w:rFonts w:ascii="Times New Roman" w:hAnsi="Times New Roman"/>
          <w:szCs w:val="24"/>
        </w:rPr>
        <w:t>. (</w:t>
      </w:r>
      <w:r w:rsidR="00E102F1">
        <w:rPr>
          <w:rFonts w:ascii="Times New Roman" w:hAnsi="Times New Roman"/>
          <w:szCs w:val="24"/>
        </w:rPr>
        <w:t>Tr. 197</w:t>
      </w:r>
      <w:r w:rsidR="006F076B">
        <w:rPr>
          <w:rFonts w:ascii="Times New Roman" w:hAnsi="Times New Roman"/>
          <w:szCs w:val="24"/>
        </w:rPr>
        <w:t>.</w:t>
      </w:r>
      <w:r w:rsidR="002958EC">
        <w:rPr>
          <w:rFonts w:ascii="Times New Roman" w:hAnsi="Times New Roman"/>
          <w:szCs w:val="24"/>
        </w:rPr>
        <w:t xml:space="preserve">) </w:t>
      </w:r>
      <w:r w:rsidR="0038237B" w:rsidRPr="0038237B">
        <w:rPr>
          <w:rFonts w:ascii="Times New Roman" w:hAnsi="Times New Roman"/>
          <w:szCs w:val="24"/>
        </w:rPr>
        <w:t xml:space="preserve">Following the initial increase effective January 1, 2020, the Company proposes to submit </w:t>
      </w:r>
      <w:r w:rsidR="002958EC">
        <w:rPr>
          <w:rFonts w:ascii="Times New Roman" w:hAnsi="Times New Roman"/>
          <w:szCs w:val="24"/>
        </w:rPr>
        <w:t>a</w:t>
      </w:r>
      <w:r w:rsidR="0038237B" w:rsidRPr="0038237B">
        <w:rPr>
          <w:rFonts w:ascii="Times New Roman" w:hAnsi="Times New Roman"/>
          <w:szCs w:val="24"/>
        </w:rPr>
        <w:t xml:space="preserve"> filing</w:t>
      </w:r>
      <w:r w:rsidR="002958EC">
        <w:rPr>
          <w:rFonts w:ascii="Times New Roman" w:hAnsi="Times New Roman"/>
          <w:szCs w:val="24"/>
        </w:rPr>
        <w:t xml:space="preserve"> </w:t>
      </w:r>
      <w:r w:rsidR="0038237B" w:rsidRPr="0038237B">
        <w:rPr>
          <w:rFonts w:ascii="Times New Roman" w:hAnsi="Times New Roman"/>
          <w:szCs w:val="24"/>
        </w:rPr>
        <w:t>on November 1, 2020 for recovery of the projected incremental increase in CCR ARO compliance costs for 2021</w:t>
      </w:r>
      <w:r w:rsidR="002958EC">
        <w:rPr>
          <w:rFonts w:ascii="Times New Roman" w:hAnsi="Times New Roman"/>
          <w:szCs w:val="24"/>
        </w:rPr>
        <w:t xml:space="preserve"> </w:t>
      </w:r>
      <w:r w:rsidR="0038237B" w:rsidRPr="0038237B">
        <w:rPr>
          <w:rFonts w:ascii="Times New Roman" w:hAnsi="Times New Roman"/>
          <w:szCs w:val="24"/>
        </w:rPr>
        <w:t>with new rates to be effective January 1, 2021.</w:t>
      </w:r>
      <w:r w:rsidR="002958EC">
        <w:rPr>
          <w:rFonts w:ascii="Times New Roman" w:hAnsi="Times New Roman"/>
          <w:szCs w:val="24"/>
        </w:rPr>
        <w:t xml:space="preserve"> </w:t>
      </w:r>
      <w:r w:rsidR="0038237B" w:rsidRPr="0038237B">
        <w:rPr>
          <w:rFonts w:ascii="Times New Roman" w:hAnsi="Times New Roman"/>
          <w:szCs w:val="24"/>
        </w:rPr>
        <w:t xml:space="preserve">On November 1, 2021, the Company would submit an additional filing for recovery of the projected incremental increase in CCR ARO compliance costs for 2022 with new rates to be effective January 1, 2022. </w:t>
      </w:r>
      <w:r w:rsidR="008A57BE">
        <w:rPr>
          <w:rFonts w:ascii="Times New Roman" w:hAnsi="Times New Roman"/>
          <w:szCs w:val="24"/>
        </w:rPr>
        <w:t>(</w:t>
      </w:r>
      <w:r w:rsidR="00E102F1">
        <w:rPr>
          <w:rFonts w:ascii="Times New Roman" w:hAnsi="Times New Roman"/>
          <w:szCs w:val="24"/>
        </w:rPr>
        <w:t>Tr. 198</w:t>
      </w:r>
      <w:r w:rsidR="008A57BE">
        <w:rPr>
          <w:rFonts w:ascii="Times New Roman" w:hAnsi="Times New Roman"/>
          <w:szCs w:val="24"/>
        </w:rPr>
        <w:t>.)</w:t>
      </w:r>
    </w:p>
    <w:p w14:paraId="42272366" w14:textId="471008CB" w:rsidR="0038237B" w:rsidRDefault="002958EC" w:rsidP="003B2E09">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t>The Company’s proposed plan continues to accrue CCR ARO costs and recover the under</w:t>
      </w:r>
      <w:r w:rsidR="00664004">
        <w:rPr>
          <w:rFonts w:ascii="Times New Roman" w:hAnsi="Times New Roman"/>
          <w:szCs w:val="24"/>
        </w:rPr>
        <w:t>-</w:t>
      </w:r>
      <w:r>
        <w:rPr>
          <w:rFonts w:ascii="Times New Roman" w:hAnsi="Times New Roman"/>
          <w:szCs w:val="24"/>
        </w:rPr>
        <w:t xml:space="preserve">recovered balance evenly over a three-year period to mitigate the rate impact to customers as the Company continues to move forward with closing its ash ponds and landfills in compliance with </w:t>
      </w:r>
      <w:r w:rsidR="00437B26">
        <w:rPr>
          <w:rFonts w:ascii="Times New Roman" w:hAnsi="Times New Roman"/>
          <w:szCs w:val="24"/>
        </w:rPr>
        <w:t xml:space="preserve">federal and </w:t>
      </w:r>
      <w:r>
        <w:rPr>
          <w:rFonts w:ascii="Times New Roman" w:hAnsi="Times New Roman"/>
          <w:szCs w:val="24"/>
        </w:rPr>
        <w:t>state CCR rules.</w:t>
      </w:r>
      <w:r w:rsidR="0038237B" w:rsidRPr="0038237B">
        <w:rPr>
          <w:rFonts w:ascii="Times New Roman" w:hAnsi="Times New Roman"/>
          <w:szCs w:val="24"/>
        </w:rPr>
        <w:t xml:space="preserve"> </w:t>
      </w:r>
    </w:p>
    <w:p w14:paraId="56C09F6E" w14:textId="02A7C55A" w:rsidR="00AF7524" w:rsidRPr="00D03DCD" w:rsidRDefault="00AF7524" w:rsidP="00F67047">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18" w:name="_Hlk26111610"/>
      <w:r>
        <w:rPr>
          <w:rFonts w:ascii="Times New Roman" w:hAnsi="Times New Roman"/>
          <w:szCs w:val="24"/>
        </w:rPr>
        <w:lastRenderedPageBreak/>
        <w:t>2.</w:t>
      </w:r>
      <w:r>
        <w:rPr>
          <w:rFonts w:ascii="Times New Roman" w:hAnsi="Times New Roman"/>
          <w:szCs w:val="24"/>
        </w:rPr>
        <w:tab/>
      </w:r>
      <w:r w:rsidRPr="00D03DCD">
        <w:rPr>
          <w:rFonts w:ascii="Times New Roman" w:hAnsi="Times New Roman"/>
          <w:szCs w:val="24"/>
          <w:u w:val="single"/>
        </w:rPr>
        <w:t>The Company</w:t>
      </w:r>
      <w:r>
        <w:rPr>
          <w:rFonts w:ascii="Times New Roman" w:hAnsi="Times New Roman"/>
          <w:szCs w:val="24"/>
          <w:u w:val="single"/>
        </w:rPr>
        <w:t>’</w:t>
      </w:r>
      <w:r w:rsidRPr="00D03DCD">
        <w:rPr>
          <w:rFonts w:ascii="Times New Roman" w:hAnsi="Times New Roman"/>
          <w:szCs w:val="24"/>
          <w:u w:val="single"/>
        </w:rPr>
        <w:t xml:space="preserve">s ability to </w:t>
      </w:r>
      <w:r w:rsidR="00F30913">
        <w:rPr>
          <w:rFonts w:ascii="Times New Roman" w:hAnsi="Times New Roman"/>
          <w:szCs w:val="24"/>
          <w:u w:val="single"/>
        </w:rPr>
        <w:t xml:space="preserve">fully recover the </w:t>
      </w:r>
      <w:r w:rsidR="00C81C2F">
        <w:rPr>
          <w:rFonts w:ascii="Times New Roman" w:hAnsi="Times New Roman"/>
          <w:szCs w:val="24"/>
          <w:u w:val="single"/>
        </w:rPr>
        <w:t>debt and equity financing costs</w:t>
      </w:r>
      <w:r w:rsidRPr="00D03DCD">
        <w:rPr>
          <w:rFonts w:ascii="Times New Roman" w:hAnsi="Times New Roman"/>
          <w:szCs w:val="24"/>
          <w:u w:val="single"/>
        </w:rPr>
        <w:t xml:space="preserve"> on under-recovered CCR ARO compliance costs should not be limited to a </w:t>
      </w:r>
      <w:r w:rsidR="00C81C2F">
        <w:rPr>
          <w:rFonts w:ascii="Times New Roman" w:hAnsi="Times New Roman"/>
          <w:szCs w:val="24"/>
          <w:u w:val="single"/>
        </w:rPr>
        <w:t>c</w:t>
      </w:r>
      <w:r w:rsidR="00C81C2F" w:rsidRPr="00D03DCD">
        <w:rPr>
          <w:rFonts w:ascii="Times New Roman" w:hAnsi="Times New Roman"/>
          <w:szCs w:val="24"/>
          <w:u w:val="single"/>
        </w:rPr>
        <w:t xml:space="preserve">ost </w:t>
      </w:r>
      <w:r w:rsidRPr="00D03DCD">
        <w:rPr>
          <w:rFonts w:ascii="Times New Roman" w:hAnsi="Times New Roman"/>
          <w:szCs w:val="24"/>
          <w:u w:val="single"/>
        </w:rPr>
        <w:t xml:space="preserve">of </w:t>
      </w:r>
      <w:r w:rsidR="00C81C2F">
        <w:rPr>
          <w:rFonts w:ascii="Times New Roman" w:hAnsi="Times New Roman"/>
          <w:szCs w:val="24"/>
          <w:u w:val="single"/>
        </w:rPr>
        <w:t>d</w:t>
      </w:r>
      <w:r w:rsidR="00C81C2F" w:rsidRPr="00D03DCD">
        <w:rPr>
          <w:rFonts w:ascii="Times New Roman" w:hAnsi="Times New Roman"/>
          <w:szCs w:val="24"/>
          <w:u w:val="single"/>
        </w:rPr>
        <w:t xml:space="preserve">ebt </w:t>
      </w:r>
      <w:r w:rsidR="00C81C2F">
        <w:rPr>
          <w:rFonts w:ascii="Times New Roman" w:hAnsi="Times New Roman"/>
          <w:szCs w:val="24"/>
          <w:u w:val="single"/>
        </w:rPr>
        <w:t>r</w:t>
      </w:r>
      <w:r w:rsidR="00C81C2F" w:rsidRPr="00D03DCD">
        <w:rPr>
          <w:rFonts w:ascii="Times New Roman" w:hAnsi="Times New Roman"/>
          <w:szCs w:val="24"/>
          <w:u w:val="single"/>
        </w:rPr>
        <w:t>eturn</w:t>
      </w:r>
      <w:r w:rsidR="00C81C2F">
        <w:rPr>
          <w:rFonts w:ascii="Times New Roman" w:hAnsi="Times New Roman"/>
          <w:szCs w:val="24"/>
          <w:u w:val="single"/>
        </w:rPr>
        <w:t xml:space="preserve"> </w:t>
      </w:r>
      <w:r w:rsidR="002958EC">
        <w:rPr>
          <w:rFonts w:ascii="Times New Roman" w:hAnsi="Times New Roman"/>
          <w:szCs w:val="24"/>
          <w:u w:val="single"/>
        </w:rPr>
        <w:t>as proposed by PIA Staff and certain Intervenors</w:t>
      </w:r>
      <w:r>
        <w:rPr>
          <w:rFonts w:ascii="Times New Roman" w:hAnsi="Times New Roman"/>
          <w:szCs w:val="24"/>
        </w:rPr>
        <w:t>.</w:t>
      </w:r>
    </w:p>
    <w:bookmarkEnd w:id="18"/>
    <w:p w14:paraId="36B12E15" w14:textId="341F857F" w:rsidR="00AF7524" w:rsidRPr="00D03DCD" w:rsidRDefault="00AF7524" w:rsidP="00F67047">
      <w:pPr>
        <w:keepNext/>
        <w:widowControl/>
        <w:tabs>
          <w:tab w:val="left" w:pos="720"/>
        </w:tabs>
        <w:overflowPunct/>
        <w:autoSpaceDE/>
        <w:autoSpaceDN/>
        <w:adjustRightInd/>
        <w:spacing w:before="240" w:line="480" w:lineRule="auto"/>
        <w:jc w:val="both"/>
        <w:textAlignment w:val="auto"/>
        <w:rPr>
          <w:rFonts w:ascii="Times New Roman" w:hAnsi="Times New Roman"/>
          <w:iCs/>
          <w:szCs w:val="24"/>
        </w:rPr>
      </w:pPr>
      <w:r>
        <w:rPr>
          <w:rFonts w:ascii="Times New Roman" w:hAnsi="Times New Roman"/>
          <w:iCs/>
          <w:szCs w:val="24"/>
        </w:rPr>
        <w:tab/>
      </w:r>
      <w:r w:rsidRPr="00D03DCD">
        <w:rPr>
          <w:rFonts w:ascii="Times New Roman" w:hAnsi="Times New Roman"/>
          <w:iCs/>
          <w:szCs w:val="24"/>
        </w:rPr>
        <w:t xml:space="preserve">The Company is entitled to </w:t>
      </w:r>
      <w:r w:rsidR="00D20E67">
        <w:rPr>
          <w:rFonts w:ascii="Times New Roman" w:hAnsi="Times New Roman"/>
          <w:iCs/>
          <w:szCs w:val="24"/>
        </w:rPr>
        <w:t>recover its</w:t>
      </w:r>
      <w:r w:rsidRPr="00D03DCD">
        <w:rPr>
          <w:rFonts w:ascii="Times New Roman" w:hAnsi="Times New Roman"/>
          <w:iCs/>
          <w:szCs w:val="24"/>
        </w:rPr>
        <w:t xml:space="preserve"> </w:t>
      </w:r>
      <w:r w:rsidR="00C81C2F">
        <w:rPr>
          <w:rFonts w:ascii="Times New Roman" w:hAnsi="Times New Roman"/>
          <w:iCs/>
          <w:szCs w:val="24"/>
        </w:rPr>
        <w:t>debt and equity financing costs</w:t>
      </w:r>
      <w:r w:rsidR="00D20E67" w:rsidRPr="00D03DCD">
        <w:rPr>
          <w:rFonts w:ascii="Times New Roman" w:hAnsi="Times New Roman"/>
          <w:iCs/>
          <w:szCs w:val="24"/>
        </w:rPr>
        <w:t xml:space="preserve"> </w:t>
      </w:r>
      <w:r w:rsidRPr="00D03DCD">
        <w:rPr>
          <w:rFonts w:ascii="Times New Roman" w:hAnsi="Times New Roman"/>
          <w:iCs/>
          <w:szCs w:val="24"/>
        </w:rPr>
        <w:t xml:space="preserve">on its CCR ARO compliance costs. These costs represent </w:t>
      </w:r>
      <w:r w:rsidR="00D20E67">
        <w:rPr>
          <w:rFonts w:ascii="Times New Roman" w:hAnsi="Times New Roman"/>
          <w:iCs/>
          <w:szCs w:val="24"/>
        </w:rPr>
        <w:t>required</w:t>
      </w:r>
      <w:r w:rsidR="00D20E67" w:rsidRPr="00D03DCD">
        <w:rPr>
          <w:rFonts w:ascii="Times New Roman" w:hAnsi="Times New Roman"/>
          <w:iCs/>
          <w:szCs w:val="24"/>
        </w:rPr>
        <w:t xml:space="preserve"> </w:t>
      </w:r>
      <w:r w:rsidRPr="00D03DCD">
        <w:rPr>
          <w:rFonts w:ascii="Times New Roman" w:hAnsi="Times New Roman"/>
          <w:iCs/>
          <w:szCs w:val="24"/>
        </w:rPr>
        <w:t>investment</w:t>
      </w:r>
      <w:r w:rsidR="00D20E67">
        <w:rPr>
          <w:rFonts w:ascii="Times New Roman" w:hAnsi="Times New Roman"/>
          <w:iCs/>
          <w:szCs w:val="24"/>
        </w:rPr>
        <w:t>s</w:t>
      </w:r>
      <w:r w:rsidRPr="00D03DCD">
        <w:rPr>
          <w:rFonts w:ascii="Times New Roman" w:hAnsi="Times New Roman"/>
          <w:iCs/>
          <w:szCs w:val="24"/>
        </w:rPr>
        <w:t xml:space="preserve"> by the Company to comply with state and federal environmental regulations. </w:t>
      </w:r>
      <w:r w:rsidR="00D20E67" w:rsidRPr="000C4C24">
        <w:rPr>
          <w:rFonts w:ascii="Times New Roman" w:hAnsi="Times New Roman"/>
          <w:iCs/>
          <w:szCs w:val="24"/>
        </w:rPr>
        <w:t xml:space="preserve">(Tr. </w:t>
      </w:r>
      <w:r w:rsidR="00D20E67" w:rsidRPr="003A285A">
        <w:rPr>
          <w:rFonts w:ascii="Times New Roman" w:hAnsi="Times New Roman"/>
          <w:iCs/>
          <w:szCs w:val="24"/>
        </w:rPr>
        <w:t>2637</w:t>
      </w:r>
      <w:r w:rsidR="00D20E67" w:rsidRPr="000C4C24">
        <w:rPr>
          <w:rFonts w:ascii="Times New Roman" w:hAnsi="Times New Roman"/>
          <w:iCs/>
          <w:szCs w:val="24"/>
        </w:rPr>
        <w:t>.)</w:t>
      </w:r>
      <w:r w:rsidR="00D20E67" w:rsidRPr="00D03DCD">
        <w:rPr>
          <w:rFonts w:ascii="Times New Roman" w:hAnsi="Times New Roman"/>
          <w:iCs/>
          <w:szCs w:val="24"/>
        </w:rPr>
        <w:t xml:space="preserve"> </w:t>
      </w:r>
      <w:r w:rsidR="00D20E67">
        <w:rPr>
          <w:rFonts w:ascii="Times New Roman" w:hAnsi="Times New Roman"/>
          <w:iCs/>
          <w:szCs w:val="24"/>
        </w:rPr>
        <w:t>These investments are appropriately included in rate base. (Tr. 2637.) I</w:t>
      </w:r>
      <w:r w:rsidR="008E5474">
        <w:rPr>
          <w:rFonts w:ascii="Times New Roman" w:hAnsi="Times New Roman"/>
          <w:iCs/>
          <w:szCs w:val="24"/>
        </w:rPr>
        <w:t>n this proceeding</w:t>
      </w:r>
      <w:r w:rsidRPr="00D03DCD">
        <w:rPr>
          <w:rFonts w:ascii="Times New Roman" w:hAnsi="Times New Roman"/>
          <w:iCs/>
          <w:szCs w:val="24"/>
        </w:rPr>
        <w:t xml:space="preserve">, the Commission will </w:t>
      </w:r>
      <w:r w:rsidR="008E5474">
        <w:rPr>
          <w:rFonts w:ascii="Times New Roman" w:hAnsi="Times New Roman"/>
          <w:iCs/>
          <w:szCs w:val="24"/>
        </w:rPr>
        <w:t>decide</w:t>
      </w:r>
      <w:r w:rsidRPr="00D03DCD">
        <w:rPr>
          <w:rFonts w:ascii="Times New Roman" w:hAnsi="Times New Roman"/>
          <w:iCs/>
          <w:szCs w:val="24"/>
        </w:rPr>
        <w:t xml:space="preserve"> the appropriate capital structure and return on equity for the Company. The Commission</w:t>
      </w:r>
      <w:r>
        <w:rPr>
          <w:rFonts w:ascii="Times New Roman" w:hAnsi="Times New Roman"/>
          <w:iCs/>
          <w:szCs w:val="24"/>
        </w:rPr>
        <w:t>’</w:t>
      </w:r>
      <w:r w:rsidRPr="00D03DCD">
        <w:rPr>
          <w:rFonts w:ascii="Times New Roman" w:hAnsi="Times New Roman"/>
          <w:iCs/>
          <w:szCs w:val="24"/>
        </w:rPr>
        <w:t xml:space="preserve">s decision determines </w:t>
      </w:r>
      <w:r w:rsidR="003813CF">
        <w:rPr>
          <w:rFonts w:ascii="Times New Roman" w:hAnsi="Times New Roman"/>
          <w:iCs/>
          <w:szCs w:val="24"/>
        </w:rPr>
        <w:t xml:space="preserve">what </w:t>
      </w:r>
      <w:r w:rsidRPr="00D03DCD">
        <w:rPr>
          <w:rFonts w:ascii="Times New Roman" w:hAnsi="Times New Roman"/>
          <w:iCs/>
          <w:szCs w:val="24"/>
        </w:rPr>
        <w:t>is appropriate to finance the Company</w:t>
      </w:r>
      <w:r>
        <w:rPr>
          <w:rFonts w:ascii="Times New Roman" w:hAnsi="Times New Roman"/>
          <w:iCs/>
          <w:szCs w:val="24"/>
        </w:rPr>
        <w:t>’</w:t>
      </w:r>
      <w:r w:rsidRPr="00D03DCD">
        <w:rPr>
          <w:rFonts w:ascii="Times New Roman" w:hAnsi="Times New Roman"/>
          <w:iCs/>
          <w:szCs w:val="24"/>
        </w:rPr>
        <w:t xml:space="preserve">s capital investments. </w:t>
      </w:r>
      <w:r w:rsidR="003813CF">
        <w:rPr>
          <w:rFonts w:ascii="Times New Roman" w:hAnsi="Times New Roman"/>
          <w:iCs/>
          <w:szCs w:val="24"/>
        </w:rPr>
        <w:t>Assuming that one portion of the rate base is funded solely with debt changes this determination and fails to recognize the true cost of financing these investments. (Tr. 2637.) Moreover, a</w:t>
      </w:r>
      <w:r w:rsidR="008E5474" w:rsidRPr="00D03DCD">
        <w:rPr>
          <w:rFonts w:ascii="Times New Roman" w:hAnsi="Times New Roman"/>
          <w:iCs/>
          <w:szCs w:val="24"/>
        </w:rPr>
        <w:t xml:space="preserve"> </w:t>
      </w:r>
      <w:r w:rsidRPr="00D03DCD">
        <w:rPr>
          <w:rFonts w:ascii="Times New Roman" w:hAnsi="Times New Roman"/>
          <w:iCs/>
          <w:szCs w:val="24"/>
        </w:rPr>
        <w:t xml:space="preserve">unilateral application of a financing rate to CCR ARO costs that is lower than what the Commission has determined is appropriate </w:t>
      </w:r>
      <w:r>
        <w:rPr>
          <w:rFonts w:ascii="Times New Roman" w:hAnsi="Times New Roman"/>
          <w:iCs/>
          <w:szCs w:val="24"/>
        </w:rPr>
        <w:t xml:space="preserve">for the enterprise </w:t>
      </w:r>
      <w:r w:rsidR="008E5474">
        <w:rPr>
          <w:rFonts w:ascii="Times New Roman" w:hAnsi="Times New Roman"/>
          <w:iCs/>
          <w:szCs w:val="24"/>
        </w:rPr>
        <w:t xml:space="preserve">would </w:t>
      </w:r>
      <w:r>
        <w:rPr>
          <w:rFonts w:ascii="Times New Roman" w:hAnsi="Times New Roman"/>
          <w:iCs/>
          <w:szCs w:val="24"/>
        </w:rPr>
        <w:t>amount to</w:t>
      </w:r>
      <w:r w:rsidRPr="00D03DCD">
        <w:rPr>
          <w:rFonts w:ascii="Times New Roman" w:hAnsi="Times New Roman"/>
          <w:iCs/>
          <w:szCs w:val="24"/>
        </w:rPr>
        <w:t xml:space="preserve"> a disallowance without </w:t>
      </w:r>
      <w:r w:rsidR="003813CF">
        <w:rPr>
          <w:rFonts w:ascii="Times New Roman" w:hAnsi="Times New Roman"/>
          <w:iCs/>
          <w:szCs w:val="24"/>
        </w:rPr>
        <w:t>a</w:t>
      </w:r>
      <w:r w:rsidR="003813CF" w:rsidRPr="00D03DCD">
        <w:rPr>
          <w:rFonts w:ascii="Times New Roman" w:hAnsi="Times New Roman"/>
          <w:iCs/>
          <w:szCs w:val="24"/>
        </w:rPr>
        <w:t xml:space="preserve"> </w:t>
      </w:r>
      <w:r w:rsidRPr="00D03DCD">
        <w:rPr>
          <w:rFonts w:ascii="Times New Roman" w:hAnsi="Times New Roman"/>
          <w:iCs/>
          <w:szCs w:val="24"/>
        </w:rPr>
        <w:t>finding of imprudence.</w:t>
      </w:r>
      <w:r w:rsidR="003813CF">
        <w:rPr>
          <w:rFonts w:ascii="Times New Roman" w:hAnsi="Times New Roman"/>
          <w:iCs/>
          <w:szCs w:val="24"/>
        </w:rPr>
        <w:t xml:space="preserve"> (Tr. 2639.)</w:t>
      </w:r>
    </w:p>
    <w:p w14:paraId="46419D6A" w14:textId="7D83DD16" w:rsidR="00AF7524" w:rsidRPr="00D03DCD" w:rsidRDefault="00AF7524" w:rsidP="00AF7524">
      <w:pPr>
        <w:widowControl/>
        <w:tabs>
          <w:tab w:val="left" w:pos="720"/>
        </w:tabs>
        <w:overflowPunct/>
        <w:autoSpaceDE/>
        <w:autoSpaceDN/>
        <w:adjustRightInd/>
        <w:spacing w:line="480" w:lineRule="auto"/>
        <w:jc w:val="both"/>
        <w:textAlignment w:val="auto"/>
        <w:rPr>
          <w:rFonts w:ascii="Times New Roman" w:hAnsi="Times New Roman"/>
          <w:bCs/>
          <w:iCs/>
          <w:szCs w:val="24"/>
        </w:rPr>
      </w:pPr>
      <w:r w:rsidRPr="00D03DCD">
        <w:rPr>
          <w:rFonts w:ascii="Times New Roman" w:hAnsi="Times New Roman"/>
          <w:iCs/>
          <w:szCs w:val="24"/>
        </w:rPr>
        <w:tab/>
        <w:t xml:space="preserve">It is a fundamental principle of utility regulation that </w:t>
      </w:r>
      <w:r w:rsidR="00F6657B">
        <w:rPr>
          <w:rFonts w:ascii="Times New Roman" w:hAnsi="Times New Roman"/>
          <w:iCs/>
          <w:szCs w:val="24"/>
        </w:rPr>
        <w:t>a utility is</w:t>
      </w:r>
      <w:r w:rsidRPr="00D03DCD">
        <w:rPr>
          <w:rFonts w:ascii="Times New Roman" w:hAnsi="Times New Roman"/>
          <w:iCs/>
          <w:szCs w:val="24"/>
        </w:rPr>
        <w:t xml:space="preserve"> entitled to the full cost of financing for its capital costs. Not allowing the Company to recover a fair return on the costs </w:t>
      </w:r>
      <w:r w:rsidRPr="00D03DCD">
        <w:rPr>
          <w:rFonts w:ascii="Times New Roman" w:hAnsi="Times New Roman"/>
          <w:bCs/>
          <w:iCs/>
          <w:szCs w:val="24"/>
        </w:rPr>
        <w:t xml:space="preserve">is confiscatory and would deprive the utility of its property without due process or just compensation. </w:t>
      </w:r>
      <w:r w:rsidR="003813CF">
        <w:rPr>
          <w:rFonts w:ascii="Times New Roman" w:hAnsi="Times New Roman"/>
          <w:bCs/>
          <w:iCs/>
          <w:szCs w:val="24"/>
        </w:rPr>
        <w:t>What a</w:t>
      </w:r>
      <w:r w:rsidRPr="00D03DCD">
        <w:rPr>
          <w:rFonts w:ascii="Times New Roman" w:hAnsi="Times New Roman"/>
          <w:bCs/>
          <w:iCs/>
          <w:szCs w:val="24"/>
        </w:rPr>
        <w:t xml:space="preserve"> public utility “</w:t>
      </w:r>
      <w:r w:rsidRPr="00D03DCD">
        <w:rPr>
          <w:rFonts w:ascii="Times New Roman" w:hAnsi="Times New Roman"/>
          <w:iCs/>
          <w:szCs w:val="24"/>
        </w:rPr>
        <w:t xml:space="preserve">is entitled to ask is a fair return upon the value of that which it employs for the public convenience.” </w:t>
      </w:r>
      <w:r w:rsidR="003813CF" w:rsidRPr="00D03DCD">
        <w:rPr>
          <w:rFonts w:ascii="Times New Roman" w:hAnsi="Times New Roman"/>
          <w:bCs/>
          <w:i/>
          <w:iCs/>
          <w:szCs w:val="24"/>
        </w:rPr>
        <w:t>Bluefield</w:t>
      </w:r>
      <w:r w:rsidR="003813CF">
        <w:rPr>
          <w:rFonts w:ascii="Times New Roman" w:hAnsi="Times New Roman"/>
          <w:bCs/>
          <w:i/>
          <w:iCs/>
          <w:szCs w:val="24"/>
        </w:rPr>
        <w:t xml:space="preserve"> Water Works &amp; Improvement Co. v. Pub. Serv. Comm’n</w:t>
      </w:r>
      <w:r w:rsidRPr="00D03DCD">
        <w:rPr>
          <w:rFonts w:ascii="Times New Roman" w:hAnsi="Times New Roman"/>
          <w:bCs/>
          <w:iCs/>
          <w:szCs w:val="24"/>
        </w:rPr>
        <w:t xml:space="preserve">, 262 U.S. 679, 690 (1923) (quoting </w:t>
      </w:r>
      <w:r w:rsidRPr="00D03DCD">
        <w:rPr>
          <w:rFonts w:ascii="Times New Roman" w:hAnsi="Times New Roman"/>
          <w:bCs/>
          <w:i/>
          <w:iCs/>
          <w:szCs w:val="24"/>
        </w:rPr>
        <w:t>Smyth v. Ames</w:t>
      </w:r>
      <w:r w:rsidRPr="00D03DCD">
        <w:rPr>
          <w:rFonts w:ascii="Times New Roman" w:hAnsi="Times New Roman"/>
          <w:bCs/>
          <w:iCs/>
          <w:szCs w:val="24"/>
        </w:rPr>
        <w:t xml:space="preserve">, 169 U. S. 467, 547 (1898)). </w:t>
      </w:r>
      <w:r w:rsidR="003813CF">
        <w:rPr>
          <w:rFonts w:ascii="Times New Roman" w:hAnsi="Times New Roman"/>
          <w:bCs/>
          <w:iCs/>
          <w:szCs w:val="24"/>
        </w:rPr>
        <w:t>From the investor’s view point, a</w:t>
      </w:r>
      <w:r w:rsidRPr="00D03DCD">
        <w:rPr>
          <w:rFonts w:ascii="Times New Roman" w:hAnsi="Times New Roman"/>
          <w:bCs/>
          <w:iCs/>
          <w:szCs w:val="24"/>
        </w:rPr>
        <w:t xml:space="preserve"> utility </w:t>
      </w:r>
      <w:r w:rsidRPr="00D03DCD">
        <w:rPr>
          <w:rFonts w:ascii="Times New Roman" w:hAnsi="Times New Roman"/>
          <w:iCs/>
          <w:szCs w:val="24"/>
        </w:rPr>
        <w:t>should</w:t>
      </w:r>
      <w:r>
        <w:rPr>
          <w:rFonts w:ascii="Times New Roman" w:hAnsi="Times New Roman"/>
          <w:iCs/>
          <w:szCs w:val="24"/>
        </w:rPr>
        <w:t xml:space="preserve"> have</w:t>
      </w:r>
      <w:r w:rsidRPr="00D03DCD">
        <w:rPr>
          <w:rFonts w:ascii="Times New Roman" w:hAnsi="Times New Roman"/>
          <w:iCs/>
          <w:szCs w:val="24"/>
        </w:rPr>
        <w:t xml:space="preserve"> sufficient revenue for its operating expenses and for its capital investments, including “service on the debt and dividends on the stock.” </w:t>
      </w:r>
      <w:r w:rsidRPr="00D03DCD">
        <w:rPr>
          <w:rFonts w:ascii="Times New Roman" w:hAnsi="Times New Roman"/>
          <w:bCs/>
          <w:i/>
          <w:iCs/>
          <w:szCs w:val="24"/>
        </w:rPr>
        <w:t>Fed. Power Comm</w:t>
      </w:r>
      <w:r>
        <w:rPr>
          <w:rFonts w:ascii="Times New Roman" w:hAnsi="Times New Roman"/>
          <w:bCs/>
          <w:i/>
          <w:iCs/>
          <w:szCs w:val="24"/>
        </w:rPr>
        <w:t>’</w:t>
      </w:r>
      <w:r w:rsidRPr="00D03DCD">
        <w:rPr>
          <w:rFonts w:ascii="Times New Roman" w:hAnsi="Times New Roman"/>
          <w:bCs/>
          <w:i/>
          <w:iCs/>
          <w:szCs w:val="24"/>
        </w:rPr>
        <w:t>n v. Hope Natural Gas Co.</w:t>
      </w:r>
      <w:r w:rsidRPr="00D03DCD">
        <w:rPr>
          <w:rFonts w:ascii="Times New Roman" w:hAnsi="Times New Roman"/>
          <w:bCs/>
          <w:iCs/>
          <w:szCs w:val="24"/>
        </w:rPr>
        <w:t>, 320 U.S. 591, 603 (1944). A decision that the Company cannot recover the costs of its equity financing for prudent investments is confiscatory and contravenes longstanding principles of utility regulation.</w:t>
      </w:r>
    </w:p>
    <w:p w14:paraId="5E40D7C7" w14:textId="3A736565" w:rsidR="00AF7524" w:rsidRPr="00D03DCD" w:rsidRDefault="00AF7524" w:rsidP="00AF7524">
      <w:pPr>
        <w:widowControl/>
        <w:tabs>
          <w:tab w:val="left" w:pos="720"/>
        </w:tabs>
        <w:overflowPunct/>
        <w:autoSpaceDE/>
        <w:autoSpaceDN/>
        <w:adjustRightInd/>
        <w:spacing w:line="480" w:lineRule="auto"/>
        <w:jc w:val="both"/>
        <w:textAlignment w:val="auto"/>
        <w:rPr>
          <w:rFonts w:ascii="Times New Roman" w:hAnsi="Times New Roman"/>
          <w:iCs/>
          <w:szCs w:val="24"/>
        </w:rPr>
      </w:pPr>
      <w:r w:rsidRPr="00D03DCD">
        <w:rPr>
          <w:rFonts w:ascii="Times New Roman" w:hAnsi="Times New Roman"/>
          <w:iCs/>
          <w:szCs w:val="24"/>
        </w:rPr>
        <w:lastRenderedPageBreak/>
        <w:tab/>
      </w:r>
      <w:r w:rsidRPr="00965A9B">
        <w:rPr>
          <w:rFonts w:ascii="Times New Roman" w:hAnsi="Times New Roman"/>
          <w:iCs/>
          <w:szCs w:val="24"/>
        </w:rPr>
        <w:t xml:space="preserve">PIA Staff and </w:t>
      </w:r>
      <w:r w:rsidR="008E5474" w:rsidRPr="00965A9B">
        <w:rPr>
          <w:rFonts w:ascii="Times New Roman" w:hAnsi="Times New Roman"/>
          <w:iCs/>
          <w:szCs w:val="24"/>
        </w:rPr>
        <w:t xml:space="preserve">Intervenor </w:t>
      </w:r>
      <w:r w:rsidRPr="00965A9B">
        <w:rPr>
          <w:rFonts w:ascii="Times New Roman" w:hAnsi="Times New Roman"/>
          <w:iCs/>
          <w:szCs w:val="24"/>
        </w:rPr>
        <w:t xml:space="preserve">recommendations to apply different financing rates to under-recovered CCR ARO compliance costs are inconsistent with prior Commission precedent. </w:t>
      </w:r>
      <w:r w:rsidR="003813CF" w:rsidRPr="00965A9B">
        <w:rPr>
          <w:rFonts w:ascii="Times New Roman" w:hAnsi="Times New Roman"/>
          <w:iCs/>
          <w:szCs w:val="24"/>
        </w:rPr>
        <w:t>(</w:t>
      </w:r>
      <w:r w:rsidR="003813CF" w:rsidRPr="00965A9B">
        <w:rPr>
          <w:rFonts w:ascii="Times New Roman" w:hAnsi="Times New Roman"/>
          <w:i/>
          <w:iCs/>
          <w:szCs w:val="24"/>
        </w:rPr>
        <w:t xml:space="preserve">See </w:t>
      </w:r>
      <w:r w:rsidR="003813CF" w:rsidRPr="00965A9B">
        <w:rPr>
          <w:rFonts w:ascii="Times New Roman" w:hAnsi="Times New Roman"/>
          <w:iCs/>
          <w:szCs w:val="24"/>
        </w:rPr>
        <w:t>Tr. 2640.)</w:t>
      </w:r>
      <w:r w:rsidR="003813CF" w:rsidRPr="00D03DCD">
        <w:rPr>
          <w:rFonts w:ascii="Times New Roman" w:hAnsi="Times New Roman"/>
          <w:iCs/>
          <w:szCs w:val="24"/>
        </w:rPr>
        <w:t xml:space="preserve"> </w:t>
      </w:r>
      <w:r w:rsidRPr="00D03DCD">
        <w:rPr>
          <w:rFonts w:ascii="Times New Roman" w:hAnsi="Times New Roman"/>
          <w:iCs/>
          <w:szCs w:val="24"/>
        </w:rPr>
        <w:t xml:space="preserve">Since the inception of ARO accounting in 2003, the Company has historically been in an over-recovered position. </w:t>
      </w:r>
      <w:r w:rsidR="00693782">
        <w:rPr>
          <w:rFonts w:ascii="Times New Roman" w:hAnsi="Times New Roman"/>
          <w:iCs/>
          <w:szCs w:val="24"/>
        </w:rPr>
        <w:t>(</w:t>
      </w:r>
      <w:r w:rsidR="00693782">
        <w:rPr>
          <w:rFonts w:ascii="Times New Roman" w:hAnsi="Times New Roman"/>
          <w:i/>
          <w:iCs/>
          <w:szCs w:val="24"/>
        </w:rPr>
        <w:t>Id.</w:t>
      </w:r>
      <w:r w:rsidR="00693782" w:rsidRPr="00693782">
        <w:rPr>
          <w:rFonts w:ascii="Times New Roman" w:hAnsi="Times New Roman"/>
          <w:iCs/>
          <w:szCs w:val="24"/>
        </w:rPr>
        <w:t>)</w:t>
      </w:r>
      <w:r w:rsidR="00693782">
        <w:rPr>
          <w:rFonts w:ascii="Times New Roman" w:hAnsi="Times New Roman"/>
          <w:i/>
          <w:iCs/>
          <w:szCs w:val="24"/>
        </w:rPr>
        <w:t xml:space="preserve"> </w:t>
      </w:r>
      <w:r w:rsidRPr="00D03DCD">
        <w:rPr>
          <w:rFonts w:ascii="Times New Roman" w:hAnsi="Times New Roman"/>
          <w:iCs/>
          <w:szCs w:val="24"/>
        </w:rPr>
        <w:t xml:space="preserve">During that period, the Company afforded customers the benefit of this overcollection through a regulatory liability through which customers were afforded the full WACC. </w:t>
      </w:r>
      <w:r w:rsidR="00693782">
        <w:rPr>
          <w:rFonts w:ascii="Times New Roman" w:hAnsi="Times New Roman"/>
          <w:iCs/>
          <w:szCs w:val="24"/>
        </w:rPr>
        <w:t>(</w:t>
      </w:r>
      <w:r w:rsidR="00693782">
        <w:rPr>
          <w:rFonts w:ascii="Times New Roman" w:hAnsi="Times New Roman"/>
          <w:i/>
          <w:iCs/>
          <w:szCs w:val="24"/>
        </w:rPr>
        <w:t>Id.</w:t>
      </w:r>
      <w:r w:rsidR="00693782" w:rsidRPr="00693782">
        <w:rPr>
          <w:rFonts w:ascii="Times New Roman" w:hAnsi="Times New Roman"/>
          <w:iCs/>
          <w:szCs w:val="24"/>
        </w:rPr>
        <w:t>)</w:t>
      </w:r>
      <w:r w:rsidR="00693782">
        <w:rPr>
          <w:rFonts w:ascii="Times New Roman" w:hAnsi="Times New Roman"/>
          <w:iCs/>
          <w:szCs w:val="24"/>
        </w:rPr>
        <w:t xml:space="preserve"> </w:t>
      </w:r>
      <w:r w:rsidRPr="00D03DCD">
        <w:rPr>
          <w:rFonts w:ascii="Times New Roman" w:hAnsi="Times New Roman"/>
          <w:iCs/>
          <w:szCs w:val="24"/>
        </w:rPr>
        <w:t>PIA Staff never questioned the accounting treatment for this item during the intervening rate cases. (Tr. 1396.)</w:t>
      </w:r>
      <w:r>
        <w:rPr>
          <w:rFonts w:ascii="Times New Roman" w:hAnsi="Times New Roman"/>
          <w:iCs/>
          <w:szCs w:val="24"/>
        </w:rPr>
        <w:t xml:space="preserve"> </w:t>
      </w:r>
      <w:r w:rsidR="008E5474">
        <w:rPr>
          <w:rFonts w:ascii="Times New Roman" w:hAnsi="Times New Roman"/>
          <w:iCs/>
          <w:szCs w:val="24"/>
        </w:rPr>
        <w:t>It would be inequitable f</w:t>
      </w:r>
      <w:r>
        <w:rPr>
          <w:rFonts w:ascii="Times New Roman" w:hAnsi="Times New Roman"/>
          <w:iCs/>
          <w:szCs w:val="24"/>
        </w:rPr>
        <w:t xml:space="preserve">or the Commission to afford customers the benefit of the Company’s full WACC when the regulatory </w:t>
      </w:r>
      <w:r w:rsidR="00664004">
        <w:rPr>
          <w:rFonts w:ascii="Times New Roman" w:hAnsi="Times New Roman"/>
          <w:iCs/>
          <w:szCs w:val="24"/>
        </w:rPr>
        <w:t xml:space="preserve">balance </w:t>
      </w:r>
      <w:r>
        <w:rPr>
          <w:rFonts w:ascii="Times New Roman" w:hAnsi="Times New Roman"/>
          <w:iCs/>
          <w:szCs w:val="24"/>
        </w:rPr>
        <w:t>is over</w:t>
      </w:r>
      <w:r w:rsidR="00664004">
        <w:rPr>
          <w:rFonts w:ascii="Times New Roman" w:hAnsi="Times New Roman"/>
          <w:iCs/>
          <w:szCs w:val="24"/>
        </w:rPr>
        <w:t>-</w:t>
      </w:r>
      <w:r>
        <w:rPr>
          <w:rFonts w:ascii="Times New Roman" w:hAnsi="Times New Roman"/>
          <w:iCs/>
          <w:szCs w:val="24"/>
        </w:rPr>
        <w:t>collected</w:t>
      </w:r>
      <w:r w:rsidR="008E5474">
        <w:rPr>
          <w:rFonts w:ascii="Times New Roman" w:hAnsi="Times New Roman"/>
          <w:iCs/>
          <w:szCs w:val="24"/>
        </w:rPr>
        <w:t>, but</w:t>
      </w:r>
      <w:r>
        <w:rPr>
          <w:rFonts w:ascii="Times New Roman" w:hAnsi="Times New Roman"/>
          <w:iCs/>
          <w:szCs w:val="24"/>
        </w:rPr>
        <w:t xml:space="preserve"> now change course to restrict the Company’s return </w:t>
      </w:r>
      <w:r w:rsidR="008E5474">
        <w:rPr>
          <w:rFonts w:ascii="Times New Roman" w:hAnsi="Times New Roman"/>
          <w:iCs/>
          <w:szCs w:val="24"/>
        </w:rPr>
        <w:t xml:space="preserve">when </w:t>
      </w:r>
      <w:r>
        <w:rPr>
          <w:rFonts w:ascii="Times New Roman" w:hAnsi="Times New Roman"/>
          <w:iCs/>
          <w:szCs w:val="24"/>
        </w:rPr>
        <w:t xml:space="preserve">the Company’s CCR ARO compliance costs are under-recovered. </w:t>
      </w:r>
      <w:r w:rsidR="00693782">
        <w:rPr>
          <w:rFonts w:ascii="Times New Roman" w:hAnsi="Times New Roman"/>
          <w:iCs/>
          <w:szCs w:val="24"/>
        </w:rPr>
        <w:t>(</w:t>
      </w:r>
      <w:r w:rsidR="00693782" w:rsidRPr="00F214C6">
        <w:rPr>
          <w:rFonts w:ascii="Times New Roman" w:hAnsi="Times New Roman"/>
          <w:i/>
          <w:iCs/>
          <w:szCs w:val="24"/>
        </w:rPr>
        <w:t>Id.</w:t>
      </w:r>
      <w:r w:rsidR="00693782">
        <w:rPr>
          <w:rFonts w:ascii="Times New Roman" w:hAnsi="Times New Roman"/>
          <w:iCs/>
          <w:szCs w:val="24"/>
        </w:rPr>
        <w:t xml:space="preserve">) </w:t>
      </w:r>
      <w:r>
        <w:rPr>
          <w:rFonts w:ascii="Times New Roman" w:hAnsi="Times New Roman"/>
          <w:iCs/>
          <w:szCs w:val="24"/>
        </w:rPr>
        <w:t>Further, this type of Commission action destroys the constructive regulatory environment investors and the credit rating agencies expect in Georgia.</w:t>
      </w:r>
    </w:p>
    <w:p w14:paraId="78A2D930" w14:textId="171F4B8A" w:rsidR="00AF7524" w:rsidRPr="00D03DCD" w:rsidRDefault="00AF7524" w:rsidP="00AF7524">
      <w:pPr>
        <w:widowControl/>
        <w:tabs>
          <w:tab w:val="left" w:pos="720"/>
        </w:tabs>
        <w:overflowPunct/>
        <w:autoSpaceDE/>
        <w:autoSpaceDN/>
        <w:adjustRightInd/>
        <w:spacing w:line="480" w:lineRule="auto"/>
        <w:jc w:val="both"/>
        <w:textAlignment w:val="auto"/>
        <w:rPr>
          <w:rFonts w:ascii="Times New Roman" w:hAnsi="Times New Roman"/>
          <w:iCs/>
          <w:szCs w:val="24"/>
        </w:rPr>
      </w:pPr>
      <w:r w:rsidRPr="00D03DCD">
        <w:rPr>
          <w:rFonts w:ascii="Times New Roman" w:hAnsi="Times New Roman"/>
          <w:iCs/>
          <w:szCs w:val="24"/>
        </w:rPr>
        <w:tab/>
      </w:r>
      <w:r w:rsidR="00693782">
        <w:rPr>
          <w:rFonts w:ascii="Times New Roman" w:hAnsi="Times New Roman"/>
          <w:iCs/>
          <w:szCs w:val="24"/>
        </w:rPr>
        <w:t>PIA Staff’s assertion that the Commission has the policy discretion to limit or deny carrying costs is unsupported because it relies on a case that was resolved through a settlement agreement. (</w:t>
      </w:r>
      <w:r w:rsidR="00693782" w:rsidRPr="00C70D65">
        <w:rPr>
          <w:rFonts w:ascii="Times New Roman" w:hAnsi="Times New Roman"/>
          <w:i/>
          <w:iCs/>
          <w:szCs w:val="24"/>
        </w:rPr>
        <w:t>See</w:t>
      </w:r>
      <w:r w:rsidR="00693782">
        <w:rPr>
          <w:rFonts w:ascii="Times New Roman" w:hAnsi="Times New Roman"/>
          <w:iCs/>
          <w:szCs w:val="24"/>
        </w:rPr>
        <w:t xml:space="preserve"> </w:t>
      </w:r>
      <w:r w:rsidR="00693782" w:rsidRPr="00C70D65">
        <w:rPr>
          <w:rFonts w:ascii="Times New Roman" w:hAnsi="Times New Roman"/>
          <w:iCs/>
          <w:szCs w:val="24"/>
        </w:rPr>
        <w:t>Tr</w:t>
      </w:r>
      <w:r w:rsidR="00693782">
        <w:rPr>
          <w:rFonts w:ascii="Times New Roman" w:hAnsi="Times New Roman"/>
          <w:iCs/>
          <w:szCs w:val="24"/>
        </w:rPr>
        <w:t>. 1404.)</w:t>
      </w:r>
      <w:r w:rsidR="00693782" w:rsidRPr="00D03DCD">
        <w:rPr>
          <w:rFonts w:ascii="Times New Roman" w:hAnsi="Times New Roman"/>
          <w:iCs/>
          <w:szCs w:val="24"/>
        </w:rPr>
        <w:t xml:space="preserve"> </w:t>
      </w:r>
      <w:r w:rsidR="00693782">
        <w:rPr>
          <w:rFonts w:ascii="Times New Roman" w:hAnsi="Times New Roman"/>
          <w:iCs/>
          <w:szCs w:val="24"/>
        </w:rPr>
        <w:t xml:space="preserve">During the Staff/Intervenor hearing, the Smith/Trokey Panel referred </w:t>
      </w:r>
      <w:r>
        <w:rPr>
          <w:rFonts w:ascii="Times New Roman" w:hAnsi="Times New Roman"/>
          <w:iCs/>
          <w:szCs w:val="24"/>
        </w:rPr>
        <w:t xml:space="preserve">to the Commission’s Order in Atlanta Gas Light Company’s Environmental Response Cost Recovery in Docket No. 4167 </w:t>
      </w:r>
      <w:r w:rsidR="003723B0">
        <w:rPr>
          <w:rFonts w:ascii="Times New Roman" w:hAnsi="Times New Roman"/>
          <w:iCs/>
          <w:szCs w:val="24"/>
        </w:rPr>
        <w:t xml:space="preserve">as support for their proposal to limit the Company’s return </w:t>
      </w:r>
      <w:r w:rsidR="00F214C6">
        <w:rPr>
          <w:rFonts w:ascii="Times New Roman" w:hAnsi="Times New Roman"/>
          <w:iCs/>
          <w:szCs w:val="24"/>
        </w:rPr>
        <w:t>to</w:t>
      </w:r>
      <w:r w:rsidR="003723B0">
        <w:rPr>
          <w:rFonts w:ascii="Times New Roman" w:hAnsi="Times New Roman"/>
          <w:iCs/>
          <w:szCs w:val="24"/>
        </w:rPr>
        <w:t xml:space="preserve"> the cost of long-term debt. </w:t>
      </w:r>
      <w:r w:rsidR="003723B0">
        <w:rPr>
          <w:rFonts w:ascii="Times New Roman" w:hAnsi="Times New Roman"/>
          <w:i/>
          <w:iCs/>
          <w:szCs w:val="24"/>
        </w:rPr>
        <w:t>See</w:t>
      </w:r>
      <w:r>
        <w:rPr>
          <w:rFonts w:ascii="Times New Roman" w:hAnsi="Times New Roman"/>
          <w:iCs/>
          <w:szCs w:val="24"/>
        </w:rPr>
        <w:t xml:space="preserve"> </w:t>
      </w:r>
      <w:r w:rsidRPr="00E27E1E">
        <w:rPr>
          <w:rFonts w:ascii="Times New Roman" w:hAnsi="Times New Roman"/>
          <w:i/>
          <w:iCs/>
          <w:szCs w:val="24"/>
        </w:rPr>
        <w:t>Order Adopting Settlement Agreement, as Modified, between Atlanta Gas Light Company and Adversary Group Staff</w:t>
      </w:r>
      <w:r w:rsidRPr="00D03DCD">
        <w:rPr>
          <w:rFonts w:ascii="Times New Roman" w:hAnsi="Times New Roman"/>
          <w:iCs/>
          <w:szCs w:val="24"/>
        </w:rPr>
        <w:t>, Docket No. 4167-U, Filing of Atlanta Gas Light Company Environmental Response Cost Recovery Rider (Sept. 1, 1992)</w:t>
      </w:r>
      <w:r w:rsidR="003723B0">
        <w:rPr>
          <w:rFonts w:ascii="Times New Roman" w:hAnsi="Times New Roman"/>
          <w:iCs/>
          <w:szCs w:val="24"/>
        </w:rPr>
        <w:t xml:space="preserve"> (“AGL ERCR Order”)</w:t>
      </w:r>
      <w:r w:rsidRPr="00D03DCD">
        <w:rPr>
          <w:rFonts w:ascii="Times New Roman" w:hAnsi="Times New Roman"/>
          <w:iCs/>
          <w:szCs w:val="24"/>
        </w:rPr>
        <w:t xml:space="preserve">. This order </w:t>
      </w:r>
      <w:r>
        <w:rPr>
          <w:rFonts w:ascii="Times New Roman" w:hAnsi="Times New Roman"/>
          <w:iCs/>
          <w:szCs w:val="24"/>
        </w:rPr>
        <w:t xml:space="preserve">approved </w:t>
      </w:r>
      <w:r w:rsidR="003723B0">
        <w:rPr>
          <w:rFonts w:ascii="Times New Roman" w:hAnsi="Times New Roman"/>
          <w:iCs/>
          <w:szCs w:val="24"/>
        </w:rPr>
        <w:t>a</w:t>
      </w:r>
      <w:r w:rsidRPr="00D03DCD">
        <w:rPr>
          <w:rFonts w:ascii="Times New Roman" w:hAnsi="Times New Roman"/>
          <w:iCs/>
          <w:szCs w:val="24"/>
        </w:rPr>
        <w:t xml:space="preserve"> rider to recover environmental remediation expenses related to manufactured gas plant sites. </w:t>
      </w:r>
      <w:r w:rsidR="003723B0">
        <w:rPr>
          <w:rFonts w:ascii="Times New Roman" w:hAnsi="Times New Roman"/>
          <w:iCs/>
          <w:szCs w:val="24"/>
        </w:rPr>
        <w:t xml:space="preserve">AGL ERCR Order at 1. </w:t>
      </w:r>
      <w:r w:rsidRPr="00D03DCD">
        <w:rPr>
          <w:rFonts w:ascii="Times New Roman" w:hAnsi="Times New Roman"/>
          <w:iCs/>
          <w:szCs w:val="24"/>
        </w:rPr>
        <w:t xml:space="preserve">While PIA Staff is correct that this case involved the recovery of </w:t>
      </w:r>
      <w:r w:rsidR="003723B0">
        <w:rPr>
          <w:rFonts w:ascii="Times New Roman" w:hAnsi="Times New Roman"/>
          <w:iCs/>
          <w:szCs w:val="24"/>
        </w:rPr>
        <w:t xml:space="preserve">expenditures to address an </w:t>
      </w:r>
      <w:r w:rsidRPr="00D03DCD">
        <w:rPr>
          <w:rFonts w:ascii="Times New Roman" w:hAnsi="Times New Roman"/>
          <w:iCs/>
          <w:szCs w:val="24"/>
        </w:rPr>
        <w:t>environmental liability without full carrying costs, the case has little to no bearing on PIA Staff</w:t>
      </w:r>
      <w:r>
        <w:rPr>
          <w:rFonts w:ascii="Times New Roman" w:hAnsi="Times New Roman"/>
          <w:iCs/>
          <w:szCs w:val="24"/>
        </w:rPr>
        <w:t>’</w:t>
      </w:r>
      <w:r w:rsidRPr="00D03DCD">
        <w:rPr>
          <w:rFonts w:ascii="Times New Roman" w:hAnsi="Times New Roman"/>
          <w:iCs/>
          <w:szCs w:val="24"/>
        </w:rPr>
        <w:t xml:space="preserve">s proposal for several reasons. Unlike PIA </w:t>
      </w:r>
      <w:r w:rsidRPr="00D03DCD">
        <w:rPr>
          <w:rFonts w:ascii="Times New Roman" w:hAnsi="Times New Roman"/>
          <w:iCs/>
          <w:szCs w:val="24"/>
        </w:rPr>
        <w:lastRenderedPageBreak/>
        <w:t>Staff</w:t>
      </w:r>
      <w:r>
        <w:rPr>
          <w:rFonts w:ascii="Times New Roman" w:hAnsi="Times New Roman"/>
          <w:iCs/>
          <w:szCs w:val="24"/>
        </w:rPr>
        <w:t>’</w:t>
      </w:r>
      <w:r w:rsidRPr="00D03DCD">
        <w:rPr>
          <w:rFonts w:ascii="Times New Roman" w:hAnsi="Times New Roman"/>
          <w:iCs/>
          <w:szCs w:val="24"/>
        </w:rPr>
        <w:t>s proposal</w:t>
      </w:r>
      <w:r>
        <w:rPr>
          <w:rFonts w:ascii="Times New Roman" w:hAnsi="Times New Roman"/>
          <w:iCs/>
          <w:szCs w:val="24"/>
        </w:rPr>
        <w:t xml:space="preserve"> here</w:t>
      </w:r>
      <w:r w:rsidRPr="00D03DCD">
        <w:rPr>
          <w:rFonts w:ascii="Times New Roman" w:hAnsi="Times New Roman"/>
          <w:iCs/>
          <w:szCs w:val="24"/>
        </w:rPr>
        <w:t>, the cited case involved the Commission</w:t>
      </w:r>
      <w:r>
        <w:rPr>
          <w:rFonts w:ascii="Times New Roman" w:hAnsi="Times New Roman"/>
          <w:iCs/>
          <w:szCs w:val="24"/>
        </w:rPr>
        <w:t>’</w:t>
      </w:r>
      <w:r w:rsidRPr="00D03DCD">
        <w:rPr>
          <w:rFonts w:ascii="Times New Roman" w:hAnsi="Times New Roman"/>
          <w:iCs/>
          <w:szCs w:val="24"/>
        </w:rPr>
        <w:t xml:space="preserve">s approval of a settlement agreement. </w:t>
      </w:r>
      <w:r w:rsidR="003723B0">
        <w:rPr>
          <w:rFonts w:ascii="Times New Roman" w:hAnsi="Times New Roman"/>
          <w:iCs/>
          <w:szCs w:val="24"/>
        </w:rPr>
        <w:t xml:space="preserve">AGL ERCR Order at 2. </w:t>
      </w:r>
      <w:r w:rsidRPr="00D03DCD">
        <w:rPr>
          <w:rFonts w:ascii="Times New Roman" w:hAnsi="Times New Roman"/>
          <w:iCs/>
          <w:szCs w:val="24"/>
        </w:rPr>
        <w:t>A utility</w:t>
      </w:r>
      <w:r>
        <w:rPr>
          <w:rFonts w:ascii="Times New Roman" w:hAnsi="Times New Roman"/>
          <w:iCs/>
          <w:szCs w:val="24"/>
        </w:rPr>
        <w:t>’</w:t>
      </w:r>
      <w:r w:rsidRPr="00D03DCD">
        <w:rPr>
          <w:rFonts w:ascii="Times New Roman" w:hAnsi="Times New Roman"/>
          <w:iCs/>
          <w:szCs w:val="24"/>
        </w:rPr>
        <w:t xml:space="preserve">s </w:t>
      </w:r>
      <w:r w:rsidRPr="00803A9B">
        <w:rPr>
          <w:rFonts w:ascii="Times New Roman" w:hAnsi="Times New Roman"/>
          <w:iCs/>
          <w:szCs w:val="24"/>
        </w:rPr>
        <w:t>agreement</w:t>
      </w:r>
      <w:r w:rsidRPr="00D03DCD">
        <w:rPr>
          <w:rFonts w:ascii="Times New Roman" w:hAnsi="Times New Roman"/>
          <w:iCs/>
          <w:szCs w:val="24"/>
        </w:rPr>
        <w:t xml:space="preserve"> to forego carrying costs in exchange for other concessions does not indicate that the arrangement reached can or should be unilaterally imposed on the </w:t>
      </w:r>
      <w:r>
        <w:rPr>
          <w:rFonts w:ascii="Times New Roman" w:hAnsi="Times New Roman"/>
          <w:iCs/>
          <w:szCs w:val="24"/>
        </w:rPr>
        <w:t xml:space="preserve">same </w:t>
      </w:r>
      <w:r w:rsidRPr="00D03DCD">
        <w:rPr>
          <w:rFonts w:ascii="Times New Roman" w:hAnsi="Times New Roman"/>
          <w:iCs/>
          <w:szCs w:val="24"/>
        </w:rPr>
        <w:t>utility</w:t>
      </w:r>
      <w:r>
        <w:rPr>
          <w:rFonts w:ascii="Times New Roman" w:hAnsi="Times New Roman"/>
          <w:iCs/>
          <w:szCs w:val="24"/>
        </w:rPr>
        <w:t xml:space="preserve"> in the future</w:t>
      </w:r>
      <w:r w:rsidR="003723B0">
        <w:rPr>
          <w:rFonts w:ascii="Times New Roman" w:hAnsi="Times New Roman"/>
          <w:iCs/>
          <w:szCs w:val="24"/>
        </w:rPr>
        <w:t>,</w:t>
      </w:r>
      <w:r>
        <w:rPr>
          <w:rFonts w:ascii="Times New Roman" w:hAnsi="Times New Roman"/>
          <w:iCs/>
          <w:szCs w:val="24"/>
        </w:rPr>
        <w:t xml:space="preserve"> let alone a separate utility in a different industry</w:t>
      </w:r>
      <w:r w:rsidRPr="00D03DCD">
        <w:rPr>
          <w:rFonts w:ascii="Times New Roman" w:hAnsi="Times New Roman"/>
          <w:iCs/>
          <w:szCs w:val="24"/>
        </w:rPr>
        <w:t xml:space="preserve">. Settlement agreements reflect a give and take among the parties to obtain a mutually agreeable outcome. </w:t>
      </w:r>
      <w:r w:rsidR="003723B0">
        <w:rPr>
          <w:rFonts w:ascii="Times New Roman" w:hAnsi="Times New Roman"/>
          <w:iCs/>
          <w:szCs w:val="24"/>
        </w:rPr>
        <w:t>The AGL ERCR Order</w:t>
      </w:r>
      <w:r w:rsidR="003723B0" w:rsidRPr="00D03DCD">
        <w:rPr>
          <w:rFonts w:ascii="Times New Roman" w:hAnsi="Times New Roman"/>
          <w:iCs/>
          <w:szCs w:val="24"/>
        </w:rPr>
        <w:t xml:space="preserve"> </w:t>
      </w:r>
      <w:r w:rsidRPr="00D03DCD">
        <w:rPr>
          <w:rFonts w:ascii="Times New Roman" w:hAnsi="Times New Roman"/>
          <w:iCs/>
          <w:szCs w:val="24"/>
        </w:rPr>
        <w:t xml:space="preserve">contained many other provisions that must be considered in the context of the settlement agreement. For example, </w:t>
      </w:r>
      <w:r w:rsidR="003723B0">
        <w:rPr>
          <w:rFonts w:ascii="Times New Roman" w:hAnsi="Times New Roman"/>
          <w:iCs/>
          <w:szCs w:val="24"/>
        </w:rPr>
        <w:t xml:space="preserve">the settlement agreement limited challenges that the parties could bring regarding pre-1991 manufactured gas plant operations, waste disposal, and decommissioning activities </w:t>
      </w:r>
      <w:r w:rsidR="003723B0" w:rsidRPr="00D03DCD">
        <w:rPr>
          <w:rFonts w:ascii="Times New Roman" w:hAnsi="Times New Roman"/>
          <w:iCs/>
          <w:szCs w:val="24"/>
        </w:rPr>
        <w:t xml:space="preserve">and </w:t>
      </w:r>
      <w:r w:rsidR="003723B0">
        <w:rPr>
          <w:rFonts w:ascii="Times New Roman" w:hAnsi="Times New Roman"/>
          <w:iCs/>
          <w:szCs w:val="24"/>
        </w:rPr>
        <w:t xml:space="preserve">set an </w:t>
      </w:r>
      <w:r w:rsidR="003723B0" w:rsidRPr="00D03DCD">
        <w:rPr>
          <w:rFonts w:ascii="Times New Roman" w:hAnsi="Times New Roman"/>
          <w:iCs/>
          <w:szCs w:val="24"/>
        </w:rPr>
        <w:t>allocation of proceeds from insurance claims.</w:t>
      </w:r>
      <w:r w:rsidR="003723B0">
        <w:rPr>
          <w:rFonts w:ascii="Times New Roman" w:hAnsi="Times New Roman"/>
          <w:iCs/>
          <w:szCs w:val="24"/>
        </w:rPr>
        <w:t xml:space="preserve"> AGL ERCR Order Appendix 1 at 8-9.</w:t>
      </w:r>
      <w:r w:rsidR="003723B0" w:rsidRPr="00D03DCD">
        <w:rPr>
          <w:rFonts w:ascii="Times New Roman" w:hAnsi="Times New Roman"/>
          <w:iCs/>
          <w:szCs w:val="24"/>
        </w:rPr>
        <w:t xml:space="preserve"> </w:t>
      </w:r>
      <w:r w:rsidR="003723B0">
        <w:rPr>
          <w:rFonts w:ascii="Times New Roman" w:hAnsi="Times New Roman"/>
          <w:iCs/>
          <w:szCs w:val="24"/>
        </w:rPr>
        <w:t xml:space="preserve">In contrast to the AGL ERCR Order, </w:t>
      </w:r>
      <w:r w:rsidR="003723B0" w:rsidRPr="00D03DCD">
        <w:rPr>
          <w:rFonts w:ascii="Times New Roman" w:hAnsi="Times New Roman"/>
          <w:iCs/>
          <w:szCs w:val="24"/>
        </w:rPr>
        <w:t>PIA Staff</w:t>
      </w:r>
      <w:r w:rsidR="003723B0">
        <w:rPr>
          <w:rFonts w:ascii="Times New Roman" w:hAnsi="Times New Roman"/>
          <w:iCs/>
          <w:szCs w:val="24"/>
        </w:rPr>
        <w:t>’</w:t>
      </w:r>
      <w:r w:rsidR="003723B0" w:rsidRPr="00D03DCD">
        <w:rPr>
          <w:rFonts w:ascii="Times New Roman" w:hAnsi="Times New Roman"/>
          <w:iCs/>
          <w:szCs w:val="24"/>
        </w:rPr>
        <w:t>s proposal to limit the financing cost for CCR ARO</w:t>
      </w:r>
      <w:r w:rsidR="003723B0">
        <w:rPr>
          <w:rFonts w:ascii="Times New Roman" w:hAnsi="Times New Roman"/>
          <w:iCs/>
          <w:szCs w:val="24"/>
        </w:rPr>
        <w:t xml:space="preserve"> compliance costs in this case</w:t>
      </w:r>
      <w:r w:rsidR="003723B0" w:rsidRPr="00D03DCD">
        <w:rPr>
          <w:rFonts w:ascii="Times New Roman" w:hAnsi="Times New Roman"/>
          <w:iCs/>
          <w:szCs w:val="24"/>
        </w:rPr>
        <w:t xml:space="preserve"> is not part of a mutually</w:t>
      </w:r>
      <w:r w:rsidR="003723B0">
        <w:rPr>
          <w:rFonts w:ascii="Times New Roman" w:hAnsi="Times New Roman"/>
          <w:iCs/>
          <w:szCs w:val="24"/>
        </w:rPr>
        <w:t xml:space="preserve"> </w:t>
      </w:r>
      <w:r w:rsidR="003723B0" w:rsidRPr="00D03DCD">
        <w:rPr>
          <w:rFonts w:ascii="Times New Roman" w:hAnsi="Times New Roman"/>
          <w:iCs/>
          <w:szCs w:val="24"/>
        </w:rPr>
        <w:t>agreed</w:t>
      </w:r>
      <w:r w:rsidR="003723B0">
        <w:rPr>
          <w:rFonts w:ascii="Times New Roman" w:hAnsi="Times New Roman"/>
          <w:iCs/>
          <w:szCs w:val="24"/>
        </w:rPr>
        <w:t xml:space="preserve"> resolution of issues. Consequently, the AGL ERCR Order offers no </w:t>
      </w:r>
      <w:r w:rsidR="003723B0" w:rsidRPr="00D03DCD">
        <w:rPr>
          <w:rFonts w:ascii="Times New Roman" w:hAnsi="Times New Roman"/>
          <w:iCs/>
          <w:szCs w:val="24"/>
        </w:rPr>
        <w:t>precedent</w:t>
      </w:r>
      <w:r w:rsidR="003723B0">
        <w:rPr>
          <w:rFonts w:ascii="Times New Roman" w:hAnsi="Times New Roman"/>
          <w:iCs/>
          <w:szCs w:val="24"/>
        </w:rPr>
        <w:t>ial value</w:t>
      </w:r>
      <w:r w:rsidR="003723B0" w:rsidRPr="00D03DCD">
        <w:rPr>
          <w:rFonts w:ascii="Times New Roman" w:hAnsi="Times New Roman"/>
          <w:iCs/>
          <w:szCs w:val="24"/>
        </w:rPr>
        <w:t xml:space="preserve"> </w:t>
      </w:r>
      <w:r w:rsidR="003723B0">
        <w:rPr>
          <w:rFonts w:ascii="Times New Roman" w:hAnsi="Times New Roman"/>
          <w:iCs/>
          <w:szCs w:val="24"/>
        </w:rPr>
        <w:t>for reducing the carrying costs applicable to the Company’s CCR ARO compliance costs.</w:t>
      </w:r>
    </w:p>
    <w:p w14:paraId="1A72F5DC" w14:textId="35924B79" w:rsidR="00AF7524" w:rsidRPr="00D03DCD" w:rsidRDefault="00AF7524" w:rsidP="00AF7524">
      <w:pPr>
        <w:widowControl/>
        <w:tabs>
          <w:tab w:val="left" w:pos="720"/>
        </w:tabs>
        <w:overflowPunct/>
        <w:autoSpaceDE/>
        <w:autoSpaceDN/>
        <w:adjustRightInd/>
        <w:spacing w:line="480" w:lineRule="auto"/>
        <w:jc w:val="both"/>
        <w:textAlignment w:val="auto"/>
        <w:rPr>
          <w:rFonts w:ascii="Times New Roman" w:hAnsi="Times New Roman"/>
          <w:iCs/>
          <w:szCs w:val="24"/>
        </w:rPr>
      </w:pPr>
      <w:r w:rsidRPr="00D03DCD">
        <w:rPr>
          <w:rFonts w:ascii="Times New Roman" w:hAnsi="Times New Roman"/>
          <w:iCs/>
          <w:szCs w:val="24"/>
        </w:rPr>
        <w:tab/>
        <w:t xml:space="preserve">Similarly, the application of short-term debt rates for over- or under-recovered amounts in the context of fuel cost recovery provides no support for </w:t>
      </w:r>
      <w:r w:rsidR="00701DD4">
        <w:rPr>
          <w:rFonts w:ascii="Times New Roman" w:hAnsi="Times New Roman"/>
          <w:iCs/>
          <w:szCs w:val="24"/>
        </w:rPr>
        <w:t xml:space="preserve">GIG/GAM </w:t>
      </w:r>
      <w:r>
        <w:rPr>
          <w:rFonts w:ascii="Times New Roman" w:hAnsi="Times New Roman"/>
          <w:iCs/>
          <w:szCs w:val="24"/>
        </w:rPr>
        <w:t>W</w:t>
      </w:r>
      <w:r w:rsidRPr="00D03DCD">
        <w:rPr>
          <w:rFonts w:ascii="Times New Roman" w:hAnsi="Times New Roman"/>
          <w:iCs/>
          <w:szCs w:val="24"/>
        </w:rPr>
        <w:t>itness La</w:t>
      </w:r>
      <w:r>
        <w:rPr>
          <w:rFonts w:ascii="Times New Roman" w:hAnsi="Times New Roman"/>
          <w:iCs/>
          <w:szCs w:val="24"/>
        </w:rPr>
        <w:t>C</w:t>
      </w:r>
      <w:r w:rsidRPr="00D03DCD">
        <w:rPr>
          <w:rFonts w:ascii="Times New Roman" w:hAnsi="Times New Roman"/>
          <w:iCs/>
          <w:szCs w:val="24"/>
        </w:rPr>
        <w:t>onte</w:t>
      </w:r>
      <w:r>
        <w:rPr>
          <w:rFonts w:ascii="Times New Roman" w:hAnsi="Times New Roman"/>
          <w:iCs/>
          <w:szCs w:val="24"/>
        </w:rPr>
        <w:t>’</w:t>
      </w:r>
      <w:r w:rsidRPr="00D03DCD">
        <w:rPr>
          <w:rFonts w:ascii="Times New Roman" w:hAnsi="Times New Roman"/>
          <w:iCs/>
          <w:szCs w:val="24"/>
        </w:rPr>
        <w:t>s position. (</w:t>
      </w:r>
      <w:r w:rsidRPr="00D03DCD">
        <w:rPr>
          <w:rFonts w:ascii="Times New Roman" w:hAnsi="Times New Roman"/>
          <w:i/>
          <w:iCs/>
          <w:szCs w:val="24"/>
        </w:rPr>
        <w:t xml:space="preserve">See </w:t>
      </w:r>
      <w:r w:rsidR="00C545C6">
        <w:rPr>
          <w:rFonts w:ascii="Times New Roman" w:hAnsi="Times New Roman"/>
          <w:iCs/>
          <w:szCs w:val="24"/>
        </w:rPr>
        <w:t>Tr. 1880</w:t>
      </w:r>
      <w:r w:rsidRPr="00D03DCD">
        <w:rPr>
          <w:rFonts w:ascii="Times New Roman" w:hAnsi="Times New Roman"/>
          <w:iCs/>
          <w:szCs w:val="24"/>
        </w:rPr>
        <w:t xml:space="preserve">.) </w:t>
      </w:r>
      <w:r w:rsidR="00EE7E52">
        <w:rPr>
          <w:rFonts w:ascii="Times New Roman" w:hAnsi="Times New Roman"/>
          <w:iCs/>
          <w:szCs w:val="24"/>
        </w:rPr>
        <w:t>Unlike the</w:t>
      </w:r>
      <w:r w:rsidRPr="00D03DCD">
        <w:rPr>
          <w:rFonts w:ascii="Times New Roman" w:hAnsi="Times New Roman"/>
          <w:iCs/>
          <w:szCs w:val="24"/>
        </w:rPr>
        <w:t xml:space="preserve"> over- or under-recovered fuel balances</w:t>
      </w:r>
      <w:r w:rsidR="00EE7E52">
        <w:rPr>
          <w:rFonts w:ascii="Times New Roman" w:hAnsi="Times New Roman"/>
          <w:iCs/>
          <w:szCs w:val="24"/>
        </w:rPr>
        <w:t>,</w:t>
      </w:r>
      <w:r w:rsidRPr="00D03DCD">
        <w:rPr>
          <w:rFonts w:ascii="Times New Roman" w:hAnsi="Times New Roman"/>
          <w:iCs/>
          <w:szCs w:val="24"/>
        </w:rPr>
        <w:t xml:space="preserve"> CCR ARO compliance costs </w:t>
      </w:r>
      <w:r w:rsidR="00C545C6">
        <w:rPr>
          <w:rFonts w:ascii="Times New Roman" w:hAnsi="Times New Roman"/>
          <w:iCs/>
          <w:szCs w:val="24"/>
        </w:rPr>
        <w:t>include rate base investments that are entitled to full carry</w:t>
      </w:r>
      <w:r w:rsidR="006F076B">
        <w:rPr>
          <w:rFonts w:ascii="Times New Roman" w:hAnsi="Times New Roman"/>
          <w:iCs/>
          <w:szCs w:val="24"/>
        </w:rPr>
        <w:t>ing</w:t>
      </w:r>
      <w:r w:rsidR="00C545C6">
        <w:rPr>
          <w:rFonts w:ascii="Times New Roman" w:hAnsi="Times New Roman"/>
          <w:iCs/>
          <w:szCs w:val="24"/>
        </w:rPr>
        <w:t xml:space="preserve"> costs</w:t>
      </w:r>
      <w:r w:rsidR="00C545C6" w:rsidRPr="00D03DCD">
        <w:rPr>
          <w:rFonts w:ascii="Times New Roman" w:hAnsi="Times New Roman"/>
          <w:iCs/>
          <w:szCs w:val="24"/>
        </w:rPr>
        <w:t>.</w:t>
      </w:r>
      <w:r w:rsidR="00C545C6">
        <w:rPr>
          <w:rFonts w:ascii="Times New Roman" w:hAnsi="Times New Roman"/>
          <w:iCs/>
          <w:szCs w:val="24"/>
        </w:rPr>
        <w:t xml:space="preserve"> (Tr. 2641.)</w:t>
      </w:r>
      <w:r w:rsidR="00C545C6" w:rsidRPr="00D03DCD">
        <w:rPr>
          <w:rFonts w:ascii="Times New Roman" w:hAnsi="Times New Roman"/>
          <w:iCs/>
          <w:szCs w:val="24"/>
        </w:rPr>
        <w:t xml:space="preserve"> </w:t>
      </w:r>
      <w:r w:rsidR="00C545C6">
        <w:rPr>
          <w:rFonts w:ascii="Times New Roman" w:hAnsi="Times New Roman"/>
          <w:iCs/>
          <w:szCs w:val="24"/>
        </w:rPr>
        <w:t xml:space="preserve">Financing long-term expenses that will occur over many decades using short-term debt is not in the best interest of either the Company or customers. (Tr. 2713.) </w:t>
      </w:r>
      <w:r w:rsidRPr="00D03DCD">
        <w:rPr>
          <w:rFonts w:ascii="Times New Roman" w:hAnsi="Times New Roman"/>
          <w:iCs/>
          <w:szCs w:val="24"/>
        </w:rPr>
        <w:t xml:space="preserve">Customers benefited from the electricity generated from coal plants for decades, and coal ash is a </w:t>
      </w:r>
      <w:r>
        <w:rPr>
          <w:rFonts w:ascii="Times New Roman" w:hAnsi="Times New Roman"/>
          <w:iCs/>
          <w:szCs w:val="24"/>
        </w:rPr>
        <w:t xml:space="preserve">necessary </w:t>
      </w:r>
      <w:r w:rsidRPr="00D03DCD">
        <w:rPr>
          <w:rFonts w:ascii="Times New Roman" w:hAnsi="Times New Roman"/>
          <w:iCs/>
          <w:szCs w:val="24"/>
        </w:rPr>
        <w:t xml:space="preserve">by-product of coal-fired generation. </w:t>
      </w:r>
      <w:r w:rsidR="00C545C6">
        <w:rPr>
          <w:rFonts w:ascii="Times New Roman" w:hAnsi="Times New Roman"/>
          <w:iCs/>
          <w:szCs w:val="24"/>
        </w:rPr>
        <w:t xml:space="preserve">(Tr. 2641.) </w:t>
      </w:r>
      <w:r w:rsidR="00C81C2F">
        <w:rPr>
          <w:rFonts w:ascii="Times New Roman" w:hAnsi="Times New Roman"/>
          <w:iCs/>
          <w:szCs w:val="24"/>
        </w:rPr>
        <w:t xml:space="preserve">Moreover, </w:t>
      </w:r>
      <w:r w:rsidR="00C81C2F" w:rsidRPr="00C81C2F">
        <w:rPr>
          <w:rFonts w:ascii="Times New Roman" w:hAnsi="Times New Roman"/>
          <w:iCs/>
          <w:szCs w:val="24"/>
        </w:rPr>
        <w:t>customers continue to benefit from</w:t>
      </w:r>
      <w:r w:rsidR="00C81C2F">
        <w:rPr>
          <w:rFonts w:ascii="Times New Roman" w:hAnsi="Times New Roman"/>
          <w:iCs/>
          <w:szCs w:val="24"/>
        </w:rPr>
        <w:t xml:space="preserve"> the Company’s</w:t>
      </w:r>
      <w:r w:rsidR="00C81C2F" w:rsidRPr="00C81C2F">
        <w:rPr>
          <w:rFonts w:ascii="Times New Roman" w:hAnsi="Times New Roman"/>
          <w:iCs/>
          <w:szCs w:val="24"/>
        </w:rPr>
        <w:t xml:space="preserve"> coal</w:t>
      </w:r>
      <w:r w:rsidR="00C81C2F">
        <w:rPr>
          <w:rFonts w:ascii="Times New Roman" w:hAnsi="Times New Roman"/>
          <w:iCs/>
          <w:szCs w:val="24"/>
        </w:rPr>
        <w:t>-</w:t>
      </w:r>
      <w:r w:rsidR="00C81C2F" w:rsidRPr="00C81C2F">
        <w:rPr>
          <w:rFonts w:ascii="Times New Roman" w:hAnsi="Times New Roman"/>
          <w:iCs/>
          <w:szCs w:val="24"/>
        </w:rPr>
        <w:t xml:space="preserve">fired generating plants and their associated ash ponds. Plants Bowen, Wansley and Scherer are three of </w:t>
      </w:r>
      <w:r w:rsidR="00C81C2F">
        <w:rPr>
          <w:rFonts w:ascii="Times New Roman" w:hAnsi="Times New Roman"/>
          <w:iCs/>
          <w:szCs w:val="24"/>
        </w:rPr>
        <w:t>the Company’s</w:t>
      </w:r>
      <w:r w:rsidR="00C81C2F" w:rsidRPr="00C81C2F">
        <w:rPr>
          <w:rFonts w:ascii="Times New Roman" w:hAnsi="Times New Roman"/>
          <w:iCs/>
          <w:szCs w:val="24"/>
        </w:rPr>
        <w:t xml:space="preserve"> largest coal plants </w:t>
      </w:r>
      <w:r w:rsidR="00C81C2F">
        <w:rPr>
          <w:rFonts w:ascii="Times New Roman" w:hAnsi="Times New Roman"/>
          <w:iCs/>
          <w:szCs w:val="24"/>
        </w:rPr>
        <w:t>that</w:t>
      </w:r>
      <w:r w:rsidR="00C81C2F" w:rsidRPr="00C81C2F">
        <w:rPr>
          <w:rFonts w:ascii="Times New Roman" w:hAnsi="Times New Roman"/>
          <w:iCs/>
          <w:szCs w:val="24"/>
        </w:rPr>
        <w:t xml:space="preserve"> all continue to operate</w:t>
      </w:r>
      <w:r w:rsidR="00C81C2F">
        <w:rPr>
          <w:rFonts w:ascii="Times New Roman" w:hAnsi="Times New Roman"/>
          <w:iCs/>
          <w:szCs w:val="24"/>
        </w:rPr>
        <w:t xml:space="preserve"> and serve customers today</w:t>
      </w:r>
      <w:r w:rsidR="00C81C2F" w:rsidRPr="00C81C2F">
        <w:rPr>
          <w:rFonts w:ascii="Times New Roman" w:hAnsi="Times New Roman"/>
          <w:iCs/>
          <w:szCs w:val="24"/>
        </w:rPr>
        <w:t xml:space="preserve">. </w:t>
      </w:r>
      <w:r w:rsidRPr="00D03DCD">
        <w:rPr>
          <w:rFonts w:ascii="Times New Roman" w:hAnsi="Times New Roman"/>
          <w:iCs/>
          <w:szCs w:val="24"/>
        </w:rPr>
        <w:t xml:space="preserve">Further, the Company </w:t>
      </w:r>
      <w:r w:rsidRPr="00D03DCD">
        <w:rPr>
          <w:rFonts w:ascii="Times New Roman" w:hAnsi="Times New Roman"/>
          <w:iCs/>
          <w:szCs w:val="24"/>
        </w:rPr>
        <w:lastRenderedPageBreak/>
        <w:t>applies short-term debt to non-rate base ass</w:t>
      </w:r>
      <w:r w:rsidR="00C5709F">
        <w:rPr>
          <w:rFonts w:ascii="Times New Roman" w:hAnsi="Times New Roman"/>
          <w:iCs/>
          <w:szCs w:val="24"/>
        </w:rPr>
        <w:t>e</w:t>
      </w:r>
      <w:r w:rsidRPr="00D03DCD">
        <w:rPr>
          <w:rFonts w:ascii="Times New Roman" w:hAnsi="Times New Roman"/>
          <w:iCs/>
          <w:szCs w:val="24"/>
        </w:rPr>
        <w:t xml:space="preserve">ts in two instances. First, the short-term debt is applied to the fuel balance. Second, it is applied to </w:t>
      </w:r>
      <w:r w:rsidR="00701DD4">
        <w:rPr>
          <w:rFonts w:ascii="Times New Roman" w:hAnsi="Times New Roman"/>
          <w:iCs/>
          <w:szCs w:val="24"/>
        </w:rPr>
        <w:t>construction work in progress (</w:t>
      </w:r>
      <w:r w:rsidRPr="00D03DCD">
        <w:rPr>
          <w:rFonts w:ascii="Times New Roman" w:hAnsi="Times New Roman"/>
          <w:iCs/>
          <w:szCs w:val="24"/>
        </w:rPr>
        <w:t>CWIP</w:t>
      </w:r>
      <w:r w:rsidR="00701DD4">
        <w:rPr>
          <w:rFonts w:ascii="Times New Roman" w:hAnsi="Times New Roman"/>
          <w:iCs/>
          <w:szCs w:val="24"/>
        </w:rPr>
        <w:t>)</w:t>
      </w:r>
      <w:r w:rsidRPr="00D03DCD">
        <w:rPr>
          <w:rFonts w:ascii="Times New Roman" w:hAnsi="Times New Roman"/>
          <w:iCs/>
          <w:szCs w:val="24"/>
        </w:rPr>
        <w:t xml:space="preserve">. </w:t>
      </w:r>
      <w:r w:rsidR="00350042">
        <w:rPr>
          <w:rFonts w:ascii="Times New Roman" w:hAnsi="Times New Roman"/>
          <w:iCs/>
          <w:szCs w:val="24"/>
        </w:rPr>
        <w:t>(</w:t>
      </w:r>
      <w:r w:rsidR="00350042" w:rsidRPr="00F214C6">
        <w:rPr>
          <w:rFonts w:ascii="Times New Roman" w:hAnsi="Times New Roman"/>
          <w:i/>
          <w:iCs/>
          <w:szCs w:val="24"/>
        </w:rPr>
        <w:t>Id</w:t>
      </w:r>
      <w:r w:rsidR="00350042">
        <w:rPr>
          <w:rFonts w:ascii="Times New Roman" w:hAnsi="Times New Roman"/>
          <w:iCs/>
          <w:szCs w:val="24"/>
        </w:rPr>
        <w:t xml:space="preserve">.) </w:t>
      </w:r>
      <w:r>
        <w:rPr>
          <w:rFonts w:ascii="Times New Roman" w:hAnsi="Times New Roman"/>
          <w:iCs/>
          <w:szCs w:val="24"/>
        </w:rPr>
        <w:t>T</w:t>
      </w:r>
      <w:r w:rsidRPr="00D03DCD">
        <w:rPr>
          <w:rFonts w:ascii="Times New Roman" w:hAnsi="Times New Roman"/>
          <w:iCs/>
          <w:szCs w:val="24"/>
        </w:rPr>
        <w:t>herefore</w:t>
      </w:r>
      <w:r>
        <w:rPr>
          <w:rFonts w:ascii="Times New Roman" w:hAnsi="Times New Roman"/>
          <w:iCs/>
          <w:szCs w:val="24"/>
        </w:rPr>
        <w:t>, t</w:t>
      </w:r>
      <w:r w:rsidRPr="00D03DCD">
        <w:rPr>
          <w:rFonts w:ascii="Times New Roman" w:hAnsi="Times New Roman"/>
          <w:iCs/>
          <w:szCs w:val="24"/>
        </w:rPr>
        <w:t>here is no short-term debt left to apply to CCR ARO costs.</w:t>
      </w:r>
    </w:p>
    <w:p w14:paraId="474EB04B" w14:textId="48A593F3" w:rsidR="00AF7524" w:rsidRPr="00D03DCD" w:rsidRDefault="00AF7524" w:rsidP="00AF7524">
      <w:pPr>
        <w:widowControl/>
        <w:tabs>
          <w:tab w:val="left" w:pos="720"/>
        </w:tabs>
        <w:overflowPunct/>
        <w:autoSpaceDE/>
        <w:autoSpaceDN/>
        <w:adjustRightInd/>
        <w:spacing w:line="480" w:lineRule="auto"/>
        <w:jc w:val="both"/>
        <w:textAlignment w:val="auto"/>
        <w:rPr>
          <w:rFonts w:ascii="Times New Roman" w:hAnsi="Times New Roman"/>
          <w:iCs/>
          <w:szCs w:val="24"/>
        </w:rPr>
      </w:pPr>
      <w:r>
        <w:rPr>
          <w:rFonts w:ascii="Times New Roman" w:hAnsi="Times New Roman"/>
          <w:iCs/>
          <w:szCs w:val="24"/>
        </w:rPr>
        <w:tab/>
      </w:r>
      <w:r w:rsidR="00350042">
        <w:rPr>
          <w:rFonts w:ascii="Times New Roman" w:hAnsi="Times New Roman"/>
          <w:iCs/>
          <w:szCs w:val="24"/>
        </w:rPr>
        <w:t xml:space="preserve">The three rationales that PIA Staff provided for the Commission’s consideration regarding the financing of CCR AROs do not justify the application of a lower financing rate. PIA Staff’s three rationales are that CCR AROs (1) do not provide energy or capacity, (2) place a burden on customers without offsetting benefits, and (3) will be recovered in a timely manner under PIA Staff’s recommended recovery period. (Tr. 1213.) </w:t>
      </w:r>
      <w:r w:rsidRPr="00D03DCD">
        <w:rPr>
          <w:rFonts w:ascii="Times New Roman" w:hAnsi="Times New Roman"/>
          <w:iCs/>
          <w:szCs w:val="24"/>
        </w:rPr>
        <w:t xml:space="preserve">PIA Staff has not suggested that the Company </w:t>
      </w:r>
      <w:r w:rsidR="008E5474">
        <w:rPr>
          <w:rFonts w:ascii="Times New Roman" w:hAnsi="Times New Roman"/>
          <w:iCs/>
          <w:szCs w:val="24"/>
        </w:rPr>
        <w:t>failed to comply</w:t>
      </w:r>
      <w:r w:rsidRPr="00D03DCD">
        <w:rPr>
          <w:rFonts w:ascii="Times New Roman" w:hAnsi="Times New Roman"/>
          <w:iCs/>
          <w:szCs w:val="24"/>
        </w:rPr>
        <w:t xml:space="preserve"> with environmental regulations and has not proposed a prudency disallowance. (Tr. 1391, 1400.) </w:t>
      </w:r>
      <w:r w:rsidR="00350042">
        <w:rPr>
          <w:rFonts w:ascii="Times New Roman" w:hAnsi="Times New Roman"/>
          <w:iCs/>
          <w:szCs w:val="24"/>
        </w:rPr>
        <w:t>These three rationales do not provide sufficient justification for setting financing costs at a level other than the Company’s actual cost of capital.</w:t>
      </w:r>
    </w:p>
    <w:p w14:paraId="30CE1001" w14:textId="38EC0FAC" w:rsidR="00AF7524" w:rsidRPr="00D03DCD" w:rsidRDefault="00AF7524" w:rsidP="00AF7524">
      <w:pPr>
        <w:widowControl/>
        <w:tabs>
          <w:tab w:val="left" w:pos="720"/>
        </w:tabs>
        <w:overflowPunct/>
        <w:autoSpaceDE/>
        <w:autoSpaceDN/>
        <w:adjustRightInd/>
        <w:spacing w:line="480" w:lineRule="auto"/>
        <w:jc w:val="both"/>
        <w:textAlignment w:val="auto"/>
        <w:rPr>
          <w:rFonts w:ascii="Times New Roman" w:hAnsi="Times New Roman"/>
          <w:iCs/>
          <w:szCs w:val="24"/>
        </w:rPr>
      </w:pPr>
      <w:r w:rsidRPr="00D03DCD">
        <w:rPr>
          <w:rFonts w:ascii="Times New Roman" w:hAnsi="Times New Roman"/>
          <w:iCs/>
          <w:szCs w:val="24"/>
        </w:rPr>
        <w:tab/>
        <w:t>The first reason advanced by PIA Staff is that CCR ARO expenditures do not provide energy or capacity.</w:t>
      </w:r>
      <w:r>
        <w:rPr>
          <w:rFonts w:ascii="Times New Roman" w:hAnsi="Times New Roman"/>
          <w:iCs/>
          <w:szCs w:val="24"/>
        </w:rPr>
        <w:t xml:space="preserve"> </w:t>
      </w:r>
      <w:r w:rsidRPr="00D03DCD">
        <w:rPr>
          <w:rFonts w:ascii="Times New Roman" w:hAnsi="Times New Roman"/>
          <w:iCs/>
          <w:szCs w:val="24"/>
        </w:rPr>
        <w:t>(</w:t>
      </w:r>
      <w:r w:rsidR="00350042">
        <w:rPr>
          <w:rFonts w:ascii="Times New Roman" w:hAnsi="Times New Roman"/>
          <w:iCs/>
          <w:szCs w:val="24"/>
        </w:rPr>
        <w:t>Tr. 1213</w:t>
      </w:r>
      <w:r>
        <w:rPr>
          <w:rFonts w:ascii="Times New Roman" w:hAnsi="Times New Roman"/>
          <w:iCs/>
          <w:szCs w:val="24"/>
        </w:rPr>
        <w:t>.</w:t>
      </w:r>
      <w:r w:rsidRPr="00D03DCD">
        <w:rPr>
          <w:rFonts w:ascii="Times New Roman" w:hAnsi="Times New Roman"/>
          <w:iCs/>
          <w:szCs w:val="24"/>
        </w:rPr>
        <w:t>)</w:t>
      </w:r>
      <w:r>
        <w:rPr>
          <w:rFonts w:ascii="Times New Roman" w:hAnsi="Times New Roman"/>
          <w:iCs/>
          <w:szCs w:val="24"/>
        </w:rPr>
        <w:t xml:space="preserve"> </w:t>
      </w:r>
      <w:r w:rsidRPr="00D03DCD">
        <w:rPr>
          <w:rFonts w:ascii="Times New Roman" w:hAnsi="Times New Roman"/>
          <w:iCs/>
          <w:szCs w:val="24"/>
        </w:rPr>
        <w:t>PIA Staff believes that the Commission “can take this into consideration” but does not know of any legal requirement</w:t>
      </w:r>
      <w:r w:rsidR="008E5474">
        <w:rPr>
          <w:rFonts w:ascii="Times New Roman" w:hAnsi="Times New Roman"/>
          <w:iCs/>
          <w:szCs w:val="24"/>
        </w:rPr>
        <w:t xml:space="preserve"> that the expenditure provide energy or capacity</w:t>
      </w:r>
      <w:r w:rsidRPr="00D03DCD">
        <w:rPr>
          <w:rFonts w:ascii="Times New Roman" w:hAnsi="Times New Roman"/>
          <w:iCs/>
          <w:szCs w:val="24"/>
        </w:rPr>
        <w:t>. (Tr. 13</w:t>
      </w:r>
      <w:r w:rsidR="00350042">
        <w:rPr>
          <w:rFonts w:ascii="Times New Roman" w:hAnsi="Times New Roman"/>
          <w:iCs/>
          <w:szCs w:val="24"/>
        </w:rPr>
        <w:t>96-</w:t>
      </w:r>
      <w:r w:rsidRPr="00D03DCD">
        <w:rPr>
          <w:rFonts w:ascii="Times New Roman" w:hAnsi="Times New Roman"/>
          <w:iCs/>
          <w:szCs w:val="24"/>
        </w:rPr>
        <w:t>97.) In order to run its business,</w:t>
      </w:r>
      <w:r w:rsidR="008E5474">
        <w:rPr>
          <w:rFonts w:ascii="Times New Roman" w:hAnsi="Times New Roman"/>
          <w:iCs/>
          <w:szCs w:val="24"/>
        </w:rPr>
        <w:t xml:space="preserve"> however,</w:t>
      </w:r>
      <w:r w:rsidRPr="00D03DCD">
        <w:rPr>
          <w:rFonts w:ascii="Times New Roman" w:hAnsi="Times New Roman"/>
          <w:iCs/>
          <w:szCs w:val="24"/>
        </w:rPr>
        <w:t xml:space="preserve"> the Company is required to make </w:t>
      </w:r>
      <w:r w:rsidR="008E5474">
        <w:rPr>
          <w:rFonts w:ascii="Times New Roman" w:hAnsi="Times New Roman"/>
          <w:iCs/>
          <w:szCs w:val="24"/>
        </w:rPr>
        <w:t xml:space="preserve">numerous </w:t>
      </w:r>
      <w:r w:rsidRPr="00D03DCD">
        <w:rPr>
          <w:rFonts w:ascii="Times New Roman" w:hAnsi="Times New Roman"/>
          <w:iCs/>
          <w:szCs w:val="24"/>
        </w:rPr>
        <w:t>capital investments that do not directly provide energy or capacity.</w:t>
      </w:r>
      <w:r w:rsidR="00350042">
        <w:rPr>
          <w:rFonts w:ascii="Times New Roman" w:hAnsi="Times New Roman"/>
          <w:iCs/>
          <w:szCs w:val="24"/>
        </w:rPr>
        <w:t xml:space="preserve"> (Tr. 2638.) </w:t>
      </w:r>
      <w:r w:rsidRPr="00D03DCD">
        <w:rPr>
          <w:rFonts w:ascii="Times New Roman" w:hAnsi="Times New Roman"/>
          <w:iCs/>
          <w:szCs w:val="24"/>
        </w:rPr>
        <w:t>Examples include materials and supplies, operating headquarters, and environmental controls. (</w:t>
      </w:r>
      <w:r w:rsidR="00350042" w:rsidRPr="00EE7E52">
        <w:rPr>
          <w:rFonts w:ascii="Times New Roman" w:hAnsi="Times New Roman"/>
          <w:i/>
          <w:iCs/>
          <w:szCs w:val="24"/>
        </w:rPr>
        <w:t>Id</w:t>
      </w:r>
      <w:r w:rsidRPr="00D03DCD">
        <w:rPr>
          <w:rFonts w:ascii="Times New Roman" w:hAnsi="Times New Roman"/>
          <w:iCs/>
          <w:szCs w:val="24"/>
        </w:rPr>
        <w:t xml:space="preserve">.) PIA Staff acknowledged that additional items such as transmission towers, substations, distribution poles, wires, transformers, environmental investments, bag houses, and scrubbers are “absolutely necessary.” (Tr. 1398.) Witness Smith attempted to clarify that additional capital investments such as the customer service center are different because they are “providing customer service.” (Tr. 1397-98.) Georgia Power is </w:t>
      </w:r>
      <w:r>
        <w:rPr>
          <w:rFonts w:ascii="Times New Roman" w:hAnsi="Times New Roman"/>
          <w:iCs/>
          <w:szCs w:val="24"/>
        </w:rPr>
        <w:t>un</w:t>
      </w:r>
      <w:r w:rsidRPr="00D03DCD">
        <w:rPr>
          <w:rFonts w:ascii="Times New Roman" w:hAnsi="Times New Roman"/>
          <w:iCs/>
          <w:szCs w:val="24"/>
        </w:rPr>
        <w:t xml:space="preserve">aware of </w:t>
      </w:r>
      <w:r>
        <w:rPr>
          <w:rFonts w:ascii="Times New Roman" w:hAnsi="Times New Roman"/>
          <w:iCs/>
          <w:szCs w:val="24"/>
        </w:rPr>
        <w:t>any</w:t>
      </w:r>
      <w:r w:rsidRPr="00D03DCD">
        <w:rPr>
          <w:rFonts w:ascii="Times New Roman" w:hAnsi="Times New Roman"/>
          <w:iCs/>
          <w:szCs w:val="24"/>
        </w:rPr>
        <w:t xml:space="preserve"> requirement under Georgia law that a capital investment must provide energy or capacity </w:t>
      </w:r>
      <w:r w:rsidR="00135225">
        <w:rPr>
          <w:rFonts w:ascii="Times New Roman" w:hAnsi="Times New Roman"/>
          <w:iCs/>
          <w:szCs w:val="24"/>
        </w:rPr>
        <w:t xml:space="preserve">– or “customer service” for that matter – in </w:t>
      </w:r>
      <w:r w:rsidRPr="00D03DCD">
        <w:rPr>
          <w:rFonts w:ascii="Times New Roman" w:hAnsi="Times New Roman"/>
          <w:iCs/>
          <w:szCs w:val="24"/>
        </w:rPr>
        <w:t xml:space="preserve">order </w:t>
      </w:r>
      <w:r w:rsidR="00350042">
        <w:rPr>
          <w:rFonts w:ascii="Times New Roman" w:hAnsi="Times New Roman"/>
          <w:iCs/>
          <w:szCs w:val="24"/>
        </w:rPr>
        <w:t xml:space="preserve">for </w:t>
      </w:r>
      <w:r w:rsidR="00350042">
        <w:rPr>
          <w:rFonts w:ascii="Times New Roman" w:hAnsi="Times New Roman"/>
          <w:iCs/>
          <w:szCs w:val="24"/>
        </w:rPr>
        <w:lastRenderedPageBreak/>
        <w:t xml:space="preserve">Georgia Power </w:t>
      </w:r>
      <w:r w:rsidRPr="00D03DCD">
        <w:rPr>
          <w:rFonts w:ascii="Times New Roman" w:hAnsi="Times New Roman"/>
          <w:iCs/>
          <w:szCs w:val="24"/>
        </w:rPr>
        <w:t>to receive full recovery of financing costs. Moreover, compliance with environmental regulations is required for the Company to continue</w:t>
      </w:r>
      <w:r w:rsidR="00350042">
        <w:rPr>
          <w:rFonts w:ascii="Times New Roman" w:hAnsi="Times New Roman"/>
          <w:iCs/>
          <w:szCs w:val="24"/>
        </w:rPr>
        <w:t xml:space="preserve"> operating its business and</w:t>
      </w:r>
      <w:r w:rsidRPr="00D03DCD">
        <w:rPr>
          <w:rFonts w:ascii="Times New Roman" w:hAnsi="Times New Roman"/>
          <w:iCs/>
          <w:szCs w:val="24"/>
        </w:rPr>
        <w:t xml:space="preserve"> providing service. </w:t>
      </w:r>
      <w:r w:rsidR="00350042">
        <w:rPr>
          <w:rFonts w:ascii="Times New Roman" w:hAnsi="Times New Roman"/>
          <w:iCs/>
          <w:szCs w:val="24"/>
        </w:rPr>
        <w:t>(Tr. 2638-39.)</w:t>
      </w:r>
      <w:r w:rsidR="00350042" w:rsidRPr="00D03DCD">
        <w:rPr>
          <w:rFonts w:ascii="Times New Roman" w:hAnsi="Times New Roman"/>
          <w:iCs/>
          <w:szCs w:val="24"/>
        </w:rPr>
        <w:t xml:space="preserve"> Consequently, </w:t>
      </w:r>
      <w:r w:rsidR="00350042">
        <w:rPr>
          <w:rFonts w:ascii="Times New Roman" w:hAnsi="Times New Roman"/>
          <w:iCs/>
          <w:szCs w:val="24"/>
        </w:rPr>
        <w:t>whether CCR ARO compliance costs provide “energy or capacity” should have no impact on the financing rates that are applied to these necessary expenditures.</w:t>
      </w:r>
    </w:p>
    <w:p w14:paraId="6C48B946" w14:textId="6CAA70A2" w:rsidR="00AF7524" w:rsidRPr="00D03DCD" w:rsidRDefault="00AF7524" w:rsidP="006F076B">
      <w:pPr>
        <w:widowControl/>
        <w:tabs>
          <w:tab w:val="left" w:pos="720"/>
        </w:tabs>
        <w:suppressAutoHyphens/>
        <w:overflowPunct/>
        <w:autoSpaceDE/>
        <w:autoSpaceDN/>
        <w:adjustRightInd/>
        <w:spacing w:line="480" w:lineRule="auto"/>
        <w:jc w:val="both"/>
        <w:textAlignment w:val="auto"/>
        <w:rPr>
          <w:rFonts w:ascii="Times New Roman" w:hAnsi="Times New Roman"/>
          <w:iCs/>
          <w:szCs w:val="24"/>
        </w:rPr>
      </w:pPr>
      <w:r w:rsidRPr="00D03DCD">
        <w:rPr>
          <w:rFonts w:ascii="Times New Roman" w:hAnsi="Times New Roman"/>
          <w:iCs/>
          <w:szCs w:val="24"/>
        </w:rPr>
        <w:tab/>
        <w:t>PIA Staff</w:t>
      </w:r>
      <w:r>
        <w:rPr>
          <w:rFonts w:ascii="Times New Roman" w:hAnsi="Times New Roman"/>
          <w:iCs/>
          <w:szCs w:val="24"/>
        </w:rPr>
        <w:t>’s second reason</w:t>
      </w:r>
      <w:r w:rsidRPr="00D03DCD">
        <w:rPr>
          <w:rFonts w:ascii="Times New Roman" w:hAnsi="Times New Roman"/>
          <w:iCs/>
          <w:szCs w:val="24"/>
        </w:rPr>
        <w:t xml:space="preserve"> is that CCR ARO </w:t>
      </w:r>
      <w:r>
        <w:rPr>
          <w:rFonts w:ascii="Times New Roman" w:hAnsi="Times New Roman"/>
          <w:iCs/>
          <w:szCs w:val="24"/>
        </w:rPr>
        <w:t xml:space="preserve">compliance </w:t>
      </w:r>
      <w:r w:rsidRPr="00D03DCD">
        <w:rPr>
          <w:rFonts w:ascii="Times New Roman" w:hAnsi="Times New Roman"/>
          <w:iCs/>
          <w:szCs w:val="24"/>
        </w:rPr>
        <w:t>costs represent a burden to customers with no offsetting benefits</w:t>
      </w:r>
      <w:r w:rsidR="00B93692">
        <w:rPr>
          <w:rFonts w:ascii="Times New Roman" w:hAnsi="Times New Roman"/>
          <w:iCs/>
          <w:szCs w:val="24"/>
        </w:rPr>
        <w:t>.</w:t>
      </w:r>
      <w:r w:rsidRPr="00D03DCD">
        <w:rPr>
          <w:rFonts w:ascii="Times New Roman" w:hAnsi="Times New Roman"/>
          <w:iCs/>
          <w:szCs w:val="24"/>
        </w:rPr>
        <w:t xml:space="preserve"> (</w:t>
      </w:r>
      <w:r w:rsidR="00350042">
        <w:rPr>
          <w:rFonts w:ascii="Times New Roman" w:hAnsi="Times New Roman"/>
          <w:iCs/>
          <w:szCs w:val="24"/>
        </w:rPr>
        <w:t>Tr. 1213</w:t>
      </w:r>
      <w:r w:rsidRPr="00D03DCD">
        <w:rPr>
          <w:rFonts w:ascii="Times New Roman" w:hAnsi="Times New Roman"/>
          <w:iCs/>
          <w:szCs w:val="24"/>
        </w:rPr>
        <w:t>.) PIA Staff acknowledged that environmental regulations relating to coal ash have changed over time and that the Company has complied with regulations in its handling of coal ash. (Tr. 1400.) The Company has operated its coal fleet to provide reliable and affordable electricity to customers for almost 90 years. (</w:t>
      </w:r>
      <w:r w:rsidR="00350042">
        <w:rPr>
          <w:rFonts w:ascii="Times New Roman" w:hAnsi="Times New Roman"/>
          <w:iCs/>
          <w:szCs w:val="24"/>
        </w:rPr>
        <w:t>Tr. 2638</w:t>
      </w:r>
      <w:r w:rsidRPr="00D03DCD">
        <w:rPr>
          <w:rFonts w:ascii="Times New Roman" w:hAnsi="Times New Roman"/>
          <w:iCs/>
          <w:szCs w:val="24"/>
        </w:rPr>
        <w:t>.) Coal ash is a</w:t>
      </w:r>
      <w:r>
        <w:rPr>
          <w:rFonts w:ascii="Times New Roman" w:hAnsi="Times New Roman"/>
          <w:iCs/>
          <w:szCs w:val="24"/>
        </w:rPr>
        <w:t>n inherent</w:t>
      </w:r>
      <w:r w:rsidRPr="00D03DCD">
        <w:rPr>
          <w:rFonts w:ascii="Times New Roman" w:hAnsi="Times New Roman"/>
          <w:iCs/>
          <w:szCs w:val="24"/>
        </w:rPr>
        <w:t xml:space="preserve"> byproduct of coal-fired electric generation, and handling coal ash in compliance with environmental regulations allows the Company to continue to operate its business. (</w:t>
      </w:r>
      <w:r w:rsidR="00350042">
        <w:rPr>
          <w:rFonts w:ascii="Times New Roman" w:hAnsi="Times New Roman"/>
          <w:iCs/>
          <w:szCs w:val="24"/>
        </w:rPr>
        <w:t>Tr.</w:t>
      </w:r>
      <w:r w:rsidR="006F076B">
        <w:rPr>
          <w:rFonts w:ascii="Times New Roman" w:hAnsi="Times New Roman"/>
          <w:iCs/>
          <w:szCs w:val="24"/>
        </w:rPr>
        <w:t> </w:t>
      </w:r>
      <w:r w:rsidR="00350042">
        <w:rPr>
          <w:rFonts w:ascii="Times New Roman" w:hAnsi="Times New Roman"/>
          <w:iCs/>
          <w:szCs w:val="24"/>
        </w:rPr>
        <w:t>2638</w:t>
      </w:r>
      <w:r w:rsidR="006F076B">
        <w:rPr>
          <w:rFonts w:ascii="Times New Roman" w:hAnsi="Times New Roman"/>
          <w:iCs/>
          <w:szCs w:val="24"/>
        </w:rPr>
        <w:t>-</w:t>
      </w:r>
      <w:r w:rsidR="00350042">
        <w:rPr>
          <w:rFonts w:ascii="Times New Roman" w:hAnsi="Times New Roman"/>
          <w:iCs/>
          <w:szCs w:val="24"/>
        </w:rPr>
        <w:t>39</w:t>
      </w:r>
      <w:r w:rsidRPr="00D03DCD">
        <w:rPr>
          <w:rFonts w:ascii="Times New Roman" w:hAnsi="Times New Roman"/>
          <w:iCs/>
          <w:szCs w:val="24"/>
        </w:rPr>
        <w:t xml:space="preserve">.) </w:t>
      </w:r>
    </w:p>
    <w:p w14:paraId="3CF89423" w14:textId="2E6B7D16" w:rsidR="00AF7524" w:rsidRPr="00D03DCD" w:rsidRDefault="00AF7524" w:rsidP="00AF7524">
      <w:pPr>
        <w:widowControl/>
        <w:tabs>
          <w:tab w:val="left" w:pos="720"/>
        </w:tabs>
        <w:overflowPunct/>
        <w:autoSpaceDE/>
        <w:autoSpaceDN/>
        <w:adjustRightInd/>
        <w:spacing w:line="480" w:lineRule="auto"/>
        <w:jc w:val="both"/>
        <w:textAlignment w:val="auto"/>
        <w:rPr>
          <w:rFonts w:ascii="Times New Roman" w:hAnsi="Times New Roman"/>
          <w:iCs/>
          <w:szCs w:val="24"/>
        </w:rPr>
      </w:pPr>
      <w:r w:rsidRPr="00D03DCD">
        <w:rPr>
          <w:rFonts w:ascii="Times New Roman" w:hAnsi="Times New Roman"/>
          <w:iCs/>
          <w:szCs w:val="24"/>
        </w:rPr>
        <w:tab/>
        <w:t>PIA Staff</w:t>
      </w:r>
      <w:r>
        <w:rPr>
          <w:rFonts w:ascii="Times New Roman" w:hAnsi="Times New Roman"/>
          <w:iCs/>
          <w:szCs w:val="24"/>
        </w:rPr>
        <w:t>’</w:t>
      </w:r>
      <w:r w:rsidRPr="00D03DCD">
        <w:rPr>
          <w:rFonts w:ascii="Times New Roman" w:hAnsi="Times New Roman"/>
          <w:iCs/>
          <w:szCs w:val="24"/>
        </w:rPr>
        <w:t xml:space="preserve">s third rationale </w:t>
      </w:r>
      <w:r w:rsidR="00350042">
        <w:rPr>
          <w:rFonts w:ascii="Times New Roman" w:hAnsi="Times New Roman"/>
          <w:iCs/>
          <w:szCs w:val="24"/>
        </w:rPr>
        <w:t>relates to PIA Staff’s adoption of a three-year recovery period for CCR ARO compliance costs. (Tr. 1213.)</w:t>
      </w:r>
      <w:r w:rsidRPr="00D03DCD">
        <w:rPr>
          <w:rFonts w:ascii="Times New Roman" w:hAnsi="Times New Roman"/>
          <w:iCs/>
          <w:szCs w:val="24"/>
        </w:rPr>
        <w:t xml:space="preserve"> While shorter amortization periods decrease the overall cost of the required financing, the use of a short</w:t>
      </w:r>
      <w:r w:rsidR="00B93692">
        <w:rPr>
          <w:rFonts w:ascii="Times New Roman" w:hAnsi="Times New Roman"/>
          <w:iCs/>
          <w:szCs w:val="24"/>
        </w:rPr>
        <w:t>er</w:t>
      </w:r>
      <w:r w:rsidRPr="00D03DCD">
        <w:rPr>
          <w:rFonts w:ascii="Times New Roman" w:hAnsi="Times New Roman"/>
          <w:iCs/>
          <w:szCs w:val="24"/>
        </w:rPr>
        <w:t xml:space="preserve"> amortization period does not reduce the cost to the Company of financing these amounts during that period.</w:t>
      </w:r>
      <w:r>
        <w:rPr>
          <w:rFonts w:ascii="Times New Roman" w:hAnsi="Times New Roman"/>
          <w:iCs/>
          <w:szCs w:val="24"/>
        </w:rPr>
        <w:t xml:space="preserve"> (</w:t>
      </w:r>
      <w:r w:rsidR="00350042">
        <w:rPr>
          <w:rFonts w:ascii="Times New Roman" w:hAnsi="Times New Roman"/>
          <w:iCs/>
          <w:szCs w:val="24"/>
        </w:rPr>
        <w:t>Tr. 2639</w:t>
      </w:r>
      <w:r>
        <w:rPr>
          <w:rFonts w:ascii="Times New Roman" w:hAnsi="Times New Roman"/>
          <w:iCs/>
          <w:szCs w:val="24"/>
        </w:rPr>
        <w:t>.)</w:t>
      </w:r>
      <w:r w:rsidRPr="00D03DCD">
        <w:rPr>
          <w:rFonts w:ascii="Times New Roman" w:hAnsi="Times New Roman"/>
          <w:iCs/>
          <w:szCs w:val="24"/>
        </w:rPr>
        <w:t xml:space="preserve"> Georgia Power</w:t>
      </w:r>
      <w:r>
        <w:rPr>
          <w:rFonts w:ascii="Times New Roman" w:hAnsi="Times New Roman"/>
          <w:iCs/>
          <w:szCs w:val="24"/>
        </w:rPr>
        <w:t>’</w:t>
      </w:r>
      <w:r w:rsidRPr="00D03DCD">
        <w:rPr>
          <w:rFonts w:ascii="Times New Roman" w:hAnsi="Times New Roman"/>
          <w:iCs/>
          <w:szCs w:val="24"/>
        </w:rPr>
        <w:t>s costs to finance its capital investments do not vary as a function of the recovery periods, and PIA Staff is not free to ignore the cost</w:t>
      </w:r>
      <w:r w:rsidR="00350042">
        <w:rPr>
          <w:rFonts w:ascii="Times New Roman" w:hAnsi="Times New Roman"/>
          <w:iCs/>
          <w:szCs w:val="24"/>
        </w:rPr>
        <w:t xml:space="preserve"> of financing</w:t>
      </w:r>
      <w:r w:rsidRPr="00D03DCD">
        <w:rPr>
          <w:rFonts w:ascii="Times New Roman" w:hAnsi="Times New Roman"/>
          <w:iCs/>
          <w:szCs w:val="24"/>
        </w:rPr>
        <w:t xml:space="preserve"> simply because the costs will be recovered over a short</w:t>
      </w:r>
      <w:r w:rsidR="00B93692">
        <w:rPr>
          <w:rFonts w:ascii="Times New Roman" w:hAnsi="Times New Roman"/>
          <w:iCs/>
          <w:szCs w:val="24"/>
        </w:rPr>
        <w:t>er</w:t>
      </w:r>
      <w:r w:rsidRPr="00D03DCD">
        <w:rPr>
          <w:rFonts w:ascii="Times New Roman" w:hAnsi="Times New Roman"/>
          <w:iCs/>
          <w:szCs w:val="24"/>
        </w:rPr>
        <w:t xml:space="preserve"> period.</w:t>
      </w:r>
      <w:r w:rsidR="00350042">
        <w:rPr>
          <w:rFonts w:ascii="Times New Roman" w:hAnsi="Times New Roman"/>
          <w:iCs/>
          <w:szCs w:val="24"/>
        </w:rPr>
        <w:t xml:space="preserve"> Therefore, this rationale does not provide adequate justification for PIA Staff’s proposal to apply the cost of long-term debt to CCR ARO compliance costs.</w:t>
      </w:r>
    </w:p>
    <w:p w14:paraId="6EB95361" w14:textId="26C333AD" w:rsidR="00AF7524" w:rsidRDefault="00AF7524" w:rsidP="00F214C6">
      <w:pPr>
        <w:widowControl/>
        <w:tabs>
          <w:tab w:val="left" w:pos="720"/>
        </w:tabs>
        <w:overflowPunct/>
        <w:autoSpaceDE/>
        <w:autoSpaceDN/>
        <w:adjustRightInd/>
        <w:spacing w:line="480" w:lineRule="auto"/>
        <w:jc w:val="both"/>
        <w:textAlignment w:val="auto"/>
        <w:rPr>
          <w:rFonts w:ascii="Times New Roman" w:hAnsi="Times New Roman"/>
          <w:szCs w:val="24"/>
        </w:rPr>
      </w:pPr>
      <w:r w:rsidRPr="00D03DCD">
        <w:rPr>
          <w:rFonts w:ascii="Times New Roman" w:hAnsi="Times New Roman"/>
          <w:iCs/>
          <w:szCs w:val="24"/>
        </w:rPr>
        <w:tab/>
      </w:r>
      <w:r w:rsidR="00547D45">
        <w:rPr>
          <w:rFonts w:ascii="Times New Roman" w:hAnsi="Times New Roman"/>
          <w:iCs/>
          <w:szCs w:val="24"/>
        </w:rPr>
        <w:t>T</w:t>
      </w:r>
      <w:r w:rsidR="00547D45" w:rsidRPr="00D03DCD">
        <w:rPr>
          <w:rFonts w:ascii="Times New Roman" w:hAnsi="Times New Roman"/>
          <w:iCs/>
          <w:szCs w:val="24"/>
        </w:rPr>
        <w:t>he Company</w:t>
      </w:r>
      <w:r w:rsidR="00547D45">
        <w:rPr>
          <w:rFonts w:ascii="Times New Roman" w:hAnsi="Times New Roman"/>
          <w:iCs/>
          <w:szCs w:val="24"/>
        </w:rPr>
        <w:t>’</w:t>
      </w:r>
      <w:r w:rsidR="00547D45" w:rsidRPr="00D03DCD">
        <w:rPr>
          <w:rFonts w:ascii="Times New Roman" w:hAnsi="Times New Roman"/>
          <w:iCs/>
          <w:szCs w:val="24"/>
        </w:rPr>
        <w:t>s CCR ARO</w:t>
      </w:r>
      <w:r w:rsidR="00B93692">
        <w:rPr>
          <w:rFonts w:ascii="Times New Roman" w:hAnsi="Times New Roman"/>
          <w:iCs/>
          <w:szCs w:val="24"/>
        </w:rPr>
        <w:t xml:space="preserve"> compliance cost</w:t>
      </w:r>
      <w:r w:rsidR="00547D45" w:rsidRPr="00D03DCD">
        <w:rPr>
          <w:rFonts w:ascii="Times New Roman" w:hAnsi="Times New Roman"/>
          <w:iCs/>
          <w:szCs w:val="24"/>
        </w:rPr>
        <w:t>s are rate base investments</w:t>
      </w:r>
      <w:r w:rsidR="00547D45">
        <w:rPr>
          <w:rFonts w:ascii="Times New Roman" w:hAnsi="Times New Roman"/>
          <w:iCs/>
          <w:szCs w:val="24"/>
        </w:rPr>
        <w:t xml:space="preserve"> and are therefore entitled to the </w:t>
      </w:r>
      <w:r w:rsidR="00547D45" w:rsidRPr="00D03DCD">
        <w:rPr>
          <w:rFonts w:ascii="Times New Roman" w:hAnsi="Times New Roman"/>
          <w:iCs/>
          <w:szCs w:val="24"/>
        </w:rPr>
        <w:t>Company</w:t>
      </w:r>
      <w:r w:rsidR="00547D45">
        <w:rPr>
          <w:rFonts w:ascii="Times New Roman" w:hAnsi="Times New Roman"/>
          <w:iCs/>
          <w:szCs w:val="24"/>
        </w:rPr>
        <w:t>’</w:t>
      </w:r>
      <w:r w:rsidR="00547D45" w:rsidRPr="00D03DCD">
        <w:rPr>
          <w:rFonts w:ascii="Times New Roman" w:hAnsi="Times New Roman"/>
          <w:iCs/>
          <w:szCs w:val="24"/>
        </w:rPr>
        <w:t>s full cost of capital</w:t>
      </w:r>
      <w:r w:rsidR="00547D45">
        <w:rPr>
          <w:rFonts w:ascii="Times New Roman" w:hAnsi="Times New Roman"/>
          <w:iCs/>
          <w:szCs w:val="24"/>
        </w:rPr>
        <w:t xml:space="preserve">. (Tr. 2641.) The return on equity is a portion of the true cost of financing </w:t>
      </w:r>
      <w:r w:rsidR="00547D45" w:rsidRPr="00D03DCD">
        <w:rPr>
          <w:rFonts w:ascii="Times New Roman" w:hAnsi="Times New Roman"/>
          <w:iCs/>
          <w:szCs w:val="24"/>
        </w:rPr>
        <w:t>the Company</w:t>
      </w:r>
      <w:r w:rsidR="00547D45">
        <w:rPr>
          <w:rFonts w:ascii="Times New Roman" w:hAnsi="Times New Roman"/>
          <w:iCs/>
          <w:szCs w:val="24"/>
        </w:rPr>
        <w:t>’s</w:t>
      </w:r>
      <w:r w:rsidR="00547D45" w:rsidRPr="00D03DCD">
        <w:rPr>
          <w:rFonts w:ascii="Times New Roman" w:hAnsi="Times New Roman"/>
          <w:iCs/>
          <w:szCs w:val="24"/>
        </w:rPr>
        <w:t xml:space="preserve"> investments.</w:t>
      </w:r>
      <w:r w:rsidR="00547D45">
        <w:rPr>
          <w:rFonts w:ascii="Times New Roman" w:hAnsi="Times New Roman"/>
          <w:iCs/>
          <w:szCs w:val="24"/>
        </w:rPr>
        <w:t xml:space="preserve"> (</w:t>
      </w:r>
      <w:r w:rsidR="00547D45">
        <w:rPr>
          <w:rFonts w:ascii="Times New Roman" w:hAnsi="Times New Roman"/>
          <w:i/>
          <w:iCs/>
          <w:szCs w:val="24"/>
        </w:rPr>
        <w:t xml:space="preserve">See </w:t>
      </w:r>
      <w:r w:rsidR="00547D45">
        <w:rPr>
          <w:rFonts w:ascii="Times New Roman" w:hAnsi="Times New Roman"/>
          <w:iCs/>
          <w:szCs w:val="24"/>
        </w:rPr>
        <w:t>Tr. 2637.)</w:t>
      </w:r>
      <w:r w:rsidR="00547D45" w:rsidRPr="00D03DCD">
        <w:rPr>
          <w:rFonts w:ascii="Times New Roman" w:hAnsi="Times New Roman"/>
          <w:iCs/>
          <w:szCs w:val="24"/>
        </w:rPr>
        <w:t xml:space="preserve"> Setting a carrying cost for a </w:t>
      </w:r>
      <w:r w:rsidR="00547D45" w:rsidRPr="00D03DCD">
        <w:rPr>
          <w:rFonts w:ascii="Times New Roman" w:hAnsi="Times New Roman"/>
          <w:iCs/>
          <w:szCs w:val="24"/>
        </w:rPr>
        <w:lastRenderedPageBreak/>
        <w:t>particular investment of anything less than the</w:t>
      </w:r>
      <w:r w:rsidR="00547D45">
        <w:rPr>
          <w:rFonts w:ascii="Times New Roman" w:hAnsi="Times New Roman"/>
          <w:iCs/>
          <w:szCs w:val="24"/>
        </w:rPr>
        <w:t xml:space="preserve"> WACC</w:t>
      </w:r>
      <w:r w:rsidR="00547D45" w:rsidRPr="00D03DCD">
        <w:rPr>
          <w:rFonts w:ascii="Times New Roman" w:hAnsi="Times New Roman"/>
          <w:iCs/>
          <w:szCs w:val="24"/>
        </w:rPr>
        <w:t>, other than in the context of an agreement, represents a de facto disallowance</w:t>
      </w:r>
      <w:r w:rsidR="00115FF3">
        <w:rPr>
          <w:rFonts w:ascii="Times New Roman" w:hAnsi="Times New Roman"/>
          <w:iCs/>
          <w:szCs w:val="24"/>
        </w:rPr>
        <w:t xml:space="preserve"> of a prudent and necessary cost</w:t>
      </w:r>
      <w:r w:rsidR="00547D45" w:rsidRPr="00D03DCD">
        <w:rPr>
          <w:rFonts w:ascii="Times New Roman" w:hAnsi="Times New Roman"/>
          <w:iCs/>
          <w:szCs w:val="24"/>
        </w:rPr>
        <w:t xml:space="preserve"> without the requisite finding of imprudence.</w:t>
      </w:r>
      <w:r w:rsidR="00547D45">
        <w:rPr>
          <w:rFonts w:ascii="Times New Roman" w:hAnsi="Times New Roman"/>
          <w:iCs/>
          <w:szCs w:val="24"/>
        </w:rPr>
        <w:t xml:space="preserve"> (Tr. 2641.)</w:t>
      </w:r>
      <w:r w:rsidR="00547D45" w:rsidRPr="00D03DCD">
        <w:rPr>
          <w:rFonts w:ascii="Times New Roman" w:hAnsi="Times New Roman"/>
          <w:iCs/>
          <w:szCs w:val="24"/>
        </w:rPr>
        <w:t xml:space="preserve"> </w:t>
      </w:r>
      <w:r>
        <w:rPr>
          <w:rFonts w:ascii="Times New Roman" w:hAnsi="Times New Roman"/>
          <w:iCs/>
          <w:szCs w:val="24"/>
        </w:rPr>
        <w:t>T</w:t>
      </w:r>
      <w:r w:rsidRPr="00D03DCD">
        <w:rPr>
          <w:rFonts w:ascii="Times New Roman" w:hAnsi="Times New Roman"/>
          <w:iCs/>
          <w:szCs w:val="24"/>
        </w:rPr>
        <w:t>he Commission should reject</w:t>
      </w:r>
      <w:r>
        <w:rPr>
          <w:rFonts w:ascii="Times New Roman" w:hAnsi="Times New Roman"/>
          <w:iCs/>
          <w:szCs w:val="24"/>
        </w:rPr>
        <w:t xml:space="preserve"> PIA Staff and Intervenor r</w:t>
      </w:r>
      <w:r w:rsidRPr="00D03DCD">
        <w:rPr>
          <w:rFonts w:ascii="Times New Roman" w:hAnsi="Times New Roman"/>
          <w:iCs/>
          <w:szCs w:val="24"/>
        </w:rPr>
        <w:t>ecommendations to apply different financing rates to CCR ARO</w:t>
      </w:r>
      <w:r>
        <w:rPr>
          <w:rFonts w:ascii="Times New Roman" w:hAnsi="Times New Roman"/>
          <w:iCs/>
          <w:szCs w:val="24"/>
        </w:rPr>
        <w:t xml:space="preserve"> compliance costs</w:t>
      </w:r>
      <w:r w:rsidRPr="00D03DCD">
        <w:rPr>
          <w:rFonts w:ascii="Times New Roman" w:hAnsi="Times New Roman"/>
          <w:iCs/>
          <w:szCs w:val="24"/>
        </w:rPr>
        <w:t>.</w:t>
      </w:r>
    </w:p>
    <w:p w14:paraId="1036C14F" w14:textId="6DBECBBE" w:rsidR="009928A3" w:rsidRDefault="00533458" w:rsidP="00F4602A">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19" w:name="_Hlk26111622"/>
      <w:r>
        <w:rPr>
          <w:rFonts w:ascii="Times New Roman" w:hAnsi="Times New Roman"/>
          <w:szCs w:val="24"/>
        </w:rPr>
        <w:t>3.</w:t>
      </w:r>
      <w:r w:rsidR="009928A3">
        <w:rPr>
          <w:rFonts w:ascii="Times New Roman" w:hAnsi="Times New Roman"/>
          <w:szCs w:val="24"/>
        </w:rPr>
        <w:tab/>
      </w:r>
      <w:r w:rsidR="009928A3" w:rsidRPr="00F214C6">
        <w:rPr>
          <w:rFonts w:ascii="Times New Roman" w:hAnsi="Times New Roman"/>
          <w:szCs w:val="24"/>
          <w:u w:val="single"/>
        </w:rPr>
        <w:t>The Commission should adopt the three-year recovery period proposed by the Company and agreed to by PIA Staff</w:t>
      </w:r>
      <w:r w:rsidR="009928A3">
        <w:rPr>
          <w:rFonts w:ascii="Times New Roman" w:hAnsi="Times New Roman"/>
          <w:szCs w:val="24"/>
        </w:rPr>
        <w:t>.</w:t>
      </w:r>
      <w:r>
        <w:rPr>
          <w:rFonts w:ascii="Times New Roman" w:hAnsi="Times New Roman"/>
          <w:szCs w:val="24"/>
        </w:rPr>
        <w:tab/>
      </w:r>
    </w:p>
    <w:p w14:paraId="6E7E680C" w14:textId="36F2D0DD" w:rsidR="009928A3" w:rsidRDefault="009928A3" w:rsidP="00B93692">
      <w:pPr>
        <w:widowControl/>
        <w:tabs>
          <w:tab w:val="left" w:pos="720"/>
        </w:tabs>
        <w:overflowPunct/>
        <w:autoSpaceDE/>
        <w:autoSpaceDN/>
        <w:adjustRightInd/>
        <w:spacing w:line="480" w:lineRule="auto"/>
        <w:jc w:val="both"/>
        <w:textAlignment w:val="auto"/>
        <w:rPr>
          <w:rFonts w:ascii="Times New Roman" w:hAnsi="Times New Roman"/>
          <w:szCs w:val="24"/>
        </w:rPr>
      </w:pPr>
      <w:r>
        <w:rPr>
          <w:rFonts w:ascii="Times New Roman" w:hAnsi="Times New Roman"/>
          <w:iCs/>
          <w:szCs w:val="24"/>
        </w:rPr>
        <w:tab/>
      </w:r>
      <w:r w:rsidRPr="00D03DCD">
        <w:rPr>
          <w:rFonts w:ascii="Times New Roman" w:hAnsi="Times New Roman"/>
          <w:iCs/>
          <w:szCs w:val="24"/>
        </w:rPr>
        <w:t xml:space="preserve">PIA Staff and the Company are in agreement that a three-year recovery period is appropriate. (Tr. 1401.) Witness LaConte proposes a 25-year recovery period, but </w:t>
      </w:r>
      <w:r>
        <w:rPr>
          <w:rFonts w:ascii="Times New Roman" w:hAnsi="Times New Roman"/>
          <w:iCs/>
          <w:szCs w:val="24"/>
        </w:rPr>
        <w:t>Ms.</w:t>
      </w:r>
      <w:r w:rsidRPr="00D03DCD">
        <w:rPr>
          <w:rFonts w:ascii="Times New Roman" w:hAnsi="Times New Roman"/>
          <w:iCs/>
          <w:szCs w:val="24"/>
        </w:rPr>
        <w:t xml:space="preserve"> La</w:t>
      </w:r>
      <w:r>
        <w:rPr>
          <w:rFonts w:ascii="Times New Roman" w:hAnsi="Times New Roman"/>
          <w:iCs/>
          <w:szCs w:val="24"/>
        </w:rPr>
        <w:t>C</w:t>
      </w:r>
      <w:r w:rsidRPr="00D03DCD">
        <w:rPr>
          <w:rFonts w:ascii="Times New Roman" w:hAnsi="Times New Roman"/>
          <w:iCs/>
          <w:szCs w:val="24"/>
        </w:rPr>
        <w:t xml:space="preserve">onte has not done any analysis </w:t>
      </w:r>
      <w:r>
        <w:rPr>
          <w:rFonts w:ascii="Times New Roman" w:hAnsi="Times New Roman"/>
          <w:iCs/>
          <w:szCs w:val="24"/>
        </w:rPr>
        <w:t>regarding</w:t>
      </w:r>
      <w:r w:rsidRPr="00D03DCD">
        <w:rPr>
          <w:rFonts w:ascii="Times New Roman" w:hAnsi="Times New Roman"/>
          <w:iCs/>
          <w:szCs w:val="24"/>
        </w:rPr>
        <w:t xml:space="preserve"> how this recommendation would affect the Company</w:t>
      </w:r>
      <w:r>
        <w:rPr>
          <w:rFonts w:ascii="Times New Roman" w:hAnsi="Times New Roman"/>
          <w:iCs/>
          <w:szCs w:val="24"/>
        </w:rPr>
        <w:t>’</w:t>
      </w:r>
      <w:r w:rsidRPr="00D03DCD">
        <w:rPr>
          <w:rFonts w:ascii="Times New Roman" w:hAnsi="Times New Roman"/>
          <w:iCs/>
          <w:szCs w:val="24"/>
        </w:rPr>
        <w:t xml:space="preserve">s cash flows, credit metrics, or how much more it would </w:t>
      </w:r>
      <w:r w:rsidR="00B93692">
        <w:rPr>
          <w:rFonts w:ascii="Times New Roman" w:hAnsi="Times New Roman"/>
          <w:iCs/>
          <w:szCs w:val="24"/>
        </w:rPr>
        <w:t xml:space="preserve">ultimately </w:t>
      </w:r>
      <w:r w:rsidRPr="00D03DCD">
        <w:rPr>
          <w:rFonts w:ascii="Times New Roman" w:hAnsi="Times New Roman"/>
          <w:iCs/>
          <w:szCs w:val="24"/>
        </w:rPr>
        <w:t xml:space="preserve">cost customers (Tr. 1910-11.) A three-year recovery period provides timely recovery of these costs and </w:t>
      </w:r>
      <w:r w:rsidR="00C81C2F">
        <w:rPr>
          <w:rFonts w:ascii="Times New Roman" w:hAnsi="Times New Roman"/>
          <w:iCs/>
          <w:szCs w:val="24"/>
        </w:rPr>
        <w:t>mitigates</w:t>
      </w:r>
      <w:r w:rsidRPr="00D03DCD">
        <w:rPr>
          <w:rFonts w:ascii="Times New Roman" w:hAnsi="Times New Roman"/>
          <w:iCs/>
          <w:szCs w:val="24"/>
        </w:rPr>
        <w:t xml:space="preserve"> the initial impact on customers</w:t>
      </w:r>
      <w:r>
        <w:rPr>
          <w:rFonts w:ascii="Times New Roman" w:hAnsi="Times New Roman"/>
          <w:iCs/>
          <w:szCs w:val="24"/>
        </w:rPr>
        <w:t>’</w:t>
      </w:r>
      <w:r w:rsidRPr="00D03DCD">
        <w:rPr>
          <w:rFonts w:ascii="Times New Roman" w:hAnsi="Times New Roman"/>
          <w:iCs/>
          <w:szCs w:val="24"/>
        </w:rPr>
        <w:t xml:space="preserve"> rates. (</w:t>
      </w:r>
      <w:r w:rsidR="007020F2">
        <w:rPr>
          <w:rFonts w:ascii="Times New Roman" w:hAnsi="Times New Roman"/>
          <w:iCs/>
          <w:szCs w:val="24"/>
        </w:rPr>
        <w:t>Tr. 2644</w:t>
      </w:r>
      <w:r w:rsidRPr="00D03DCD">
        <w:rPr>
          <w:rFonts w:ascii="Times New Roman" w:hAnsi="Times New Roman"/>
          <w:iCs/>
          <w:szCs w:val="24"/>
        </w:rPr>
        <w:t xml:space="preserve">.) The 25-year recovery period proposed by </w:t>
      </w:r>
      <w:r>
        <w:rPr>
          <w:rFonts w:ascii="Times New Roman" w:hAnsi="Times New Roman"/>
          <w:iCs/>
          <w:szCs w:val="24"/>
        </w:rPr>
        <w:t>W</w:t>
      </w:r>
      <w:r w:rsidRPr="00D03DCD">
        <w:rPr>
          <w:rFonts w:ascii="Times New Roman" w:hAnsi="Times New Roman"/>
          <w:iCs/>
          <w:szCs w:val="24"/>
        </w:rPr>
        <w:t>itness Laconte will adversely affect the Company</w:t>
      </w:r>
      <w:r>
        <w:rPr>
          <w:rFonts w:ascii="Times New Roman" w:hAnsi="Times New Roman"/>
          <w:iCs/>
          <w:szCs w:val="24"/>
        </w:rPr>
        <w:t>’</w:t>
      </w:r>
      <w:r w:rsidRPr="00D03DCD">
        <w:rPr>
          <w:rFonts w:ascii="Times New Roman" w:hAnsi="Times New Roman"/>
          <w:iCs/>
          <w:szCs w:val="24"/>
        </w:rPr>
        <w:t>s cash flow and credit metrics, as well as increas</w:t>
      </w:r>
      <w:r w:rsidR="00977B6B">
        <w:rPr>
          <w:rFonts w:ascii="Times New Roman" w:hAnsi="Times New Roman"/>
          <w:iCs/>
          <w:szCs w:val="24"/>
        </w:rPr>
        <w:t>e</w:t>
      </w:r>
      <w:r w:rsidRPr="00D03DCD">
        <w:rPr>
          <w:rFonts w:ascii="Times New Roman" w:hAnsi="Times New Roman"/>
          <w:iCs/>
          <w:szCs w:val="24"/>
        </w:rPr>
        <w:t xml:space="preserve"> the under-recovered balance, thereby increasing costs to customers. (</w:t>
      </w:r>
      <w:r w:rsidR="007020F2" w:rsidRPr="00F214C6">
        <w:rPr>
          <w:rFonts w:ascii="Times New Roman" w:hAnsi="Times New Roman"/>
          <w:i/>
          <w:iCs/>
          <w:szCs w:val="24"/>
        </w:rPr>
        <w:t>Id</w:t>
      </w:r>
      <w:r w:rsidRPr="00D03DCD">
        <w:rPr>
          <w:rFonts w:ascii="Times New Roman" w:hAnsi="Times New Roman"/>
          <w:iCs/>
          <w:szCs w:val="24"/>
        </w:rPr>
        <w:t>.) Therefore, the Commission should adopt the three-year recovery period recommended by PIA Staff and the Company.</w:t>
      </w:r>
    </w:p>
    <w:p w14:paraId="290F804B" w14:textId="1E3E4007" w:rsidR="00186C1F" w:rsidRDefault="009928A3" w:rsidP="00F4602A">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r>
        <w:rPr>
          <w:rFonts w:ascii="Times New Roman" w:hAnsi="Times New Roman"/>
          <w:szCs w:val="24"/>
        </w:rPr>
        <w:t>4.</w:t>
      </w:r>
      <w:r>
        <w:rPr>
          <w:rFonts w:ascii="Times New Roman" w:hAnsi="Times New Roman"/>
          <w:szCs w:val="24"/>
        </w:rPr>
        <w:tab/>
      </w:r>
      <w:r w:rsidR="00186C1F" w:rsidRPr="00D03DCD">
        <w:rPr>
          <w:rFonts w:ascii="Times New Roman" w:hAnsi="Times New Roman"/>
          <w:szCs w:val="24"/>
          <w:u w:val="single"/>
        </w:rPr>
        <w:t>Including contingency in the Company</w:t>
      </w:r>
      <w:r w:rsidR="006F6CB0">
        <w:rPr>
          <w:rFonts w:ascii="Times New Roman" w:hAnsi="Times New Roman"/>
          <w:szCs w:val="24"/>
          <w:u w:val="single"/>
        </w:rPr>
        <w:t>’</w:t>
      </w:r>
      <w:r w:rsidR="00186C1F" w:rsidRPr="00D03DCD">
        <w:rPr>
          <w:rFonts w:ascii="Times New Roman" w:hAnsi="Times New Roman"/>
          <w:szCs w:val="24"/>
          <w:u w:val="single"/>
        </w:rPr>
        <w:t xml:space="preserve">s estimates for CCR AROs and </w:t>
      </w:r>
      <w:r w:rsidR="009C42CA">
        <w:rPr>
          <w:rFonts w:ascii="Times New Roman" w:hAnsi="Times New Roman"/>
          <w:szCs w:val="24"/>
          <w:u w:val="single"/>
        </w:rPr>
        <w:t xml:space="preserve">the </w:t>
      </w:r>
      <w:r w:rsidR="00186C1F" w:rsidRPr="00D03DCD">
        <w:rPr>
          <w:rFonts w:ascii="Times New Roman" w:hAnsi="Times New Roman"/>
          <w:szCs w:val="24"/>
          <w:u w:val="single"/>
        </w:rPr>
        <w:t>ECCR</w:t>
      </w:r>
      <w:r w:rsidR="009C42CA">
        <w:rPr>
          <w:rFonts w:ascii="Times New Roman" w:hAnsi="Times New Roman"/>
          <w:szCs w:val="24"/>
          <w:u w:val="single"/>
        </w:rPr>
        <w:t xml:space="preserve"> tariff</w:t>
      </w:r>
      <w:r w:rsidR="00186C1F" w:rsidRPr="00D03DCD">
        <w:rPr>
          <w:rFonts w:ascii="Times New Roman" w:hAnsi="Times New Roman"/>
          <w:szCs w:val="24"/>
          <w:u w:val="single"/>
        </w:rPr>
        <w:t xml:space="preserve"> is not only consistent with </w:t>
      </w:r>
      <w:r w:rsidR="009C42CA">
        <w:rPr>
          <w:rFonts w:ascii="Times New Roman" w:hAnsi="Times New Roman"/>
          <w:szCs w:val="24"/>
          <w:u w:val="single"/>
        </w:rPr>
        <w:t xml:space="preserve">the Company’s </w:t>
      </w:r>
      <w:r w:rsidR="00186C1F" w:rsidRPr="00D03DCD">
        <w:rPr>
          <w:rFonts w:ascii="Times New Roman" w:hAnsi="Times New Roman"/>
          <w:szCs w:val="24"/>
          <w:u w:val="single"/>
        </w:rPr>
        <w:t>past practice but best practice in the industry for large, non-routine projects like those included in this case</w:t>
      </w:r>
      <w:r w:rsidR="00186C1F" w:rsidRPr="00186C1F">
        <w:rPr>
          <w:rFonts w:ascii="Times New Roman" w:hAnsi="Times New Roman"/>
          <w:szCs w:val="24"/>
        </w:rPr>
        <w:t>.</w:t>
      </w:r>
    </w:p>
    <w:bookmarkEnd w:id="19"/>
    <w:p w14:paraId="6B6D21BE" w14:textId="4090E5E7" w:rsidR="007020F2" w:rsidRDefault="00D03DCD" w:rsidP="007020F2">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Pr="00D03DCD">
        <w:rPr>
          <w:rFonts w:ascii="Times New Roman" w:hAnsi="Times New Roman"/>
          <w:szCs w:val="24"/>
        </w:rPr>
        <w:t xml:space="preserve">The Commission should approve </w:t>
      </w:r>
      <w:r w:rsidR="00B93692">
        <w:rPr>
          <w:rFonts w:ascii="Times New Roman" w:hAnsi="Times New Roman"/>
          <w:szCs w:val="24"/>
        </w:rPr>
        <w:t>recovery of the</w:t>
      </w:r>
      <w:r w:rsidR="00663509">
        <w:rPr>
          <w:rFonts w:ascii="Times New Roman" w:hAnsi="Times New Roman"/>
          <w:szCs w:val="24"/>
        </w:rPr>
        <w:t xml:space="preserve"> </w:t>
      </w:r>
      <w:r w:rsidRPr="00D03DCD">
        <w:rPr>
          <w:rFonts w:ascii="Times New Roman" w:hAnsi="Times New Roman"/>
          <w:szCs w:val="24"/>
        </w:rPr>
        <w:t>Company</w:t>
      </w:r>
      <w:r w:rsidR="006F6CB0">
        <w:rPr>
          <w:rFonts w:ascii="Times New Roman" w:hAnsi="Times New Roman"/>
          <w:szCs w:val="24"/>
        </w:rPr>
        <w:t>’</w:t>
      </w:r>
      <w:r w:rsidRPr="00D03DCD">
        <w:rPr>
          <w:rFonts w:ascii="Times New Roman" w:hAnsi="Times New Roman"/>
          <w:szCs w:val="24"/>
        </w:rPr>
        <w:t>s estimates, including the contingency amounts, for CCR ARO</w:t>
      </w:r>
      <w:r w:rsidR="009C42CA">
        <w:rPr>
          <w:rFonts w:ascii="Times New Roman" w:hAnsi="Times New Roman"/>
          <w:szCs w:val="24"/>
        </w:rPr>
        <w:t xml:space="preserve"> compliance cost</w:t>
      </w:r>
      <w:r w:rsidRPr="00D03DCD">
        <w:rPr>
          <w:rFonts w:ascii="Times New Roman" w:hAnsi="Times New Roman"/>
          <w:szCs w:val="24"/>
        </w:rPr>
        <w:t xml:space="preserve">s and for the ECCR tariff. </w:t>
      </w:r>
      <w:r w:rsidR="007020F2">
        <w:rPr>
          <w:rFonts w:ascii="Times New Roman" w:hAnsi="Times New Roman"/>
          <w:szCs w:val="24"/>
        </w:rPr>
        <w:t xml:space="preserve">Contingency is “an essential component of a comprehensive and transparent cost estimate.” (Tr. 2642.) The inclusion of contingency in the Company’s estimates is consistent with industry practice for large, capital-intensive projects, and its inclusion mitigates risk, maintains cost stability, and allows for </w:t>
      </w:r>
      <w:r w:rsidR="007020F2">
        <w:rPr>
          <w:rFonts w:ascii="Times New Roman" w:hAnsi="Times New Roman"/>
          <w:szCs w:val="24"/>
        </w:rPr>
        <w:lastRenderedPageBreak/>
        <w:t>a transparent estimating process. (</w:t>
      </w:r>
      <w:r w:rsidR="007020F2" w:rsidRPr="00F214C6">
        <w:rPr>
          <w:rFonts w:ascii="Times New Roman" w:hAnsi="Times New Roman"/>
          <w:i/>
          <w:szCs w:val="24"/>
        </w:rPr>
        <w:t>Id</w:t>
      </w:r>
      <w:r w:rsidR="007020F2">
        <w:rPr>
          <w:rFonts w:ascii="Times New Roman" w:hAnsi="Times New Roman"/>
          <w:szCs w:val="24"/>
        </w:rPr>
        <w:t>.) In short, the Company’s contingency estimate is part of what the Company estimates it will cost to complete these projects; therefore, the contingency amounts are appropriately included in the Company’s CCR ARO and ECCR projections.</w:t>
      </w:r>
    </w:p>
    <w:p w14:paraId="54B4667D" w14:textId="5F0D3481" w:rsidR="007020F2" w:rsidRPr="00C45FB5" w:rsidRDefault="007020F2" w:rsidP="00F214C6">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Pr="00D03DCD">
        <w:rPr>
          <w:rFonts w:ascii="Times New Roman" w:hAnsi="Times New Roman"/>
          <w:szCs w:val="24"/>
        </w:rPr>
        <w:t>PIA Staff</w:t>
      </w:r>
      <w:r>
        <w:rPr>
          <w:rFonts w:ascii="Times New Roman" w:hAnsi="Times New Roman"/>
          <w:szCs w:val="24"/>
        </w:rPr>
        <w:t>’</w:t>
      </w:r>
      <w:r w:rsidRPr="00D03DCD">
        <w:rPr>
          <w:rFonts w:ascii="Times New Roman" w:hAnsi="Times New Roman"/>
          <w:szCs w:val="24"/>
        </w:rPr>
        <w:t>s recommendation represents a deviation from this Commission</w:t>
      </w:r>
      <w:r>
        <w:rPr>
          <w:rFonts w:ascii="Times New Roman" w:hAnsi="Times New Roman"/>
          <w:szCs w:val="24"/>
        </w:rPr>
        <w:t>’</w:t>
      </w:r>
      <w:r w:rsidRPr="00D03DCD">
        <w:rPr>
          <w:rFonts w:ascii="Times New Roman" w:hAnsi="Times New Roman"/>
          <w:szCs w:val="24"/>
        </w:rPr>
        <w:t>s past pr</w:t>
      </w:r>
      <w:r>
        <w:rPr>
          <w:rFonts w:ascii="Times New Roman" w:hAnsi="Times New Roman"/>
          <w:szCs w:val="24"/>
        </w:rPr>
        <w:t>actice</w:t>
      </w:r>
      <w:r w:rsidRPr="00D03DCD">
        <w:rPr>
          <w:rFonts w:ascii="Times New Roman" w:hAnsi="Times New Roman"/>
          <w:szCs w:val="24"/>
        </w:rPr>
        <w:t xml:space="preserve">. The Commission </w:t>
      </w:r>
      <w:r>
        <w:rPr>
          <w:rFonts w:ascii="Times New Roman" w:hAnsi="Times New Roman"/>
          <w:szCs w:val="24"/>
        </w:rPr>
        <w:t>has previously</w:t>
      </w:r>
      <w:r w:rsidRPr="00D03DCD">
        <w:rPr>
          <w:rFonts w:ascii="Times New Roman" w:hAnsi="Times New Roman"/>
          <w:szCs w:val="24"/>
        </w:rPr>
        <w:t xml:space="preserve"> approve</w:t>
      </w:r>
      <w:r>
        <w:rPr>
          <w:rFonts w:ascii="Times New Roman" w:hAnsi="Times New Roman"/>
          <w:szCs w:val="24"/>
        </w:rPr>
        <w:t>d</w:t>
      </w:r>
      <w:r w:rsidRPr="00D03DCD">
        <w:rPr>
          <w:rFonts w:ascii="Times New Roman" w:hAnsi="Times New Roman"/>
          <w:szCs w:val="24"/>
        </w:rPr>
        <w:t xml:space="preserve"> contingency amounts for ARO and ECCR projects.</w:t>
      </w:r>
      <w:r>
        <w:rPr>
          <w:rFonts w:ascii="Times New Roman" w:hAnsi="Times New Roman"/>
          <w:szCs w:val="24"/>
        </w:rPr>
        <w:t xml:space="preserve"> (Tr.</w:t>
      </w:r>
      <w:r w:rsidR="00F4602A">
        <w:rPr>
          <w:rFonts w:ascii="Times New Roman" w:hAnsi="Times New Roman"/>
          <w:szCs w:val="24"/>
        </w:rPr>
        <w:t> </w:t>
      </w:r>
      <w:r>
        <w:rPr>
          <w:rFonts w:ascii="Times New Roman" w:hAnsi="Times New Roman"/>
          <w:szCs w:val="24"/>
        </w:rPr>
        <w:t xml:space="preserve">2643.) </w:t>
      </w:r>
      <w:r w:rsidRPr="00D03DCD">
        <w:rPr>
          <w:rFonts w:ascii="Times New Roman" w:hAnsi="Times New Roman"/>
          <w:szCs w:val="24"/>
        </w:rPr>
        <w:t>These contingency amounts represent “an appropriate construction pricing forecasting methodology</w:t>
      </w:r>
      <w:r>
        <w:rPr>
          <w:rFonts w:ascii="Times New Roman" w:hAnsi="Times New Roman"/>
          <w:szCs w:val="24"/>
        </w:rPr>
        <w:t xml:space="preserve"> that the experts that [the Company] had in the IRP panel addressed.” (Tr. 283.)</w:t>
      </w:r>
      <w:r w:rsidRPr="00D03DCD">
        <w:rPr>
          <w:rFonts w:ascii="Times New Roman" w:hAnsi="Times New Roman"/>
          <w:szCs w:val="24"/>
        </w:rPr>
        <w:t xml:space="preserve"> PIA Staff acknowledged that “</w:t>
      </w:r>
      <w:r>
        <w:rPr>
          <w:rFonts w:ascii="Times New Roman" w:hAnsi="Times New Roman"/>
          <w:szCs w:val="24"/>
        </w:rPr>
        <w:t>[i]</w:t>
      </w:r>
      <w:r w:rsidRPr="00D03DCD">
        <w:rPr>
          <w:rFonts w:ascii="Times New Roman" w:hAnsi="Times New Roman"/>
          <w:szCs w:val="24"/>
        </w:rPr>
        <w:t>t</w:t>
      </w:r>
      <w:r>
        <w:rPr>
          <w:rFonts w:ascii="Times New Roman" w:hAnsi="Times New Roman"/>
          <w:szCs w:val="24"/>
        </w:rPr>
        <w:t>’</w:t>
      </w:r>
      <w:r w:rsidRPr="00D03DCD">
        <w:rPr>
          <w:rFonts w:ascii="Times New Roman" w:hAnsi="Times New Roman"/>
          <w:szCs w:val="24"/>
        </w:rPr>
        <w:t xml:space="preserve">s common for contingencies to be included in cost instruments.” </w:t>
      </w:r>
      <w:r>
        <w:rPr>
          <w:rFonts w:ascii="Times New Roman" w:hAnsi="Times New Roman"/>
          <w:szCs w:val="24"/>
        </w:rPr>
        <w:t>(Tr.</w:t>
      </w:r>
      <w:r w:rsidR="00F4602A">
        <w:rPr>
          <w:rFonts w:ascii="Times New Roman" w:hAnsi="Times New Roman"/>
          <w:szCs w:val="24"/>
        </w:rPr>
        <w:t> </w:t>
      </w:r>
      <w:r w:rsidRPr="00C45FB5">
        <w:rPr>
          <w:rFonts w:ascii="Times New Roman" w:hAnsi="Times New Roman"/>
          <w:szCs w:val="24"/>
        </w:rPr>
        <w:t xml:space="preserve">1412.) </w:t>
      </w:r>
    </w:p>
    <w:p w14:paraId="27CCBBFA" w14:textId="2403E7D6" w:rsidR="007020F2" w:rsidRPr="00D03DCD" w:rsidRDefault="007020F2" w:rsidP="00F214C6">
      <w:pPr>
        <w:widowControl/>
        <w:tabs>
          <w:tab w:val="left" w:pos="0"/>
        </w:tabs>
        <w:overflowPunct/>
        <w:autoSpaceDE/>
        <w:autoSpaceDN/>
        <w:adjustRightInd/>
        <w:spacing w:line="480" w:lineRule="auto"/>
        <w:jc w:val="both"/>
        <w:textAlignment w:val="auto"/>
        <w:rPr>
          <w:rFonts w:ascii="Times New Roman" w:hAnsi="Times New Roman"/>
          <w:szCs w:val="24"/>
        </w:rPr>
      </w:pPr>
      <w:r w:rsidRPr="00C45FB5">
        <w:rPr>
          <w:rFonts w:ascii="Times New Roman" w:hAnsi="Times New Roman"/>
          <w:szCs w:val="24"/>
        </w:rPr>
        <w:tab/>
        <w:t>PIA Staff’s recommendation assumes incorrectly that there is a high probability that project costs will be less than the Company’s total project cost estimates. (</w:t>
      </w:r>
      <w:r w:rsidRPr="00C45FB5">
        <w:rPr>
          <w:rFonts w:ascii="Times New Roman" w:hAnsi="Times New Roman"/>
          <w:i/>
          <w:szCs w:val="24"/>
        </w:rPr>
        <w:t>See</w:t>
      </w:r>
      <w:r w:rsidRPr="00C45FB5">
        <w:rPr>
          <w:rFonts w:ascii="Times New Roman" w:hAnsi="Times New Roman"/>
          <w:szCs w:val="24"/>
        </w:rPr>
        <w:t xml:space="preserve"> Tr. 1209.) In reality, the Company’s estimates were developed in such a way that there is a reasonable possibility that actual costs may not be greater than the total cost estimate, </w:t>
      </w:r>
      <w:r w:rsidR="00E51048" w:rsidRPr="00C45FB5">
        <w:rPr>
          <w:rFonts w:ascii="Times New Roman" w:hAnsi="Times New Roman"/>
          <w:szCs w:val="24"/>
        </w:rPr>
        <w:t>so long as</w:t>
      </w:r>
      <w:r w:rsidRPr="00C45FB5">
        <w:rPr>
          <w:rFonts w:ascii="Times New Roman" w:hAnsi="Times New Roman"/>
          <w:szCs w:val="24"/>
        </w:rPr>
        <w:t xml:space="preserve"> contingency</w:t>
      </w:r>
      <w:r w:rsidR="00E51048" w:rsidRPr="00C45FB5">
        <w:rPr>
          <w:rFonts w:ascii="Times New Roman" w:hAnsi="Times New Roman"/>
          <w:szCs w:val="24"/>
        </w:rPr>
        <w:t xml:space="preserve"> is included in the estimate</w:t>
      </w:r>
      <w:r w:rsidRPr="00C45FB5">
        <w:rPr>
          <w:rFonts w:ascii="Times New Roman" w:hAnsi="Times New Roman"/>
          <w:szCs w:val="24"/>
        </w:rPr>
        <w:t>. (Tr. 2643.)</w:t>
      </w:r>
      <w:r w:rsidR="00E51048" w:rsidRPr="00C45FB5">
        <w:rPr>
          <w:rFonts w:ascii="Times New Roman" w:hAnsi="Times New Roman"/>
          <w:szCs w:val="24"/>
        </w:rPr>
        <w:t xml:space="preserve"> If contingency is removed, the probability that actual costs will exceed projections increases substantially.</w:t>
      </w:r>
      <w:r w:rsidRPr="00C45FB5">
        <w:rPr>
          <w:rFonts w:ascii="Times New Roman" w:hAnsi="Times New Roman"/>
          <w:szCs w:val="24"/>
        </w:rPr>
        <w:t xml:space="preserve"> PIA Staff’s removal of contingency amounts from the Company’s request for CCR ARO recovery was not based on a detailed review or analysis of the Company’s cost estimates. Rather</w:t>
      </w:r>
      <w:r w:rsidRPr="00D03DCD">
        <w:rPr>
          <w:rFonts w:ascii="Times New Roman" w:hAnsi="Times New Roman"/>
          <w:szCs w:val="24"/>
        </w:rPr>
        <w:t xml:space="preserve">, PIA Staff simply “removed the contingencies that the </w:t>
      </w:r>
      <w:r w:rsidR="00F462EB">
        <w:rPr>
          <w:rFonts w:ascii="Times New Roman" w:hAnsi="Times New Roman"/>
          <w:szCs w:val="24"/>
        </w:rPr>
        <w:t>c</w:t>
      </w:r>
      <w:r w:rsidRPr="00D03DCD">
        <w:rPr>
          <w:rFonts w:ascii="Times New Roman" w:hAnsi="Times New Roman"/>
          <w:szCs w:val="24"/>
        </w:rPr>
        <w:t xml:space="preserve">ompany identified in response to staff discovery.” </w:t>
      </w:r>
      <w:r>
        <w:rPr>
          <w:rFonts w:ascii="Times New Roman" w:hAnsi="Times New Roman"/>
          <w:szCs w:val="24"/>
        </w:rPr>
        <w:t xml:space="preserve">(Tr. 1413.) The Company expects that the contingency amounts will be needed to complete the CCR ARO projects. (Tr. 2643.) Because the contingency amounts are part of the Company’s </w:t>
      </w:r>
      <w:r w:rsidR="00C86C8B">
        <w:rPr>
          <w:rFonts w:ascii="Times New Roman" w:hAnsi="Times New Roman"/>
          <w:szCs w:val="24"/>
        </w:rPr>
        <w:t xml:space="preserve">current </w:t>
      </w:r>
      <w:r>
        <w:rPr>
          <w:rFonts w:ascii="Times New Roman" w:hAnsi="Times New Roman"/>
          <w:szCs w:val="24"/>
        </w:rPr>
        <w:t>estimate for what the projects will cost, based on a transparent methodology, these contingency amounts should be included in the Company’s estimates.</w:t>
      </w:r>
    </w:p>
    <w:p w14:paraId="3244AC58" w14:textId="23E1271C" w:rsidR="00F462EB" w:rsidRDefault="00D03DCD" w:rsidP="008E784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lastRenderedPageBreak/>
        <w:tab/>
      </w:r>
      <w:r w:rsidRPr="00D03DCD">
        <w:rPr>
          <w:rFonts w:ascii="Times New Roman" w:hAnsi="Times New Roman"/>
          <w:szCs w:val="24"/>
        </w:rPr>
        <w:t>With respect to CCR ARO</w:t>
      </w:r>
      <w:r w:rsidR="00D14DAF">
        <w:rPr>
          <w:rFonts w:ascii="Times New Roman" w:hAnsi="Times New Roman"/>
          <w:szCs w:val="24"/>
        </w:rPr>
        <w:t xml:space="preserve"> compliance cost</w:t>
      </w:r>
      <w:r w:rsidRPr="00D03DCD">
        <w:rPr>
          <w:rFonts w:ascii="Times New Roman" w:hAnsi="Times New Roman"/>
          <w:szCs w:val="24"/>
        </w:rPr>
        <w:t xml:space="preserve">s, the Company ultimately </w:t>
      </w:r>
      <w:r w:rsidR="00135225" w:rsidRPr="00D03DCD">
        <w:rPr>
          <w:rFonts w:ascii="Times New Roman" w:hAnsi="Times New Roman"/>
          <w:szCs w:val="24"/>
        </w:rPr>
        <w:t xml:space="preserve">will </w:t>
      </w:r>
      <w:r w:rsidRPr="00D03DCD">
        <w:rPr>
          <w:rFonts w:ascii="Times New Roman" w:hAnsi="Times New Roman"/>
          <w:szCs w:val="24"/>
        </w:rPr>
        <w:t>only collect what these projects</w:t>
      </w:r>
      <w:r w:rsidR="009C08A5">
        <w:rPr>
          <w:rFonts w:ascii="Times New Roman" w:hAnsi="Times New Roman"/>
          <w:szCs w:val="24"/>
        </w:rPr>
        <w:t xml:space="preserve"> actually</w:t>
      </w:r>
      <w:r w:rsidRPr="00D03DCD">
        <w:rPr>
          <w:rFonts w:ascii="Times New Roman" w:hAnsi="Times New Roman"/>
          <w:szCs w:val="24"/>
        </w:rPr>
        <w:t xml:space="preserve"> cost.</w:t>
      </w:r>
      <w:r w:rsidR="00F462EB">
        <w:rPr>
          <w:rFonts w:ascii="Times New Roman" w:hAnsi="Times New Roman"/>
          <w:szCs w:val="24"/>
        </w:rPr>
        <w:t xml:space="preserve"> (Tr. 2643.)</w:t>
      </w:r>
      <w:r w:rsidRPr="00D03DCD">
        <w:rPr>
          <w:rFonts w:ascii="Times New Roman" w:hAnsi="Times New Roman"/>
          <w:szCs w:val="24"/>
        </w:rPr>
        <w:t xml:space="preserve"> The inclusion of contingency amounts in these estimates makes it more likely that the Company will avoid an under-recovery in the future, but its inclusion does not provide a windfall to the Company. </w:t>
      </w:r>
      <w:r w:rsidR="00F462EB">
        <w:rPr>
          <w:rFonts w:ascii="Times New Roman" w:hAnsi="Times New Roman"/>
          <w:szCs w:val="24"/>
        </w:rPr>
        <w:t>(</w:t>
      </w:r>
      <w:r w:rsidR="00F462EB">
        <w:rPr>
          <w:rFonts w:ascii="Times New Roman" w:hAnsi="Times New Roman"/>
          <w:i/>
          <w:szCs w:val="24"/>
        </w:rPr>
        <w:t xml:space="preserve">See </w:t>
      </w:r>
      <w:r w:rsidR="00544EC5">
        <w:rPr>
          <w:rFonts w:ascii="Times New Roman" w:hAnsi="Times New Roman"/>
          <w:i/>
          <w:szCs w:val="24"/>
        </w:rPr>
        <w:t>i</w:t>
      </w:r>
      <w:r w:rsidR="00F462EB">
        <w:rPr>
          <w:rFonts w:ascii="Times New Roman" w:hAnsi="Times New Roman"/>
          <w:i/>
          <w:szCs w:val="24"/>
        </w:rPr>
        <w:t>d.</w:t>
      </w:r>
      <w:r w:rsidR="00F462EB">
        <w:rPr>
          <w:rFonts w:ascii="Times New Roman" w:hAnsi="Times New Roman"/>
          <w:szCs w:val="24"/>
        </w:rPr>
        <w:t xml:space="preserve">) </w:t>
      </w:r>
      <w:r w:rsidRPr="00D03DCD">
        <w:rPr>
          <w:rFonts w:ascii="Times New Roman" w:hAnsi="Times New Roman"/>
          <w:szCs w:val="24"/>
        </w:rPr>
        <w:t>In fact, any over- or under-recovery will be deferred in a regulatory liability or asset (respectively) for the Commission to consider in the future. (</w:t>
      </w:r>
      <w:r w:rsidR="00F462EB" w:rsidRPr="00407D7A">
        <w:rPr>
          <w:rFonts w:ascii="Times New Roman" w:hAnsi="Times New Roman"/>
          <w:i/>
          <w:szCs w:val="24"/>
        </w:rPr>
        <w:t>Id</w:t>
      </w:r>
      <w:r w:rsidRPr="00D03DCD">
        <w:rPr>
          <w:rFonts w:ascii="Times New Roman" w:hAnsi="Times New Roman"/>
          <w:szCs w:val="24"/>
        </w:rPr>
        <w:t xml:space="preserve">.) </w:t>
      </w:r>
    </w:p>
    <w:p w14:paraId="319F0E60" w14:textId="6F8991AC" w:rsidR="00D03DCD" w:rsidRDefault="00F462EB" w:rsidP="00407D7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D03DCD" w:rsidRPr="00D03DCD">
        <w:rPr>
          <w:rFonts w:ascii="Times New Roman" w:hAnsi="Times New Roman"/>
          <w:szCs w:val="24"/>
        </w:rPr>
        <w:t>Inclusion of the contingency amounts is consistent with the Commission</w:t>
      </w:r>
      <w:r w:rsidR="006F6CB0">
        <w:rPr>
          <w:rFonts w:ascii="Times New Roman" w:hAnsi="Times New Roman"/>
          <w:szCs w:val="24"/>
        </w:rPr>
        <w:t>’</w:t>
      </w:r>
      <w:r w:rsidR="00D03DCD" w:rsidRPr="00D03DCD">
        <w:rPr>
          <w:rFonts w:ascii="Times New Roman" w:hAnsi="Times New Roman"/>
          <w:szCs w:val="24"/>
        </w:rPr>
        <w:t>s precedent, recognizes the Company</w:t>
      </w:r>
      <w:r w:rsidR="006F6CB0">
        <w:rPr>
          <w:rFonts w:ascii="Times New Roman" w:hAnsi="Times New Roman"/>
          <w:szCs w:val="24"/>
        </w:rPr>
        <w:t>’</w:t>
      </w:r>
      <w:r w:rsidR="00D03DCD" w:rsidRPr="00D03DCD">
        <w:rPr>
          <w:rFonts w:ascii="Times New Roman" w:hAnsi="Times New Roman"/>
          <w:szCs w:val="24"/>
        </w:rPr>
        <w:t>s full cost estimate, and decreases the likelihood that the Company will be in an under-recovered position as the CCR</w:t>
      </w:r>
      <w:r w:rsidR="00663509">
        <w:rPr>
          <w:rFonts w:ascii="Times New Roman" w:hAnsi="Times New Roman"/>
          <w:szCs w:val="24"/>
        </w:rPr>
        <w:t xml:space="preserve"> ARO</w:t>
      </w:r>
      <w:r w:rsidR="00D03DCD" w:rsidRPr="00D03DCD">
        <w:rPr>
          <w:rFonts w:ascii="Times New Roman" w:hAnsi="Times New Roman"/>
          <w:szCs w:val="24"/>
        </w:rPr>
        <w:t xml:space="preserve"> projects progress. </w:t>
      </w:r>
      <w:r>
        <w:rPr>
          <w:rFonts w:ascii="Times New Roman" w:hAnsi="Times New Roman"/>
          <w:szCs w:val="24"/>
        </w:rPr>
        <w:t>Therefore</w:t>
      </w:r>
      <w:r w:rsidR="00D14DAF">
        <w:rPr>
          <w:rFonts w:ascii="Times New Roman" w:hAnsi="Times New Roman"/>
          <w:szCs w:val="24"/>
        </w:rPr>
        <w:t>, t</w:t>
      </w:r>
      <w:r w:rsidR="00D03DCD" w:rsidRPr="00D03DCD">
        <w:rPr>
          <w:rFonts w:ascii="Times New Roman" w:hAnsi="Times New Roman"/>
          <w:szCs w:val="24"/>
        </w:rPr>
        <w:t>he Commission should approve the Company</w:t>
      </w:r>
      <w:r w:rsidR="006F6CB0">
        <w:rPr>
          <w:rFonts w:ascii="Times New Roman" w:hAnsi="Times New Roman"/>
          <w:szCs w:val="24"/>
        </w:rPr>
        <w:t>’</w:t>
      </w:r>
      <w:r w:rsidR="00D03DCD" w:rsidRPr="00D03DCD">
        <w:rPr>
          <w:rFonts w:ascii="Times New Roman" w:hAnsi="Times New Roman"/>
          <w:szCs w:val="24"/>
        </w:rPr>
        <w:t>s cost estimates for CCR ARO costs and for the ECCR tariff without modification.</w:t>
      </w:r>
    </w:p>
    <w:p w14:paraId="1C405BF3" w14:textId="0BA66215" w:rsidR="00D03DCD" w:rsidRPr="00D03DCD" w:rsidRDefault="00D03DCD" w:rsidP="00F4602A">
      <w:pPr>
        <w:widowControl/>
        <w:tabs>
          <w:tab w:val="left" w:pos="0"/>
          <w:tab w:val="left" w:pos="720"/>
        </w:tabs>
        <w:overflowPunct/>
        <w:autoSpaceDE/>
        <w:autoSpaceDN/>
        <w:adjustRightInd/>
        <w:spacing w:before="240" w:after="240"/>
        <w:ind w:left="1440" w:hanging="1440"/>
        <w:jc w:val="both"/>
        <w:textAlignment w:val="auto"/>
        <w:rPr>
          <w:rFonts w:ascii="Times New Roman" w:hAnsi="Times New Roman"/>
          <w:szCs w:val="24"/>
        </w:rPr>
      </w:pPr>
      <w:bookmarkStart w:id="20" w:name="_Hlk26111629"/>
      <w:r>
        <w:rPr>
          <w:rFonts w:ascii="Times New Roman" w:hAnsi="Times New Roman"/>
          <w:szCs w:val="24"/>
        </w:rPr>
        <w:tab/>
      </w:r>
      <w:r w:rsidR="009928A3">
        <w:rPr>
          <w:rFonts w:ascii="Times New Roman" w:hAnsi="Times New Roman"/>
          <w:szCs w:val="24"/>
        </w:rPr>
        <w:t>5</w:t>
      </w:r>
      <w:r>
        <w:rPr>
          <w:rFonts w:ascii="Times New Roman" w:hAnsi="Times New Roman"/>
          <w:szCs w:val="24"/>
        </w:rPr>
        <w:t>.</w:t>
      </w:r>
      <w:r>
        <w:rPr>
          <w:rFonts w:ascii="Times New Roman" w:hAnsi="Times New Roman"/>
          <w:szCs w:val="24"/>
        </w:rPr>
        <w:tab/>
      </w:r>
      <w:r w:rsidRPr="00CD0072">
        <w:rPr>
          <w:rFonts w:ascii="Times New Roman" w:hAnsi="Times New Roman"/>
          <w:szCs w:val="24"/>
          <w:u w:val="single"/>
        </w:rPr>
        <w:t>The Commission should reject Intervenor recommendations for separate proceedings or alternate recovery mechanisms for the Company</w:t>
      </w:r>
      <w:r w:rsidR="006F6CB0">
        <w:rPr>
          <w:rFonts w:ascii="Times New Roman" w:hAnsi="Times New Roman"/>
          <w:szCs w:val="24"/>
          <w:u w:val="single"/>
        </w:rPr>
        <w:t>’</w:t>
      </w:r>
      <w:r w:rsidRPr="00CD0072">
        <w:rPr>
          <w:rFonts w:ascii="Times New Roman" w:hAnsi="Times New Roman"/>
          <w:szCs w:val="24"/>
          <w:u w:val="single"/>
        </w:rPr>
        <w:t>s CCR ARO compliance costs</w:t>
      </w:r>
      <w:r>
        <w:rPr>
          <w:rFonts w:ascii="Times New Roman" w:hAnsi="Times New Roman"/>
          <w:szCs w:val="24"/>
        </w:rPr>
        <w:t>.</w:t>
      </w:r>
    </w:p>
    <w:bookmarkEnd w:id="20"/>
    <w:p w14:paraId="3DD701E0" w14:textId="787D01D0" w:rsidR="00D03DCD" w:rsidRDefault="00CD0072" w:rsidP="00D14DAF">
      <w:pPr>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Pr="00CD0072">
        <w:rPr>
          <w:rFonts w:ascii="Times New Roman" w:hAnsi="Times New Roman"/>
          <w:szCs w:val="24"/>
        </w:rPr>
        <w:t xml:space="preserve">The Commission should reject the alternate review mechanisms proposed by Ms. Wilson, Mr. Blank, and Mr. Pollock regarding the recovery of CCR ARO costs. </w:t>
      </w:r>
      <w:r w:rsidR="00F462EB">
        <w:rPr>
          <w:rFonts w:ascii="Times New Roman" w:hAnsi="Times New Roman"/>
          <w:szCs w:val="24"/>
        </w:rPr>
        <w:t>T</w:t>
      </w:r>
      <w:r w:rsidRPr="00CD0072">
        <w:rPr>
          <w:rFonts w:ascii="Times New Roman" w:hAnsi="Times New Roman"/>
          <w:szCs w:val="24"/>
        </w:rPr>
        <w:t xml:space="preserve">he Company ultimately </w:t>
      </w:r>
      <w:r w:rsidR="00135225" w:rsidRPr="00CD0072">
        <w:rPr>
          <w:rFonts w:ascii="Times New Roman" w:hAnsi="Times New Roman"/>
          <w:szCs w:val="24"/>
        </w:rPr>
        <w:t xml:space="preserve">will </w:t>
      </w:r>
      <w:r w:rsidRPr="00CD0072">
        <w:rPr>
          <w:rFonts w:ascii="Times New Roman" w:hAnsi="Times New Roman"/>
          <w:szCs w:val="24"/>
        </w:rPr>
        <w:t xml:space="preserve">collect only the actual cost of these projects, with customers being made whole for any overcollection. </w:t>
      </w:r>
      <w:r w:rsidR="00F462EB">
        <w:rPr>
          <w:rFonts w:ascii="Times New Roman" w:hAnsi="Times New Roman"/>
          <w:szCs w:val="24"/>
        </w:rPr>
        <w:t xml:space="preserve">(Tr. 2643.) </w:t>
      </w:r>
      <w:r w:rsidRPr="00CD0072">
        <w:rPr>
          <w:rFonts w:ascii="Times New Roman" w:hAnsi="Times New Roman"/>
          <w:szCs w:val="24"/>
        </w:rPr>
        <w:t xml:space="preserve">Additionally, the Company will provide semi-annual reports to the Commission regarding CCR ARO compliance efforts, as ordered by this Commission in the </w:t>
      </w:r>
      <w:r w:rsidR="004A0718">
        <w:rPr>
          <w:rFonts w:ascii="Times New Roman" w:hAnsi="Times New Roman"/>
          <w:szCs w:val="24"/>
        </w:rPr>
        <w:t xml:space="preserve">Company’s </w:t>
      </w:r>
      <w:r w:rsidRPr="00CD0072">
        <w:rPr>
          <w:rFonts w:ascii="Times New Roman" w:hAnsi="Times New Roman"/>
          <w:szCs w:val="24"/>
        </w:rPr>
        <w:t xml:space="preserve">2019 </w:t>
      </w:r>
      <w:r w:rsidR="004A0718">
        <w:rPr>
          <w:rFonts w:ascii="Times New Roman" w:hAnsi="Times New Roman"/>
          <w:szCs w:val="24"/>
        </w:rPr>
        <w:t>2019 Integrated Resource Plan proceeding, Docket No. 42310 (“</w:t>
      </w:r>
      <w:r w:rsidR="004A0718" w:rsidRPr="00A01C88">
        <w:rPr>
          <w:rFonts w:ascii="Times New Roman" w:hAnsi="Times New Roman"/>
          <w:szCs w:val="24"/>
        </w:rPr>
        <w:t>IRP</w:t>
      </w:r>
      <w:r w:rsidR="004A0718">
        <w:rPr>
          <w:rFonts w:ascii="Times New Roman" w:hAnsi="Times New Roman"/>
          <w:szCs w:val="24"/>
        </w:rPr>
        <w:t>”)</w:t>
      </w:r>
      <w:r w:rsidRPr="00CD0072">
        <w:rPr>
          <w:rFonts w:ascii="Times New Roman" w:hAnsi="Times New Roman"/>
          <w:szCs w:val="24"/>
        </w:rPr>
        <w:t>. (</w:t>
      </w:r>
      <w:r w:rsidR="00F462EB">
        <w:rPr>
          <w:rFonts w:ascii="Times New Roman" w:hAnsi="Times New Roman"/>
          <w:szCs w:val="24"/>
        </w:rPr>
        <w:t>Tr. 26</w:t>
      </w:r>
      <w:r w:rsidR="000E36A4">
        <w:rPr>
          <w:rFonts w:ascii="Times New Roman" w:hAnsi="Times New Roman"/>
          <w:szCs w:val="24"/>
        </w:rPr>
        <w:t>44</w:t>
      </w:r>
      <w:r w:rsidRPr="00CD0072">
        <w:rPr>
          <w:rFonts w:ascii="Times New Roman" w:hAnsi="Times New Roman"/>
          <w:szCs w:val="24"/>
        </w:rPr>
        <w:t xml:space="preserve">.) </w:t>
      </w:r>
      <w:r w:rsidR="00544EC5">
        <w:rPr>
          <w:rFonts w:ascii="Times New Roman" w:hAnsi="Times New Roman"/>
          <w:szCs w:val="24"/>
        </w:rPr>
        <w:t>The e</w:t>
      </w:r>
      <w:r w:rsidRPr="00CD0072">
        <w:rPr>
          <w:rFonts w:ascii="Times New Roman" w:hAnsi="Times New Roman"/>
          <w:szCs w:val="24"/>
        </w:rPr>
        <w:t xml:space="preserve">stablishment of an additional rider or review process will be burdensome to the Commission, the Company, and its customers, </w:t>
      </w:r>
      <w:r w:rsidR="00C86C8B">
        <w:rPr>
          <w:rFonts w:ascii="Times New Roman" w:hAnsi="Times New Roman"/>
          <w:szCs w:val="24"/>
        </w:rPr>
        <w:t xml:space="preserve">and </w:t>
      </w:r>
      <w:r w:rsidR="00544EC5">
        <w:rPr>
          <w:rFonts w:ascii="Times New Roman" w:hAnsi="Times New Roman"/>
          <w:szCs w:val="24"/>
        </w:rPr>
        <w:t xml:space="preserve">is </w:t>
      </w:r>
      <w:r w:rsidR="00C86C8B">
        <w:rPr>
          <w:rFonts w:ascii="Times New Roman" w:hAnsi="Times New Roman"/>
          <w:szCs w:val="24"/>
        </w:rPr>
        <w:t>unnecessary</w:t>
      </w:r>
      <w:r w:rsidRPr="00CD0072">
        <w:rPr>
          <w:rFonts w:ascii="Times New Roman" w:hAnsi="Times New Roman"/>
          <w:szCs w:val="24"/>
        </w:rPr>
        <w:t>. (</w:t>
      </w:r>
      <w:r w:rsidR="000E36A4">
        <w:rPr>
          <w:rFonts w:ascii="Times New Roman" w:hAnsi="Times New Roman"/>
          <w:szCs w:val="24"/>
        </w:rPr>
        <w:t>Tr. 2644-45</w:t>
      </w:r>
      <w:r w:rsidRPr="00CD0072">
        <w:rPr>
          <w:rFonts w:ascii="Times New Roman" w:hAnsi="Times New Roman"/>
          <w:szCs w:val="24"/>
        </w:rPr>
        <w:t>.)</w:t>
      </w:r>
    </w:p>
    <w:p w14:paraId="1AC2A149" w14:textId="7638D131" w:rsidR="00AF7524" w:rsidRDefault="009928A3" w:rsidP="00AF7524">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21" w:name="_Hlk26111636"/>
      <w:r>
        <w:rPr>
          <w:rFonts w:ascii="Times New Roman" w:hAnsi="Times New Roman"/>
          <w:szCs w:val="24"/>
        </w:rPr>
        <w:lastRenderedPageBreak/>
        <w:t>6</w:t>
      </w:r>
      <w:r w:rsidR="00AF7524" w:rsidRPr="003B2E09">
        <w:rPr>
          <w:rFonts w:ascii="Times New Roman" w:hAnsi="Times New Roman"/>
          <w:szCs w:val="24"/>
        </w:rPr>
        <w:t>.</w:t>
      </w:r>
      <w:r w:rsidR="00AF7524" w:rsidRPr="003B2E09">
        <w:rPr>
          <w:rFonts w:ascii="Times New Roman" w:hAnsi="Times New Roman"/>
          <w:szCs w:val="24"/>
        </w:rPr>
        <w:tab/>
      </w:r>
      <w:r w:rsidR="00AF7524">
        <w:rPr>
          <w:rFonts w:ascii="Times New Roman" w:hAnsi="Times New Roman"/>
          <w:szCs w:val="24"/>
          <w:u w:val="single"/>
        </w:rPr>
        <w:t>Georgia Power’s</w:t>
      </w:r>
      <w:r w:rsidR="00AF7524" w:rsidRPr="0048458F">
        <w:rPr>
          <w:rFonts w:ascii="Times New Roman" w:hAnsi="Times New Roman"/>
          <w:szCs w:val="24"/>
          <w:u w:val="single"/>
        </w:rPr>
        <w:t xml:space="preserve"> </w:t>
      </w:r>
      <w:r w:rsidR="00AF7524">
        <w:rPr>
          <w:rFonts w:ascii="Times New Roman" w:hAnsi="Times New Roman"/>
          <w:szCs w:val="24"/>
          <w:u w:val="single"/>
        </w:rPr>
        <w:t xml:space="preserve">Environmental Compliance Strategy (“ECS”), including the plan to close the Company’s ash ponds and landfills, </w:t>
      </w:r>
      <w:r w:rsidR="00AF7524" w:rsidRPr="00A01C88">
        <w:rPr>
          <w:rFonts w:ascii="Times New Roman" w:hAnsi="Times New Roman"/>
          <w:szCs w:val="24"/>
          <w:u w:val="single"/>
        </w:rPr>
        <w:t xml:space="preserve">was </w:t>
      </w:r>
      <w:r w:rsidR="00FA7297">
        <w:rPr>
          <w:rFonts w:ascii="Times New Roman" w:hAnsi="Times New Roman"/>
          <w:szCs w:val="24"/>
          <w:u w:val="single"/>
        </w:rPr>
        <w:t>approved</w:t>
      </w:r>
      <w:r w:rsidR="00FA7297" w:rsidRPr="00A01C88">
        <w:rPr>
          <w:rFonts w:ascii="Times New Roman" w:hAnsi="Times New Roman"/>
          <w:szCs w:val="24"/>
          <w:u w:val="single"/>
        </w:rPr>
        <w:t xml:space="preserve"> </w:t>
      </w:r>
      <w:r w:rsidR="00AF7524" w:rsidRPr="00A01C88">
        <w:rPr>
          <w:rFonts w:ascii="Times New Roman" w:hAnsi="Times New Roman"/>
          <w:szCs w:val="24"/>
          <w:u w:val="single"/>
        </w:rPr>
        <w:t>in the</w:t>
      </w:r>
      <w:r w:rsidR="00AF7524">
        <w:rPr>
          <w:rFonts w:ascii="Times New Roman" w:hAnsi="Times New Roman"/>
          <w:szCs w:val="24"/>
          <w:u w:val="single"/>
        </w:rPr>
        <w:t xml:space="preserve"> Company’s 2019</w:t>
      </w:r>
      <w:r w:rsidR="00AF7524" w:rsidRPr="00A01C88">
        <w:rPr>
          <w:rFonts w:ascii="Times New Roman" w:hAnsi="Times New Roman"/>
          <w:szCs w:val="24"/>
          <w:u w:val="single"/>
        </w:rPr>
        <w:t xml:space="preserve"> IRP and the only outstanding issue for determination in the rate case is how to appropriately recover costs, including the recovery period and mechanism</w:t>
      </w:r>
      <w:r w:rsidR="00AF7524" w:rsidRPr="00186C1F">
        <w:rPr>
          <w:rFonts w:ascii="Times New Roman" w:hAnsi="Times New Roman"/>
          <w:szCs w:val="24"/>
        </w:rPr>
        <w:t>.</w:t>
      </w:r>
    </w:p>
    <w:bookmarkEnd w:id="21"/>
    <w:p w14:paraId="37B2286A" w14:textId="5395E232" w:rsidR="00AF7524" w:rsidRPr="00A01C88" w:rsidRDefault="00AF7524" w:rsidP="002300C2">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Pr="00A01C88">
        <w:rPr>
          <w:rFonts w:ascii="Times New Roman" w:hAnsi="Times New Roman"/>
          <w:szCs w:val="24"/>
        </w:rPr>
        <w:t>The Company</w:t>
      </w:r>
      <w:r>
        <w:rPr>
          <w:rFonts w:ascii="Times New Roman" w:hAnsi="Times New Roman"/>
          <w:szCs w:val="24"/>
        </w:rPr>
        <w:t>’</w:t>
      </w:r>
      <w:r w:rsidRPr="00A01C88">
        <w:rPr>
          <w:rFonts w:ascii="Times New Roman" w:hAnsi="Times New Roman"/>
          <w:szCs w:val="24"/>
        </w:rPr>
        <w:t>s ECS is not at issue in this case, and the Commission should not address issues</w:t>
      </w:r>
      <w:r w:rsidR="00A414AB">
        <w:rPr>
          <w:rFonts w:ascii="Times New Roman" w:hAnsi="Times New Roman"/>
          <w:szCs w:val="24"/>
        </w:rPr>
        <w:t xml:space="preserve"> in the present proceeding</w:t>
      </w:r>
      <w:r w:rsidRPr="00A01C88">
        <w:rPr>
          <w:rFonts w:ascii="Times New Roman" w:hAnsi="Times New Roman"/>
          <w:szCs w:val="24"/>
        </w:rPr>
        <w:t xml:space="preserve"> that </w:t>
      </w:r>
      <w:r w:rsidR="00A414AB">
        <w:rPr>
          <w:rFonts w:ascii="Times New Roman" w:hAnsi="Times New Roman"/>
          <w:szCs w:val="24"/>
        </w:rPr>
        <w:t>were</w:t>
      </w:r>
      <w:r w:rsidR="00A414AB" w:rsidRPr="00A01C88">
        <w:rPr>
          <w:rFonts w:ascii="Times New Roman" w:hAnsi="Times New Roman"/>
          <w:szCs w:val="24"/>
        </w:rPr>
        <w:t xml:space="preserve"> </w:t>
      </w:r>
      <w:r w:rsidRPr="00A01C88">
        <w:rPr>
          <w:rFonts w:ascii="Times New Roman" w:hAnsi="Times New Roman"/>
          <w:szCs w:val="24"/>
        </w:rPr>
        <w:t xml:space="preserve">already resolved in the </w:t>
      </w:r>
      <w:r w:rsidR="004A0718">
        <w:rPr>
          <w:rFonts w:ascii="Times New Roman" w:hAnsi="Times New Roman"/>
          <w:szCs w:val="24"/>
        </w:rPr>
        <w:t xml:space="preserve">Company’s </w:t>
      </w:r>
      <w:r w:rsidR="00A414AB">
        <w:rPr>
          <w:rFonts w:ascii="Times New Roman" w:hAnsi="Times New Roman"/>
          <w:szCs w:val="24"/>
        </w:rPr>
        <w:t xml:space="preserve">2019 </w:t>
      </w:r>
      <w:r w:rsidRPr="00A01C88">
        <w:rPr>
          <w:rFonts w:ascii="Times New Roman" w:hAnsi="Times New Roman"/>
          <w:szCs w:val="24"/>
        </w:rPr>
        <w:t>IRP. The IRP was the appropriate forum to consider the Company</w:t>
      </w:r>
      <w:r>
        <w:rPr>
          <w:rFonts w:ascii="Times New Roman" w:hAnsi="Times New Roman"/>
          <w:szCs w:val="24"/>
        </w:rPr>
        <w:t>’</w:t>
      </w:r>
      <w:r w:rsidRPr="00A01C88">
        <w:rPr>
          <w:rFonts w:ascii="Times New Roman" w:hAnsi="Times New Roman"/>
          <w:szCs w:val="24"/>
        </w:rPr>
        <w:t>s plans to comply with current and proposed environmental regulations. The Company presented its plan for environmental compliance in the 2019 IRP</w:t>
      </w:r>
      <w:r>
        <w:rPr>
          <w:rFonts w:ascii="Times New Roman" w:hAnsi="Times New Roman"/>
          <w:szCs w:val="24"/>
        </w:rPr>
        <w:t xml:space="preserve"> in accordance with</w:t>
      </w:r>
      <w:r w:rsidRPr="00A01C88">
        <w:rPr>
          <w:rFonts w:ascii="Times New Roman" w:hAnsi="Times New Roman"/>
          <w:szCs w:val="24"/>
        </w:rPr>
        <w:t xml:space="preserve"> Commission Rule 515-3-4-.04(1)(c)</w:t>
      </w:r>
      <w:r>
        <w:rPr>
          <w:rFonts w:ascii="Times New Roman" w:hAnsi="Times New Roman"/>
          <w:szCs w:val="24"/>
        </w:rPr>
        <w:t>.</w:t>
      </w:r>
      <w:r w:rsidRPr="00A01C88">
        <w:rPr>
          <w:rFonts w:ascii="Times New Roman" w:hAnsi="Times New Roman"/>
          <w:szCs w:val="24"/>
        </w:rPr>
        <w:t xml:space="preserve"> The Commission has already considered and approved the Company</w:t>
      </w:r>
      <w:r>
        <w:rPr>
          <w:rFonts w:ascii="Times New Roman" w:hAnsi="Times New Roman"/>
          <w:szCs w:val="24"/>
        </w:rPr>
        <w:t>’</w:t>
      </w:r>
      <w:r w:rsidRPr="00A01C88">
        <w:rPr>
          <w:rFonts w:ascii="Times New Roman" w:hAnsi="Times New Roman"/>
          <w:szCs w:val="24"/>
        </w:rPr>
        <w:t>s ECS</w:t>
      </w:r>
      <w:r>
        <w:rPr>
          <w:rFonts w:ascii="Times New Roman" w:hAnsi="Times New Roman"/>
          <w:szCs w:val="24"/>
        </w:rPr>
        <w:t xml:space="preserve"> in its Final Order Adopting Stipulations as Amended in Georgia Power’s 2019 IRP proceeding</w:t>
      </w:r>
      <w:r w:rsidRPr="00A01C88">
        <w:rPr>
          <w:rFonts w:ascii="Times New Roman" w:hAnsi="Times New Roman"/>
          <w:szCs w:val="24"/>
        </w:rPr>
        <w:t>:</w:t>
      </w:r>
    </w:p>
    <w:p w14:paraId="741A0C30" w14:textId="77777777" w:rsidR="00544EC5" w:rsidRDefault="00AF7524" w:rsidP="00544EC5">
      <w:pPr>
        <w:widowControl/>
        <w:tabs>
          <w:tab w:val="left" w:pos="0"/>
        </w:tabs>
        <w:overflowPunct/>
        <w:autoSpaceDE/>
        <w:autoSpaceDN/>
        <w:adjustRightInd/>
        <w:spacing w:before="240" w:after="240"/>
        <w:ind w:left="720" w:right="720"/>
        <w:jc w:val="both"/>
        <w:textAlignment w:val="auto"/>
        <w:rPr>
          <w:rFonts w:ascii="Times New Roman" w:hAnsi="Times New Roman"/>
          <w:szCs w:val="24"/>
        </w:rPr>
      </w:pPr>
      <w:r w:rsidRPr="00A01C88">
        <w:rPr>
          <w:rFonts w:ascii="Times New Roman" w:hAnsi="Times New Roman"/>
          <w:szCs w:val="24"/>
        </w:rPr>
        <w:t>The Company</w:t>
      </w:r>
      <w:r>
        <w:rPr>
          <w:rFonts w:ascii="Times New Roman" w:hAnsi="Times New Roman"/>
          <w:szCs w:val="24"/>
        </w:rPr>
        <w:t>’</w:t>
      </w:r>
      <w:r w:rsidRPr="00A01C88">
        <w:rPr>
          <w:rFonts w:ascii="Times New Roman" w:hAnsi="Times New Roman"/>
          <w:szCs w:val="24"/>
        </w:rPr>
        <w:t>s Environmental Compliance Strategy (“ECS”) is approved. This</w:t>
      </w:r>
      <w:r>
        <w:rPr>
          <w:rFonts w:ascii="Times New Roman" w:hAnsi="Times New Roman"/>
          <w:szCs w:val="24"/>
        </w:rPr>
        <w:t xml:space="preserve"> </w:t>
      </w:r>
      <w:r w:rsidRPr="00A01C88">
        <w:rPr>
          <w:rFonts w:ascii="Times New Roman" w:hAnsi="Times New Roman"/>
          <w:szCs w:val="24"/>
        </w:rPr>
        <w:t>includes specific approval of the Company</w:t>
      </w:r>
      <w:r>
        <w:rPr>
          <w:rFonts w:ascii="Times New Roman" w:hAnsi="Times New Roman"/>
          <w:szCs w:val="24"/>
        </w:rPr>
        <w:t>’</w:t>
      </w:r>
      <w:r w:rsidRPr="00A01C88">
        <w:rPr>
          <w:rFonts w:ascii="Times New Roman" w:hAnsi="Times New Roman"/>
          <w:szCs w:val="24"/>
        </w:rPr>
        <w:t>s plans to address coal combustion residuals (“CCR”) at the Company</w:t>
      </w:r>
      <w:r>
        <w:rPr>
          <w:rFonts w:ascii="Times New Roman" w:hAnsi="Times New Roman"/>
          <w:szCs w:val="24"/>
        </w:rPr>
        <w:t>’</w:t>
      </w:r>
      <w:r w:rsidRPr="00A01C88">
        <w:rPr>
          <w:rFonts w:ascii="Times New Roman" w:hAnsi="Times New Roman"/>
          <w:szCs w:val="24"/>
        </w:rPr>
        <w:t xml:space="preserve">s ash ponds and landfills. Stipulating Parties acknowledge that projected CCR compliance cost have been reviewed in this case, but agree that it is not necessary for the Commission to approve a specific budget for CCR compliance in this IRP proceeding. The Parties agree that the Company will seek recovery of such costs in its 2019 </w:t>
      </w:r>
      <w:r w:rsidR="00A242F6">
        <w:rPr>
          <w:rFonts w:ascii="Times New Roman" w:hAnsi="Times New Roman"/>
          <w:szCs w:val="24"/>
        </w:rPr>
        <w:t>base rate case</w:t>
      </w:r>
      <w:r w:rsidRPr="00A01C88">
        <w:rPr>
          <w:rFonts w:ascii="Times New Roman" w:hAnsi="Times New Roman"/>
          <w:szCs w:val="24"/>
        </w:rPr>
        <w:t>. The PIA Staff reserves the right to challenge the Company</w:t>
      </w:r>
      <w:r>
        <w:rPr>
          <w:rFonts w:ascii="Times New Roman" w:hAnsi="Times New Roman"/>
          <w:szCs w:val="24"/>
        </w:rPr>
        <w:t>’</w:t>
      </w:r>
      <w:r w:rsidRPr="00A01C88">
        <w:rPr>
          <w:rFonts w:ascii="Times New Roman" w:hAnsi="Times New Roman"/>
          <w:szCs w:val="24"/>
        </w:rPr>
        <w:t xml:space="preserve">s request in the 2019 </w:t>
      </w:r>
      <w:r w:rsidR="00A242F6">
        <w:rPr>
          <w:rFonts w:ascii="Times New Roman" w:hAnsi="Times New Roman"/>
          <w:szCs w:val="24"/>
        </w:rPr>
        <w:t>base rate case</w:t>
      </w:r>
      <w:r w:rsidRPr="00A01C88">
        <w:rPr>
          <w:rFonts w:ascii="Times New Roman" w:hAnsi="Times New Roman"/>
          <w:szCs w:val="24"/>
        </w:rPr>
        <w:t>, including, but not limited to, the period over which they are recovered and the method by which they are recovered.</w:t>
      </w:r>
      <w:r>
        <w:rPr>
          <w:rFonts w:ascii="Times New Roman" w:hAnsi="Times New Roman"/>
          <w:szCs w:val="24"/>
        </w:rPr>
        <w:t xml:space="preserve"> </w:t>
      </w:r>
      <w:r w:rsidRPr="00A01C88">
        <w:rPr>
          <w:rFonts w:ascii="Times New Roman" w:hAnsi="Times New Roman"/>
          <w:szCs w:val="24"/>
        </w:rPr>
        <w:t>To ensure the Commission is updated on CCR compliance efforts the Company will provide semi-annual reports to the Commission. The Company and Commission Staff will collaborate upon the schedule and content of such reports. The Company will also file the ECS annually with the Commission no later than March 31</w:t>
      </w:r>
      <w:r w:rsidRPr="00A01C88">
        <w:rPr>
          <w:rFonts w:ascii="Times New Roman" w:hAnsi="Times New Roman"/>
          <w:szCs w:val="24"/>
          <w:vertAlign w:val="superscript"/>
        </w:rPr>
        <w:t xml:space="preserve">st </w:t>
      </w:r>
      <w:r w:rsidRPr="00A01C88">
        <w:rPr>
          <w:rFonts w:ascii="Times New Roman" w:hAnsi="Times New Roman"/>
          <w:szCs w:val="24"/>
        </w:rPr>
        <w:t>of each year.</w:t>
      </w:r>
      <w:r>
        <w:rPr>
          <w:rFonts w:ascii="Times New Roman" w:hAnsi="Times New Roman"/>
          <w:szCs w:val="24"/>
        </w:rPr>
        <w:t xml:space="preserve"> </w:t>
      </w:r>
    </w:p>
    <w:p w14:paraId="48C53B81" w14:textId="363D98C2" w:rsidR="00AF7524" w:rsidRPr="00A01C88" w:rsidRDefault="00AF7524" w:rsidP="00544EC5">
      <w:pPr>
        <w:widowControl/>
        <w:tabs>
          <w:tab w:val="left" w:pos="0"/>
        </w:tabs>
        <w:overflowPunct/>
        <w:autoSpaceDE/>
        <w:autoSpaceDN/>
        <w:adjustRightInd/>
        <w:spacing w:before="240" w:after="240"/>
        <w:ind w:right="720"/>
        <w:jc w:val="both"/>
        <w:textAlignment w:val="auto"/>
        <w:rPr>
          <w:rFonts w:ascii="Times New Roman" w:hAnsi="Times New Roman"/>
          <w:szCs w:val="24"/>
        </w:rPr>
      </w:pPr>
      <w:r w:rsidRPr="00A01C88">
        <w:rPr>
          <w:rFonts w:ascii="Times New Roman" w:hAnsi="Times New Roman"/>
          <w:i/>
          <w:szCs w:val="24"/>
        </w:rPr>
        <w:t>2019 IRP Order Adopting Stipulation</w:t>
      </w:r>
      <w:r w:rsidRPr="00A01C88">
        <w:rPr>
          <w:rFonts w:ascii="Times New Roman" w:hAnsi="Times New Roman"/>
          <w:szCs w:val="24"/>
        </w:rPr>
        <w:t>, Stipulation Para. 16.</w:t>
      </w:r>
      <w:r w:rsidRPr="00A01C88">
        <w:rPr>
          <w:rFonts w:ascii="Times New Roman" w:hAnsi="Times New Roman"/>
          <w:szCs w:val="24"/>
        </w:rPr>
        <w:tab/>
      </w:r>
    </w:p>
    <w:p w14:paraId="5188AB43" w14:textId="628915B2" w:rsidR="00AF7524" w:rsidRPr="00C45FB5" w:rsidRDefault="00AF7524" w:rsidP="00AF7524">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Pr="00A01C88">
        <w:rPr>
          <w:rFonts w:ascii="Times New Roman" w:hAnsi="Times New Roman"/>
          <w:szCs w:val="24"/>
        </w:rPr>
        <w:t xml:space="preserve">Sierra Club is </w:t>
      </w:r>
      <w:r>
        <w:rPr>
          <w:rFonts w:ascii="Times New Roman" w:hAnsi="Times New Roman"/>
          <w:szCs w:val="24"/>
        </w:rPr>
        <w:t>t</w:t>
      </w:r>
      <w:r w:rsidRPr="00A01C88">
        <w:rPr>
          <w:rFonts w:ascii="Times New Roman" w:hAnsi="Times New Roman"/>
          <w:szCs w:val="24"/>
        </w:rPr>
        <w:t>he only party in this proceeding that</w:t>
      </w:r>
      <w:r w:rsidR="00A242F6">
        <w:rPr>
          <w:rFonts w:ascii="Times New Roman" w:hAnsi="Times New Roman"/>
          <w:szCs w:val="24"/>
        </w:rPr>
        <w:t xml:space="preserve"> filed testimony</w:t>
      </w:r>
      <w:r w:rsidRPr="00A01C88">
        <w:rPr>
          <w:rFonts w:ascii="Times New Roman" w:hAnsi="Times New Roman"/>
          <w:szCs w:val="24"/>
        </w:rPr>
        <w:t xml:space="preserve"> </w:t>
      </w:r>
      <w:r w:rsidR="00A242F6">
        <w:rPr>
          <w:rFonts w:ascii="Times New Roman" w:hAnsi="Times New Roman"/>
          <w:szCs w:val="24"/>
        </w:rPr>
        <w:t>questioning</w:t>
      </w:r>
      <w:r w:rsidR="00A242F6" w:rsidRPr="00A01C88">
        <w:rPr>
          <w:rFonts w:ascii="Times New Roman" w:hAnsi="Times New Roman"/>
          <w:szCs w:val="24"/>
        </w:rPr>
        <w:t xml:space="preserve"> </w:t>
      </w:r>
      <w:r w:rsidRPr="00A01C88">
        <w:rPr>
          <w:rFonts w:ascii="Times New Roman" w:hAnsi="Times New Roman"/>
          <w:szCs w:val="24"/>
        </w:rPr>
        <w:t>Georgia Power</w:t>
      </w:r>
      <w:r>
        <w:rPr>
          <w:rFonts w:ascii="Times New Roman" w:hAnsi="Times New Roman"/>
          <w:szCs w:val="24"/>
        </w:rPr>
        <w:t>’</w:t>
      </w:r>
      <w:r w:rsidRPr="00A01C88">
        <w:rPr>
          <w:rFonts w:ascii="Times New Roman" w:hAnsi="Times New Roman"/>
          <w:szCs w:val="24"/>
        </w:rPr>
        <w:t xml:space="preserve">s compliance with </w:t>
      </w:r>
      <w:r>
        <w:rPr>
          <w:rFonts w:ascii="Times New Roman" w:hAnsi="Times New Roman"/>
          <w:szCs w:val="24"/>
        </w:rPr>
        <w:t>state and federal environmental</w:t>
      </w:r>
      <w:r w:rsidRPr="00A01C88">
        <w:rPr>
          <w:rFonts w:ascii="Times New Roman" w:hAnsi="Times New Roman"/>
          <w:szCs w:val="24"/>
        </w:rPr>
        <w:t xml:space="preserve"> regulations. </w:t>
      </w:r>
      <w:r w:rsidR="00A242F6">
        <w:rPr>
          <w:rFonts w:ascii="Times New Roman" w:hAnsi="Times New Roman"/>
          <w:szCs w:val="24"/>
        </w:rPr>
        <w:t>(</w:t>
      </w:r>
      <w:r w:rsidR="00A242F6">
        <w:rPr>
          <w:rFonts w:ascii="Times New Roman" w:hAnsi="Times New Roman"/>
          <w:i/>
          <w:szCs w:val="24"/>
        </w:rPr>
        <w:t xml:space="preserve">See </w:t>
      </w:r>
      <w:r w:rsidR="00A242F6">
        <w:rPr>
          <w:rFonts w:ascii="Times New Roman" w:hAnsi="Times New Roman"/>
          <w:szCs w:val="24"/>
        </w:rPr>
        <w:t>Tr. 2292.) H</w:t>
      </w:r>
      <w:r w:rsidRPr="00A01C88">
        <w:rPr>
          <w:rFonts w:ascii="Times New Roman" w:hAnsi="Times New Roman"/>
          <w:szCs w:val="24"/>
        </w:rPr>
        <w:t xml:space="preserve">owever, Sierra Club </w:t>
      </w:r>
      <w:r>
        <w:rPr>
          <w:rFonts w:ascii="Times New Roman" w:hAnsi="Times New Roman"/>
          <w:szCs w:val="24"/>
        </w:rPr>
        <w:t>W</w:t>
      </w:r>
      <w:r w:rsidRPr="00A01C88">
        <w:rPr>
          <w:rFonts w:ascii="Times New Roman" w:hAnsi="Times New Roman"/>
          <w:szCs w:val="24"/>
        </w:rPr>
        <w:t xml:space="preserve">itness Wilson acknowledged on </w:t>
      </w:r>
      <w:r w:rsidR="002300C2">
        <w:rPr>
          <w:rFonts w:ascii="Times New Roman" w:hAnsi="Times New Roman"/>
          <w:szCs w:val="24"/>
        </w:rPr>
        <w:t>cross examination</w:t>
      </w:r>
      <w:r w:rsidRPr="00A01C88">
        <w:rPr>
          <w:rFonts w:ascii="Times New Roman" w:hAnsi="Times New Roman"/>
          <w:szCs w:val="24"/>
        </w:rPr>
        <w:t xml:space="preserve"> that her testimony does not challenge the</w:t>
      </w:r>
      <w:r w:rsidR="00A242F6">
        <w:rPr>
          <w:rFonts w:ascii="Times New Roman" w:hAnsi="Times New Roman"/>
          <w:szCs w:val="24"/>
        </w:rPr>
        <w:t xml:space="preserve"> Commission’s approval of the</w:t>
      </w:r>
      <w:r w:rsidRPr="00A01C88">
        <w:rPr>
          <w:rFonts w:ascii="Times New Roman" w:hAnsi="Times New Roman"/>
          <w:szCs w:val="24"/>
        </w:rPr>
        <w:t xml:space="preserve"> ECS. (</w:t>
      </w:r>
      <w:r w:rsidR="00A242F6">
        <w:rPr>
          <w:rFonts w:ascii="Times New Roman" w:hAnsi="Times New Roman"/>
          <w:szCs w:val="24"/>
        </w:rPr>
        <w:t>Tr</w:t>
      </w:r>
      <w:r w:rsidR="002300C2">
        <w:rPr>
          <w:rFonts w:ascii="Times New Roman" w:hAnsi="Times New Roman"/>
          <w:szCs w:val="24"/>
        </w:rPr>
        <w:t>.</w:t>
      </w:r>
      <w:r w:rsidR="00A242F6">
        <w:rPr>
          <w:rFonts w:ascii="Times New Roman" w:hAnsi="Times New Roman"/>
          <w:szCs w:val="24"/>
        </w:rPr>
        <w:t xml:space="preserve"> 2345</w:t>
      </w:r>
      <w:r w:rsidRPr="00A01C88">
        <w:rPr>
          <w:rFonts w:ascii="Times New Roman" w:hAnsi="Times New Roman"/>
          <w:szCs w:val="24"/>
        </w:rPr>
        <w:t xml:space="preserve">.) Therefore, the Commission should </w:t>
      </w:r>
      <w:r w:rsidR="0090002E">
        <w:rPr>
          <w:rFonts w:ascii="Times New Roman" w:hAnsi="Times New Roman"/>
          <w:szCs w:val="24"/>
        </w:rPr>
        <w:lastRenderedPageBreak/>
        <w:t>give</w:t>
      </w:r>
      <w:r w:rsidR="0090002E" w:rsidRPr="00A01C88">
        <w:rPr>
          <w:rFonts w:ascii="Times New Roman" w:hAnsi="Times New Roman"/>
          <w:szCs w:val="24"/>
        </w:rPr>
        <w:t xml:space="preserve"> </w:t>
      </w:r>
      <w:r>
        <w:rPr>
          <w:rFonts w:ascii="Times New Roman" w:hAnsi="Times New Roman"/>
          <w:szCs w:val="24"/>
        </w:rPr>
        <w:t>W</w:t>
      </w:r>
      <w:r w:rsidRPr="00A01C88">
        <w:rPr>
          <w:rFonts w:ascii="Times New Roman" w:hAnsi="Times New Roman"/>
          <w:szCs w:val="24"/>
        </w:rPr>
        <w:t>itness Wilson</w:t>
      </w:r>
      <w:r>
        <w:rPr>
          <w:rFonts w:ascii="Times New Roman" w:hAnsi="Times New Roman"/>
          <w:szCs w:val="24"/>
        </w:rPr>
        <w:t>’</w:t>
      </w:r>
      <w:r w:rsidRPr="00A01C88">
        <w:rPr>
          <w:rFonts w:ascii="Times New Roman" w:hAnsi="Times New Roman"/>
          <w:szCs w:val="24"/>
        </w:rPr>
        <w:t>s testimony no weight</w:t>
      </w:r>
      <w:r w:rsidR="00A414AB">
        <w:rPr>
          <w:rFonts w:ascii="Times New Roman" w:hAnsi="Times New Roman"/>
          <w:szCs w:val="24"/>
        </w:rPr>
        <w:t xml:space="preserve"> in this proceeding</w:t>
      </w:r>
      <w:r w:rsidRPr="00A01C88">
        <w:rPr>
          <w:rFonts w:ascii="Times New Roman" w:hAnsi="Times New Roman"/>
          <w:szCs w:val="24"/>
        </w:rPr>
        <w:t xml:space="preserve"> to the extent that it delves into whether the </w:t>
      </w:r>
      <w:r w:rsidRPr="00C45FB5">
        <w:rPr>
          <w:rFonts w:ascii="Times New Roman" w:hAnsi="Times New Roman"/>
          <w:szCs w:val="24"/>
        </w:rPr>
        <w:t>Company is or will be in compliance with state and federal environmental rules</w:t>
      </w:r>
      <w:r w:rsidR="00A414AB" w:rsidRPr="00C45FB5">
        <w:rPr>
          <w:rFonts w:ascii="Times New Roman" w:hAnsi="Times New Roman"/>
          <w:szCs w:val="24"/>
        </w:rPr>
        <w:t>, as the ECS has already been approved</w:t>
      </w:r>
      <w:r w:rsidRPr="00C45FB5">
        <w:rPr>
          <w:rFonts w:ascii="Times New Roman" w:hAnsi="Times New Roman"/>
          <w:szCs w:val="24"/>
        </w:rPr>
        <w:t xml:space="preserve">. </w:t>
      </w:r>
    </w:p>
    <w:p w14:paraId="031F1CA9" w14:textId="17DD9F5C" w:rsidR="00AF7524" w:rsidRPr="00C45FB5" w:rsidRDefault="00AF7524" w:rsidP="00AF7524">
      <w:pPr>
        <w:widowControl/>
        <w:tabs>
          <w:tab w:val="left" w:pos="0"/>
        </w:tabs>
        <w:overflowPunct/>
        <w:autoSpaceDE/>
        <w:autoSpaceDN/>
        <w:adjustRightInd/>
        <w:spacing w:line="480" w:lineRule="auto"/>
        <w:jc w:val="both"/>
        <w:textAlignment w:val="auto"/>
        <w:rPr>
          <w:rFonts w:ascii="Times New Roman" w:hAnsi="Times New Roman"/>
          <w:szCs w:val="24"/>
        </w:rPr>
      </w:pPr>
      <w:r w:rsidRPr="00C45FB5">
        <w:rPr>
          <w:rFonts w:ascii="Times New Roman" w:hAnsi="Times New Roman"/>
          <w:szCs w:val="24"/>
        </w:rPr>
        <w:tab/>
      </w:r>
      <w:r w:rsidR="00A414AB" w:rsidRPr="00C45FB5">
        <w:rPr>
          <w:rFonts w:ascii="Times New Roman" w:hAnsi="Times New Roman"/>
          <w:szCs w:val="24"/>
        </w:rPr>
        <w:t xml:space="preserve">Notwithstanding Witness Wilson’s testimony, however, </w:t>
      </w:r>
      <w:r w:rsidRPr="00C45FB5">
        <w:rPr>
          <w:rFonts w:ascii="Times New Roman" w:hAnsi="Times New Roman"/>
          <w:szCs w:val="24"/>
        </w:rPr>
        <w:t>Georgia Power is in compliance with federal and state CCR rules. (</w:t>
      </w:r>
      <w:r w:rsidR="0090002E" w:rsidRPr="00C45FB5">
        <w:rPr>
          <w:rFonts w:ascii="Times New Roman" w:hAnsi="Times New Roman"/>
          <w:szCs w:val="24"/>
        </w:rPr>
        <w:t>Tr. 2645</w:t>
      </w:r>
      <w:r w:rsidRPr="00C45FB5">
        <w:rPr>
          <w:rFonts w:ascii="Times New Roman" w:hAnsi="Times New Roman"/>
          <w:szCs w:val="24"/>
        </w:rPr>
        <w:t>.) Sierra Club correctly asserts that the Georgia Environmental Protection Division (“EPD”) has not issued permits for Georgia Power’s ash pond closures and landfills</w:t>
      </w:r>
      <w:r w:rsidR="0090002E" w:rsidRPr="00C45FB5">
        <w:rPr>
          <w:rFonts w:ascii="Times New Roman" w:hAnsi="Times New Roman"/>
          <w:szCs w:val="24"/>
        </w:rPr>
        <w:t>. (Tr. 2308.) Ms. Wilson’s opinion that Georgia Power’s closure plans cannot be determined to be compliant with state law until Georgia EPD issues permits, regardless of what information is contained in the permit applications, is overly narrow. (Tr. 2338.) First</w:t>
      </w:r>
      <w:r w:rsidRPr="00C45FB5">
        <w:rPr>
          <w:rFonts w:ascii="Times New Roman" w:hAnsi="Times New Roman"/>
          <w:szCs w:val="24"/>
        </w:rPr>
        <w:t>, Georgia Power cannot delay work to wait for final approval of these permits</w:t>
      </w:r>
      <w:r w:rsidR="00FA7297" w:rsidRPr="00C45FB5">
        <w:rPr>
          <w:rFonts w:ascii="Times New Roman" w:hAnsi="Times New Roman"/>
          <w:szCs w:val="24"/>
        </w:rPr>
        <w:t xml:space="preserve"> due to the stringent regulatory deadlines within these rules</w:t>
      </w:r>
      <w:r w:rsidRPr="00C45FB5">
        <w:rPr>
          <w:rFonts w:ascii="Times New Roman" w:hAnsi="Times New Roman"/>
          <w:szCs w:val="24"/>
        </w:rPr>
        <w:t xml:space="preserve">. </w:t>
      </w:r>
      <w:r w:rsidR="0090002E" w:rsidRPr="00C45FB5">
        <w:rPr>
          <w:rFonts w:ascii="Times New Roman" w:hAnsi="Times New Roman"/>
          <w:szCs w:val="24"/>
        </w:rPr>
        <w:t xml:space="preserve">(Tr. 2646.) Second, </w:t>
      </w:r>
      <w:r w:rsidR="00FA7297" w:rsidRPr="00C45FB5">
        <w:rPr>
          <w:rFonts w:ascii="Times New Roman" w:hAnsi="Times New Roman"/>
          <w:szCs w:val="24"/>
        </w:rPr>
        <w:t xml:space="preserve">Georgia Power currently has dual compliance obligations under the federal and state CCR rules and </w:t>
      </w:r>
      <w:r w:rsidRPr="00C45FB5">
        <w:rPr>
          <w:rFonts w:ascii="Times New Roman" w:hAnsi="Times New Roman"/>
          <w:szCs w:val="24"/>
        </w:rPr>
        <w:t>the federal CCR rule</w:t>
      </w:r>
      <w:r w:rsidR="0090002E" w:rsidRPr="00C45FB5">
        <w:rPr>
          <w:rFonts w:ascii="Times New Roman" w:hAnsi="Times New Roman"/>
          <w:szCs w:val="24"/>
        </w:rPr>
        <w:t xml:space="preserve"> does not contain a permitting requirement. (Tr. 2646.)</w:t>
      </w:r>
      <w:r w:rsidRPr="00C45FB5">
        <w:rPr>
          <w:rFonts w:ascii="Times New Roman" w:hAnsi="Times New Roman"/>
          <w:szCs w:val="24"/>
        </w:rPr>
        <w:t xml:space="preserve"> </w:t>
      </w:r>
      <w:r w:rsidR="0090002E" w:rsidRPr="00C45FB5">
        <w:rPr>
          <w:rFonts w:ascii="Times New Roman" w:hAnsi="Times New Roman"/>
          <w:szCs w:val="24"/>
        </w:rPr>
        <w:t>Third</w:t>
      </w:r>
      <w:r w:rsidRPr="00C45FB5">
        <w:rPr>
          <w:rFonts w:ascii="Times New Roman" w:hAnsi="Times New Roman"/>
          <w:szCs w:val="24"/>
        </w:rPr>
        <w:t xml:space="preserve">, Ms. Wilson has not conducted a review of the Company’s permit applications, such as the application for Plant Bowen (Tr. </w:t>
      </w:r>
      <w:r w:rsidR="0090002E" w:rsidRPr="00C45FB5">
        <w:rPr>
          <w:rFonts w:ascii="Times New Roman" w:hAnsi="Times New Roman"/>
          <w:szCs w:val="24"/>
        </w:rPr>
        <w:t>2325</w:t>
      </w:r>
      <w:r w:rsidRPr="00C45FB5">
        <w:rPr>
          <w:rFonts w:ascii="Times New Roman" w:hAnsi="Times New Roman"/>
          <w:szCs w:val="24"/>
        </w:rPr>
        <w:t>)</w:t>
      </w:r>
      <w:r w:rsidR="002300C2">
        <w:rPr>
          <w:rFonts w:ascii="Times New Roman" w:hAnsi="Times New Roman"/>
          <w:szCs w:val="24"/>
        </w:rPr>
        <w:t>,</w:t>
      </w:r>
      <w:r w:rsidRPr="00C45FB5">
        <w:rPr>
          <w:rFonts w:ascii="Times New Roman" w:hAnsi="Times New Roman"/>
          <w:szCs w:val="24"/>
        </w:rPr>
        <w:t xml:space="preserve"> in her evaluation of the Company’s closure plans. </w:t>
      </w:r>
    </w:p>
    <w:p w14:paraId="5B9B2169" w14:textId="71780C41" w:rsidR="00AF7524" w:rsidRPr="00A01C88" w:rsidRDefault="00AF7524" w:rsidP="00AF7524">
      <w:pPr>
        <w:widowControl/>
        <w:tabs>
          <w:tab w:val="left" w:pos="0"/>
        </w:tabs>
        <w:overflowPunct/>
        <w:autoSpaceDE/>
        <w:autoSpaceDN/>
        <w:adjustRightInd/>
        <w:spacing w:line="480" w:lineRule="auto"/>
        <w:jc w:val="both"/>
        <w:textAlignment w:val="auto"/>
        <w:rPr>
          <w:rFonts w:ascii="Times New Roman" w:hAnsi="Times New Roman"/>
          <w:szCs w:val="24"/>
        </w:rPr>
      </w:pPr>
      <w:r w:rsidRPr="00C45FB5">
        <w:rPr>
          <w:rFonts w:ascii="Times New Roman" w:hAnsi="Times New Roman"/>
          <w:szCs w:val="24"/>
        </w:rPr>
        <w:tab/>
        <w:t>Ms. Wilson</w:t>
      </w:r>
      <w:r w:rsidR="0090002E" w:rsidRPr="00C45FB5">
        <w:rPr>
          <w:rFonts w:ascii="Times New Roman" w:hAnsi="Times New Roman"/>
          <w:szCs w:val="24"/>
        </w:rPr>
        <w:t>’s testimony</w:t>
      </w:r>
      <w:r w:rsidRPr="00C45FB5">
        <w:rPr>
          <w:rFonts w:ascii="Times New Roman" w:hAnsi="Times New Roman"/>
          <w:szCs w:val="24"/>
        </w:rPr>
        <w:t xml:space="preserve"> relies </w:t>
      </w:r>
      <w:r w:rsidR="00A414AB" w:rsidRPr="00C45FB5">
        <w:rPr>
          <w:rFonts w:ascii="Times New Roman" w:hAnsi="Times New Roman"/>
          <w:szCs w:val="24"/>
        </w:rPr>
        <w:t>heavily</w:t>
      </w:r>
      <w:r w:rsidR="00A414AB">
        <w:rPr>
          <w:rFonts w:ascii="Times New Roman" w:hAnsi="Times New Roman"/>
          <w:szCs w:val="24"/>
        </w:rPr>
        <w:t xml:space="preserve"> </w:t>
      </w:r>
      <w:r w:rsidRPr="00A01C88">
        <w:rPr>
          <w:rFonts w:ascii="Times New Roman" w:hAnsi="Times New Roman"/>
          <w:szCs w:val="24"/>
        </w:rPr>
        <w:t xml:space="preserve">on the </w:t>
      </w:r>
      <w:r>
        <w:rPr>
          <w:rFonts w:ascii="Times New Roman" w:hAnsi="Times New Roman"/>
          <w:szCs w:val="24"/>
        </w:rPr>
        <w:t xml:space="preserve">opinions and analysis of a third party, Mark </w:t>
      </w:r>
      <w:r w:rsidRPr="00A01C88">
        <w:rPr>
          <w:rFonts w:ascii="Times New Roman" w:hAnsi="Times New Roman"/>
          <w:szCs w:val="24"/>
        </w:rPr>
        <w:t>Quarles,</w:t>
      </w:r>
      <w:r>
        <w:rPr>
          <w:rFonts w:ascii="Times New Roman" w:hAnsi="Times New Roman"/>
          <w:szCs w:val="24"/>
        </w:rPr>
        <w:t xml:space="preserve"> </w:t>
      </w:r>
      <w:r w:rsidR="00A56D51">
        <w:rPr>
          <w:rFonts w:ascii="Times New Roman" w:hAnsi="Times New Roman"/>
          <w:szCs w:val="24"/>
        </w:rPr>
        <w:t>which is presented in Exhibit RW-4 to Ms. Wilson’s testimony (“Quarles Report”)</w:t>
      </w:r>
      <w:r>
        <w:rPr>
          <w:rFonts w:ascii="Times New Roman" w:hAnsi="Times New Roman"/>
          <w:szCs w:val="24"/>
        </w:rPr>
        <w:t>.</w:t>
      </w:r>
      <w:r w:rsidR="00A56D51">
        <w:rPr>
          <w:rFonts w:ascii="Times New Roman" w:hAnsi="Times New Roman"/>
          <w:szCs w:val="24"/>
        </w:rPr>
        <w:t xml:space="preserve"> (</w:t>
      </w:r>
      <w:r w:rsidR="00A56D51">
        <w:rPr>
          <w:rFonts w:ascii="Times New Roman" w:hAnsi="Times New Roman"/>
          <w:i/>
          <w:szCs w:val="24"/>
        </w:rPr>
        <w:t xml:space="preserve">See, e.g. </w:t>
      </w:r>
      <w:r w:rsidR="00A56D51">
        <w:rPr>
          <w:rFonts w:ascii="Times New Roman" w:hAnsi="Times New Roman"/>
          <w:szCs w:val="24"/>
        </w:rPr>
        <w:t>Tr. 2285, 2300-05.) Witness Wilson’s conclusions regarding Georgia Power’s compliance with CCR regulations rely on Mr. Quarles’ judgment. (Tr. 2323.)</w:t>
      </w:r>
      <w:r>
        <w:rPr>
          <w:rFonts w:ascii="Times New Roman" w:hAnsi="Times New Roman"/>
          <w:szCs w:val="24"/>
        </w:rPr>
        <w:t xml:space="preserve"> T</w:t>
      </w:r>
      <w:r w:rsidRPr="00A01C88">
        <w:rPr>
          <w:rFonts w:ascii="Times New Roman" w:hAnsi="Times New Roman"/>
          <w:szCs w:val="24"/>
        </w:rPr>
        <w:t xml:space="preserve">he Commission should </w:t>
      </w:r>
      <w:r w:rsidR="00A414AB">
        <w:rPr>
          <w:rFonts w:ascii="Times New Roman" w:hAnsi="Times New Roman"/>
          <w:szCs w:val="24"/>
        </w:rPr>
        <w:t>give</w:t>
      </w:r>
      <w:r w:rsidR="00A414AB" w:rsidRPr="00A01C88">
        <w:rPr>
          <w:rFonts w:ascii="Times New Roman" w:hAnsi="Times New Roman"/>
          <w:szCs w:val="24"/>
        </w:rPr>
        <w:t xml:space="preserve"> </w:t>
      </w:r>
      <w:r w:rsidRPr="00A01C88">
        <w:rPr>
          <w:rFonts w:ascii="Times New Roman" w:hAnsi="Times New Roman"/>
          <w:szCs w:val="24"/>
        </w:rPr>
        <w:t>no weight</w:t>
      </w:r>
      <w:r w:rsidR="000D487A">
        <w:rPr>
          <w:rFonts w:ascii="Times New Roman" w:hAnsi="Times New Roman"/>
          <w:szCs w:val="24"/>
        </w:rPr>
        <w:t xml:space="preserve"> to</w:t>
      </w:r>
      <w:r w:rsidRPr="00A01C88">
        <w:rPr>
          <w:rFonts w:ascii="Times New Roman" w:hAnsi="Times New Roman"/>
          <w:szCs w:val="24"/>
        </w:rPr>
        <w:t xml:space="preserve"> </w:t>
      </w:r>
      <w:r w:rsidR="00A56D51">
        <w:rPr>
          <w:rFonts w:ascii="Times New Roman" w:hAnsi="Times New Roman"/>
          <w:szCs w:val="24"/>
        </w:rPr>
        <w:t>the Quarles</w:t>
      </w:r>
      <w:r w:rsidR="00A56D51" w:rsidRPr="00A01C88">
        <w:rPr>
          <w:rFonts w:ascii="Times New Roman" w:hAnsi="Times New Roman"/>
          <w:szCs w:val="24"/>
        </w:rPr>
        <w:t xml:space="preserve"> </w:t>
      </w:r>
      <w:r w:rsidR="00A56D51">
        <w:rPr>
          <w:rFonts w:ascii="Times New Roman" w:hAnsi="Times New Roman"/>
          <w:szCs w:val="24"/>
        </w:rPr>
        <w:t>R</w:t>
      </w:r>
      <w:r w:rsidRPr="00A01C88">
        <w:rPr>
          <w:rFonts w:ascii="Times New Roman" w:hAnsi="Times New Roman"/>
          <w:szCs w:val="24"/>
        </w:rPr>
        <w:t>eport</w:t>
      </w:r>
      <w:r w:rsidR="00A56D51">
        <w:rPr>
          <w:rFonts w:ascii="Times New Roman" w:hAnsi="Times New Roman"/>
          <w:szCs w:val="24"/>
        </w:rPr>
        <w:t xml:space="preserve"> or to Ms. Wilson’s testimony to the extent that it relies on the Quarles Report. Ms. Wilson did not conduct an independent review of Georgia Power’s CCR practices (Tr. 2319) and</w:t>
      </w:r>
      <w:r w:rsidR="00A414AB">
        <w:rPr>
          <w:rFonts w:ascii="Times New Roman" w:hAnsi="Times New Roman"/>
          <w:szCs w:val="24"/>
        </w:rPr>
        <w:t xml:space="preserve"> </w:t>
      </w:r>
      <w:r w:rsidRPr="00A01C88">
        <w:rPr>
          <w:rFonts w:ascii="Times New Roman" w:hAnsi="Times New Roman"/>
          <w:szCs w:val="24"/>
        </w:rPr>
        <w:t>Mr. Quarles did not file testimony in this proceeding.</w:t>
      </w:r>
      <w:r w:rsidR="00A56D51">
        <w:rPr>
          <w:rFonts w:ascii="Times New Roman" w:hAnsi="Times New Roman"/>
          <w:szCs w:val="24"/>
        </w:rPr>
        <w:t xml:space="preserve"> (Tr. 2320.)</w:t>
      </w:r>
      <w:r w:rsidR="00A414AB">
        <w:rPr>
          <w:rFonts w:ascii="Times New Roman" w:hAnsi="Times New Roman"/>
          <w:szCs w:val="24"/>
        </w:rPr>
        <w:t xml:space="preserve"> While</w:t>
      </w:r>
      <w:r w:rsidR="00A56D51">
        <w:rPr>
          <w:rFonts w:ascii="Times New Roman" w:hAnsi="Times New Roman"/>
          <w:szCs w:val="24"/>
        </w:rPr>
        <w:t xml:space="preserve"> counsel for</w:t>
      </w:r>
      <w:r w:rsidRPr="00A01C88">
        <w:rPr>
          <w:rFonts w:ascii="Times New Roman" w:hAnsi="Times New Roman"/>
          <w:szCs w:val="24"/>
        </w:rPr>
        <w:t xml:space="preserve"> Sierra Club points out that Mr. Quarles</w:t>
      </w:r>
      <w:r>
        <w:rPr>
          <w:rFonts w:ascii="Times New Roman" w:hAnsi="Times New Roman"/>
          <w:szCs w:val="24"/>
        </w:rPr>
        <w:t>’</w:t>
      </w:r>
      <w:r w:rsidRPr="00A01C88">
        <w:rPr>
          <w:rFonts w:ascii="Times New Roman" w:hAnsi="Times New Roman"/>
          <w:szCs w:val="24"/>
        </w:rPr>
        <w:t xml:space="preserve"> report has been provided to Georgia EPD</w:t>
      </w:r>
      <w:r w:rsidR="00DA537F">
        <w:rPr>
          <w:rFonts w:ascii="Times New Roman" w:hAnsi="Times New Roman"/>
          <w:szCs w:val="24"/>
        </w:rPr>
        <w:t>,</w:t>
      </w:r>
      <w:r w:rsidRPr="00A01C88">
        <w:rPr>
          <w:rFonts w:ascii="Times New Roman" w:hAnsi="Times New Roman"/>
          <w:szCs w:val="24"/>
        </w:rPr>
        <w:t xml:space="preserve"> (</w:t>
      </w:r>
      <w:r>
        <w:rPr>
          <w:rFonts w:ascii="Times New Roman" w:hAnsi="Times New Roman"/>
          <w:szCs w:val="24"/>
        </w:rPr>
        <w:t>T</w:t>
      </w:r>
      <w:r w:rsidRPr="00A01C88">
        <w:rPr>
          <w:rFonts w:ascii="Times New Roman" w:hAnsi="Times New Roman"/>
          <w:szCs w:val="24"/>
        </w:rPr>
        <w:t xml:space="preserve">r. </w:t>
      </w:r>
      <w:r w:rsidR="00A56D51">
        <w:rPr>
          <w:rFonts w:ascii="Times New Roman" w:hAnsi="Times New Roman"/>
          <w:szCs w:val="24"/>
        </w:rPr>
        <w:t>2324</w:t>
      </w:r>
      <w:r w:rsidRPr="00A01C88">
        <w:rPr>
          <w:rFonts w:ascii="Times New Roman" w:hAnsi="Times New Roman"/>
          <w:szCs w:val="24"/>
        </w:rPr>
        <w:t>)</w:t>
      </w:r>
      <w:r w:rsidR="00DA537F">
        <w:rPr>
          <w:rFonts w:ascii="Times New Roman" w:hAnsi="Times New Roman"/>
          <w:szCs w:val="24"/>
        </w:rPr>
        <w:t xml:space="preserve">, that </w:t>
      </w:r>
      <w:r w:rsidR="00DA537F">
        <w:rPr>
          <w:rFonts w:ascii="Times New Roman" w:hAnsi="Times New Roman"/>
          <w:szCs w:val="24"/>
        </w:rPr>
        <w:lastRenderedPageBreak/>
        <w:t xml:space="preserve">regulatory body </w:t>
      </w:r>
      <w:r w:rsidRPr="00A01C88">
        <w:rPr>
          <w:rFonts w:ascii="Times New Roman" w:hAnsi="Times New Roman"/>
          <w:szCs w:val="24"/>
        </w:rPr>
        <w:t>will make the ultimate determination whether Georgia Power</w:t>
      </w:r>
      <w:r>
        <w:rPr>
          <w:rFonts w:ascii="Times New Roman" w:hAnsi="Times New Roman"/>
          <w:szCs w:val="24"/>
        </w:rPr>
        <w:t>’</w:t>
      </w:r>
      <w:r w:rsidRPr="00A01C88">
        <w:rPr>
          <w:rFonts w:ascii="Times New Roman" w:hAnsi="Times New Roman"/>
          <w:szCs w:val="24"/>
        </w:rPr>
        <w:t xml:space="preserve">s closure plans comply with the </w:t>
      </w:r>
      <w:r>
        <w:rPr>
          <w:rFonts w:ascii="Times New Roman" w:hAnsi="Times New Roman"/>
          <w:szCs w:val="24"/>
        </w:rPr>
        <w:t>state</w:t>
      </w:r>
      <w:r w:rsidRPr="00A01C88">
        <w:rPr>
          <w:rFonts w:ascii="Times New Roman" w:hAnsi="Times New Roman"/>
          <w:szCs w:val="24"/>
        </w:rPr>
        <w:t xml:space="preserve"> CCR rule</w:t>
      </w:r>
      <w:r w:rsidR="00DA537F">
        <w:rPr>
          <w:rFonts w:ascii="Times New Roman" w:hAnsi="Times New Roman"/>
          <w:szCs w:val="24"/>
        </w:rPr>
        <w:t>, not this Commission</w:t>
      </w:r>
      <w:r w:rsidRPr="00A01C88">
        <w:rPr>
          <w:rFonts w:ascii="Times New Roman" w:hAnsi="Times New Roman"/>
          <w:szCs w:val="24"/>
        </w:rPr>
        <w:t>. Consequently, the Commission should afford Ms. Wilson</w:t>
      </w:r>
      <w:r>
        <w:rPr>
          <w:rFonts w:ascii="Times New Roman" w:hAnsi="Times New Roman"/>
          <w:szCs w:val="24"/>
        </w:rPr>
        <w:t>’</w:t>
      </w:r>
      <w:r w:rsidRPr="00A01C88">
        <w:rPr>
          <w:rFonts w:ascii="Times New Roman" w:hAnsi="Times New Roman"/>
          <w:szCs w:val="24"/>
        </w:rPr>
        <w:t>s testimony and the Quarles Report no weight on the issue of whether Georgia Power is in compliance with environmental regulations.</w:t>
      </w:r>
      <w:r>
        <w:rPr>
          <w:rFonts w:ascii="Times New Roman" w:hAnsi="Times New Roman"/>
          <w:szCs w:val="24"/>
        </w:rPr>
        <w:t xml:space="preserve"> </w:t>
      </w:r>
    </w:p>
    <w:p w14:paraId="695DA4D1" w14:textId="1BB9A427" w:rsidR="00AF7524" w:rsidRPr="00C45FB5" w:rsidRDefault="00AF7524" w:rsidP="00AF7524">
      <w:pPr>
        <w:widowControl/>
        <w:tabs>
          <w:tab w:val="left" w:pos="0"/>
        </w:tabs>
        <w:overflowPunct/>
        <w:autoSpaceDE/>
        <w:autoSpaceDN/>
        <w:adjustRightInd/>
        <w:spacing w:line="480" w:lineRule="auto"/>
        <w:jc w:val="both"/>
        <w:textAlignment w:val="auto"/>
        <w:rPr>
          <w:rFonts w:ascii="Times New Roman" w:hAnsi="Times New Roman"/>
          <w:i/>
          <w:szCs w:val="24"/>
        </w:rPr>
      </w:pPr>
      <w:r w:rsidRPr="00A01C88">
        <w:rPr>
          <w:rFonts w:ascii="Times New Roman" w:hAnsi="Times New Roman"/>
          <w:szCs w:val="24"/>
        </w:rPr>
        <w:tab/>
      </w:r>
      <w:r w:rsidR="00F97CD9">
        <w:rPr>
          <w:rFonts w:ascii="Times New Roman" w:hAnsi="Times New Roman"/>
          <w:szCs w:val="24"/>
        </w:rPr>
        <w:t xml:space="preserve">The Commission should similarly disregard </w:t>
      </w:r>
      <w:r w:rsidR="00F97CD9" w:rsidRPr="00A01C88">
        <w:rPr>
          <w:rFonts w:ascii="Times New Roman" w:hAnsi="Times New Roman"/>
          <w:szCs w:val="24"/>
        </w:rPr>
        <w:t>Sierra Club</w:t>
      </w:r>
      <w:r w:rsidR="00F97CD9">
        <w:rPr>
          <w:rFonts w:ascii="Times New Roman" w:hAnsi="Times New Roman"/>
          <w:szCs w:val="24"/>
        </w:rPr>
        <w:t>’</w:t>
      </w:r>
      <w:r w:rsidR="00F97CD9" w:rsidRPr="00A01C88">
        <w:rPr>
          <w:rFonts w:ascii="Times New Roman" w:hAnsi="Times New Roman"/>
          <w:szCs w:val="24"/>
        </w:rPr>
        <w:t xml:space="preserve">s </w:t>
      </w:r>
      <w:r w:rsidR="00F97CD9">
        <w:rPr>
          <w:rFonts w:ascii="Times New Roman" w:hAnsi="Times New Roman"/>
          <w:szCs w:val="24"/>
        </w:rPr>
        <w:t xml:space="preserve">recommendations that the Commission disallow recovery of past and future CCR costs due to Sierra Club’s </w:t>
      </w:r>
      <w:r w:rsidR="00F97CD9" w:rsidRPr="00A01C88">
        <w:rPr>
          <w:rFonts w:ascii="Times New Roman" w:hAnsi="Times New Roman"/>
          <w:szCs w:val="24"/>
        </w:rPr>
        <w:t>position that the Company has not provided sufficient cost detail</w:t>
      </w:r>
      <w:r w:rsidR="00F97CD9">
        <w:rPr>
          <w:rFonts w:ascii="Times New Roman" w:hAnsi="Times New Roman"/>
          <w:szCs w:val="24"/>
        </w:rPr>
        <w:t>. (</w:t>
      </w:r>
      <w:r w:rsidR="00F97CD9">
        <w:rPr>
          <w:rFonts w:ascii="Times New Roman" w:hAnsi="Times New Roman"/>
          <w:i/>
          <w:szCs w:val="24"/>
        </w:rPr>
        <w:t>See</w:t>
      </w:r>
      <w:r w:rsidR="00F97CD9">
        <w:rPr>
          <w:rFonts w:ascii="Times New Roman" w:hAnsi="Times New Roman"/>
          <w:szCs w:val="24"/>
        </w:rPr>
        <w:t xml:space="preserve"> Tr. 2308-09.)</w:t>
      </w:r>
      <w:r w:rsidRPr="00A01C88">
        <w:rPr>
          <w:rFonts w:ascii="Times New Roman" w:hAnsi="Times New Roman"/>
          <w:szCs w:val="24"/>
        </w:rPr>
        <w:t xml:space="preserve"> </w:t>
      </w:r>
      <w:r w:rsidR="00D20E67">
        <w:rPr>
          <w:rFonts w:ascii="Times New Roman" w:hAnsi="Times New Roman"/>
          <w:szCs w:val="24"/>
        </w:rPr>
        <w:t>The fundamental problem with this assertion is that Sierra Club’s witness has not conducted a sufficient review of the available information.</w:t>
      </w:r>
      <w:r w:rsidR="00D20E67" w:rsidRPr="00A01C88">
        <w:rPr>
          <w:rFonts w:ascii="Times New Roman" w:hAnsi="Times New Roman"/>
          <w:szCs w:val="24"/>
        </w:rPr>
        <w:t xml:space="preserve"> (</w:t>
      </w:r>
      <w:r w:rsidR="00D20E67">
        <w:rPr>
          <w:rFonts w:ascii="Times New Roman" w:hAnsi="Times New Roman"/>
          <w:i/>
          <w:szCs w:val="24"/>
        </w:rPr>
        <w:t xml:space="preserve">See </w:t>
      </w:r>
      <w:r w:rsidR="00D20E67" w:rsidRPr="00A01C88">
        <w:rPr>
          <w:rFonts w:ascii="Times New Roman" w:hAnsi="Times New Roman"/>
          <w:szCs w:val="24"/>
        </w:rPr>
        <w:t>Tr. 23</w:t>
      </w:r>
      <w:r w:rsidR="00D20E67">
        <w:rPr>
          <w:rFonts w:ascii="Times New Roman" w:hAnsi="Times New Roman"/>
          <w:szCs w:val="24"/>
        </w:rPr>
        <w:t>35-</w:t>
      </w:r>
      <w:r w:rsidR="00D20E67" w:rsidRPr="00A01C88">
        <w:rPr>
          <w:rFonts w:ascii="Times New Roman" w:hAnsi="Times New Roman"/>
          <w:szCs w:val="24"/>
        </w:rPr>
        <w:t xml:space="preserve">36.) </w:t>
      </w:r>
      <w:r w:rsidRPr="00A01C88">
        <w:rPr>
          <w:rFonts w:ascii="Times New Roman" w:hAnsi="Times New Roman"/>
          <w:szCs w:val="24"/>
        </w:rPr>
        <w:t xml:space="preserve">Notably, </w:t>
      </w:r>
      <w:r w:rsidR="00D20E67">
        <w:rPr>
          <w:rFonts w:ascii="Times New Roman" w:hAnsi="Times New Roman"/>
          <w:szCs w:val="24"/>
        </w:rPr>
        <w:t xml:space="preserve">neither PIA Staff </w:t>
      </w:r>
      <w:r w:rsidRPr="00A01C88">
        <w:rPr>
          <w:rFonts w:ascii="Times New Roman" w:hAnsi="Times New Roman"/>
          <w:szCs w:val="24"/>
        </w:rPr>
        <w:t>no</w:t>
      </w:r>
      <w:r w:rsidR="00D20E67">
        <w:rPr>
          <w:rFonts w:ascii="Times New Roman" w:hAnsi="Times New Roman"/>
          <w:szCs w:val="24"/>
        </w:rPr>
        <w:t xml:space="preserve">r any </w:t>
      </w:r>
      <w:r w:rsidRPr="00A01C88">
        <w:rPr>
          <w:rFonts w:ascii="Times New Roman" w:hAnsi="Times New Roman"/>
          <w:szCs w:val="24"/>
        </w:rPr>
        <w:t>witness</w:t>
      </w:r>
      <w:r w:rsidR="00D20E67">
        <w:rPr>
          <w:rFonts w:ascii="Times New Roman" w:hAnsi="Times New Roman"/>
          <w:szCs w:val="24"/>
        </w:rPr>
        <w:t xml:space="preserve"> in this proceeding</w:t>
      </w:r>
      <w:r w:rsidRPr="00A01C88">
        <w:rPr>
          <w:rFonts w:ascii="Times New Roman" w:hAnsi="Times New Roman"/>
          <w:szCs w:val="24"/>
        </w:rPr>
        <w:t xml:space="preserve"> </w:t>
      </w:r>
      <w:r w:rsidR="00FA3631">
        <w:rPr>
          <w:rFonts w:ascii="Times New Roman" w:hAnsi="Times New Roman"/>
          <w:szCs w:val="24"/>
        </w:rPr>
        <w:t>other</w:t>
      </w:r>
      <w:r w:rsidR="00FA3631" w:rsidRPr="00A01C88">
        <w:rPr>
          <w:rFonts w:ascii="Times New Roman" w:hAnsi="Times New Roman"/>
          <w:szCs w:val="24"/>
        </w:rPr>
        <w:t xml:space="preserve"> </w:t>
      </w:r>
      <w:r w:rsidR="00FA3631">
        <w:rPr>
          <w:rFonts w:ascii="Times New Roman" w:hAnsi="Times New Roman"/>
          <w:szCs w:val="24"/>
        </w:rPr>
        <w:t xml:space="preserve">than Ms. Wilson </w:t>
      </w:r>
      <w:r w:rsidRPr="00A01C88">
        <w:rPr>
          <w:rFonts w:ascii="Times New Roman" w:hAnsi="Times New Roman"/>
          <w:szCs w:val="24"/>
        </w:rPr>
        <w:t>challenged the sufficiency of the information provided by the Company.</w:t>
      </w:r>
      <w:r>
        <w:rPr>
          <w:rFonts w:ascii="Times New Roman" w:hAnsi="Times New Roman"/>
          <w:szCs w:val="24"/>
        </w:rPr>
        <w:t xml:space="preserve"> </w:t>
      </w:r>
      <w:r w:rsidR="00D20E67">
        <w:rPr>
          <w:rFonts w:ascii="Times New Roman" w:hAnsi="Times New Roman"/>
          <w:szCs w:val="24"/>
        </w:rPr>
        <w:t>(</w:t>
      </w:r>
      <w:r w:rsidR="00D20E67">
        <w:rPr>
          <w:rFonts w:ascii="Times New Roman" w:hAnsi="Times New Roman"/>
          <w:i/>
          <w:szCs w:val="24"/>
        </w:rPr>
        <w:t xml:space="preserve">See </w:t>
      </w:r>
      <w:r w:rsidR="00D20E67">
        <w:rPr>
          <w:rFonts w:ascii="Times New Roman" w:hAnsi="Times New Roman"/>
          <w:szCs w:val="24"/>
        </w:rPr>
        <w:t>Tr.</w:t>
      </w:r>
      <w:r w:rsidR="00F4602A">
        <w:rPr>
          <w:rFonts w:ascii="Times New Roman" w:hAnsi="Times New Roman"/>
          <w:szCs w:val="24"/>
        </w:rPr>
        <w:t> </w:t>
      </w:r>
      <w:r w:rsidR="00D20E67">
        <w:rPr>
          <w:rFonts w:ascii="Times New Roman" w:hAnsi="Times New Roman"/>
          <w:szCs w:val="24"/>
        </w:rPr>
        <w:t xml:space="preserve">2336.) </w:t>
      </w:r>
      <w:r w:rsidRPr="00A01C88">
        <w:rPr>
          <w:rFonts w:ascii="Times New Roman" w:hAnsi="Times New Roman"/>
          <w:szCs w:val="24"/>
        </w:rPr>
        <w:t>Ms. Wilson did not conduct a thorough review of the information available regarding Georgia Power</w:t>
      </w:r>
      <w:r>
        <w:rPr>
          <w:rFonts w:ascii="Times New Roman" w:hAnsi="Times New Roman"/>
          <w:szCs w:val="24"/>
        </w:rPr>
        <w:t>’</w:t>
      </w:r>
      <w:r w:rsidRPr="00A01C88">
        <w:rPr>
          <w:rFonts w:ascii="Times New Roman" w:hAnsi="Times New Roman"/>
          <w:szCs w:val="24"/>
        </w:rPr>
        <w:t xml:space="preserve">s closure plans. </w:t>
      </w:r>
      <w:r w:rsidR="00DA537F">
        <w:rPr>
          <w:rFonts w:ascii="Times New Roman" w:hAnsi="Times New Roman"/>
          <w:szCs w:val="24"/>
        </w:rPr>
        <w:t xml:space="preserve">While </w:t>
      </w:r>
      <w:r w:rsidRPr="00A01C88">
        <w:rPr>
          <w:rFonts w:ascii="Times New Roman" w:hAnsi="Times New Roman"/>
          <w:szCs w:val="24"/>
        </w:rPr>
        <w:t>Ms. Wilson</w:t>
      </w:r>
      <w:r w:rsidR="00DA537F">
        <w:rPr>
          <w:rFonts w:ascii="Times New Roman" w:hAnsi="Times New Roman"/>
          <w:szCs w:val="24"/>
        </w:rPr>
        <w:t xml:space="preserve"> testified that she</w:t>
      </w:r>
      <w:r w:rsidRPr="00A01C88">
        <w:rPr>
          <w:rFonts w:ascii="Times New Roman" w:hAnsi="Times New Roman"/>
          <w:szCs w:val="24"/>
        </w:rPr>
        <w:t xml:space="preserve"> “[has] not looked at every document</w:t>
      </w:r>
      <w:r w:rsidR="00DA537F">
        <w:rPr>
          <w:rFonts w:ascii="Times New Roman" w:hAnsi="Times New Roman"/>
          <w:szCs w:val="24"/>
        </w:rPr>
        <w:t>,</w:t>
      </w:r>
      <w:r w:rsidRPr="00A01C88">
        <w:rPr>
          <w:rFonts w:ascii="Times New Roman" w:hAnsi="Times New Roman"/>
          <w:szCs w:val="24"/>
        </w:rPr>
        <w:t>” (Tr. 2344)</w:t>
      </w:r>
      <w:r w:rsidR="00DA537F">
        <w:rPr>
          <w:rFonts w:ascii="Times New Roman" w:hAnsi="Times New Roman"/>
          <w:szCs w:val="24"/>
        </w:rPr>
        <w:t>,</w:t>
      </w:r>
      <w:r w:rsidRPr="00A01C88">
        <w:rPr>
          <w:rFonts w:ascii="Times New Roman" w:hAnsi="Times New Roman"/>
          <w:szCs w:val="24"/>
        </w:rPr>
        <w:t xml:space="preserve"> </w:t>
      </w:r>
      <w:r w:rsidR="008E1DF4">
        <w:rPr>
          <w:rFonts w:ascii="Times New Roman" w:hAnsi="Times New Roman"/>
          <w:szCs w:val="24"/>
        </w:rPr>
        <w:t>s</w:t>
      </w:r>
      <w:r w:rsidR="008E1DF4" w:rsidRPr="00A01C88">
        <w:rPr>
          <w:rFonts w:ascii="Times New Roman" w:hAnsi="Times New Roman"/>
          <w:szCs w:val="24"/>
        </w:rPr>
        <w:t xml:space="preserve">he </w:t>
      </w:r>
      <w:r w:rsidRPr="00A01C88">
        <w:rPr>
          <w:rFonts w:ascii="Times New Roman" w:hAnsi="Times New Roman"/>
          <w:szCs w:val="24"/>
        </w:rPr>
        <w:t>ha</w:t>
      </w:r>
      <w:r w:rsidR="00DA537F">
        <w:rPr>
          <w:rFonts w:ascii="Times New Roman" w:hAnsi="Times New Roman"/>
          <w:szCs w:val="24"/>
        </w:rPr>
        <w:t>d</w:t>
      </w:r>
      <w:r w:rsidRPr="00A01C88">
        <w:rPr>
          <w:rFonts w:ascii="Times New Roman" w:hAnsi="Times New Roman"/>
          <w:szCs w:val="24"/>
        </w:rPr>
        <w:t xml:space="preserve"> not</w:t>
      </w:r>
      <w:r w:rsidR="00DA537F">
        <w:rPr>
          <w:rFonts w:ascii="Times New Roman" w:hAnsi="Times New Roman"/>
          <w:szCs w:val="24"/>
        </w:rPr>
        <w:t xml:space="preserve"> even</w:t>
      </w:r>
      <w:r w:rsidRPr="00A01C88">
        <w:rPr>
          <w:rFonts w:ascii="Times New Roman" w:hAnsi="Times New Roman"/>
          <w:szCs w:val="24"/>
        </w:rPr>
        <w:t xml:space="preserve"> reviewed the Company</w:t>
      </w:r>
      <w:r>
        <w:rPr>
          <w:rFonts w:ascii="Times New Roman" w:hAnsi="Times New Roman"/>
          <w:szCs w:val="24"/>
        </w:rPr>
        <w:t>’</w:t>
      </w:r>
      <w:r w:rsidRPr="00A01C88">
        <w:rPr>
          <w:rFonts w:ascii="Times New Roman" w:hAnsi="Times New Roman"/>
          <w:szCs w:val="24"/>
        </w:rPr>
        <w:t>s closure plans that the Company made available to Sierra Club, in response to Sierra Club</w:t>
      </w:r>
      <w:r>
        <w:rPr>
          <w:rFonts w:ascii="Times New Roman" w:hAnsi="Times New Roman"/>
          <w:szCs w:val="24"/>
        </w:rPr>
        <w:t>’</w:t>
      </w:r>
      <w:r w:rsidRPr="00A01C88">
        <w:rPr>
          <w:rFonts w:ascii="Times New Roman" w:hAnsi="Times New Roman"/>
          <w:szCs w:val="24"/>
        </w:rPr>
        <w:t>s request for the information. (Tr. 23</w:t>
      </w:r>
      <w:r w:rsidR="00D20E67">
        <w:rPr>
          <w:rFonts w:ascii="Times New Roman" w:hAnsi="Times New Roman"/>
          <w:szCs w:val="24"/>
        </w:rPr>
        <w:t>35-</w:t>
      </w:r>
      <w:r w:rsidRPr="00A01C88">
        <w:rPr>
          <w:rFonts w:ascii="Times New Roman" w:hAnsi="Times New Roman"/>
          <w:szCs w:val="24"/>
        </w:rPr>
        <w:t xml:space="preserve">36.) It is </w:t>
      </w:r>
      <w:r>
        <w:rPr>
          <w:rFonts w:ascii="Times New Roman" w:hAnsi="Times New Roman"/>
          <w:szCs w:val="24"/>
        </w:rPr>
        <w:t>in</w:t>
      </w:r>
      <w:r w:rsidRPr="00A01C88">
        <w:rPr>
          <w:rFonts w:ascii="Times New Roman" w:hAnsi="Times New Roman"/>
          <w:szCs w:val="24"/>
        </w:rPr>
        <w:t xml:space="preserve">appropriate for Sierra Club to </w:t>
      </w:r>
      <w:r>
        <w:rPr>
          <w:rFonts w:ascii="Times New Roman" w:hAnsi="Times New Roman"/>
          <w:szCs w:val="24"/>
        </w:rPr>
        <w:t>challenge the</w:t>
      </w:r>
      <w:r w:rsidRPr="00A01C88">
        <w:rPr>
          <w:rFonts w:ascii="Times New Roman" w:hAnsi="Times New Roman"/>
          <w:szCs w:val="24"/>
        </w:rPr>
        <w:t xml:space="preserve"> sufficien</w:t>
      </w:r>
      <w:r>
        <w:rPr>
          <w:rFonts w:ascii="Times New Roman" w:hAnsi="Times New Roman"/>
          <w:szCs w:val="24"/>
        </w:rPr>
        <w:t>cy of the</w:t>
      </w:r>
      <w:r w:rsidRPr="00A01C88">
        <w:rPr>
          <w:rFonts w:ascii="Times New Roman" w:hAnsi="Times New Roman"/>
          <w:szCs w:val="24"/>
        </w:rPr>
        <w:t xml:space="preserve"> cost detail for </w:t>
      </w:r>
      <w:r>
        <w:rPr>
          <w:rFonts w:ascii="Times New Roman" w:hAnsi="Times New Roman"/>
          <w:szCs w:val="24"/>
        </w:rPr>
        <w:t>Georgia Power’s</w:t>
      </w:r>
      <w:r w:rsidRPr="00A01C88">
        <w:rPr>
          <w:rFonts w:ascii="Times New Roman" w:hAnsi="Times New Roman"/>
          <w:szCs w:val="24"/>
        </w:rPr>
        <w:t xml:space="preserve"> closure plans and CCR costs when Sierra Club</w:t>
      </w:r>
      <w:r>
        <w:rPr>
          <w:rFonts w:ascii="Times New Roman" w:hAnsi="Times New Roman"/>
          <w:szCs w:val="24"/>
        </w:rPr>
        <w:t>’</w:t>
      </w:r>
      <w:r w:rsidRPr="00A01C88">
        <w:rPr>
          <w:rFonts w:ascii="Times New Roman" w:hAnsi="Times New Roman"/>
          <w:szCs w:val="24"/>
        </w:rPr>
        <w:t>s witness has not even reviewed the</w:t>
      </w:r>
      <w:r>
        <w:rPr>
          <w:rFonts w:ascii="Times New Roman" w:hAnsi="Times New Roman"/>
          <w:szCs w:val="24"/>
        </w:rPr>
        <w:t xml:space="preserve"> extensive</w:t>
      </w:r>
      <w:r w:rsidRPr="00A01C88">
        <w:rPr>
          <w:rFonts w:ascii="Times New Roman" w:hAnsi="Times New Roman"/>
          <w:szCs w:val="24"/>
        </w:rPr>
        <w:t xml:space="preserve"> cost and budget information Georgia Power made available to Sierra Club</w:t>
      </w:r>
      <w:r w:rsidR="00D20E67">
        <w:rPr>
          <w:rFonts w:ascii="Times New Roman" w:hAnsi="Times New Roman"/>
          <w:szCs w:val="24"/>
        </w:rPr>
        <w:t xml:space="preserve"> at Sierra Club’s request</w:t>
      </w:r>
      <w:r w:rsidRPr="00A01C88">
        <w:rPr>
          <w:rFonts w:ascii="Times New Roman" w:hAnsi="Times New Roman"/>
          <w:szCs w:val="24"/>
        </w:rPr>
        <w:t>.</w:t>
      </w:r>
      <w:r w:rsidR="00D20E67">
        <w:rPr>
          <w:rFonts w:ascii="Times New Roman" w:hAnsi="Times New Roman"/>
          <w:szCs w:val="24"/>
        </w:rPr>
        <w:t xml:space="preserve"> (</w:t>
      </w:r>
      <w:r w:rsidR="00D20E67">
        <w:rPr>
          <w:rFonts w:ascii="Times New Roman" w:hAnsi="Times New Roman"/>
          <w:i/>
          <w:szCs w:val="24"/>
        </w:rPr>
        <w:t>See</w:t>
      </w:r>
      <w:r w:rsidR="00D20E67">
        <w:rPr>
          <w:rFonts w:ascii="Times New Roman" w:hAnsi="Times New Roman"/>
          <w:szCs w:val="24"/>
        </w:rPr>
        <w:t xml:space="preserve"> Tr. 2335-36.)</w:t>
      </w:r>
      <w:r w:rsidRPr="00A01C88">
        <w:rPr>
          <w:rFonts w:ascii="Times New Roman" w:hAnsi="Times New Roman"/>
          <w:szCs w:val="24"/>
        </w:rPr>
        <w:t xml:space="preserve"> The Company provided cost estimates in the IRP </w:t>
      </w:r>
      <w:r>
        <w:rPr>
          <w:rFonts w:ascii="Times New Roman" w:hAnsi="Times New Roman"/>
          <w:szCs w:val="24"/>
        </w:rPr>
        <w:t>along with</w:t>
      </w:r>
      <w:r w:rsidRPr="00A01C88">
        <w:rPr>
          <w:rFonts w:ascii="Times New Roman" w:hAnsi="Times New Roman"/>
          <w:szCs w:val="24"/>
        </w:rPr>
        <w:t xml:space="preserve"> updates requested by PIA Staff during the rate case proceeding. (Tr. 1389-90.)</w:t>
      </w:r>
      <w:r>
        <w:rPr>
          <w:rFonts w:ascii="Times New Roman" w:hAnsi="Times New Roman"/>
          <w:szCs w:val="24"/>
        </w:rPr>
        <w:t xml:space="preserve"> </w:t>
      </w:r>
      <w:r w:rsidRPr="00A01C88">
        <w:rPr>
          <w:rFonts w:ascii="Times New Roman" w:hAnsi="Times New Roman"/>
          <w:szCs w:val="24"/>
        </w:rPr>
        <w:t>Ms. Wilson</w:t>
      </w:r>
      <w:r>
        <w:rPr>
          <w:rFonts w:ascii="Times New Roman" w:hAnsi="Times New Roman"/>
          <w:szCs w:val="24"/>
        </w:rPr>
        <w:t>’</w:t>
      </w:r>
      <w:r w:rsidRPr="00A01C88">
        <w:rPr>
          <w:rFonts w:ascii="Times New Roman" w:hAnsi="Times New Roman"/>
          <w:szCs w:val="24"/>
        </w:rPr>
        <w:t xml:space="preserve">s </w:t>
      </w:r>
      <w:r w:rsidR="00DA537F">
        <w:rPr>
          <w:rFonts w:ascii="Times New Roman" w:hAnsi="Times New Roman"/>
          <w:szCs w:val="24"/>
        </w:rPr>
        <w:t>assertion</w:t>
      </w:r>
      <w:r w:rsidR="00DA537F" w:rsidRPr="00A01C88">
        <w:rPr>
          <w:rFonts w:ascii="Times New Roman" w:hAnsi="Times New Roman"/>
          <w:szCs w:val="24"/>
        </w:rPr>
        <w:t xml:space="preserve"> </w:t>
      </w:r>
      <w:r w:rsidRPr="00A01C88">
        <w:rPr>
          <w:rFonts w:ascii="Times New Roman" w:hAnsi="Times New Roman"/>
          <w:szCs w:val="24"/>
        </w:rPr>
        <w:t>that the Company has not provided enough cost detail is more reflective of the</w:t>
      </w:r>
      <w:r>
        <w:rPr>
          <w:rFonts w:ascii="Times New Roman" w:hAnsi="Times New Roman"/>
          <w:szCs w:val="24"/>
        </w:rPr>
        <w:t xml:space="preserve"> </w:t>
      </w:r>
      <w:r w:rsidR="00DA537F">
        <w:rPr>
          <w:rFonts w:ascii="Times New Roman" w:hAnsi="Times New Roman"/>
          <w:szCs w:val="24"/>
        </w:rPr>
        <w:t>limited</w:t>
      </w:r>
      <w:r w:rsidR="00DA537F" w:rsidRPr="00A01C88">
        <w:rPr>
          <w:rFonts w:ascii="Times New Roman" w:hAnsi="Times New Roman"/>
          <w:szCs w:val="24"/>
        </w:rPr>
        <w:t xml:space="preserve"> </w:t>
      </w:r>
      <w:r w:rsidRPr="00C45FB5">
        <w:rPr>
          <w:rFonts w:ascii="Times New Roman" w:hAnsi="Times New Roman"/>
          <w:szCs w:val="24"/>
        </w:rPr>
        <w:t>information reviewed by Ms. Wilson rather than any insufficiency in the information that Georgia Power made available. Therefore, the Commission should reject Ms. Wilson’s cost sufficiency recommendations.</w:t>
      </w:r>
    </w:p>
    <w:p w14:paraId="74D6A885" w14:textId="57D640C6" w:rsidR="00125D6A" w:rsidRDefault="00AF7524" w:rsidP="00C45FB5">
      <w:pPr>
        <w:widowControl/>
        <w:tabs>
          <w:tab w:val="left" w:pos="0"/>
        </w:tabs>
        <w:overflowPunct/>
        <w:autoSpaceDE/>
        <w:autoSpaceDN/>
        <w:adjustRightInd/>
        <w:spacing w:line="480" w:lineRule="auto"/>
        <w:jc w:val="both"/>
        <w:textAlignment w:val="auto"/>
        <w:rPr>
          <w:rFonts w:ascii="Times New Roman" w:hAnsi="Times New Roman"/>
          <w:szCs w:val="24"/>
        </w:rPr>
      </w:pPr>
      <w:r w:rsidRPr="00C45FB5">
        <w:rPr>
          <w:rFonts w:ascii="Times New Roman" w:hAnsi="Times New Roman"/>
          <w:szCs w:val="24"/>
        </w:rPr>
        <w:lastRenderedPageBreak/>
        <w:tab/>
      </w:r>
      <w:bookmarkStart w:id="22" w:name="_Hlk26339292"/>
      <w:r w:rsidR="00125D6A" w:rsidRPr="00125D6A">
        <w:rPr>
          <w:rFonts w:ascii="Times New Roman" w:hAnsi="Times New Roman"/>
          <w:szCs w:val="24"/>
        </w:rPr>
        <w:t>With respect to Ms. Wilson’s other recommendation for a</w:t>
      </w:r>
      <w:r w:rsidR="00125D6A">
        <w:rPr>
          <w:rFonts w:ascii="Times New Roman" w:hAnsi="Times New Roman"/>
          <w:szCs w:val="24"/>
        </w:rPr>
        <w:t xml:space="preserve"> request for proposals</w:t>
      </w:r>
      <w:r w:rsidR="00125D6A" w:rsidRPr="00125D6A">
        <w:rPr>
          <w:rFonts w:ascii="Times New Roman" w:hAnsi="Times New Roman"/>
          <w:szCs w:val="24"/>
        </w:rPr>
        <w:t xml:space="preserve"> </w:t>
      </w:r>
      <w:r w:rsidR="00125D6A">
        <w:rPr>
          <w:rFonts w:ascii="Times New Roman" w:hAnsi="Times New Roman"/>
          <w:szCs w:val="24"/>
        </w:rPr>
        <w:t>(“</w:t>
      </w:r>
      <w:r w:rsidR="00125D6A" w:rsidRPr="00125D6A">
        <w:rPr>
          <w:rFonts w:ascii="Times New Roman" w:hAnsi="Times New Roman"/>
          <w:szCs w:val="24"/>
        </w:rPr>
        <w:t>RFP</w:t>
      </w:r>
      <w:r w:rsidR="00125D6A">
        <w:rPr>
          <w:rFonts w:ascii="Times New Roman" w:hAnsi="Times New Roman"/>
          <w:szCs w:val="24"/>
        </w:rPr>
        <w:t>”)</w:t>
      </w:r>
      <w:r w:rsidR="00125D6A" w:rsidRPr="00125D6A">
        <w:rPr>
          <w:rFonts w:ascii="Times New Roman" w:hAnsi="Times New Roman"/>
          <w:szCs w:val="24"/>
        </w:rPr>
        <w:t xml:space="preserve"> regarding the beneficial reuse of coal ash</w:t>
      </w:r>
      <w:r w:rsidR="004A0718">
        <w:rPr>
          <w:rFonts w:ascii="Times New Roman" w:hAnsi="Times New Roman"/>
          <w:szCs w:val="24"/>
        </w:rPr>
        <w:t>, her proposal</w:t>
      </w:r>
      <w:r w:rsidR="00125D6A" w:rsidRPr="00125D6A">
        <w:rPr>
          <w:rFonts w:ascii="Times New Roman" w:hAnsi="Times New Roman"/>
          <w:szCs w:val="24"/>
        </w:rPr>
        <w:t xml:space="preserve"> ignores the fact the Company is already reviewing the potential to include beneficial reuse projects in certain closure plans for the benefit of </w:t>
      </w:r>
      <w:r w:rsidR="00125D6A" w:rsidRPr="00522C94">
        <w:rPr>
          <w:rFonts w:ascii="Times New Roman" w:hAnsi="Times New Roman"/>
          <w:szCs w:val="24"/>
        </w:rPr>
        <w:t xml:space="preserve">customers. </w:t>
      </w:r>
      <w:r w:rsidR="004A0718" w:rsidRPr="00522C94">
        <w:rPr>
          <w:rFonts w:ascii="Times New Roman" w:hAnsi="Times New Roman"/>
          <w:szCs w:val="24"/>
        </w:rPr>
        <w:t>(</w:t>
      </w:r>
      <w:r w:rsidR="004A0718" w:rsidRPr="00522C94">
        <w:rPr>
          <w:rFonts w:ascii="Times New Roman" w:hAnsi="Times New Roman"/>
          <w:i/>
          <w:szCs w:val="24"/>
        </w:rPr>
        <w:t>See</w:t>
      </w:r>
      <w:r w:rsidR="004A0718" w:rsidRPr="00522C94">
        <w:rPr>
          <w:rFonts w:ascii="Times New Roman" w:hAnsi="Times New Roman"/>
          <w:szCs w:val="24"/>
        </w:rPr>
        <w:t xml:space="preserve"> Tr. 153.) </w:t>
      </w:r>
      <w:r w:rsidR="00125D6A" w:rsidRPr="00522C94">
        <w:rPr>
          <w:rFonts w:ascii="Times New Roman" w:hAnsi="Times New Roman"/>
          <w:szCs w:val="24"/>
        </w:rPr>
        <w:t>Ms. Wilson’s</w:t>
      </w:r>
      <w:r w:rsidR="004A0718">
        <w:rPr>
          <w:rFonts w:ascii="Times New Roman" w:hAnsi="Times New Roman"/>
          <w:szCs w:val="24"/>
        </w:rPr>
        <w:t xml:space="preserve"> RFP</w:t>
      </w:r>
      <w:r w:rsidR="00125D6A" w:rsidRPr="00125D6A">
        <w:rPr>
          <w:rFonts w:ascii="Times New Roman" w:hAnsi="Times New Roman"/>
          <w:szCs w:val="24"/>
        </w:rPr>
        <w:t xml:space="preserve"> proposal is unnecessary and not warranted due to the efforts already being undertaken by the Company. Additionally, </w:t>
      </w:r>
      <w:r w:rsidR="00B2423E">
        <w:rPr>
          <w:rFonts w:ascii="Times New Roman" w:hAnsi="Times New Roman"/>
          <w:szCs w:val="24"/>
        </w:rPr>
        <w:t>Witness</w:t>
      </w:r>
      <w:r w:rsidR="00B2423E" w:rsidRPr="00125D6A">
        <w:rPr>
          <w:rFonts w:ascii="Times New Roman" w:hAnsi="Times New Roman"/>
          <w:szCs w:val="24"/>
        </w:rPr>
        <w:t xml:space="preserve"> Wilson filed testimony </w:t>
      </w:r>
      <w:r w:rsidR="00125D6A" w:rsidRPr="00125D6A">
        <w:rPr>
          <w:rFonts w:ascii="Times New Roman" w:hAnsi="Times New Roman"/>
          <w:szCs w:val="24"/>
        </w:rPr>
        <w:t>in the</w:t>
      </w:r>
      <w:r w:rsidR="004A0718">
        <w:rPr>
          <w:rFonts w:ascii="Times New Roman" w:hAnsi="Times New Roman"/>
          <w:szCs w:val="24"/>
        </w:rPr>
        <w:t xml:space="preserve"> Company’s 2019</w:t>
      </w:r>
      <w:r w:rsidR="00125D6A" w:rsidRPr="00125D6A">
        <w:rPr>
          <w:rFonts w:ascii="Times New Roman" w:hAnsi="Times New Roman"/>
          <w:szCs w:val="24"/>
        </w:rPr>
        <w:t xml:space="preserve"> IRP </w:t>
      </w:r>
      <w:r w:rsidR="00B2423E">
        <w:rPr>
          <w:rFonts w:ascii="Times New Roman" w:hAnsi="Times New Roman"/>
          <w:szCs w:val="24"/>
        </w:rPr>
        <w:t xml:space="preserve">and failed to raise any issue in that proceeding </w:t>
      </w:r>
      <w:r w:rsidR="00125D6A" w:rsidRPr="00125D6A">
        <w:rPr>
          <w:rFonts w:ascii="Times New Roman" w:hAnsi="Times New Roman"/>
          <w:szCs w:val="24"/>
        </w:rPr>
        <w:t xml:space="preserve">as it related to coal ash or the Company’s ECS. The IRP was the appropriate forum to address concerns </w:t>
      </w:r>
      <w:r w:rsidR="00522C94">
        <w:rPr>
          <w:rFonts w:ascii="Times New Roman" w:hAnsi="Times New Roman"/>
          <w:szCs w:val="24"/>
        </w:rPr>
        <w:t>related to the Company’s</w:t>
      </w:r>
      <w:r w:rsidR="00125D6A" w:rsidRPr="00125D6A">
        <w:rPr>
          <w:rFonts w:ascii="Times New Roman" w:hAnsi="Times New Roman"/>
          <w:szCs w:val="24"/>
        </w:rPr>
        <w:t xml:space="preserve"> compliance methods. Therefore, the Commission should reject Ms. Wilson’s specific recommendation for an RFP regarding the beneficial reuse of coal ash in this case and approve the Company’s cost estimates for rate recovery.</w:t>
      </w:r>
      <w:bookmarkEnd w:id="22"/>
    </w:p>
    <w:p w14:paraId="25892E51" w14:textId="047CE0A4" w:rsidR="00AF7524" w:rsidRPr="00186C1F" w:rsidRDefault="00125D6A" w:rsidP="00522C94">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AF7524" w:rsidRPr="00C45FB5">
        <w:rPr>
          <w:rFonts w:ascii="Times New Roman" w:hAnsi="Times New Roman"/>
          <w:szCs w:val="24"/>
        </w:rPr>
        <w:t>The Company’s ECS and compliance</w:t>
      </w:r>
      <w:r w:rsidR="00AF7524">
        <w:rPr>
          <w:rFonts w:ascii="Times New Roman" w:hAnsi="Times New Roman"/>
          <w:szCs w:val="24"/>
        </w:rPr>
        <w:t xml:space="preserve"> with state and federal CCR rules are</w:t>
      </w:r>
      <w:r w:rsidR="00AF7524" w:rsidRPr="00A01C88">
        <w:rPr>
          <w:rFonts w:ascii="Times New Roman" w:hAnsi="Times New Roman"/>
          <w:szCs w:val="24"/>
        </w:rPr>
        <w:t xml:space="preserve"> not at issue in this case</w:t>
      </w:r>
      <w:r w:rsidR="00AF7524">
        <w:rPr>
          <w:rFonts w:ascii="Times New Roman" w:hAnsi="Times New Roman"/>
          <w:szCs w:val="24"/>
        </w:rPr>
        <w:t>.</w:t>
      </w:r>
      <w:r w:rsidR="00AF7524" w:rsidRPr="00A01C88">
        <w:rPr>
          <w:rFonts w:ascii="Times New Roman" w:hAnsi="Times New Roman"/>
          <w:szCs w:val="24"/>
        </w:rPr>
        <w:t xml:space="preserve"> Sierra Club</w:t>
      </w:r>
      <w:r w:rsidR="00AF7524">
        <w:rPr>
          <w:rFonts w:ascii="Times New Roman" w:hAnsi="Times New Roman"/>
          <w:szCs w:val="24"/>
        </w:rPr>
        <w:t>’</w:t>
      </w:r>
      <w:r w:rsidR="00AF7524" w:rsidRPr="00A01C88">
        <w:rPr>
          <w:rFonts w:ascii="Times New Roman" w:hAnsi="Times New Roman"/>
          <w:szCs w:val="24"/>
        </w:rPr>
        <w:t xml:space="preserve">s recommendations in this case represent a </w:t>
      </w:r>
      <w:r w:rsidR="00DA537F">
        <w:rPr>
          <w:rFonts w:ascii="Times New Roman" w:hAnsi="Times New Roman"/>
          <w:szCs w:val="24"/>
        </w:rPr>
        <w:t>poorly</w:t>
      </w:r>
      <w:r w:rsidR="00DA537F" w:rsidRPr="00A01C88">
        <w:rPr>
          <w:rFonts w:ascii="Times New Roman" w:hAnsi="Times New Roman"/>
          <w:szCs w:val="24"/>
        </w:rPr>
        <w:t xml:space="preserve"> </w:t>
      </w:r>
      <w:r w:rsidR="00AF7524" w:rsidRPr="00A01C88">
        <w:rPr>
          <w:rFonts w:ascii="Times New Roman" w:hAnsi="Times New Roman"/>
          <w:szCs w:val="24"/>
        </w:rPr>
        <w:t>disguised attempt to relitigate many of the issues surrounding the Company</w:t>
      </w:r>
      <w:r w:rsidR="00AF7524">
        <w:rPr>
          <w:rFonts w:ascii="Times New Roman" w:hAnsi="Times New Roman"/>
          <w:szCs w:val="24"/>
        </w:rPr>
        <w:t>’</w:t>
      </w:r>
      <w:r w:rsidR="00AF7524" w:rsidRPr="00A01C88">
        <w:rPr>
          <w:rFonts w:ascii="Times New Roman" w:hAnsi="Times New Roman"/>
          <w:szCs w:val="24"/>
        </w:rPr>
        <w:t xml:space="preserve">s coal ash management that </w:t>
      </w:r>
      <w:r w:rsidR="00DA537F">
        <w:rPr>
          <w:rFonts w:ascii="Times New Roman" w:hAnsi="Times New Roman"/>
          <w:szCs w:val="24"/>
        </w:rPr>
        <w:t>were</w:t>
      </w:r>
      <w:r w:rsidR="00AF7524" w:rsidRPr="00A01C88">
        <w:rPr>
          <w:rFonts w:ascii="Times New Roman" w:hAnsi="Times New Roman"/>
          <w:szCs w:val="24"/>
        </w:rPr>
        <w:t xml:space="preserve"> decided by this Commission in the 2019 IRP. PIA Staff and the Company are in agreement that the Company should recover CCR ARO costs. (Tr. 1401-02.) The Commission should reject all of Sierra Club</w:t>
      </w:r>
      <w:r w:rsidR="000D7C23">
        <w:rPr>
          <w:rFonts w:ascii="Times New Roman" w:hAnsi="Times New Roman"/>
          <w:szCs w:val="24"/>
        </w:rPr>
        <w:t>’</w:t>
      </w:r>
      <w:r w:rsidR="00AF7524" w:rsidRPr="00A01C88">
        <w:rPr>
          <w:rFonts w:ascii="Times New Roman" w:hAnsi="Times New Roman"/>
          <w:szCs w:val="24"/>
        </w:rPr>
        <w:t>s recommendations and find that the Company</w:t>
      </w:r>
      <w:r w:rsidR="00AF7524">
        <w:rPr>
          <w:rFonts w:ascii="Times New Roman" w:hAnsi="Times New Roman"/>
          <w:szCs w:val="24"/>
        </w:rPr>
        <w:t>’</w:t>
      </w:r>
      <w:r w:rsidR="00AF7524" w:rsidRPr="00A01C88">
        <w:rPr>
          <w:rFonts w:ascii="Times New Roman" w:hAnsi="Times New Roman"/>
          <w:szCs w:val="24"/>
        </w:rPr>
        <w:t>s past and future CCR ARO costs are appropriately supported by the evidence</w:t>
      </w:r>
      <w:r w:rsidR="00AF7524">
        <w:rPr>
          <w:rFonts w:ascii="Times New Roman" w:hAnsi="Times New Roman"/>
          <w:szCs w:val="24"/>
        </w:rPr>
        <w:t xml:space="preserve"> in this case</w:t>
      </w:r>
      <w:r w:rsidR="00AF7524" w:rsidRPr="00A01C88">
        <w:rPr>
          <w:rFonts w:ascii="Times New Roman" w:hAnsi="Times New Roman"/>
          <w:szCs w:val="24"/>
        </w:rPr>
        <w:t>.</w:t>
      </w:r>
    </w:p>
    <w:p w14:paraId="52B99762" w14:textId="6BA8F4DF" w:rsidR="00186C1F" w:rsidRPr="00186C1F" w:rsidRDefault="00533458" w:rsidP="00F4602A">
      <w:pPr>
        <w:keepNext/>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23" w:name="_Hlk26111645"/>
      <w:r>
        <w:rPr>
          <w:rFonts w:ascii="Times New Roman" w:hAnsi="Times New Roman"/>
          <w:b/>
          <w:szCs w:val="24"/>
        </w:rPr>
        <w:t>E.</w:t>
      </w:r>
      <w:r>
        <w:rPr>
          <w:rFonts w:ascii="Times New Roman" w:hAnsi="Times New Roman"/>
          <w:b/>
          <w:szCs w:val="24"/>
        </w:rPr>
        <w:tab/>
        <w:t xml:space="preserve">The Commission Should Reject Most of </w:t>
      </w:r>
      <w:r w:rsidR="00186C1F" w:rsidRPr="00186C1F">
        <w:rPr>
          <w:rFonts w:ascii="Times New Roman" w:hAnsi="Times New Roman"/>
          <w:b/>
          <w:szCs w:val="24"/>
        </w:rPr>
        <w:t>PIA Staff</w:t>
      </w:r>
      <w:r w:rsidR="006F6CB0">
        <w:rPr>
          <w:rFonts w:ascii="Times New Roman" w:hAnsi="Times New Roman"/>
          <w:b/>
          <w:szCs w:val="24"/>
        </w:rPr>
        <w:t>’</w:t>
      </w:r>
      <w:r w:rsidR="00186C1F" w:rsidRPr="00186C1F">
        <w:rPr>
          <w:rFonts w:ascii="Times New Roman" w:hAnsi="Times New Roman"/>
          <w:b/>
          <w:szCs w:val="24"/>
        </w:rPr>
        <w:t xml:space="preserve">s </w:t>
      </w:r>
      <w:r>
        <w:rPr>
          <w:rFonts w:ascii="Times New Roman" w:hAnsi="Times New Roman"/>
          <w:b/>
          <w:szCs w:val="24"/>
        </w:rPr>
        <w:t>Revenue Requirement A</w:t>
      </w:r>
      <w:r w:rsidR="00186C1F" w:rsidRPr="00186C1F">
        <w:rPr>
          <w:rFonts w:ascii="Times New Roman" w:hAnsi="Times New Roman"/>
          <w:b/>
          <w:szCs w:val="24"/>
        </w:rPr>
        <w:t>djustments.</w:t>
      </w:r>
    </w:p>
    <w:p w14:paraId="426F9FF1" w14:textId="2CED762F" w:rsidR="00A562E1" w:rsidRDefault="00533458" w:rsidP="00F4602A">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r>
        <w:rPr>
          <w:rFonts w:ascii="Times New Roman" w:hAnsi="Times New Roman"/>
          <w:szCs w:val="24"/>
        </w:rPr>
        <w:t>1.</w:t>
      </w:r>
      <w:r>
        <w:rPr>
          <w:rFonts w:ascii="Times New Roman" w:hAnsi="Times New Roman"/>
          <w:szCs w:val="24"/>
        </w:rPr>
        <w:tab/>
      </w:r>
      <w:r w:rsidR="006C2783">
        <w:rPr>
          <w:rFonts w:ascii="Times New Roman" w:hAnsi="Times New Roman"/>
          <w:szCs w:val="24"/>
          <w:u w:val="single"/>
        </w:rPr>
        <w:t>T</w:t>
      </w:r>
      <w:r w:rsidR="006C2783" w:rsidRPr="006C2783">
        <w:rPr>
          <w:rFonts w:ascii="Times New Roman" w:hAnsi="Times New Roman"/>
          <w:szCs w:val="24"/>
          <w:u w:val="single"/>
        </w:rPr>
        <w:t xml:space="preserve">he </w:t>
      </w:r>
      <w:r w:rsidR="006C2783">
        <w:rPr>
          <w:rFonts w:ascii="Times New Roman" w:hAnsi="Times New Roman"/>
          <w:szCs w:val="24"/>
          <w:u w:val="single"/>
        </w:rPr>
        <w:t>C</w:t>
      </w:r>
      <w:r w:rsidR="006C2783" w:rsidRPr="006C2783">
        <w:rPr>
          <w:rFonts w:ascii="Times New Roman" w:hAnsi="Times New Roman"/>
          <w:szCs w:val="24"/>
          <w:u w:val="single"/>
        </w:rPr>
        <w:t xml:space="preserve">ommission should reject </w:t>
      </w:r>
      <w:r w:rsidR="006C2783">
        <w:rPr>
          <w:rFonts w:ascii="Times New Roman" w:hAnsi="Times New Roman"/>
          <w:szCs w:val="24"/>
          <w:u w:val="single"/>
        </w:rPr>
        <w:t>PIA</w:t>
      </w:r>
      <w:r w:rsidR="006C2783" w:rsidRPr="006C2783">
        <w:rPr>
          <w:rFonts w:ascii="Times New Roman" w:hAnsi="Times New Roman"/>
          <w:szCs w:val="24"/>
          <w:u w:val="single"/>
        </w:rPr>
        <w:t xml:space="preserve"> </w:t>
      </w:r>
      <w:r w:rsidR="006C2783">
        <w:rPr>
          <w:rFonts w:ascii="Times New Roman" w:hAnsi="Times New Roman"/>
          <w:szCs w:val="24"/>
          <w:u w:val="single"/>
        </w:rPr>
        <w:t>S</w:t>
      </w:r>
      <w:r w:rsidR="006C2783" w:rsidRPr="006C2783">
        <w:rPr>
          <w:rFonts w:ascii="Times New Roman" w:hAnsi="Times New Roman"/>
          <w:szCs w:val="24"/>
          <w:u w:val="single"/>
        </w:rPr>
        <w:t>taff</w:t>
      </w:r>
      <w:r w:rsidR="006F6CB0">
        <w:rPr>
          <w:rFonts w:ascii="Times New Roman" w:hAnsi="Times New Roman"/>
          <w:szCs w:val="24"/>
          <w:u w:val="single"/>
        </w:rPr>
        <w:t>’</w:t>
      </w:r>
      <w:r w:rsidR="006C2783" w:rsidRPr="006C2783">
        <w:rPr>
          <w:rFonts w:ascii="Times New Roman" w:hAnsi="Times New Roman"/>
          <w:szCs w:val="24"/>
          <w:u w:val="single"/>
        </w:rPr>
        <w:t xml:space="preserve">s recommendation to use the test period revenue requirement to set rates in the first year of the three-year </w:t>
      </w:r>
      <w:r w:rsidR="006C2783">
        <w:rPr>
          <w:rFonts w:ascii="Times New Roman" w:hAnsi="Times New Roman"/>
          <w:szCs w:val="24"/>
          <w:u w:val="single"/>
        </w:rPr>
        <w:t>ARP</w:t>
      </w:r>
      <w:r w:rsidR="006F420B">
        <w:rPr>
          <w:rFonts w:ascii="Times New Roman" w:hAnsi="Times New Roman"/>
          <w:szCs w:val="24"/>
        </w:rPr>
        <w:t>.</w:t>
      </w:r>
    </w:p>
    <w:bookmarkEnd w:id="23"/>
    <w:p w14:paraId="29C8BAFC" w14:textId="60A61FCD" w:rsidR="0037437E" w:rsidRDefault="006F420B" w:rsidP="00F4602A">
      <w:pPr>
        <w:keepNext/>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0A4C6B">
        <w:rPr>
          <w:rFonts w:ascii="Times New Roman" w:hAnsi="Times New Roman"/>
          <w:szCs w:val="24"/>
        </w:rPr>
        <w:t>The C</w:t>
      </w:r>
      <w:r w:rsidR="00CF3831">
        <w:rPr>
          <w:rFonts w:ascii="Times New Roman" w:hAnsi="Times New Roman"/>
          <w:szCs w:val="24"/>
        </w:rPr>
        <w:t>ompany has included in its filing both the test period revenue</w:t>
      </w:r>
      <w:r w:rsidR="00663509">
        <w:rPr>
          <w:rFonts w:ascii="Times New Roman" w:hAnsi="Times New Roman"/>
          <w:szCs w:val="24"/>
        </w:rPr>
        <w:t xml:space="preserve"> requirement</w:t>
      </w:r>
      <w:r w:rsidR="00CF3831">
        <w:rPr>
          <w:rFonts w:ascii="Times New Roman" w:hAnsi="Times New Roman"/>
          <w:szCs w:val="24"/>
        </w:rPr>
        <w:t xml:space="preserve"> and the revenue requirements for each plan year 2020 through 2022. </w:t>
      </w:r>
      <w:r w:rsidR="008A57BE">
        <w:rPr>
          <w:rFonts w:ascii="Times New Roman" w:hAnsi="Times New Roman"/>
          <w:szCs w:val="24"/>
        </w:rPr>
        <w:t>(</w:t>
      </w:r>
      <w:r w:rsidR="00952AF2" w:rsidRPr="00952AF2">
        <w:rPr>
          <w:rFonts w:ascii="Times New Roman" w:hAnsi="Times New Roman"/>
          <w:szCs w:val="24"/>
        </w:rPr>
        <w:t>Tr. 202</w:t>
      </w:r>
      <w:r w:rsidR="008A57BE">
        <w:rPr>
          <w:rFonts w:ascii="Times New Roman" w:hAnsi="Times New Roman"/>
          <w:szCs w:val="24"/>
        </w:rPr>
        <w:t xml:space="preserve">.) </w:t>
      </w:r>
      <w:r w:rsidR="0037437E">
        <w:rPr>
          <w:rFonts w:ascii="Times New Roman" w:hAnsi="Times New Roman"/>
          <w:szCs w:val="24"/>
        </w:rPr>
        <w:t xml:space="preserve">However, the Company </w:t>
      </w:r>
      <w:r w:rsidR="0037437E">
        <w:rPr>
          <w:rFonts w:ascii="Times New Roman" w:hAnsi="Times New Roman"/>
          <w:szCs w:val="24"/>
        </w:rPr>
        <w:lastRenderedPageBreak/>
        <w:t xml:space="preserve">supports setting the rates in the first year of the proposed ARP based on the revenue requirement for 2020. </w:t>
      </w:r>
      <w:r w:rsidR="00CF3831">
        <w:rPr>
          <w:rFonts w:ascii="Times New Roman" w:hAnsi="Times New Roman"/>
          <w:szCs w:val="24"/>
        </w:rPr>
        <w:t xml:space="preserve">As compared to the test year, which </w:t>
      </w:r>
      <w:r w:rsidR="00663509">
        <w:rPr>
          <w:rFonts w:ascii="Times New Roman" w:hAnsi="Times New Roman"/>
          <w:szCs w:val="24"/>
        </w:rPr>
        <w:t>combines five months of 2019</w:t>
      </w:r>
      <w:r w:rsidR="00CF3831">
        <w:rPr>
          <w:rFonts w:ascii="Times New Roman" w:hAnsi="Times New Roman"/>
          <w:szCs w:val="24"/>
        </w:rPr>
        <w:t xml:space="preserve"> and </w:t>
      </w:r>
      <w:r w:rsidR="00663509">
        <w:rPr>
          <w:rFonts w:ascii="Times New Roman" w:hAnsi="Times New Roman"/>
          <w:szCs w:val="24"/>
        </w:rPr>
        <w:t xml:space="preserve">seven months </w:t>
      </w:r>
      <w:r w:rsidR="00CF3831">
        <w:rPr>
          <w:rFonts w:ascii="Times New Roman" w:hAnsi="Times New Roman"/>
          <w:szCs w:val="24"/>
        </w:rPr>
        <w:t xml:space="preserve">of 2020, </w:t>
      </w:r>
      <w:r w:rsidR="0037437E">
        <w:rPr>
          <w:rFonts w:ascii="Times New Roman" w:hAnsi="Times New Roman"/>
          <w:szCs w:val="24"/>
        </w:rPr>
        <w:t>t</w:t>
      </w:r>
      <w:r w:rsidRPr="006F420B">
        <w:rPr>
          <w:rFonts w:ascii="Times New Roman" w:hAnsi="Times New Roman"/>
          <w:szCs w:val="24"/>
        </w:rPr>
        <w:t>he revenue deficiency calculated for the calendar year ending December 31, 2020</w:t>
      </w:r>
      <w:r w:rsidR="00135225">
        <w:rPr>
          <w:rFonts w:ascii="Times New Roman" w:hAnsi="Times New Roman"/>
          <w:szCs w:val="24"/>
        </w:rPr>
        <w:t>,</w:t>
      </w:r>
      <w:r w:rsidRPr="006F420B">
        <w:rPr>
          <w:rFonts w:ascii="Times New Roman" w:hAnsi="Times New Roman"/>
          <w:szCs w:val="24"/>
        </w:rPr>
        <w:t xml:space="preserve"> reflects a more accurate depiction of the costs the Company will incur in its first year under a new ARP when the new rates are effective. </w:t>
      </w:r>
      <w:r w:rsidR="008A57BE">
        <w:rPr>
          <w:rFonts w:ascii="Times New Roman" w:hAnsi="Times New Roman"/>
          <w:szCs w:val="24"/>
        </w:rPr>
        <w:t>(</w:t>
      </w:r>
      <w:r w:rsidR="001C1457">
        <w:rPr>
          <w:rFonts w:ascii="Times New Roman" w:hAnsi="Times New Roman"/>
          <w:szCs w:val="24"/>
        </w:rPr>
        <w:t>Tr. 2632</w:t>
      </w:r>
      <w:r w:rsidR="008A57BE">
        <w:rPr>
          <w:rFonts w:ascii="Times New Roman" w:hAnsi="Times New Roman"/>
          <w:szCs w:val="24"/>
        </w:rPr>
        <w:t xml:space="preserve">.) </w:t>
      </w:r>
      <w:r w:rsidRPr="006F420B">
        <w:rPr>
          <w:rFonts w:ascii="Times New Roman" w:hAnsi="Times New Roman"/>
          <w:szCs w:val="24"/>
        </w:rPr>
        <w:t xml:space="preserve">Determining the revenue deficiency in this manner reduces regulatory lag. </w:t>
      </w:r>
      <w:r w:rsidR="001C1457">
        <w:rPr>
          <w:rFonts w:ascii="Times New Roman" w:hAnsi="Times New Roman"/>
          <w:szCs w:val="24"/>
        </w:rPr>
        <w:t>(</w:t>
      </w:r>
      <w:r w:rsidR="001C1457" w:rsidRPr="001C1457">
        <w:rPr>
          <w:rFonts w:ascii="Times New Roman" w:hAnsi="Times New Roman"/>
          <w:i/>
          <w:szCs w:val="24"/>
        </w:rPr>
        <w:t>Id</w:t>
      </w:r>
      <w:r w:rsidR="001C1457">
        <w:rPr>
          <w:rFonts w:ascii="Times New Roman" w:hAnsi="Times New Roman"/>
          <w:szCs w:val="24"/>
        </w:rPr>
        <w:t>.)</w:t>
      </w:r>
    </w:p>
    <w:p w14:paraId="7D64F556" w14:textId="6851731E" w:rsidR="006F420B" w:rsidRDefault="0037437E" w:rsidP="004B6D89">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t>In addition, b</w:t>
      </w:r>
      <w:r w:rsidR="006F420B" w:rsidRPr="006F420B">
        <w:rPr>
          <w:rFonts w:ascii="Times New Roman" w:hAnsi="Times New Roman"/>
          <w:szCs w:val="24"/>
        </w:rPr>
        <w:t>ased on the Company</w:t>
      </w:r>
      <w:r w:rsidR="006F6CB0">
        <w:rPr>
          <w:rFonts w:ascii="Times New Roman" w:hAnsi="Times New Roman"/>
          <w:szCs w:val="24"/>
        </w:rPr>
        <w:t>’</w:t>
      </w:r>
      <w:r w:rsidR="006F420B" w:rsidRPr="006F420B">
        <w:rPr>
          <w:rFonts w:ascii="Times New Roman" w:hAnsi="Times New Roman"/>
          <w:szCs w:val="24"/>
        </w:rPr>
        <w:t>s Errata filing, the projected revenue deficiency based on the traditional test period is $197.8 million</w:t>
      </w:r>
      <w:r w:rsidR="00686D22">
        <w:rPr>
          <w:rFonts w:ascii="Times New Roman" w:hAnsi="Times New Roman"/>
          <w:szCs w:val="24"/>
        </w:rPr>
        <w:t>,</w:t>
      </w:r>
      <w:r w:rsidR="006F420B" w:rsidRPr="006F420B">
        <w:rPr>
          <w:rFonts w:ascii="Times New Roman" w:hAnsi="Times New Roman"/>
          <w:szCs w:val="24"/>
        </w:rPr>
        <w:t xml:space="preserve"> </w:t>
      </w:r>
      <w:r>
        <w:rPr>
          <w:rFonts w:ascii="Times New Roman" w:hAnsi="Times New Roman"/>
          <w:szCs w:val="24"/>
        </w:rPr>
        <w:t xml:space="preserve">whereas </w:t>
      </w:r>
      <w:r w:rsidRPr="006F420B">
        <w:rPr>
          <w:rFonts w:ascii="Times New Roman" w:hAnsi="Times New Roman"/>
          <w:szCs w:val="24"/>
        </w:rPr>
        <w:t>the</w:t>
      </w:r>
      <w:r w:rsidR="00686D22">
        <w:rPr>
          <w:rFonts w:ascii="Times New Roman" w:hAnsi="Times New Roman"/>
          <w:szCs w:val="24"/>
        </w:rPr>
        <w:t xml:space="preserve"> projected revenue deficiency for </w:t>
      </w:r>
      <w:r w:rsidRPr="006F420B">
        <w:rPr>
          <w:rFonts w:ascii="Times New Roman" w:hAnsi="Times New Roman"/>
          <w:szCs w:val="24"/>
        </w:rPr>
        <w:t>2020 calendar year</w:t>
      </w:r>
      <w:r w:rsidR="00686D22">
        <w:rPr>
          <w:rFonts w:ascii="Times New Roman" w:hAnsi="Times New Roman"/>
          <w:szCs w:val="24"/>
        </w:rPr>
        <w:t xml:space="preserve"> is</w:t>
      </w:r>
      <w:r w:rsidR="006F420B" w:rsidRPr="006F420B">
        <w:rPr>
          <w:rFonts w:ascii="Times New Roman" w:hAnsi="Times New Roman"/>
          <w:szCs w:val="24"/>
        </w:rPr>
        <w:t xml:space="preserve"> $356.0 million</w:t>
      </w:r>
      <w:r w:rsidR="00686D22">
        <w:rPr>
          <w:rFonts w:ascii="Times New Roman" w:hAnsi="Times New Roman"/>
          <w:szCs w:val="24"/>
        </w:rPr>
        <w:t xml:space="preserve">. </w:t>
      </w:r>
      <w:r w:rsidR="001C1457">
        <w:rPr>
          <w:rFonts w:ascii="Times New Roman" w:hAnsi="Times New Roman"/>
          <w:szCs w:val="24"/>
        </w:rPr>
        <w:t>(</w:t>
      </w:r>
      <w:r w:rsidR="001C1457" w:rsidRPr="001C1457">
        <w:rPr>
          <w:rFonts w:ascii="Times New Roman" w:hAnsi="Times New Roman"/>
          <w:i/>
          <w:szCs w:val="24"/>
        </w:rPr>
        <w:t>Id</w:t>
      </w:r>
      <w:r w:rsidR="001C1457">
        <w:rPr>
          <w:rFonts w:ascii="Times New Roman" w:hAnsi="Times New Roman"/>
          <w:szCs w:val="24"/>
        </w:rPr>
        <w:t>.)</w:t>
      </w:r>
      <w:r w:rsidR="008A57BE">
        <w:rPr>
          <w:rFonts w:ascii="Times New Roman" w:hAnsi="Times New Roman"/>
          <w:szCs w:val="24"/>
        </w:rPr>
        <w:t xml:space="preserve"> </w:t>
      </w:r>
      <w:r w:rsidR="006F420B" w:rsidRPr="006F420B">
        <w:rPr>
          <w:rFonts w:ascii="Times New Roman" w:hAnsi="Times New Roman"/>
          <w:szCs w:val="24"/>
        </w:rPr>
        <w:t>Th</w:t>
      </w:r>
      <w:r w:rsidR="00686D22">
        <w:rPr>
          <w:rFonts w:ascii="Times New Roman" w:hAnsi="Times New Roman"/>
          <w:szCs w:val="24"/>
        </w:rPr>
        <w:t>e revenue deficiency</w:t>
      </w:r>
      <w:r w:rsidR="006F420B" w:rsidRPr="006F420B">
        <w:rPr>
          <w:rFonts w:ascii="Times New Roman" w:hAnsi="Times New Roman"/>
          <w:szCs w:val="24"/>
        </w:rPr>
        <w:t xml:space="preserve"> difference</w:t>
      </w:r>
      <w:r w:rsidR="00686D22">
        <w:rPr>
          <w:rFonts w:ascii="Times New Roman" w:hAnsi="Times New Roman"/>
          <w:szCs w:val="24"/>
        </w:rPr>
        <w:t xml:space="preserve"> between these two timeframes</w:t>
      </w:r>
      <w:r w:rsidR="006F420B" w:rsidRPr="006F420B">
        <w:rPr>
          <w:rFonts w:ascii="Times New Roman" w:hAnsi="Times New Roman"/>
          <w:szCs w:val="24"/>
        </w:rPr>
        <w:t xml:space="preserve"> illustrates that basing the year one rate increase on the split test period</w:t>
      </w:r>
      <w:r w:rsidR="006F6CB0">
        <w:rPr>
          <w:rFonts w:ascii="Times New Roman" w:hAnsi="Times New Roman"/>
          <w:szCs w:val="24"/>
        </w:rPr>
        <w:t>’</w:t>
      </w:r>
      <w:r w:rsidR="006F420B" w:rsidRPr="006F420B">
        <w:rPr>
          <w:rFonts w:ascii="Times New Roman" w:hAnsi="Times New Roman"/>
          <w:szCs w:val="24"/>
        </w:rPr>
        <w:t xml:space="preserve">s revenue deficiency amount creates a revenue shortfall of $158.2 million in the very first year of the three-year period. </w:t>
      </w:r>
      <w:r w:rsidR="001C1457">
        <w:rPr>
          <w:rFonts w:ascii="Times New Roman" w:hAnsi="Times New Roman"/>
          <w:szCs w:val="24"/>
        </w:rPr>
        <w:t>(</w:t>
      </w:r>
      <w:r w:rsidR="001C1457" w:rsidRPr="001C1457">
        <w:rPr>
          <w:rFonts w:ascii="Times New Roman" w:hAnsi="Times New Roman"/>
          <w:i/>
          <w:szCs w:val="24"/>
        </w:rPr>
        <w:t>Id</w:t>
      </w:r>
      <w:r w:rsidR="001C1457">
        <w:rPr>
          <w:rFonts w:ascii="Times New Roman" w:hAnsi="Times New Roman"/>
          <w:szCs w:val="24"/>
        </w:rPr>
        <w:t>.)</w:t>
      </w:r>
      <w:r w:rsidR="008A57BE">
        <w:rPr>
          <w:rFonts w:ascii="Times New Roman" w:hAnsi="Times New Roman"/>
          <w:szCs w:val="24"/>
        </w:rPr>
        <w:t xml:space="preserve"> </w:t>
      </w:r>
      <w:r w:rsidR="008E784A">
        <w:rPr>
          <w:rFonts w:ascii="Times New Roman" w:hAnsi="Times New Roman"/>
          <w:szCs w:val="24"/>
        </w:rPr>
        <w:t>S</w:t>
      </w:r>
      <w:r w:rsidR="006F420B" w:rsidRPr="006F420B">
        <w:rPr>
          <w:rFonts w:ascii="Times New Roman" w:hAnsi="Times New Roman"/>
          <w:szCs w:val="24"/>
        </w:rPr>
        <w:t>etting rates based on the test period would not permit the Company to timely recover its prudently incurred costs in serving customers.</w:t>
      </w:r>
      <w:r w:rsidR="00686D22">
        <w:rPr>
          <w:rFonts w:ascii="Times New Roman" w:hAnsi="Times New Roman"/>
          <w:szCs w:val="24"/>
        </w:rPr>
        <w:t xml:space="preserve"> </w:t>
      </w:r>
      <w:r w:rsidR="008E784A">
        <w:rPr>
          <w:rFonts w:ascii="Times New Roman" w:hAnsi="Times New Roman"/>
          <w:szCs w:val="24"/>
        </w:rPr>
        <w:t>Therefore, the Commission should reject PIA Staff recommendations to use the test period revenue requirement to set first year rates in 2020.</w:t>
      </w:r>
    </w:p>
    <w:p w14:paraId="04C58177" w14:textId="686CC8A6" w:rsidR="00BD3798" w:rsidRDefault="006F420B" w:rsidP="00F4602A">
      <w:pPr>
        <w:keepNext/>
        <w:widowControl/>
        <w:tabs>
          <w:tab w:val="left" w:pos="720"/>
        </w:tabs>
        <w:overflowPunct/>
        <w:autoSpaceDE/>
        <w:autoSpaceDN/>
        <w:adjustRightInd/>
        <w:spacing w:before="240" w:after="240"/>
        <w:ind w:left="1440" w:hanging="720"/>
        <w:jc w:val="both"/>
        <w:textAlignment w:val="auto"/>
        <w:rPr>
          <w:rFonts w:ascii="Times New Roman" w:hAnsi="Times New Roman"/>
          <w:i/>
          <w:iCs/>
          <w:szCs w:val="24"/>
        </w:rPr>
      </w:pPr>
      <w:bookmarkStart w:id="24" w:name="_Hlk26111679"/>
      <w:r>
        <w:rPr>
          <w:rFonts w:ascii="Times New Roman" w:hAnsi="Times New Roman"/>
          <w:szCs w:val="24"/>
        </w:rPr>
        <w:t>2.</w:t>
      </w:r>
      <w:r>
        <w:rPr>
          <w:rFonts w:ascii="Times New Roman" w:hAnsi="Times New Roman"/>
          <w:szCs w:val="24"/>
        </w:rPr>
        <w:tab/>
      </w:r>
      <w:r w:rsidR="00BD3798" w:rsidRPr="004B6D89">
        <w:rPr>
          <w:rFonts w:ascii="Times New Roman" w:hAnsi="Times New Roman"/>
          <w:iCs/>
          <w:szCs w:val="24"/>
          <w:u w:val="single"/>
        </w:rPr>
        <w:t>The Commission should reject PIA Staff and GIG/GAM recommendations to use any revenue sufficiency to accelerate recognition of deferred costs or to amortize a portion of CCR ARO compliance costs</w:t>
      </w:r>
      <w:r w:rsidR="00BD3798">
        <w:rPr>
          <w:rFonts w:ascii="Times New Roman" w:hAnsi="Times New Roman"/>
          <w:iCs/>
          <w:szCs w:val="24"/>
        </w:rPr>
        <w:t>.</w:t>
      </w:r>
      <w:r w:rsidR="00BD3798">
        <w:rPr>
          <w:rFonts w:ascii="Times New Roman" w:hAnsi="Times New Roman"/>
          <w:i/>
          <w:iCs/>
          <w:szCs w:val="24"/>
        </w:rPr>
        <w:t xml:space="preserve"> </w:t>
      </w:r>
    </w:p>
    <w:bookmarkEnd w:id="24"/>
    <w:p w14:paraId="280468DB" w14:textId="1A6AC1B4" w:rsidR="00BD3798" w:rsidRDefault="00BD3798" w:rsidP="00F4602A">
      <w:pPr>
        <w:keepNext/>
        <w:widowControl/>
        <w:tabs>
          <w:tab w:val="left" w:pos="720"/>
        </w:tabs>
        <w:overflowPunct/>
        <w:autoSpaceDE/>
        <w:autoSpaceDN/>
        <w:adjustRightInd/>
        <w:spacing w:before="240" w:line="480" w:lineRule="auto"/>
        <w:jc w:val="both"/>
        <w:textAlignment w:val="auto"/>
        <w:rPr>
          <w:rFonts w:ascii="Times New Roman" w:hAnsi="Times New Roman"/>
          <w:iCs/>
          <w:szCs w:val="24"/>
        </w:rPr>
      </w:pPr>
      <w:r>
        <w:rPr>
          <w:rFonts w:ascii="Times New Roman" w:hAnsi="Times New Roman"/>
          <w:iCs/>
          <w:szCs w:val="24"/>
        </w:rPr>
        <w:tab/>
        <w:t>Georgia Power</w:t>
      </w:r>
      <w:r w:rsidR="006F6CB0">
        <w:rPr>
          <w:rFonts w:ascii="Times New Roman" w:hAnsi="Times New Roman"/>
          <w:iCs/>
          <w:szCs w:val="24"/>
        </w:rPr>
        <w:t>’</w:t>
      </w:r>
      <w:r w:rsidR="00D17987">
        <w:rPr>
          <w:rFonts w:ascii="Times New Roman" w:hAnsi="Times New Roman"/>
          <w:iCs/>
          <w:szCs w:val="24"/>
        </w:rPr>
        <w:t>s proposed case</w:t>
      </w:r>
      <w:r w:rsidRPr="006F420B">
        <w:rPr>
          <w:rFonts w:ascii="Times New Roman" w:hAnsi="Times New Roman"/>
          <w:iCs/>
          <w:szCs w:val="24"/>
        </w:rPr>
        <w:t xml:space="preserve"> does not have a projected revenue sufficiency in 2020 </w:t>
      </w:r>
      <w:r w:rsidR="00686D22">
        <w:rPr>
          <w:rFonts w:ascii="Times New Roman" w:hAnsi="Times New Roman"/>
          <w:iCs/>
          <w:szCs w:val="24"/>
        </w:rPr>
        <w:t>to</w:t>
      </w:r>
      <w:r w:rsidRPr="006F420B">
        <w:rPr>
          <w:rFonts w:ascii="Times New Roman" w:hAnsi="Times New Roman"/>
          <w:iCs/>
          <w:szCs w:val="24"/>
        </w:rPr>
        <w:t xml:space="preserve"> apply to deferred costs</w:t>
      </w:r>
      <w:r w:rsidR="00686D22">
        <w:rPr>
          <w:rFonts w:ascii="Times New Roman" w:hAnsi="Times New Roman"/>
          <w:iCs/>
          <w:szCs w:val="24"/>
        </w:rPr>
        <w:t xml:space="preserve"> or CCR ARO compliance costs as proposed by PIA Staff and GIG/GAM, respectively</w:t>
      </w:r>
      <w:r w:rsidRPr="006F420B">
        <w:rPr>
          <w:rFonts w:ascii="Times New Roman" w:hAnsi="Times New Roman"/>
          <w:iCs/>
          <w:szCs w:val="24"/>
        </w:rPr>
        <w:t xml:space="preserve">. </w:t>
      </w:r>
      <w:r w:rsidR="008A57BE">
        <w:rPr>
          <w:rFonts w:ascii="Times New Roman" w:hAnsi="Times New Roman"/>
          <w:szCs w:val="24"/>
        </w:rPr>
        <w:t>(</w:t>
      </w:r>
      <w:r w:rsidR="002D2D94">
        <w:rPr>
          <w:rFonts w:ascii="Times New Roman" w:hAnsi="Times New Roman"/>
          <w:szCs w:val="24"/>
        </w:rPr>
        <w:t>Tr. 2633</w:t>
      </w:r>
      <w:r w:rsidR="008A57BE">
        <w:rPr>
          <w:rFonts w:ascii="Times New Roman" w:hAnsi="Times New Roman"/>
          <w:szCs w:val="24"/>
        </w:rPr>
        <w:t xml:space="preserve">.) </w:t>
      </w:r>
      <w:r w:rsidR="004A5BC1">
        <w:rPr>
          <w:rFonts w:ascii="Times New Roman" w:hAnsi="Times New Roman"/>
          <w:iCs/>
          <w:szCs w:val="24"/>
        </w:rPr>
        <w:t>As such, the Commission should reject PIA Staff and GIG/GAM</w:t>
      </w:r>
      <w:r w:rsidR="006F6CB0">
        <w:rPr>
          <w:rFonts w:ascii="Times New Roman" w:hAnsi="Times New Roman"/>
          <w:iCs/>
          <w:szCs w:val="24"/>
        </w:rPr>
        <w:t>’</w:t>
      </w:r>
      <w:r w:rsidR="004A5BC1">
        <w:rPr>
          <w:rFonts w:ascii="Times New Roman" w:hAnsi="Times New Roman"/>
          <w:iCs/>
          <w:szCs w:val="24"/>
        </w:rPr>
        <w:t xml:space="preserve">s recommendations to </w:t>
      </w:r>
      <w:r w:rsidR="002E5483">
        <w:rPr>
          <w:rFonts w:ascii="Times New Roman" w:hAnsi="Times New Roman"/>
          <w:iCs/>
          <w:szCs w:val="24"/>
        </w:rPr>
        <w:t>apply</w:t>
      </w:r>
      <w:r w:rsidR="004A5BC1">
        <w:rPr>
          <w:rFonts w:ascii="Times New Roman" w:hAnsi="Times New Roman"/>
          <w:iCs/>
          <w:szCs w:val="24"/>
        </w:rPr>
        <w:t xml:space="preserve"> any revenue sufficiency </w:t>
      </w:r>
      <w:r w:rsidR="002E5483">
        <w:rPr>
          <w:rFonts w:ascii="Times New Roman" w:hAnsi="Times New Roman"/>
          <w:iCs/>
          <w:szCs w:val="24"/>
        </w:rPr>
        <w:t>to accelerate recognition of deferred costs or to amortize a portion of CCR ARO compliance costs. Nevertheless</w:t>
      </w:r>
      <w:r w:rsidRPr="006F420B">
        <w:rPr>
          <w:rFonts w:ascii="Times New Roman" w:hAnsi="Times New Roman"/>
          <w:iCs/>
          <w:szCs w:val="24"/>
        </w:rPr>
        <w:t xml:space="preserve">, </w:t>
      </w:r>
      <w:r>
        <w:rPr>
          <w:rFonts w:ascii="Times New Roman" w:hAnsi="Times New Roman"/>
          <w:iCs/>
          <w:szCs w:val="24"/>
        </w:rPr>
        <w:t>as stated in the Company</w:t>
      </w:r>
      <w:r w:rsidR="006F6CB0">
        <w:rPr>
          <w:rFonts w:ascii="Times New Roman" w:hAnsi="Times New Roman"/>
          <w:iCs/>
          <w:szCs w:val="24"/>
        </w:rPr>
        <w:t>’</w:t>
      </w:r>
      <w:r>
        <w:rPr>
          <w:rFonts w:ascii="Times New Roman" w:hAnsi="Times New Roman"/>
          <w:iCs/>
          <w:szCs w:val="24"/>
        </w:rPr>
        <w:t xml:space="preserve">s </w:t>
      </w:r>
      <w:r>
        <w:rPr>
          <w:rFonts w:ascii="Times New Roman" w:hAnsi="Times New Roman"/>
          <w:iCs/>
          <w:szCs w:val="24"/>
        </w:rPr>
        <w:lastRenderedPageBreak/>
        <w:t xml:space="preserve">rebuttal testimony, </w:t>
      </w:r>
      <w:r w:rsidRPr="006F420B">
        <w:rPr>
          <w:rFonts w:ascii="Times New Roman" w:hAnsi="Times New Roman"/>
          <w:iCs/>
          <w:szCs w:val="24"/>
        </w:rPr>
        <w:t>the Company generally agrees with PIA Staff</w:t>
      </w:r>
      <w:r w:rsidR="006F6CB0">
        <w:rPr>
          <w:rFonts w:ascii="Times New Roman" w:hAnsi="Times New Roman"/>
          <w:iCs/>
          <w:szCs w:val="24"/>
        </w:rPr>
        <w:t>’</w:t>
      </w:r>
      <w:r w:rsidRPr="006F420B">
        <w:rPr>
          <w:rFonts w:ascii="Times New Roman" w:hAnsi="Times New Roman"/>
          <w:iCs/>
          <w:szCs w:val="24"/>
        </w:rPr>
        <w:t xml:space="preserve">s concept of applying revenue sufficiency, </w:t>
      </w:r>
      <w:r w:rsidR="002E5483">
        <w:rPr>
          <w:rFonts w:ascii="Times New Roman" w:hAnsi="Times New Roman"/>
          <w:iCs/>
          <w:szCs w:val="24"/>
        </w:rPr>
        <w:t>if</w:t>
      </w:r>
      <w:r w:rsidRPr="006F420B">
        <w:rPr>
          <w:rFonts w:ascii="Times New Roman" w:hAnsi="Times New Roman"/>
          <w:iCs/>
          <w:szCs w:val="24"/>
        </w:rPr>
        <w:t xml:space="preserve"> any, to certain regulatory assets for maintaining rate stability for the customers.</w:t>
      </w:r>
      <w:r w:rsidR="008A57BE">
        <w:rPr>
          <w:rFonts w:ascii="Times New Roman" w:hAnsi="Times New Roman"/>
          <w:iCs/>
          <w:szCs w:val="24"/>
        </w:rPr>
        <w:t xml:space="preserve"> </w:t>
      </w:r>
      <w:r w:rsidR="002D2D94">
        <w:rPr>
          <w:rFonts w:ascii="Times New Roman" w:hAnsi="Times New Roman"/>
          <w:szCs w:val="24"/>
        </w:rPr>
        <w:t>(</w:t>
      </w:r>
      <w:r w:rsidR="002D2D94" w:rsidRPr="001C1457">
        <w:rPr>
          <w:rFonts w:ascii="Times New Roman" w:hAnsi="Times New Roman"/>
          <w:i/>
          <w:szCs w:val="24"/>
        </w:rPr>
        <w:t>Id</w:t>
      </w:r>
      <w:r w:rsidR="002D2D94">
        <w:rPr>
          <w:rFonts w:ascii="Times New Roman" w:hAnsi="Times New Roman"/>
          <w:szCs w:val="24"/>
        </w:rPr>
        <w:t>.)</w:t>
      </w:r>
    </w:p>
    <w:p w14:paraId="1DC1DCC2" w14:textId="38A28BFE" w:rsidR="006F420B" w:rsidRDefault="00BD3798" w:rsidP="00FA3631">
      <w:pPr>
        <w:widowControl/>
        <w:tabs>
          <w:tab w:val="left" w:pos="0"/>
        </w:tabs>
        <w:overflowPunct/>
        <w:autoSpaceDE/>
        <w:autoSpaceDN/>
        <w:adjustRightInd/>
        <w:spacing w:before="240"/>
        <w:ind w:left="1440" w:hanging="720"/>
        <w:jc w:val="both"/>
        <w:textAlignment w:val="auto"/>
        <w:rPr>
          <w:rFonts w:ascii="Times New Roman" w:hAnsi="Times New Roman"/>
          <w:szCs w:val="24"/>
        </w:rPr>
      </w:pPr>
      <w:bookmarkStart w:id="25" w:name="_Hlk26111684"/>
      <w:r>
        <w:rPr>
          <w:rFonts w:ascii="Times New Roman" w:hAnsi="Times New Roman"/>
          <w:szCs w:val="24"/>
        </w:rPr>
        <w:t>3.</w:t>
      </w:r>
      <w:r>
        <w:rPr>
          <w:rFonts w:ascii="Times New Roman" w:hAnsi="Times New Roman"/>
          <w:szCs w:val="24"/>
        </w:rPr>
        <w:tab/>
      </w:r>
      <w:r w:rsidR="006F420B" w:rsidRPr="004B6D89">
        <w:rPr>
          <w:rFonts w:ascii="Times New Roman" w:hAnsi="Times New Roman"/>
          <w:szCs w:val="24"/>
          <w:u w:val="single"/>
        </w:rPr>
        <w:t xml:space="preserve">In </w:t>
      </w:r>
      <w:r w:rsidR="007E6F4C" w:rsidRPr="004B6D89">
        <w:rPr>
          <w:rFonts w:ascii="Times New Roman" w:hAnsi="Times New Roman"/>
          <w:szCs w:val="24"/>
          <w:u w:val="single"/>
        </w:rPr>
        <w:t>the interest of greater rate stability, the Commission should adopt the Company</w:t>
      </w:r>
      <w:r w:rsidR="006F6CB0">
        <w:rPr>
          <w:rFonts w:ascii="Times New Roman" w:hAnsi="Times New Roman"/>
          <w:szCs w:val="24"/>
          <w:u w:val="single"/>
        </w:rPr>
        <w:t>’</w:t>
      </w:r>
      <w:r w:rsidR="007E6F4C" w:rsidRPr="004B6D89">
        <w:rPr>
          <w:rFonts w:ascii="Times New Roman" w:hAnsi="Times New Roman"/>
          <w:szCs w:val="24"/>
          <w:u w:val="single"/>
        </w:rPr>
        <w:t xml:space="preserve">s proposed levelized </w:t>
      </w:r>
      <w:r w:rsidR="0032156E">
        <w:rPr>
          <w:rFonts w:ascii="Times New Roman" w:hAnsi="Times New Roman"/>
          <w:szCs w:val="24"/>
          <w:u w:val="single"/>
        </w:rPr>
        <w:t xml:space="preserve">rate </w:t>
      </w:r>
      <w:r w:rsidR="007E6F4C" w:rsidRPr="004B6D89">
        <w:rPr>
          <w:rFonts w:ascii="Times New Roman" w:hAnsi="Times New Roman"/>
          <w:szCs w:val="24"/>
          <w:u w:val="single"/>
        </w:rPr>
        <w:t>increase rather than the step increase proposed by PIA Staff</w:t>
      </w:r>
      <w:r w:rsidR="006F420B">
        <w:rPr>
          <w:rFonts w:ascii="Times New Roman" w:hAnsi="Times New Roman"/>
          <w:szCs w:val="24"/>
        </w:rPr>
        <w:t>.</w:t>
      </w:r>
      <w:bookmarkEnd w:id="25"/>
      <w:r w:rsidR="006F420B">
        <w:rPr>
          <w:rFonts w:ascii="Times New Roman" w:hAnsi="Times New Roman"/>
          <w:szCs w:val="24"/>
        </w:rPr>
        <w:tab/>
      </w:r>
    </w:p>
    <w:p w14:paraId="286008A6" w14:textId="4990710B" w:rsidR="006F420B" w:rsidRPr="006F420B" w:rsidRDefault="007E521E" w:rsidP="00FA3631">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3C3012">
        <w:rPr>
          <w:rFonts w:ascii="Times New Roman" w:hAnsi="Times New Roman"/>
          <w:szCs w:val="24"/>
        </w:rPr>
        <w:t>As part of its recommended ARP, the Company proposed a</w:t>
      </w:r>
      <w:r w:rsidR="006F420B" w:rsidRPr="006F420B">
        <w:rPr>
          <w:rFonts w:ascii="Times New Roman" w:hAnsi="Times New Roman"/>
          <w:szCs w:val="24"/>
        </w:rPr>
        <w:t xml:space="preserve"> levelized approach </w:t>
      </w:r>
      <w:r w:rsidR="003C3012">
        <w:rPr>
          <w:rFonts w:ascii="Times New Roman" w:hAnsi="Times New Roman"/>
          <w:szCs w:val="24"/>
        </w:rPr>
        <w:t>to balance</w:t>
      </w:r>
      <w:r w:rsidR="006F420B" w:rsidRPr="006F420B">
        <w:rPr>
          <w:rFonts w:ascii="Times New Roman" w:hAnsi="Times New Roman"/>
          <w:szCs w:val="24"/>
        </w:rPr>
        <w:t xml:space="preserve"> </w:t>
      </w:r>
      <w:r w:rsidR="003C3012">
        <w:rPr>
          <w:rFonts w:ascii="Times New Roman" w:hAnsi="Times New Roman"/>
          <w:szCs w:val="24"/>
        </w:rPr>
        <w:t xml:space="preserve">the benefit to </w:t>
      </w:r>
      <w:r w:rsidR="006F420B" w:rsidRPr="006F420B">
        <w:rPr>
          <w:rFonts w:ascii="Times New Roman" w:hAnsi="Times New Roman"/>
          <w:szCs w:val="24"/>
        </w:rPr>
        <w:t xml:space="preserve">customers from three years of stable and predictable rates </w:t>
      </w:r>
      <w:r w:rsidR="003C3012">
        <w:rPr>
          <w:rFonts w:ascii="Times New Roman" w:hAnsi="Times New Roman"/>
          <w:szCs w:val="24"/>
        </w:rPr>
        <w:t>with</w:t>
      </w:r>
      <w:r w:rsidR="006F420B" w:rsidRPr="006F420B">
        <w:rPr>
          <w:rFonts w:ascii="Times New Roman" w:hAnsi="Times New Roman"/>
          <w:szCs w:val="24"/>
        </w:rPr>
        <w:t xml:space="preserve"> the Company</w:t>
      </w:r>
      <w:r w:rsidR="006F6CB0">
        <w:rPr>
          <w:rFonts w:ascii="Times New Roman" w:hAnsi="Times New Roman"/>
          <w:szCs w:val="24"/>
        </w:rPr>
        <w:t>’</w:t>
      </w:r>
      <w:r w:rsidR="003C3012">
        <w:rPr>
          <w:rFonts w:ascii="Times New Roman" w:hAnsi="Times New Roman"/>
          <w:szCs w:val="24"/>
        </w:rPr>
        <w:t xml:space="preserve">s need to </w:t>
      </w:r>
      <w:r w:rsidR="006F420B" w:rsidRPr="006F420B">
        <w:rPr>
          <w:rFonts w:ascii="Times New Roman" w:hAnsi="Times New Roman"/>
          <w:szCs w:val="24"/>
        </w:rPr>
        <w:t xml:space="preserve">recover its projected revenue deficiency. </w:t>
      </w:r>
      <w:r w:rsidR="002D2D94">
        <w:rPr>
          <w:rFonts w:ascii="Times New Roman" w:hAnsi="Times New Roman"/>
          <w:szCs w:val="24"/>
        </w:rPr>
        <w:t>(</w:t>
      </w:r>
      <w:r w:rsidR="002D2D94" w:rsidRPr="001C1457">
        <w:rPr>
          <w:rFonts w:ascii="Times New Roman" w:hAnsi="Times New Roman"/>
          <w:i/>
          <w:szCs w:val="24"/>
        </w:rPr>
        <w:t>Id</w:t>
      </w:r>
      <w:r w:rsidR="002D2D94">
        <w:rPr>
          <w:rFonts w:ascii="Times New Roman" w:hAnsi="Times New Roman"/>
          <w:szCs w:val="24"/>
        </w:rPr>
        <w:t xml:space="preserve">.) </w:t>
      </w:r>
      <w:r w:rsidR="003C3012">
        <w:rPr>
          <w:rFonts w:ascii="Times New Roman" w:hAnsi="Times New Roman"/>
          <w:szCs w:val="24"/>
        </w:rPr>
        <w:t>Such</w:t>
      </w:r>
      <w:r w:rsidR="006F420B" w:rsidRPr="006F420B">
        <w:rPr>
          <w:rFonts w:ascii="Times New Roman" w:hAnsi="Times New Roman"/>
          <w:szCs w:val="24"/>
        </w:rPr>
        <w:t xml:space="preserve"> </w:t>
      </w:r>
      <w:r w:rsidR="003C3012">
        <w:rPr>
          <w:rFonts w:ascii="Times New Roman" w:hAnsi="Times New Roman"/>
          <w:szCs w:val="24"/>
        </w:rPr>
        <w:t>levelization</w:t>
      </w:r>
      <w:r w:rsidR="006F420B" w:rsidRPr="006F420B">
        <w:rPr>
          <w:rFonts w:ascii="Times New Roman" w:hAnsi="Times New Roman"/>
          <w:szCs w:val="24"/>
        </w:rPr>
        <w:t xml:space="preserve"> provides customers a beneficial tool when budgeting for utility costs and provides </w:t>
      </w:r>
      <w:r w:rsidR="003C3012" w:rsidRPr="006F420B">
        <w:rPr>
          <w:rFonts w:ascii="Times New Roman" w:hAnsi="Times New Roman"/>
          <w:szCs w:val="24"/>
        </w:rPr>
        <w:t xml:space="preserve">the Company </w:t>
      </w:r>
      <w:r w:rsidR="006F420B" w:rsidRPr="006F420B">
        <w:rPr>
          <w:rFonts w:ascii="Times New Roman" w:hAnsi="Times New Roman"/>
          <w:szCs w:val="24"/>
        </w:rPr>
        <w:t xml:space="preserve">a predictable revenue stream. </w:t>
      </w:r>
      <w:r w:rsidR="003C3012">
        <w:rPr>
          <w:rFonts w:ascii="Times New Roman" w:hAnsi="Times New Roman"/>
          <w:szCs w:val="24"/>
        </w:rPr>
        <w:t>A levelized approach to rate increases</w:t>
      </w:r>
      <w:r w:rsidR="006F420B" w:rsidRPr="006F420B">
        <w:rPr>
          <w:rFonts w:ascii="Times New Roman" w:hAnsi="Times New Roman"/>
          <w:szCs w:val="24"/>
        </w:rPr>
        <w:t xml:space="preserve"> shifts economic risks to the Company by insulating customers from the impacts of a possible downturn in the sales forecast or cost increases. </w:t>
      </w:r>
      <w:r w:rsidR="002D2D94">
        <w:rPr>
          <w:rFonts w:ascii="Times New Roman" w:hAnsi="Times New Roman"/>
          <w:szCs w:val="24"/>
        </w:rPr>
        <w:t>(</w:t>
      </w:r>
      <w:r w:rsidR="002D2D94" w:rsidRPr="001C1457">
        <w:rPr>
          <w:rFonts w:ascii="Times New Roman" w:hAnsi="Times New Roman"/>
          <w:i/>
          <w:szCs w:val="24"/>
        </w:rPr>
        <w:t>Id</w:t>
      </w:r>
      <w:r w:rsidR="002D2D94">
        <w:rPr>
          <w:rFonts w:ascii="Times New Roman" w:hAnsi="Times New Roman"/>
          <w:szCs w:val="24"/>
        </w:rPr>
        <w:t xml:space="preserve">.) </w:t>
      </w:r>
      <w:r w:rsidR="00A12C9F">
        <w:rPr>
          <w:rFonts w:ascii="Times New Roman" w:hAnsi="Times New Roman"/>
          <w:szCs w:val="24"/>
        </w:rPr>
        <w:t>This approach makes practical sense as t</w:t>
      </w:r>
      <w:r w:rsidR="006F420B" w:rsidRPr="006F420B">
        <w:rPr>
          <w:rFonts w:ascii="Times New Roman" w:hAnsi="Times New Roman"/>
          <w:szCs w:val="24"/>
        </w:rPr>
        <w:t xml:space="preserve">he Company is better equipped to manage negative economic factors that impact the cost of running the business, as opposed to </w:t>
      </w:r>
      <w:r w:rsidR="00A12C9F">
        <w:rPr>
          <w:rFonts w:ascii="Times New Roman" w:hAnsi="Times New Roman"/>
          <w:szCs w:val="24"/>
        </w:rPr>
        <w:t>asking</w:t>
      </w:r>
      <w:r w:rsidR="006F420B" w:rsidRPr="006F420B">
        <w:rPr>
          <w:rFonts w:ascii="Times New Roman" w:hAnsi="Times New Roman"/>
          <w:szCs w:val="24"/>
        </w:rPr>
        <w:t xml:space="preserve"> customers to shoulder the impacts, which would occur with increased rates under step increases. </w:t>
      </w:r>
    </w:p>
    <w:p w14:paraId="203E934F" w14:textId="58082A5C" w:rsidR="006F420B" w:rsidRPr="006F420B" w:rsidRDefault="007E521E" w:rsidP="004B6D89">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3C3012">
        <w:rPr>
          <w:rFonts w:ascii="Times New Roman" w:hAnsi="Times New Roman"/>
          <w:szCs w:val="24"/>
        </w:rPr>
        <w:t>In contrast, t</w:t>
      </w:r>
      <w:r w:rsidR="006F420B" w:rsidRPr="006F420B">
        <w:rPr>
          <w:rFonts w:ascii="Times New Roman" w:hAnsi="Times New Roman"/>
          <w:szCs w:val="24"/>
        </w:rPr>
        <w:t xml:space="preserve">he step increase approach </w:t>
      </w:r>
      <w:r w:rsidR="003C3012">
        <w:rPr>
          <w:rFonts w:ascii="Times New Roman" w:hAnsi="Times New Roman"/>
          <w:szCs w:val="24"/>
        </w:rPr>
        <w:t xml:space="preserve">recommended by PIA Staff </w:t>
      </w:r>
      <w:r w:rsidR="006F420B" w:rsidRPr="006F420B">
        <w:rPr>
          <w:rFonts w:ascii="Times New Roman" w:hAnsi="Times New Roman"/>
          <w:szCs w:val="24"/>
        </w:rPr>
        <w:t>would increase customer rates in each of the next three years. Although an annual increase would result in a lower than requested projected revenue requirement for 2020, the increases for 2021 and 2022 would be greater than the levelized amount</w:t>
      </w:r>
      <w:r w:rsidR="003C3012">
        <w:rPr>
          <w:rFonts w:ascii="Times New Roman" w:hAnsi="Times New Roman"/>
          <w:szCs w:val="24"/>
        </w:rPr>
        <w:t xml:space="preserve"> recommended by the Company</w:t>
      </w:r>
      <w:r w:rsidR="006F420B" w:rsidRPr="006F420B">
        <w:rPr>
          <w:rFonts w:ascii="Times New Roman" w:hAnsi="Times New Roman"/>
          <w:szCs w:val="24"/>
        </w:rPr>
        <w:t xml:space="preserve">. </w:t>
      </w:r>
      <w:r w:rsidR="008A57BE">
        <w:rPr>
          <w:rFonts w:ascii="Times New Roman" w:hAnsi="Times New Roman"/>
          <w:szCs w:val="24"/>
        </w:rPr>
        <w:t>(</w:t>
      </w:r>
      <w:r w:rsidR="008D66F0">
        <w:rPr>
          <w:rFonts w:ascii="Times New Roman" w:hAnsi="Times New Roman"/>
          <w:szCs w:val="24"/>
        </w:rPr>
        <w:t>Tr. 2633-34</w:t>
      </w:r>
      <w:r w:rsidR="008A57BE">
        <w:rPr>
          <w:rFonts w:ascii="Times New Roman" w:hAnsi="Times New Roman"/>
          <w:szCs w:val="24"/>
        </w:rPr>
        <w:t xml:space="preserve">.) </w:t>
      </w:r>
      <w:r w:rsidR="003C3012">
        <w:rPr>
          <w:rFonts w:ascii="Times New Roman" w:hAnsi="Times New Roman"/>
          <w:szCs w:val="24"/>
        </w:rPr>
        <w:t>Such</w:t>
      </w:r>
      <w:r w:rsidR="006F420B" w:rsidRPr="006F420B">
        <w:rPr>
          <w:rFonts w:ascii="Times New Roman" w:hAnsi="Times New Roman"/>
          <w:szCs w:val="24"/>
        </w:rPr>
        <w:t xml:space="preserve"> fluctuation in projected costs year-to-year creates uncertainty for customers. The Company </w:t>
      </w:r>
      <w:r>
        <w:rPr>
          <w:rFonts w:ascii="Times New Roman" w:hAnsi="Times New Roman"/>
          <w:szCs w:val="24"/>
        </w:rPr>
        <w:t>and</w:t>
      </w:r>
      <w:r w:rsidR="006F420B" w:rsidRPr="006F420B">
        <w:rPr>
          <w:rFonts w:ascii="Times New Roman" w:hAnsi="Times New Roman"/>
          <w:szCs w:val="24"/>
        </w:rPr>
        <w:t xml:space="preserve"> PIA Staff</w:t>
      </w:r>
      <w:r>
        <w:rPr>
          <w:rFonts w:ascii="Times New Roman" w:hAnsi="Times New Roman"/>
          <w:szCs w:val="24"/>
        </w:rPr>
        <w:t xml:space="preserve"> agree that rate stability is in the best interest of customers. </w:t>
      </w:r>
      <w:r w:rsidR="008A57BE">
        <w:rPr>
          <w:rFonts w:ascii="Times New Roman" w:hAnsi="Times New Roman"/>
          <w:szCs w:val="24"/>
        </w:rPr>
        <w:t>(</w:t>
      </w:r>
      <w:r w:rsidR="008D66F0">
        <w:rPr>
          <w:rFonts w:ascii="Times New Roman" w:hAnsi="Times New Roman"/>
          <w:szCs w:val="24"/>
        </w:rPr>
        <w:t>Tr. 1188, 2634</w:t>
      </w:r>
      <w:r w:rsidR="008A57BE">
        <w:rPr>
          <w:rFonts w:ascii="Times New Roman" w:hAnsi="Times New Roman"/>
          <w:szCs w:val="24"/>
        </w:rPr>
        <w:t xml:space="preserve">.) </w:t>
      </w:r>
      <w:r>
        <w:rPr>
          <w:rFonts w:ascii="Times New Roman" w:hAnsi="Times New Roman"/>
          <w:szCs w:val="24"/>
        </w:rPr>
        <w:t xml:space="preserve">However, unlike PIA Staff, </w:t>
      </w:r>
      <w:r w:rsidR="006F420B" w:rsidRPr="006F420B">
        <w:rPr>
          <w:rFonts w:ascii="Times New Roman" w:hAnsi="Times New Roman"/>
          <w:szCs w:val="24"/>
        </w:rPr>
        <w:t xml:space="preserve">the Company </w:t>
      </w:r>
      <w:r w:rsidR="00400E3C">
        <w:rPr>
          <w:rFonts w:ascii="Times New Roman" w:hAnsi="Times New Roman"/>
          <w:szCs w:val="24"/>
        </w:rPr>
        <w:t>supports</w:t>
      </w:r>
      <w:r w:rsidR="006F420B" w:rsidRPr="006F420B">
        <w:rPr>
          <w:rFonts w:ascii="Times New Roman" w:hAnsi="Times New Roman"/>
          <w:szCs w:val="24"/>
        </w:rPr>
        <w:t xml:space="preserve"> levelizing the proposed increases over the three-year ARP period </w:t>
      </w:r>
      <w:r w:rsidR="00400E3C">
        <w:rPr>
          <w:rFonts w:ascii="Times New Roman" w:hAnsi="Times New Roman"/>
          <w:szCs w:val="24"/>
        </w:rPr>
        <w:t xml:space="preserve">to </w:t>
      </w:r>
      <w:r>
        <w:rPr>
          <w:rFonts w:ascii="Times New Roman" w:hAnsi="Times New Roman"/>
          <w:szCs w:val="24"/>
        </w:rPr>
        <w:t>better achieve predictability and rate stability</w:t>
      </w:r>
      <w:r w:rsidR="006F420B" w:rsidRPr="006F420B">
        <w:rPr>
          <w:rFonts w:ascii="Times New Roman" w:hAnsi="Times New Roman"/>
          <w:szCs w:val="24"/>
        </w:rPr>
        <w:t xml:space="preserve"> for customer</w:t>
      </w:r>
      <w:r>
        <w:rPr>
          <w:rFonts w:ascii="Times New Roman" w:hAnsi="Times New Roman"/>
          <w:szCs w:val="24"/>
        </w:rPr>
        <w:t>s over the three-year duration of the ARP.</w:t>
      </w:r>
      <w:r w:rsidR="008D66F0">
        <w:rPr>
          <w:rFonts w:ascii="Times New Roman" w:hAnsi="Times New Roman"/>
          <w:szCs w:val="24"/>
        </w:rPr>
        <w:t xml:space="preserve"> Nevertheless, the Company acknowledges that it is a policy decision of this Commission to determine how best to implement any rate increase.</w:t>
      </w:r>
    </w:p>
    <w:p w14:paraId="34F17826" w14:textId="3C70DE70" w:rsidR="00186C1F" w:rsidRDefault="000A5905" w:rsidP="00F4602A">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26" w:name="_Hlk26111708"/>
      <w:r>
        <w:rPr>
          <w:rFonts w:ascii="Times New Roman" w:hAnsi="Times New Roman"/>
          <w:szCs w:val="24"/>
        </w:rPr>
        <w:lastRenderedPageBreak/>
        <w:t>4.</w:t>
      </w:r>
      <w:r>
        <w:rPr>
          <w:rFonts w:ascii="Times New Roman" w:hAnsi="Times New Roman"/>
          <w:szCs w:val="24"/>
        </w:rPr>
        <w:tab/>
      </w:r>
      <w:r w:rsidR="00186C1F" w:rsidRPr="004B6D89">
        <w:rPr>
          <w:rFonts w:ascii="Times New Roman" w:hAnsi="Times New Roman"/>
          <w:szCs w:val="24"/>
          <w:u w:val="single"/>
        </w:rPr>
        <w:t>E</w:t>
      </w:r>
      <w:r w:rsidR="00A551D9" w:rsidRPr="004B6D89">
        <w:rPr>
          <w:rFonts w:ascii="Times New Roman" w:hAnsi="Times New Roman"/>
          <w:szCs w:val="24"/>
          <w:u w:val="single"/>
        </w:rPr>
        <w:t xml:space="preserve">lectric </w:t>
      </w:r>
      <w:r w:rsidR="00186C1F" w:rsidRPr="004B6D89">
        <w:rPr>
          <w:rFonts w:ascii="Times New Roman" w:hAnsi="Times New Roman"/>
          <w:szCs w:val="24"/>
          <w:u w:val="single"/>
        </w:rPr>
        <w:t>V</w:t>
      </w:r>
      <w:r w:rsidR="00A551D9" w:rsidRPr="004B6D89">
        <w:rPr>
          <w:rFonts w:ascii="Times New Roman" w:hAnsi="Times New Roman"/>
          <w:szCs w:val="24"/>
          <w:u w:val="single"/>
        </w:rPr>
        <w:t>ehicle (“EV”)</w:t>
      </w:r>
      <w:r w:rsidR="00186C1F" w:rsidRPr="004B6D89">
        <w:rPr>
          <w:rFonts w:ascii="Times New Roman" w:hAnsi="Times New Roman"/>
          <w:szCs w:val="24"/>
          <w:u w:val="single"/>
        </w:rPr>
        <w:t xml:space="preserve"> </w:t>
      </w:r>
      <w:r w:rsidR="007E521E" w:rsidRPr="004B6D89">
        <w:rPr>
          <w:rFonts w:ascii="Times New Roman" w:hAnsi="Times New Roman"/>
          <w:szCs w:val="24"/>
          <w:u w:val="single"/>
        </w:rPr>
        <w:t>charging facilities benefit Georgia Power customers and the state and the Commission should authorize Georgia Power to recover the cost of continuing to support the advancement of these electrotechnologies</w:t>
      </w:r>
      <w:r w:rsidR="00186C1F" w:rsidRPr="00186C1F">
        <w:rPr>
          <w:rFonts w:ascii="Times New Roman" w:hAnsi="Times New Roman"/>
          <w:szCs w:val="24"/>
        </w:rPr>
        <w:t xml:space="preserve">. </w:t>
      </w:r>
    </w:p>
    <w:bookmarkEnd w:id="26"/>
    <w:p w14:paraId="1260EB86" w14:textId="77AB2217" w:rsidR="00875CA0" w:rsidRDefault="00976865" w:rsidP="004D79CA">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t xml:space="preserve">Since 2014, the Company has deployed </w:t>
      </w:r>
      <w:r w:rsidRPr="00BB6F61">
        <w:rPr>
          <w:rFonts w:ascii="Times New Roman" w:hAnsi="Times New Roman"/>
          <w:szCs w:val="24"/>
        </w:rPr>
        <w:t>EV</w:t>
      </w:r>
      <w:r>
        <w:rPr>
          <w:rFonts w:ascii="Times New Roman" w:hAnsi="Times New Roman"/>
          <w:szCs w:val="24"/>
        </w:rPr>
        <w:t xml:space="preserve"> charging</w:t>
      </w:r>
      <w:r w:rsidRPr="00BB6F61">
        <w:rPr>
          <w:rFonts w:ascii="Times New Roman" w:hAnsi="Times New Roman"/>
          <w:szCs w:val="24"/>
        </w:rPr>
        <w:t xml:space="preserve"> infrastructure </w:t>
      </w:r>
      <w:r>
        <w:rPr>
          <w:rFonts w:ascii="Times New Roman" w:hAnsi="Times New Roman"/>
          <w:szCs w:val="24"/>
        </w:rPr>
        <w:t>throughout the state</w:t>
      </w:r>
      <w:r w:rsidRPr="00BB6F61">
        <w:rPr>
          <w:rFonts w:ascii="Times New Roman" w:hAnsi="Times New Roman"/>
          <w:szCs w:val="24"/>
        </w:rPr>
        <w:t xml:space="preserve"> </w:t>
      </w:r>
      <w:r w:rsidR="00F42939">
        <w:rPr>
          <w:rFonts w:ascii="Times New Roman" w:hAnsi="Times New Roman"/>
          <w:szCs w:val="24"/>
        </w:rPr>
        <w:t xml:space="preserve">to </w:t>
      </w:r>
      <w:r w:rsidRPr="00BB6F61">
        <w:rPr>
          <w:rFonts w:ascii="Times New Roman" w:hAnsi="Times New Roman"/>
          <w:szCs w:val="24"/>
        </w:rPr>
        <w:t>bring greater awareness to the benefits of driving electric, including both economic savings and environmental impact</w:t>
      </w:r>
      <w:r w:rsidR="00F42939">
        <w:rPr>
          <w:rFonts w:ascii="Times New Roman" w:hAnsi="Times New Roman"/>
          <w:szCs w:val="24"/>
        </w:rPr>
        <w:t>, as well as enabling the growth of EVs in Georgia</w:t>
      </w:r>
      <w:r w:rsidRPr="00BB6F61">
        <w:rPr>
          <w:rFonts w:ascii="Times New Roman" w:hAnsi="Times New Roman"/>
          <w:szCs w:val="24"/>
        </w:rPr>
        <w:t xml:space="preserve">. </w:t>
      </w:r>
      <w:r w:rsidR="008A57BE">
        <w:rPr>
          <w:rFonts w:ascii="Times New Roman" w:hAnsi="Times New Roman"/>
          <w:szCs w:val="24"/>
        </w:rPr>
        <w:t>(</w:t>
      </w:r>
      <w:r w:rsidR="00D46778">
        <w:rPr>
          <w:rFonts w:ascii="Times New Roman" w:hAnsi="Times New Roman"/>
          <w:szCs w:val="24"/>
        </w:rPr>
        <w:t>Tr. 2648</w:t>
      </w:r>
      <w:r w:rsidR="008A57BE">
        <w:rPr>
          <w:rFonts w:ascii="Times New Roman" w:hAnsi="Times New Roman"/>
          <w:szCs w:val="24"/>
        </w:rPr>
        <w:t xml:space="preserve">.) </w:t>
      </w:r>
      <w:r w:rsidR="00875CA0" w:rsidRPr="00BB6F61">
        <w:rPr>
          <w:rFonts w:ascii="Times New Roman" w:hAnsi="Times New Roman"/>
          <w:szCs w:val="24"/>
        </w:rPr>
        <w:t xml:space="preserve">The EV chargers were </w:t>
      </w:r>
      <w:r w:rsidR="00875CA0">
        <w:rPr>
          <w:rFonts w:ascii="Times New Roman" w:hAnsi="Times New Roman"/>
          <w:szCs w:val="24"/>
        </w:rPr>
        <w:t>installed</w:t>
      </w:r>
      <w:r w:rsidR="00875CA0" w:rsidRPr="00BB6F61">
        <w:rPr>
          <w:rFonts w:ascii="Times New Roman" w:hAnsi="Times New Roman"/>
          <w:szCs w:val="24"/>
        </w:rPr>
        <w:t xml:space="preserve"> to help the Company respond to the evolving needs and expectations of its customers, </w:t>
      </w:r>
      <w:r w:rsidR="00875CA0">
        <w:rPr>
          <w:rFonts w:ascii="Times New Roman" w:hAnsi="Times New Roman"/>
          <w:szCs w:val="24"/>
        </w:rPr>
        <w:t>including</w:t>
      </w:r>
      <w:r w:rsidR="00875CA0" w:rsidRPr="00BB6F61">
        <w:rPr>
          <w:rFonts w:ascii="Times New Roman" w:hAnsi="Times New Roman"/>
          <w:szCs w:val="24"/>
        </w:rPr>
        <w:t xml:space="preserve"> </w:t>
      </w:r>
      <w:r w:rsidR="00875CA0">
        <w:rPr>
          <w:rFonts w:ascii="Times New Roman" w:hAnsi="Times New Roman"/>
          <w:szCs w:val="24"/>
        </w:rPr>
        <w:t>expanded</w:t>
      </w:r>
      <w:r w:rsidR="00875CA0" w:rsidRPr="00BB6F61">
        <w:rPr>
          <w:rFonts w:ascii="Times New Roman" w:hAnsi="Times New Roman"/>
          <w:szCs w:val="24"/>
        </w:rPr>
        <w:t xml:space="preserve"> access points for customers to charge electric vehicles.</w:t>
      </w:r>
      <w:r w:rsidR="00875CA0">
        <w:rPr>
          <w:rFonts w:ascii="Times New Roman" w:hAnsi="Times New Roman"/>
          <w:szCs w:val="24"/>
        </w:rPr>
        <w:t xml:space="preserve"> </w:t>
      </w:r>
      <w:r w:rsidRPr="00BB6F61">
        <w:rPr>
          <w:rFonts w:ascii="Times New Roman" w:hAnsi="Times New Roman"/>
          <w:szCs w:val="24"/>
        </w:rPr>
        <w:t>Georgia Power</w:t>
      </w:r>
      <w:r w:rsidR="006F6CB0">
        <w:rPr>
          <w:rFonts w:ascii="Times New Roman" w:hAnsi="Times New Roman"/>
          <w:szCs w:val="24"/>
        </w:rPr>
        <w:t>’</w:t>
      </w:r>
      <w:r w:rsidRPr="00BB6F61">
        <w:rPr>
          <w:rFonts w:ascii="Times New Roman" w:hAnsi="Times New Roman"/>
          <w:szCs w:val="24"/>
        </w:rPr>
        <w:t xml:space="preserve">s deployment strategy connects communities across the state through corridor chargers and serves the </w:t>
      </w:r>
      <w:r w:rsidR="00875CA0">
        <w:rPr>
          <w:rFonts w:ascii="Times New Roman" w:hAnsi="Times New Roman"/>
          <w:szCs w:val="24"/>
        </w:rPr>
        <w:t xml:space="preserve">infrastructure </w:t>
      </w:r>
      <w:r w:rsidRPr="00BB6F61">
        <w:rPr>
          <w:rFonts w:ascii="Times New Roman" w:hAnsi="Times New Roman"/>
          <w:szCs w:val="24"/>
        </w:rPr>
        <w:t xml:space="preserve">needs of existing drivers in high-adoption regions. </w:t>
      </w:r>
      <w:r w:rsidR="00D46778">
        <w:rPr>
          <w:rFonts w:ascii="Times New Roman" w:hAnsi="Times New Roman"/>
          <w:szCs w:val="24"/>
        </w:rPr>
        <w:t>(</w:t>
      </w:r>
      <w:r w:rsidR="00D46778" w:rsidRPr="001C1457">
        <w:rPr>
          <w:rFonts w:ascii="Times New Roman" w:hAnsi="Times New Roman"/>
          <w:i/>
          <w:szCs w:val="24"/>
        </w:rPr>
        <w:t>Id</w:t>
      </w:r>
      <w:r w:rsidR="00D46778">
        <w:rPr>
          <w:rFonts w:ascii="Times New Roman" w:hAnsi="Times New Roman"/>
          <w:szCs w:val="24"/>
        </w:rPr>
        <w:t>.)</w:t>
      </w:r>
    </w:p>
    <w:p w14:paraId="5E451CCD" w14:textId="70916489" w:rsidR="00860A4C" w:rsidRPr="00186C1F" w:rsidRDefault="00875CA0" w:rsidP="004B6D89">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D71D63">
        <w:rPr>
          <w:rFonts w:ascii="Times New Roman" w:hAnsi="Times New Roman"/>
          <w:szCs w:val="24"/>
        </w:rPr>
        <w:t>The Company acknowledges that cost recovery for these charge</w:t>
      </w:r>
      <w:r w:rsidR="000D7C23">
        <w:rPr>
          <w:rFonts w:ascii="Times New Roman" w:hAnsi="Times New Roman"/>
          <w:szCs w:val="24"/>
        </w:rPr>
        <w:t>r</w:t>
      </w:r>
      <w:r w:rsidR="00D71D63">
        <w:rPr>
          <w:rFonts w:ascii="Times New Roman" w:hAnsi="Times New Roman"/>
          <w:szCs w:val="24"/>
        </w:rPr>
        <w:t xml:space="preserve">s is a </w:t>
      </w:r>
      <w:r w:rsidR="00D71D63" w:rsidRPr="00BB6F61">
        <w:rPr>
          <w:rFonts w:ascii="Times New Roman" w:hAnsi="Times New Roman"/>
          <w:szCs w:val="24"/>
        </w:rPr>
        <w:t>matter of Commission policy</w:t>
      </w:r>
      <w:r w:rsidR="00D71D63">
        <w:rPr>
          <w:rFonts w:ascii="Times New Roman" w:hAnsi="Times New Roman"/>
          <w:szCs w:val="24"/>
        </w:rPr>
        <w:t xml:space="preserve">. </w:t>
      </w:r>
      <w:r w:rsidR="008A57BE">
        <w:rPr>
          <w:rFonts w:ascii="Times New Roman" w:hAnsi="Times New Roman"/>
          <w:szCs w:val="24"/>
        </w:rPr>
        <w:t>(</w:t>
      </w:r>
      <w:r w:rsidR="000E59E6">
        <w:rPr>
          <w:rFonts w:ascii="Times New Roman" w:hAnsi="Times New Roman"/>
          <w:szCs w:val="24"/>
        </w:rPr>
        <w:t>Tr. 2649</w:t>
      </w:r>
      <w:r w:rsidR="008A57BE">
        <w:rPr>
          <w:rFonts w:ascii="Times New Roman" w:hAnsi="Times New Roman"/>
          <w:szCs w:val="24"/>
        </w:rPr>
        <w:t xml:space="preserve">.) </w:t>
      </w:r>
      <w:r w:rsidRPr="00860A4C">
        <w:rPr>
          <w:rFonts w:ascii="Times New Roman" w:hAnsi="Times New Roman"/>
          <w:szCs w:val="24"/>
        </w:rPr>
        <w:t xml:space="preserve">The </w:t>
      </w:r>
      <w:r w:rsidR="00134DBE" w:rsidRPr="00860A4C">
        <w:rPr>
          <w:rFonts w:ascii="Times New Roman" w:hAnsi="Times New Roman"/>
          <w:szCs w:val="24"/>
        </w:rPr>
        <w:t xml:space="preserve">costs for </w:t>
      </w:r>
      <w:r w:rsidR="00135225">
        <w:rPr>
          <w:rFonts w:ascii="Times New Roman" w:hAnsi="Times New Roman"/>
          <w:szCs w:val="24"/>
        </w:rPr>
        <w:t xml:space="preserve">the </w:t>
      </w:r>
      <w:r w:rsidRPr="00860A4C">
        <w:rPr>
          <w:rFonts w:ascii="Times New Roman" w:hAnsi="Times New Roman"/>
          <w:szCs w:val="24"/>
        </w:rPr>
        <w:t>Company</w:t>
      </w:r>
      <w:r w:rsidR="006F6CB0">
        <w:rPr>
          <w:rFonts w:ascii="Times New Roman" w:hAnsi="Times New Roman"/>
          <w:szCs w:val="24"/>
        </w:rPr>
        <w:t>’</w:t>
      </w:r>
      <w:r w:rsidRPr="00860A4C">
        <w:rPr>
          <w:rFonts w:ascii="Times New Roman" w:hAnsi="Times New Roman"/>
          <w:szCs w:val="24"/>
        </w:rPr>
        <w:t xml:space="preserve">s EV program, including </w:t>
      </w:r>
      <w:r w:rsidR="00134DBE" w:rsidRPr="00860A4C">
        <w:rPr>
          <w:rFonts w:ascii="Times New Roman" w:hAnsi="Times New Roman"/>
          <w:szCs w:val="24"/>
        </w:rPr>
        <w:t>increasing the number of</w:t>
      </w:r>
      <w:r w:rsidRPr="00860A4C">
        <w:rPr>
          <w:rFonts w:ascii="Times New Roman" w:hAnsi="Times New Roman"/>
          <w:szCs w:val="24"/>
        </w:rPr>
        <w:t xml:space="preserve"> EV charging facilities al</w:t>
      </w:r>
      <w:r w:rsidR="00FD7A3F" w:rsidRPr="00860A4C">
        <w:rPr>
          <w:rFonts w:ascii="Times New Roman" w:hAnsi="Times New Roman"/>
          <w:szCs w:val="24"/>
        </w:rPr>
        <w:t xml:space="preserve">ong major corridor routes, </w:t>
      </w:r>
      <w:r w:rsidR="00134DBE" w:rsidRPr="00860A4C">
        <w:rPr>
          <w:rFonts w:ascii="Times New Roman" w:hAnsi="Times New Roman"/>
          <w:szCs w:val="24"/>
        </w:rPr>
        <w:t>serve</w:t>
      </w:r>
      <w:r w:rsidR="00860A4C" w:rsidRPr="00860A4C">
        <w:rPr>
          <w:rFonts w:ascii="Times New Roman" w:hAnsi="Times New Roman"/>
          <w:szCs w:val="24"/>
        </w:rPr>
        <w:t xml:space="preserve"> and support</w:t>
      </w:r>
      <w:r w:rsidR="00134DBE">
        <w:rPr>
          <w:rFonts w:ascii="Times New Roman" w:hAnsi="Times New Roman"/>
          <w:szCs w:val="24"/>
        </w:rPr>
        <w:t xml:space="preserve"> Georgia Power</w:t>
      </w:r>
      <w:r w:rsidR="006F6CB0">
        <w:rPr>
          <w:rFonts w:ascii="Times New Roman" w:hAnsi="Times New Roman"/>
          <w:szCs w:val="24"/>
        </w:rPr>
        <w:t>’</w:t>
      </w:r>
      <w:r w:rsidR="00134DBE">
        <w:rPr>
          <w:rFonts w:ascii="Times New Roman" w:hAnsi="Times New Roman"/>
          <w:szCs w:val="24"/>
        </w:rPr>
        <w:t>s customers and</w:t>
      </w:r>
      <w:r w:rsidR="00860A4C">
        <w:rPr>
          <w:rFonts w:ascii="Times New Roman" w:hAnsi="Times New Roman"/>
          <w:szCs w:val="24"/>
        </w:rPr>
        <w:t xml:space="preserve"> should be recovered in rates. The Company</w:t>
      </w:r>
      <w:r w:rsidR="006F6CB0">
        <w:rPr>
          <w:rFonts w:ascii="Times New Roman" w:hAnsi="Times New Roman"/>
          <w:szCs w:val="24"/>
        </w:rPr>
        <w:t>’</w:t>
      </w:r>
      <w:r w:rsidR="00860A4C">
        <w:rPr>
          <w:rFonts w:ascii="Times New Roman" w:hAnsi="Times New Roman"/>
          <w:szCs w:val="24"/>
        </w:rPr>
        <w:t>s position on this issue has been consistent since the Company launched its initial EV pilot.</w:t>
      </w:r>
      <w:r w:rsidR="00D71D63">
        <w:rPr>
          <w:rFonts w:ascii="Times New Roman" w:hAnsi="Times New Roman"/>
          <w:szCs w:val="24"/>
        </w:rPr>
        <w:t xml:space="preserve"> </w:t>
      </w:r>
      <w:r w:rsidR="00860A4C">
        <w:rPr>
          <w:rFonts w:ascii="Times New Roman" w:hAnsi="Times New Roman"/>
          <w:szCs w:val="24"/>
        </w:rPr>
        <w:t xml:space="preserve">Despite agreeing to remove </w:t>
      </w:r>
      <w:r w:rsidR="00A12C9F">
        <w:rPr>
          <w:rFonts w:ascii="Times New Roman" w:hAnsi="Times New Roman"/>
          <w:szCs w:val="24"/>
        </w:rPr>
        <w:t>EV charging facility</w:t>
      </w:r>
      <w:r w:rsidR="00860A4C">
        <w:rPr>
          <w:rFonts w:ascii="Times New Roman" w:hAnsi="Times New Roman"/>
          <w:szCs w:val="24"/>
        </w:rPr>
        <w:t xml:space="preserve"> costs in its </w:t>
      </w:r>
      <w:r w:rsidR="00A12C9F">
        <w:rPr>
          <w:rFonts w:ascii="Times New Roman" w:hAnsi="Times New Roman"/>
          <w:szCs w:val="24"/>
        </w:rPr>
        <w:t>Annual Surveillance Report (</w:t>
      </w:r>
      <w:r w:rsidR="00860A4C">
        <w:rPr>
          <w:rFonts w:ascii="Times New Roman" w:hAnsi="Times New Roman"/>
          <w:szCs w:val="24"/>
        </w:rPr>
        <w:t>ASR</w:t>
      </w:r>
      <w:r w:rsidR="00A12C9F">
        <w:rPr>
          <w:rFonts w:ascii="Times New Roman" w:hAnsi="Times New Roman"/>
          <w:szCs w:val="24"/>
        </w:rPr>
        <w:t>) proceedings</w:t>
      </w:r>
      <w:r w:rsidR="00860A4C">
        <w:rPr>
          <w:rFonts w:ascii="Times New Roman" w:hAnsi="Times New Roman"/>
          <w:szCs w:val="24"/>
        </w:rPr>
        <w:t xml:space="preserve"> since the 2013 case, the Company </w:t>
      </w:r>
      <w:r w:rsidR="00D71D63">
        <w:rPr>
          <w:rFonts w:ascii="Times New Roman" w:hAnsi="Times New Roman"/>
          <w:szCs w:val="24"/>
        </w:rPr>
        <w:t>believes such</w:t>
      </w:r>
      <w:r w:rsidR="00A12C9F">
        <w:rPr>
          <w:rFonts w:ascii="Times New Roman" w:hAnsi="Times New Roman"/>
          <w:szCs w:val="24"/>
        </w:rPr>
        <w:t xml:space="preserve"> costs</w:t>
      </w:r>
      <w:r w:rsidR="00D71D63">
        <w:rPr>
          <w:rFonts w:ascii="Times New Roman" w:hAnsi="Times New Roman"/>
          <w:szCs w:val="24"/>
        </w:rPr>
        <w:t xml:space="preserve"> are appropriately considered in this case and should be recovered through rates.</w:t>
      </w:r>
      <w:r w:rsidR="00860A4C">
        <w:rPr>
          <w:rFonts w:ascii="Times New Roman" w:hAnsi="Times New Roman"/>
          <w:szCs w:val="24"/>
        </w:rPr>
        <w:t xml:space="preserve"> </w:t>
      </w:r>
      <w:r w:rsidR="00D71D63">
        <w:rPr>
          <w:rFonts w:ascii="Times New Roman" w:hAnsi="Times New Roman"/>
          <w:szCs w:val="24"/>
        </w:rPr>
        <w:t>T</w:t>
      </w:r>
      <w:r w:rsidR="00860A4C">
        <w:rPr>
          <w:rFonts w:ascii="Times New Roman" w:hAnsi="Times New Roman"/>
          <w:szCs w:val="24"/>
        </w:rPr>
        <w:t xml:space="preserve">he </w:t>
      </w:r>
      <w:r w:rsidR="00860A4C" w:rsidRPr="00BB6F61">
        <w:rPr>
          <w:rFonts w:ascii="Times New Roman" w:hAnsi="Times New Roman"/>
          <w:szCs w:val="24"/>
        </w:rPr>
        <w:t>Commission has approved the recovery of costs for EV chargers located on Company premises</w:t>
      </w:r>
      <w:r w:rsidR="00D71D63">
        <w:rPr>
          <w:rFonts w:ascii="Times New Roman" w:hAnsi="Times New Roman"/>
          <w:szCs w:val="24"/>
        </w:rPr>
        <w:t xml:space="preserve"> and should permit the Company to also recover the costs of its EV charging facilities supporting Georgia Power customers and communities across the state.</w:t>
      </w:r>
      <w:r w:rsidR="000E59E6">
        <w:rPr>
          <w:rFonts w:ascii="Times New Roman" w:hAnsi="Times New Roman"/>
          <w:szCs w:val="24"/>
        </w:rPr>
        <w:t xml:space="preserve"> (Tr. 2649.)</w:t>
      </w:r>
    </w:p>
    <w:p w14:paraId="2E9B12B6" w14:textId="7F6BA496" w:rsidR="00186C1F" w:rsidRDefault="00E977A0" w:rsidP="000E59E6">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27" w:name="_Hlk26111718"/>
      <w:r>
        <w:rPr>
          <w:rFonts w:ascii="Times New Roman" w:hAnsi="Times New Roman"/>
          <w:szCs w:val="24"/>
        </w:rPr>
        <w:t>5</w:t>
      </w:r>
      <w:r w:rsidR="00533458">
        <w:rPr>
          <w:rFonts w:ascii="Times New Roman" w:hAnsi="Times New Roman"/>
          <w:szCs w:val="24"/>
        </w:rPr>
        <w:t>.</w:t>
      </w:r>
      <w:r w:rsidR="00533458">
        <w:rPr>
          <w:rFonts w:ascii="Times New Roman" w:hAnsi="Times New Roman"/>
          <w:szCs w:val="24"/>
        </w:rPr>
        <w:tab/>
      </w:r>
      <w:r w:rsidR="009F0686" w:rsidRPr="004B6D89">
        <w:rPr>
          <w:rFonts w:ascii="Times New Roman" w:hAnsi="Times New Roman"/>
          <w:szCs w:val="24"/>
          <w:u w:val="single"/>
        </w:rPr>
        <w:t>The Commission should not adopt PIA Staff</w:t>
      </w:r>
      <w:r w:rsidR="006F6CB0">
        <w:rPr>
          <w:rFonts w:ascii="Times New Roman" w:hAnsi="Times New Roman"/>
          <w:szCs w:val="24"/>
          <w:u w:val="single"/>
        </w:rPr>
        <w:t>’</w:t>
      </w:r>
      <w:r w:rsidRPr="004B6D89">
        <w:rPr>
          <w:rFonts w:ascii="Times New Roman" w:hAnsi="Times New Roman"/>
          <w:szCs w:val="24"/>
          <w:u w:val="single"/>
        </w:rPr>
        <w:t>s</w:t>
      </w:r>
      <w:r w:rsidR="009F0686" w:rsidRPr="004B6D89">
        <w:rPr>
          <w:rFonts w:ascii="Times New Roman" w:hAnsi="Times New Roman"/>
          <w:szCs w:val="24"/>
          <w:u w:val="single"/>
        </w:rPr>
        <w:t xml:space="preserve"> request </w:t>
      </w:r>
      <w:r w:rsidR="00C91346" w:rsidRPr="004B6D89">
        <w:rPr>
          <w:rFonts w:ascii="Times New Roman" w:hAnsi="Times New Roman"/>
          <w:szCs w:val="24"/>
          <w:u w:val="single"/>
        </w:rPr>
        <w:t xml:space="preserve">to investigate and audit </w:t>
      </w:r>
      <w:r w:rsidR="0079530D" w:rsidRPr="004B6D89">
        <w:rPr>
          <w:rFonts w:ascii="Times New Roman" w:hAnsi="Times New Roman"/>
          <w:szCs w:val="24"/>
          <w:u w:val="single"/>
        </w:rPr>
        <w:t>the Company</w:t>
      </w:r>
      <w:r w:rsidR="006F6CB0">
        <w:rPr>
          <w:rFonts w:ascii="Times New Roman" w:hAnsi="Times New Roman"/>
          <w:szCs w:val="24"/>
          <w:u w:val="single"/>
        </w:rPr>
        <w:t>’</w:t>
      </w:r>
      <w:r w:rsidR="0079530D" w:rsidRPr="004B6D89">
        <w:rPr>
          <w:rFonts w:ascii="Times New Roman" w:hAnsi="Times New Roman"/>
          <w:szCs w:val="24"/>
          <w:u w:val="single"/>
        </w:rPr>
        <w:t xml:space="preserve">s deferred </w:t>
      </w:r>
      <w:r w:rsidR="00C91346" w:rsidRPr="004B6D89">
        <w:rPr>
          <w:rFonts w:ascii="Times New Roman" w:hAnsi="Times New Roman"/>
          <w:szCs w:val="24"/>
          <w:u w:val="single"/>
        </w:rPr>
        <w:t xml:space="preserve">storm damage </w:t>
      </w:r>
      <w:r w:rsidR="0079530D" w:rsidRPr="004B6D89">
        <w:rPr>
          <w:rFonts w:ascii="Times New Roman" w:hAnsi="Times New Roman"/>
          <w:szCs w:val="24"/>
          <w:u w:val="single"/>
        </w:rPr>
        <w:t>account balance</w:t>
      </w:r>
      <w:r w:rsidR="00C91346" w:rsidRPr="004B6D89">
        <w:rPr>
          <w:rFonts w:ascii="Times New Roman" w:hAnsi="Times New Roman"/>
          <w:szCs w:val="24"/>
          <w:u w:val="single"/>
        </w:rPr>
        <w:t xml:space="preserve"> in a separate proceeding</w:t>
      </w:r>
      <w:r w:rsidR="00C91346">
        <w:rPr>
          <w:rFonts w:ascii="Times New Roman" w:hAnsi="Times New Roman"/>
          <w:szCs w:val="24"/>
        </w:rPr>
        <w:t>.</w:t>
      </w:r>
    </w:p>
    <w:bookmarkEnd w:id="27"/>
    <w:p w14:paraId="3C1E5B2B" w14:textId="18AED667" w:rsidR="004D79CA" w:rsidRDefault="00E977A0" w:rsidP="004D79CA">
      <w:pPr>
        <w:widowControl/>
        <w:tabs>
          <w:tab w:val="left" w:pos="0"/>
        </w:tabs>
        <w:overflowPunct/>
        <w:autoSpaceDE/>
        <w:autoSpaceDN/>
        <w:adjustRightInd/>
        <w:spacing w:line="480" w:lineRule="auto"/>
        <w:contextualSpacing/>
        <w:jc w:val="both"/>
        <w:textAlignment w:val="auto"/>
        <w:rPr>
          <w:rFonts w:ascii="Times New Roman" w:hAnsi="Times New Roman"/>
          <w:szCs w:val="24"/>
        </w:rPr>
      </w:pPr>
      <w:r>
        <w:rPr>
          <w:rFonts w:ascii="Times New Roman" w:hAnsi="Times New Roman"/>
          <w:szCs w:val="24"/>
        </w:rPr>
        <w:tab/>
        <w:t>It is unnecessary to initiate a separate review or audit of the Company</w:t>
      </w:r>
      <w:r w:rsidR="006F6CB0">
        <w:rPr>
          <w:rFonts w:ascii="Times New Roman" w:hAnsi="Times New Roman"/>
          <w:szCs w:val="24"/>
        </w:rPr>
        <w:t>’</w:t>
      </w:r>
      <w:r>
        <w:rPr>
          <w:rFonts w:ascii="Times New Roman" w:hAnsi="Times New Roman"/>
          <w:szCs w:val="24"/>
        </w:rPr>
        <w:t>s deferred storm damage cost balance.</w:t>
      </w:r>
      <w:r w:rsidR="0079530D">
        <w:rPr>
          <w:rFonts w:ascii="Times New Roman" w:hAnsi="Times New Roman"/>
          <w:szCs w:val="24"/>
        </w:rPr>
        <w:t xml:space="preserve"> Existing internal and external review channels provide sufficient opportunity </w:t>
      </w:r>
      <w:r w:rsidR="0079530D">
        <w:rPr>
          <w:rFonts w:ascii="Times New Roman" w:hAnsi="Times New Roman"/>
          <w:szCs w:val="24"/>
        </w:rPr>
        <w:lastRenderedPageBreak/>
        <w:t xml:space="preserve">for the Company and Commission </w:t>
      </w:r>
      <w:r w:rsidR="0067720B">
        <w:rPr>
          <w:rFonts w:ascii="Times New Roman" w:hAnsi="Times New Roman"/>
          <w:szCs w:val="24"/>
        </w:rPr>
        <w:t>to audit the Company</w:t>
      </w:r>
      <w:r w:rsidR="006F6CB0">
        <w:rPr>
          <w:rFonts w:ascii="Times New Roman" w:hAnsi="Times New Roman"/>
          <w:szCs w:val="24"/>
        </w:rPr>
        <w:t>’</w:t>
      </w:r>
      <w:r w:rsidR="0067720B">
        <w:rPr>
          <w:rFonts w:ascii="Times New Roman" w:hAnsi="Times New Roman"/>
          <w:szCs w:val="24"/>
        </w:rPr>
        <w:t>s storm damage account</w:t>
      </w:r>
      <w:r w:rsidR="009823B5">
        <w:rPr>
          <w:rFonts w:ascii="Times New Roman" w:hAnsi="Times New Roman"/>
          <w:szCs w:val="24"/>
        </w:rPr>
        <w:t xml:space="preserve"> balance</w:t>
      </w:r>
      <w:r w:rsidR="0067720B">
        <w:rPr>
          <w:rFonts w:ascii="Times New Roman" w:hAnsi="Times New Roman"/>
          <w:szCs w:val="24"/>
        </w:rPr>
        <w:t xml:space="preserve">. </w:t>
      </w:r>
      <w:r w:rsidR="009823B5">
        <w:rPr>
          <w:rFonts w:ascii="Times New Roman" w:hAnsi="Times New Roman"/>
          <w:szCs w:val="24"/>
        </w:rPr>
        <w:t>Internally, e</w:t>
      </w:r>
      <w:r w:rsidR="00691050" w:rsidRPr="00691050">
        <w:rPr>
          <w:rFonts w:ascii="Times New Roman" w:hAnsi="Times New Roman"/>
          <w:szCs w:val="24"/>
        </w:rPr>
        <w:t>mployees follow the Company</w:t>
      </w:r>
      <w:r w:rsidR="006F6CB0">
        <w:rPr>
          <w:rFonts w:ascii="Times New Roman" w:hAnsi="Times New Roman"/>
          <w:szCs w:val="24"/>
        </w:rPr>
        <w:t>’</w:t>
      </w:r>
      <w:r w:rsidR="00691050" w:rsidRPr="00691050">
        <w:rPr>
          <w:rFonts w:ascii="Times New Roman" w:hAnsi="Times New Roman"/>
          <w:szCs w:val="24"/>
        </w:rPr>
        <w:t>s storm damage accounting guidelines to classify appropriate storm damage expenses, which are subject to multiple levels of review.</w:t>
      </w:r>
      <w:r w:rsidR="009823B5">
        <w:rPr>
          <w:rFonts w:ascii="Times New Roman" w:hAnsi="Times New Roman"/>
          <w:szCs w:val="24"/>
        </w:rPr>
        <w:t xml:space="preserve"> </w:t>
      </w:r>
      <w:r w:rsidR="008A57BE">
        <w:rPr>
          <w:rFonts w:ascii="Times New Roman" w:hAnsi="Times New Roman"/>
          <w:szCs w:val="24"/>
        </w:rPr>
        <w:t>(</w:t>
      </w:r>
      <w:r w:rsidR="000E59E6">
        <w:rPr>
          <w:rFonts w:ascii="Times New Roman" w:hAnsi="Times New Roman"/>
          <w:szCs w:val="24"/>
        </w:rPr>
        <w:t>Tr. 2656</w:t>
      </w:r>
      <w:r w:rsidR="008A57BE">
        <w:rPr>
          <w:rFonts w:ascii="Times New Roman" w:hAnsi="Times New Roman"/>
          <w:szCs w:val="24"/>
        </w:rPr>
        <w:t xml:space="preserve">.) </w:t>
      </w:r>
      <w:r w:rsidR="009823B5">
        <w:rPr>
          <w:rFonts w:ascii="Times New Roman" w:hAnsi="Times New Roman"/>
          <w:szCs w:val="24"/>
        </w:rPr>
        <w:t>T</w:t>
      </w:r>
      <w:r w:rsidR="00691050" w:rsidRPr="00691050">
        <w:rPr>
          <w:rFonts w:ascii="Times New Roman" w:hAnsi="Times New Roman"/>
          <w:szCs w:val="24"/>
        </w:rPr>
        <w:t>he Company</w:t>
      </w:r>
      <w:r w:rsidR="009823B5">
        <w:rPr>
          <w:rFonts w:ascii="Times New Roman" w:hAnsi="Times New Roman"/>
          <w:szCs w:val="24"/>
        </w:rPr>
        <w:t xml:space="preserve"> also</w:t>
      </w:r>
      <w:r w:rsidR="00691050" w:rsidRPr="00691050">
        <w:rPr>
          <w:rFonts w:ascii="Times New Roman" w:hAnsi="Times New Roman"/>
          <w:szCs w:val="24"/>
        </w:rPr>
        <w:t xml:space="preserve"> conducts a periodic internal audit on the storm damage expenses to ensure that the appropriate controls</w:t>
      </w:r>
      <w:r w:rsidR="009823B5">
        <w:rPr>
          <w:rFonts w:ascii="Times New Roman" w:hAnsi="Times New Roman"/>
          <w:szCs w:val="24"/>
        </w:rPr>
        <w:t xml:space="preserve"> and processes</w:t>
      </w:r>
      <w:r w:rsidR="00691050" w:rsidRPr="00691050">
        <w:rPr>
          <w:rFonts w:ascii="Times New Roman" w:hAnsi="Times New Roman"/>
          <w:szCs w:val="24"/>
        </w:rPr>
        <w:t xml:space="preserve"> are in place and operating effectively.</w:t>
      </w:r>
      <w:r w:rsidR="004D79CA">
        <w:rPr>
          <w:rFonts w:ascii="Times New Roman" w:hAnsi="Times New Roman"/>
          <w:szCs w:val="24"/>
        </w:rPr>
        <w:t xml:space="preserve"> </w:t>
      </w:r>
      <w:r w:rsidR="000E59E6">
        <w:rPr>
          <w:rFonts w:ascii="Times New Roman" w:hAnsi="Times New Roman"/>
          <w:szCs w:val="24"/>
        </w:rPr>
        <w:t>(</w:t>
      </w:r>
      <w:r w:rsidR="000E59E6" w:rsidRPr="001C1457">
        <w:rPr>
          <w:rFonts w:ascii="Times New Roman" w:hAnsi="Times New Roman"/>
          <w:i/>
          <w:szCs w:val="24"/>
        </w:rPr>
        <w:t>Id</w:t>
      </w:r>
      <w:r w:rsidR="000E59E6">
        <w:rPr>
          <w:rFonts w:ascii="Times New Roman" w:hAnsi="Times New Roman"/>
          <w:szCs w:val="24"/>
        </w:rPr>
        <w:t>.)</w:t>
      </w:r>
    </w:p>
    <w:p w14:paraId="7399DE36" w14:textId="52366566" w:rsidR="0067720B" w:rsidRDefault="004D79CA" w:rsidP="004D79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691050" w:rsidRPr="00691050">
        <w:rPr>
          <w:rFonts w:ascii="Times New Roman" w:hAnsi="Times New Roman"/>
          <w:szCs w:val="24"/>
        </w:rPr>
        <w:t xml:space="preserve">The ASR process affords the Commission a regular and appropriate forum to examine and question Company expenses, including storm damage costs. </w:t>
      </w:r>
      <w:r w:rsidR="000E59E6">
        <w:rPr>
          <w:rFonts w:ascii="Times New Roman" w:hAnsi="Times New Roman"/>
          <w:szCs w:val="24"/>
        </w:rPr>
        <w:t>(</w:t>
      </w:r>
      <w:r w:rsidR="000E59E6" w:rsidRPr="001C1457">
        <w:rPr>
          <w:rFonts w:ascii="Times New Roman" w:hAnsi="Times New Roman"/>
          <w:i/>
          <w:szCs w:val="24"/>
        </w:rPr>
        <w:t>Id</w:t>
      </w:r>
      <w:r w:rsidR="000E59E6">
        <w:rPr>
          <w:rFonts w:ascii="Times New Roman" w:hAnsi="Times New Roman"/>
          <w:szCs w:val="24"/>
        </w:rPr>
        <w:t xml:space="preserve">.) </w:t>
      </w:r>
      <w:r w:rsidR="00691050" w:rsidRPr="00691050">
        <w:rPr>
          <w:rFonts w:ascii="Times New Roman" w:hAnsi="Times New Roman"/>
          <w:szCs w:val="24"/>
        </w:rPr>
        <w:t>PIA Staff</w:t>
      </w:r>
      <w:r w:rsidR="006F6CB0">
        <w:rPr>
          <w:rFonts w:ascii="Times New Roman" w:hAnsi="Times New Roman"/>
          <w:szCs w:val="24"/>
        </w:rPr>
        <w:t>’</w:t>
      </w:r>
      <w:r w:rsidR="00691050" w:rsidRPr="00691050">
        <w:rPr>
          <w:rFonts w:ascii="Times New Roman" w:hAnsi="Times New Roman"/>
          <w:szCs w:val="24"/>
        </w:rPr>
        <w:t>s vigorous participation in the Company</w:t>
      </w:r>
      <w:r w:rsidR="006F6CB0">
        <w:rPr>
          <w:rFonts w:ascii="Times New Roman" w:hAnsi="Times New Roman"/>
          <w:szCs w:val="24"/>
        </w:rPr>
        <w:t>’</w:t>
      </w:r>
      <w:r w:rsidR="00691050" w:rsidRPr="00691050">
        <w:rPr>
          <w:rFonts w:ascii="Times New Roman" w:hAnsi="Times New Roman"/>
          <w:szCs w:val="24"/>
        </w:rPr>
        <w:t>s base rate cases, as</w:t>
      </w:r>
      <w:r w:rsidR="009823B5">
        <w:rPr>
          <w:rFonts w:ascii="Times New Roman" w:hAnsi="Times New Roman"/>
          <w:szCs w:val="24"/>
        </w:rPr>
        <w:t xml:space="preserve"> demonstrated</w:t>
      </w:r>
      <w:r w:rsidR="00691050" w:rsidRPr="00691050">
        <w:rPr>
          <w:rFonts w:ascii="Times New Roman" w:hAnsi="Times New Roman"/>
          <w:szCs w:val="24"/>
        </w:rPr>
        <w:t xml:space="preserve"> in the current case, provides ample opportunity for Commission Staff to review and validate the accuracy of expenses charged to the storm damage regulatory asset account. In fact, the Company has responded to approximately 30 storm damage cost-related data requests from Commission Staff in the last six ASR reviews and this base rate case filing. </w:t>
      </w:r>
      <w:r w:rsidR="000E59E6">
        <w:rPr>
          <w:rFonts w:ascii="Times New Roman" w:hAnsi="Times New Roman"/>
          <w:szCs w:val="24"/>
        </w:rPr>
        <w:t>(</w:t>
      </w:r>
      <w:r w:rsidR="000E59E6" w:rsidRPr="001C1457">
        <w:rPr>
          <w:rFonts w:ascii="Times New Roman" w:hAnsi="Times New Roman"/>
          <w:i/>
          <w:szCs w:val="24"/>
        </w:rPr>
        <w:t>Id</w:t>
      </w:r>
      <w:r w:rsidR="000E59E6">
        <w:rPr>
          <w:rFonts w:ascii="Times New Roman" w:hAnsi="Times New Roman"/>
          <w:szCs w:val="24"/>
        </w:rPr>
        <w:t xml:space="preserve">.) </w:t>
      </w:r>
      <w:r w:rsidR="00691050" w:rsidRPr="00691050">
        <w:rPr>
          <w:rFonts w:ascii="Times New Roman" w:hAnsi="Times New Roman"/>
          <w:szCs w:val="24"/>
        </w:rPr>
        <w:t>A</w:t>
      </w:r>
      <w:r w:rsidR="000D487A">
        <w:rPr>
          <w:rFonts w:ascii="Times New Roman" w:hAnsi="Times New Roman"/>
          <w:szCs w:val="24"/>
        </w:rPr>
        <w:t>n additional</w:t>
      </w:r>
      <w:r w:rsidR="00691050" w:rsidRPr="00691050">
        <w:rPr>
          <w:rFonts w:ascii="Times New Roman" w:hAnsi="Times New Roman"/>
          <w:szCs w:val="24"/>
        </w:rPr>
        <w:t xml:space="preserve"> separate investigation </w:t>
      </w:r>
      <w:r w:rsidR="009823B5">
        <w:rPr>
          <w:rFonts w:ascii="Times New Roman" w:hAnsi="Times New Roman"/>
          <w:szCs w:val="24"/>
        </w:rPr>
        <w:t xml:space="preserve">or </w:t>
      </w:r>
      <w:r w:rsidR="00691050" w:rsidRPr="00691050">
        <w:rPr>
          <w:rFonts w:ascii="Times New Roman" w:hAnsi="Times New Roman"/>
          <w:szCs w:val="24"/>
        </w:rPr>
        <w:t>audit of storm damage costs by Commission Staff would be redundant, time consuming, overly burdensome, and costly to the Commission, the Company, and customers.</w:t>
      </w:r>
      <w:r w:rsidR="0067720B" w:rsidRPr="0067720B">
        <w:rPr>
          <w:rFonts w:ascii="Times New Roman" w:hAnsi="Times New Roman"/>
          <w:szCs w:val="24"/>
        </w:rPr>
        <w:t xml:space="preserve"> </w:t>
      </w:r>
    </w:p>
    <w:p w14:paraId="2AFFAE49" w14:textId="3FE395FD" w:rsidR="0067720B" w:rsidRDefault="0067720B" w:rsidP="004D79CA">
      <w:pPr>
        <w:widowControl/>
        <w:tabs>
          <w:tab w:val="left" w:pos="0"/>
        </w:tabs>
        <w:overflowPunct/>
        <w:autoSpaceDE/>
        <w:autoSpaceDN/>
        <w:adjustRightInd/>
        <w:spacing w:before="240" w:after="240" w:line="480" w:lineRule="auto"/>
        <w:contextualSpacing/>
        <w:jc w:val="both"/>
        <w:textAlignment w:val="auto"/>
        <w:rPr>
          <w:rFonts w:ascii="Times New Roman" w:hAnsi="Times New Roman"/>
          <w:szCs w:val="24"/>
        </w:rPr>
      </w:pPr>
      <w:r>
        <w:rPr>
          <w:rFonts w:ascii="Times New Roman" w:hAnsi="Times New Roman"/>
          <w:szCs w:val="24"/>
        </w:rPr>
        <w:tab/>
        <w:t xml:space="preserve">Finally, an additional investigation is </w:t>
      </w:r>
      <w:r w:rsidR="00CD622E">
        <w:rPr>
          <w:rFonts w:ascii="Times New Roman" w:hAnsi="Times New Roman"/>
          <w:szCs w:val="24"/>
        </w:rPr>
        <w:t>un</w:t>
      </w:r>
      <w:r>
        <w:rPr>
          <w:rFonts w:ascii="Times New Roman" w:hAnsi="Times New Roman"/>
          <w:szCs w:val="24"/>
        </w:rPr>
        <w:t>necessary because the</w:t>
      </w:r>
      <w:r w:rsidR="00CD622E">
        <w:rPr>
          <w:rFonts w:ascii="Times New Roman" w:hAnsi="Times New Roman"/>
          <w:szCs w:val="24"/>
        </w:rPr>
        <w:t xml:space="preserve"> Commission can resolve</w:t>
      </w:r>
      <w:r>
        <w:rPr>
          <w:rFonts w:ascii="Times New Roman" w:hAnsi="Times New Roman"/>
          <w:szCs w:val="24"/>
        </w:rPr>
        <w:t xml:space="preserve"> issues regarding Georgia Power</w:t>
      </w:r>
      <w:r w:rsidR="006F6CB0">
        <w:rPr>
          <w:rFonts w:ascii="Times New Roman" w:hAnsi="Times New Roman"/>
          <w:szCs w:val="24"/>
        </w:rPr>
        <w:t>’</w:t>
      </w:r>
      <w:r>
        <w:rPr>
          <w:rFonts w:ascii="Times New Roman" w:hAnsi="Times New Roman"/>
          <w:szCs w:val="24"/>
        </w:rPr>
        <w:t>s storm damage costs in this case. First, PIA Staff adopt</w:t>
      </w:r>
      <w:r w:rsidR="00135225">
        <w:rPr>
          <w:rFonts w:ascii="Times New Roman" w:hAnsi="Times New Roman"/>
          <w:szCs w:val="24"/>
        </w:rPr>
        <w:t>ed</w:t>
      </w:r>
      <w:r>
        <w:rPr>
          <w:rFonts w:ascii="Times New Roman" w:hAnsi="Times New Roman"/>
          <w:szCs w:val="24"/>
        </w:rPr>
        <w:t xml:space="preserve"> the Company</w:t>
      </w:r>
      <w:r w:rsidR="006F6CB0">
        <w:rPr>
          <w:rFonts w:ascii="Times New Roman" w:hAnsi="Times New Roman"/>
          <w:szCs w:val="24"/>
        </w:rPr>
        <w:t>’</w:t>
      </w:r>
      <w:r>
        <w:rPr>
          <w:rFonts w:ascii="Times New Roman" w:hAnsi="Times New Roman"/>
          <w:szCs w:val="24"/>
        </w:rPr>
        <w:t xml:space="preserve">s proposed storm damage charges for the test year and plan year. </w:t>
      </w:r>
      <w:r w:rsidR="005027DB">
        <w:rPr>
          <w:rFonts w:ascii="Times New Roman" w:hAnsi="Times New Roman"/>
          <w:szCs w:val="24"/>
        </w:rPr>
        <w:t>(</w:t>
      </w:r>
      <w:r w:rsidR="000E59E6">
        <w:rPr>
          <w:rFonts w:ascii="Times New Roman" w:hAnsi="Times New Roman"/>
          <w:szCs w:val="24"/>
        </w:rPr>
        <w:t>Tr. 1243</w:t>
      </w:r>
      <w:r w:rsidR="005027DB">
        <w:rPr>
          <w:rFonts w:ascii="Times New Roman" w:hAnsi="Times New Roman"/>
          <w:szCs w:val="24"/>
        </w:rPr>
        <w:t xml:space="preserve">.) </w:t>
      </w:r>
      <w:r>
        <w:rPr>
          <w:rFonts w:ascii="Times New Roman" w:hAnsi="Times New Roman"/>
          <w:szCs w:val="24"/>
        </w:rPr>
        <w:t>Second, the Company agrees with PIA Staff</w:t>
      </w:r>
      <w:r w:rsidR="006F6CB0">
        <w:rPr>
          <w:rFonts w:ascii="Times New Roman" w:hAnsi="Times New Roman"/>
          <w:szCs w:val="24"/>
        </w:rPr>
        <w:t>’</w:t>
      </w:r>
      <w:r>
        <w:rPr>
          <w:rFonts w:ascii="Times New Roman" w:hAnsi="Times New Roman"/>
          <w:szCs w:val="24"/>
        </w:rPr>
        <w:t>s recommendation to use actual charges for January 2019 through June 2019 for the December 31, 2019 deferred storm damage cost balance rather than the projected estimates provided in the Company</w:t>
      </w:r>
      <w:r w:rsidR="006F6CB0">
        <w:rPr>
          <w:rFonts w:ascii="Times New Roman" w:hAnsi="Times New Roman"/>
          <w:szCs w:val="24"/>
        </w:rPr>
        <w:t>’</w:t>
      </w:r>
      <w:r>
        <w:rPr>
          <w:rFonts w:ascii="Times New Roman" w:hAnsi="Times New Roman"/>
          <w:szCs w:val="24"/>
        </w:rPr>
        <w:t>s filing.</w:t>
      </w:r>
      <w:r w:rsidR="005027DB">
        <w:rPr>
          <w:rFonts w:ascii="Times New Roman" w:hAnsi="Times New Roman"/>
          <w:szCs w:val="24"/>
        </w:rPr>
        <w:t xml:space="preserve"> (</w:t>
      </w:r>
      <w:r w:rsidR="00603ECD">
        <w:rPr>
          <w:rFonts w:ascii="Times New Roman" w:hAnsi="Times New Roman"/>
          <w:szCs w:val="24"/>
        </w:rPr>
        <w:t>Tr. 1244</w:t>
      </w:r>
      <w:r w:rsidR="005027DB">
        <w:rPr>
          <w:rFonts w:ascii="Times New Roman" w:hAnsi="Times New Roman"/>
          <w:szCs w:val="24"/>
        </w:rPr>
        <w:t>.)</w:t>
      </w:r>
      <w:r>
        <w:rPr>
          <w:rFonts w:ascii="Times New Roman" w:hAnsi="Times New Roman"/>
          <w:szCs w:val="24"/>
        </w:rPr>
        <w:t xml:space="preserve"> Third, </w:t>
      </w:r>
      <w:r w:rsidRPr="00691050">
        <w:rPr>
          <w:rFonts w:ascii="Times New Roman" w:hAnsi="Times New Roman"/>
          <w:szCs w:val="24"/>
        </w:rPr>
        <w:t xml:space="preserve">PIA Staff has not proposed any </w:t>
      </w:r>
      <w:r w:rsidR="00CD622E">
        <w:rPr>
          <w:rFonts w:ascii="Times New Roman" w:hAnsi="Times New Roman"/>
          <w:szCs w:val="24"/>
        </w:rPr>
        <w:t xml:space="preserve">storm cost </w:t>
      </w:r>
      <w:r w:rsidRPr="00691050">
        <w:rPr>
          <w:rFonts w:ascii="Times New Roman" w:hAnsi="Times New Roman"/>
          <w:szCs w:val="24"/>
        </w:rPr>
        <w:t>disallowance in</w:t>
      </w:r>
      <w:r w:rsidR="00365D7A">
        <w:rPr>
          <w:rFonts w:ascii="Times New Roman" w:hAnsi="Times New Roman"/>
          <w:szCs w:val="24"/>
        </w:rPr>
        <w:t xml:space="preserve"> this case or in </w:t>
      </w:r>
      <w:r w:rsidRPr="00691050">
        <w:rPr>
          <w:rFonts w:ascii="Times New Roman" w:hAnsi="Times New Roman"/>
          <w:szCs w:val="24"/>
        </w:rPr>
        <w:t>any of the ASR review processes since the 2013 rate case</w:t>
      </w:r>
      <w:r>
        <w:rPr>
          <w:rFonts w:ascii="Times New Roman" w:hAnsi="Times New Roman"/>
          <w:szCs w:val="24"/>
        </w:rPr>
        <w:t xml:space="preserve">. </w:t>
      </w:r>
      <w:r w:rsidR="005027DB">
        <w:rPr>
          <w:rFonts w:ascii="Times New Roman" w:hAnsi="Times New Roman"/>
          <w:szCs w:val="24"/>
        </w:rPr>
        <w:t>(</w:t>
      </w:r>
      <w:r w:rsidR="000A5C08">
        <w:rPr>
          <w:rFonts w:ascii="Times New Roman" w:hAnsi="Times New Roman"/>
          <w:szCs w:val="24"/>
        </w:rPr>
        <w:t>Tr. 2656-57</w:t>
      </w:r>
      <w:r w:rsidR="005027DB">
        <w:rPr>
          <w:rFonts w:ascii="Times New Roman" w:hAnsi="Times New Roman"/>
          <w:szCs w:val="24"/>
        </w:rPr>
        <w:t xml:space="preserve">.) </w:t>
      </w:r>
      <w:r>
        <w:rPr>
          <w:rFonts w:ascii="Times New Roman" w:hAnsi="Times New Roman"/>
          <w:szCs w:val="24"/>
        </w:rPr>
        <w:t xml:space="preserve">Therefore, no outstanding question or </w:t>
      </w:r>
      <w:r w:rsidR="00190761">
        <w:rPr>
          <w:rFonts w:ascii="Times New Roman" w:hAnsi="Times New Roman"/>
          <w:szCs w:val="24"/>
        </w:rPr>
        <w:t xml:space="preserve">request for </w:t>
      </w:r>
      <w:r>
        <w:rPr>
          <w:rFonts w:ascii="Times New Roman" w:hAnsi="Times New Roman"/>
          <w:szCs w:val="24"/>
        </w:rPr>
        <w:t xml:space="preserve">action </w:t>
      </w:r>
      <w:r w:rsidR="00190761">
        <w:rPr>
          <w:rFonts w:ascii="Times New Roman" w:hAnsi="Times New Roman"/>
          <w:szCs w:val="24"/>
        </w:rPr>
        <w:t xml:space="preserve">regarding </w:t>
      </w:r>
      <w:r w:rsidR="00190761">
        <w:rPr>
          <w:rFonts w:ascii="Times New Roman" w:hAnsi="Times New Roman"/>
          <w:szCs w:val="24"/>
        </w:rPr>
        <w:lastRenderedPageBreak/>
        <w:t xml:space="preserve">the Company’s deferred storm damage account balance or projected storm damage charges is before the Commission in this docket.  </w:t>
      </w:r>
      <w:r>
        <w:rPr>
          <w:rFonts w:ascii="Times New Roman" w:hAnsi="Times New Roman"/>
          <w:szCs w:val="24"/>
        </w:rPr>
        <w:t xml:space="preserve"> </w:t>
      </w:r>
    </w:p>
    <w:p w14:paraId="1716A0F8" w14:textId="00A01903" w:rsidR="00E977A0" w:rsidRDefault="00E977A0" w:rsidP="00F4602A">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28" w:name="_Hlk26111735"/>
      <w:r>
        <w:rPr>
          <w:rFonts w:ascii="Times New Roman" w:hAnsi="Times New Roman"/>
          <w:szCs w:val="24"/>
        </w:rPr>
        <w:t>6.</w:t>
      </w:r>
      <w:r>
        <w:rPr>
          <w:rFonts w:ascii="Times New Roman" w:hAnsi="Times New Roman"/>
          <w:szCs w:val="24"/>
        </w:rPr>
        <w:tab/>
      </w:r>
      <w:r w:rsidRPr="004B6D89">
        <w:rPr>
          <w:rFonts w:ascii="Times New Roman" w:hAnsi="Times New Roman"/>
          <w:szCs w:val="24"/>
          <w:u w:val="single"/>
        </w:rPr>
        <w:t xml:space="preserve">The Commission should </w:t>
      </w:r>
      <w:r w:rsidR="001925BE" w:rsidRPr="004B6D89">
        <w:rPr>
          <w:rFonts w:ascii="Times New Roman" w:hAnsi="Times New Roman"/>
          <w:szCs w:val="24"/>
          <w:u w:val="single"/>
        </w:rPr>
        <w:t xml:space="preserve">reject </w:t>
      </w:r>
      <w:r w:rsidR="00514357" w:rsidRPr="004B6D89">
        <w:rPr>
          <w:rFonts w:ascii="Times New Roman" w:hAnsi="Times New Roman"/>
          <w:szCs w:val="24"/>
          <w:u w:val="single"/>
        </w:rPr>
        <w:t>DOD Witness Blank</w:t>
      </w:r>
      <w:r w:rsidR="006F6CB0">
        <w:rPr>
          <w:rFonts w:ascii="Times New Roman" w:hAnsi="Times New Roman"/>
          <w:szCs w:val="24"/>
          <w:u w:val="single"/>
        </w:rPr>
        <w:t>’</w:t>
      </w:r>
      <w:r w:rsidR="00514357" w:rsidRPr="004B6D89">
        <w:rPr>
          <w:rFonts w:ascii="Times New Roman" w:hAnsi="Times New Roman"/>
          <w:szCs w:val="24"/>
          <w:u w:val="single"/>
        </w:rPr>
        <w:t>s</w:t>
      </w:r>
      <w:r w:rsidRPr="004B6D89">
        <w:rPr>
          <w:rFonts w:ascii="Times New Roman" w:hAnsi="Times New Roman"/>
          <w:szCs w:val="24"/>
          <w:u w:val="single"/>
        </w:rPr>
        <w:t xml:space="preserve"> </w:t>
      </w:r>
      <w:r w:rsidR="00514357" w:rsidRPr="004B6D89">
        <w:rPr>
          <w:rFonts w:ascii="Times New Roman" w:hAnsi="Times New Roman"/>
          <w:szCs w:val="24"/>
          <w:u w:val="single"/>
        </w:rPr>
        <w:t>proposal to recover storm damage cost</w:t>
      </w:r>
      <w:r w:rsidR="00135225">
        <w:rPr>
          <w:rFonts w:ascii="Times New Roman" w:hAnsi="Times New Roman"/>
          <w:szCs w:val="24"/>
          <w:u w:val="single"/>
        </w:rPr>
        <w:t>s</w:t>
      </w:r>
      <w:r w:rsidR="00514357" w:rsidRPr="004B6D89">
        <w:rPr>
          <w:rFonts w:ascii="Times New Roman" w:hAnsi="Times New Roman"/>
          <w:szCs w:val="24"/>
          <w:u w:val="single"/>
        </w:rPr>
        <w:t xml:space="preserve"> through an annual deferred cost recovery mechanism and storm damage recovery rider</w:t>
      </w:r>
      <w:r>
        <w:rPr>
          <w:rFonts w:ascii="Times New Roman" w:hAnsi="Times New Roman"/>
          <w:szCs w:val="24"/>
        </w:rPr>
        <w:t>.</w:t>
      </w:r>
    </w:p>
    <w:bookmarkEnd w:id="28"/>
    <w:p w14:paraId="16160F62" w14:textId="66EA765E" w:rsidR="00514357" w:rsidRDefault="00514357" w:rsidP="00774801">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135225">
        <w:rPr>
          <w:rFonts w:ascii="Times New Roman" w:hAnsi="Times New Roman"/>
          <w:szCs w:val="24"/>
        </w:rPr>
        <w:t>Adopting</w:t>
      </w:r>
      <w:r w:rsidR="00190761">
        <w:rPr>
          <w:rFonts w:ascii="Times New Roman" w:hAnsi="Times New Roman"/>
          <w:szCs w:val="24"/>
        </w:rPr>
        <w:t xml:space="preserve"> Witness</w:t>
      </w:r>
      <w:r w:rsidR="00691050" w:rsidRPr="00691050">
        <w:rPr>
          <w:rFonts w:ascii="Times New Roman" w:hAnsi="Times New Roman"/>
          <w:szCs w:val="24"/>
        </w:rPr>
        <w:t xml:space="preserve"> Blank</w:t>
      </w:r>
      <w:r w:rsidR="006F6CB0">
        <w:rPr>
          <w:rFonts w:ascii="Times New Roman" w:hAnsi="Times New Roman"/>
          <w:szCs w:val="24"/>
        </w:rPr>
        <w:t>’</w:t>
      </w:r>
      <w:r w:rsidR="00691050" w:rsidRPr="00691050">
        <w:rPr>
          <w:rFonts w:ascii="Times New Roman" w:hAnsi="Times New Roman"/>
          <w:szCs w:val="24"/>
        </w:rPr>
        <w:t>s recommendation</w:t>
      </w:r>
      <w:r>
        <w:rPr>
          <w:rFonts w:ascii="Times New Roman" w:hAnsi="Times New Roman"/>
          <w:szCs w:val="24"/>
        </w:rPr>
        <w:t xml:space="preserve"> to separately recover storm damage cost</w:t>
      </w:r>
      <w:r w:rsidR="00135225">
        <w:rPr>
          <w:rFonts w:ascii="Times New Roman" w:hAnsi="Times New Roman"/>
          <w:szCs w:val="24"/>
        </w:rPr>
        <w:t>s</w:t>
      </w:r>
      <w:r>
        <w:rPr>
          <w:rFonts w:ascii="Times New Roman" w:hAnsi="Times New Roman"/>
          <w:szCs w:val="24"/>
        </w:rPr>
        <w:t xml:space="preserve"> through a storm damage rider and annual cost recovery mechanism</w:t>
      </w:r>
      <w:r w:rsidR="00691050" w:rsidRPr="00691050">
        <w:rPr>
          <w:rFonts w:ascii="Times New Roman" w:hAnsi="Times New Roman"/>
          <w:szCs w:val="24"/>
        </w:rPr>
        <w:t xml:space="preserve"> </w:t>
      </w:r>
      <w:r>
        <w:rPr>
          <w:rFonts w:ascii="Times New Roman" w:hAnsi="Times New Roman"/>
          <w:szCs w:val="24"/>
        </w:rPr>
        <w:t xml:space="preserve">would </w:t>
      </w:r>
      <w:r w:rsidR="00190761">
        <w:rPr>
          <w:rFonts w:ascii="Times New Roman" w:hAnsi="Times New Roman"/>
          <w:szCs w:val="24"/>
        </w:rPr>
        <w:t xml:space="preserve">(1) </w:t>
      </w:r>
      <w:r>
        <w:rPr>
          <w:rFonts w:ascii="Times New Roman" w:hAnsi="Times New Roman"/>
          <w:szCs w:val="24"/>
        </w:rPr>
        <w:t>inappropriately keep Georgia Power in an under-recovered position,</w:t>
      </w:r>
      <w:r w:rsidR="00190761">
        <w:rPr>
          <w:rFonts w:ascii="Times New Roman" w:hAnsi="Times New Roman"/>
          <w:szCs w:val="24"/>
        </w:rPr>
        <w:t xml:space="preserve"> (2) unnecessarily depart</w:t>
      </w:r>
      <w:r w:rsidR="00691050" w:rsidRPr="00691050">
        <w:rPr>
          <w:rFonts w:ascii="Times New Roman" w:hAnsi="Times New Roman"/>
          <w:szCs w:val="24"/>
        </w:rPr>
        <w:t xml:space="preserve"> from past</w:t>
      </w:r>
      <w:r w:rsidR="00190761">
        <w:rPr>
          <w:rFonts w:ascii="Times New Roman" w:hAnsi="Times New Roman"/>
          <w:szCs w:val="24"/>
        </w:rPr>
        <w:t xml:space="preserve"> Commission</w:t>
      </w:r>
      <w:r w:rsidR="00691050" w:rsidRPr="00691050">
        <w:rPr>
          <w:rFonts w:ascii="Times New Roman" w:hAnsi="Times New Roman"/>
          <w:szCs w:val="24"/>
        </w:rPr>
        <w:t xml:space="preserve"> precedent</w:t>
      </w:r>
      <w:r>
        <w:rPr>
          <w:rFonts w:ascii="Times New Roman" w:hAnsi="Times New Roman"/>
          <w:szCs w:val="24"/>
        </w:rPr>
        <w:t xml:space="preserve">, and </w:t>
      </w:r>
      <w:r w:rsidR="00190761">
        <w:rPr>
          <w:rFonts w:ascii="Times New Roman" w:hAnsi="Times New Roman"/>
          <w:szCs w:val="24"/>
        </w:rPr>
        <w:t>(3)</w:t>
      </w:r>
      <w:r>
        <w:rPr>
          <w:rFonts w:ascii="Times New Roman" w:hAnsi="Times New Roman"/>
          <w:szCs w:val="24"/>
        </w:rPr>
        <w:t xml:space="preserve"> result in single issue ratemaking</w:t>
      </w:r>
      <w:r w:rsidR="00691050" w:rsidRPr="00691050">
        <w:rPr>
          <w:rFonts w:ascii="Times New Roman" w:hAnsi="Times New Roman"/>
          <w:szCs w:val="24"/>
        </w:rPr>
        <w:t>.</w:t>
      </w:r>
      <w:r w:rsidR="00190761">
        <w:rPr>
          <w:rFonts w:ascii="Times New Roman" w:hAnsi="Times New Roman"/>
          <w:szCs w:val="24"/>
        </w:rPr>
        <w:t xml:space="preserve"> </w:t>
      </w:r>
      <w:r w:rsidR="005E32DC">
        <w:rPr>
          <w:rFonts w:ascii="Times New Roman" w:hAnsi="Times New Roman"/>
          <w:szCs w:val="24"/>
        </w:rPr>
        <w:t xml:space="preserve">Recovering the Company’s storm damage costs in this manner might also lead to volatile and less certain rates, which would be contrary to the goals of an ARP. </w:t>
      </w:r>
      <w:r w:rsidR="00190761">
        <w:rPr>
          <w:rFonts w:ascii="Times New Roman" w:hAnsi="Times New Roman"/>
          <w:szCs w:val="24"/>
        </w:rPr>
        <w:t>If Witness</w:t>
      </w:r>
      <w:r>
        <w:rPr>
          <w:rFonts w:ascii="Times New Roman" w:hAnsi="Times New Roman"/>
          <w:szCs w:val="24"/>
        </w:rPr>
        <w:t xml:space="preserve"> Blank</w:t>
      </w:r>
      <w:r w:rsidR="006F6CB0">
        <w:rPr>
          <w:rFonts w:ascii="Times New Roman" w:hAnsi="Times New Roman"/>
          <w:szCs w:val="24"/>
        </w:rPr>
        <w:t>’</w:t>
      </w:r>
      <w:r>
        <w:rPr>
          <w:rFonts w:ascii="Times New Roman" w:hAnsi="Times New Roman"/>
          <w:szCs w:val="24"/>
        </w:rPr>
        <w:t>s propos</w:t>
      </w:r>
      <w:r w:rsidR="00875205">
        <w:rPr>
          <w:rFonts w:ascii="Times New Roman" w:hAnsi="Times New Roman"/>
          <w:szCs w:val="24"/>
        </w:rPr>
        <w:t>ed storm recovery rider</w:t>
      </w:r>
      <w:r w:rsidR="00190761">
        <w:rPr>
          <w:rFonts w:ascii="Times New Roman" w:hAnsi="Times New Roman"/>
          <w:szCs w:val="24"/>
        </w:rPr>
        <w:t xml:space="preserve"> proposal</w:t>
      </w:r>
      <w:r w:rsidR="00875205">
        <w:rPr>
          <w:rFonts w:ascii="Times New Roman" w:hAnsi="Times New Roman"/>
          <w:szCs w:val="24"/>
        </w:rPr>
        <w:t xml:space="preserve"> </w:t>
      </w:r>
      <w:r w:rsidR="00135225">
        <w:rPr>
          <w:rFonts w:ascii="Times New Roman" w:hAnsi="Times New Roman"/>
          <w:szCs w:val="24"/>
        </w:rPr>
        <w:t xml:space="preserve">was </w:t>
      </w:r>
      <w:r w:rsidR="00190761">
        <w:rPr>
          <w:rFonts w:ascii="Times New Roman" w:hAnsi="Times New Roman"/>
          <w:szCs w:val="24"/>
        </w:rPr>
        <w:t>adopted,</w:t>
      </w:r>
      <w:r w:rsidR="00875205">
        <w:rPr>
          <w:rFonts w:ascii="Times New Roman" w:hAnsi="Times New Roman"/>
          <w:szCs w:val="24"/>
        </w:rPr>
        <w:t xml:space="preserve"> </w:t>
      </w:r>
      <w:r w:rsidR="00875205" w:rsidRPr="00875205">
        <w:rPr>
          <w:rFonts w:ascii="Times New Roman" w:hAnsi="Times New Roman"/>
          <w:szCs w:val="24"/>
        </w:rPr>
        <w:t xml:space="preserve">the Company would </w:t>
      </w:r>
      <w:r w:rsidR="00190761">
        <w:rPr>
          <w:rFonts w:ascii="Times New Roman" w:hAnsi="Times New Roman"/>
          <w:szCs w:val="24"/>
        </w:rPr>
        <w:t>receive</w:t>
      </w:r>
      <w:r w:rsidR="00875205" w:rsidRPr="00875205">
        <w:rPr>
          <w:rFonts w:ascii="Times New Roman" w:hAnsi="Times New Roman"/>
          <w:szCs w:val="24"/>
        </w:rPr>
        <w:t xml:space="preserve"> its requested three-year recovery of the current regulatory asset balance from past storms </w:t>
      </w:r>
      <w:r w:rsidR="00875205">
        <w:rPr>
          <w:rFonts w:ascii="Times New Roman" w:hAnsi="Times New Roman"/>
          <w:szCs w:val="24"/>
        </w:rPr>
        <w:t xml:space="preserve">and require </w:t>
      </w:r>
      <w:r w:rsidR="00190761">
        <w:rPr>
          <w:rFonts w:ascii="Times New Roman" w:hAnsi="Times New Roman"/>
          <w:szCs w:val="24"/>
        </w:rPr>
        <w:t xml:space="preserve">that </w:t>
      </w:r>
      <w:r w:rsidR="00875205">
        <w:rPr>
          <w:rFonts w:ascii="Times New Roman" w:hAnsi="Times New Roman"/>
          <w:szCs w:val="24"/>
        </w:rPr>
        <w:t>the Company annually file</w:t>
      </w:r>
      <w:r w:rsidR="00875205" w:rsidRPr="00875205">
        <w:rPr>
          <w:rFonts w:ascii="Times New Roman" w:hAnsi="Times New Roman"/>
          <w:szCs w:val="24"/>
        </w:rPr>
        <w:t xml:space="preserve"> for </w:t>
      </w:r>
      <w:r w:rsidR="00875205">
        <w:rPr>
          <w:rFonts w:ascii="Times New Roman" w:hAnsi="Times New Roman"/>
          <w:szCs w:val="24"/>
        </w:rPr>
        <w:t xml:space="preserve">Commission </w:t>
      </w:r>
      <w:r w:rsidR="00875205" w:rsidRPr="00875205">
        <w:rPr>
          <w:rFonts w:ascii="Times New Roman" w:hAnsi="Times New Roman"/>
          <w:szCs w:val="24"/>
        </w:rPr>
        <w:t xml:space="preserve">approval to reset the rider to include recovery of storm damage costs </w:t>
      </w:r>
      <w:r w:rsidR="00190761">
        <w:rPr>
          <w:rFonts w:ascii="Times New Roman" w:hAnsi="Times New Roman"/>
          <w:szCs w:val="24"/>
        </w:rPr>
        <w:t>incurred</w:t>
      </w:r>
      <w:r w:rsidR="00875205" w:rsidRPr="00875205">
        <w:rPr>
          <w:rFonts w:ascii="Times New Roman" w:hAnsi="Times New Roman"/>
          <w:szCs w:val="24"/>
        </w:rPr>
        <w:t xml:space="preserve"> during the past year.</w:t>
      </w:r>
      <w:r w:rsidR="00875205">
        <w:rPr>
          <w:rFonts w:ascii="Times New Roman" w:hAnsi="Times New Roman"/>
          <w:szCs w:val="24"/>
        </w:rPr>
        <w:t xml:space="preserve"> </w:t>
      </w:r>
      <w:r w:rsidR="00E34DDB">
        <w:rPr>
          <w:rFonts w:ascii="Times New Roman" w:hAnsi="Times New Roman"/>
          <w:szCs w:val="24"/>
        </w:rPr>
        <w:t>(</w:t>
      </w:r>
      <w:r w:rsidR="005E32DC">
        <w:rPr>
          <w:rFonts w:ascii="Times New Roman" w:hAnsi="Times New Roman"/>
          <w:szCs w:val="24"/>
        </w:rPr>
        <w:t>Tr. 1018</w:t>
      </w:r>
      <w:r w:rsidR="00E34DDB">
        <w:rPr>
          <w:rFonts w:ascii="Times New Roman" w:hAnsi="Times New Roman"/>
          <w:szCs w:val="24"/>
        </w:rPr>
        <w:t xml:space="preserve">.) </w:t>
      </w:r>
      <w:r w:rsidR="00875205">
        <w:rPr>
          <w:rFonts w:ascii="Times New Roman" w:hAnsi="Times New Roman"/>
          <w:szCs w:val="24"/>
        </w:rPr>
        <w:t xml:space="preserve">However, </w:t>
      </w:r>
      <w:r w:rsidR="00190761">
        <w:rPr>
          <w:rFonts w:ascii="Times New Roman" w:hAnsi="Times New Roman"/>
          <w:szCs w:val="24"/>
        </w:rPr>
        <w:t>Witness</w:t>
      </w:r>
      <w:r w:rsidR="00875205">
        <w:rPr>
          <w:rFonts w:ascii="Times New Roman" w:hAnsi="Times New Roman"/>
          <w:szCs w:val="24"/>
        </w:rPr>
        <w:t xml:space="preserve"> Blank</w:t>
      </w:r>
      <w:r w:rsidR="006F6CB0">
        <w:rPr>
          <w:rFonts w:ascii="Times New Roman" w:hAnsi="Times New Roman"/>
          <w:szCs w:val="24"/>
        </w:rPr>
        <w:t>’</w:t>
      </w:r>
      <w:r w:rsidR="00875205">
        <w:rPr>
          <w:rFonts w:ascii="Times New Roman" w:hAnsi="Times New Roman"/>
          <w:szCs w:val="24"/>
        </w:rPr>
        <w:t>s proposal creates significant regulatory lag and actually prevents timely recovery of the Company</w:t>
      </w:r>
      <w:r w:rsidR="006F6CB0">
        <w:rPr>
          <w:rFonts w:ascii="Times New Roman" w:hAnsi="Times New Roman"/>
          <w:szCs w:val="24"/>
        </w:rPr>
        <w:t>’</w:t>
      </w:r>
      <w:r w:rsidR="00875205">
        <w:rPr>
          <w:rFonts w:ascii="Times New Roman" w:hAnsi="Times New Roman"/>
          <w:szCs w:val="24"/>
        </w:rPr>
        <w:t>s storm damage costs, which is not an approach the Company supports.</w:t>
      </w:r>
      <w:r w:rsidR="00875205">
        <w:t xml:space="preserve">  </w:t>
      </w:r>
    </w:p>
    <w:p w14:paraId="277139E1" w14:textId="4BCBEBF5" w:rsidR="00054425" w:rsidRPr="00186C1F" w:rsidRDefault="00875205" w:rsidP="004B6D89">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t>Further, s</w:t>
      </w:r>
      <w:r w:rsidR="00691050" w:rsidRPr="00691050">
        <w:rPr>
          <w:rFonts w:ascii="Times New Roman" w:hAnsi="Times New Roman"/>
          <w:szCs w:val="24"/>
        </w:rPr>
        <w:t>imilar to CCR ARO compliance cost</w:t>
      </w:r>
      <w:r w:rsidR="00190761">
        <w:rPr>
          <w:rFonts w:ascii="Times New Roman" w:hAnsi="Times New Roman"/>
          <w:szCs w:val="24"/>
        </w:rPr>
        <w:t xml:space="preserve"> </w:t>
      </w:r>
      <w:r w:rsidR="00190761" w:rsidRPr="00691050">
        <w:rPr>
          <w:rFonts w:ascii="Times New Roman" w:hAnsi="Times New Roman"/>
          <w:szCs w:val="24"/>
        </w:rPr>
        <w:t>accounting</w:t>
      </w:r>
      <w:r w:rsidR="00691050" w:rsidRPr="00691050">
        <w:rPr>
          <w:rFonts w:ascii="Times New Roman" w:hAnsi="Times New Roman"/>
          <w:szCs w:val="24"/>
        </w:rPr>
        <w:t xml:space="preserve">, </w:t>
      </w:r>
      <w:r w:rsidR="00190761">
        <w:rPr>
          <w:rFonts w:ascii="Times New Roman" w:hAnsi="Times New Roman"/>
          <w:szCs w:val="24"/>
        </w:rPr>
        <w:t xml:space="preserve">the Company already separately tracks </w:t>
      </w:r>
      <w:r w:rsidR="00691050" w:rsidRPr="00691050">
        <w:rPr>
          <w:rFonts w:ascii="Times New Roman" w:hAnsi="Times New Roman"/>
          <w:szCs w:val="24"/>
        </w:rPr>
        <w:t>storm damage costs, and any over- or under-recovery of actual storm damage costs incurred compared to the amounts included in rates are deferred to a regulatory</w:t>
      </w:r>
      <w:r w:rsidR="000D487A">
        <w:rPr>
          <w:rFonts w:ascii="Times New Roman" w:hAnsi="Times New Roman"/>
          <w:szCs w:val="24"/>
        </w:rPr>
        <w:t xml:space="preserve"> liability or</w:t>
      </w:r>
      <w:r w:rsidR="00691050" w:rsidRPr="00691050">
        <w:rPr>
          <w:rFonts w:ascii="Times New Roman" w:hAnsi="Times New Roman"/>
          <w:szCs w:val="24"/>
        </w:rPr>
        <w:t xml:space="preserve"> asset</w:t>
      </w:r>
      <w:r w:rsidR="000D487A">
        <w:rPr>
          <w:rFonts w:ascii="Times New Roman" w:hAnsi="Times New Roman"/>
          <w:szCs w:val="24"/>
        </w:rPr>
        <w:t>, respectively</w:t>
      </w:r>
      <w:r w:rsidR="00691050" w:rsidRPr="00691050">
        <w:rPr>
          <w:rFonts w:ascii="Times New Roman" w:hAnsi="Times New Roman"/>
          <w:szCs w:val="24"/>
        </w:rPr>
        <w:t>.</w:t>
      </w:r>
      <w:r>
        <w:rPr>
          <w:rFonts w:ascii="Times New Roman" w:hAnsi="Times New Roman"/>
          <w:szCs w:val="24"/>
        </w:rPr>
        <w:t xml:space="preserve"> This</w:t>
      </w:r>
      <w:r w:rsidR="00135225">
        <w:rPr>
          <w:rFonts w:ascii="Times New Roman" w:hAnsi="Times New Roman"/>
          <w:szCs w:val="24"/>
        </w:rPr>
        <w:t xml:space="preserve"> treatment</w:t>
      </w:r>
      <w:r>
        <w:rPr>
          <w:rFonts w:ascii="Times New Roman" w:hAnsi="Times New Roman"/>
          <w:szCs w:val="24"/>
        </w:rPr>
        <w:t xml:space="preserve"> is consistent with past precedent and </w:t>
      </w:r>
      <w:r w:rsidR="00190761">
        <w:rPr>
          <w:rFonts w:ascii="Times New Roman" w:hAnsi="Times New Roman"/>
          <w:szCs w:val="24"/>
        </w:rPr>
        <w:t>Witness</w:t>
      </w:r>
      <w:r>
        <w:rPr>
          <w:rFonts w:ascii="Times New Roman" w:hAnsi="Times New Roman"/>
          <w:szCs w:val="24"/>
        </w:rPr>
        <w:t xml:space="preserve"> Blank has not</w:t>
      </w:r>
      <w:r w:rsidR="00190761">
        <w:rPr>
          <w:rFonts w:ascii="Times New Roman" w:hAnsi="Times New Roman"/>
          <w:szCs w:val="24"/>
        </w:rPr>
        <w:t xml:space="preserve"> provided</w:t>
      </w:r>
      <w:r>
        <w:rPr>
          <w:rFonts w:ascii="Times New Roman" w:hAnsi="Times New Roman"/>
          <w:szCs w:val="24"/>
        </w:rPr>
        <w:t xml:space="preserve"> sufficient evidence</w:t>
      </w:r>
      <w:r w:rsidR="00190761">
        <w:rPr>
          <w:rFonts w:ascii="Times New Roman" w:hAnsi="Times New Roman"/>
          <w:szCs w:val="24"/>
        </w:rPr>
        <w:t xml:space="preserve"> for this Commission</w:t>
      </w:r>
      <w:r>
        <w:rPr>
          <w:rFonts w:ascii="Times New Roman" w:hAnsi="Times New Roman"/>
          <w:szCs w:val="24"/>
        </w:rPr>
        <w:t xml:space="preserve"> to </w:t>
      </w:r>
      <w:r w:rsidR="000857A9">
        <w:rPr>
          <w:rFonts w:ascii="Times New Roman" w:hAnsi="Times New Roman"/>
          <w:szCs w:val="24"/>
        </w:rPr>
        <w:t>depart from</w:t>
      </w:r>
      <w:r>
        <w:rPr>
          <w:rFonts w:ascii="Times New Roman" w:hAnsi="Times New Roman"/>
          <w:szCs w:val="24"/>
        </w:rPr>
        <w:t xml:space="preserve"> the Commission</w:t>
      </w:r>
      <w:r w:rsidR="006F6CB0">
        <w:rPr>
          <w:rFonts w:ascii="Times New Roman" w:hAnsi="Times New Roman"/>
          <w:szCs w:val="24"/>
        </w:rPr>
        <w:t>’</w:t>
      </w:r>
      <w:r>
        <w:rPr>
          <w:rFonts w:ascii="Times New Roman" w:hAnsi="Times New Roman"/>
          <w:szCs w:val="24"/>
        </w:rPr>
        <w:t>s current approach. If the Company</w:t>
      </w:r>
      <w:r w:rsidR="006F6CB0">
        <w:rPr>
          <w:rFonts w:ascii="Times New Roman" w:hAnsi="Times New Roman"/>
          <w:szCs w:val="24"/>
        </w:rPr>
        <w:t>’</w:t>
      </w:r>
      <w:r>
        <w:rPr>
          <w:rFonts w:ascii="Times New Roman" w:hAnsi="Times New Roman"/>
          <w:szCs w:val="24"/>
        </w:rPr>
        <w:t xml:space="preserve">s proposal to increase its projected storm damage costs and amortize the balance of the </w:t>
      </w:r>
      <w:r w:rsidR="00054425">
        <w:rPr>
          <w:rFonts w:ascii="Times New Roman" w:hAnsi="Times New Roman"/>
          <w:szCs w:val="24"/>
        </w:rPr>
        <w:t xml:space="preserve">deferred </w:t>
      </w:r>
      <w:r>
        <w:rPr>
          <w:rFonts w:ascii="Times New Roman" w:hAnsi="Times New Roman"/>
          <w:szCs w:val="24"/>
        </w:rPr>
        <w:t>storm damage</w:t>
      </w:r>
      <w:r w:rsidR="00054425">
        <w:rPr>
          <w:rFonts w:ascii="Times New Roman" w:hAnsi="Times New Roman"/>
          <w:szCs w:val="24"/>
        </w:rPr>
        <w:t xml:space="preserve"> account</w:t>
      </w:r>
      <w:r>
        <w:rPr>
          <w:rFonts w:ascii="Times New Roman" w:hAnsi="Times New Roman"/>
          <w:szCs w:val="24"/>
        </w:rPr>
        <w:t xml:space="preserve"> is adopted, it </w:t>
      </w:r>
      <w:r w:rsidR="00663509">
        <w:rPr>
          <w:rFonts w:ascii="Times New Roman" w:hAnsi="Times New Roman"/>
          <w:szCs w:val="24"/>
        </w:rPr>
        <w:t xml:space="preserve">could </w:t>
      </w:r>
      <w:r>
        <w:rPr>
          <w:rFonts w:ascii="Times New Roman" w:hAnsi="Times New Roman"/>
          <w:szCs w:val="24"/>
        </w:rPr>
        <w:t>avoid the possible accrual of large regulatory asset balances going forward</w:t>
      </w:r>
      <w:r w:rsidR="00054425">
        <w:rPr>
          <w:rFonts w:ascii="Times New Roman" w:hAnsi="Times New Roman"/>
          <w:szCs w:val="24"/>
        </w:rPr>
        <w:t xml:space="preserve"> that</w:t>
      </w:r>
      <w:r>
        <w:rPr>
          <w:rFonts w:ascii="Times New Roman" w:hAnsi="Times New Roman"/>
          <w:szCs w:val="24"/>
        </w:rPr>
        <w:t xml:space="preserve"> </w:t>
      </w:r>
      <w:r w:rsidR="000857A9">
        <w:rPr>
          <w:rFonts w:ascii="Times New Roman" w:hAnsi="Times New Roman"/>
          <w:szCs w:val="24"/>
        </w:rPr>
        <w:t>Witness</w:t>
      </w:r>
      <w:r>
        <w:rPr>
          <w:rFonts w:ascii="Times New Roman" w:hAnsi="Times New Roman"/>
          <w:szCs w:val="24"/>
        </w:rPr>
        <w:t xml:space="preserve"> Blank aims to achieve.</w:t>
      </w:r>
      <w:r w:rsidR="00054425">
        <w:rPr>
          <w:rFonts w:ascii="Times New Roman" w:hAnsi="Times New Roman"/>
          <w:szCs w:val="24"/>
        </w:rPr>
        <w:t xml:space="preserve"> Finally, the C</w:t>
      </w:r>
      <w:r w:rsidR="00B70002">
        <w:rPr>
          <w:rFonts w:ascii="Times New Roman" w:hAnsi="Times New Roman"/>
          <w:szCs w:val="24"/>
        </w:rPr>
        <w:t xml:space="preserve">ommission should </w:t>
      </w:r>
      <w:r w:rsidR="00B70002">
        <w:rPr>
          <w:rFonts w:ascii="Times New Roman" w:hAnsi="Times New Roman"/>
          <w:szCs w:val="24"/>
        </w:rPr>
        <w:lastRenderedPageBreak/>
        <w:t>not adopt the recommendation to recover storm damage cost through a separate rider because it inappropriately steers the Company and the Commission toward single issue ratemaking which is not characteristic of the Commission</w:t>
      </w:r>
      <w:r w:rsidR="006F6CB0">
        <w:rPr>
          <w:rFonts w:ascii="Times New Roman" w:hAnsi="Times New Roman"/>
          <w:szCs w:val="24"/>
        </w:rPr>
        <w:t>’</w:t>
      </w:r>
      <w:r w:rsidR="00B70002">
        <w:rPr>
          <w:rFonts w:ascii="Times New Roman" w:hAnsi="Times New Roman"/>
          <w:szCs w:val="24"/>
        </w:rPr>
        <w:t>s general ratemaking policy.</w:t>
      </w:r>
    </w:p>
    <w:p w14:paraId="0E299FD8" w14:textId="448FEF67" w:rsidR="00186C1F" w:rsidRDefault="00E977A0" w:rsidP="00F4602A">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29" w:name="_Hlk26111744"/>
      <w:r>
        <w:rPr>
          <w:rFonts w:ascii="Times New Roman" w:hAnsi="Times New Roman"/>
          <w:szCs w:val="24"/>
        </w:rPr>
        <w:t>7</w:t>
      </w:r>
      <w:r w:rsidR="00533458">
        <w:rPr>
          <w:rFonts w:ascii="Times New Roman" w:hAnsi="Times New Roman"/>
          <w:szCs w:val="24"/>
        </w:rPr>
        <w:t>.</w:t>
      </w:r>
      <w:r w:rsidR="00533458">
        <w:rPr>
          <w:rFonts w:ascii="Times New Roman" w:hAnsi="Times New Roman"/>
          <w:szCs w:val="24"/>
        </w:rPr>
        <w:tab/>
      </w:r>
      <w:r w:rsidR="00691050" w:rsidRPr="00036910">
        <w:rPr>
          <w:rFonts w:ascii="Times New Roman" w:hAnsi="Times New Roman"/>
          <w:szCs w:val="24"/>
          <w:u w:val="single"/>
        </w:rPr>
        <w:t>The Commission should not adopt PIA Staff</w:t>
      </w:r>
      <w:r w:rsidR="006F6CB0">
        <w:rPr>
          <w:rFonts w:ascii="Times New Roman" w:hAnsi="Times New Roman"/>
          <w:szCs w:val="24"/>
          <w:u w:val="single"/>
        </w:rPr>
        <w:t>’</w:t>
      </w:r>
      <w:r w:rsidR="00691050" w:rsidRPr="00036910">
        <w:rPr>
          <w:rFonts w:ascii="Times New Roman" w:hAnsi="Times New Roman"/>
          <w:szCs w:val="24"/>
          <w:u w:val="single"/>
        </w:rPr>
        <w:t>s recommendation to alter this Commission</w:t>
      </w:r>
      <w:r w:rsidR="006F6CB0">
        <w:rPr>
          <w:rFonts w:ascii="Times New Roman" w:hAnsi="Times New Roman"/>
          <w:szCs w:val="24"/>
          <w:u w:val="single"/>
        </w:rPr>
        <w:t>’</w:t>
      </w:r>
      <w:r w:rsidR="00691050" w:rsidRPr="00036910">
        <w:rPr>
          <w:rFonts w:ascii="Times New Roman" w:hAnsi="Times New Roman"/>
          <w:szCs w:val="24"/>
          <w:u w:val="single"/>
        </w:rPr>
        <w:t>s approved ratemaking treatment for the Company</w:t>
      </w:r>
      <w:r w:rsidR="006F6CB0">
        <w:rPr>
          <w:rFonts w:ascii="Times New Roman" w:hAnsi="Times New Roman"/>
          <w:szCs w:val="24"/>
          <w:u w:val="single"/>
        </w:rPr>
        <w:t>’</w:t>
      </w:r>
      <w:r w:rsidR="00691050" w:rsidRPr="00036910">
        <w:rPr>
          <w:rFonts w:ascii="Times New Roman" w:hAnsi="Times New Roman"/>
          <w:szCs w:val="24"/>
          <w:u w:val="single"/>
        </w:rPr>
        <w:t>s Plant Kraft Donation to the Georgia Ports Authority</w:t>
      </w:r>
      <w:r w:rsidR="00691050" w:rsidRPr="00036910">
        <w:rPr>
          <w:rFonts w:ascii="Times New Roman" w:hAnsi="Times New Roman"/>
          <w:szCs w:val="24"/>
        </w:rPr>
        <w:t>.</w:t>
      </w:r>
    </w:p>
    <w:bookmarkEnd w:id="29"/>
    <w:p w14:paraId="795B3733" w14:textId="44601CE6" w:rsidR="006F7D69" w:rsidRDefault="00160FCA" w:rsidP="00FE6A4D">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691050" w:rsidRPr="00691050">
        <w:rPr>
          <w:rFonts w:ascii="Times New Roman" w:hAnsi="Times New Roman"/>
          <w:szCs w:val="24"/>
        </w:rPr>
        <w:t xml:space="preserve">The Company </w:t>
      </w:r>
      <w:r w:rsidR="000857A9">
        <w:rPr>
          <w:rFonts w:ascii="Times New Roman" w:hAnsi="Times New Roman"/>
          <w:szCs w:val="24"/>
        </w:rPr>
        <w:t>plans to comply with</w:t>
      </w:r>
      <w:r w:rsidR="00691050" w:rsidRPr="00691050">
        <w:rPr>
          <w:rFonts w:ascii="Times New Roman" w:hAnsi="Times New Roman"/>
          <w:szCs w:val="24"/>
        </w:rPr>
        <w:t xml:space="preserve"> the Commission</w:t>
      </w:r>
      <w:r w:rsidR="006F6CB0">
        <w:rPr>
          <w:rFonts w:ascii="Times New Roman" w:hAnsi="Times New Roman"/>
          <w:szCs w:val="24"/>
        </w:rPr>
        <w:t>’</w:t>
      </w:r>
      <w:r w:rsidR="00691050" w:rsidRPr="00691050">
        <w:rPr>
          <w:rFonts w:ascii="Times New Roman" w:hAnsi="Times New Roman"/>
          <w:szCs w:val="24"/>
        </w:rPr>
        <w:t>s</w:t>
      </w:r>
      <w:r>
        <w:rPr>
          <w:rFonts w:ascii="Times New Roman" w:hAnsi="Times New Roman"/>
          <w:szCs w:val="24"/>
        </w:rPr>
        <w:t xml:space="preserve"> October 16, 2018</w:t>
      </w:r>
      <w:r w:rsidR="00691050" w:rsidRPr="00691050">
        <w:rPr>
          <w:rFonts w:ascii="Times New Roman" w:hAnsi="Times New Roman"/>
          <w:szCs w:val="24"/>
        </w:rPr>
        <w:t xml:space="preserve"> Order </w:t>
      </w:r>
      <w:r>
        <w:rPr>
          <w:rFonts w:ascii="Times New Roman" w:hAnsi="Times New Roman"/>
          <w:szCs w:val="24"/>
        </w:rPr>
        <w:t>A</w:t>
      </w:r>
      <w:r w:rsidR="00691050" w:rsidRPr="00691050">
        <w:rPr>
          <w:rFonts w:ascii="Times New Roman" w:hAnsi="Times New Roman"/>
          <w:szCs w:val="24"/>
        </w:rPr>
        <w:t xml:space="preserve">pproving </w:t>
      </w:r>
      <w:r>
        <w:rPr>
          <w:rFonts w:ascii="Times New Roman" w:hAnsi="Times New Roman"/>
          <w:szCs w:val="24"/>
        </w:rPr>
        <w:t>D</w:t>
      </w:r>
      <w:r w:rsidR="00691050" w:rsidRPr="00691050">
        <w:rPr>
          <w:rFonts w:ascii="Times New Roman" w:hAnsi="Times New Roman"/>
          <w:szCs w:val="24"/>
        </w:rPr>
        <w:t>onation of Tract-1 Land at Plant Kraft in Docket No. 36989</w:t>
      </w:r>
      <w:r>
        <w:rPr>
          <w:rFonts w:ascii="Times New Roman" w:hAnsi="Times New Roman"/>
          <w:szCs w:val="24"/>
        </w:rPr>
        <w:t>, which approved the Company</w:t>
      </w:r>
      <w:r w:rsidR="006F6CB0">
        <w:rPr>
          <w:rFonts w:ascii="Times New Roman" w:hAnsi="Times New Roman"/>
          <w:szCs w:val="24"/>
        </w:rPr>
        <w:t>’</w:t>
      </w:r>
      <w:r>
        <w:rPr>
          <w:rFonts w:ascii="Times New Roman" w:hAnsi="Times New Roman"/>
          <w:szCs w:val="24"/>
        </w:rPr>
        <w:t>s donation and proposed accounting treatment for the Plant Kraft land.</w:t>
      </w:r>
      <w:r w:rsidR="005059C6">
        <w:rPr>
          <w:rFonts w:ascii="Times New Roman" w:hAnsi="Times New Roman"/>
          <w:szCs w:val="24"/>
        </w:rPr>
        <w:t xml:space="preserve"> </w:t>
      </w:r>
      <w:r w:rsidR="00E34DDB">
        <w:rPr>
          <w:rFonts w:ascii="Times New Roman" w:hAnsi="Times New Roman"/>
          <w:szCs w:val="24"/>
        </w:rPr>
        <w:t>(</w:t>
      </w:r>
      <w:r w:rsidR="005E32DC">
        <w:rPr>
          <w:rFonts w:ascii="Times New Roman" w:hAnsi="Times New Roman"/>
          <w:szCs w:val="24"/>
        </w:rPr>
        <w:t>Tr. 2657</w:t>
      </w:r>
      <w:r w:rsidR="00E34DDB">
        <w:rPr>
          <w:rFonts w:ascii="Times New Roman" w:hAnsi="Times New Roman"/>
          <w:szCs w:val="24"/>
        </w:rPr>
        <w:t xml:space="preserve">.) </w:t>
      </w:r>
      <w:r>
        <w:rPr>
          <w:rFonts w:ascii="Times New Roman" w:hAnsi="Times New Roman"/>
          <w:szCs w:val="24"/>
        </w:rPr>
        <w:t>N</w:t>
      </w:r>
      <w:r w:rsidR="005059C6">
        <w:rPr>
          <w:rFonts w:ascii="Times New Roman" w:hAnsi="Times New Roman"/>
          <w:szCs w:val="24"/>
        </w:rPr>
        <w:t xml:space="preserve">o evidence provided in this case justifies </w:t>
      </w:r>
      <w:r>
        <w:rPr>
          <w:rFonts w:ascii="Times New Roman" w:hAnsi="Times New Roman"/>
          <w:szCs w:val="24"/>
        </w:rPr>
        <w:t xml:space="preserve">alternate treatment. </w:t>
      </w:r>
      <w:r w:rsidR="006F7D69">
        <w:rPr>
          <w:rFonts w:ascii="Times New Roman" w:hAnsi="Times New Roman"/>
          <w:szCs w:val="24"/>
        </w:rPr>
        <w:t>Despite acknowledging the lack of gain or loss on the donation of the Plant Kraft land, PIA Staff recommends</w:t>
      </w:r>
      <w:r w:rsidR="000857A9">
        <w:rPr>
          <w:rFonts w:ascii="Times New Roman" w:hAnsi="Times New Roman"/>
          <w:szCs w:val="24"/>
        </w:rPr>
        <w:t xml:space="preserve"> that</w:t>
      </w:r>
      <w:r w:rsidR="006F7D69">
        <w:rPr>
          <w:rFonts w:ascii="Times New Roman" w:hAnsi="Times New Roman"/>
          <w:szCs w:val="24"/>
        </w:rPr>
        <w:t xml:space="preserve"> the Commission direct the Company to apply some of the donation-related tax savings to address the Plant Kraft Ash Pond</w:t>
      </w:r>
      <w:r w:rsidR="00036910">
        <w:rPr>
          <w:rFonts w:ascii="Times New Roman" w:hAnsi="Times New Roman"/>
          <w:szCs w:val="24"/>
        </w:rPr>
        <w:t xml:space="preserve"> </w:t>
      </w:r>
      <w:r w:rsidR="00934A95">
        <w:rPr>
          <w:rFonts w:ascii="Times New Roman" w:hAnsi="Times New Roman"/>
          <w:szCs w:val="24"/>
        </w:rPr>
        <w:t>clean-up</w:t>
      </w:r>
      <w:r w:rsidR="00036910">
        <w:rPr>
          <w:rFonts w:ascii="Times New Roman" w:hAnsi="Times New Roman"/>
          <w:szCs w:val="24"/>
        </w:rPr>
        <w:t xml:space="preserve"> costs. (</w:t>
      </w:r>
      <w:r w:rsidR="00BA32A6">
        <w:rPr>
          <w:rFonts w:ascii="Times New Roman" w:hAnsi="Times New Roman"/>
          <w:szCs w:val="24"/>
        </w:rPr>
        <w:t>Tr. 1249-50</w:t>
      </w:r>
      <w:r w:rsidR="00036910">
        <w:rPr>
          <w:rFonts w:ascii="Times New Roman" w:hAnsi="Times New Roman"/>
          <w:szCs w:val="24"/>
        </w:rPr>
        <w:t xml:space="preserve">.) Other than stating that </w:t>
      </w:r>
      <w:r w:rsidR="00036910" w:rsidRPr="00F4602A">
        <w:rPr>
          <w:rFonts w:ascii="Times New Roman" w:hAnsi="Times New Roman"/>
          <w:szCs w:val="24"/>
        </w:rPr>
        <w:t xml:space="preserve">Plant Kraft land benefitted from ash pond </w:t>
      </w:r>
      <w:r w:rsidR="00934A95" w:rsidRPr="00F4602A">
        <w:rPr>
          <w:rFonts w:ascii="Times New Roman" w:hAnsi="Times New Roman"/>
          <w:szCs w:val="24"/>
        </w:rPr>
        <w:t>clean-up</w:t>
      </w:r>
      <w:r w:rsidR="00036910" w:rsidRPr="00F4602A">
        <w:rPr>
          <w:rFonts w:ascii="Times New Roman" w:hAnsi="Times New Roman"/>
          <w:szCs w:val="24"/>
        </w:rPr>
        <w:t xml:space="preserve">, which is </w:t>
      </w:r>
      <w:r w:rsidR="000945E5" w:rsidRPr="00F4602A">
        <w:rPr>
          <w:rFonts w:ascii="Times New Roman" w:hAnsi="Times New Roman"/>
          <w:szCs w:val="24"/>
        </w:rPr>
        <w:t xml:space="preserve">required under environmental regulations </w:t>
      </w:r>
      <w:r w:rsidR="00036910" w:rsidRPr="00F4602A">
        <w:rPr>
          <w:rFonts w:ascii="Times New Roman" w:hAnsi="Times New Roman"/>
          <w:szCs w:val="24"/>
        </w:rPr>
        <w:t>(</w:t>
      </w:r>
      <w:r w:rsidR="000D7C23" w:rsidRPr="00F4602A">
        <w:rPr>
          <w:rFonts w:ascii="Times New Roman" w:hAnsi="Times New Roman"/>
          <w:i/>
          <w:szCs w:val="24"/>
        </w:rPr>
        <w:t>s</w:t>
      </w:r>
      <w:r w:rsidR="00BA32A6" w:rsidRPr="00F4602A">
        <w:rPr>
          <w:rFonts w:ascii="Times New Roman" w:hAnsi="Times New Roman"/>
          <w:i/>
          <w:szCs w:val="24"/>
        </w:rPr>
        <w:t xml:space="preserve">ee </w:t>
      </w:r>
      <w:r w:rsidR="00BA32A6" w:rsidRPr="00F4602A">
        <w:rPr>
          <w:rFonts w:ascii="Times New Roman" w:hAnsi="Times New Roman"/>
          <w:szCs w:val="24"/>
        </w:rPr>
        <w:t>Tr. 1250, 2657-58</w:t>
      </w:r>
      <w:r w:rsidR="00036910" w:rsidRPr="00F4602A">
        <w:rPr>
          <w:rFonts w:ascii="Times New Roman" w:hAnsi="Times New Roman"/>
          <w:szCs w:val="24"/>
        </w:rPr>
        <w:t>), PIA Staff</w:t>
      </w:r>
      <w:r w:rsidR="00036910">
        <w:rPr>
          <w:rFonts w:ascii="Times New Roman" w:hAnsi="Times New Roman"/>
          <w:szCs w:val="24"/>
        </w:rPr>
        <w:t xml:space="preserve"> provide</w:t>
      </w:r>
      <w:r w:rsidR="00135225">
        <w:rPr>
          <w:rFonts w:ascii="Times New Roman" w:hAnsi="Times New Roman"/>
          <w:szCs w:val="24"/>
        </w:rPr>
        <w:t>s</w:t>
      </w:r>
      <w:r w:rsidR="00036910">
        <w:rPr>
          <w:rFonts w:ascii="Times New Roman" w:hAnsi="Times New Roman"/>
          <w:szCs w:val="24"/>
        </w:rPr>
        <w:t xml:space="preserve"> no justification for deviating from</w:t>
      </w:r>
      <w:r w:rsidR="008D2A8F">
        <w:rPr>
          <w:rFonts w:ascii="Times New Roman" w:hAnsi="Times New Roman"/>
          <w:szCs w:val="24"/>
        </w:rPr>
        <w:t xml:space="preserve"> </w:t>
      </w:r>
      <w:r w:rsidR="008D2A8F" w:rsidRPr="00691050">
        <w:rPr>
          <w:rFonts w:ascii="Times New Roman" w:hAnsi="Times New Roman"/>
          <w:szCs w:val="24"/>
        </w:rPr>
        <w:t>the Commission</w:t>
      </w:r>
      <w:r w:rsidR="008D2A8F">
        <w:rPr>
          <w:rFonts w:ascii="Times New Roman" w:hAnsi="Times New Roman"/>
          <w:szCs w:val="24"/>
        </w:rPr>
        <w:t>’</w:t>
      </w:r>
      <w:r w:rsidR="008D2A8F" w:rsidRPr="00691050">
        <w:rPr>
          <w:rFonts w:ascii="Times New Roman" w:hAnsi="Times New Roman"/>
          <w:szCs w:val="24"/>
        </w:rPr>
        <w:t>s</w:t>
      </w:r>
      <w:r w:rsidR="008D2A8F">
        <w:rPr>
          <w:rFonts w:ascii="Times New Roman" w:hAnsi="Times New Roman"/>
          <w:szCs w:val="24"/>
        </w:rPr>
        <w:t xml:space="preserve"> October 16, 2018</w:t>
      </w:r>
      <w:r w:rsidR="008D2A8F" w:rsidRPr="00691050">
        <w:rPr>
          <w:rFonts w:ascii="Times New Roman" w:hAnsi="Times New Roman"/>
          <w:szCs w:val="24"/>
        </w:rPr>
        <w:t xml:space="preserve"> Order </w:t>
      </w:r>
      <w:r w:rsidR="008D2A8F">
        <w:rPr>
          <w:rFonts w:ascii="Times New Roman" w:hAnsi="Times New Roman"/>
          <w:szCs w:val="24"/>
        </w:rPr>
        <w:t>A</w:t>
      </w:r>
      <w:r w:rsidR="008D2A8F" w:rsidRPr="00691050">
        <w:rPr>
          <w:rFonts w:ascii="Times New Roman" w:hAnsi="Times New Roman"/>
          <w:szCs w:val="24"/>
        </w:rPr>
        <w:t xml:space="preserve">pproving </w:t>
      </w:r>
      <w:r w:rsidR="008D2A8F">
        <w:rPr>
          <w:rFonts w:ascii="Times New Roman" w:hAnsi="Times New Roman"/>
          <w:szCs w:val="24"/>
        </w:rPr>
        <w:t>D</w:t>
      </w:r>
      <w:r w:rsidR="008D2A8F" w:rsidRPr="00691050">
        <w:rPr>
          <w:rFonts w:ascii="Times New Roman" w:hAnsi="Times New Roman"/>
          <w:szCs w:val="24"/>
        </w:rPr>
        <w:t>onation of Tract-1 Land at Plant Kraft in Docket No. 36989</w:t>
      </w:r>
      <w:r w:rsidR="008D2A8F">
        <w:rPr>
          <w:rFonts w:ascii="Times New Roman" w:hAnsi="Times New Roman"/>
          <w:szCs w:val="24"/>
        </w:rPr>
        <w:t xml:space="preserve"> or from</w:t>
      </w:r>
      <w:r w:rsidR="00036910">
        <w:rPr>
          <w:rFonts w:ascii="Times New Roman" w:hAnsi="Times New Roman"/>
          <w:szCs w:val="24"/>
        </w:rPr>
        <w:t xml:space="preserve"> the standard accounting treatment of recording</w:t>
      </w:r>
      <w:r w:rsidR="00C5403A">
        <w:rPr>
          <w:rFonts w:ascii="Times New Roman" w:hAnsi="Times New Roman"/>
          <w:szCs w:val="24"/>
        </w:rPr>
        <w:t xml:space="preserve"> the tax benefit of the</w:t>
      </w:r>
      <w:r w:rsidR="00036910">
        <w:rPr>
          <w:rFonts w:ascii="Times New Roman" w:hAnsi="Times New Roman"/>
          <w:szCs w:val="24"/>
        </w:rPr>
        <w:t xml:space="preserve"> donations</w:t>
      </w:r>
      <w:r w:rsidR="006F7D69">
        <w:rPr>
          <w:rFonts w:ascii="Times New Roman" w:hAnsi="Times New Roman"/>
          <w:szCs w:val="24"/>
        </w:rPr>
        <w:t xml:space="preserve"> </w:t>
      </w:r>
      <w:r w:rsidR="00036910">
        <w:rPr>
          <w:rFonts w:ascii="Times New Roman" w:hAnsi="Times New Roman"/>
          <w:szCs w:val="24"/>
        </w:rPr>
        <w:t>below the line for ratemaking purposes.</w:t>
      </w:r>
      <w:r w:rsidR="00FE6A4D" w:rsidRPr="00FE6A4D">
        <w:rPr>
          <w:rFonts w:ascii="Times New Roman" w:hAnsi="Times New Roman"/>
          <w:szCs w:val="24"/>
        </w:rPr>
        <w:t xml:space="preserve"> </w:t>
      </w:r>
      <w:r w:rsidR="00FE6A4D">
        <w:rPr>
          <w:rFonts w:ascii="Times New Roman" w:hAnsi="Times New Roman"/>
          <w:szCs w:val="24"/>
        </w:rPr>
        <w:t>The Commission should reject PIA Staff</w:t>
      </w:r>
      <w:r w:rsidR="006F6CB0">
        <w:rPr>
          <w:rFonts w:ascii="Times New Roman" w:hAnsi="Times New Roman"/>
          <w:szCs w:val="24"/>
        </w:rPr>
        <w:t>’</w:t>
      </w:r>
      <w:r w:rsidR="00FE6A4D">
        <w:rPr>
          <w:rFonts w:ascii="Times New Roman" w:hAnsi="Times New Roman"/>
          <w:szCs w:val="24"/>
        </w:rPr>
        <w:t>s proposal to apply the tax savings from the donation to customers contrary to standard accounting principles.</w:t>
      </w:r>
    </w:p>
    <w:p w14:paraId="3D9396CE" w14:textId="3ECBD9DA" w:rsidR="00691050" w:rsidRPr="00186C1F" w:rsidRDefault="00036910" w:rsidP="00FE6A4D">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r>
      <w:r w:rsidR="00FE6A4D">
        <w:rPr>
          <w:rFonts w:ascii="Times New Roman" w:hAnsi="Times New Roman"/>
          <w:szCs w:val="24"/>
        </w:rPr>
        <w:t>In addition, the Commission should reject PIA Staff</w:t>
      </w:r>
      <w:r w:rsidR="006F6CB0">
        <w:rPr>
          <w:rFonts w:ascii="Times New Roman" w:hAnsi="Times New Roman"/>
          <w:szCs w:val="24"/>
        </w:rPr>
        <w:t>’</w:t>
      </w:r>
      <w:r w:rsidR="00FE6A4D">
        <w:rPr>
          <w:rFonts w:ascii="Times New Roman" w:hAnsi="Times New Roman"/>
          <w:szCs w:val="24"/>
        </w:rPr>
        <w:t xml:space="preserve">s alternative recommendation to place the cost of ash pond remediation costs on shareholders if they are permitted to retain the full benefit of the land donation. </w:t>
      </w:r>
      <w:r w:rsidR="00546802">
        <w:rPr>
          <w:rFonts w:ascii="Times New Roman" w:hAnsi="Times New Roman"/>
          <w:szCs w:val="24"/>
        </w:rPr>
        <w:t>(</w:t>
      </w:r>
      <w:r w:rsidR="00BA32A6">
        <w:rPr>
          <w:rFonts w:ascii="Times New Roman" w:hAnsi="Times New Roman"/>
          <w:szCs w:val="24"/>
        </w:rPr>
        <w:t>Tr. 1250</w:t>
      </w:r>
      <w:r w:rsidR="00546802">
        <w:rPr>
          <w:rFonts w:ascii="Times New Roman" w:hAnsi="Times New Roman"/>
          <w:szCs w:val="24"/>
        </w:rPr>
        <w:t xml:space="preserve">.) </w:t>
      </w:r>
      <w:r w:rsidR="00FE6A4D">
        <w:rPr>
          <w:rFonts w:ascii="Times New Roman" w:hAnsi="Times New Roman"/>
          <w:szCs w:val="24"/>
        </w:rPr>
        <w:t xml:space="preserve">Again, </w:t>
      </w:r>
      <w:r w:rsidR="00135225">
        <w:rPr>
          <w:rFonts w:ascii="Times New Roman" w:hAnsi="Times New Roman"/>
          <w:szCs w:val="24"/>
        </w:rPr>
        <w:t xml:space="preserve">such treatment </w:t>
      </w:r>
      <w:r w:rsidR="00FE6A4D">
        <w:rPr>
          <w:rFonts w:ascii="Times New Roman" w:hAnsi="Times New Roman"/>
          <w:szCs w:val="24"/>
        </w:rPr>
        <w:t xml:space="preserve">is contrary to standard accounting principles and </w:t>
      </w:r>
      <w:r w:rsidR="00F54FBE">
        <w:rPr>
          <w:rFonts w:ascii="Times New Roman" w:hAnsi="Times New Roman"/>
          <w:szCs w:val="24"/>
        </w:rPr>
        <w:t>contradicts a fundamental ratem</w:t>
      </w:r>
      <w:r w:rsidR="00027B54">
        <w:rPr>
          <w:rFonts w:ascii="Times New Roman" w:hAnsi="Times New Roman"/>
          <w:szCs w:val="24"/>
        </w:rPr>
        <w:t>aking tenet</w:t>
      </w:r>
      <w:r w:rsidR="00FE6A4D">
        <w:rPr>
          <w:rFonts w:ascii="Times New Roman" w:hAnsi="Times New Roman"/>
          <w:szCs w:val="24"/>
        </w:rPr>
        <w:t xml:space="preserve"> of aligning customer benefits with </w:t>
      </w:r>
      <w:r w:rsidR="00FE6A4D">
        <w:rPr>
          <w:rFonts w:ascii="Times New Roman" w:hAnsi="Times New Roman"/>
          <w:szCs w:val="24"/>
        </w:rPr>
        <w:lastRenderedPageBreak/>
        <w:t xml:space="preserve">customer costs. </w:t>
      </w:r>
      <w:r w:rsidR="00691050" w:rsidRPr="00691050">
        <w:rPr>
          <w:rFonts w:ascii="Times New Roman" w:hAnsi="Times New Roman"/>
          <w:szCs w:val="24"/>
        </w:rPr>
        <w:t xml:space="preserve">Although Plant Kraft is now retired, the plant served customers with reliable and affordable electricity for </w:t>
      </w:r>
      <w:r w:rsidR="00525CFE">
        <w:rPr>
          <w:rFonts w:ascii="Times New Roman" w:hAnsi="Times New Roman"/>
          <w:szCs w:val="24"/>
        </w:rPr>
        <w:t>more than</w:t>
      </w:r>
      <w:r w:rsidR="00691050" w:rsidRPr="00691050">
        <w:rPr>
          <w:rFonts w:ascii="Times New Roman" w:hAnsi="Times New Roman"/>
          <w:szCs w:val="24"/>
        </w:rPr>
        <w:t xml:space="preserve"> 55 years. The Company </w:t>
      </w:r>
      <w:r w:rsidR="00027B54">
        <w:rPr>
          <w:rFonts w:ascii="Times New Roman" w:hAnsi="Times New Roman"/>
          <w:szCs w:val="24"/>
        </w:rPr>
        <w:t>must</w:t>
      </w:r>
      <w:r w:rsidR="00691050" w:rsidRPr="00691050">
        <w:rPr>
          <w:rFonts w:ascii="Times New Roman" w:hAnsi="Times New Roman"/>
          <w:szCs w:val="24"/>
        </w:rPr>
        <w:t xml:space="preserve"> comply with </w:t>
      </w:r>
      <w:r w:rsidR="000945E5">
        <w:rPr>
          <w:rFonts w:ascii="Times New Roman" w:hAnsi="Times New Roman"/>
          <w:szCs w:val="24"/>
        </w:rPr>
        <w:t xml:space="preserve">environmental regulations, including </w:t>
      </w:r>
      <w:r w:rsidR="00691050" w:rsidRPr="00691050">
        <w:rPr>
          <w:rFonts w:ascii="Times New Roman" w:hAnsi="Times New Roman"/>
          <w:szCs w:val="24"/>
        </w:rPr>
        <w:t>federal and state CCR rules for all ash pond and landfill closures.</w:t>
      </w:r>
      <w:r w:rsidR="00E34DDB">
        <w:rPr>
          <w:rFonts w:ascii="Times New Roman" w:hAnsi="Times New Roman"/>
          <w:szCs w:val="24"/>
        </w:rPr>
        <w:t xml:space="preserve"> (</w:t>
      </w:r>
      <w:r w:rsidR="00BA32A6">
        <w:rPr>
          <w:rFonts w:ascii="Times New Roman" w:hAnsi="Times New Roman"/>
          <w:szCs w:val="24"/>
        </w:rPr>
        <w:t>Tr. 2657</w:t>
      </w:r>
      <w:r w:rsidR="00E34DDB">
        <w:rPr>
          <w:rFonts w:ascii="Times New Roman" w:hAnsi="Times New Roman"/>
          <w:szCs w:val="24"/>
        </w:rPr>
        <w:t>.)</w:t>
      </w:r>
      <w:r w:rsidR="00691050" w:rsidRPr="00691050">
        <w:rPr>
          <w:rFonts w:ascii="Times New Roman" w:hAnsi="Times New Roman"/>
          <w:szCs w:val="24"/>
        </w:rPr>
        <w:t xml:space="preserve"> Donating a portion of Plant Kraft land does not excuse the Company from its legal obligation to comply with </w:t>
      </w:r>
      <w:r w:rsidR="000945E5">
        <w:rPr>
          <w:rFonts w:ascii="Times New Roman" w:hAnsi="Times New Roman"/>
          <w:szCs w:val="24"/>
        </w:rPr>
        <w:t>environmental</w:t>
      </w:r>
      <w:r w:rsidR="000945E5" w:rsidRPr="00691050">
        <w:rPr>
          <w:rFonts w:ascii="Times New Roman" w:hAnsi="Times New Roman"/>
          <w:szCs w:val="24"/>
        </w:rPr>
        <w:t xml:space="preserve"> </w:t>
      </w:r>
      <w:r w:rsidR="00691050" w:rsidRPr="00691050">
        <w:rPr>
          <w:rFonts w:ascii="Times New Roman" w:hAnsi="Times New Roman"/>
          <w:szCs w:val="24"/>
        </w:rPr>
        <w:t xml:space="preserve">rules at Plant Kraft. </w:t>
      </w:r>
      <w:r w:rsidR="00027B54">
        <w:rPr>
          <w:rFonts w:ascii="Times New Roman" w:hAnsi="Times New Roman"/>
          <w:szCs w:val="24"/>
        </w:rPr>
        <w:t xml:space="preserve">The </w:t>
      </w:r>
      <w:r w:rsidR="00027B54" w:rsidRPr="00691050">
        <w:rPr>
          <w:rFonts w:ascii="Times New Roman" w:hAnsi="Times New Roman"/>
          <w:szCs w:val="24"/>
        </w:rPr>
        <w:t xml:space="preserve">Plant Kraft CCR ARO compliance costs </w:t>
      </w:r>
      <w:r w:rsidR="00027B54">
        <w:rPr>
          <w:rFonts w:ascii="Times New Roman" w:hAnsi="Times New Roman"/>
          <w:szCs w:val="24"/>
        </w:rPr>
        <w:t>(1)</w:t>
      </w:r>
      <w:r w:rsidR="00F4602A">
        <w:rPr>
          <w:rFonts w:ascii="Times New Roman" w:hAnsi="Times New Roman"/>
          <w:szCs w:val="24"/>
        </w:rPr>
        <w:t> </w:t>
      </w:r>
      <w:r w:rsidR="00027B54" w:rsidRPr="00691050">
        <w:rPr>
          <w:rFonts w:ascii="Times New Roman" w:hAnsi="Times New Roman"/>
          <w:szCs w:val="24"/>
        </w:rPr>
        <w:t>are</w:t>
      </w:r>
      <w:r w:rsidR="00027B54">
        <w:rPr>
          <w:rFonts w:ascii="Times New Roman" w:hAnsi="Times New Roman"/>
          <w:szCs w:val="24"/>
        </w:rPr>
        <w:t xml:space="preserve"> </w:t>
      </w:r>
      <w:r w:rsidR="000945E5">
        <w:rPr>
          <w:rFonts w:ascii="Times New Roman" w:hAnsi="Times New Roman"/>
          <w:szCs w:val="24"/>
        </w:rPr>
        <w:t>required to meet environmental</w:t>
      </w:r>
      <w:r w:rsidR="00AE691E">
        <w:rPr>
          <w:rFonts w:ascii="Times New Roman" w:hAnsi="Times New Roman"/>
          <w:szCs w:val="24"/>
        </w:rPr>
        <w:t xml:space="preserve"> regulation obligations like</w:t>
      </w:r>
      <w:r w:rsidR="00027B54" w:rsidRPr="00691050">
        <w:rPr>
          <w:rFonts w:ascii="Times New Roman" w:hAnsi="Times New Roman"/>
          <w:szCs w:val="24"/>
        </w:rPr>
        <w:t xml:space="preserve"> any other plant</w:t>
      </w:r>
      <w:r w:rsidR="00027B54">
        <w:rPr>
          <w:rFonts w:ascii="Times New Roman" w:hAnsi="Times New Roman"/>
          <w:szCs w:val="24"/>
        </w:rPr>
        <w:t xml:space="preserve">, (2) are appropriately borne by customers, and (3) should </w:t>
      </w:r>
      <w:r w:rsidR="00027B54" w:rsidRPr="00691050">
        <w:rPr>
          <w:rFonts w:ascii="Times New Roman" w:hAnsi="Times New Roman"/>
          <w:szCs w:val="24"/>
        </w:rPr>
        <w:t>not be treated differently</w:t>
      </w:r>
      <w:r w:rsidR="00027B54">
        <w:rPr>
          <w:rFonts w:ascii="Times New Roman" w:hAnsi="Times New Roman"/>
          <w:szCs w:val="24"/>
        </w:rPr>
        <w:t xml:space="preserve"> than other CCR ARO compliance costs incurred by the Company</w:t>
      </w:r>
      <w:r w:rsidR="00027B54" w:rsidRPr="00691050">
        <w:rPr>
          <w:rFonts w:ascii="Times New Roman" w:hAnsi="Times New Roman"/>
          <w:szCs w:val="24"/>
        </w:rPr>
        <w:t>.</w:t>
      </w:r>
    </w:p>
    <w:p w14:paraId="6DE5DF22" w14:textId="069657C9" w:rsidR="00186C1F" w:rsidRDefault="00365D7A" w:rsidP="00F4602A">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30" w:name="_Hlk26111751"/>
      <w:r>
        <w:rPr>
          <w:rFonts w:ascii="Times New Roman" w:hAnsi="Times New Roman"/>
          <w:szCs w:val="24"/>
        </w:rPr>
        <w:t>8.</w:t>
      </w:r>
      <w:r w:rsidR="00533458">
        <w:rPr>
          <w:rFonts w:ascii="Times New Roman" w:hAnsi="Times New Roman"/>
          <w:szCs w:val="24"/>
        </w:rPr>
        <w:tab/>
      </w:r>
      <w:r w:rsidR="00691050" w:rsidRPr="004B6D89">
        <w:rPr>
          <w:rFonts w:ascii="Times New Roman" w:hAnsi="Times New Roman"/>
          <w:szCs w:val="24"/>
          <w:u w:val="single"/>
        </w:rPr>
        <w:t xml:space="preserve">The Commission should not adopt </w:t>
      </w:r>
      <w:r w:rsidR="006E1EE6" w:rsidRPr="004B6D89">
        <w:rPr>
          <w:rFonts w:ascii="Times New Roman" w:hAnsi="Times New Roman"/>
          <w:szCs w:val="24"/>
          <w:u w:val="single"/>
        </w:rPr>
        <w:t>PIA Staff</w:t>
      </w:r>
      <w:r w:rsidR="006F6CB0">
        <w:rPr>
          <w:rFonts w:ascii="Times New Roman" w:hAnsi="Times New Roman"/>
          <w:szCs w:val="24"/>
          <w:u w:val="single"/>
        </w:rPr>
        <w:t>’</w:t>
      </w:r>
      <w:r w:rsidR="006E1EE6" w:rsidRPr="004B6D89">
        <w:rPr>
          <w:rFonts w:ascii="Times New Roman" w:hAnsi="Times New Roman"/>
          <w:szCs w:val="24"/>
          <w:u w:val="single"/>
        </w:rPr>
        <w:t>s proposal to limit the time land and land rights are classified in Plant Held for Future Use (“PHFFU”) to 15 years</w:t>
      </w:r>
      <w:r w:rsidR="000D233A">
        <w:rPr>
          <w:rFonts w:ascii="Times New Roman" w:hAnsi="Times New Roman"/>
          <w:szCs w:val="24"/>
          <w:u w:val="single"/>
        </w:rPr>
        <w:t xml:space="preserve"> or require the Company to evaluate moving certain PHFFU items to non-utility property</w:t>
      </w:r>
      <w:r w:rsidR="006E1EE6">
        <w:rPr>
          <w:rFonts w:ascii="Times New Roman" w:hAnsi="Times New Roman"/>
          <w:szCs w:val="24"/>
        </w:rPr>
        <w:t>.</w:t>
      </w:r>
    </w:p>
    <w:bookmarkEnd w:id="30"/>
    <w:p w14:paraId="61FF4462" w14:textId="7224A218" w:rsidR="008040EB" w:rsidRDefault="00546802" w:rsidP="00B13352">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t xml:space="preserve">PIA Staff </w:t>
      </w:r>
      <w:r w:rsidR="002E77E4">
        <w:rPr>
          <w:rFonts w:ascii="Times New Roman" w:hAnsi="Times New Roman"/>
          <w:szCs w:val="24"/>
        </w:rPr>
        <w:t xml:space="preserve">recommends that PHFFU </w:t>
      </w:r>
      <w:r w:rsidR="00630BD2">
        <w:rPr>
          <w:rFonts w:ascii="Times New Roman" w:hAnsi="Times New Roman"/>
          <w:szCs w:val="24"/>
        </w:rPr>
        <w:t xml:space="preserve">held </w:t>
      </w:r>
      <w:r w:rsidR="002E77E4">
        <w:rPr>
          <w:rFonts w:ascii="Times New Roman" w:hAnsi="Times New Roman"/>
          <w:szCs w:val="24"/>
        </w:rPr>
        <w:t>for more than 15 years be removed from rate base u</w:t>
      </w:r>
      <w:r w:rsidR="008040EB">
        <w:rPr>
          <w:rFonts w:ascii="Times New Roman" w:hAnsi="Times New Roman"/>
          <w:szCs w:val="24"/>
        </w:rPr>
        <w:t>ntil it is placed into service out of a</w:t>
      </w:r>
      <w:r w:rsidR="002E77E4">
        <w:rPr>
          <w:rFonts w:ascii="Times New Roman" w:hAnsi="Times New Roman"/>
          <w:szCs w:val="24"/>
        </w:rPr>
        <w:t xml:space="preserve"> concern that the </w:t>
      </w:r>
      <w:r w:rsidR="008040EB">
        <w:rPr>
          <w:rFonts w:ascii="Times New Roman" w:hAnsi="Times New Roman"/>
          <w:szCs w:val="24"/>
        </w:rPr>
        <w:t xml:space="preserve">extended </w:t>
      </w:r>
      <w:r w:rsidR="002E77E4">
        <w:rPr>
          <w:rFonts w:ascii="Times New Roman" w:hAnsi="Times New Roman"/>
          <w:szCs w:val="24"/>
        </w:rPr>
        <w:t xml:space="preserve">expected use dates for the land held in PHFFU continues </w:t>
      </w:r>
      <w:r w:rsidR="008040EB">
        <w:rPr>
          <w:rFonts w:ascii="Times New Roman" w:hAnsi="Times New Roman"/>
          <w:szCs w:val="24"/>
        </w:rPr>
        <w:t>to increase</w:t>
      </w:r>
      <w:r w:rsidR="002E77E4">
        <w:rPr>
          <w:rFonts w:ascii="Times New Roman" w:hAnsi="Times New Roman"/>
          <w:szCs w:val="24"/>
        </w:rPr>
        <w:t xml:space="preserve"> annual cost</w:t>
      </w:r>
      <w:r w:rsidR="00027B54">
        <w:rPr>
          <w:rFonts w:ascii="Times New Roman" w:hAnsi="Times New Roman"/>
          <w:szCs w:val="24"/>
        </w:rPr>
        <w:t>s</w:t>
      </w:r>
      <w:r w:rsidR="002E77E4">
        <w:rPr>
          <w:rFonts w:ascii="Times New Roman" w:hAnsi="Times New Roman"/>
          <w:szCs w:val="24"/>
        </w:rPr>
        <w:t xml:space="preserve"> to customers of holding property in PHFFU. (</w:t>
      </w:r>
      <w:r w:rsidR="00BA32A6">
        <w:rPr>
          <w:rFonts w:ascii="Times New Roman" w:hAnsi="Times New Roman"/>
          <w:szCs w:val="24"/>
        </w:rPr>
        <w:t>Tr.</w:t>
      </w:r>
      <w:r w:rsidR="00F4602A">
        <w:rPr>
          <w:rFonts w:ascii="Times New Roman" w:hAnsi="Times New Roman"/>
          <w:szCs w:val="24"/>
        </w:rPr>
        <w:t> </w:t>
      </w:r>
      <w:r w:rsidR="00BA32A6">
        <w:rPr>
          <w:rFonts w:ascii="Times New Roman" w:hAnsi="Times New Roman"/>
          <w:szCs w:val="24"/>
        </w:rPr>
        <w:t>1254-55</w:t>
      </w:r>
      <w:r w:rsidR="002E77E4">
        <w:rPr>
          <w:rFonts w:ascii="Times New Roman" w:hAnsi="Times New Roman"/>
          <w:szCs w:val="24"/>
        </w:rPr>
        <w:t xml:space="preserve">.) </w:t>
      </w:r>
      <w:r w:rsidR="00135225">
        <w:rPr>
          <w:rFonts w:ascii="Times New Roman" w:hAnsi="Times New Roman"/>
          <w:szCs w:val="24"/>
        </w:rPr>
        <w:t xml:space="preserve">Although the </w:t>
      </w:r>
      <w:r w:rsidR="002E77E4">
        <w:rPr>
          <w:rFonts w:ascii="Times New Roman" w:hAnsi="Times New Roman"/>
          <w:szCs w:val="24"/>
        </w:rPr>
        <w:t>Company understands PIA Staff</w:t>
      </w:r>
      <w:r w:rsidR="006F6CB0">
        <w:rPr>
          <w:rFonts w:ascii="Times New Roman" w:hAnsi="Times New Roman"/>
          <w:szCs w:val="24"/>
        </w:rPr>
        <w:t>’</w:t>
      </w:r>
      <w:r w:rsidR="002E77E4">
        <w:rPr>
          <w:rFonts w:ascii="Times New Roman" w:hAnsi="Times New Roman"/>
          <w:szCs w:val="24"/>
        </w:rPr>
        <w:t>s concerns</w:t>
      </w:r>
      <w:r w:rsidR="00027B54">
        <w:rPr>
          <w:rFonts w:ascii="Times New Roman" w:hAnsi="Times New Roman"/>
          <w:szCs w:val="24"/>
        </w:rPr>
        <w:t xml:space="preserve">, </w:t>
      </w:r>
      <w:r w:rsidR="002E77E4">
        <w:rPr>
          <w:rFonts w:ascii="Times New Roman" w:hAnsi="Times New Roman"/>
          <w:szCs w:val="24"/>
        </w:rPr>
        <w:t xml:space="preserve">the cost to customers </w:t>
      </w:r>
      <w:r w:rsidR="00630BD2">
        <w:rPr>
          <w:rFonts w:ascii="Times New Roman" w:hAnsi="Times New Roman"/>
          <w:szCs w:val="24"/>
        </w:rPr>
        <w:t xml:space="preserve">could </w:t>
      </w:r>
      <w:r w:rsidR="002E77E4">
        <w:rPr>
          <w:rFonts w:ascii="Times New Roman" w:hAnsi="Times New Roman"/>
          <w:szCs w:val="24"/>
        </w:rPr>
        <w:t xml:space="preserve">be greater if the Company </w:t>
      </w:r>
      <w:r w:rsidR="00135225">
        <w:rPr>
          <w:rFonts w:ascii="Times New Roman" w:hAnsi="Times New Roman"/>
          <w:szCs w:val="24"/>
        </w:rPr>
        <w:t>waited</w:t>
      </w:r>
      <w:r w:rsidR="008040EB">
        <w:rPr>
          <w:rFonts w:ascii="Times New Roman" w:hAnsi="Times New Roman"/>
          <w:szCs w:val="24"/>
        </w:rPr>
        <w:t xml:space="preserve"> to </w:t>
      </w:r>
      <w:r w:rsidR="002E77E4">
        <w:rPr>
          <w:rFonts w:ascii="Times New Roman" w:hAnsi="Times New Roman"/>
          <w:szCs w:val="24"/>
        </w:rPr>
        <w:t xml:space="preserve">obtain </w:t>
      </w:r>
      <w:r w:rsidR="008040EB">
        <w:rPr>
          <w:rFonts w:ascii="Times New Roman" w:hAnsi="Times New Roman"/>
          <w:szCs w:val="24"/>
        </w:rPr>
        <w:t xml:space="preserve">the same or similar land in the future. </w:t>
      </w:r>
      <w:r w:rsidR="008040EB" w:rsidRPr="006E1EE6">
        <w:rPr>
          <w:rFonts w:ascii="Times New Roman" w:hAnsi="Times New Roman"/>
          <w:szCs w:val="24"/>
        </w:rPr>
        <w:t xml:space="preserve">Land is a limited resource that generally appreciates in value over time. </w:t>
      </w:r>
      <w:r w:rsidR="008040EB">
        <w:rPr>
          <w:rFonts w:ascii="Times New Roman" w:hAnsi="Times New Roman"/>
          <w:szCs w:val="24"/>
        </w:rPr>
        <w:t>In addition to being more expensive in the future,</w:t>
      </w:r>
      <w:r w:rsidR="008040EB" w:rsidRPr="006E1EE6">
        <w:rPr>
          <w:rFonts w:ascii="Times New Roman" w:hAnsi="Times New Roman"/>
          <w:szCs w:val="24"/>
        </w:rPr>
        <w:t xml:space="preserve"> the land required for future projects may be unavailable when needed because of </w:t>
      </w:r>
      <w:r w:rsidR="008040EB">
        <w:rPr>
          <w:rFonts w:ascii="Times New Roman" w:hAnsi="Times New Roman"/>
          <w:szCs w:val="24"/>
        </w:rPr>
        <w:t>other</w:t>
      </w:r>
      <w:r w:rsidR="008040EB" w:rsidRPr="006E1EE6">
        <w:rPr>
          <w:rFonts w:ascii="Times New Roman" w:hAnsi="Times New Roman"/>
          <w:szCs w:val="24"/>
        </w:rPr>
        <w:t xml:space="preserve"> development. As land availability becomes more constrained, future land acquisitions are more likely to be obtained through condemnation, which is the Company</w:t>
      </w:r>
      <w:r w:rsidR="006F6CB0">
        <w:rPr>
          <w:rFonts w:ascii="Times New Roman" w:hAnsi="Times New Roman"/>
          <w:szCs w:val="24"/>
        </w:rPr>
        <w:t>’</w:t>
      </w:r>
      <w:r w:rsidR="008040EB" w:rsidRPr="006E1EE6">
        <w:rPr>
          <w:rFonts w:ascii="Times New Roman" w:hAnsi="Times New Roman"/>
          <w:szCs w:val="24"/>
        </w:rPr>
        <w:t>s least preferred method of securing land and land rights.</w:t>
      </w:r>
      <w:r w:rsidR="008040EB">
        <w:rPr>
          <w:rFonts w:ascii="Times New Roman" w:hAnsi="Times New Roman"/>
          <w:szCs w:val="24"/>
        </w:rPr>
        <w:t xml:space="preserve"> </w:t>
      </w:r>
      <w:r w:rsidR="00E34DDB">
        <w:rPr>
          <w:rFonts w:ascii="Times New Roman" w:hAnsi="Times New Roman"/>
          <w:szCs w:val="24"/>
        </w:rPr>
        <w:t>(</w:t>
      </w:r>
      <w:r w:rsidR="00BA32A6">
        <w:rPr>
          <w:rFonts w:ascii="Times New Roman" w:hAnsi="Times New Roman"/>
          <w:szCs w:val="24"/>
        </w:rPr>
        <w:t>Tr. 2658</w:t>
      </w:r>
      <w:r w:rsidR="00E34DDB">
        <w:rPr>
          <w:rFonts w:ascii="Times New Roman" w:hAnsi="Times New Roman"/>
          <w:szCs w:val="24"/>
        </w:rPr>
        <w:t xml:space="preserve">.) </w:t>
      </w:r>
      <w:r w:rsidR="008040EB">
        <w:rPr>
          <w:rFonts w:ascii="Times New Roman" w:hAnsi="Times New Roman"/>
          <w:szCs w:val="24"/>
        </w:rPr>
        <w:t xml:space="preserve">The benefits to holding certain land in PHFFU outweigh the current costs to customers and hedge against </w:t>
      </w:r>
      <w:r w:rsidR="00AA2949">
        <w:rPr>
          <w:rFonts w:ascii="Times New Roman" w:hAnsi="Times New Roman"/>
          <w:szCs w:val="24"/>
        </w:rPr>
        <w:t xml:space="preserve">higher future costs and availability concerns. </w:t>
      </w:r>
    </w:p>
    <w:p w14:paraId="3BCD2387" w14:textId="153C7B03" w:rsidR="000D233A" w:rsidRDefault="00546802" w:rsidP="00B13352">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lastRenderedPageBreak/>
        <w:tab/>
      </w:r>
      <w:r w:rsidR="00AA2949">
        <w:rPr>
          <w:rFonts w:ascii="Times New Roman" w:hAnsi="Times New Roman"/>
          <w:szCs w:val="24"/>
        </w:rPr>
        <w:t>The Company acknowledges that t</w:t>
      </w:r>
      <w:r w:rsidR="006E1EE6" w:rsidRPr="006E1EE6">
        <w:rPr>
          <w:rFonts w:ascii="Times New Roman" w:hAnsi="Times New Roman"/>
          <w:szCs w:val="24"/>
        </w:rPr>
        <w:t>here must be a definite plan for future use in electric service</w:t>
      </w:r>
      <w:r w:rsidRPr="00546802">
        <w:rPr>
          <w:rFonts w:ascii="Times New Roman" w:hAnsi="Times New Roman"/>
          <w:szCs w:val="24"/>
        </w:rPr>
        <w:t xml:space="preserve"> </w:t>
      </w:r>
      <w:r>
        <w:rPr>
          <w:rFonts w:ascii="Times New Roman" w:hAnsi="Times New Roman"/>
          <w:szCs w:val="24"/>
        </w:rPr>
        <w:t>f</w:t>
      </w:r>
      <w:r w:rsidRPr="006E1EE6">
        <w:rPr>
          <w:rFonts w:ascii="Times New Roman" w:hAnsi="Times New Roman"/>
          <w:szCs w:val="24"/>
        </w:rPr>
        <w:t>or land to be included in PHFFU</w:t>
      </w:r>
      <w:r w:rsidR="006E1EE6" w:rsidRPr="006E1EE6">
        <w:rPr>
          <w:rFonts w:ascii="Times New Roman" w:hAnsi="Times New Roman"/>
          <w:szCs w:val="24"/>
        </w:rPr>
        <w:t xml:space="preserve">. </w:t>
      </w:r>
      <w:r w:rsidR="00E34DDB">
        <w:rPr>
          <w:rFonts w:ascii="Times New Roman" w:hAnsi="Times New Roman"/>
          <w:szCs w:val="24"/>
        </w:rPr>
        <w:t>(</w:t>
      </w:r>
      <w:r w:rsidR="00BA32A6" w:rsidRPr="00BA32A6">
        <w:rPr>
          <w:rFonts w:ascii="Times New Roman" w:hAnsi="Times New Roman"/>
          <w:i/>
          <w:szCs w:val="24"/>
        </w:rPr>
        <w:t>Id</w:t>
      </w:r>
      <w:r w:rsidR="00E34DDB">
        <w:rPr>
          <w:rFonts w:ascii="Times New Roman" w:hAnsi="Times New Roman"/>
          <w:szCs w:val="24"/>
        </w:rPr>
        <w:t xml:space="preserve">.) </w:t>
      </w:r>
      <w:r w:rsidR="006E1EE6" w:rsidRPr="006E1EE6">
        <w:rPr>
          <w:rFonts w:ascii="Times New Roman" w:hAnsi="Times New Roman"/>
          <w:szCs w:val="24"/>
        </w:rPr>
        <w:t>Although the need date for several items currently held in PHFFU has changed, the</w:t>
      </w:r>
      <w:r w:rsidR="00AA2949">
        <w:rPr>
          <w:rFonts w:ascii="Times New Roman" w:hAnsi="Times New Roman"/>
          <w:szCs w:val="24"/>
        </w:rPr>
        <w:t xml:space="preserve"> Company</w:t>
      </w:r>
      <w:r w:rsidR="006F6CB0">
        <w:rPr>
          <w:rFonts w:ascii="Times New Roman" w:hAnsi="Times New Roman"/>
          <w:szCs w:val="24"/>
        </w:rPr>
        <w:t>’</w:t>
      </w:r>
      <w:r w:rsidR="00AA2949">
        <w:rPr>
          <w:rFonts w:ascii="Times New Roman" w:hAnsi="Times New Roman"/>
          <w:szCs w:val="24"/>
        </w:rPr>
        <w:t xml:space="preserve">s </w:t>
      </w:r>
      <w:r w:rsidR="006E1EE6" w:rsidRPr="006E1EE6">
        <w:rPr>
          <w:rFonts w:ascii="Times New Roman" w:hAnsi="Times New Roman"/>
          <w:szCs w:val="24"/>
        </w:rPr>
        <w:t>future plan and need for the land has not.</w:t>
      </w:r>
      <w:r w:rsidR="006E1EE6" w:rsidRPr="006E1EE6">
        <w:rPr>
          <w:rFonts w:ascii="Times New Roman" w:hAnsi="Times New Roman"/>
          <w:i/>
          <w:iCs/>
          <w:szCs w:val="24"/>
        </w:rPr>
        <w:t xml:space="preserve"> </w:t>
      </w:r>
      <w:r w:rsidR="006E1EE6" w:rsidRPr="006E1EE6">
        <w:rPr>
          <w:rFonts w:ascii="Times New Roman" w:hAnsi="Times New Roman"/>
          <w:szCs w:val="24"/>
        </w:rPr>
        <w:t xml:space="preserve">Much of the land at issue was acquired between 2002-2009 for transmission expansion </w:t>
      </w:r>
      <w:r w:rsidR="00135225">
        <w:rPr>
          <w:rFonts w:ascii="Times New Roman" w:hAnsi="Times New Roman"/>
          <w:szCs w:val="24"/>
        </w:rPr>
        <w:t>necessary</w:t>
      </w:r>
      <w:r w:rsidR="00135225" w:rsidRPr="006E1EE6">
        <w:rPr>
          <w:rFonts w:ascii="Times New Roman" w:hAnsi="Times New Roman"/>
          <w:szCs w:val="24"/>
        </w:rPr>
        <w:t xml:space="preserve"> </w:t>
      </w:r>
      <w:r w:rsidR="006E1EE6" w:rsidRPr="006E1EE6">
        <w:rPr>
          <w:rFonts w:ascii="Times New Roman" w:hAnsi="Times New Roman"/>
          <w:szCs w:val="24"/>
        </w:rPr>
        <w:t>to serve the State reliably under the then</w:t>
      </w:r>
      <w:r w:rsidR="00135225">
        <w:rPr>
          <w:rFonts w:ascii="Times New Roman" w:hAnsi="Times New Roman"/>
          <w:szCs w:val="24"/>
        </w:rPr>
        <w:t>-</w:t>
      </w:r>
      <w:r w:rsidR="006E1EE6" w:rsidRPr="006E1EE6">
        <w:rPr>
          <w:rFonts w:ascii="Times New Roman" w:hAnsi="Times New Roman"/>
          <w:szCs w:val="24"/>
        </w:rPr>
        <w:t xml:space="preserve">forecasted energy and customer growth projections. </w:t>
      </w:r>
      <w:r w:rsidR="00BA32A6">
        <w:rPr>
          <w:rFonts w:ascii="Times New Roman" w:hAnsi="Times New Roman"/>
          <w:szCs w:val="24"/>
        </w:rPr>
        <w:t>(</w:t>
      </w:r>
      <w:r w:rsidR="00BA32A6" w:rsidRPr="001C1457">
        <w:rPr>
          <w:rFonts w:ascii="Times New Roman" w:hAnsi="Times New Roman"/>
          <w:i/>
          <w:szCs w:val="24"/>
        </w:rPr>
        <w:t>Id</w:t>
      </w:r>
      <w:r w:rsidR="00BA32A6">
        <w:rPr>
          <w:rFonts w:ascii="Times New Roman" w:hAnsi="Times New Roman"/>
          <w:szCs w:val="24"/>
        </w:rPr>
        <w:t xml:space="preserve">.) </w:t>
      </w:r>
      <w:r w:rsidR="006E1EE6" w:rsidRPr="006E1EE6">
        <w:rPr>
          <w:rFonts w:ascii="Times New Roman" w:hAnsi="Times New Roman"/>
          <w:szCs w:val="24"/>
        </w:rPr>
        <w:t xml:space="preserve">During this period, the </w:t>
      </w:r>
      <w:r>
        <w:rPr>
          <w:rFonts w:ascii="Times New Roman" w:hAnsi="Times New Roman"/>
          <w:szCs w:val="24"/>
        </w:rPr>
        <w:t>United States</w:t>
      </w:r>
      <w:r w:rsidR="006E1EE6" w:rsidRPr="006E1EE6">
        <w:rPr>
          <w:rFonts w:ascii="Times New Roman" w:hAnsi="Times New Roman"/>
          <w:szCs w:val="24"/>
        </w:rPr>
        <w:t xml:space="preserve"> was hit with a significant economic downturn, which delayed but did not eliminate the need for those assets.</w:t>
      </w:r>
      <w:r>
        <w:rPr>
          <w:rFonts w:ascii="Times New Roman" w:hAnsi="Times New Roman"/>
          <w:szCs w:val="24"/>
        </w:rPr>
        <w:t xml:space="preserve"> </w:t>
      </w:r>
      <w:r w:rsidR="00BA32A6">
        <w:rPr>
          <w:rFonts w:ascii="Times New Roman" w:hAnsi="Times New Roman"/>
          <w:szCs w:val="24"/>
        </w:rPr>
        <w:t>(</w:t>
      </w:r>
      <w:r w:rsidR="00BA32A6" w:rsidRPr="001C1457">
        <w:rPr>
          <w:rFonts w:ascii="Times New Roman" w:hAnsi="Times New Roman"/>
          <w:i/>
          <w:szCs w:val="24"/>
        </w:rPr>
        <w:t>Id</w:t>
      </w:r>
      <w:r w:rsidR="00BA32A6">
        <w:rPr>
          <w:rFonts w:ascii="Times New Roman" w:hAnsi="Times New Roman"/>
          <w:szCs w:val="24"/>
        </w:rPr>
        <w:t xml:space="preserve">.) </w:t>
      </w:r>
      <w:r w:rsidR="000D233A">
        <w:rPr>
          <w:rFonts w:ascii="Times New Roman" w:hAnsi="Times New Roman"/>
          <w:szCs w:val="24"/>
        </w:rPr>
        <w:t>The Company has a continued need for each land or land right item included in PHFFU and</w:t>
      </w:r>
      <w:r w:rsidR="00142BC3">
        <w:rPr>
          <w:rFonts w:ascii="Times New Roman" w:hAnsi="Times New Roman"/>
          <w:szCs w:val="24"/>
        </w:rPr>
        <w:t xml:space="preserve"> PIA Staff</w:t>
      </w:r>
      <w:r w:rsidR="006F6CB0">
        <w:rPr>
          <w:rFonts w:ascii="Times New Roman" w:hAnsi="Times New Roman"/>
          <w:szCs w:val="24"/>
        </w:rPr>
        <w:t>’</w:t>
      </w:r>
      <w:r w:rsidR="00142BC3">
        <w:rPr>
          <w:rFonts w:ascii="Times New Roman" w:hAnsi="Times New Roman"/>
          <w:szCs w:val="24"/>
        </w:rPr>
        <w:t xml:space="preserve">s proposed </w:t>
      </w:r>
      <w:r w:rsidR="00B13352">
        <w:rPr>
          <w:rFonts w:ascii="Times New Roman" w:hAnsi="Times New Roman"/>
          <w:szCs w:val="24"/>
        </w:rPr>
        <w:t>15-year</w:t>
      </w:r>
      <w:r w:rsidR="00142BC3">
        <w:rPr>
          <w:rFonts w:ascii="Times New Roman" w:hAnsi="Times New Roman"/>
          <w:szCs w:val="24"/>
        </w:rPr>
        <w:t xml:space="preserve"> limitation would constrain the Company</w:t>
      </w:r>
      <w:r w:rsidR="006F6CB0">
        <w:rPr>
          <w:rFonts w:ascii="Times New Roman" w:hAnsi="Times New Roman"/>
          <w:szCs w:val="24"/>
        </w:rPr>
        <w:t>’</w:t>
      </w:r>
      <w:r w:rsidR="00142BC3">
        <w:rPr>
          <w:rFonts w:ascii="Times New Roman" w:hAnsi="Times New Roman"/>
          <w:szCs w:val="24"/>
        </w:rPr>
        <w:t xml:space="preserve">s ability to plan for customer needs and adjust to changing economic conditions. </w:t>
      </w:r>
      <w:r w:rsidR="000D233A">
        <w:rPr>
          <w:rFonts w:ascii="Times New Roman" w:hAnsi="Times New Roman"/>
          <w:szCs w:val="24"/>
        </w:rPr>
        <w:t xml:space="preserve"> </w:t>
      </w:r>
    </w:p>
    <w:p w14:paraId="768ABA99" w14:textId="5AF10ABD" w:rsidR="006E1EE6" w:rsidRDefault="000D233A" w:rsidP="00B13352">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t>Moreover, t</w:t>
      </w:r>
      <w:r w:rsidR="00AA2949">
        <w:rPr>
          <w:rFonts w:ascii="Times New Roman" w:hAnsi="Times New Roman"/>
          <w:szCs w:val="24"/>
        </w:rPr>
        <w:t xml:space="preserve">he Company </w:t>
      </w:r>
      <w:r>
        <w:rPr>
          <w:rFonts w:ascii="Times New Roman" w:hAnsi="Times New Roman"/>
          <w:szCs w:val="24"/>
        </w:rPr>
        <w:t>monitors</w:t>
      </w:r>
      <w:r w:rsidR="00AA2949">
        <w:rPr>
          <w:rFonts w:ascii="Times New Roman" w:hAnsi="Times New Roman"/>
          <w:szCs w:val="24"/>
        </w:rPr>
        <w:t xml:space="preserve"> the plan and</w:t>
      </w:r>
      <w:r>
        <w:rPr>
          <w:rFonts w:ascii="Times New Roman" w:hAnsi="Times New Roman"/>
          <w:szCs w:val="24"/>
        </w:rPr>
        <w:t xml:space="preserve"> </w:t>
      </w:r>
      <w:r w:rsidR="00AA2949">
        <w:rPr>
          <w:rFonts w:ascii="Times New Roman" w:hAnsi="Times New Roman"/>
          <w:szCs w:val="24"/>
        </w:rPr>
        <w:t xml:space="preserve">continued need for each PHFFU item </w:t>
      </w:r>
      <w:r w:rsidR="00727954">
        <w:rPr>
          <w:rFonts w:ascii="Times New Roman" w:hAnsi="Times New Roman"/>
          <w:szCs w:val="24"/>
        </w:rPr>
        <w:t>regularly</w:t>
      </w:r>
      <w:r>
        <w:rPr>
          <w:rFonts w:ascii="Times New Roman" w:hAnsi="Times New Roman"/>
          <w:szCs w:val="24"/>
        </w:rPr>
        <w:t xml:space="preserve">. In fact, the Company </w:t>
      </w:r>
      <w:r w:rsidR="00142BC3">
        <w:rPr>
          <w:rFonts w:ascii="Times New Roman" w:hAnsi="Times New Roman"/>
          <w:szCs w:val="24"/>
        </w:rPr>
        <w:t xml:space="preserve">classifies land and land rights in accordance with FERC guidelines and </w:t>
      </w:r>
      <w:r>
        <w:rPr>
          <w:rFonts w:ascii="Times New Roman" w:hAnsi="Times New Roman"/>
          <w:szCs w:val="24"/>
        </w:rPr>
        <w:t xml:space="preserve">reviews the items </w:t>
      </w:r>
      <w:r w:rsidR="00142BC3">
        <w:rPr>
          <w:rFonts w:ascii="Times New Roman" w:hAnsi="Times New Roman"/>
          <w:szCs w:val="24"/>
        </w:rPr>
        <w:t xml:space="preserve">included in PHFFU for compliance with those guidelines </w:t>
      </w:r>
      <w:r w:rsidR="00AA2949">
        <w:rPr>
          <w:rFonts w:ascii="Times New Roman" w:hAnsi="Times New Roman"/>
          <w:szCs w:val="24"/>
        </w:rPr>
        <w:t xml:space="preserve">on a quarterly basis. </w:t>
      </w:r>
      <w:r w:rsidR="00727954">
        <w:rPr>
          <w:rFonts w:ascii="Times New Roman" w:hAnsi="Times New Roman"/>
          <w:szCs w:val="24"/>
        </w:rPr>
        <w:t xml:space="preserve">(Tr. 2659.) </w:t>
      </w:r>
      <w:r w:rsidRPr="000C288B">
        <w:rPr>
          <w:rFonts w:ascii="Times New Roman" w:hAnsi="Times New Roman"/>
          <w:szCs w:val="24"/>
        </w:rPr>
        <w:t xml:space="preserve">As shown in </w:t>
      </w:r>
      <w:r w:rsidR="00142BC3">
        <w:rPr>
          <w:rFonts w:ascii="Times New Roman" w:hAnsi="Times New Roman"/>
          <w:szCs w:val="24"/>
        </w:rPr>
        <w:t xml:space="preserve">GPC </w:t>
      </w:r>
      <w:r w:rsidRPr="000C288B">
        <w:rPr>
          <w:rFonts w:ascii="Times New Roman" w:hAnsi="Times New Roman"/>
          <w:szCs w:val="24"/>
        </w:rPr>
        <w:t xml:space="preserve">Exhibit </w:t>
      </w:r>
      <w:r w:rsidR="0051715A">
        <w:rPr>
          <w:rFonts w:ascii="Times New Roman" w:hAnsi="Times New Roman"/>
          <w:szCs w:val="24"/>
        </w:rPr>
        <w:t>44</w:t>
      </w:r>
      <w:r w:rsidRPr="000C288B">
        <w:rPr>
          <w:rFonts w:ascii="Times New Roman" w:hAnsi="Times New Roman"/>
          <w:szCs w:val="24"/>
        </w:rPr>
        <w:t xml:space="preserve"> (DPP/SPA-2), </w:t>
      </w:r>
      <w:r w:rsidR="00142BC3">
        <w:rPr>
          <w:rFonts w:ascii="Times New Roman" w:hAnsi="Times New Roman"/>
          <w:szCs w:val="24"/>
        </w:rPr>
        <w:t xml:space="preserve">the Company has classified </w:t>
      </w:r>
      <w:r w:rsidRPr="000C288B">
        <w:rPr>
          <w:rFonts w:ascii="Times New Roman" w:hAnsi="Times New Roman"/>
          <w:szCs w:val="24"/>
        </w:rPr>
        <w:t>35 items as PHFFU since the Company</w:t>
      </w:r>
      <w:r w:rsidR="006F6CB0">
        <w:rPr>
          <w:rFonts w:ascii="Times New Roman" w:hAnsi="Times New Roman"/>
          <w:szCs w:val="24"/>
        </w:rPr>
        <w:t>’</w:t>
      </w:r>
      <w:r w:rsidRPr="000C288B">
        <w:rPr>
          <w:rFonts w:ascii="Times New Roman" w:hAnsi="Times New Roman"/>
          <w:szCs w:val="24"/>
        </w:rPr>
        <w:t xml:space="preserve">s 2013 base rate case. </w:t>
      </w:r>
      <w:r w:rsidR="00727954">
        <w:rPr>
          <w:rFonts w:ascii="Times New Roman" w:hAnsi="Times New Roman"/>
          <w:szCs w:val="24"/>
        </w:rPr>
        <w:t>(</w:t>
      </w:r>
      <w:r w:rsidR="00727954" w:rsidRPr="001C1457">
        <w:rPr>
          <w:rFonts w:ascii="Times New Roman" w:hAnsi="Times New Roman"/>
          <w:i/>
          <w:szCs w:val="24"/>
        </w:rPr>
        <w:t>Id</w:t>
      </w:r>
      <w:r w:rsidR="00727954">
        <w:rPr>
          <w:rFonts w:ascii="Times New Roman" w:hAnsi="Times New Roman"/>
          <w:szCs w:val="24"/>
        </w:rPr>
        <w:t xml:space="preserve">.) </w:t>
      </w:r>
      <w:r w:rsidRPr="000C288B">
        <w:rPr>
          <w:rFonts w:ascii="Times New Roman" w:hAnsi="Times New Roman"/>
          <w:szCs w:val="24"/>
        </w:rPr>
        <w:t xml:space="preserve">Of those 35 items, 17 items </w:t>
      </w:r>
      <w:r w:rsidR="00142BC3">
        <w:rPr>
          <w:rFonts w:ascii="Times New Roman" w:hAnsi="Times New Roman"/>
          <w:szCs w:val="24"/>
        </w:rPr>
        <w:t>were</w:t>
      </w:r>
      <w:r w:rsidRPr="000C288B">
        <w:rPr>
          <w:rFonts w:ascii="Times New Roman" w:hAnsi="Times New Roman"/>
          <w:szCs w:val="24"/>
        </w:rPr>
        <w:t xml:space="preserve"> removed from PHFFU</w:t>
      </w:r>
      <w:r w:rsidR="00142BC3">
        <w:rPr>
          <w:rFonts w:ascii="Times New Roman" w:hAnsi="Times New Roman"/>
          <w:szCs w:val="24"/>
        </w:rPr>
        <w:t>,</w:t>
      </w:r>
      <w:r w:rsidRPr="000C288B">
        <w:rPr>
          <w:rFonts w:ascii="Times New Roman" w:hAnsi="Times New Roman"/>
          <w:szCs w:val="24"/>
        </w:rPr>
        <w:t xml:space="preserve"> while nine items </w:t>
      </w:r>
      <w:r w:rsidR="00142BC3">
        <w:rPr>
          <w:rFonts w:ascii="Times New Roman" w:hAnsi="Times New Roman"/>
          <w:szCs w:val="24"/>
        </w:rPr>
        <w:t>were</w:t>
      </w:r>
      <w:r w:rsidRPr="000C288B">
        <w:rPr>
          <w:rFonts w:ascii="Times New Roman" w:hAnsi="Times New Roman"/>
          <w:szCs w:val="24"/>
        </w:rPr>
        <w:t xml:space="preserve"> added to PHFFU. </w:t>
      </w:r>
      <w:r w:rsidR="00727954">
        <w:rPr>
          <w:rFonts w:ascii="Times New Roman" w:hAnsi="Times New Roman"/>
          <w:szCs w:val="24"/>
        </w:rPr>
        <w:t>(</w:t>
      </w:r>
      <w:r w:rsidR="00727954" w:rsidRPr="001C1457">
        <w:rPr>
          <w:rFonts w:ascii="Times New Roman" w:hAnsi="Times New Roman"/>
          <w:i/>
          <w:szCs w:val="24"/>
        </w:rPr>
        <w:t>Id</w:t>
      </w:r>
      <w:r w:rsidR="00727954">
        <w:rPr>
          <w:rFonts w:ascii="Times New Roman" w:hAnsi="Times New Roman"/>
          <w:szCs w:val="24"/>
        </w:rPr>
        <w:t xml:space="preserve">.) </w:t>
      </w:r>
      <w:r w:rsidRPr="000C288B">
        <w:rPr>
          <w:rFonts w:ascii="Times New Roman" w:hAnsi="Times New Roman"/>
          <w:szCs w:val="24"/>
        </w:rPr>
        <w:t>This activity demonstrates that the Company is using the PHFFU account as FERC intended</w:t>
      </w:r>
      <w:r w:rsidR="00142BC3">
        <w:rPr>
          <w:rFonts w:ascii="Times New Roman" w:hAnsi="Times New Roman"/>
          <w:szCs w:val="24"/>
        </w:rPr>
        <w:t xml:space="preserve"> and </w:t>
      </w:r>
      <w:r w:rsidR="00135225">
        <w:rPr>
          <w:rFonts w:ascii="Times New Roman" w:hAnsi="Times New Roman"/>
          <w:szCs w:val="24"/>
        </w:rPr>
        <w:t xml:space="preserve">is </w:t>
      </w:r>
      <w:r w:rsidR="00142BC3">
        <w:rPr>
          <w:rFonts w:ascii="Times New Roman" w:hAnsi="Times New Roman"/>
          <w:szCs w:val="24"/>
        </w:rPr>
        <w:t>already self-monitoring the inclusion of land and land rights in PHFFU. T</w:t>
      </w:r>
      <w:r w:rsidRPr="000C288B">
        <w:rPr>
          <w:rFonts w:ascii="Times New Roman" w:hAnsi="Times New Roman"/>
          <w:szCs w:val="24"/>
        </w:rPr>
        <w:t>herefore, PIA Staff</w:t>
      </w:r>
      <w:r w:rsidR="006F6CB0">
        <w:rPr>
          <w:rFonts w:ascii="Times New Roman" w:hAnsi="Times New Roman"/>
          <w:szCs w:val="24"/>
        </w:rPr>
        <w:t>’</w:t>
      </w:r>
      <w:r w:rsidRPr="000C288B">
        <w:rPr>
          <w:rFonts w:ascii="Times New Roman" w:hAnsi="Times New Roman"/>
          <w:szCs w:val="24"/>
        </w:rPr>
        <w:t xml:space="preserve">s proposed </w:t>
      </w:r>
      <w:r w:rsidR="00142BC3">
        <w:rPr>
          <w:rFonts w:ascii="Times New Roman" w:hAnsi="Times New Roman"/>
          <w:szCs w:val="24"/>
        </w:rPr>
        <w:t xml:space="preserve">15-year limit on PHFFU is an unnecessary and arbitrary time constraint on PHFFU. Finally, </w:t>
      </w:r>
      <w:r w:rsidR="00B13352">
        <w:rPr>
          <w:rFonts w:ascii="Times New Roman" w:hAnsi="Times New Roman"/>
          <w:szCs w:val="24"/>
        </w:rPr>
        <w:t xml:space="preserve">with the regular review of the items included in PHFFU, it is unnecessary to require the Company to evaluate </w:t>
      </w:r>
      <w:r w:rsidRPr="000C288B">
        <w:rPr>
          <w:rFonts w:ascii="Times New Roman" w:hAnsi="Times New Roman"/>
          <w:szCs w:val="24"/>
        </w:rPr>
        <w:t xml:space="preserve">whether </w:t>
      </w:r>
      <w:r w:rsidR="00B13352">
        <w:rPr>
          <w:rFonts w:ascii="Times New Roman" w:hAnsi="Times New Roman"/>
          <w:szCs w:val="24"/>
        </w:rPr>
        <w:t>land like</w:t>
      </w:r>
      <w:r w:rsidRPr="000C288B">
        <w:rPr>
          <w:rFonts w:ascii="Times New Roman" w:hAnsi="Times New Roman"/>
          <w:szCs w:val="24"/>
        </w:rPr>
        <w:t xml:space="preserve"> Stewart County </w:t>
      </w:r>
      <w:r w:rsidR="00B13352">
        <w:rPr>
          <w:rFonts w:ascii="Times New Roman" w:hAnsi="Times New Roman"/>
          <w:szCs w:val="24"/>
        </w:rPr>
        <w:t xml:space="preserve">should be transferred </w:t>
      </w:r>
      <w:r w:rsidRPr="000C288B">
        <w:rPr>
          <w:rFonts w:ascii="Times New Roman" w:hAnsi="Times New Roman"/>
          <w:szCs w:val="24"/>
        </w:rPr>
        <w:t>from PHFFU to non-utility property.</w:t>
      </w:r>
      <w:r w:rsidR="00B13352">
        <w:rPr>
          <w:rFonts w:ascii="Times New Roman" w:hAnsi="Times New Roman"/>
          <w:szCs w:val="24"/>
        </w:rPr>
        <w:t xml:space="preserve"> The Company is already conducting this type of evaluation and to require it to do more would be redundant</w:t>
      </w:r>
      <w:r w:rsidR="00AE691E">
        <w:rPr>
          <w:rFonts w:ascii="Times New Roman" w:hAnsi="Times New Roman"/>
          <w:szCs w:val="24"/>
        </w:rPr>
        <w:t xml:space="preserve"> and add unnecessary administrative time and costs to the process</w:t>
      </w:r>
      <w:r w:rsidR="00B13352">
        <w:rPr>
          <w:rFonts w:ascii="Times New Roman" w:hAnsi="Times New Roman"/>
          <w:szCs w:val="24"/>
        </w:rPr>
        <w:t>.</w:t>
      </w:r>
    </w:p>
    <w:p w14:paraId="26AE0800" w14:textId="1C0671D9" w:rsidR="00186C1F" w:rsidRDefault="00B13352" w:rsidP="00F4602A">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31" w:name="_Hlk26111758"/>
      <w:r>
        <w:rPr>
          <w:rFonts w:ascii="Times New Roman" w:hAnsi="Times New Roman"/>
          <w:szCs w:val="24"/>
        </w:rPr>
        <w:lastRenderedPageBreak/>
        <w:t>9</w:t>
      </w:r>
      <w:r w:rsidR="006E1EE6">
        <w:rPr>
          <w:rFonts w:ascii="Times New Roman" w:hAnsi="Times New Roman"/>
          <w:szCs w:val="24"/>
        </w:rPr>
        <w:t>.</w:t>
      </w:r>
      <w:r w:rsidR="006E1EE6">
        <w:rPr>
          <w:rFonts w:ascii="Times New Roman" w:hAnsi="Times New Roman"/>
          <w:szCs w:val="24"/>
        </w:rPr>
        <w:tab/>
      </w:r>
      <w:r w:rsidR="000C288B" w:rsidRPr="004B6D89">
        <w:rPr>
          <w:rFonts w:ascii="Times New Roman" w:hAnsi="Times New Roman"/>
          <w:szCs w:val="24"/>
          <w:u w:val="single"/>
        </w:rPr>
        <w:t xml:space="preserve">The Commission should </w:t>
      </w:r>
      <w:r w:rsidR="00B13CC1">
        <w:rPr>
          <w:rFonts w:ascii="Times New Roman" w:hAnsi="Times New Roman"/>
          <w:szCs w:val="24"/>
          <w:u w:val="single"/>
        </w:rPr>
        <w:t>reject</w:t>
      </w:r>
      <w:r w:rsidR="000C288B" w:rsidRPr="004B6D89">
        <w:rPr>
          <w:rFonts w:ascii="Times New Roman" w:hAnsi="Times New Roman"/>
          <w:szCs w:val="24"/>
          <w:u w:val="single"/>
        </w:rPr>
        <w:t xml:space="preserve"> PIA Staff</w:t>
      </w:r>
      <w:r w:rsidR="006F6CB0">
        <w:rPr>
          <w:rFonts w:ascii="Times New Roman" w:hAnsi="Times New Roman"/>
          <w:szCs w:val="24"/>
          <w:u w:val="single"/>
        </w:rPr>
        <w:t>’</w:t>
      </w:r>
      <w:r w:rsidR="000C288B" w:rsidRPr="004B6D89">
        <w:rPr>
          <w:rFonts w:ascii="Times New Roman" w:hAnsi="Times New Roman"/>
          <w:szCs w:val="24"/>
          <w:u w:val="single"/>
        </w:rPr>
        <w:t>s proposed alternate methodology</w:t>
      </w:r>
      <w:r w:rsidR="00B13CC1">
        <w:rPr>
          <w:rFonts w:ascii="Times New Roman" w:hAnsi="Times New Roman"/>
          <w:szCs w:val="24"/>
          <w:u w:val="single"/>
        </w:rPr>
        <w:t xml:space="preserve"> </w:t>
      </w:r>
      <w:r w:rsidR="000C288B" w:rsidRPr="004B6D89">
        <w:rPr>
          <w:rFonts w:ascii="Times New Roman" w:hAnsi="Times New Roman"/>
          <w:szCs w:val="24"/>
          <w:u w:val="single"/>
        </w:rPr>
        <w:t>for sharing gains and losses on the disposition of utility land including PHFFU</w:t>
      </w:r>
      <w:r w:rsidR="000C288B">
        <w:rPr>
          <w:rFonts w:ascii="Times New Roman" w:hAnsi="Times New Roman"/>
          <w:szCs w:val="24"/>
        </w:rPr>
        <w:t>.</w:t>
      </w:r>
    </w:p>
    <w:bookmarkEnd w:id="31"/>
    <w:p w14:paraId="5301D9F6" w14:textId="0C141EED" w:rsidR="005E551E" w:rsidRDefault="00B13CC1" w:rsidP="003B2E09">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t>PIA Staff recommend</w:t>
      </w:r>
      <w:r w:rsidR="00135225">
        <w:rPr>
          <w:rFonts w:ascii="Times New Roman" w:hAnsi="Times New Roman"/>
          <w:szCs w:val="24"/>
        </w:rPr>
        <w:t>s</w:t>
      </w:r>
      <w:r>
        <w:rPr>
          <w:rFonts w:ascii="Times New Roman" w:hAnsi="Times New Roman"/>
          <w:szCs w:val="24"/>
        </w:rPr>
        <w:t xml:space="preserve"> that gains and losses on the sale of land held in PHFFU be shared with ratepayers based on the amount </w:t>
      </w:r>
      <w:r w:rsidR="00027BCA">
        <w:rPr>
          <w:rFonts w:ascii="Times New Roman" w:hAnsi="Times New Roman"/>
          <w:szCs w:val="24"/>
        </w:rPr>
        <w:t xml:space="preserve">of time the land was </w:t>
      </w:r>
      <w:r w:rsidR="00145409">
        <w:rPr>
          <w:rFonts w:ascii="Times New Roman" w:hAnsi="Times New Roman"/>
          <w:szCs w:val="24"/>
        </w:rPr>
        <w:t>held in PHFFU compared to the total time the land was held by the C</w:t>
      </w:r>
      <w:r w:rsidR="007B7084">
        <w:rPr>
          <w:rFonts w:ascii="Times New Roman" w:hAnsi="Times New Roman"/>
          <w:szCs w:val="24"/>
        </w:rPr>
        <w:t xml:space="preserve">ompany up to a maximum sharing of 80% for customers. </w:t>
      </w:r>
      <w:r w:rsidR="00E34DDB">
        <w:rPr>
          <w:rFonts w:ascii="Times New Roman" w:hAnsi="Times New Roman"/>
          <w:szCs w:val="24"/>
        </w:rPr>
        <w:t>(</w:t>
      </w:r>
      <w:r w:rsidR="00FB25E8">
        <w:rPr>
          <w:rFonts w:ascii="Times New Roman" w:hAnsi="Times New Roman"/>
          <w:szCs w:val="24"/>
        </w:rPr>
        <w:t>Tr.</w:t>
      </w:r>
      <w:r w:rsidR="00F4602A">
        <w:rPr>
          <w:rFonts w:ascii="Times New Roman" w:hAnsi="Times New Roman"/>
          <w:szCs w:val="24"/>
        </w:rPr>
        <w:t> </w:t>
      </w:r>
      <w:r w:rsidR="00FB25E8">
        <w:rPr>
          <w:rFonts w:ascii="Times New Roman" w:hAnsi="Times New Roman"/>
          <w:szCs w:val="24"/>
        </w:rPr>
        <w:t>1255</w:t>
      </w:r>
      <w:r w:rsidR="00E34DDB">
        <w:rPr>
          <w:rFonts w:ascii="Times New Roman" w:hAnsi="Times New Roman"/>
          <w:szCs w:val="24"/>
        </w:rPr>
        <w:t xml:space="preserve">.) </w:t>
      </w:r>
      <w:r w:rsidR="007B7084">
        <w:rPr>
          <w:rFonts w:ascii="Times New Roman" w:hAnsi="Times New Roman"/>
          <w:szCs w:val="24"/>
        </w:rPr>
        <w:t>T</w:t>
      </w:r>
      <w:r w:rsidR="007B7084" w:rsidRPr="000C288B">
        <w:rPr>
          <w:rFonts w:ascii="Times New Roman" w:hAnsi="Times New Roman"/>
          <w:szCs w:val="24"/>
        </w:rPr>
        <w:t>he Company does not support PIA Staff</w:t>
      </w:r>
      <w:r w:rsidR="006F6CB0">
        <w:rPr>
          <w:rFonts w:ascii="Times New Roman" w:hAnsi="Times New Roman"/>
          <w:szCs w:val="24"/>
        </w:rPr>
        <w:t>’</w:t>
      </w:r>
      <w:r w:rsidR="007B7084" w:rsidRPr="000C288B">
        <w:rPr>
          <w:rFonts w:ascii="Times New Roman" w:hAnsi="Times New Roman"/>
          <w:szCs w:val="24"/>
        </w:rPr>
        <w:t>s proposed sharing ratio or</w:t>
      </w:r>
      <w:r w:rsidR="005E551E">
        <w:rPr>
          <w:rFonts w:ascii="Times New Roman" w:hAnsi="Times New Roman"/>
          <w:szCs w:val="24"/>
        </w:rPr>
        <w:t xml:space="preserve"> </w:t>
      </w:r>
      <w:r w:rsidR="00160321">
        <w:rPr>
          <w:rFonts w:ascii="Times New Roman" w:hAnsi="Times New Roman"/>
          <w:szCs w:val="24"/>
        </w:rPr>
        <w:t xml:space="preserve">the </w:t>
      </w:r>
      <w:r w:rsidR="005E551E">
        <w:rPr>
          <w:rFonts w:ascii="Times New Roman" w:hAnsi="Times New Roman"/>
          <w:szCs w:val="24"/>
        </w:rPr>
        <w:t xml:space="preserve">justification for </w:t>
      </w:r>
      <w:r w:rsidR="00160321">
        <w:rPr>
          <w:rFonts w:ascii="Times New Roman" w:hAnsi="Times New Roman"/>
          <w:szCs w:val="24"/>
        </w:rPr>
        <w:t>sharing</w:t>
      </w:r>
      <w:r w:rsidR="005E551E">
        <w:rPr>
          <w:rFonts w:ascii="Times New Roman" w:hAnsi="Times New Roman"/>
          <w:szCs w:val="24"/>
        </w:rPr>
        <w:t xml:space="preserve"> gains or losses on land dispositions with customers. T</w:t>
      </w:r>
      <w:r w:rsidR="005E551E" w:rsidRPr="000C288B">
        <w:rPr>
          <w:rFonts w:ascii="Times New Roman" w:hAnsi="Times New Roman"/>
          <w:szCs w:val="24"/>
        </w:rPr>
        <w:t xml:space="preserve">he Company </w:t>
      </w:r>
      <w:r w:rsidR="005E551E">
        <w:rPr>
          <w:rFonts w:ascii="Times New Roman" w:hAnsi="Times New Roman"/>
          <w:szCs w:val="24"/>
        </w:rPr>
        <w:t xml:space="preserve">continues to </w:t>
      </w:r>
      <w:r w:rsidR="005E551E" w:rsidRPr="000C288B">
        <w:rPr>
          <w:rFonts w:ascii="Times New Roman" w:hAnsi="Times New Roman"/>
          <w:szCs w:val="24"/>
        </w:rPr>
        <w:t>support</w:t>
      </w:r>
      <w:r w:rsidR="005E551E">
        <w:rPr>
          <w:rFonts w:ascii="Times New Roman" w:hAnsi="Times New Roman"/>
          <w:szCs w:val="24"/>
        </w:rPr>
        <w:t xml:space="preserve"> and follow</w:t>
      </w:r>
      <w:r w:rsidR="005E551E" w:rsidRPr="000C288B">
        <w:rPr>
          <w:rFonts w:ascii="Times New Roman" w:hAnsi="Times New Roman"/>
          <w:szCs w:val="24"/>
        </w:rPr>
        <w:t xml:space="preserve"> the accounting guidance contained in the Code of Federal Regulations (</w:t>
      </w:r>
      <w:r w:rsidR="00EE1660">
        <w:rPr>
          <w:rFonts w:ascii="Times New Roman" w:hAnsi="Times New Roman"/>
          <w:szCs w:val="24"/>
        </w:rPr>
        <w:t>“</w:t>
      </w:r>
      <w:r w:rsidR="005E551E" w:rsidRPr="000C288B">
        <w:rPr>
          <w:rFonts w:ascii="Times New Roman" w:hAnsi="Times New Roman"/>
          <w:szCs w:val="24"/>
        </w:rPr>
        <w:t>CFR</w:t>
      </w:r>
      <w:r w:rsidR="00EE1660">
        <w:rPr>
          <w:rFonts w:ascii="Times New Roman" w:hAnsi="Times New Roman"/>
          <w:szCs w:val="24"/>
        </w:rPr>
        <w:t>”</w:t>
      </w:r>
      <w:r w:rsidR="005E551E" w:rsidRPr="000C288B">
        <w:rPr>
          <w:rFonts w:ascii="Times New Roman" w:hAnsi="Times New Roman"/>
          <w:szCs w:val="24"/>
        </w:rPr>
        <w:t>)</w:t>
      </w:r>
      <w:r w:rsidR="005C513F">
        <w:rPr>
          <w:rFonts w:ascii="Times New Roman" w:hAnsi="Times New Roman"/>
          <w:szCs w:val="24"/>
        </w:rPr>
        <w:t xml:space="preserve">, which provides that </w:t>
      </w:r>
      <w:r w:rsidR="005C513F" w:rsidRPr="000C288B">
        <w:rPr>
          <w:rFonts w:ascii="Times New Roman" w:hAnsi="Times New Roman"/>
          <w:szCs w:val="24"/>
        </w:rPr>
        <w:t>any gains or losses from the disposition of such property prior to its use in service should be recorded above-the-line.</w:t>
      </w:r>
      <w:r w:rsidR="005E551E" w:rsidRPr="000C288B">
        <w:rPr>
          <w:rFonts w:ascii="Times New Roman" w:hAnsi="Times New Roman"/>
          <w:szCs w:val="24"/>
        </w:rPr>
        <w:t xml:space="preserve"> </w:t>
      </w:r>
      <w:r w:rsidR="00E34DDB">
        <w:rPr>
          <w:rFonts w:ascii="Times New Roman" w:hAnsi="Times New Roman"/>
          <w:szCs w:val="24"/>
        </w:rPr>
        <w:t>(</w:t>
      </w:r>
      <w:r w:rsidR="00CC10A9">
        <w:rPr>
          <w:rFonts w:ascii="Times New Roman" w:hAnsi="Times New Roman"/>
          <w:szCs w:val="24"/>
        </w:rPr>
        <w:t>Tr. 2660</w:t>
      </w:r>
      <w:r w:rsidR="00E34DDB">
        <w:rPr>
          <w:rFonts w:ascii="Times New Roman" w:hAnsi="Times New Roman"/>
          <w:szCs w:val="24"/>
        </w:rPr>
        <w:t xml:space="preserve">.) </w:t>
      </w:r>
      <w:r w:rsidR="005E551E" w:rsidRPr="000C288B">
        <w:rPr>
          <w:rFonts w:ascii="Times New Roman" w:hAnsi="Times New Roman"/>
          <w:szCs w:val="24"/>
        </w:rPr>
        <w:t>Customers pay for the costs to maintain land and a reasonable carrying cost on the land</w:t>
      </w:r>
      <w:r w:rsidR="00E34DDB">
        <w:rPr>
          <w:rFonts w:ascii="Times New Roman" w:hAnsi="Times New Roman"/>
          <w:szCs w:val="24"/>
        </w:rPr>
        <w:t>, h</w:t>
      </w:r>
      <w:r w:rsidR="005E551E" w:rsidRPr="000C288B">
        <w:rPr>
          <w:rFonts w:ascii="Times New Roman" w:hAnsi="Times New Roman"/>
          <w:szCs w:val="24"/>
        </w:rPr>
        <w:t xml:space="preserve">owever, they do not pay for the cost of the land itself. </w:t>
      </w:r>
      <w:r w:rsidR="00CC10A9">
        <w:rPr>
          <w:rFonts w:ascii="Times New Roman" w:hAnsi="Times New Roman"/>
          <w:szCs w:val="24"/>
        </w:rPr>
        <w:t>(</w:t>
      </w:r>
      <w:r w:rsidR="00CC10A9" w:rsidRPr="001C1457">
        <w:rPr>
          <w:rFonts w:ascii="Times New Roman" w:hAnsi="Times New Roman"/>
          <w:i/>
          <w:szCs w:val="24"/>
        </w:rPr>
        <w:t>Id</w:t>
      </w:r>
      <w:r w:rsidR="00CC10A9">
        <w:rPr>
          <w:rFonts w:ascii="Times New Roman" w:hAnsi="Times New Roman"/>
          <w:szCs w:val="24"/>
        </w:rPr>
        <w:t xml:space="preserve">.) </w:t>
      </w:r>
      <w:r w:rsidR="005C513F">
        <w:rPr>
          <w:rFonts w:ascii="Times New Roman" w:hAnsi="Times New Roman"/>
          <w:szCs w:val="24"/>
        </w:rPr>
        <w:t>C</w:t>
      </w:r>
      <w:r w:rsidR="005E551E" w:rsidRPr="000C288B">
        <w:rPr>
          <w:rFonts w:ascii="Times New Roman" w:hAnsi="Times New Roman"/>
          <w:szCs w:val="24"/>
        </w:rPr>
        <w:t>ustomers benefit from the Company procuring land for projects to be completed in the future (PHFFU) and the Company agrees with the FERC guidance</w:t>
      </w:r>
      <w:r w:rsidR="005C513F">
        <w:rPr>
          <w:rFonts w:ascii="Times New Roman" w:hAnsi="Times New Roman"/>
          <w:szCs w:val="24"/>
        </w:rPr>
        <w:t xml:space="preserve"> on this point.</w:t>
      </w:r>
    </w:p>
    <w:p w14:paraId="3502DBC7" w14:textId="2D04B3AB" w:rsidR="005C513F" w:rsidRDefault="005C513F" w:rsidP="003B2E09">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Pr="000C288B">
        <w:rPr>
          <w:rFonts w:ascii="Times New Roman" w:hAnsi="Times New Roman"/>
          <w:szCs w:val="24"/>
        </w:rPr>
        <w:t>In addition, use of property for retail electric service and paying the associated costs for that use does not grant customers a right to the proceeds from the sale of that property upon the end of its useful life in serving customers. </w:t>
      </w:r>
      <w:r w:rsidR="00CC10A9">
        <w:rPr>
          <w:rFonts w:ascii="Times New Roman" w:hAnsi="Times New Roman"/>
          <w:szCs w:val="24"/>
        </w:rPr>
        <w:t>(</w:t>
      </w:r>
      <w:r w:rsidR="00CC10A9" w:rsidRPr="001C1457">
        <w:rPr>
          <w:rFonts w:ascii="Times New Roman" w:hAnsi="Times New Roman"/>
          <w:i/>
          <w:szCs w:val="24"/>
        </w:rPr>
        <w:t>Id</w:t>
      </w:r>
      <w:r w:rsidR="00CC10A9">
        <w:rPr>
          <w:rFonts w:ascii="Times New Roman" w:hAnsi="Times New Roman"/>
          <w:szCs w:val="24"/>
        </w:rPr>
        <w:t xml:space="preserve">.) </w:t>
      </w:r>
      <w:r w:rsidRPr="000C288B">
        <w:rPr>
          <w:rFonts w:ascii="Times New Roman" w:hAnsi="Times New Roman"/>
          <w:szCs w:val="24"/>
        </w:rPr>
        <w:t xml:space="preserve">This view is consistent with the CFR treatment of the disposition of land formerly in electric plant in service. Further, land goes into rate base at its original cost and is not depreciated, nor can the Company recognize the appreciated value of the land in rate base. </w:t>
      </w:r>
      <w:r w:rsidR="00CC10A9">
        <w:rPr>
          <w:rFonts w:ascii="Times New Roman" w:hAnsi="Times New Roman"/>
          <w:szCs w:val="24"/>
        </w:rPr>
        <w:t>(</w:t>
      </w:r>
      <w:r w:rsidR="00CC10A9" w:rsidRPr="001C1457">
        <w:rPr>
          <w:rFonts w:ascii="Times New Roman" w:hAnsi="Times New Roman"/>
          <w:i/>
          <w:szCs w:val="24"/>
        </w:rPr>
        <w:t>Id</w:t>
      </w:r>
      <w:r w:rsidR="00CC10A9">
        <w:rPr>
          <w:rFonts w:ascii="Times New Roman" w:hAnsi="Times New Roman"/>
          <w:szCs w:val="24"/>
        </w:rPr>
        <w:t xml:space="preserve">.) </w:t>
      </w:r>
      <w:r w:rsidRPr="000C288B">
        <w:rPr>
          <w:rFonts w:ascii="Times New Roman" w:hAnsi="Times New Roman"/>
          <w:szCs w:val="24"/>
        </w:rPr>
        <w:t>The Company assumes the risk for any gain or loss on land used to serve customers. This view is consistent with the Commission</w:t>
      </w:r>
      <w:r w:rsidR="006F6CB0">
        <w:rPr>
          <w:rFonts w:ascii="Times New Roman" w:hAnsi="Times New Roman"/>
          <w:szCs w:val="24"/>
        </w:rPr>
        <w:t>’</w:t>
      </w:r>
      <w:r w:rsidRPr="000C288B">
        <w:rPr>
          <w:rFonts w:ascii="Times New Roman" w:hAnsi="Times New Roman"/>
          <w:szCs w:val="24"/>
        </w:rPr>
        <w:t xml:space="preserve">s historical treatment of land. </w:t>
      </w:r>
    </w:p>
    <w:p w14:paraId="738200BD" w14:textId="54DD1952" w:rsidR="00743FE7" w:rsidRDefault="005C513F" w:rsidP="005416CE">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t>Notwithstanding</w:t>
      </w:r>
      <w:r w:rsidRPr="000C288B">
        <w:rPr>
          <w:rFonts w:ascii="Times New Roman" w:hAnsi="Times New Roman"/>
          <w:szCs w:val="24"/>
        </w:rPr>
        <w:t xml:space="preserve"> the Company</w:t>
      </w:r>
      <w:r w:rsidR="006F6CB0">
        <w:rPr>
          <w:rFonts w:ascii="Times New Roman" w:hAnsi="Times New Roman"/>
          <w:szCs w:val="24"/>
        </w:rPr>
        <w:t>’</w:t>
      </w:r>
      <w:r>
        <w:rPr>
          <w:rFonts w:ascii="Times New Roman" w:hAnsi="Times New Roman"/>
          <w:szCs w:val="24"/>
        </w:rPr>
        <w:t>s position that following</w:t>
      </w:r>
      <w:r w:rsidRPr="000C288B">
        <w:rPr>
          <w:rFonts w:ascii="Times New Roman" w:hAnsi="Times New Roman"/>
          <w:szCs w:val="24"/>
        </w:rPr>
        <w:t xml:space="preserve"> the existing CFR accounting guidance pertaining to gains and losses on the disposition of utility land is</w:t>
      </w:r>
      <w:r>
        <w:rPr>
          <w:rFonts w:ascii="Times New Roman" w:hAnsi="Times New Roman"/>
          <w:szCs w:val="24"/>
        </w:rPr>
        <w:t xml:space="preserve"> still</w:t>
      </w:r>
      <w:r w:rsidRPr="000C288B">
        <w:rPr>
          <w:rFonts w:ascii="Times New Roman" w:hAnsi="Times New Roman"/>
          <w:szCs w:val="24"/>
        </w:rPr>
        <w:t xml:space="preserve"> appropriate,</w:t>
      </w:r>
      <w:r w:rsidR="00335B8F">
        <w:rPr>
          <w:rFonts w:ascii="Times New Roman" w:hAnsi="Times New Roman"/>
          <w:szCs w:val="24"/>
        </w:rPr>
        <w:t xml:space="preserve"> if the Commission is inclined to impose a sharing of gains and losses on the sale of utility property, it </w:t>
      </w:r>
      <w:r w:rsidR="00335B8F">
        <w:rPr>
          <w:rFonts w:ascii="Times New Roman" w:hAnsi="Times New Roman"/>
          <w:szCs w:val="24"/>
        </w:rPr>
        <w:lastRenderedPageBreak/>
        <w:t>should adopt the Company</w:t>
      </w:r>
      <w:r w:rsidR="006F6CB0">
        <w:rPr>
          <w:rFonts w:ascii="Times New Roman" w:hAnsi="Times New Roman"/>
          <w:szCs w:val="24"/>
        </w:rPr>
        <w:t>’</w:t>
      </w:r>
      <w:r w:rsidR="00335B8F">
        <w:rPr>
          <w:rFonts w:ascii="Times New Roman" w:hAnsi="Times New Roman"/>
          <w:szCs w:val="24"/>
        </w:rPr>
        <w:t>s proposed sharing mechanism in lieu of that proposed by PIA Staff.</w:t>
      </w:r>
      <w:r w:rsidRPr="000C288B">
        <w:rPr>
          <w:rFonts w:ascii="Times New Roman" w:hAnsi="Times New Roman"/>
          <w:szCs w:val="24"/>
        </w:rPr>
        <w:t xml:space="preserve"> </w:t>
      </w:r>
      <w:r w:rsidR="00755E21">
        <w:rPr>
          <w:rFonts w:ascii="Times New Roman" w:hAnsi="Times New Roman"/>
          <w:szCs w:val="24"/>
        </w:rPr>
        <w:t>T</w:t>
      </w:r>
      <w:r>
        <w:rPr>
          <w:rFonts w:ascii="Times New Roman" w:hAnsi="Times New Roman"/>
          <w:szCs w:val="24"/>
        </w:rPr>
        <w:t>he Company</w:t>
      </w:r>
      <w:r w:rsidR="00755E21">
        <w:rPr>
          <w:rFonts w:ascii="Times New Roman" w:hAnsi="Times New Roman"/>
          <w:szCs w:val="24"/>
        </w:rPr>
        <w:t xml:space="preserve"> only</w:t>
      </w:r>
      <w:r>
        <w:rPr>
          <w:rFonts w:ascii="Times New Roman" w:hAnsi="Times New Roman"/>
          <w:szCs w:val="24"/>
        </w:rPr>
        <w:t xml:space="preserve"> proposed a sharing mechanism to split the gains or losses on the sale of land</w:t>
      </w:r>
      <w:r w:rsidR="00755E21">
        <w:rPr>
          <w:rFonts w:ascii="Times New Roman" w:hAnsi="Times New Roman"/>
          <w:szCs w:val="24"/>
        </w:rPr>
        <w:t xml:space="preserve"> with customers</w:t>
      </w:r>
      <w:r>
        <w:rPr>
          <w:rFonts w:ascii="Times New Roman" w:hAnsi="Times New Roman"/>
          <w:szCs w:val="24"/>
        </w:rPr>
        <w:t xml:space="preserve"> in </w:t>
      </w:r>
      <w:r w:rsidR="00755E21">
        <w:rPr>
          <w:rFonts w:ascii="Times New Roman" w:hAnsi="Times New Roman"/>
          <w:szCs w:val="24"/>
        </w:rPr>
        <w:t>an effort</w:t>
      </w:r>
      <w:r w:rsidR="00EC0096">
        <w:rPr>
          <w:rFonts w:ascii="Times New Roman" w:hAnsi="Times New Roman"/>
          <w:szCs w:val="24"/>
        </w:rPr>
        <w:t xml:space="preserve"> to</w:t>
      </w:r>
      <w:r w:rsidR="00755E21">
        <w:rPr>
          <w:rFonts w:ascii="Times New Roman" w:hAnsi="Times New Roman"/>
          <w:szCs w:val="24"/>
        </w:rPr>
        <w:t xml:space="preserve"> </w:t>
      </w:r>
      <w:r w:rsidR="00160321">
        <w:rPr>
          <w:rFonts w:ascii="Times New Roman" w:hAnsi="Times New Roman"/>
          <w:szCs w:val="24"/>
        </w:rPr>
        <w:t xml:space="preserve">accommodate concerns raised </w:t>
      </w:r>
      <w:r>
        <w:rPr>
          <w:rFonts w:ascii="Times New Roman" w:hAnsi="Times New Roman"/>
          <w:szCs w:val="24"/>
        </w:rPr>
        <w:t xml:space="preserve">recently by Commission Staff. </w:t>
      </w:r>
      <w:r w:rsidR="00F8454A">
        <w:rPr>
          <w:rFonts w:ascii="Times New Roman" w:hAnsi="Times New Roman"/>
          <w:szCs w:val="24"/>
        </w:rPr>
        <w:t>The Company</w:t>
      </w:r>
      <w:r w:rsidR="006F6CB0">
        <w:rPr>
          <w:rFonts w:ascii="Times New Roman" w:hAnsi="Times New Roman"/>
          <w:szCs w:val="24"/>
        </w:rPr>
        <w:t>’</w:t>
      </w:r>
      <w:r w:rsidR="00F8454A">
        <w:rPr>
          <w:rFonts w:ascii="Times New Roman" w:hAnsi="Times New Roman"/>
          <w:szCs w:val="24"/>
        </w:rPr>
        <w:t xml:space="preserve">s proposal would share 20% of any gain or loss on land sales with customers. </w:t>
      </w:r>
      <w:r w:rsidR="00647A2F">
        <w:rPr>
          <w:rFonts w:ascii="Times New Roman" w:hAnsi="Times New Roman"/>
          <w:szCs w:val="24"/>
        </w:rPr>
        <w:t>(</w:t>
      </w:r>
      <w:r w:rsidR="00CC10A9">
        <w:rPr>
          <w:rFonts w:ascii="Times New Roman" w:hAnsi="Times New Roman"/>
          <w:szCs w:val="24"/>
        </w:rPr>
        <w:t>Tr. 2660</w:t>
      </w:r>
      <w:r w:rsidR="00647A2F">
        <w:rPr>
          <w:rFonts w:ascii="Times New Roman" w:hAnsi="Times New Roman"/>
          <w:szCs w:val="24"/>
        </w:rPr>
        <w:t xml:space="preserve">.) </w:t>
      </w:r>
      <w:r w:rsidR="00F8454A">
        <w:rPr>
          <w:rFonts w:ascii="Times New Roman" w:hAnsi="Times New Roman"/>
          <w:szCs w:val="24"/>
        </w:rPr>
        <w:t>However, PIA Staff</w:t>
      </w:r>
      <w:r w:rsidR="006F6CB0">
        <w:rPr>
          <w:rFonts w:ascii="Times New Roman" w:hAnsi="Times New Roman"/>
          <w:szCs w:val="24"/>
        </w:rPr>
        <w:t>’</w:t>
      </w:r>
      <w:r w:rsidR="00F8454A">
        <w:rPr>
          <w:rFonts w:ascii="Times New Roman" w:hAnsi="Times New Roman"/>
          <w:szCs w:val="24"/>
        </w:rPr>
        <w:t xml:space="preserve">s </w:t>
      </w:r>
      <w:r w:rsidR="00160321">
        <w:rPr>
          <w:rFonts w:ascii="Times New Roman" w:hAnsi="Times New Roman"/>
          <w:szCs w:val="24"/>
        </w:rPr>
        <w:t xml:space="preserve">proposal for sharing </w:t>
      </w:r>
      <w:r w:rsidR="00F8454A">
        <w:rPr>
          <w:rFonts w:ascii="Times New Roman" w:hAnsi="Times New Roman"/>
          <w:szCs w:val="24"/>
        </w:rPr>
        <w:t>up to 80% with customers using the ratio of time land has been included in PHFFU compared to total time held by the Company strays too far from FERC accounting guidance</w:t>
      </w:r>
      <w:r w:rsidR="00743FE7">
        <w:rPr>
          <w:rFonts w:ascii="Times New Roman" w:hAnsi="Times New Roman"/>
          <w:szCs w:val="24"/>
        </w:rPr>
        <w:t>. It</w:t>
      </w:r>
      <w:r w:rsidR="00743FE7" w:rsidRPr="000C288B">
        <w:rPr>
          <w:rFonts w:ascii="Times New Roman" w:hAnsi="Times New Roman"/>
          <w:szCs w:val="24"/>
        </w:rPr>
        <w:t xml:space="preserve"> is unclear if PIA Staff</w:t>
      </w:r>
      <w:r w:rsidR="006F6CB0">
        <w:rPr>
          <w:rFonts w:ascii="Times New Roman" w:hAnsi="Times New Roman"/>
          <w:szCs w:val="24"/>
        </w:rPr>
        <w:t>’</w:t>
      </w:r>
      <w:r w:rsidR="00743FE7">
        <w:rPr>
          <w:rFonts w:ascii="Times New Roman" w:hAnsi="Times New Roman"/>
          <w:szCs w:val="24"/>
        </w:rPr>
        <w:t>s proposed</w:t>
      </w:r>
      <w:r w:rsidR="00743FE7" w:rsidRPr="000C288B">
        <w:rPr>
          <w:rFonts w:ascii="Times New Roman" w:hAnsi="Times New Roman"/>
          <w:szCs w:val="24"/>
        </w:rPr>
        <w:t xml:space="preserve"> sharing </w:t>
      </w:r>
      <w:r w:rsidR="00743FE7">
        <w:rPr>
          <w:rFonts w:ascii="Times New Roman" w:hAnsi="Times New Roman"/>
          <w:szCs w:val="24"/>
        </w:rPr>
        <w:t>mechanism</w:t>
      </w:r>
      <w:r w:rsidR="00743FE7" w:rsidRPr="000C288B">
        <w:rPr>
          <w:rFonts w:ascii="Times New Roman" w:hAnsi="Times New Roman"/>
          <w:szCs w:val="24"/>
        </w:rPr>
        <w:t xml:space="preserve"> </w:t>
      </w:r>
      <w:r w:rsidR="00743FE7">
        <w:rPr>
          <w:rFonts w:ascii="Times New Roman" w:hAnsi="Times New Roman"/>
          <w:szCs w:val="24"/>
        </w:rPr>
        <w:t>is intended to apply to land</w:t>
      </w:r>
      <w:r w:rsidR="00743FE7" w:rsidRPr="000C288B">
        <w:rPr>
          <w:rFonts w:ascii="Times New Roman" w:hAnsi="Times New Roman"/>
          <w:szCs w:val="24"/>
        </w:rPr>
        <w:t xml:space="preserve"> not classified as PHFFU</w:t>
      </w:r>
      <w:r w:rsidR="00743FE7">
        <w:rPr>
          <w:rFonts w:ascii="Times New Roman" w:hAnsi="Times New Roman"/>
          <w:szCs w:val="24"/>
        </w:rPr>
        <w:t xml:space="preserve">, although the proposed ratio </w:t>
      </w:r>
      <w:r w:rsidR="00F8454A">
        <w:rPr>
          <w:rFonts w:ascii="Times New Roman" w:hAnsi="Times New Roman"/>
          <w:szCs w:val="24"/>
        </w:rPr>
        <w:t>would be unworkable for sales of land never held in PHFFU. PIA Staff</w:t>
      </w:r>
      <w:r w:rsidR="006F6CB0">
        <w:rPr>
          <w:rFonts w:ascii="Times New Roman" w:hAnsi="Times New Roman"/>
          <w:szCs w:val="24"/>
        </w:rPr>
        <w:t>’</w:t>
      </w:r>
      <w:r w:rsidR="00F8454A">
        <w:rPr>
          <w:rFonts w:ascii="Times New Roman" w:hAnsi="Times New Roman"/>
          <w:szCs w:val="24"/>
        </w:rPr>
        <w:t xml:space="preserve">s </w:t>
      </w:r>
      <w:r w:rsidR="00F8454A" w:rsidRPr="000C288B">
        <w:rPr>
          <w:rFonts w:ascii="Times New Roman" w:hAnsi="Times New Roman"/>
          <w:szCs w:val="24"/>
        </w:rPr>
        <w:t xml:space="preserve">proposed sharing mechanism </w:t>
      </w:r>
      <w:r w:rsidR="00F8454A">
        <w:rPr>
          <w:rFonts w:ascii="Times New Roman" w:hAnsi="Times New Roman"/>
          <w:szCs w:val="24"/>
        </w:rPr>
        <w:t>c</w:t>
      </w:r>
      <w:r w:rsidR="00F8454A" w:rsidRPr="000C288B">
        <w:rPr>
          <w:rFonts w:ascii="Times New Roman" w:hAnsi="Times New Roman"/>
          <w:szCs w:val="24"/>
        </w:rPr>
        <w:t>reate</w:t>
      </w:r>
      <w:r w:rsidR="00F8454A">
        <w:rPr>
          <w:rFonts w:ascii="Times New Roman" w:hAnsi="Times New Roman"/>
          <w:szCs w:val="24"/>
        </w:rPr>
        <w:t>s</w:t>
      </w:r>
      <w:r w:rsidR="00F8454A" w:rsidRPr="000C288B">
        <w:rPr>
          <w:rFonts w:ascii="Times New Roman" w:hAnsi="Times New Roman"/>
          <w:szCs w:val="24"/>
        </w:rPr>
        <w:t xml:space="preserve"> an unnecessary administrative burden</w:t>
      </w:r>
      <w:r w:rsidR="00F8454A">
        <w:rPr>
          <w:rFonts w:ascii="Times New Roman" w:hAnsi="Times New Roman"/>
          <w:szCs w:val="24"/>
        </w:rPr>
        <w:t xml:space="preserve"> on the Company and </w:t>
      </w:r>
      <w:r w:rsidR="00743FE7">
        <w:rPr>
          <w:rFonts w:ascii="Times New Roman" w:hAnsi="Times New Roman"/>
          <w:szCs w:val="24"/>
        </w:rPr>
        <w:t xml:space="preserve">would </w:t>
      </w:r>
      <w:r w:rsidR="00F8454A">
        <w:rPr>
          <w:rFonts w:ascii="Times New Roman" w:hAnsi="Times New Roman"/>
          <w:szCs w:val="24"/>
        </w:rPr>
        <w:t>produce inconsistencies in the ratemaking treatment for various land sale transactions</w:t>
      </w:r>
      <w:r w:rsidR="00743FE7">
        <w:rPr>
          <w:rFonts w:ascii="Times New Roman" w:hAnsi="Times New Roman"/>
          <w:szCs w:val="24"/>
        </w:rPr>
        <w:t>. In contrast, the Company</w:t>
      </w:r>
      <w:r w:rsidR="006F6CB0">
        <w:rPr>
          <w:rFonts w:ascii="Times New Roman" w:hAnsi="Times New Roman"/>
          <w:szCs w:val="24"/>
        </w:rPr>
        <w:t>’</w:t>
      </w:r>
      <w:r w:rsidR="00743FE7">
        <w:rPr>
          <w:rFonts w:ascii="Times New Roman" w:hAnsi="Times New Roman"/>
          <w:szCs w:val="24"/>
        </w:rPr>
        <w:t>s proposed sharing of gains and losses on the disposition of utility property is a more straightforward 20/80 split between customers and the Company as applied to all</w:t>
      </w:r>
      <w:r w:rsidR="00AE691E">
        <w:rPr>
          <w:rFonts w:ascii="Times New Roman" w:hAnsi="Times New Roman"/>
          <w:szCs w:val="24"/>
        </w:rPr>
        <w:t xml:space="preserve"> future utility</w:t>
      </w:r>
      <w:r w:rsidR="00743FE7">
        <w:rPr>
          <w:rFonts w:ascii="Times New Roman" w:hAnsi="Times New Roman"/>
          <w:szCs w:val="24"/>
        </w:rPr>
        <w:t xml:space="preserve"> land sale transactions, regardless of whether the land was previously classified as PHFFU.</w:t>
      </w:r>
    </w:p>
    <w:p w14:paraId="7D75AA29" w14:textId="028BFEDA" w:rsidR="00186C1F" w:rsidRDefault="00365D7A" w:rsidP="00F4602A">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32" w:name="_Hlk26111766"/>
      <w:r>
        <w:rPr>
          <w:rFonts w:ascii="Times New Roman" w:hAnsi="Times New Roman"/>
          <w:szCs w:val="24"/>
        </w:rPr>
        <w:t>1</w:t>
      </w:r>
      <w:r w:rsidR="00B13352">
        <w:rPr>
          <w:rFonts w:ascii="Times New Roman" w:hAnsi="Times New Roman"/>
          <w:szCs w:val="24"/>
        </w:rPr>
        <w:t>0</w:t>
      </w:r>
      <w:r w:rsidR="00533458">
        <w:rPr>
          <w:rFonts w:ascii="Times New Roman" w:hAnsi="Times New Roman"/>
          <w:szCs w:val="24"/>
        </w:rPr>
        <w:t>.</w:t>
      </w:r>
      <w:r w:rsidR="00533458">
        <w:rPr>
          <w:rFonts w:ascii="Times New Roman" w:hAnsi="Times New Roman"/>
          <w:szCs w:val="24"/>
        </w:rPr>
        <w:tab/>
      </w:r>
      <w:r w:rsidR="00BB6F61" w:rsidRPr="004B6D89">
        <w:rPr>
          <w:rFonts w:ascii="Times New Roman" w:hAnsi="Times New Roman"/>
          <w:szCs w:val="24"/>
          <w:u w:val="single"/>
        </w:rPr>
        <w:t>The Commission should reject PIA Staff</w:t>
      </w:r>
      <w:r w:rsidR="006F6CB0">
        <w:rPr>
          <w:rFonts w:ascii="Times New Roman" w:hAnsi="Times New Roman"/>
          <w:szCs w:val="24"/>
          <w:u w:val="single"/>
        </w:rPr>
        <w:t>’</w:t>
      </w:r>
      <w:r w:rsidR="00BB6F61" w:rsidRPr="004B6D89">
        <w:rPr>
          <w:rFonts w:ascii="Times New Roman" w:hAnsi="Times New Roman"/>
          <w:szCs w:val="24"/>
          <w:u w:val="single"/>
        </w:rPr>
        <w:t>s proposal to adjust the Company</w:t>
      </w:r>
      <w:r w:rsidR="006F6CB0">
        <w:rPr>
          <w:rFonts w:ascii="Times New Roman" w:hAnsi="Times New Roman"/>
          <w:szCs w:val="24"/>
          <w:u w:val="single"/>
        </w:rPr>
        <w:t>’</w:t>
      </w:r>
      <w:r w:rsidR="00BB6F61" w:rsidRPr="004B6D89">
        <w:rPr>
          <w:rFonts w:ascii="Times New Roman" w:hAnsi="Times New Roman"/>
          <w:szCs w:val="24"/>
          <w:u w:val="single"/>
        </w:rPr>
        <w:t>s projected property taxes for the test year and years 2020 through 2022 to reflect tax true</w:t>
      </w:r>
      <w:r w:rsidR="009E08D5">
        <w:rPr>
          <w:rFonts w:ascii="Times New Roman" w:hAnsi="Times New Roman"/>
          <w:szCs w:val="24"/>
          <w:u w:val="single"/>
        </w:rPr>
        <w:t>-</w:t>
      </w:r>
      <w:r w:rsidR="00BB6F61" w:rsidRPr="004B6D89">
        <w:rPr>
          <w:rFonts w:ascii="Times New Roman" w:hAnsi="Times New Roman"/>
          <w:szCs w:val="24"/>
          <w:u w:val="single"/>
        </w:rPr>
        <w:t>ups</w:t>
      </w:r>
      <w:r w:rsidR="00BB6F61">
        <w:rPr>
          <w:rFonts w:ascii="Times New Roman" w:hAnsi="Times New Roman"/>
          <w:szCs w:val="24"/>
        </w:rPr>
        <w:t>.</w:t>
      </w:r>
    </w:p>
    <w:bookmarkEnd w:id="32"/>
    <w:p w14:paraId="29992434" w14:textId="4227AD9E" w:rsidR="00DF55A7" w:rsidRDefault="009E08D5" w:rsidP="00845BC6">
      <w:pPr>
        <w:keepNext/>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t>The Company</w:t>
      </w:r>
      <w:r w:rsidR="006F6CB0">
        <w:rPr>
          <w:rFonts w:ascii="Times New Roman" w:hAnsi="Times New Roman"/>
          <w:szCs w:val="24"/>
        </w:rPr>
        <w:t>’</w:t>
      </w:r>
      <w:r>
        <w:rPr>
          <w:rFonts w:ascii="Times New Roman" w:hAnsi="Times New Roman"/>
          <w:szCs w:val="24"/>
        </w:rPr>
        <w:t>s revenue requirement</w:t>
      </w:r>
      <w:r w:rsidR="005129CA">
        <w:rPr>
          <w:rFonts w:ascii="Times New Roman" w:hAnsi="Times New Roman"/>
          <w:szCs w:val="24"/>
        </w:rPr>
        <w:t xml:space="preserve"> appropriately</w:t>
      </w:r>
      <w:r>
        <w:rPr>
          <w:rFonts w:ascii="Times New Roman" w:hAnsi="Times New Roman"/>
          <w:szCs w:val="24"/>
        </w:rPr>
        <w:t xml:space="preserve"> includes </w:t>
      </w:r>
      <w:r w:rsidR="005129CA">
        <w:rPr>
          <w:rFonts w:ascii="Times New Roman" w:hAnsi="Times New Roman"/>
          <w:szCs w:val="24"/>
        </w:rPr>
        <w:t xml:space="preserve">the projected </w:t>
      </w:r>
      <w:r>
        <w:rPr>
          <w:rFonts w:ascii="Times New Roman" w:hAnsi="Times New Roman"/>
          <w:szCs w:val="24"/>
        </w:rPr>
        <w:t xml:space="preserve">property taxes Georgia Power </w:t>
      </w:r>
      <w:r w:rsidR="005129CA">
        <w:rPr>
          <w:rFonts w:ascii="Times New Roman" w:hAnsi="Times New Roman"/>
          <w:szCs w:val="24"/>
        </w:rPr>
        <w:t>will</w:t>
      </w:r>
      <w:r>
        <w:rPr>
          <w:rFonts w:ascii="Times New Roman" w:hAnsi="Times New Roman"/>
          <w:szCs w:val="24"/>
        </w:rPr>
        <w:t xml:space="preserve"> pay during the test year and plan years 2020 through 2022. </w:t>
      </w:r>
      <w:r w:rsidR="005129CA">
        <w:rPr>
          <w:rFonts w:ascii="Times New Roman" w:hAnsi="Times New Roman"/>
          <w:szCs w:val="24"/>
        </w:rPr>
        <w:t xml:space="preserve">PIA Staff has proposed to decrease the projected amount needed for property taxes </w:t>
      </w:r>
      <w:r w:rsidR="00525E4B">
        <w:rPr>
          <w:rFonts w:ascii="Times New Roman" w:hAnsi="Times New Roman"/>
          <w:szCs w:val="24"/>
        </w:rPr>
        <w:t xml:space="preserve">to reflect the average value of </w:t>
      </w:r>
      <w:r w:rsidR="00147CCF">
        <w:rPr>
          <w:rFonts w:ascii="Times New Roman" w:hAnsi="Times New Roman"/>
          <w:szCs w:val="24"/>
        </w:rPr>
        <w:t xml:space="preserve">historical </w:t>
      </w:r>
      <w:r w:rsidR="00525E4B">
        <w:rPr>
          <w:rFonts w:ascii="Times New Roman" w:hAnsi="Times New Roman"/>
          <w:szCs w:val="24"/>
        </w:rPr>
        <w:t>property tax true-ups</w:t>
      </w:r>
      <w:r w:rsidR="008D2A8F">
        <w:rPr>
          <w:rFonts w:ascii="Times New Roman" w:hAnsi="Times New Roman"/>
          <w:szCs w:val="24"/>
        </w:rPr>
        <w:t xml:space="preserve"> over the past seventeen years</w:t>
      </w:r>
      <w:r w:rsidR="00525E4B">
        <w:rPr>
          <w:rFonts w:ascii="Times New Roman" w:hAnsi="Times New Roman"/>
          <w:szCs w:val="24"/>
        </w:rPr>
        <w:t xml:space="preserve">. </w:t>
      </w:r>
      <w:r w:rsidR="0074212A">
        <w:rPr>
          <w:rFonts w:ascii="Times New Roman" w:hAnsi="Times New Roman"/>
          <w:szCs w:val="24"/>
        </w:rPr>
        <w:t>(</w:t>
      </w:r>
      <w:r w:rsidR="00D87599">
        <w:rPr>
          <w:rFonts w:ascii="Times New Roman" w:hAnsi="Times New Roman"/>
          <w:szCs w:val="24"/>
        </w:rPr>
        <w:t>Tr. 1235-36</w:t>
      </w:r>
      <w:r w:rsidR="0074212A">
        <w:rPr>
          <w:rFonts w:ascii="Times New Roman" w:hAnsi="Times New Roman"/>
          <w:szCs w:val="24"/>
        </w:rPr>
        <w:t xml:space="preserve">.) </w:t>
      </w:r>
      <w:r w:rsidR="00525E4B" w:rsidRPr="00BB6F61">
        <w:rPr>
          <w:rFonts w:ascii="Times New Roman" w:hAnsi="Times New Roman"/>
          <w:szCs w:val="24"/>
        </w:rPr>
        <w:t>PIA Staff</w:t>
      </w:r>
      <w:r w:rsidR="006F6CB0">
        <w:rPr>
          <w:rFonts w:ascii="Times New Roman" w:hAnsi="Times New Roman"/>
          <w:szCs w:val="24"/>
        </w:rPr>
        <w:t>’</w:t>
      </w:r>
      <w:r w:rsidR="00525E4B" w:rsidRPr="00BB6F61">
        <w:rPr>
          <w:rFonts w:ascii="Times New Roman" w:hAnsi="Times New Roman"/>
          <w:szCs w:val="24"/>
        </w:rPr>
        <w:t>s proposed adjustment assumes that the projected annual property tax true-up will be estimable and favorable.</w:t>
      </w:r>
      <w:r w:rsidR="00C331CF" w:rsidRPr="00C331CF">
        <w:rPr>
          <w:rFonts w:ascii="Times New Roman" w:hAnsi="Times New Roman"/>
          <w:szCs w:val="24"/>
        </w:rPr>
        <w:t xml:space="preserve"> </w:t>
      </w:r>
      <w:r w:rsidR="00C331CF">
        <w:rPr>
          <w:rFonts w:ascii="Times New Roman" w:hAnsi="Times New Roman"/>
          <w:szCs w:val="24"/>
        </w:rPr>
        <w:t>However, t</w:t>
      </w:r>
      <w:r w:rsidR="00C331CF" w:rsidRPr="00BB6F61">
        <w:rPr>
          <w:rFonts w:ascii="Times New Roman" w:hAnsi="Times New Roman"/>
          <w:szCs w:val="24"/>
        </w:rPr>
        <w:t xml:space="preserve">he Company cannot forecast with any certainty the value </w:t>
      </w:r>
      <w:r w:rsidR="00C331CF">
        <w:rPr>
          <w:rFonts w:ascii="Times New Roman" w:hAnsi="Times New Roman"/>
          <w:szCs w:val="24"/>
        </w:rPr>
        <w:t xml:space="preserve">or direction </w:t>
      </w:r>
      <w:r w:rsidR="00C331CF" w:rsidRPr="00BB6F61">
        <w:rPr>
          <w:rFonts w:ascii="Times New Roman" w:hAnsi="Times New Roman"/>
          <w:szCs w:val="24"/>
        </w:rPr>
        <w:t xml:space="preserve">of the </w:t>
      </w:r>
      <w:r w:rsidR="00C331CF" w:rsidRPr="00BB6F61">
        <w:rPr>
          <w:rFonts w:ascii="Times New Roman" w:hAnsi="Times New Roman"/>
          <w:szCs w:val="24"/>
        </w:rPr>
        <w:lastRenderedPageBreak/>
        <w:t xml:space="preserve">potential property tax true-ups that it may receive </w:t>
      </w:r>
      <w:r w:rsidR="00C331CF">
        <w:rPr>
          <w:rFonts w:ascii="Times New Roman" w:hAnsi="Times New Roman"/>
          <w:szCs w:val="24"/>
        </w:rPr>
        <w:t>year over year</w:t>
      </w:r>
      <w:r w:rsidR="00C331CF" w:rsidRPr="00BB6F61">
        <w:rPr>
          <w:rFonts w:ascii="Times New Roman" w:hAnsi="Times New Roman"/>
          <w:szCs w:val="24"/>
        </w:rPr>
        <w:t>.</w:t>
      </w:r>
      <w:r w:rsidR="00C331CF">
        <w:rPr>
          <w:rFonts w:ascii="Times New Roman" w:hAnsi="Times New Roman"/>
          <w:szCs w:val="24"/>
        </w:rPr>
        <w:t xml:space="preserve"> </w:t>
      </w:r>
      <w:r w:rsidR="00BB6F61" w:rsidRPr="00BB6F61">
        <w:rPr>
          <w:rFonts w:ascii="Times New Roman" w:hAnsi="Times New Roman"/>
          <w:szCs w:val="24"/>
        </w:rPr>
        <w:t xml:space="preserve">True-ups, by nature, are unpredictable on a year-to-year basis </w:t>
      </w:r>
      <w:r w:rsidR="00C331CF">
        <w:rPr>
          <w:rFonts w:ascii="Times New Roman" w:hAnsi="Times New Roman"/>
          <w:szCs w:val="24"/>
        </w:rPr>
        <w:t>because</w:t>
      </w:r>
      <w:r w:rsidR="00BB6F61" w:rsidRPr="00BB6F61">
        <w:rPr>
          <w:rFonts w:ascii="Times New Roman" w:hAnsi="Times New Roman"/>
          <w:szCs w:val="24"/>
        </w:rPr>
        <w:t xml:space="preserve"> actual millage rates and assessed values are undeterminable when accruals are recorded. </w:t>
      </w:r>
      <w:r w:rsidR="0074212A">
        <w:rPr>
          <w:rFonts w:ascii="Times New Roman" w:hAnsi="Times New Roman"/>
          <w:szCs w:val="24"/>
        </w:rPr>
        <w:t>(</w:t>
      </w:r>
      <w:r w:rsidR="00D87599">
        <w:rPr>
          <w:rFonts w:ascii="Times New Roman" w:hAnsi="Times New Roman"/>
          <w:szCs w:val="24"/>
        </w:rPr>
        <w:t>Tr. 2649</w:t>
      </w:r>
      <w:r w:rsidR="0074212A">
        <w:rPr>
          <w:rFonts w:ascii="Times New Roman" w:hAnsi="Times New Roman"/>
          <w:szCs w:val="24"/>
        </w:rPr>
        <w:t xml:space="preserve">.) </w:t>
      </w:r>
      <w:r w:rsidR="00BB6F61" w:rsidRPr="00BB6F61">
        <w:rPr>
          <w:rFonts w:ascii="Times New Roman" w:hAnsi="Times New Roman"/>
          <w:szCs w:val="24"/>
        </w:rPr>
        <w:t xml:space="preserve">If they could be reasonably predicted, the Company would not need to record true-ups for property taxes since they would be accrued in the current year for any estimated future true-ups. </w:t>
      </w:r>
    </w:p>
    <w:p w14:paraId="662D0035" w14:textId="772FE908" w:rsidR="00DF55A7" w:rsidRPr="00186C1F" w:rsidRDefault="00DF55A7" w:rsidP="00DE675D">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t>In addition, PIA Staff</w:t>
      </w:r>
      <w:r w:rsidR="006F6CB0">
        <w:rPr>
          <w:rFonts w:ascii="Times New Roman" w:hAnsi="Times New Roman"/>
          <w:szCs w:val="24"/>
        </w:rPr>
        <w:t>’</w:t>
      </w:r>
      <w:r>
        <w:rPr>
          <w:rFonts w:ascii="Times New Roman" w:hAnsi="Times New Roman"/>
          <w:szCs w:val="24"/>
        </w:rPr>
        <w:t xml:space="preserve">s proposed adjustment </w:t>
      </w:r>
      <w:r w:rsidRPr="00BB6F61">
        <w:rPr>
          <w:rFonts w:ascii="Times New Roman" w:hAnsi="Times New Roman"/>
          <w:szCs w:val="24"/>
        </w:rPr>
        <w:t>inappropriately uses the historical average of the true-ups over the last 17 years as the basis for the adjustment</w:t>
      </w:r>
      <w:r>
        <w:rPr>
          <w:rFonts w:ascii="Times New Roman" w:hAnsi="Times New Roman"/>
          <w:szCs w:val="24"/>
        </w:rPr>
        <w:t>.</w:t>
      </w:r>
      <w:r w:rsidRPr="00BB6F61">
        <w:rPr>
          <w:rFonts w:ascii="Times New Roman" w:hAnsi="Times New Roman"/>
          <w:szCs w:val="24"/>
        </w:rPr>
        <w:t xml:space="preserve"> </w:t>
      </w:r>
      <w:r w:rsidR="00D87599">
        <w:rPr>
          <w:rFonts w:ascii="Times New Roman" w:hAnsi="Times New Roman"/>
          <w:szCs w:val="24"/>
        </w:rPr>
        <w:t>(</w:t>
      </w:r>
      <w:r w:rsidR="00D87599" w:rsidRPr="001C1457">
        <w:rPr>
          <w:rFonts w:ascii="Times New Roman" w:hAnsi="Times New Roman"/>
          <w:i/>
          <w:szCs w:val="24"/>
        </w:rPr>
        <w:t>Id</w:t>
      </w:r>
      <w:r w:rsidR="00D87599">
        <w:rPr>
          <w:rFonts w:ascii="Times New Roman" w:hAnsi="Times New Roman"/>
          <w:szCs w:val="24"/>
        </w:rPr>
        <w:t xml:space="preserve">.) </w:t>
      </w:r>
      <w:r w:rsidR="00BB6F61" w:rsidRPr="00BB6F61">
        <w:rPr>
          <w:rFonts w:ascii="Times New Roman" w:hAnsi="Times New Roman"/>
          <w:szCs w:val="24"/>
        </w:rPr>
        <w:t>Many of the prior year property tax true-ups were due to positive outcomes from appeals</w:t>
      </w:r>
      <w:r>
        <w:rPr>
          <w:rFonts w:ascii="Times New Roman" w:hAnsi="Times New Roman"/>
          <w:szCs w:val="24"/>
        </w:rPr>
        <w:t xml:space="preserve"> the Company pursued,</w:t>
      </w:r>
      <w:r w:rsidR="00BB6F61" w:rsidRPr="00BB6F61">
        <w:rPr>
          <w:rFonts w:ascii="Times New Roman" w:hAnsi="Times New Roman"/>
          <w:szCs w:val="24"/>
        </w:rPr>
        <w:t xml:space="preserve"> which do not occur regularly or succeed with any predictability. </w:t>
      </w:r>
      <w:r w:rsidR="0074212A">
        <w:rPr>
          <w:rFonts w:ascii="Times New Roman" w:hAnsi="Times New Roman"/>
          <w:szCs w:val="24"/>
        </w:rPr>
        <w:t>(</w:t>
      </w:r>
      <w:r w:rsidR="00706388">
        <w:rPr>
          <w:rFonts w:ascii="Times New Roman" w:hAnsi="Times New Roman"/>
          <w:szCs w:val="24"/>
        </w:rPr>
        <w:t>Tr. 2649-50</w:t>
      </w:r>
      <w:r w:rsidR="0074212A">
        <w:rPr>
          <w:rFonts w:ascii="Times New Roman" w:hAnsi="Times New Roman"/>
          <w:szCs w:val="24"/>
        </w:rPr>
        <w:t xml:space="preserve">.) </w:t>
      </w:r>
      <w:r>
        <w:rPr>
          <w:rFonts w:ascii="Times New Roman" w:hAnsi="Times New Roman"/>
          <w:szCs w:val="24"/>
        </w:rPr>
        <w:t>E</w:t>
      </w:r>
      <w:r w:rsidR="00BB6F61" w:rsidRPr="00BB6F61">
        <w:rPr>
          <w:rFonts w:ascii="Times New Roman" w:hAnsi="Times New Roman"/>
          <w:szCs w:val="24"/>
        </w:rPr>
        <w:t>ach of the Company</w:t>
      </w:r>
      <w:r w:rsidR="006F6CB0">
        <w:rPr>
          <w:rFonts w:ascii="Times New Roman" w:hAnsi="Times New Roman"/>
          <w:szCs w:val="24"/>
        </w:rPr>
        <w:t>’</w:t>
      </w:r>
      <w:r w:rsidR="00BB6F61" w:rsidRPr="00BB6F61">
        <w:rPr>
          <w:rFonts w:ascii="Times New Roman" w:hAnsi="Times New Roman"/>
          <w:szCs w:val="24"/>
        </w:rPr>
        <w:t>s prior appeals were specific to the asset and circumstances at issue</w:t>
      </w:r>
      <w:r>
        <w:rPr>
          <w:rFonts w:ascii="Times New Roman" w:hAnsi="Times New Roman"/>
          <w:szCs w:val="24"/>
        </w:rPr>
        <w:t xml:space="preserve">. </w:t>
      </w:r>
      <w:r w:rsidR="00590F29">
        <w:rPr>
          <w:rFonts w:ascii="Times New Roman" w:hAnsi="Times New Roman"/>
          <w:szCs w:val="24"/>
        </w:rPr>
        <w:t>I</w:t>
      </w:r>
      <w:r>
        <w:rPr>
          <w:rFonts w:ascii="Times New Roman" w:hAnsi="Times New Roman"/>
          <w:szCs w:val="24"/>
        </w:rPr>
        <w:t xml:space="preserve">t </w:t>
      </w:r>
      <w:r w:rsidR="004803EE">
        <w:rPr>
          <w:rFonts w:ascii="Times New Roman" w:hAnsi="Times New Roman"/>
          <w:szCs w:val="24"/>
        </w:rPr>
        <w:t>would be inappropriate to assume the Company</w:t>
      </w:r>
      <w:r w:rsidR="006F6CB0">
        <w:rPr>
          <w:rFonts w:ascii="Times New Roman" w:hAnsi="Times New Roman"/>
          <w:szCs w:val="24"/>
        </w:rPr>
        <w:t>’</w:t>
      </w:r>
      <w:r w:rsidR="004803EE">
        <w:rPr>
          <w:rFonts w:ascii="Times New Roman" w:hAnsi="Times New Roman"/>
          <w:szCs w:val="24"/>
        </w:rPr>
        <w:t>s projected property taxes should be reduced by the same levelized amount in each of the plan years 2020 through 2022 based on uncertain</w:t>
      </w:r>
      <w:r w:rsidR="00590F29">
        <w:rPr>
          <w:rFonts w:ascii="Times New Roman" w:hAnsi="Times New Roman"/>
          <w:szCs w:val="24"/>
        </w:rPr>
        <w:t xml:space="preserve"> and</w:t>
      </w:r>
      <w:r w:rsidR="004803EE">
        <w:rPr>
          <w:rFonts w:ascii="Times New Roman" w:hAnsi="Times New Roman"/>
          <w:szCs w:val="24"/>
        </w:rPr>
        <w:t xml:space="preserve"> asset specific </w:t>
      </w:r>
      <w:r w:rsidR="00590F29">
        <w:rPr>
          <w:rFonts w:ascii="Times New Roman" w:hAnsi="Times New Roman"/>
          <w:szCs w:val="24"/>
        </w:rPr>
        <w:t>outcomes</w:t>
      </w:r>
      <w:r w:rsidR="00706388">
        <w:rPr>
          <w:rFonts w:ascii="Times New Roman" w:hAnsi="Times New Roman"/>
          <w:szCs w:val="24"/>
        </w:rPr>
        <w:t xml:space="preserve"> unless PIA Staff independently analyzed and assessed the likelihood of success on the merits of each appeal</w:t>
      </w:r>
      <w:r w:rsidR="004803EE">
        <w:rPr>
          <w:rFonts w:ascii="Times New Roman" w:hAnsi="Times New Roman"/>
          <w:szCs w:val="24"/>
        </w:rPr>
        <w:t>.</w:t>
      </w:r>
      <w:r w:rsidR="00590F29">
        <w:rPr>
          <w:rFonts w:ascii="Times New Roman" w:hAnsi="Times New Roman"/>
          <w:szCs w:val="24"/>
        </w:rPr>
        <w:t xml:space="preserve"> As such, the Commission should reject PIA Staff</w:t>
      </w:r>
      <w:r w:rsidR="006F6CB0">
        <w:rPr>
          <w:rFonts w:ascii="Times New Roman" w:hAnsi="Times New Roman"/>
          <w:szCs w:val="24"/>
        </w:rPr>
        <w:t>’</w:t>
      </w:r>
      <w:r w:rsidR="00590F29">
        <w:rPr>
          <w:rFonts w:ascii="Times New Roman" w:hAnsi="Times New Roman"/>
          <w:szCs w:val="24"/>
        </w:rPr>
        <w:t>s pr</w:t>
      </w:r>
      <w:r w:rsidR="00DE675D">
        <w:rPr>
          <w:rFonts w:ascii="Times New Roman" w:hAnsi="Times New Roman"/>
          <w:szCs w:val="24"/>
        </w:rPr>
        <w:t>o</w:t>
      </w:r>
      <w:r w:rsidR="00590F29">
        <w:rPr>
          <w:rFonts w:ascii="Times New Roman" w:hAnsi="Times New Roman"/>
          <w:szCs w:val="24"/>
        </w:rPr>
        <w:t xml:space="preserve">posed </w:t>
      </w:r>
      <w:r w:rsidR="00DE675D">
        <w:rPr>
          <w:rFonts w:ascii="Times New Roman" w:hAnsi="Times New Roman"/>
          <w:szCs w:val="24"/>
        </w:rPr>
        <w:t>adjustment to the Company</w:t>
      </w:r>
      <w:r w:rsidR="006F6CB0">
        <w:rPr>
          <w:rFonts w:ascii="Times New Roman" w:hAnsi="Times New Roman"/>
          <w:szCs w:val="24"/>
        </w:rPr>
        <w:t>’</w:t>
      </w:r>
      <w:r w:rsidR="00DE675D">
        <w:rPr>
          <w:rFonts w:ascii="Times New Roman" w:hAnsi="Times New Roman"/>
          <w:szCs w:val="24"/>
        </w:rPr>
        <w:t xml:space="preserve">s projected property taxes. </w:t>
      </w:r>
    </w:p>
    <w:p w14:paraId="260DCFA5" w14:textId="24ACC342" w:rsidR="00186C1F" w:rsidRDefault="00F87E49" w:rsidP="00F4602A">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33" w:name="_Hlk26111772"/>
      <w:r>
        <w:rPr>
          <w:rFonts w:ascii="Times New Roman" w:hAnsi="Times New Roman"/>
          <w:szCs w:val="24"/>
        </w:rPr>
        <w:t>1</w:t>
      </w:r>
      <w:r w:rsidR="00B13352">
        <w:rPr>
          <w:rFonts w:ascii="Times New Roman" w:hAnsi="Times New Roman"/>
          <w:szCs w:val="24"/>
        </w:rPr>
        <w:t>1</w:t>
      </w:r>
      <w:r w:rsidR="00533458">
        <w:rPr>
          <w:rFonts w:ascii="Times New Roman" w:hAnsi="Times New Roman"/>
          <w:szCs w:val="24"/>
        </w:rPr>
        <w:t>.</w:t>
      </w:r>
      <w:r w:rsidR="00533458">
        <w:rPr>
          <w:rFonts w:ascii="Times New Roman" w:hAnsi="Times New Roman"/>
          <w:szCs w:val="24"/>
        </w:rPr>
        <w:tab/>
      </w:r>
      <w:r w:rsidR="00BB6F61" w:rsidRPr="004B6D89">
        <w:rPr>
          <w:rFonts w:ascii="Times New Roman" w:hAnsi="Times New Roman"/>
          <w:szCs w:val="24"/>
          <w:u w:val="single"/>
        </w:rPr>
        <w:t>The Commission should reject PIA Staff</w:t>
      </w:r>
      <w:r w:rsidR="006F6CB0">
        <w:rPr>
          <w:rFonts w:ascii="Times New Roman" w:hAnsi="Times New Roman"/>
          <w:szCs w:val="24"/>
          <w:u w:val="single"/>
        </w:rPr>
        <w:t>’</w:t>
      </w:r>
      <w:r w:rsidR="00BB6F61" w:rsidRPr="004B6D89">
        <w:rPr>
          <w:rFonts w:ascii="Times New Roman" w:hAnsi="Times New Roman"/>
          <w:szCs w:val="24"/>
          <w:u w:val="single"/>
        </w:rPr>
        <w:t xml:space="preserve">s proposal to remove stock-based compensation </w:t>
      </w:r>
      <w:r w:rsidR="009F0686" w:rsidRPr="004B6D89">
        <w:rPr>
          <w:rFonts w:ascii="Times New Roman" w:hAnsi="Times New Roman"/>
          <w:szCs w:val="24"/>
          <w:u w:val="single"/>
        </w:rPr>
        <w:t xml:space="preserve">and the associated payroll taxes </w:t>
      </w:r>
      <w:r w:rsidR="00BB6F61" w:rsidRPr="004B6D89">
        <w:rPr>
          <w:rFonts w:ascii="Times New Roman" w:hAnsi="Times New Roman"/>
          <w:szCs w:val="24"/>
          <w:u w:val="single"/>
        </w:rPr>
        <w:t>from the Company</w:t>
      </w:r>
      <w:r w:rsidR="006F6CB0">
        <w:rPr>
          <w:rFonts w:ascii="Times New Roman" w:hAnsi="Times New Roman"/>
          <w:szCs w:val="24"/>
          <w:u w:val="single"/>
        </w:rPr>
        <w:t>’</w:t>
      </w:r>
      <w:r w:rsidR="00BB6F61" w:rsidRPr="004B6D89">
        <w:rPr>
          <w:rFonts w:ascii="Times New Roman" w:hAnsi="Times New Roman"/>
          <w:szCs w:val="24"/>
          <w:u w:val="single"/>
        </w:rPr>
        <w:t>s revenue requirement</w:t>
      </w:r>
      <w:r w:rsidR="00BB6F61">
        <w:rPr>
          <w:rFonts w:ascii="Times New Roman" w:hAnsi="Times New Roman"/>
          <w:szCs w:val="24"/>
        </w:rPr>
        <w:t>.</w:t>
      </w:r>
    </w:p>
    <w:bookmarkEnd w:id="33"/>
    <w:p w14:paraId="0D55CB63" w14:textId="28E5F2C8" w:rsidR="007C150A" w:rsidRDefault="00177B0C" w:rsidP="00845BC6">
      <w:pPr>
        <w:keepNext/>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7C150A" w:rsidRPr="00BB6F61">
        <w:rPr>
          <w:rFonts w:ascii="Times New Roman" w:hAnsi="Times New Roman"/>
          <w:szCs w:val="24"/>
        </w:rPr>
        <w:t>The</w:t>
      </w:r>
      <w:r>
        <w:rPr>
          <w:rFonts w:ascii="Times New Roman" w:hAnsi="Times New Roman"/>
          <w:szCs w:val="24"/>
        </w:rPr>
        <w:t xml:space="preserve"> Company</w:t>
      </w:r>
      <w:r w:rsidR="006F6CB0">
        <w:rPr>
          <w:rFonts w:ascii="Times New Roman" w:hAnsi="Times New Roman"/>
          <w:szCs w:val="24"/>
        </w:rPr>
        <w:t>’</w:t>
      </w:r>
      <w:r>
        <w:rPr>
          <w:rFonts w:ascii="Times New Roman" w:hAnsi="Times New Roman"/>
          <w:szCs w:val="24"/>
        </w:rPr>
        <w:t>s</w:t>
      </w:r>
      <w:r w:rsidR="007C150A" w:rsidRPr="00BB6F61">
        <w:rPr>
          <w:rFonts w:ascii="Times New Roman" w:hAnsi="Times New Roman"/>
          <w:szCs w:val="24"/>
        </w:rPr>
        <w:t xml:space="preserve"> budgeted costs to attract, retain and engage employees are expenses that arise in the ordinary course of the Company</w:t>
      </w:r>
      <w:r w:rsidR="006F6CB0">
        <w:rPr>
          <w:rFonts w:ascii="Times New Roman" w:hAnsi="Times New Roman"/>
          <w:szCs w:val="24"/>
        </w:rPr>
        <w:t>’</w:t>
      </w:r>
      <w:r w:rsidR="007C150A" w:rsidRPr="00BB6F61">
        <w:rPr>
          <w:rFonts w:ascii="Times New Roman" w:hAnsi="Times New Roman"/>
          <w:szCs w:val="24"/>
        </w:rPr>
        <w:t>s business and appropriately should be included in the Company</w:t>
      </w:r>
      <w:r w:rsidR="006F6CB0">
        <w:rPr>
          <w:rFonts w:ascii="Times New Roman" w:hAnsi="Times New Roman"/>
          <w:szCs w:val="24"/>
        </w:rPr>
        <w:t>’</w:t>
      </w:r>
      <w:r w:rsidR="007C150A" w:rsidRPr="00BB6F61">
        <w:rPr>
          <w:rFonts w:ascii="Times New Roman" w:hAnsi="Times New Roman"/>
          <w:szCs w:val="24"/>
        </w:rPr>
        <w:t xml:space="preserve">s revenue requirements and recovered in retail rates. </w:t>
      </w:r>
      <w:r w:rsidRPr="009F0686">
        <w:rPr>
          <w:rFonts w:ascii="Times New Roman" w:hAnsi="Times New Roman"/>
          <w:szCs w:val="24"/>
        </w:rPr>
        <w:t>Customers benefit from a financially healthy company, which should be measured over the short- and long-term to ensure that the decisions made by the Company are optimized for both short- and long-term benefits.</w:t>
      </w:r>
      <w:r w:rsidRPr="00177B0C">
        <w:rPr>
          <w:rFonts w:ascii="Times New Roman" w:hAnsi="Times New Roman"/>
          <w:szCs w:val="24"/>
        </w:rPr>
        <w:t xml:space="preserve"> </w:t>
      </w:r>
      <w:r w:rsidR="00B91CD3" w:rsidRPr="009F0686">
        <w:rPr>
          <w:rFonts w:ascii="Times New Roman" w:hAnsi="Times New Roman"/>
          <w:szCs w:val="24"/>
        </w:rPr>
        <w:t xml:space="preserve">By </w:t>
      </w:r>
      <w:r w:rsidR="00B91CD3" w:rsidRPr="009F0686">
        <w:rPr>
          <w:rFonts w:ascii="Times New Roman" w:hAnsi="Times New Roman"/>
          <w:szCs w:val="24"/>
        </w:rPr>
        <w:lastRenderedPageBreak/>
        <w:t xml:space="preserve">designing the </w:t>
      </w:r>
      <w:r w:rsidR="00B91CD3">
        <w:rPr>
          <w:rFonts w:ascii="Times New Roman" w:hAnsi="Times New Roman"/>
          <w:szCs w:val="24"/>
        </w:rPr>
        <w:t>Company</w:t>
      </w:r>
      <w:r w:rsidR="006F6CB0">
        <w:rPr>
          <w:rFonts w:ascii="Times New Roman" w:hAnsi="Times New Roman"/>
          <w:szCs w:val="24"/>
        </w:rPr>
        <w:t>’</w:t>
      </w:r>
      <w:r w:rsidR="00B91CD3">
        <w:rPr>
          <w:rFonts w:ascii="Times New Roman" w:hAnsi="Times New Roman"/>
          <w:szCs w:val="24"/>
        </w:rPr>
        <w:t xml:space="preserve">s </w:t>
      </w:r>
      <w:r w:rsidR="00B91CD3" w:rsidRPr="009F0686">
        <w:rPr>
          <w:rFonts w:ascii="Times New Roman" w:hAnsi="Times New Roman"/>
          <w:szCs w:val="24"/>
        </w:rPr>
        <w:t xml:space="preserve">at-risk </w:t>
      </w:r>
      <w:r w:rsidR="00B91CD3">
        <w:rPr>
          <w:rFonts w:ascii="Times New Roman" w:hAnsi="Times New Roman"/>
          <w:szCs w:val="24"/>
        </w:rPr>
        <w:t xml:space="preserve">stock-based </w:t>
      </w:r>
      <w:r w:rsidR="00B91CD3" w:rsidRPr="009F0686">
        <w:rPr>
          <w:rFonts w:ascii="Times New Roman" w:hAnsi="Times New Roman"/>
          <w:szCs w:val="24"/>
        </w:rPr>
        <w:t>portion of the total compensation plan to include longer-term goals, the Company achieves an appropriate balance that motivates employees to deliver safe and reliable electric service to our customers in a manner that is economically efficient both now and in the years that follow.</w:t>
      </w:r>
    </w:p>
    <w:p w14:paraId="356C0732" w14:textId="6AF74B5D" w:rsidR="005365F8" w:rsidRPr="009F0686" w:rsidRDefault="00522B4E" w:rsidP="00C01473">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BB6F61" w:rsidRPr="00BB6F61">
        <w:rPr>
          <w:rFonts w:ascii="Times New Roman" w:hAnsi="Times New Roman"/>
          <w:szCs w:val="24"/>
        </w:rPr>
        <w:t>PIA Staff</w:t>
      </w:r>
      <w:r w:rsidR="006F6CB0">
        <w:rPr>
          <w:rFonts w:ascii="Times New Roman" w:hAnsi="Times New Roman"/>
          <w:szCs w:val="24"/>
        </w:rPr>
        <w:t>’</w:t>
      </w:r>
      <w:r w:rsidR="00BB6F61" w:rsidRPr="00BB6F61">
        <w:rPr>
          <w:rFonts w:ascii="Times New Roman" w:hAnsi="Times New Roman"/>
          <w:szCs w:val="24"/>
        </w:rPr>
        <w:t>s proposed disallowance of expenses for the Company</w:t>
      </w:r>
      <w:r w:rsidR="006F6CB0">
        <w:rPr>
          <w:rFonts w:ascii="Times New Roman" w:hAnsi="Times New Roman"/>
          <w:szCs w:val="24"/>
        </w:rPr>
        <w:t>’</w:t>
      </w:r>
      <w:r w:rsidR="00BB6F61" w:rsidRPr="00BB6F61">
        <w:rPr>
          <w:rFonts w:ascii="Times New Roman" w:hAnsi="Times New Roman"/>
          <w:szCs w:val="24"/>
        </w:rPr>
        <w:t xml:space="preserve">s stock-based compensation program </w:t>
      </w:r>
      <w:r w:rsidR="00160321">
        <w:rPr>
          <w:rFonts w:ascii="Times New Roman" w:hAnsi="Times New Roman"/>
          <w:szCs w:val="24"/>
        </w:rPr>
        <w:t>is</w:t>
      </w:r>
      <w:r w:rsidR="00160321" w:rsidRPr="00BB6F61">
        <w:rPr>
          <w:rFonts w:ascii="Times New Roman" w:hAnsi="Times New Roman"/>
          <w:szCs w:val="24"/>
        </w:rPr>
        <w:t xml:space="preserve"> </w:t>
      </w:r>
      <w:r w:rsidR="00BB6F61" w:rsidRPr="00BB6F61">
        <w:rPr>
          <w:rFonts w:ascii="Times New Roman" w:hAnsi="Times New Roman"/>
          <w:szCs w:val="24"/>
        </w:rPr>
        <w:t>not based upon any supporting data or market analysis that the Company</w:t>
      </w:r>
      <w:r w:rsidR="006F6CB0">
        <w:rPr>
          <w:rFonts w:ascii="Times New Roman" w:hAnsi="Times New Roman"/>
          <w:szCs w:val="24"/>
        </w:rPr>
        <w:t>’</w:t>
      </w:r>
      <w:r w:rsidR="00BB6F61" w:rsidRPr="00BB6F61">
        <w:rPr>
          <w:rFonts w:ascii="Times New Roman" w:hAnsi="Times New Roman"/>
          <w:szCs w:val="24"/>
        </w:rPr>
        <w:t xml:space="preserve">s expenses are excessive or that the programs are not competitive with the external market. </w:t>
      </w:r>
      <w:r w:rsidR="005365F8" w:rsidRPr="009F0686">
        <w:rPr>
          <w:rFonts w:ascii="Times New Roman" w:hAnsi="Times New Roman"/>
          <w:szCs w:val="24"/>
        </w:rPr>
        <w:t>The Company</w:t>
      </w:r>
      <w:r w:rsidR="006F6CB0">
        <w:rPr>
          <w:rFonts w:ascii="Times New Roman" w:hAnsi="Times New Roman"/>
          <w:szCs w:val="24"/>
        </w:rPr>
        <w:t>’</w:t>
      </w:r>
      <w:r w:rsidR="005365F8" w:rsidRPr="009F0686">
        <w:rPr>
          <w:rFonts w:ascii="Times New Roman" w:hAnsi="Times New Roman"/>
          <w:szCs w:val="24"/>
        </w:rPr>
        <w:t>s long-term at-risk compensation program is comparable to and competitive with the utility industry.</w:t>
      </w:r>
      <w:r w:rsidR="0074212A">
        <w:rPr>
          <w:rFonts w:ascii="Times New Roman" w:hAnsi="Times New Roman"/>
          <w:szCs w:val="24"/>
        </w:rPr>
        <w:t xml:space="preserve"> (</w:t>
      </w:r>
      <w:r w:rsidR="00706388">
        <w:rPr>
          <w:rFonts w:ascii="Times New Roman" w:hAnsi="Times New Roman"/>
          <w:szCs w:val="24"/>
        </w:rPr>
        <w:t>Tr. 2651</w:t>
      </w:r>
      <w:r w:rsidR="0074212A">
        <w:rPr>
          <w:rFonts w:ascii="Times New Roman" w:hAnsi="Times New Roman"/>
          <w:szCs w:val="24"/>
        </w:rPr>
        <w:t>.)</w:t>
      </w:r>
      <w:r w:rsidR="005365F8" w:rsidRPr="009F0686">
        <w:rPr>
          <w:rFonts w:ascii="Times New Roman" w:hAnsi="Times New Roman"/>
          <w:szCs w:val="24"/>
        </w:rPr>
        <w:t xml:space="preserve"> Long-term at-risk compensation is not an adder to otherwise competitive compensation but rather an integral component of employee total compensation.</w:t>
      </w:r>
      <w:r w:rsidR="0074212A">
        <w:rPr>
          <w:rFonts w:ascii="Times New Roman" w:hAnsi="Times New Roman"/>
          <w:szCs w:val="24"/>
        </w:rPr>
        <w:t xml:space="preserve"> (</w:t>
      </w:r>
      <w:r w:rsidR="00706388">
        <w:rPr>
          <w:rFonts w:ascii="Times New Roman" w:hAnsi="Times New Roman"/>
          <w:szCs w:val="24"/>
        </w:rPr>
        <w:t>Tr.</w:t>
      </w:r>
      <w:r w:rsidR="0051715A">
        <w:rPr>
          <w:rFonts w:ascii="Times New Roman" w:hAnsi="Times New Roman"/>
          <w:szCs w:val="24"/>
        </w:rPr>
        <w:t> </w:t>
      </w:r>
      <w:r w:rsidR="00706388">
        <w:rPr>
          <w:rFonts w:ascii="Times New Roman" w:hAnsi="Times New Roman"/>
          <w:szCs w:val="24"/>
        </w:rPr>
        <w:t>2651-52</w:t>
      </w:r>
      <w:r w:rsidR="0074212A">
        <w:rPr>
          <w:rFonts w:ascii="Times New Roman" w:hAnsi="Times New Roman"/>
          <w:szCs w:val="24"/>
        </w:rPr>
        <w:t>.)</w:t>
      </w:r>
      <w:r w:rsidR="005365F8" w:rsidRPr="009F0686">
        <w:rPr>
          <w:rFonts w:ascii="Times New Roman" w:hAnsi="Times New Roman"/>
          <w:szCs w:val="24"/>
        </w:rPr>
        <w:t xml:space="preserve"> As an employee</w:t>
      </w:r>
      <w:r w:rsidR="006F6CB0">
        <w:rPr>
          <w:rFonts w:ascii="Times New Roman" w:hAnsi="Times New Roman"/>
          <w:szCs w:val="24"/>
        </w:rPr>
        <w:t>’</w:t>
      </w:r>
      <w:r w:rsidR="005365F8" w:rsidRPr="009F0686">
        <w:rPr>
          <w:rFonts w:ascii="Times New Roman" w:hAnsi="Times New Roman"/>
          <w:szCs w:val="24"/>
        </w:rPr>
        <w:t>s total compensation increases with greater responsibility for the direction and performance of the Company, an increasing proportion of total compensation is shifted to long-term at-risk compensation. To remove this component of compensation would result in total compensation that is significantly below market.</w:t>
      </w:r>
      <w:r w:rsidR="005365F8">
        <w:rPr>
          <w:rFonts w:ascii="Times New Roman" w:hAnsi="Times New Roman"/>
          <w:szCs w:val="24"/>
        </w:rPr>
        <w:t xml:space="preserve"> </w:t>
      </w:r>
      <w:r w:rsidR="0074212A">
        <w:rPr>
          <w:rFonts w:ascii="Times New Roman" w:hAnsi="Times New Roman"/>
          <w:szCs w:val="24"/>
        </w:rPr>
        <w:t>(</w:t>
      </w:r>
      <w:r w:rsidR="00706388">
        <w:rPr>
          <w:rFonts w:ascii="Times New Roman" w:hAnsi="Times New Roman"/>
          <w:szCs w:val="24"/>
        </w:rPr>
        <w:t>Tr. 2652</w:t>
      </w:r>
      <w:r w:rsidR="0074212A">
        <w:rPr>
          <w:rFonts w:ascii="Times New Roman" w:hAnsi="Times New Roman"/>
          <w:szCs w:val="24"/>
        </w:rPr>
        <w:t xml:space="preserve">.) </w:t>
      </w:r>
      <w:r>
        <w:rPr>
          <w:rFonts w:ascii="Times New Roman" w:hAnsi="Times New Roman"/>
          <w:szCs w:val="24"/>
        </w:rPr>
        <w:t>With b</w:t>
      </w:r>
      <w:r w:rsidR="005365F8" w:rsidRPr="009F0686">
        <w:rPr>
          <w:rFonts w:ascii="Times New Roman" w:hAnsi="Times New Roman"/>
          <w:szCs w:val="24"/>
        </w:rPr>
        <w:t>elow-market compensation</w:t>
      </w:r>
      <w:r>
        <w:rPr>
          <w:rFonts w:ascii="Times New Roman" w:hAnsi="Times New Roman"/>
          <w:szCs w:val="24"/>
        </w:rPr>
        <w:t>,</w:t>
      </w:r>
      <w:r w:rsidR="005365F8" w:rsidRPr="009F0686">
        <w:rPr>
          <w:rFonts w:ascii="Times New Roman" w:hAnsi="Times New Roman"/>
          <w:szCs w:val="24"/>
        </w:rPr>
        <w:t xml:space="preserve"> </w:t>
      </w:r>
      <w:r>
        <w:rPr>
          <w:rFonts w:ascii="Times New Roman" w:hAnsi="Times New Roman"/>
          <w:szCs w:val="24"/>
        </w:rPr>
        <w:t>i</w:t>
      </w:r>
      <w:r w:rsidR="005365F8" w:rsidRPr="009F0686">
        <w:rPr>
          <w:rFonts w:ascii="Times New Roman" w:hAnsi="Times New Roman"/>
          <w:szCs w:val="24"/>
        </w:rPr>
        <w:t>t would be undoubtedly difficult for the Company to maintain its high levels of reliability and customer service if the Company</w:t>
      </w:r>
      <w:r w:rsidR="006F6CB0">
        <w:rPr>
          <w:rFonts w:ascii="Times New Roman" w:hAnsi="Times New Roman"/>
          <w:szCs w:val="24"/>
        </w:rPr>
        <w:t>’</w:t>
      </w:r>
      <w:r w:rsidR="005365F8" w:rsidRPr="009F0686">
        <w:rPr>
          <w:rFonts w:ascii="Times New Roman" w:hAnsi="Times New Roman"/>
          <w:szCs w:val="24"/>
        </w:rPr>
        <w:t xml:space="preserve">s compensation plans </w:t>
      </w:r>
      <w:r>
        <w:rPr>
          <w:rFonts w:ascii="Times New Roman" w:hAnsi="Times New Roman"/>
          <w:szCs w:val="24"/>
        </w:rPr>
        <w:t xml:space="preserve">did not adequately attract, retain and motivate its employees. </w:t>
      </w:r>
      <w:r w:rsidR="00706388">
        <w:rPr>
          <w:rFonts w:ascii="Times New Roman" w:hAnsi="Times New Roman"/>
          <w:szCs w:val="24"/>
        </w:rPr>
        <w:t>(</w:t>
      </w:r>
      <w:r w:rsidR="00706388" w:rsidRPr="001C1457">
        <w:rPr>
          <w:rFonts w:ascii="Times New Roman" w:hAnsi="Times New Roman"/>
          <w:i/>
          <w:szCs w:val="24"/>
        </w:rPr>
        <w:t>Id</w:t>
      </w:r>
      <w:r w:rsidR="00706388">
        <w:rPr>
          <w:rFonts w:ascii="Times New Roman" w:hAnsi="Times New Roman"/>
          <w:szCs w:val="24"/>
        </w:rPr>
        <w:t>.)</w:t>
      </w:r>
    </w:p>
    <w:p w14:paraId="5BFF0CC3" w14:textId="2F1B1241" w:rsidR="008A3D80" w:rsidRPr="009F0686" w:rsidRDefault="008A3D80" w:rsidP="00C01473">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522B4E">
        <w:rPr>
          <w:rFonts w:ascii="Times New Roman" w:hAnsi="Times New Roman"/>
          <w:szCs w:val="24"/>
        </w:rPr>
        <w:t>Further, d</w:t>
      </w:r>
      <w:r w:rsidR="00522B4E" w:rsidRPr="009F0686">
        <w:rPr>
          <w:rFonts w:ascii="Times New Roman" w:hAnsi="Times New Roman"/>
          <w:szCs w:val="24"/>
        </w:rPr>
        <w:t xml:space="preserve">isallowing recovery of stock-based compensation </w:t>
      </w:r>
      <w:r w:rsidR="00522B4E">
        <w:rPr>
          <w:rFonts w:ascii="Times New Roman" w:hAnsi="Times New Roman"/>
          <w:szCs w:val="24"/>
        </w:rPr>
        <w:t xml:space="preserve">as proposed by PIA Staff </w:t>
      </w:r>
      <w:r w:rsidR="00522B4E" w:rsidRPr="009F0686">
        <w:rPr>
          <w:rFonts w:ascii="Times New Roman" w:hAnsi="Times New Roman"/>
          <w:szCs w:val="24"/>
        </w:rPr>
        <w:t xml:space="preserve">could force the Company, in an effort to align with market compensation, to reconsider the structure of its entire incentive program to remove long-term at-risk compensation in favor of more base pay or short-term at-risk pay. </w:t>
      </w:r>
      <w:r w:rsidR="0074212A">
        <w:rPr>
          <w:rFonts w:ascii="Times New Roman" w:hAnsi="Times New Roman"/>
          <w:szCs w:val="24"/>
        </w:rPr>
        <w:t>(</w:t>
      </w:r>
      <w:r w:rsidR="00706388">
        <w:rPr>
          <w:rFonts w:ascii="Times New Roman" w:hAnsi="Times New Roman"/>
          <w:szCs w:val="24"/>
        </w:rPr>
        <w:t>Tr. 2653</w:t>
      </w:r>
      <w:r w:rsidR="0074212A">
        <w:rPr>
          <w:rFonts w:ascii="Times New Roman" w:hAnsi="Times New Roman"/>
          <w:szCs w:val="24"/>
        </w:rPr>
        <w:t xml:space="preserve">.) </w:t>
      </w:r>
      <w:r w:rsidR="00160321">
        <w:rPr>
          <w:rFonts w:ascii="Times New Roman" w:hAnsi="Times New Roman"/>
          <w:szCs w:val="24"/>
        </w:rPr>
        <w:t>M</w:t>
      </w:r>
      <w:r w:rsidRPr="009F0686">
        <w:rPr>
          <w:rFonts w:ascii="Times New Roman" w:hAnsi="Times New Roman"/>
          <w:szCs w:val="24"/>
        </w:rPr>
        <w:t xml:space="preserve">oving at-risk pay to base pay would not be in the best interests of customers, </w:t>
      </w:r>
      <w:r w:rsidR="00160321">
        <w:rPr>
          <w:rFonts w:ascii="Times New Roman" w:hAnsi="Times New Roman"/>
          <w:szCs w:val="24"/>
        </w:rPr>
        <w:t xml:space="preserve">however, </w:t>
      </w:r>
      <w:r w:rsidRPr="009F0686">
        <w:rPr>
          <w:rFonts w:ascii="Times New Roman" w:hAnsi="Times New Roman"/>
          <w:szCs w:val="24"/>
        </w:rPr>
        <w:t xml:space="preserve">as it would encourage employees to focus solely on short-term operational performance with no balance or accountability to long-term operational costs and </w:t>
      </w:r>
      <w:r w:rsidRPr="009F0686">
        <w:rPr>
          <w:rFonts w:ascii="Times New Roman" w:hAnsi="Times New Roman"/>
          <w:szCs w:val="24"/>
        </w:rPr>
        <w:lastRenderedPageBreak/>
        <w:t xml:space="preserve">efficiencies. </w:t>
      </w:r>
      <w:r w:rsidR="00706388">
        <w:rPr>
          <w:rFonts w:ascii="Times New Roman" w:hAnsi="Times New Roman"/>
          <w:szCs w:val="24"/>
        </w:rPr>
        <w:t>(</w:t>
      </w:r>
      <w:r w:rsidR="00706388" w:rsidRPr="001C1457">
        <w:rPr>
          <w:rFonts w:ascii="Times New Roman" w:hAnsi="Times New Roman"/>
          <w:i/>
          <w:szCs w:val="24"/>
        </w:rPr>
        <w:t>Id</w:t>
      </w:r>
      <w:r w:rsidR="00706388">
        <w:rPr>
          <w:rFonts w:ascii="Times New Roman" w:hAnsi="Times New Roman"/>
          <w:szCs w:val="24"/>
        </w:rPr>
        <w:t xml:space="preserve">.) </w:t>
      </w:r>
      <w:r w:rsidRPr="009F0686">
        <w:rPr>
          <w:rFonts w:ascii="Times New Roman" w:hAnsi="Times New Roman"/>
          <w:szCs w:val="24"/>
        </w:rPr>
        <w:t>This would diminish incentives to employees to improve operational performance and customer satisfaction regardless of the financial cost to do so. The Company strongly believes that such an imbalance between short-term and long-term compensation would be detrimental to customers and would lead to higher future rate increases with little to no benefit or improvement to operations.</w:t>
      </w:r>
    </w:p>
    <w:p w14:paraId="153CA36D" w14:textId="735D01ED" w:rsidR="00F91AD3" w:rsidRDefault="004C7B3E" w:rsidP="00C01473">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t>While it is true that the</w:t>
      </w:r>
      <w:r w:rsidR="00BB6F61" w:rsidRPr="00BB6F61">
        <w:rPr>
          <w:rFonts w:ascii="Times New Roman" w:hAnsi="Times New Roman"/>
          <w:szCs w:val="24"/>
        </w:rPr>
        <w:t xml:space="preserve"> Company previously agreed to remove stock-based compensation for the duration of the then-current ARP as part of a negotiated settlement of the 2013 Rate Case</w:t>
      </w:r>
      <w:r>
        <w:rPr>
          <w:rFonts w:ascii="Times New Roman" w:hAnsi="Times New Roman"/>
          <w:szCs w:val="24"/>
        </w:rPr>
        <w:t>, the Company</w:t>
      </w:r>
      <w:r w:rsidR="006F6CB0">
        <w:rPr>
          <w:rFonts w:ascii="Times New Roman" w:hAnsi="Times New Roman"/>
          <w:szCs w:val="24"/>
        </w:rPr>
        <w:t>’</w:t>
      </w:r>
      <w:r>
        <w:rPr>
          <w:rFonts w:ascii="Times New Roman" w:hAnsi="Times New Roman"/>
          <w:szCs w:val="24"/>
        </w:rPr>
        <w:t>s prior settlement position should not be used to</w:t>
      </w:r>
      <w:r w:rsidR="00BB6F61" w:rsidRPr="00BB6F61">
        <w:rPr>
          <w:rFonts w:ascii="Times New Roman" w:hAnsi="Times New Roman"/>
          <w:szCs w:val="24"/>
        </w:rPr>
        <w:t xml:space="preserve"> imply </w:t>
      </w:r>
      <w:r>
        <w:rPr>
          <w:rFonts w:ascii="Times New Roman" w:hAnsi="Times New Roman"/>
          <w:szCs w:val="24"/>
        </w:rPr>
        <w:t xml:space="preserve">that </w:t>
      </w:r>
      <w:r w:rsidR="00BB6F61" w:rsidRPr="00BB6F61">
        <w:rPr>
          <w:rFonts w:ascii="Times New Roman" w:hAnsi="Times New Roman"/>
          <w:szCs w:val="24"/>
        </w:rPr>
        <w:t xml:space="preserve">the Company supports the exclusion of stock-based compensation </w:t>
      </w:r>
      <w:r>
        <w:rPr>
          <w:rFonts w:ascii="Times New Roman" w:hAnsi="Times New Roman"/>
          <w:szCs w:val="24"/>
        </w:rPr>
        <w:t>as a matter of principle.</w:t>
      </w:r>
      <w:r w:rsidR="0074212A">
        <w:rPr>
          <w:rFonts w:ascii="Times New Roman" w:hAnsi="Times New Roman"/>
          <w:szCs w:val="24"/>
        </w:rPr>
        <w:t xml:space="preserve"> (</w:t>
      </w:r>
      <w:r w:rsidR="00706388">
        <w:rPr>
          <w:rFonts w:ascii="Times New Roman" w:hAnsi="Times New Roman"/>
          <w:szCs w:val="24"/>
        </w:rPr>
        <w:t>Tr. 2650</w:t>
      </w:r>
      <w:r w:rsidR="0074212A">
        <w:rPr>
          <w:rFonts w:ascii="Times New Roman" w:hAnsi="Times New Roman"/>
          <w:szCs w:val="24"/>
        </w:rPr>
        <w:t>.)</w:t>
      </w:r>
      <w:r>
        <w:rPr>
          <w:rFonts w:ascii="Times New Roman" w:hAnsi="Times New Roman"/>
          <w:szCs w:val="24"/>
        </w:rPr>
        <w:t xml:space="preserve"> The Company</w:t>
      </w:r>
      <w:r w:rsidR="006F6CB0">
        <w:rPr>
          <w:rFonts w:ascii="Times New Roman" w:hAnsi="Times New Roman"/>
          <w:szCs w:val="24"/>
        </w:rPr>
        <w:t>’</w:t>
      </w:r>
      <w:r>
        <w:rPr>
          <w:rFonts w:ascii="Times New Roman" w:hAnsi="Times New Roman"/>
          <w:szCs w:val="24"/>
        </w:rPr>
        <w:t xml:space="preserve">s total compensation plan, including stock-based at-risk compensation, is market competitive and </w:t>
      </w:r>
      <w:r w:rsidR="000B2C1C">
        <w:rPr>
          <w:rFonts w:ascii="Times New Roman" w:hAnsi="Times New Roman"/>
          <w:szCs w:val="24"/>
        </w:rPr>
        <w:t xml:space="preserve">appropriately </w:t>
      </w:r>
      <w:r w:rsidRPr="009F0686">
        <w:rPr>
          <w:rFonts w:ascii="Times New Roman" w:hAnsi="Times New Roman"/>
          <w:szCs w:val="24"/>
        </w:rPr>
        <w:t>balance</w:t>
      </w:r>
      <w:r w:rsidR="000B2C1C">
        <w:rPr>
          <w:rFonts w:ascii="Times New Roman" w:hAnsi="Times New Roman"/>
          <w:szCs w:val="24"/>
        </w:rPr>
        <w:t>s</w:t>
      </w:r>
      <w:r w:rsidRPr="009F0686">
        <w:rPr>
          <w:rFonts w:ascii="Times New Roman" w:hAnsi="Times New Roman"/>
          <w:szCs w:val="24"/>
        </w:rPr>
        <w:t xml:space="preserve"> </w:t>
      </w:r>
      <w:r w:rsidR="000B2C1C">
        <w:rPr>
          <w:rFonts w:ascii="Times New Roman" w:hAnsi="Times New Roman"/>
          <w:szCs w:val="24"/>
        </w:rPr>
        <w:t>operational with financial focus</w:t>
      </w:r>
      <w:r w:rsidRPr="009F0686">
        <w:rPr>
          <w:rFonts w:ascii="Times New Roman" w:hAnsi="Times New Roman"/>
          <w:szCs w:val="24"/>
        </w:rPr>
        <w:t xml:space="preserve"> for both the short-term and longer term to drive employee behavior in ways that balance</w:t>
      </w:r>
      <w:r w:rsidR="000B2C1C">
        <w:rPr>
          <w:rFonts w:ascii="Times New Roman" w:hAnsi="Times New Roman"/>
          <w:szCs w:val="24"/>
        </w:rPr>
        <w:t>s</w:t>
      </w:r>
      <w:r w:rsidRPr="009F0686">
        <w:rPr>
          <w:rFonts w:ascii="Times New Roman" w:hAnsi="Times New Roman"/>
          <w:szCs w:val="24"/>
        </w:rPr>
        <w:t xml:space="preserve"> the interests of customers and shareholders alike</w:t>
      </w:r>
      <w:r w:rsidR="000B2C1C">
        <w:rPr>
          <w:rFonts w:ascii="Times New Roman" w:hAnsi="Times New Roman"/>
          <w:szCs w:val="24"/>
        </w:rPr>
        <w:t xml:space="preserve">. </w:t>
      </w:r>
      <w:r w:rsidR="00706388">
        <w:rPr>
          <w:rFonts w:ascii="Times New Roman" w:hAnsi="Times New Roman"/>
          <w:szCs w:val="24"/>
        </w:rPr>
        <w:t>(</w:t>
      </w:r>
      <w:r w:rsidR="00706388" w:rsidRPr="001C1457">
        <w:rPr>
          <w:rFonts w:ascii="Times New Roman" w:hAnsi="Times New Roman"/>
          <w:i/>
          <w:szCs w:val="24"/>
        </w:rPr>
        <w:t>Id</w:t>
      </w:r>
      <w:r w:rsidR="00706388">
        <w:rPr>
          <w:rFonts w:ascii="Times New Roman" w:hAnsi="Times New Roman"/>
          <w:szCs w:val="24"/>
        </w:rPr>
        <w:t xml:space="preserve">.) </w:t>
      </w:r>
      <w:r w:rsidR="000B2C1C">
        <w:rPr>
          <w:rFonts w:ascii="Times New Roman" w:hAnsi="Times New Roman"/>
          <w:szCs w:val="24"/>
        </w:rPr>
        <w:t>The Company</w:t>
      </w:r>
      <w:r w:rsidR="006F6CB0">
        <w:rPr>
          <w:rFonts w:ascii="Times New Roman" w:hAnsi="Times New Roman"/>
          <w:szCs w:val="24"/>
        </w:rPr>
        <w:t>’</w:t>
      </w:r>
      <w:r w:rsidR="000B2C1C">
        <w:rPr>
          <w:rFonts w:ascii="Times New Roman" w:hAnsi="Times New Roman"/>
          <w:szCs w:val="24"/>
        </w:rPr>
        <w:t xml:space="preserve">s stock-based compensation is a cost incurred to safely and reliably serve customers and is appropriately included in rates. </w:t>
      </w:r>
      <w:r w:rsidR="005416CE">
        <w:rPr>
          <w:rFonts w:ascii="Times New Roman" w:hAnsi="Times New Roman"/>
          <w:szCs w:val="24"/>
        </w:rPr>
        <w:t>The Commission should reject PIA Staff</w:t>
      </w:r>
      <w:r w:rsidR="00EC0096">
        <w:rPr>
          <w:rFonts w:ascii="Times New Roman" w:hAnsi="Times New Roman"/>
          <w:szCs w:val="24"/>
        </w:rPr>
        <w:t>’s</w:t>
      </w:r>
      <w:r w:rsidR="005416CE">
        <w:rPr>
          <w:rFonts w:ascii="Times New Roman" w:hAnsi="Times New Roman"/>
          <w:szCs w:val="24"/>
        </w:rPr>
        <w:t xml:space="preserve"> recommendations to remove stock-based compensation from </w:t>
      </w:r>
      <w:r w:rsidR="006850D5">
        <w:rPr>
          <w:rFonts w:ascii="Times New Roman" w:hAnsi="Times New Roman"/>
          <w:szCs w:val="24"/>
        </w:rPr>
        <w:t>rates.</w:t>
      </w:r>
    </w:p>
    <w:p w14:paraId="21E4ADBE" w14:textId="23E08000" w:rsidR="009F0686" w:rsidRDefault="00F91AD3" w:rsidP="00C01473">
      <w:pPr>
        <w:widowControl/>
        <w:tabs>
          <w:tab w:val="left" w:pos="0"/>
        </w:tabs>
        <w:overflowPunct/>
        <w:autoSpaceDE/>
        <w:autoSpaceDN/>
        <w:adjustRightInd/>
        <w:spacing w:after="240" w:line="480" w:lineRule="auto"/>
        <w:jc w:val="both"/>
        <w:textAlignment w:val="auto"/>
        <w:rPr>
          <w:rFonts w:ascii="Times New Roman" w:hAnsi="Times New Roman"/>
          <w:bCs/>
          <w:szCs w:val="24"/>
        </w:rPr>
      </w:pPr>
      <w:r>
        <w:rPr>
          <w:rFonts w:ascii="Times New Roman" w:hAnsi="Times New Roman"/>
          <w:szCs w:val="24"/>
        </w:rPr>
        <w:tab/>
      </w:r>
      <w:r w:rsidR="000B2C1C">
        <w:rPr>
          <w:rFonts w:ascii="Times New Roman" w:hAnsi="Times New Roman"/>
          <w:szCs w:val="24"/>
        </w:rPr>
        <w:t xml:space="preserve">By extension, </w:t>
      </w:r>
      <w:r w:rsidR="009F0686" w:rsidRPr="009F0686">
        <w:rPr>
          <w:rFonts w:ascii="Times New Roman" w:hAnsi="Times New Roman"/>
          <w:bCs/>
          <w:szCs w:val="24"/>
        </w:rPr>
        <w:t xml:space="preserve">the payroll tax expenses associated with stock-based compensation are </w:t>
      </w:r>
      <w:r>
        <w:rPr>
          <w:rFonts w:ascii="Times New Roman" w:hAnsi="Times New Roman"/>
          <w:bCs/>
          <w:szCs w:val="24"/>
        </w:rPr>
        <w:t xml:space="preserve">also </w:t>
      </w:r>
      <w:r w:rsidR="009F0686" w:rsidRPr="009F0686">
        <w:rPr>
          <w:rFonts w:ascii="Times New Roman" w:hAnsi="Times New Roman"/>
          <w:bCs/>
          <w:szCs w:val="24"/>
        </w:rPr>
        <w:t xml:space="preserve">prudently incurred costs associated with providing safe and reliable service to customers </w:t>
      </w:r>
      <w:r>
        <w:rPr>
          <w:rFonts w:ascii="Times New Roman" w:hAnsi="Times New Roman"/>
          <w:bCs/>
          <w:szCs w:val="24"/>
        </w:rPr>
        <w:t>that</w:t>
      </w:r>
      <w:r w:rsidR="009F0686" w:rsidRPr="009F0686">
        <w:rPr>
          <w:rFonts w:ascii="Times New Roman" w:hAnsi="Times New Roman"/>
          <w:bCs/>
          <w:szCs w:val="24"/>
        </w:rPr>
        <w:t xml:space="preserve"> should be recovered from customers.</w:t>
      </w:r>
      <w:r>
        <w:rPr>
          <w:rFonts w:ascii="Times New Roman" w:hAnsi="Times New Roman"/>
          <w:bCs/>
          <w:szCs w:val="24"/>
        </w:rPr>
        <w:t xml:space="preserve"> </w:t>
      </w:r>
      <w:r w:rsidR="00133280" w:rsidRPr="00133280">
        <w:rPr>
          <w:rFonts w:ascii="Times New Roman" w:hAnsi="Times New Roman"/>
          <w:bCs/>
          <w:szCs w:val="24"/>
        </w:rPr>
        <w:t>Therefore, the Commission should not adopt PIA Staff’s adjustment to exclude the payroll tax expenses associated with the stock-based compensation. In addition, employees who are eligible for the Company’s stock-based compensation programs likely have annual salaries above the projected Federal Insurance Contributions Act (FICA)</w:t>
      </w:r>
      <w:r w:rsidR="00C01473" w:rsidRPr="009F0686">
        <w:rPr>
          <w:rFonts w:ascii="Times New Roman" w:hAnsi="Times New Roman"/>
          <w:szCs w:val="24"/>
        </w:rPr>
        <w:t xml:space="preserve"> threshold</w:t>
      </w:r>
      <w:r w:rsidR="00C01473">
        <w:rPr>
          <w:rFonts w:ascii="Times New Roman" w:hAnsi="Times New Roman"/>
          <w:szCs w:val="24"/>
        </w:rPr>
        <w:t xml:space="preserve">. </w:t>
      </w:r>
      <w:r w:rsidR="0074212A">
        <w:rPr>
          <w:rFonts w:ascii="Times New Roman" w:hAnsi="Times New Roman"/>
          <w:szCs w:val="24"/>
        </w:rPr>
        <w:t>(</w:t>
      </w:r>
      <w:r w:rsidR="00706388">
        <w:rPr>
          <w:rFonts w:ascii="Times New Roman" w:hAnsi="Times New Roman"/>
          <w:szCs w:val="24"/>
        </w:rPr>
        <w:t>Tr. 2655</w:t>
      </w:r>
      <w:r w:rsidR="0074212A">
        <w:rPr>
          <w:rFonts w:ascii="Times New Roman" w:hAnsi="Times New Roman"/>
          <w:szCs w:val="24"/>
        </w:rPr>
        <w:t xml:space="preserve">.) </w:t>
      </w:r>
      <w:r w:rsidR="00C01473">
        <w:rPr>
          <w:rFonts w:ascii="Times New Roman" w:hAnsi="Times New Roman"/>
          <w:szCs w:val="24"/>
        </w:rPr>
        <w:t xml:space="preserve">Therefore, </w:t>
      </w:r>
      <w:r w:rsidR="00C01473" w:rsidRPr="009F0686">
        <w:rPr>
          <w:rFonts w:ascii="Times New Roman" w:hAnsi="Times New Roman"/>
          <w:szCs w:val="24"/>
        </w:rPr>
        <w:t xml:space="preserve">it is appropriate to apply only the Medicare portion of payroll tax </w:t>
      </w:r>
      <w:r w:rsidR="00C01473" w:rsidRPr="009F0686">
        <w:rPr>
          <w:rFonts w:ascii="Times New Roman" w:hAnsi="Times New Roman"/>
          <w:szCs w:val="24"/>
        </w:rPr>
        <w:lastRenderedPageBreak/>
        <w:t>to the stock-based compensation expense when calculating the applicable payroll tax expense adjustment.</w:t>
      </w:r>
    </w:p>
    <w:p w14:paraId="7AE3C461" w14:textId="2905451D" w:rsidR="00186C1F" w:rsidRDefault="00BB6F61" w:rsidP="00263E8D">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34" w:name="_Hlk26111781"/>
      <w:r>
        <w:rPr>
          <w:rFonts w:ascii="Times New Roman" w:hAnsi="Times New Roman"/>
          <w:szCs w:val="24"/>
        </w:rPr>
        <w:t>1</w:t>
      </w:r>
      <w:r w:rsidR="00B13352">
        <w:rPr>
          <w:rFonts w:ascii="Times New Roman" w:hAnsi="Times New Roman"/>
          <w:szCs w:val="24"/>
        </w:rPr>
        <w:t>2</w:t>
      </w:r>
      <w:r w:rsidR="00533458">
        <w:rPr>
          <w:rFonts w:ascii="Times New Roman" w:hAnsi="Times New Roman"/>
          <w:szCs w:val="24"/>
        </w:rPr>
        <w:t>.</w:t>
      </w:r>
      <w:r w:rsidR="00F87E49">
        <w:rPr>
          <w:rFonts w:ascii="Times New Roman" w:hAnsi="Times New Roman"/>
          <w:szCs w:val="24"/>
        </w:rPr>
        <w:tab/>
      </w:r>
      <w:r w:rsidR="00EF0300">
        <w:rPr>
          <w:rFonts w:ascii="Times New Roman" w:hAnsi="Times New Roman"/>
          <w:szCs w:val="24"/>
          <w:u w:val="single"/>
        </w:rPr>
        <w:t>T</w:t>
      </w:r>
      <w:r w:rsidR="00F87E49" w:rsidRPr="004B6D89">
        <w:rPr>
          <w:rFonts w:ascii="Times New Roman" w:hAnsi="Times New Roman"/>
          <w:szCs w:val="24"/>
          <w:u w:val="single"/>
        </w:rPr>
        <w:t xml:space="preserve">he Commission </w:t>
      </w:r>
      <w:r w:rsidR="00EF0300">
        <w:rPr>
          <w:rFonts w:ascii="Times New Roman" w:hAnsi="Times New Roman"/>
          <w:szCs w:val="24"/>
          <w:u w:val="single"/>
        </w:rPr>
        <w:t>has already determined the appropriate ratemaking treatment</w:t>
      </w:r>
      <w:r w:rsidR="00F87E49" w:rsidRPr="004B6D89">
        <w:rPr>
          <w:rFonts w:ascii="Times New Roman" w:hAnsi="Times New Roman"/>
          <w:szCs w:val="24"/>
          <w:u w:val="single"/>
        </w:rPr>
        <w:t xml:space="preserve"> for the Company</w:t>
      </w:r>
      <w:r w:rsidR="006F6CB0">
        <w:rPr>
          <w:rFonts w:ascii="Times New Roman" w:hAnsi="Times New Roman"/>
          <w:szCs w:val="24"/>
          <w:u w:val="single"/>
        </w:rPr>
        <w:t>’</w:t>
      </w:r>
      <w:r w:rsidR="00F87E49" w:rsidRPr="004B6D89">
        <w:rPr>
          <w:rFonts w:ascii="Times New Roman" w:hAnsi="Times New Roman"/>
          <w:szCs w:val="24"/>
          <w:u w:val="single"/>
        </w:rPr>
        <w:t>s Stewart County site investigation costs</w:t>
      </w:r>
      <w:r w:rsidR="00F87E49">
        <w:rPr>
          <w:rFonts w:ascii="Times New Roman" w:hAnsi="Times New Roman"/>
          <w:szCs w:val="24"/>
        </w:rPr>
        <w:t>.</w:t>
      </w:r>
    </w:p>
    <w:bookmarkEnd w:id="34"/>
    <w:p w14:paraId="13BBBAB4" w14:textId="527E69D0" w:rsidR="009A1B6D" w:rsidRDefault="00F707DC" w:rsidP="00F707DC">
      <w:pPr>
        <w:keepNext/>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9A1B6D" w:rsidRPr="00F87E49">
        <w:rPr>
          <w:rFonts w:ascii="Times New Roman" w:hAnsi="Times New Roman"/>
          <w:szCs w:val="24"/>
        </w:rPr>
        <w:t>It is unnecessary to propose alternate recovery options for future nuclear site investigation costs</w:t>
      </w:r>
      <w:r w:rsidR="00EF0300">
        <w:rPr>
          <w:rFonts w:ascii="Times New Roman" w:hAnsi="Times New Roman"/>
          <w:szCs w:val="24"/>
        </w:rPr>
        <w:t xml:space="preserve"> as PIA Staff has done</w:t>
      </w:r>
      <w:r w:rsidR="009A1B6D" w:rsidRPr="00F87E49">
        <w:rPr>
          <w:rFonts w:ascii="Times New Roman" w:hAnsi="Times New Roman"/>
          <w:szCs w:val="24"/>
        </w:rPr>
        <w:t xml:space="preserve"> because the Commission has already determined the appropriate ratemaking treatment for these costs. The Commission</w:t>
      </w:r>
      <w:r w:rsidR="006F6CB0">
        <w:rPr>
          <w:rFonts w:ascii="Times New Roman" w:hAnsi="Times New Roman"/>
          <w:szCs w:val="24"/>
        </w:rPr>
        <w:t>’</w:t>
      </w:r>
      <w:r w:rsidR="009A1B6D" w:rsidRPr="00F87E49">
        <w:rPr>
          <w:rFonts w:ascii="Times New Roman" w:hAnsi="Times New Roman"/>
          <w:szCs w:val="24"/>
        </w:rPr>
        <w:t xml:space="preserve">s Final Order in Docket No. 40161 approved recovery for up to $99 million for costs related to the investigation of future nuclear </w:t>
      </w:r>
      <w:r w:rsidR="00160321">
        <w:rPr>
          <w:rFonts w:ascii="Times New Roman" w:hAnsi="Times New Roman"/>
          <w:szCs w:val="24"/>
        </w:rPr>
        <w:t xml:space="preserve">generation </w:t>
      </w:r>
      <w:r w:rsidR="009A1B6D" w:rsidRPr="00F87E49">
        <w:rPr>
          <w:rFonts w:ascii="Times New Roman" w:hAnsi="Times New Roman"/>
          <w:szCs w:val="24"/>
        </w:rPr>
        <w:t>at Stewart County.</w:t>
      </w:r>
      <w:r w:rsidR="0074212A">
        <w:rPr>
          <w:rFonts w:ascii="Times New Roman" w:hAnsi="Times New Roman"/>
          <w:szCs w:val="24"/>
        </w:rPr>
        <w:t xml:space="preserve"> </w:t>
      </w:r>
      <w:r w:rsidR="001D5133">
        <w:rPr>
          <w:rFonts w:ascii="Times New Roman" w:hAnsi="Times New Roman"/>
          <w:i/>
          <w:szCs w:val="24"/>
        </w:rPr>
        <w:t xml:space="preserve">Order Adopting </w:t>
      </w:r>
      <w:r w:rsidR="001D5133" w:rsidRPr="001D5133">
        <w:rPr>
          <w:rFonts w:ascii="Times New Roman" w:hAnsi="Times New Roman"/>
          <w:i/>
          <w:szCs w:val="24"/>
        </w:rPr>
        <w:t>Stipulations</w:t>
      </w:r>
      <w:r w:rsidR="001D5133">
        <w:rPr>
          <w:rFonts w:ascii="Times New Roman" w:hAnsi="Times New Roman"/>
          <w:szCs w:val="24"/>
        </w:rPr>
        <w:t xml:space="preserve">, Docket No. 40161, Georgia Power Company’s 2016 Integrated Resource Plan and Application for Decertification of Plant Mitchell Units 4A and 4B, Plant Kraft Unit 1 CT, and Intercession City CT (August 2, 2016) at 12. </w:t>
      </w:r>
      <w:r w:rsidR="009A1B6D" w:rsidRPr="001D5133">
        <w:rPr>
          <w:rFonts w:ascii="Times New Roman" w:hAnsi="Times New Roman"/>
          <w:szCs w:val="24"/>
        </w:rPr>
        <w:t>The</w:t>
      </w:r>
      <w:r w:rsidR="009A1B6D" w:rsidRPr="00F87E49">
        <w:rPr>
          <w:rFonts w:ascii="Times New Roman" w:hAnsi="Times New Roman"/>
          <w:szCs w:val="24"/>
        </w:rPr>
        <w:t xml:space="preserve"> Company spent $49 million prior to ceasing its investigation activities and putting the Stewart County site into a preserved state. </w:t>
      </w:r>
      <w:r w:rsidR="0074212A">
        <w:rPr>
          <w:rFonts w:ascii="Times New Roman" w:hAnsi="Times New Roman"/>
          <w:szCs w:val="24"/>
        </w:rPr>
        <w:t>(</w:t>
      </w:r>
      <w:r w:rsidR="001D5133">
        <w:rPr>
          <w:rFonts w:ascii="Times New Roman" w:hAnsi="Times New Roman"/>
          <w:szCs w:val="24"/>
        </w:rPr>
        <w:t>Tr. 2661</w:t>
      </w:r>
      <w:r w:rsidR="0074212A">
        <w:rPr>
          <w:rFonts w:ascii="Times New Roman" w:hAnsi="Times New Roman"/>
          <w:szCs w:val="24"/>
        </w:rPr>
        <w:t xml:space="preserve">.) </w:t>
      </w:r>
      <w:r w:rsidR="009A1B6D" w:rsidRPr="00F87E49">
        <w:rPr>
          <w:rFonts w:ascii="Times New Roman" w:hAnsi="Times New Roman"/>
          <w:szCs w:val="24"/>
        </w:rPr>
        <w:t>Pursuant to the Commission</w:t>
      </w:r>
      <w:r w:rsidR="006F6CB0">
        <w:rPr>
          <w:rFonts w:ascii="Times New Roman" w:hAnsi="Times New Roman"/>
          <w:szCs w:val="24"/>
        </w:rPr>
        <w:t>’</w:t>
      </w:r>
      <w:r w:rsidR="009A1B6D" w:rsidRPr="00F87E49">
        <w:rPr>
          <w:rFonts w:ascii="Times New Roman" w:hAnsi="Times New Roman"/>
          <w:szCs w:val="24"/>
        </w:rPr>
        <w:t>s March 7, 2017 Order in Docket No. 40161, the Company appropriately included this $49 million in its revenue requirement for rates effective January 1</w:t>
      </w:r>
      <w:r w:rsidR="008E1DF4">
        <w:rPr>
          <w:rFonts w:ascii="Times New Roman" w:hAnsi="Times New Roman"/>
          <w:szCs w:val="24"/>
        </w:rPr>
        <w:t>,</w:t>
      </w:r>
      <w:r w:rsidR="008E1DF4" w:rsidRPr="00F87E49">
        <w:rPr>
          <w:rFonts w:ascii="Times New Roman" w:hAnsi="Times New Roman"/>
          <w:szCs w:val="24"/>
        </w:rPr>
        <w:t xml:space="preserve"> </w:t>
      </w:r>
      <w:r w:rsidR="009A1B6D" w:rsidRPr="00F87E49">
        <w:rPr>
          <w:rFonts w:ascii="Times New Roman" w:hAnsi="Times New Roman"/>
          <w:szCs w:val="24"/>
        </w:rPr>
        <w:t>2020.</w:t>
      </w:r>
      <w:r w:rsidR="0074212A">
        <w:rPr>
          <w:rFonts w:ascii="Times New Roman" w:hAnsi="Times New Roman"/>
          <w:szCs w:val="24"/>
        </w:rPr>
        <w:t xml:space="preserve"> </w:t>
      </w:r>
      <w:r w:rsidR="00220CF6">
        <w:rPr>
          <w:rFonts w:ascii="Times New Roman" w:hAnsi="Times New Roman"/>
          <w:i/>
          <w:szCs w:val="24"/>
        </w:rPr>
        <w:t xml:space="preserve">See </w:t>
      </w:r>
      <w:r w:rsidR="001D5133">
        <w:rPr>
          <w:rFonts w:ascii="Times New Roman" w:hAnsi="Times New Roman"/>
          <w:i/>
          <w:szCs w:val="24"/>
        </w:rPr>
        <w:t>Order Regarding Steward County Site Investigation</w:t>
      </w:r>
      <w:r w:rsidR="001D5133">
        <w:rPr>
          <w:rFonts w:ascii="Times New Roman" w:hAnsi="Times New Roman"/>
          <w:szCs w:val="24"/>
        </w:rPr>
        <w:t>, Docket No. 40161</w:t>
      </w:r>
      <w:r w:rsidR="00220CF6">
        <w:rPr>
          <w:rFonts w:ascii="Times New Roman" w:hAnsi="Times New Roman"/>
          <w:szCs w:val="24"/>
        </w:rPr>
        <w:t xml:space="preserve">, Georgia Power Company’s 2016 Integrated Resource Plan and Application for Decertification of Plant Mitchell Units 4A and 4B, Plant Kraft Unit 1 CT, and Intercession City CT (March 7, 2017). </w:t>
      </w:r>
      <w:r>
        <w:rPr>
          <w:rFonts w:ascii="Times New Roman" w:hAnsi="Times New Roman"/>
          <w:szCs w:val="24"/>
        </w:rPr>
        <w:t>PIA Staff does not disagree with the Company</w:t>
      </w:r>
      <w:r w:rsidR="006F6CB0">
        <w:rPr>
          <w:rFonts w:ascii="Times New Roman" w:hAnsi="Times New Roman"/>
          <w:szCs w:val="24"/>
        </w:rPr>
        <w:t>’</w:t>
      </w:r>
      <w:r w:rsidR="00160321">
        <w:rPr>
          <w:rFonts w:ascii="Times New Roman" w:hAnsi="Times New Roman"/>
          <w:szCs w:val="24"/>
        </w:rPr>
        <w:t>s</w:t>
      </w:r>
      <w:r>
        <w:rPr>
          <w:rFonts w:ascii="Times New Roman" w:hAnsi="Times New Roman"/>
          <w:szCs w:val="24"/>
        </w:rPr>
        <w:t xml:space="preserve"> treatment of these costs</w:t>
      </w:r>
      <w:r w:rsidR="00E47737">
        <w:rPr>
          <w:rFonts w:ascii="Times New Roman" w:hAnsi="Times New Roman"/>
          <w:szCs w:val="24"/>
        </w:rPr>
        <w:t xml:space="preserve"> nor does any Party challenge that the Company did what it was approved to do and that its efforts have provided value to customers by concluding that the site is an appropriate site for multiple generation sources, including nuclear</w:t>
      </w:r>
      <w:r>
        <w:rPr>
          <w:rFonts w:ascii="Times New Roman" w:hAnsi="Times New Roman"/>
          <w:szCs w:val="24"/>
        </w:rPr>
        <w:t>.</w:t>
      </w:r>
      <w:r w:rsidR="009A1B6D">
        <w:rPr>
          <w:rFonts w:ascii="Times New Roman" w:hAnsi="Times New Roman"/>
          <w:szCs w:val="24"/>
        </w:rPr>
        <w:t xml:space="preserve"> </w:t>
      </w:r>
      <w:r w:rsidR="009A1B6D" w:rsidRPr="00F87E49">
        <w:rPr>
          <w:rFonts w:ascii="Times New Roman" w:hAnsi="Times New Roman"/>
          <w:szCs w:val="24"/>
        </w:rPr>
        <w:t>PIA Staff did not adjust the Company</w:t>
      </w:r>
      <w:r w:rsidR="006F6CB0">
        <w:rPr>
          <w:rFonts w:ascii="Times New Roman" w:hAnsi="Times New Roman"/>
          <w:szCs w:val="24"/>
        </w:rPr>
        <w:t>’</w:t>
      </w:r>
      <w:r w:rsidR="009A1B6D" w:rsidRPr="00F87E49">
        <w:rPr>
          <w:rFonts w:ascii="Times New Roman" w:hAnsi="Times New Roman"/>
          <w:szCs w:val="24"/>
        </w:rPr>
        <w:t xml:space="preserve">s revenue </w:t>
      </w:r>
      <w:r w:rsidR="009A1B6D" w:rsidRPr="00F87E49">
        <w:rPr>
          <w:rFonts w:ascii="Times New Roman" w:hAnsi="Times New Roman"/>
          <w:szCs w:val="24"/>
        </w:rPr>
        <w:lastRenderedPageBreak/>
        <w:t>requirement to remove these future nuclear costs from rate base or remove the</w:t>
      </w:r>
      <w:r w:rsidR="00160321">
        <w:rPr>
          <w:rFonts w:ascii="Times New Roman" w:hAnsi="Times New Roman"/>
          <w:szCs w:val="24"/>
        </w:rPr>
        <w:t>ir</w:t>
      </w:r>
      <w:r w:rsidR="009A1B6D" w:rsidRPr="00F87E49">
        <w:rPr>
          <w:rFonts w:ascii="Times New Roman" w:hAnsi="Times New Roman"/>
          <w:szCs w:val="24"/>
        </w:rPr>
        <w:t xml:space="preserve"> amortization from operating expenses.</w:t>
      </w:r>
      <w:r w:rsidR="009A1B6D">
        <w:rPr>
          <w:rFonts w:ascii="Times New Roman" w:hAnsi="Times New Roman"/>
          <w:szCs w:val="24"/>
        </w:rPr>
        <w:t xml:space="preserve"> </w:t>
      </w:r>
      <w:r w:rsidR="0074212A">
        <w:rPr>
          <w:rFonts w:ascii="Times New Roman" w:hAnsi="Times New Roman"/>
          <w:szCs w:val="24"/>
        </w:rPr>
        <w:t>(</w:t>
      </w:r>
      <w:r w:rsidR="00220CF6">
        <w:rPr>
          <w:rFonts w:ascii="Times New Roman" w:hAnsi="Times New Roman"/>
          <w:szCs w:val="24"/>
        </w:rPr>
        <w:t>Tr. 1257</w:t>
      </w:r>
      <w:r w:rsidR="0074212A">
        <w:rPr>
          <w:rFonts w:ascii="Times New Roman" w:hAnsi="Times New Roman"/>
          <w:szCs w:val="24"/>
        </w:rPr>
        <w:t>.)</w:t>
      </w:r>
    </w:p>
    <w:p w14:paraId="14B03D42" w14:textId="45381C3D" w:rsidR="00F87E49" w:rsidRPr="00F87E49" w:rsidRDefault="00F707DC" w:rsidP="00F707DC">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t>Nevertheless</w:t>
      </w:r>
      <w:r w:rsidR="009A1B6D" w:rsidRPr="00F87E49">
        <w:rPr>
          <w:rFonts w:ascii="Times New Roman" w:hAnsi="Times New Roman"/>
          <w:szCs w:val="24"/>
        </w:rPr>
        <w:t xml:space="preserve">, </w:t>
      </w:r>
      <w:r w:rsidR="00F87E49" w:rsidRPr="00F87E49">
        <w:rPr>
          <w:rFonts w:ascii="Times New Roman" w:hAnsi="Times New Roman"/>
          <w:szCs w:val="24"/>
        </w:rPr>
        <w:t>PIA Staff proposes three options to recover the</w:t>
      </w:r>
      <w:r>
        <w:rPr>
          <w:rFonts w:ascii="Times New Roman" w:hAnsi="Times New Roman"/>
          <w:szCs w:val="24"/>
        </w:rPr>
        <w:t>se</w:t>
      </w:r>
      <w:r w:rsidR="00F87E49" w:rsidRPr="00F87E49">
        <w:rPr>
          <w:rFonts w:ascii="Times New Roman" w:hAnsi="Times New Roman"/>
          <w:szCs w:val="24"/>
        </w:rPr>
        <w:t xml:space="preserve"> Stewart County future nuclear site investigation costs from the Company</w:t>
      </w:r>
      <w:r w:rsidR="006F6CB0">
        <w:rPr>
          <w:rFonts w:ascii="Times New Roman" w:hAnsi="Times New Roman"/>
          <w:szCs w:val="24"/>
        </w:rPr>
        <w:t>’</w:t>
      </w:r>
      <w:r w:rsidR="00F87E49" w:rsidRPr="00F87E49">
        <w:rPr>
          <w:rFonts w:ascii="Times New Roman" w:hAnsi="Times New Roman"/>
          <w:szCs w:val="24"/>
        </w:rPr>
        <w:t xml:space="preserve">s earnings in 2018: (1) recover the costs from the total 2018 earnings above the band; (2) recover the costs from the 2/3 portion to be returned to customers; or (3) recover the costs from the 1/3 portion to be retained by the Company. </w:t>
      </w:r>
      <w:r w:rsidR="0074212A">
        <w:rPr>
          <w:rFonts w:ascii="Times New Roman" w:hAnsi="Times New Roman"/>
          <w:szCs w:val="24"/>
        </w:rPr>
        <w:t>(</w:t>
      </w:r>
      <w:r w:rsidR="00220CF6">
        <w:rPr>
          <w:rFonts w:ascii="Times New Roman" w:hAnsi="Times New Roman"/>
          <w:szCs w:val="24"/>
        </w:rPr>
        <w:t>Tr. 1258</w:t>
      </w:r>
      <w:r w:rsidR="0074212A">
        <w:rPr>
          <w:rFonts w:ascii="Times New Roman" w:hAnsi="Times New Roman"/>
          <w:szCs w:val="24"/>
        </w:rPr>
        <w:t xml:space="preserve">.) </w:t>
      </w:r>
      <w:r>
        <w:rPr>
          <w:rFonts w:ascii="Times New Roman" w:hAnsi="Times New Roman"/>
          <w:szCs w:val="24"/>
        </w:rPr>
        <w:t>I</w:t>
      </w:r>
      <w:r w:rsidR="00F87E49" w:rsidRPr="00F87E49">
        <w:rPr>
          <w:rFonts w:ascii="Times New Roman" w:hAnsi="Times New Roman"/>
          <w:szCs w:val="24"/>
        </w:rPr>
        <w:t>f the Commission determines that it wants to remove Stewart County investigation costs from the current rate case consideration by using some portion of the Company</w:t>
      </w:r>
      <w:r w:rsidR="006F6CB0">
        <w:rPr>
          <w:rFonts w:ascii="Times New Roman" w:hAnsi="Times New Roman"/>
          <w:szCs w:val="24"/>
        </w:rPr>
        <w:t>’</w:t>
      </w:r>
      <w:r w:rsidR="00F87E49" w:rsidRPr="00F87E49">
        <w:rPr>
          <w:rFonts w:ascii="Times New Roman" w:hAnsi="Times New Roman"/>
          <w:szCs w:val="24"/>
        </w:rPr>
        <w:t>s 2018 earnings above the band, it should not impair the Company</w:t>
      </w:r>
      <w:r w:rsidR="006F6CB0">
        <w:rPr>
          <w:rFonts w:ascii="Times New Roman" w:hAnsi="Times New Roman"/>
          <w:szCs w:val="24"/>
        </w:rPr>
        <w:t>’</w:t>
      </w:r>
      <w:r w:rsidR="00F87E49" w:rsidRPr="00F87E49">
        <w:rPr>
          <w:rFonts w:ascii="Times New Roman" w:hAnsi="Times New Roman"/>
          <w:szCs w:val="24"/>
        </w:rPr>
        <w:t>s share of those earnings because to do so would be retroactively modifying the Commission</w:t>
      </w:r>
      <w:r w:rsidR="006F6CB0">
        <w:rPr>
          <w:rFonts w:ascii="Times New Roman" w:hAnsi="Times New Roman"/>
          <w:szCs w:val="24"/>
        </w:rPr>
        <w:t>’</w:t>
      </w:r>
      <w:r w:rsidR="00F87E49" w:rsidRPr="00F87E49">
        <w:rPr>
          <w:rFonts w:ascii="Times New Roman" w:hAnsi="Times New Roman"/>
          <w:szCs w:val="24"/>
        </w:rPr>
        <w:t xml:space="preserve">s Final Order in the 2013 rate case. </w:t>
      </w:r>
      <w:r>
        <w:rPr>
          <w:rFonts w:ascii="Times New Roman" w:hAnsi="Times New Roman"/>
          <w:szCs w:val="24"/>
        </w:rPr>
        <w:t>If</w:t>
      </w:r>
      <w:r w:rsidR="00F87E49" w:rsidRPr="00F87E49">
        <w:rPr>
          <w:rFonts w:ascii="Times New Roman" w:hAnsi="Times New Roman"/>
          <w:szCs w:val="24"/>
        </w:rPr>
        <w:t xml:space="preserve"> the Commission chose to use some portion of the customer</w:t>
      </w:r>
      <w:r w:rsidR="006F6CB0">
        <w:rPr>
          <w:rFonts w:ascii="Times New Roman" w:hAnsi="Times New Roman"/>
          <w:szCs w:val="24"/>
        </w:rPr>
        <w:t>’</w:t>
      </w:r>
      <w:r w:rsidR="00F87E49" w:rsidRPr="00F87E49">
        <w:rPr>
          <w:rFonts w:ascii="Times New Roman" w:hAnsi="Times New Roman"/>
          <w:szCs w:val="24"/>
        </w:rPr>
        <w:t>s share of the 2018 earnings above the band to prepay the Stewart County costs and remove that obligation from the Company</w:t>
      </w:r>
      <w:r w:rsidR="006F6CB0">
        <w:rPr>
          <w:rFonts w:ascii="Times New Roman" w:hAnsi="Times New Roman"/>
          <w:szCs w:val="24"/>
        </w:rPr>
        <w:t>’</w:t>
      </w:r>
      <w:r w:rsidR="00F87E49" w:rsidRPr="00F87E49">
        <w:rPr>
          <w:rFonts w:ascii="Times New Roman" w:hAnsi="Times New Roman"/>
          <w:szCs w:val="24"/>
        </w:rPr>
        <w:t xml:space="preserve">s revenue requirements in this case, that would be a policy determination for the Commission. </w:t>
      </w:r>
    </w:p>
    <w:p w14:paraId="0EF1BC78" w14:textId="506FBAE4" w:rsidR="00186C1F" w:rsidRDefault="00BB6F61" w:rsidP="00263E8D">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35" w:name="_Hlk26111788"/>
      <w:r>
        <w:rPr>
          <w:rFonts w:ascii="Times New Roman" w:hAnsi="Times New Roman"/>
          <w:szCs w:val="24"/>
        </w:rPr>
        <w:t>1</w:t>
      </w:r>
      <w:r w:rsidR="00B13352">
        <w:rPr>
          <w:rFonts w:ascii="Times New Roman" w:hAnsi="Times New Roman"/>
          <w:szCs w:val="24"/>
        </w:rPr>
        <w:t>3</w:t>
      </w:r>
      <w:r w:rsidR="00533458">
        <w:rPr>
          <w:rFonts w:ascii="Times New Roman" w:hAnsi="Times New Roman"/>
          <w:szCs w:val="24"/>
        </w:rPr>
        <w:t>.</w:t>
      </w:r>
      <w:r w:rsidR="00533458">
        <w:rPr>
          <w:rFonts w:ascii="Times New Roman" w:hAnsi="Times New Roman"/>
          <w:szCs w:val="24"/>
        </w:rPr>
        <w:tab/>
      </w:r>
      <w:r w:rsidR="00F87E49" w:rsidRPr="004B6D89">
        <w:rPr>
          <w:rFonts w:ascii="Times New Roman" w:hAnsi="Times New Roman"/>
          <w:szCs w:val="24"/>
          <w:u w:val="single"/>
        </w:rPr>
        <w:t>The Commission should reject Kroger</w:t>
      </w:r>
      <w:r w:rsidR="006F6CB0">
        <w:rPr>
          <w:rFonts w:ascii="Times New Roman" w:hAnsi="Times New Roman"/>
          <w:szCs w:val="24"/>
          <w:u w:val="single"/>
        </w:rPr>
        <w:t>’</w:t>
      </w:r>
      <w:r w:rsidR="00F707DC">
        <w:rPr>
          <w:rFonts w:ascii="Times New Roman" w:hAnsi="Times New Roman"/>
          <w:szCs w:val="24"/>
          <w:u w:val="single"/>
        </w:rPr>
        <w:t>s</w:t>
      </w:r>
      <w:r w:rsidR="00F87E49" w:rsidRPr="004B6D89">
        <w:rPr>
          <w:rFonts w:ascii="Times New Roman" w:hAnsi="Times New Roman"/>
          <w:szCs w:val="24"/>
          <w:u w:val="single"/>
        </w:rPr>
        <w:t xml:space="preserve"> request to change the ratemaking treatment of margins from economy energy/opportunity sales and market-based tariff sales</w:t>
      </w:r>
      <w:r w:rsidR="00F87E49">
        <w:rPr>
          <w:rFonts w:ascii="Times New Roman" w:hAnsi="Times New Roman"/>
          <w:szCs w:val="24"/>
        </w:rPr>
        <w:t>.</w:t>
      </w:r>
    </w:p>
    <w:bookmarkEnd w:id="35"/>
    <w:p w14:paraId="65629E14" w14:textId="602B5814" w:rsidR="00F87E49" w:rsidRDefault="00FE329F" w:rsidP="004A194C">
      <w:pPr>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Pr="00F87E49">
        <w:rPr>
          <w:rFonts w:ascii="Times New Roman" w:hAnsi="Times New Roman"/>
          <w:szCs w:val="24"/>
        </w:rPr>
        <w:t>Through the Company</w:t>
      </w:r>
      <w:r w:rsidR="006F6CB0">
        <w:rPr>
          <w:rFonts w:ascii="Times New Roman" w:hAnsi="Times New Roman"/>
          <w:szCs w:val="24"/>
        </w:rPr>
        <w:t>’</w:t>
      </w:r>
      <w:r w:rsidRPr="00F87E49">
        <w:rPr>
          <w:rFonts w:ascii="Times New Roman" w:hAnsi="Times New Roman"/>
          <w:szCs w:val="24"/>
        </w:rPr>
        <w:t xml:space="preserve">s efforts to pursue </w:t>
      </w:r>
      <w:r>
        <w:rPr>
          <w:rFonts w:ascii="Times New Roman" w:hAnsi="Times New Roman"/>
          <w:szCs w:val="24"/>
        </w:rPr>
        <w:t>off-system sales</w:t>
      </w:r>
      <w:r w:rsidRPr="00F87E49">
        <w:rPr>
          <w:rFonts w:ascii="Times New Roman" w:hAnsi="Times New Roman"/>
          <w:szCs w:val="24"/>
        </w:rPr>
        <w:t>, the Company has provided $19.7 million and $16.5 million to customers from economy energy sales and short-term capacity sales, respectively, in the last six years alone.</w:t>
      </w:r>
      <w:r>
        <w:rPr>
          <w:rFonts w:ascii="Times New Roman" w:hAnsi="Times New Roman"/>
          <w:szCs w:val="24"/>
        </w:rPr>
        <w:t xml:space="preserve"> </w:t>
      </w:r>
      <w:r w:rsidR="0074212A">
        <w:rPr>
          <w:rFonts w:ascii="Times New Roman" w:hAnsi="Times New Roman"/>
          <w:szCs w:val="24"/>
        </w:rPr>
        <w:t>(</w:t>
      </w:r>
      <w:r w:rsidR="00220CF6">
        <w:rPr>
          <w:rFonts w:ascii="Times New Roman" w:hAnsi="Times New Roman"/>
          <w:szCs w:val="24"/>
        </w:rPr>
        <w:t>Tr. 2662</w:t>
      </w:r>
      <w:r w:rsidR="0074212A">
        <w:rPr>
          <w:rFonts w:ascii="Times New Roman" w:hAnsi="Times New Roman"/>
          <w:szCs w:val="24"/>
        </w:rPr>
        <w:t xml:space="preserve">.) </w:t>
      </w:r>
      <w:r>
        <w:rPr>
          <w:rFonts w:ascii="Times New Roman" w:hAnsi="Times New Roman"/>
          <w:szCs w:val="24"/>
        </w:rPr>
        <w:t>Consistent with the Commission</w:t>
      </w:r>
      <w:r w:rsidR="006F6CB0">
        <w:rPr>
          <w:rFonts w:ascii="Times New Roman" w:hAnsi="Times New Roman"/>
          <w:szCs w:val="24"/>
        </w:rPr>
        <w:t>’</w:t>
      </w:r>
      <w:r>
        <w:rPr>
          <w:rFonts w:ascii="Times New Roman" w:hAnsi="Times New Roman"/>
          <w:szCs w:val="24"/>
        </w:rPr>
        <w:t>s orders</w:t>
      </w:r>
      <w:r w:rsidRPr="00F87E49">
        <w:rPr>
          <w:rFonts w:ascii="Times New Roman" w:hAnsi="Times New Roman"/>
          <w:szCs w:val="24"/>
        </w:rPr>
        <w:t xml:space="preserve"> in Docket Nos. 3840 and 18300</w:t>
      </w:r>
      <w:r>
        <w:rPr>
          <w:rFonts w:ascii="Times New Roman" w:hAnsi="Times New Roman"/>
          <w:szCs w:val="24"/>
        </w:rPr>
        <w:t>, t</w:t>
      </w:r>
      <w:r w:rsidR="00F87E49" w:rsidRPr="00F87E49">
        <w:rPr>
          <w:rFonts w:ascii="Times New Roman" w:hAnsi="Times New Roman"/>
          <w:szCs w:val="24"/>
        </w:rPr>
        <w:t xml:space="preserve">he Company currently shares with customers 75 percent of the profits related to economy energy sales and 80 percent of the profits from short-term capacity sales, respectively. </w:t>
      </w:r>
      <w:r w:rsidR="00220CF6">
        <w:rPr>
          <w:rFonts w:ascii="Times New Roman" w:hAnsi="Times New Roman"/>
          <w:szCs w:val="24"/>
        </w:rPr>
        <w:t>(</w:t>
      </w:r>
      <w:r w:rsidR="00220CF6" w:rsidRPr="00220CF6">
        <w:rPr>
          <w:rFonts w:ascii="Times New Roman" w:hAnsi="Times New Roman"/>
          <w:i/>
          <w:szCs w:val="24"/>
        </w:rPr>
        <w:t>Id</w:t>
      </w:r>
      <w:r w:rsidR="00220CF6">
        <w:rPr>
          <w:rFonts w:ascii="Times New Roman" w:hAnsi="Times New Roman"/>
          <w:szCs w:val="24"/>
        </w:rPr>
        <w:t>.)</w:t>
      </w:r>
      <w:r w:rsidR="0074212A">
        <w:rPr>
          <w:rFonts w:ascii="Times New Roman" w:hAnsi="Times New Roman"/>
          <w:szCs w:val="24"/>
        </w:rPr>
        <w:t xml:space="preserve"> </w:t>
      </w:r>
      <w:r w:rsidR="00F87E49" w:rsidRPr="00F87E49">
        <w:rPr>
          <w:rFonts w:ascii="Times New Roman" w:hAnsi="Times New Roman"/>
          <w:szCs w:val="24"/>
        </w:rPr>
        <w:t xml:space="preserve">This arrangement allows for an equitable sharing of the profits for the benefit of customers and the Company. </w:t>
      </w:r>
      <w:r w:rsidR="00294434">
        <w:rPr>
          <w:rFonts w:ascii="Times New Roman" w:hAnsi="Times New Roman"/>
          <w:szCs w:val="24"/>
        </w:rPr>
        <w:t>B</w:t>
      </w:r>
      <w:r w:rsidR="00294434" w:rsidRPr="00F87E49">
        <w:rPr>
          <w:rFonts w:ascii="Times New Roman" w:hAnsi="Times New Roman"/>
          <w:szCs w:val="24"/>
        </w:rPr>
        <w:t>y allowing the Company to retain a percentage of the profits, both customers and the Company benefit from the Company</w:t>
      </w:r>
      <w:r w:rsidR="006F6CB0">
        <w:rPr>
          <w:rFonts w:ascii="Times New Roman" w:hAnsi="Times New Roman"/>
          <w:szCs w:val="24"/>
        </w:rPr>
        <w:t>’</w:t>
      </w:r>
      <w:r w:rsidR="00294434" w:rsidRPr="00F87E49">
        <w:rPr>
          <w:rFonts w:ascii="Times New Roman" w:hAnsi="Times New Roman"/>
          <w:szCs w:val="24"/>
        </w:rPr>
        <w:t xml:space="preserve">s efforts to maximize profit </w:t>
      </w:r>
      <w:r w:rsidR="00294434" w:rsidRPr="00F87E49">
        <w:rPr>
          <w:rFonts w:ascii="Times New Roman" w:hAnsi="Times New Roman"/>
          <w:szCs w:val="24"/>
        </w:rPr>
        <w:lastRenderedPageBreak/>
        <w:t>in pursuing these sales.</w:t>
      </w:r>
      <w:r w:rsidR="00294434">
        <w:rPr>
          <w:rFonts w:ascii="Times New Roman" w:hAnsi="Times New Roman"/>
          <w:szCs w:val="24"/>
        </w:rPr>
        <w:t xml:space="preserve"> Therefore, t</w:t>
      </w:r>
      <w:r w:rsidR="004A194C">
        <w:rPr>
          <w:rFonts w:ascii="Times New Roman" w:hAnsi="Times New Roman"/>
          <w:szCs w:val="24"/>
        </w:rPr>
        <w:t>he Commission should reject Kroger</w:t>
      </w:r>
      <w:r w:rsidR="006F6CB0">
        <w:rPr>
          <w:rFonts w:ascii="Times New Roman" w:hAnsi="Times New Roman"/>
          <w:szCs w:val="24"/>
        </w:rPr>
        <w:t>’</w:t>
      </w:r>
      <w:r w:rsidR="004A194C">
        <w:rPr>
          <w:rFonts w:ascii="Times New Roman" w:hAnsi="Times New Roman"/>
          <w:szCs w:val="24"/>
        </w:rPr>
        <w:t>s proposal to credit customers with 100% of the projected test year revenues from economy energy/opportunity sales and market-based tariff sales</w:t>
      </w:r>
      <w:r w:rsidR="006957E6">
        <w:rPr>
          <w:rFonts w:ascii="Times New Roman" w:hAnsi="Times New Roman"/>
          <w:szCs w:val="24"/>
        </w:rPr>
        <w:t>, which would remove the Company</w:t>
      </w:r>
      <w:r w:rsidR="006F6CB0">
        <w:rPr>
          <w:rFonts w:ascii="Times New Roman" w:hAnsi="Times New Roman"/>
          <w:szCs w:val="24"/>
        </w:rPr>
        <w:t>’</w:t>
      </w:r>
      <w:r w:rsidR="006957E6">
        <w:rPr>
          <w:rFonts w:ascii="Times New Roman" w:hAnsi="Times New Roman"/>
          <w:szCs w:val="24"/>
        </w:rPr>
        <w:t xml:space="preserve">s incentive to maximize </w:t>
      </w:r>
      <w:r w:rsidR="00625744">
        <w:rPr>
          <w:rFonts w:ascii="Times New Roman" w:hAnsi="Times New Roman"/>
          <w:szCs w:val="24"/>
        </w:rPr>
        <w:t>margins</w:t>
      </w:r>
      <w:r w:rsidR="006957E6">
        <w:rPr>
          <w:rFonts w:ascii="Times New Roman" w:hAnsi="Times New Roman"/>
          <w:szCs w:val="24"/>
        </w:rPr>
        <w:t xml:space="preserve"> through these off-system sales.</w:t>
      </w:r>
      <w:r w:rsidR="004A194C">
        <w:rPr>
          <w:rFonts w:ascii="Times New Roman" w:hAnsi="Times New Roman"/>
          <w:szCs w:val="24"/>
        </w:rPr>
        <w:t xml:space="preserve"> </w:t>
      </w:r>
    </w:p>
    <w:p w14:paraId="6AD80B8D" w14:textId="3E59132F" w:rsidR="00186C1F" w:rsidRDefault="00533458" w:rsidP="00263E8D">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36" w:name="_Hlk26111794"/>
      <w:r>
        <w:rPr>
          <w:rFonts w:ascii="Times New Roman" w:hAnsi="Times New Roman"/>
          <w:szCs w:val="24"/>
        </w:rPr>
        <w:t>1</w:t>
      </w:r>
      <w:r w:rsidR="00B13352">
        <w:rPr>
          <w:rFonts w:ascii="Times New Roman" w:hAnsi="Times New Roman"/>
          <w:szCs w:val="24"/>
        </w:rPr>
        <w:t>4</w:t>
      </w:r>
      <w:r>
        <w:rPr>
          <w:rFonts w:ascii="Times New Roman" w:hAnsi="Times New Roman"/>
          <w:szCs w:val="24"/>
        </w:rPr>
        <w:t>.</w:t>
      </w:r>
      <w:r>
        <w:rPr>
          <w:rFonts w:ascii="Times New Roman" w:hAnsi="Times New Roman"/>
          <w:szCs w:val="24"/>
        </w:rPr>
        <w:tab/>
      </w:r>
      <w:r w:rsidR="00BA37DA" w:rsidRPr="004B6D89">
        <w:rPr>
          <w:rFonts w:ascii="Times New Roman" w:hAnsi="Times New Roman"/>
          <w:szCs w:val="24"/>
          <w:u w:val="single"/>
        </w:rPr>
        <w:t>The Commission should approve the Company</w:t>
      </w:r>
      <w:r w:rsidR="006F6CB0">
        <w:rPr>
          <w:rFonts w:ascii="Times New Roman" w:hAnsi="Times New Roman"/>
          <w:szCs w:val="24"/>
          <w:u w:val="single"/>
        </w:rPr>
        <w:t>’</w:t>
      </w:r>
      <w:r w:rsidR="00BA37DA" w:rsidRPr="004B6D89">
        <w:rPr>
          <w:rFonts w:ascii="Times New Roman" w:hAnsi="Times New Roman"/>
          <w:szCs w:val="24"/>
          <w:u w:val="single"/>
        </w:rPr>
        <w:t>s proposed amortization of the remaining net book value of units retired in the 2019</w:t>
      </w:r>
      <w:r w:rsidR="00160321">
        <w:rPr>
          <w:rFonts w:ascii="Times New Roman" w:hAnsi="Times New Roman"/>
          <w:szCs w:val="24"/>
          <w:u w:val="single"/>
        </w:rPr>
        <w:t xml:space="preserve"> IRP</w:t>
      </w:r>
      <w:r w:rsidR="00BA37DA" w:rsidRPr="004B6D89">
        <w:rPr>
          <w:rFonts w:ascii="Times New Roman" w:hAnsi="Times New Roman"/>
          <w:szCs w:val="24"/>
          <w:u w:val="single"/>
        </w:rPr>
        <w:t>, which is consistent with the Company</w:t>
      </w:r>
      <w:r w:rsidR="006F6CB0">
        <w:rPr>
          <w:rFonts w:ascii="Times New Roman" w:hAnsi="Times New Roman"/>
          <w:szCs w:val="24"/>
          <w:u w:val="single"/>
        </w:rPr>
        <w:t>’</w:t>
      </w:r>
      <w:r w:rsidR="00BA37DA" w:rsidRPr="004B6D89">
        <w:rPr>
          <w:rFonts w:ascii="Times New Roman" w:hAnsi="Times New Roman"/>
          <w:szCs w:val="24"/>
          <w:u w:val="single"/>
        </w:rPr>
        <w:t>s treatment of other regulatory assets and liabilities</w:t>
      </w:r>
      <w:r w:rsidR="00BA37DA">
        <w:rPr>
          <w:rFonts w:ascii="Times New Roman" w:hAnsi="Times New Roman"/>
          <w:szCs w:val="24"/>
        </w:rPr>
        <w:t>.</w:t>
      </w:r>
    </w:p>
    <w:bookmarkEnd w:id="36"/>
    <w:p w14:paraId="4348F0C5" w14:textId="756B0F54" w:rsidR="00BA37DA" w:rsidRDefault="006957E6" w:rsidP="00845BC6">
      <w:pPr>
        <w:keepNext/>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00BA37DA" w:rsidRPr="00BA37DA" w:rsidDel="000A3A15">
        <w:rPr>
          <w:rFonts w:ascii="Times New Roman" w:hAnsi="Times New Roman"/>
          <w:szCs w:val="24"/>
        </w:rPr>
        <w:t xml:space="preserve">With the exception of Plant Hammond, the Company has proposed a three-year recovery of these regulatory assets to match the three-year ARP proposed by the Company. </w:t>
      </w:r>
      <w:r w:rsidR="0074212A">
        <w:rPr>
          <w:rFonts w:ascii="Times New Roman" w:hAnsi="Times New Roman"/>
          <w:szCs w:val="24"/>
        </w:rPr>
        <w:t>(</w:t>
      </w:r>
      <w:r w:rsidR="00050541">
        <w:rPr>
          <w:rFonts w:ascii="Times New Roman" w:hAnsi="Times New Roman"/>
          <w:szCs w:val="24"/>
        </w:rPr>
        <w:t>Tr. 184, 2663</w:t>
      </w:r>
      <w:r w:rsidR="0074212A">
        <w:rPr>
          <w:rFonts w:ascii="Times New Roman" w:hAnsi="Times New Roman"/>
          <w:szCs w:val="24"/>
        </w:rPr>
        <w:t xml:space="preserve">.) </w:t>
      </w:r>
      <w:r w:rsidR="00BA37DA" w:rsidRPr="00BA37DA" w:rsidDel="000A3A15">
        <w:rPr>
          <w:rFonts w:ascii="Times New Roman" w:hAnsi="Times New Roman"/>
          <w:szCs w:val="24"/>
        </w:rPr>
        <w:t>The three-year amortization period provides the Company timely recovery of these costs, which has a positive impact on the Company</w:t>
      </w:r>
      <w:r w:rsidR="006F6CB0">
        <w:rPr>
          <w:rFonts w:ascii="Times New Roman" w:hAnsi="Times New Roman"/>
          <w:szCs w:val="24"/>
        </w:rPr>
        <w:t>’</w:t>
      </w:r>
      <w:r w:rsidR="00BA37DA" w:rsidRPr="00BA37DA" w:rsidDel="000A3A15">
        <w:rPr>
          <w:rFonts w:ascii="Times New Roman" w:hAnsi="Times New Roman"/>
          <w:szCs w:val="24"/>
        </w:rPr>
        <w:t>s credit metrics while reducing the financing costs for customers.</w:t>
      </w:r>
      <w:r>
        <w:rPr>
          <w:rFonts w:ascii="Times New Roman" w:hAnsi="Times New Roman"/>
          <w:szCs w:val="24"/>
        </w:rPr>
        <w:t xml:space="preserve"> For Plant Hammond, </w:t>
      </w:r>
      <w:r w:rsidR="00BA37DA" w:rsidRPr="00BA37DA" w:rsidDel="000A3A15">
        <w:rPr>
          <w:rFonts w:ascii="Times New Roman" w:hAnsi="Times New Roman"/>
          <w:szCs w:val="24"/>
        </w:rPr>
        <w:t>the Company proposed the remaining net book value be recovered over the lives of the units as approved in the 2013 Rate Case Order</w:t>
      </w:r>
      <w:r>
        <w:rPr>
          <w:rFonts w:ascii="Times New Roman" w:hAnsi="Times New Roman"/>
          <w:szCs w:val="24"/>
        </w:rPr>
        <w:t xml:space="preserve"> i</w:t>
      </w:r>
      <w:r w:rsidRPr="00BA37DA" w:rsidDel="000A3A15">
        <w:rPr>
          <w:rFonts w:ascii="Times New Roman" w:hAnsi="Times New Roman"/>
          <w:szCs w:val="24"/>
        </w:rPr>
        <w:t>n order to mitigate the rate impact to customers</w:t>
      </w:r>
      <w:r>
        <w:rPr>
          <w:rFonts w:ascii="Times New Roman" w:hAnsi="Times New Roman"/>
          <w:szCs w:val="24"/>
        </w:rPr>
        <w:t xml:space="preserve">. </w:t>
      </w:r>
      <w:r w:rsidR="0074212A">
        <w:rPr>
          <w:rFonts w:ascii="Times New Roman" w:hAnsi="Times New Roman"/>
          <w:szCs w:val="24"/>
        </w:rPr>
        <w:t>(</w:t>
      </w:r>
      <w:r w:rsidR="00050541">
        <w:rPr>
          <w:rFonts w:ascii="Times New Roman" w:hAnsi="Times New Roman"/>
          <w:szCs w:val="24"/>
        </w:rPr>
        <w:t>Tr. 2663</w:t>
      </w:r>
      <w:r w:rsidR="0074212A">
        <w:rPr>
          <w:rFonts w:ascii="Times New Roman" w:hAnsi="Times New Roman"/>
          <w:szCs w:val="24"/>
        </w:rPr>
        <w:t xml:space="preserve">.) </w:t>
      </w:r>
      <w:r>
        <w:rPr>
          <w:rFonts w:ascii="Times New Roman" w:hAnsi="Times New Roman"/>
          <w:szCs w:val="24"/>
        </w:rPr>
        <w:t xml:space="preserve">These proposed amortization periods are consistent with </w:t>
      </w:r>
      <w:r w:rsidR="00A7686B">
        <w:rPr>
          <w:rFonts w:ascii="Times New Roman" w:hAnsi="Times New Roman"/>
          <w:szCs w:val="24"/>
        </w:rPr>
        <w:t>the other regulatory assets and liabilities</w:t>
      </w:r>
      <w:r w:rsidR="00091272">
        <w:rPr>
          <w:rFonts w:ascii="Times New Roman" w:hAnsi="Times New Roman"/>
          <w:szCs w:val="24"/>
        </w:rPr>
        <w:t xml:space="preserve"> (</w:t>
      </w:r>
      <w:r w:rsidR="0051715A" w:rsidRPr="0051715A">
        <w:rPr>
          <w:rFonts w:ascii="Times New Roman" w:hAnsi="Times New Roman"/>
          <w:i/>
          <w:szCs w:val="24"/>
        </w:rPr>
        <w:t>i</w:t>
      </w:r>
      <w:r w:rsidR="00091272" w:rsidRPr="00091272">
        <w:rPr>
          <w:rFonts w:ascii="Times New Roman" w:hAnsi="Times New Roman"/>
          <w:i/>
          <w:szCs w:val="24"/>
        </w:rPr>
        <w:t>d</w:t>
      </w:r>
      <w:r w:rsidR="00091272">
        <w:rPr>
          <w:rFonts w:ascii="Times New Roman" w:hAnsi="Times New Roman"/>
          <w:szCs w:val="24"/>
        </w:rPr>
        <w:t xml:space="preserve">.) </w:t>
      </w:r>
      <w:r w:rsidR="00A7686B">
        <w:rPr>
          <w:rFonts w:ascii="Times New Roman" w:hAnsi="Times New Roman"/>
          <w:szCs w:val="24"/>
        </w:rPr>
        <w:t>and PIA Staff</w:t>
      </w:r>
      <w:r w:rsidR="00E960A0">
        <w:rPr>
          <w:rFonts w:ascii="Times New Roman" w:hAnsi="Times New Roman"/>
          <w:szCs w:val="24"/>
        </w:rPr>
        <w:t xml:space="preserve"> did not object to the Company</w:t>
      </w:r>
      <w:r w:rsidR="006F6CB0">
        <w:rPr>
          <w:rFonts w:ascii="Times New Roman" w:hAnsi="Times New Roman"/>
          <w:szCs w:val="24"/>
        </w:rPr>
        <w:t>’</w:t>
      </w:r>
      <w:r w:rsidR="00E960A0">
        <w:rPr>
          <w:rFonts w:ascii="Times New Roman" w:hAnsi="Times New Roman"/>
          <w:szCs w:val="24"/>
        </w:rPr>
        <w:t>s proposal</w:t>
      </w:r>
      <w:r w:rsidR="00A7686B">
        <w:rPr>
          <w:rFonts w:ascii="Times New Roman" w:hAnsi="Times New Roman"/>
          <w:szCs w:val="24"/>
        </w:rPr>
        <w:t xml:space="preserve">. </w:t>
      </w:r>
      <w:r w:rsidR="00E960A0">
        <w:rPr>
          <w:rFonts w:ascii="Times New Roman" w:hAnsi="Times New Roman"/>
          <w:szCs w:val="24"/>
        </w:rPr>
        <w:t>The</w:t>
      </w:r>
      <w:r w:rsidR="00A7686B">
        <w:rPr>
          <w:rFonts w:ascii="Times New Roman" w:hAnsi="Times New Roman"/>
          <w:szCs w:val="24"/>
        </w:rPr>
        <w:t xml:space="preserve"> Commission should reject</w:t>
      </w:r>
      <w:r w:rsidR="00E960A0">
        <w:rPr>
          <w:rFonts w:ascii="Times New Roman" w:hAnsi="Times New Roman"/>
          <w:szCs w:val="24"/>
        </w:rPr>
        <w:t xml:space="preserve"> as unnecessary</w:t>
      </w:r>
      <w:r w:rsidR="00A7686B">
        <w:rPr>
          <w:rFonts w:ascii="Times New Roman" w:hAnsi="Times New Roman"/>
          <w:szCs w:val="24"/>
        </w:rPr>
        <w:t xml:space="preserve"> GIG/GAM</w:t>
      </w:r>
      <w:r w:rsidR="00160321">
        <w:rPr>
          <w:rFonts w:ascii="Times New Roman" w:hAnsi="Times New Roman"/>
          <w:szCs w:val="24"/>
        </w:rPr>
        <w:t>’s</w:t>
      </w:r>
      <w:r w:rsidR="00A7686B">
        <w:rPr>
          <w:rFonts w:ascii="Times New Roman" w:hAnsi="Times New Roman"/>
          <w:szCs w:val="24"/>
        </w:rPr>
        <w:t xml:space="preserve"> recommendations to extend the amortization period for </w:t>
      </w:r>
      <w:r w:rsidR="00E960A0">
        <w:rPr>
          <w:rFonts w:ascii="Times New Roman" w:hAnsi="Times New Roman"/>
          <w:szCs w:val="24"/>
        </w:rPr>
        <w:t>the remaining net book values of the retired units approved in the 2019 IRP from three years to the useful lives of the assets approved in the 2013 rate case. If</w:t>
      </w:r>
      <w:r w:rsidR="00E960A0" w:rsidRPr="00BA37DA">
        <w:rPr>
          <w:rFonts w:ascii="Times New Roman" w:hAnsi="Times New Roman"/>
          <w:szCs w:val="24"/>
        </w:rPr>
        <w:t xml:space="preserve"> the Commission </w:t>
      </w:r>
      <w:r w:rsidR="00E960A0">
        <w:rPr>
          <w:rFonts w:ascii="Times New Roman" w:hAnsi="Times New Roman"/>
          <w:szCs w:val="24"/>
        </w:rPr>
        <w:t xml:space="preserve">should </w:t>
      </w:r>
      <w:r w:rsidR="00E960A0" w:rsidRPr="00BA37DA">
        <w:rPr>
          <w:rFonts w:ascii="Times New Roman" w:hAnsi="Times New Roman"/>
          <w:szCs w:val="24"/>
        </w:rPr>
        <w:t>decide to amortize the regulatory assets over a longer period, the Company requests similar treatment for the regulatory liability (tax reform)</w:t>
      </w:r>
      <w:r w:rsidR="00E960A0" w:rsidRPr="00E960A0">
        <w:rPr>
          <w:rFonts w:ascii="Times New Roman" w:hAnsi="Times New Roman"/>
          <w:szCs w:val="24"/>
        </w:rPr>
        <w:t xml:space="preserve"> </w:t>
      </w:r>
      <w:r w:rsidR="00E960A0" w:rsidRPr="00BA37DA">
        <w:rPr>
          <w:rFonts w:ascii="Times New Roman" w:hAnsi="Times New Roman"/>
          <w:szCs w:val="24"/>
        </w:rPr>
        <w:t xml:space="preserve">to ensure that cash flow and </w:t>
      </w:r>
      <w:r w:rsidR="00E960A0" w:rsidRPr="00BA37DA">
        <w:rPr>
          <w:rFonts w:ascii="Times New Roman" w:hAnsi="Times New Roman"/>
          <w:szCs w:val="24"/>
        </w:rPr>
        <w:lastRenderedPageBreak/>
        <w:t>credit quality do not suffer from asymmetric treatment</w:t>
      </w:r>
      <w:r w:rsidR="00E960A0" w:rsidRPr="00E960A0">
        <w:rPr>
          <w:rFonts w:ascii="Times New Roman" w:hAnsi="Times New Roman"/>
          <w:szCs w:val="24"/>
        </w:rPr>
        <w:t xml:space="preserve"> </w:t>
      </w:r>
      <w:r w:rsidR="00E960A0" w:rsidRPr="00BA37DA">
        <w:rPr>
          <w:rFonts w:ascii="Times New Roman" w:hAnsi="Times New Roman"/>
          <w:szCs w:val="24"/>
        </w:rPr>
        <w:t>of the Company</w:t>
      </w:r>
      <w:r w:rsidR="006F6CB0">
        <w:rPr>
          <w:rFonts w:ascii="Times New Roman" w:hAnsi="Times New Roman"/>
          <w:szCs w:val="24"/>
        </w:rPr>
        <w:t>’</w:t>
      </w:r>
      <w:r w:rsidR="00E960A0" w:rsidRPr="00BA37DA">
        <w:rPr>
          <w:rFonts w:ascii="Times New Roman" w:hAnsi="Times New Roman"/>
          <w:szCs w:val="24"/>
        </w:rPr>
        <w:t>s regulatory assets and regulatory liabilities.</w:t>
      </w:r>
    </w:p>
    <w:p w14:paraId="679AB08E" w14:textId="4CF3872C" w:rsidR="00AC4EED" w:rsidRPr="00AC4EED" w:rsidRDefault="00FA4216" w:rsidP="00FA4216">
      <w:pPr>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37" w:name="_Hlk26111803"/>
      <w:bookmarkStart w:id="38" w:name="_Hlk11223147"/>
      <w:r w:rsidRPr="00FA4216">
        <w:rPr>
          <w:rFonts w:ascii="Times New Roman" w:hAnsi="Times New Roman"/>
          <w:b/>
          <w:szCs w:val="24"/>
        </w:rPr>
        <w:t>F.</w:t>
      </w:r>
      <w:r w:rsidRPr="00FA4216">
        <w:rPr>
          <w:rFonts w:ascii="Times New Roman" w:hAnsi="Times New Roman"/>
          <w:b/>
          <w:szCs w:val="24"/>
        </w:rPr>
        <w:tab/>
      </w:r>
      <w:r w:rsidR="00AC4EED" w:rsidRPr="00AC4EED">
        <w:rPr>
          <w:rFonts w:ascii="Times New Roman" w:hAnsi="Times New Roman"/>
          <w:b/>
          <w:szCs w:val="24"/>
        </w:rPr>
        <w:t>The Minimum Distribution System is an Appropriate and Equitable Method to Classify Customer</w:t>
      </w:r>
      <w:r w:rsidR="00160321">
        <w:rPr>
          <w:rFonts w:ascii="Times New Roman" w:hAnsi="Times New Roman"/>
          <w:b/>
          <w:szCs w:val="24"/>
        </w:rPr>
        <w:t>-</w:t>
      </w:r>
      <w:r w:rsidR="00AC4EED" w:rsidRPr="00AC4EED">
        <w:rPr>
          <w:rFonts w:ascii="Times New Roman" w:hAnsi="Times New Roman"/>
          <w:b/>
          <w:szCs w:val="24"/>
        </w:rPr>
        <w:t>Related Costs in the Cost of Service Study</w:t>
      </w:r>
      <w:r>
        <w:rPr>
          <w:rFonts w:ascii="Times New Roman" w:hAnsi="Times New Roman"/>
          <w:b/>
          <w:szCs w:val="24"/>
        </w:rPr>
        <w:t xml:space="preserve"> (“COSS”)</w:t>
      </w:r>
      <w:r w:rsidR="00AC4EED" w:rsidRPr="00AC4EED">
        <w:rPr>
          <w:rFonts w:ascii="Times New Roman" w:hAnsi="Times New Roman"/>
          <w:b/>
          <w:szCs w:val="24"/>
        </w:rPr>
        <w:t xml:space="preserve">. </w:t>
      </w:r>
    </w:p>
    <w:bookmarkEnd w:id="37"/>
    <w:p w14:paraId="34742C7A" w14:textId="5E485FCB" w:rsidR="00AC4EED" w:rsidRPr="00AC4EED" w:rsidRDefault="00FA4216" w:rsidP="00F74DDA">
      <w:pPr>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00AC4EED" w:rsidRPr="00AC4EED">
        <w:rPr>
          <w:rFonts w:ascii="Times New Roman" w:hAnsi="Times New Roman"/>
          <w:szCs w:val="24"/>
        </w:rPr>
        <w:t xml:space="preserve">Consistent with cost causation principles, the Company used </w:t>
      </w:r>
      <w:r w:rsidR="00222D6C">
        <w:rPr>
          <w:rFonts w:ascii="Times New Roman" w:hAnsi="Times New Roman"/>
          <w:szCs w:val="24"/>
        </w:rPr>
        <w:t>the</w:t>
      </w:r>
      <w:r w:rsidR="00222D6C" w:rsidRPr="00AC4EED">
        <w:rPr>
          <w:rFonts w:ascii="Times New Roman" w:hAnsi="Times New Roman"/>
          <w:szCs w:val="24"/>
        </w:rPr>
        <w:t xml:space="preserve"> </w:t>
      </w:r>
      <w:r w:rsidR="00AC4EED" w:rsidRPr="00AC4EED">
        <w:rPr>
          <w:rFonts w:ascii="Times New Roman" w:hAnsi="Times New Roman"/>
          <w:szCs w:val="24"/>
        </w:rPr>
        <w:t xml:space="preserve">minimum distribution system (“MDS”) </w:t>
      </w:r>
      <w:r w:rsidR="00222D6C">
        <w:rPr>
          <w:rFonts w:ascii="Times New Roman" w:hAnsi="Times New Roman"/>
          <w:szCs w:val="24"/>
        </w:rPr>
        <w:t>methodology in its COSS</w:t>
      </w:r>
      <w:r w:rsidR="00222D6C" w:rsidRPr="00AC4EED">
        <w:rPr>
          <w:rFonts w:ascii="Times New Roman" w:hAnsi="Times New Roman"/>
          <w:szCs w:val="24"/>
        </w:rPr>
        <w:t xml:space="preserve"> </w:t>
      </w:r>
      <w:r w:rsidR="00AC4EED" w:rsidRPr="00AC4EED">
        <w:rPr>
          <w:rFonts w:ascii="Times New Roman" w:hAnsi="Times New Roman"/>
          <w:szCs w:val="24"/>
        </w:rPr>
        <w:t xml:space="preserve">to separate customer-related distribution system costs from demand-related costs customers place on the system. (Tr. 599.) For decades, Georgia Power cost of service studies have relied upon MDS, a widely accepted cost </w:t>
      </w:r>
      <w:r w:rsidR="001828AA">
        <w:rPr>
          <w:rFonts w:ascii="Times New Roman" w:hAnsi="Times New Roman"/>
          <w:szCs w:val="24"/>
        </w:rPr>
        <w:t>classification</w:t>
      </w:r>
      <w:r w:rsidR="001828AA" w:rsidRPr="00AC4EED">
        <w:rPr>
          <w:rFonts w:ascii="Times New Roman" w:hAnsi="Times New Roman"/>
          <w:szCs w:val="24"/>
        </w:rPr>
        <w:t xml:space="preserve"> </w:t>
      </w:r>
      <w:r w:rsidR="00AC4EED" w:rsidRPr="00AC4EED">
        <w:rPr>
          <w:rFonts w:ascii="Times New Roman" w:hAnsi="Times New Roman"/>
          <w:szCs w:val="24"/>
        </w:rPr>
        <w:t xml:space="preserve">methodology, as a key input in cost of service studies and an MDS analysis has been included in parity calculations among rates and rate groups subsequently considered in any corresponding rate adjustments for </w:t>
      </w:r>
      <w:r w:rsidR="00625744">
        <w:rPr>
          <w:rFonts w:ascii="Times New Roman" w:hAnsi="Times New Roman"/>
          <w:szCs w:val="24"/>
        </w:rPr>
        <w:t>more than</w:t>
      </w:r>
      <w:r w:rsidR="00AC4EED" w:rsidRPr="00AC4EED">
        <w:rPr>
          <w:rFonts w:ascii="Times New Roman" w:hAnsi="Times New Roman"/>
          <w:szCs w:val="24"/>
        </w:rPr>
        <w:t xml:space="preserve"> 30 years. (Tr. 603.) </w:t>
      </w:r>
      <w:r w:rsidR="00F74DDA" w:rsidRPr="00F74DDA">
        <w:rPr>
          <w:rFonts w:ascii="Times New Roman" w:hAnsi="Times New Roman"/>
          <w:szCs w:val="24"/>
        </w:rPr>
        <w:t xml:space="preserve">As Company </w:t>
      </w:r>
      <w:r w:rsidR="002C10EC">
        <w:rPr>
          <w:rFonts w:ascii="Times New Roman" w:hAnsi="Times New Roman"/>
          <w:szCs w:val="24"/>
        </w:rPr>
        <w:t>W</w:t>
      </w:r>
      <w:r w:rsidR="00F74DDA" w:rsidRPr="00F74DDA">
        <w:rPr>
          <w:rFonts w:ascii="Times New Roman" w:hAnsi="Times New Roman"/>
          <w:szCs w:val="24"/>
        </w:rPr>
        <w:t>itness Vogt highlighted, “MDS is only about providing an appropriate utilization voltage at the point in which a customer connects to the distribution system, and costs are incurred to provide a customer with such access.” (Tr.</w:t>
      </w:r>
      <w:r w:rsidR="00263E8D">
        <w:rPr>
          <w:rFonts w:ascii="Times New Roman" w:hAnsi="Times New Roman"/>
          <w:szCs w:val="24"/>
        </w:rPr>
        <w:t> </w:t>
      </w:r>
      <w:r w:rsidR="00F74DDA" w:rsidRPr="00F74DDA">
        <w:rPr>
          <w:rFonts w:ascii="Times New Roman" w:hAnsi="Times New Roman"/>
          <w:szCs w:val="24"/>
        </w:rPr>
        <w:t>600.)</w:t>
      </w:r>
      <w:r w:rsidR="00F74DDA">
        <w:rPr>
          <w:rFonts w:ascii="Times New Roman" w:hAnsi="Times New Roman"/>
          <w:szCs w:val="24"/>
        </w:rPr>
        <w:t xml:space="preserve"> </w:t>
      </w:r>
      <w:r w:rsidR="00EF0300">
        <w:rPr>
          <w:rFonts w:ascii="Times New Roman" w:hAnsi="Times New Roman"/>
          <w:szCs w:val="24"/>
        </w:rPr>
        <w:t>I</w:t>
      </w:r>
      <w:r w:rsidR="00AC4EED" w:rsidRPr="00AC4EED">
        <w:rPr>
          <w:rFonts w:ascii="Times New Roman" w:hAnsi="Times New Roman"/>
          <w:szCs w:val="24"/>
        </w:rPr>
        <w:t xml:space="preserve">t is appropriate to continue employing MDS to classify customer-related costs as it yields a fair and equitable assignment of costs to customers. </w:t>
      </w:r>
    </w:p>
    <w:p w14:paraId="67DB0595" w14:textId="4D31B1E6" w:rsidR="00AC4EED" w:rsidRPr="00AC4EED" w:rsidRDefault="00FA4216" w:rsidP="00263E8D">
      <w:pPr>
        <w:widowControl/>
        <w:tabs>
          <w:tab w:val="left" w:pos="720"/>
        </w:tabs>
        <w:overflowPunct/>
        <w:autoSpaceDE/>
        <w:autoSpaceDN/>
        <w:adjustRightInd/>
        <w:spacing w:before="240" w:after="240"/>
        <w:ind w:left="1440" w:hanging="1440"/>
        <w:jc w:val="both"/>
        <w:textAlignment w:val="auto"/>
        <w:rPr>
          <w:rFonts w:ascii="Times New Roman" w:hAnsi="Times New Roman"/>
          <w:szCs w:val="24"/>
        </w:rPr>
      </w:pPr>
      <w:bookmarkStart w:id="39" w:name="_Hlk26111809"/>
      <w:bookmarkEnd w:id="38"/>
      <w:r>
        <w:rPr>
          <w:rFonts w:ascii="Times New Roman" w:hAnsi="Times New Roman"/>
          <w:szCs w:val="24"/>
        </w:rPr>
        <w:tab/>
        <w:t>1.</w:t>
      </w:r>
      <w:r>
        <w:rPr>
          <w:rFonts w:ascii="Times New Roman" w:hAnsi="Times New Roman"/>
          <w:szCs w:val="24"/>
        </w:rPr>
        <w:tab/>
      </w:r>
      <w:r w:rsidR="00AC4EED" w:rsidRPr="00AC4EED">
        <w:rPr>
          <w:rFonts w:ascii="Times New Roman" w:hAnsi="Times New Roman"/>
          <w:szCs w:val="24"/>
          <w:u w:val="single"/>
        </w:rPr>
        <w:t>MDS is more comprehensive than the Basic Customer Method advocated by parties in this case</w:t>
      </w:r>
      <w:r w:rsidR="00AC4EED" w:rsidRPr="00AC4EED">
        <w:rPr>
          <w:rFonts w:ascii="Times New Roman" w:hAnsi="Times New Roman"/>
          <w:szCs w:val="24"/>
        </w:rPr>
        <w:t>.</w:t>
      </w:r>
    </w:p>
    <w:bookmarkEnd w:id="39"/>
    <w:p w14:paraId="587206FC" w14:textId="5AE72491" w:rsidR="00AC4EED" w:rsidRPr="00AC4EED" w:rsidRDefault="00FA4216" w:rsidP="00F74DDA">
      <w:pPr>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00AC4EED" w:rsidRPr="00AC4EED">
        <w:rPr>
          <w:rFonts w:ascii="Times New Roman" w:hAnsi="Times New Roman"/>
          <w:szCs w:val="24"/>
        </w:rPr>
        <w:t>The Basic Customer Method</w:t>
      </w:r>
      <w:r w:rsidR="00222D6C">
        <w:rPr>
          <w:rFonts w:ascii="Times New Roman" w:hAnsi="Times New Roman"/>
          <w:szCs w:val="24"/>
        </w:rPr>
        <w:t xml:space="preserve"> recommended by PIA Staff and certain Intervenors</w:t>
      </w:r>
      <w:r w:rsidR="00AC4EED" w:rsidRPr="00AC4EED">
        <w:rPr>
          <w:rFonts w:ascii="Times New Roman" w:hAnsi="Times New Roman"/>
          <w:szCs w:val="24"/>
        </w:rPr>
        <w:t xml:space="preserve"> only includes a portion of the costs that should be assigned as customer-related. In addition to the costs identified using the Basic Customer Method, MDS also includes the cost of equipment necessary to provide safe and reliable service</w:t>
      </w:r>
      <w:r w:rsidR="00F74DDA">
        <w:rPr>
          <w:rFonts w:ascii="Times New Roman" w:hAnsi="Times New Roman"/>
          <w:szCs w:val="24"/>
        </w:rPr>
        <w:t xml:space="preserve">, which </w:t>
      </w:r>
      <w:r w:rsidR="00AC4EED" w:rsidRPr="00AC4EED">
        <w:rPr>
          <w:rFonts w:ascii="Times New Roman" w:hAnsi="Times New Roman"/>
          <w:szCs w:val="24"/>
        </w:rPr>
        <w:t>is not based on a customer</w:t>
      </w:r>
      <w:r w:rsidR="006F6CB0">
        <w:rPr>
          <w:rFonts w:ascii="Times New Roman" w:hAnsi="Times New Roman"/>
          <w:szCs w:val="24"/>
        </w:rPr>
        <w:t>’</w:t>
      </w:r>
      <w:r w:rsidR="00AC4EED" w:rsidRPr="00AC4EED">
        <w:rPr>
          <w:rFonts w:ascii="Times New Roman" w:hAnsi="Times New Roman"/>
          <w:szCs w:val="24"/>
        </w:rPr>
        <w:t xml:space="preserve">s demand and should be </w:t>
      </w:r>
      <w:r w:rsidR="001828AA">
        <w:rPr>
          <w:rFonts w:ascii="Times New Roman" w:hAnsi="Times New Roman"/>
          <w:szCs w:val="24"/>
        </w:rPr>
        <w:t>classified</w:t>
      </w:r>
      <w:r w:rsidR="001828AA" w:rsidRPr="00AC4EED">
        <w:rPr>
          <w:rFonts w:ascii="Times New Roman" w:hAnsi="Times New Roman"/>
          <w:szCs w:val="24"/>
        </w:rPr>
        <w:t xml:space="preserve"> </w:t>
      </w:r>
      <w:r w:rsidR="00AC4EED" w:rsidRPr="00AC4EED">
        <w:rPr>
          <w:rFonts w:ascii="Times New Roman" w:hAnsi="Times New Roman"/>
          <w:szCs w:val="24"/>
        </w:rPr>
        <w:t>as customer-related. (</w:t>
      </w:r>
      <w:r w:rsidR="002C10EC">
        <w:rPr>
          <w:rFonts w:ascii="Times New Roman" w:hAnsi="Times New Roman"/>
          <w:i/>
          <w:szCs w:val="24"/>
        </w:rPr>
        <w:t>See</w:t>
      </w:r>
      <w:r w:rsidR="002C10EC">
        <w:rPr>
          <w:rFonts w:ascii="Times New Roman" w:hAnsi="Times New Roman"/>
          <w:szCs w:val="24"/>
        </w:rPr>
        <w:t xml:space="preserve"> Tr. 2870</w:t>
      </w:r>
      <w:r w:rsidR="00AC4EED" w:rsidRPr="00AC4EED">
        <w:rPr>
          <w:rFonts w:ascii="Times New Roman" w:hAnsi="Times New Roman"/>
          <w:szCs w:val="24"/>
        </w:rPr>
        <w:t xml:space="preserve">.) Therefore, the MDS methodology is more comprehensive and better aligns with principles of cost causation. </w:t>
      </w:r>
    </w:p>
    <w:p w14:paraId="2982D3EE" w14:textId="7072C31D" w:rsidR="00AC4EED" w:rsidRPr="00AC4EED" w:rsidRDefault="00FA4216" w:rsidP="00263E8D">
      <w:pPr>
        <w:keepNext/>
        <w:widowControl/>
        <w:tabs>
          <w:tab w:val="left" w:pos="720"/>
        </w:tabs>
        <w:overflowPunct/>
        <w:autoSpaceDE/>
        <w:autoSpaceDN/>
        <w:adjustRightInd/>
        <w:spacing w:before="240" w:after="240"/>
        <w:ind w:left="1440" w:hanging="1440"/>
        <w:jc w:val="both"/>
        <w:textAlignment w:val="auto"/>
        <w:rPr>
          <w:rFonts w:ascii="Times New Roman" w:hAnsi="Times New Roman"/>
          <w:szCs w:val="24"/>
        </w:rPr>
      </w:pPr>
      <w:bookmarkStart w:id="40" w:name="_Hlk26111814"/>
      <w:r>
        <w:rPr>
          <w:rFonts w:ascii="Times New Roman" w:hAnsi="Times New Roman"/>
          <w:szCs w:val="24"/>
        </w:rPr>
        <w:lastRenderedPageBreak/>
        <w:tab/>
        <w:t>2.</w:t>
      </w:r>
      <w:r>
        <w:rPr>
          <w:rFonts w:ascii="Times New Roman" w:hAnsi="Times New Roman"/>
          <w:szCs w:val="24"/>
        </w:rPr>
        <w:tab/>
      </w:r>
      <w:r w:rsidR="00AC4EED" w:rsidRPr="00AC4EED">
        <w:rPr>
          <w:rFonts w:ascii="Times New Roman" w:hAnsi="Times New Roman"/>
          <w:szCs w:val="24"/>
          <w:u w:val="single"/>
        </w:rPr>
        <w:t>NARUC, Bonbright and numerous utilities acknowledge MDS</w:t>
      </w:r>
      <w:r w:rsidR="00F74DDA">
        <w:rPr>
          <w:rFonts w:ascii="Times New Roman" w:hAnsi="Times New Roman"/>
          <w:szCs w:val="24"/>
          <w:u w:val="single"/>
        </w:rPr>
        <w:t xml:space="preserve"> as an</w:t>
      </w:r>
      <w:r w:rsidR="00AC4EED" w:rsidRPr="00AC4EED">
        <w:rPr>
          <w:rFonts w:ascii="Times New Roman" w:hAnsi="Times New Roman"/>
          <w:szCs w:val="24"/>
          <w:u w:val="single"/>
        </w:rPr>
        <w:t xml:space="preserve"> acceptable method for classifying customer-related costs</w:t>
      </w:r>
      <w:r w:rsidR="00AC4EED" w:rsidRPr="00AC4EED">
        <w:rPr>
          <w:rFonts w:ascii="Times New Roman" w:hAnsi="Times New Roman"/>
          <w:szCs w:val="24"/>
        </w:rPr>
        <w:t xml:space="preserve">. </w:t>
      </w:r>
    </w:p>
    <w:bookmarkEnd w:id="40"/>
    <w:p w14:paraId="45A695AD" w14:textId="4D3B544B" w:rsidR="00254931" w:rsidRPr="00254931" w:rsidRDefault="00FA4216" w:rsidP="00845BC6">
      <w:pPr>
        <w:pStyle w:val="FootnoteText"/>
        <w:keepNext/>
        <w:spacing w:line="480" w:lineRule="auto"/>
        <w:jc w:val="both"/>
        <w:rPr>
          <w:sz w:val="24"/>
          <w:szCs w:val="24"/>
        </w:rPr>
      </w:pPr>
      <w:r>
        <w:rPr>
          <w:szCs w:val="24"/>
        </w:rPr>
        <w:tab/>
      </w:r>
      <w:r w:rsidR="00AC4EED" w:rsidRPr="00AC4EED">
        <w:rPr>
          <w:sz w:val="24"/>
          <w:szCs w:val="24"/>
        </w:rPr>
        <w:t xml:space="preserve">Some </w:t>
      </w:r>
      <w:r w:rsidR="00160321">
        <w:rPr>
          <w:sz w:val="24"/>
          <w:szCs w:val="24"/>
        </w:rPr>
        <w:t>I</w:t>
      </w:r>
      <w:r w:rsidR="00AC4EED" w:rsidRPr="00AC4EED">
        <w:rPr>
          <w:sz w:val="24"/>
          <w:szCs w:val="24"/>
        </w:rPr>
        <w:t xml:space="preserve">ntervenors </w:t>
      </w:r>
      <w:r w:rsidR="00B02D4E">
        <w:rPr>
          <w:sz w:val="24"/>
          <w:szCs w:val="24"/>
        </w:rPr>
        <w:t xml:space="preserve">question </w:t>
      </w:r>
      <w:r w:rsidR="00AC4EED" w:rsidRPr="00AC4EED">
        <w:rPr>
          <w:sz w:val="24"/>
          <w:szCs w:val="24"/>
        </w:rPr>
        <w:t xml:space="preserve">industry </w:t>
      </w:r>
      <w:r w:rsidR="00B02D4E">
        <w:rPr>
          <w:sz w:val="24"/>
          <w:szCs w:val="24"/>
        </w:rPr>
        <w:t>support for</w:t>
      </w:r>
      <w:r w:rsidR="00AC4EED" w:rsidRPr="00AC4EED">
        <w:rPr>
          <w:sz w:val="24"/>
          <w:szCs w:val="24"/>
        </w:rPr>
        <w:t xml:space="preserve"> MDS as an acceptable method for </w:t>
      </w:r>
      <w:r w:rsidR="001828AA">
        <w:rPr>
          <w:sz w:val="24"/>
          <w:szCs w:val="24"/>
        </w:rPr>
        <w:t>classifying</w:t>
      </w:r>
      <w:r w:rsidR="001828AA" w:rsidRPr="00AC4EED">
        <w:rPr>
          <w:sz w:val="24"/>
          <w:szCs w:val="24"/>
        </w:rPr>
        <w:t xml:space="preserve"> </w:t>
      </w:r>
      <w:r w:rsidR="00AC4EED" w:rsidRPr="00AC4EED">
        <w:rPr>
          <w:sz w:val="24"/>
          <w:szCs w:val="24"/>
        </w:rPr>
        <w:t>customer-related costs. (</w:t>
      </w:r>
      <w:r w:rsidR="00B02D4E">
        <w:rPr>
          <w:i/>
          <w:sz w:val="24"/>
          <w:szCs w:val="24"/>
        </w:rPr>
        <w:t xml:space="preserve">See </w:t>
      </w:r>
      <w:r w:rsidR="00B02D4E">
        <w:rPr>
          <w:sz w:val="24"/>
          <w:szCs w:val="24"/>
        </w:rPr>
        <w:t>Tr. 1665-66, 2055-57</w:t>
      </w:r>
      <w:r w:rsidR="00AC4EED" w:rsidRPr="00AC4EED">
        <w:rPr>
          <w:sz w:val="24"/>
          <w:szCs w:val="24"/>
        </w:rPr>
        <w:t xml:space="preserve">.) However, </w:t>
      </w:r>
      <w:r w:rsidR="00B02D4E">
        <w:rPr>
          <w:sz w:val="24"/>
          <w:szCs w:val="24"/>
        </w:rPr>
        <w:t>Bonbright and NARU</w:t>
      </w:r>
      <w:r w:rsidR="006E050F">
        <w:rPr>
          <w:sz w:val="24"/>
          <w:szCs w:val="24"/>
        </w:rPr>
        <w:t>C</w:t>
      </w:r>
      <w:r w:rsidR="00B02D4E">
        <w:rPr>
          <w:sz w:val="24"/>
          <w:szCs w:val="24"/>
        </w:rPr>
        <w:t xml:space="preserve"> both</w:t>
      </w:r>
      <w:r w:rsidR="00AC4EED" w:rsidRPr="00AC4EED">
        <w:rPr>
          <w:sz w:val="24"/>
          <w:szCs w:val="24"/>
        </w:rPr>
        <w:t xml:space="preserve"> acknowledge MDS as an acceptable method for </w:t>
      </w:r>
      <w:r w:rsidR="001828AA">
        <w:rPr>
          <w:sz w:val="24"/>
          <w:szCs w:val="24"/>
        </w:rPr>
        <w:t>classifying</w:t>
      </w:r>
      <w:r w:rsidR="001828AA" w:rsidRPr="00AC4EED">
        <w:rPr>
          <w:sz w:val="24"/>
          <w:szCs w:val="24"/>
        </w:rPr>
        <w:t xml:space="preserve"> </w:t>
      </w:r>
      <w:r w:rsidR="00AC4EED" w:rsidRPr="00AC4EED">
        <w:rPr>
          <w:sz w:val="24"/>
          <w:szCs w:val="24"/>
        </w:rPr>
        <w:t>customer-related distribution costs. Further,</w:t>
      </w:r>
      <w:r w:rsidR="00B02D4E">
        <w:rPr>
          <w:sz w:val="24"/>
          <w:szCs w:val="24"/>
        </w:rPr>
        <w:t xml:space="preserve"> as Witness Vogt testified,</w:t>
      </w:r>
      <w:r w:rsidR="00AC4EED" w:rsidRPr="00AC4EED">
        <w:rPr>
          <w:sz w:val="24"/>
          <w:szCs w:val="24"/>
        </w:rPr>
        <w:t xml:space="preserve"> utilities</w:t>
      </w:r>
      <w:r w:rsidR="00254931">
        <w:rPr>
          <w:sz w:val="24"/>
          <w:szCs w:val="24"/>
        </w:rPr>
        <w:t xml:space="preserve"> in several states</w:t>
      </w:r>
      <w:r w:rsidR="00AC4EED" w:rsidRPr="00AC4EED">
        <w:rPr>
          <w:sz w:val="24"/>
          <w:szCs w:val="24"/>
        </w:rPr>
        <w:t xml:space="preserve"> employ the MDS analysis to </w:t>
      </w:r>
      <w:r w:rsidR="001828AA">
        <w:rPr>
          <w:sz w:val="24"/>
          <w:szCs w:val="24"/>
        </w:rPr>
        <w:t>classify</w:t>
      </w:r>
      <w:r w:rsidR="00AC4EED" w:rsidRPr="00AC4EED">
        <w:rPr>
          <w:sz w:val="24"/>
          <w:szCs w:val="24"/>
        </w:rPr>
        <w:t xml:space="preserve"> costs among customers in the ratemaking process</w:t>
      </w:r>
      <w:r w:rsidR="00254931">
        <w:rPr>
          <w:sz w:val="24"/>
          <w:szCs w:val="24"/>
        </w:rPr>
        <w:t>, including</w:t>
      </w:r>
      <w:r w:rsidR="00AC4EED" w:rsidRPr="00AC4EED">
        <w:rPr>
          <w:sz w:val="24"/>
          <w:szCs w:val="24"/>
        </w:rPr>
        <w:t xml:space="preserve"> </w:t>
      </w:r>
      <w:r w:rsidR="00254931">
        <w:rPr>
          <w:sz w:val="24"/>
          <w:szCs w:val="24"/>
        </w:rPr>
        <w:t>Alabama, Connecticut, Florida, Indiana, Kentucky, Maine, Minnesota, Mississippi, New York, North Carolina, and Wisconsin. (</w:t>
      </w:r>
      <w:r w:rsidR="00B02D4E">
        <w:rPr>
          <w:sz w:val="24"/>
          <w:szCs w:val="24"/>
        </w:rPr>
        <w:t>Tr. 603</w:t>
      </w:r>
      <w:r w:rsidR="00254931">
        <w:rPr>
          <w:sz w:val="24"/>
          <w:szCs w:val="24"/>
        </w:rPr>
        <w:t>.)</w:t>
      </w:r>
    </w:p>
    <w:p w14:paraId="46E67C24" w14:textId="6190F038" w:rsidR="00AC4EED" w:rsidRPr="00AC4EED" w:rsidRDefault="00FA4216" w:rsidP="00D65036">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AC4EED" w:rsidRPr="00AC4EED">
        <w:rPr>
          <w:rFonts w:ascii="Times New Roman" w:hAnsi="Times New Roman"/>
          <w:szCs w:val="24"/>
        </w:rPr>
        <w:t xml:space="preserve">Dr. Bonbright recognizes that utilities must allocate all costs among customer classes in a fully-distributed cost analysis. </w:t>
      </w:r>
      <w:r w:rsidR="004B0746">
        <w:rPr>
          <w:rFonts w:ascii="Times New Roman" w:hAnsi="Times New Roman"/>
        </w:rPr>
        <w:t>James C. Bonbright</w:t>
      </w:r>
      <w:r w:rsidR="00901D2A">
        <w:rPr>
          <w:rFonts w:ascii="Times New Roman" w:hAnsi="Times New Roman"/>
          <w:szCs w:val="24"/>
        </w:rPr>
        <w:t xml:space="preserve">, </w:t>
      </w:r>
      <w:r w:rsidR="00901D2A" w:rsidRPr="003F32E5">
        <w:rPr>
          <w:rFonts w:ascii="Times New Roman" w:hAnsi="Times New Roman"/>
          <w:i/>
          <w:szCs w:val="24"/>
        </w:rPr>
        <w:t>Principles of Public Utility Rates</w:t>
      </w:r>
      <w:r w:rsidR="00901D2A">
        <w:rPr>
          <w:rFonts w:ascii="Times New Roman" w:hAnsi="Times New Roman"/>
          <w:szCs w:val="24"/>
        </w:rPr>
        <w:t xml:space="preserve"> at 348-349, 2</w:t>
      </w:r>
      <w:r w:rsidR="00901D2A" w:rsidRPr="00901D2A">
        <w:rPr>
          <w:rFonts w:ascii="Times New Roman" w:hAnsi="Times New Roman"/>
          <w:szCs w:val="24"/>
          <w:vertAlign w:val="superscript"/>
        </w:rPr>
        <w:t>nd</w:t>
      </w:r>
      <w:r w:rsidR="00901D2A">
        <w:rPr>
          <w:rFonts w:ascii="Times New Roman" w:hAnsi="Times New Roman"/>
          <w:szCs w:val="24"/>
        </w:rPr>
        <w:t xml:space="preserve"> Edition (1998)</w:t>
      </w:r>
      <w:r w:rsidR="003F32E5">
        <w:rPr>
          <w:rFonts w:ascii="Times New Roman" w:hAnsi="Times New Roman"/>
          <w:szCs w:val="24"/>
        </w:rPr>
        <w:t xml:space="preserve"> (“Bonbright”)</w:t>
      </w:r>
      <w:r w:rsidR="00901D2A">
        <w:rPr>
          <w:rFonts w:ascii="Times New Roman" w:hAnsi="Times New Roman"/>
          <w:szCs w:val="24"/>
        </w:rPr>
        <w:t xml:space="preserve">. </w:t>
      </w:r>
      <w:r w:rsidR="00AC4EED" w:rsidRPr="00AC4EED">
        <w:rPr>
          <w:rFonts w:ascii="Times New Roman" w:hAnsi="Times New Roman"/>
          <w:szCs w:val="24"/>
        </w:rPr>
        <w:t xml:space="preserve">PIA Staff and GIPL/Southface/Vote Solar </w:t>
      </w:r>
      <w:r w:rsidR="00160321">
        <w:rPr>
          <w:rFonts w:ascii="Times New Roman" w:hAnsi="Times New Roman"/>
          <w:szCs w:val="24"/>
        </w:rPr>
        <w:t>misleadingly</w:t>
      </w:r>
      <w:r w:rsidR="00160321" w:rsidRPr="00AC4EED">
        <w:rPr>
          <w:rFonts w:ascii="Times New Roman" w:hAnsi="Times New Roman"/>
          <w:szCs w:val="24"/>
        </w:rPr>
        <w:t xml:space="preserve"> </w:t>
      </w:r>
      <w:r w:rsidR="00AC4EED" w:rsidRPr="00AC4EED">
        <w:rPr>
          <w:rFonts w:ascii="Times New Roman" w:hAnsi="Times New Roman"/>
          <w:szCs w:val="24"/>
        </w:rPr>
        <w:t xml:space="preserve">quote Bonbright to claim that including MDS among customer-related costs is indefensible. </w:t>
      </w:r>
      <w:r w:rsidR="004B0746">
        <w:rPr>
          <w:rFonts w:ascii="Times New Roman" w:hAnsi="Times New Roman"/>
          <w:szCs w:val="24"/>
        </w:rPr>
        <w:t xml:space="preserve">(Tr. 1666, </w:t>
      </w:r>
      <w:r w:rsidR="00FF4F90">
        <w:rPr>
          <w:rFonts w:ascii="Times New Roman" w:hAnsi="Times New Roman"/>
          <w:szCs w:val="24"/>
        </w:rPr>
        <w:t>1936</w:t>
      </w:r>
      <w:r w:rsidR="004B0746">
        <w:rPr>
          <w:rFonts w:ascii="Times New Roman" w:hAnsi="Times New Roman"/>
          <w:szCs w:val="24"/>
        </w:rPr>
        <w:t xml:space="preserve">.) </w:t>
      </w:r>
      <w:r w:rsidR="00AC4EED" w:rsidRPr="00AC4EED">
        <w:rPr>
          <w:rFonts w:ascii="Times New Roman" w:hAnsi="Times New Roman"/>
          <w:szCs w:val="24"/>
        </w:rPr>
        <w:t xml:space="preserve">However, the full quote from Bonbright reaches the exact opposite conclusion: “[w]hile for the reason just suggested, the inclusion of the costs of a minimum-sized distribution system among the customer-related costs seems to us clearly indefensible, </w:t>
      </w:r>
      <w:r w:rsidR="00AC4EED" w:rsidRPr="003F32E5">
        <w:rPr>
          <w:rFonts w:ascii="Times New Roman" w:hAnsi="Times New Roman"/>
          <w:i/>
          <w:szCs w:val="24"/>
        </w:rPr>
        <w:t>its exclusion from the demand-related costs stands on much firmer ground</w:t>
      </w:r>
      <w:r w:rsidR="00AC4EED" w:rsidRPr="00AC4EED">
        <w:rPr>
          <w:rFonts w:ascii="Times New Roman" w:hAnsi="Times New Roman"/>
          <w:szCs w:val="24"/>
        </w:rPr>
        <w:t>.</w:t>
      </w:r>
      <w:r w:rsidR="00254931" w:rsidRPr="00D65036">
        <w:rPr>
          <w:rFonts w:ascii="Times New Roman" w:hAnsi="Times New Roman"/>
          <w:szCs w:val="24"/>
        </w:rPr>
        <w:t>”</w:t>
      </w:r>
      <w:r w:rsidR="00D65036" w:rsidRPr="00D65036">
        <w:t xml:space="preserve"> </w:t>
      </w:r>
      <w:r w:rsidR="00D65036" w:rsidRPr="00D65036">
        <w:rPr>
          <w:rFonts w:ascii="Times New Roman" w:hAnsi="Times New Roman"/>
          <w:szCs w:val="24"/>
        </w:rPr>
        <w:t>Bonbright</w:t>
      </w:r>
      <w:r w:rsidR="003F32E5">
        <w:rPr>
          <w:rFonts w:ascii="Times New Roman" w:hAnsi="Times New Roman"/>
          <w:szCs w:val="24"/>
        </w:rPr>
        <w:t xml:space="preserve"> at</w:t>
      </w:r>
      <w:r w:rsidR="00D65036" w:rsidRPr="00D65036">
        <w:rPr>
          <w:rFonts w:ascii="Times New Roman" w:hAnsi="Times New Roman"/>
          <w:szCs w:val="24"/>
        </w:rPr>
        <w:t xml:space="preserve"> 491-492 (emphasis added).</w:t>
      </w:r>
      <w:r w:rsidR="00AC4EED" w:rsidRPr="00AC4EED">
        <w:rPr>
          <w:rFonts w:ascii="Times New Roman" w:hAnsi="Times New Roman"/>
          <w:szCs w:val="24"/>
        </w:rPr>
        <w:t xml:space="preserve"> Bonbright further recognizes that utilities must distribute all costs in a fully-distributed cost analysis and that one cannot “plausibly impute” these costs into any other cost category but customer-related.</w:t>
      </w:r>
      <w:r w:rsidR="00D65036">
        <w:rPr>
          <w:rFonts w:ascii="Times New Roman" w:hAnsi="Times New Roman"/>
          <w:szCs w:val="24"/>
        </w:rPr>
        <w:t xml:space="preserve"> </w:t>
      </w:r>
      <w:r w:rsidR="00D65036" w:rsidRPr="00D65036">
        <w:rPr>
          <w:rFonts w:ascii="Times New Roman" w:hAnsi="Times New Roman"/>
          <w:i/>
          <w:szCs w:val="24"/>
        </w:rPr>
        <w:t>Id.</w:t>
      </w:r>
      <w:r w:rsidR="00D65036" w:rsidRPr="00D65036">
        <w:rPr>
          <w:rFonts w:ascii="Times New Roman" w:hAnsi="Times New Roman"/>
          <w:szCs w:val="24"/>
        </w:rPr>
        <w:t xml:space="preserve"> at 492.</w:t>
      </w:r>
    </w:p>
    <w:p w14:paraId="133543A7" w14:textId="1FA5DD23" w:rsidR="00AC4EED" w:rsidRPr="00AC4EED" w:rsidRDefault="00FA4216" w:rsidP="00D65036">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r>
      <w:r w:rsidR="00AC4EED" w:rsidRPr="00AC4EED">
        <w:rPr>
          <w:rFonts w:ascii="Times New Roman" w:hAnsi="Times New Roman"/>
          <w:szCs w:val="24"/>
        </w:rPr>
        <w:t xml:space="preserve">More importantly, a large group of state utility commission and FERC staff members developed the NARUC Electric Utility Cost Allocation Manual (“NARUC </w:t>
      </w:r>
      <w:r w:rsidR="00160321">
        <w:rPr>
          <w:rFonts w:ascii="Times New Roman" w:hAnsi="Times New Roman"/>
          <w:szCs w:val="24"/>
        </w:rPr>
        <w:t>Manual</w:t>
      </w:r>
      <w:r w:rsidR="00AC4EED" w:rsidRPr="00AC4EED">
        <w:rPr>
          <w:rFonts w:ascii="Times New Roman" w:hAnsi="Times New Roman"/>
          <w:szCs w:val="24"/>
        </w:rPr>
        <w:t>”) after Bonbright</w:t>
      </w:r>
      <w:r w:rsidR="006F6CB0">
        <w:rPr>
          <w:rFonts w:ascii="Times New Roman" w:hAnsi="Times New Roman"/>
          <w:szCs w:val="24"/>
        </w:rPr>
        <w:t>’</w:t>
      </w:r>
      <w:r w:rsidR="00AC4EED" w:rsidRPr="00AC4EED">
        <w:rPr>
          <w:rFonts w:ascii="Times New Roman" w:hAnsi="Times New Roman"/>
          <w:szCs w:val="24"/>
        </w:rPr>
        <w:t>s work</w:t>
      </w:r>
      <w:r w:rsidR="00160321">
        <w:rPr>
          <w:rFonts w:ascii="Times New Roman" w:hAnsi="Times New Roman"/>
          <w:szCs w:val="24"/>
        </w:rPr>
        <w:t>. This Manual helped</w:t>
      </w:r>
      <w:r w:rsidR="00AC4EED" w:rsidRPr="00AC4EED">
        <w:rPr>
          <w:rFonts w:ascii="Times New Roman" w:hAnsi="Times New Roman"/>
          <w:szCs w:val="24"/>
        </w:rPr>
        <w:t xml:space="preserve"> move </w:t>
      </w:r>
      <w:r w:rsidR="00160321">
        <w:rPr>
          <w:rFonts w:ascii="Times New Roman" w:hAnsi="Times New Roman"/>
          <w:szCs w:val="24"/>
        </w:rPr>
        <w:t xml:space="preserve">cost allocation </w:t>
      </w:r>
      <w:r w:rsidR="00AC4EED" w:rsidRPr="00AC4EED">
        <w:rPr>
          <w:rFonts w:ascii="Times New Roman" w:hAnsi="Times New Roman"/>
          <w:szCs w:val="24"/>
        </w:rPr>
        <w:t>from the theoretical world of Dr.</w:t>
      </w:r>
      <w:r w:rsidR="00263E8D">
        <w:rPr>
          <w:rFonts w:ascii="Times New Roman" w:hAnsi="Times New Roman"/>
          <w:szCs w:val="24"/>
        </w:rPr>
        <w:t> </w:t>
      </w:r>
      <w:r w:rsidR="00AC4EED" w:rsidRPr="00AC4EED">
        <w:rPr>
          <w:rFonts w:ascii="Times New Roman" w:hAnsi="Times New Roman"/>
          <w:szCs w:val="24"/>
        </w:rPr>
        <w:t>Bonbright to the reality of utilities</w:t>
      </w:r>
      <w:r w:rsidR="006F6CB0">
        <w:rPr>
          <w:rFonts w:ascii="Times New Roman" w:hAnsi="Times New Roman"/>
          <w:szCs w:val="24"/>
        </w:rPr>
        <w:t>’</w:t>
      </w:r>
      <w:r w:rsidR="00AC4EED" w:rsidRPr="00AC4EED">
        <w:rPr>
          <w:rFonts w:ascii="Times New Roman" w:hAnsi="Times New Roman"/>
          <w:szCs w:val="24"/>
        </w:rPr>
        <w:t xml:space="preserve"> needs to move from development of revenue requirements </w:t>
      </w:r>
      <w:r w:rsidR="00AC4EED" w:rsidRPr="00AC4EED">
        <w:rPr>
          <w:rFonts w:ascii="Times New Roman" w:hAnsi="Times New Roman"/>
          <w:szCs w:val="24"/>
        </w:rPr>
        <w:lastRenderedPageBreak/>
        <w:t xml:space="preserve">to rate structures. The NARUC </w:t>
      </w:r>
      <w:r w:rsidR="00160321">
        <w:rPr>
          <w:rFonts w:ascii="Times New Roman" w:hAnsi="Times New Roman"/>
          <w:szCs w:val="24"/>
        </w:rPr>
        <w:t>Manual</w:t>
      </w:r>
      <w:r w:rsidR="00160321" w:rsidRPr="00AC4EED">
        <w:rPr>
          <w:rFonts w:ascii="Times New Roman" w:hAnsi="Times New Roman"/>
          <w:szCs w:val="24"/>
        </w:rPr>
        <w:t xml:space="preserve"> </w:t>
      </w:r>
      <w:r w:rsidR="00AC4EED" w:rsidRPr="00AC4EED">
        <w:rPr>
          <w:rFonts w:ascii="Times New Roman" w:hAnsi="Times New Roman"/>
          <w:szCs w:val="24"/>
        </w:rPr>
        <w:t xml:space="preserve">identifies the MDS analysis as an accepted industry practice and states that a portion of distribution costs related to FERC Accounts 364-368 are customer-related. </w:t>
      </w:r>
      <w:bookmarkStart w:id="41" w:name="_Hlk25665693"/>
      <w:r w:rsidR="00AC4EED" w:rsidRPr="00AC4EED">
        <w:rPr>
          <w:rFonts w:ascii="Times New Roman" w:hAnsi="Times New Roman"/>
          <w:szCs w:val="24"/>
        </w:rPr>
        <w:t>(</w:t>
      </w:r>
      <w:r w:rsidR="003F32E5">
        <w:rPr>
          <w:rFonts w:ascii="Times New Roman" w:hAnsi="Times New Roman"/>
          <w:i/>
          <w:szCs w:val="24"/>
        </w:rPr>
        <w:t xml:space="preserve">See </w:t>
      </w:r>
      <w:r w:rsidR="003F32E5">
        <w:rPr>
          <w:rFonts w:ascii="Times New Roman" w:hAnsi="Times New Roman"/>
          <w:szCs w:val="24"/>
        </w:rPr>
        <w:t>Tr. 602</w:t>
      </w:r>
      <w:r w:rsidR="00AC4EED" w:rsidRPr="00AC4EED">
        <w:rPr>
          <w:rFonts w:ascii="Times New Roman" w:hAnsi="Times New Roman"/>
          <w:szCs w:val="24"/>
        </w:rPr>
        <w:t xml:space="preserve">.) </w:t>
      </w:r>
      <w:bookmarkEnd w:id="41"/>
      <w:r w:rsidR="00AC4EED" w:rsidRPr="00AC4EED">
        <w:rPr>
          <w:rFonts w:ascii="Times New Roman" w:hAnsi="Times New Roman"/>
          <w:szCs w:val="24"/>
        </w:rPr>
        <w:t>GIPL</w:t>
      </w:r>
      <w:r w:rsidR="00D65036">
        <w:rPr>
          <w:rFonts w:ascii="Times New Roman" w:hAnsi="Times New Roman"/>
          <w:szCs w:val="24"/>
        </w:rPr>
        <w:t>/Southface/</w:t>
      </w:r>
      <w:r w:rsidR="00AC4EED" w:rsidRPr="00AC4EED">
        <w:rPr>
          <w:rFonts w:ascii="Times New Roman" w:hAnsi="Times New Roman"/>
          <w:szCs w:val="24"/>
        </w:rPr>
        <w:t>Vote Solar mischaracterize NARUC</w:t>
      </w:r>
      <w:r w:rsidR="006F6CB0">
        <w:rPr>
          <w:rFonts w:ascii="Times New Roman" w:hAnsi="Times New Roman"/>
          <w:szCs w:val="24"/>
        </w:rPr>
        <w:t>’</w:t>
      </w:r>
      <w:r w:rsidR="00AC4EED" w:rsidRPr="00AC4EED">
        <w:rPr>
          <w:rFonts w:ascii="Times New Roman" w:hAnsi="Times New Roman"/>
          <w:szCs w:val="24"/>
        </w:rPr>
        <w:t>s position on MDS by relying upon a 2000 report authored by the Regulatory Assistance Project.</w:t>
      </w:r>
      <w:r w:rsidR="00FF4F90">
        <w:rPr>
          <w:rFonts w:ascii="Times New Roman" w:hAnsi="Times New Roman"/>
          <w:szCs w:val="24"/>
        </w:rPr>
        <w:t xml:space="preserve"> (</w:t>
      </w:r>
      <w:r w:rsidR="00FF4F90">
        <w:rPr>
          <w:rFonts w:ascii="Times New Roman" w:hAnsi="Times New Roman"/>
          <w:i/>
          <w:szCs w:val="24"/>
        </w:rPr>
        <w:t>See</w:t>
      </w:r>
      <w:r w:rsidR="00FF4F90">
        <w:rPr>
          <w:rFonts w:ascii="Times New Roman" w:hAnsi="Times New Roman"/>
          <w:szCs w:val="24"/>
        </w:rPr>
        <w:t xml:space="preserve"> Tr. 2062.)</w:t>
      </w:r>
      <w:r w:rsidR="00AC4EED" w:rsidRPr="00AC4EED">
        <w:rPr>
          <w:rFonts w:ascii="Times New Roman" w:hAnsi="Times New Roman"/>
          <w:szCs w:val="24"/>
        </w:rPr>
        <w:t xml:space="preserve"> It is important to note that the Regulatory Assistance Project report expressly states that “</w:t>
      </w:r>
      <w:r w:rsidR="00160321">
        <w:rPr>
          <w:rFonts w:ascii="Times New Roman" w:hAnsi="Times New Roman"/>
          <w:szCs w:val="24"/>
        </w:rPr>
        <w:t>[t]</w:t>
      </w:r>
      <w:r w:rsidR="00AC4EED" w:rsidRPr="00AC4EED">
        <w:rPr>
          <w:rFonts w:ascii="Times New Roman" w:hAnsi="Times New Roman"/>
          <w:szCs w:val="24"/>
        </w:rPr>
        <w:t>he views and opinions expressed herein are strictly those of the authors and may not necessarily agree with, state, or reflect the positions of NARUC</w:t>
      </w:r>
      <w:r w:rsidR="00FB0D6D">
        <w:rPr>
          <w:rFonts w:ascii="Times New Roman" w:hAnsi="Times New Roman"/>
          <w:szCs w:val="24"/>
        </w:rPr>
        <w:t>.</w:t>
      </w:r>
      <w:r w:rsidR="00FB0D6D" w:rsidRPr="00AC4EED">
        <w:rPr>
          <w:rFonts w:ascii="Times New Roman" w:hAnsi="Times New Roman"/>
          <w:szCs w:val="24"/>
        </w:rPr>
        <w:t xml:space="preserve">” </w:t>
      </w:r>
      <w:r w:rsidR="00AC4EED" w:rsidRPr="00AC4EED">
        <w:rPr>
          <w:rFonts w:ascii="Times New Roman" w:hAnsi="Times New Roman"/>
          <w:szCs w:val="24"/>
        </w:rPr>
        <w:t xml:space="preserve">(Tr. </w:t>
      </w:r>
      <w:r w:rsidR="003F32E5">
        <w:rPr>
          <w:rFonts w:ascii="Times New Roman" w:hAnsi="Times New Roman"/>
          <w:szCs w:val="24"/>
        </w:rPr>
        <w:t>2871</w:t>
      </w:r>
      <w:r w:rsidR="003F32E5" w:rsidRPr="00AC4EED">
        <w:rPr>
          <w:rFonts w:ascii="Times New Roman" w:hAnsi="Times New Roman"/>
          <w:szCs w:val="24"/>
        </w:rPr>
        <w:t xml:space="preserve">.) </w:t>
      </w:r>
      <w:r w:rsidR="00AC4EED" w:rsidRPr="00AC4EED">
        <w:rPr>
          <w:rFonts w:ascii="Times New Roman" w:hAnsi="Times New Roman"/>
          <w:szCs w:val="24"/>
        </w:rPr>
        <w:t xml:space="preserve">Further, GIPL/Southface/Vote Solar state that the NARUC </w:t>
      </w:r>
      <w:r w:rsidR="00FF4F90">
        <w:rPr>
          <w:rFonts w:ascii="Times New Roman" w:hAnsi="Times New Roman"/>
          <w:szCs w:val="24"/>
        </w:rPr>
        <w:t>Manual</w:t>
      </w:r>
      <w:r w:rsidR="00FF4F90" w:rsidRPr="00AC4EED">
        <w:rPr>
          <w:rFonts w:ascii="Times New Roman" w:hAnsi="Times New Roman"/>
          <w:szCs w:val="24"/>
        </w:rPr>
        <w:t xml:space="preserve"> </w:t>
      </w:r>
      <w:r w:rsidR="00AC4EED" w:rsidRPr="00AC4EED">
        <w:rPr>
          <w:rFonts w:ascii="Times New Roman" w:hAnsi="Times New Roman"/>
          <w:szCs w:val="24"/>
        </w:rPr>
        <w:t xml:space="preserve">critiques the Zero-Intercept method for producing “unreliable results.” </w:t>
      </w:r>
      <w:r w:rsidR="00FF4F90">
        <w:rPr>
          <w:rFonts w:ascii="Times New Roman" w:hAnsi="Times New Roman"/>
          <w:szCs w:val="24"/>
        </w:rPr>
        <w:t xml:space="preserve">(Tr. 2058.) </w:t>
      </w:r>
      <w:r w:rsidR="00AC4EED" w:rsidRPr="00AC4EED">
        <w:rPr>
          <w:rFonts w:ascii="Times New Roman" w:hAnsi="Times New Roman"/>
          <w:szCs w:val="24"/>
        </w:rPr>
        <w:t>This argument is also misleading and fails to capture the full context of the quote. The reference to unreliable results specifically refers to instances when the analysis produces negative Y-intercepts, which does not occur in the Company</w:t>
      </w:r>
      <w:r w:rsidR="006F6CB0">
        <w:rPr>
          <w:rFonts w:ascii="Times New Roman" w:hAnsi="Times New Roman"/>
          <w:szCs w:val="24"/>
        </w:rPr>
        <w:t>’</w:t>
      </w:r>
      <w:r w:rsidR="00AC4EED" w:rsidRPr="00AC4EED">
        <w:rPr>
          <w:rFonts w:ascii="Times New Roman" w:hAnsi="Times New Roman"/>
          <w:szCs w:val="24"/>
        </w:rPr>
        <w:t>s COSS.</w:t>
      </w:r>
    </w:p>
    <w:p w14:paraId="7D711796" w14:textId="105C777A" w:rsidR="00AC4EED" w:rsidRPr="00AC4EED" w:rsidRDefault="00FA4216" w:rsidP="00263E8D">
      <w:pPr>
        <w:widowControl/>
        <w:tabs>
          <w:tab w:val="left" w:pos="720"/>
        </w:tabs>
        <w:overflowPunct/>
        <w:autoSpaceDE/>
        <w:autoSpaceDN/>
        <w:adjustRightInd/>
        <w:spacing w:before="240" w:after="240"/>
        <w:ind w:left="1440" w:hanging="1440"/>
        <w:jc w:val="both"/>
        <w:textAlignment w:val="auto"/>
        <w:rPr>
          <w:rFonts w:ascii="Times New Roman" w:hAnsi="Times New Roman"/>
          <w:szCs w:val="24"/>
        </w:rPr>
      </w:pPr>
      <w:bookmarkStart w:id="42" w:name="_Hlk26111822"/>
      <w:r>
        <w:rPr>
          <w:rFonts w:ascii="Times New Roman" w:hAnsi="Times New Roman"/>
          <w:szCs w:val="24"/>
        </w:rPr>
        <w:tab/>
        <w:t>3.</w:t>
      </w:r>
      <w:r>
        <w:rPr>
          <w:rFonts w:ascii="Times New Roman" w:hAnsi="Times New Roman"/>
          <w:szCs w:val="24"/>
        </w:rPr>
        <w:tab/>
      </w:r>
      <w:r w:rsidR="00AC4EED" w:rsidRPr="00AC4EED">
        <w:rPr>
          <w:rFonts w:ascii="Times New Roman" w:hAnsi="Times New Roman"/>
          <w:szCs w:val="24"/>
          <w:u w:val="single"/>
        </w:rPr>
        <w:t xml:space="preserve">The Company has used MDS for decades and appropriately refines analyses and methodologies as </w:t>
      </w:r>
      <w:r w:rsidR="00C727B1">
        <w:rPr>
          <w:rFonts w:ascii="Times New Roman" w:hAnsi="Times New Roman"/>
          <w:szCs w:val="24"/>
          <w:u w:val="single"/>
        </w:rPr>
        <w:t>better</w:t>
      </w:r>
      <w:r w:rsidR="00C727B1" w:rsidRPr="00AC4EED">
        <w:rPr>
          <w:rFonts w:ascii="Times New Roman" w:hAnsi="Times New Roman"/>
          <w:szCs w:val="24"/>
          <w:u w:val="single"/>
        </w:rPr>
        <w:t xml:space="preserve"> </w:t>
      </w:r>
      <w:r w:rsidR="00AC4EED" w:rsidRPr="00AC4EED">
        <w:rPr>
          <w:rFonts w:ascii="Times New Roman" w:hAnsi="Times New Roman"/>
          <w:szCs w:val="24"/>
          <w:u w:val="single"/>
        </w:rPr>
        <w:t>information becomes available</w:t>
      </w:r>
      <w:r w:rsidR="00AC4EED" w:rsidRPr="00AC4EED">
        <w:rPr>
          <w:rFonts w:ascii="Times New Roman" w:hAnsi="Times New Roman"/>
          <w:szCs w:val="24"/>
        </w:rPr>
        <w:t>.</w:t>
      </w:r>
    </w:p>
    <w:bookmarkEnd w:id="42"/>
    <w:p w14:paraId="76A2BEFD" w14:textId="4E0781B8" w:rsidR="00AC4EED" w:rsidRPr="00AC4EED" w:rsidRDefault="00FA4216" w:rsidP="00346BAB">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AC4EED" w:rsidRPr="00AC4EED">
        <w:rPr>
          <w:rFonts w:ascii="Times New Roman" w:hAnsi="Times New Roman"/>
          <w:szCs w:val="24"/>
        </w:rPr>
        <w:t xml:space="preserve">As explained by Company </w:t>
      </w:r>
      <w:r w:rsidR="00D65036">
        <w:rPr>
          <w:rFonts w:ascii="Times New Roman" w:hAnsi="Times New Roman"/>
          <w:szCs w:val="24"/>
        </w:rPr>
        <w:t>W</w:t>
      </w:r>
      <w:r w:rsidR="00AC4EED" w:rsidRPr="00AC4EED">
        <w:rPr>
          <w:rFonts w:ascii="Times New Roman" w:hAnsi="Times New Roman"/>
          <w:szCs w:val="24"/>
        </w:rPr>
        <w:t xml:space="preserve">itness Vogt and mentioned </w:t>
      </w:r>
      <w:r w:rsidR="00D65036">
        <w:rPr>
          <w:rFonts w:ascii="Times New Roman" w:hAnsi="Times New Roman"/>
          <w:szCs w:val="24"/>
        </w:rPr>
        <w:t>previously</w:t>
      </w:r>
      <w:r w:rsidR="00AC4EED" w:rsidRPr="00AC4EED">
        <w:rPr>
          <w:rFonts w:ascii="Times New Roman" w:hAnsi="Times New Roman"/>
          <w:szCs w:val="24"/>
        </w:rPr>
        <w:t>, the Company has employed MDS to classify customer-related costs for decades.</w:t>
      </w:r>
      <w:r w:rsidR="003622A6">
        <w:rPr>
          <w:rFonts w:ascii="Times New Roman" w:hAnsi="Times New Roman"/>
          <w:szCs w:val="24"/>
        </w:rPr>
        <w:t xml:space="preserve"> (Tr. 603, 2872.)</w:t>
      </w:r>
      <w:r w:rsidR="00AC4EED" w:rsidRPr="00AC4EED">
        <w:rPr>
          <w:rFonts w:ascii="Times New Roman" w:hAnsi="Times New Roman"/>
          <w:szCs w:val="24"/>
        </w:rPr>
        <w:t xml:space="preserve"> The Company regularly refines COSS analyses to provide the Commission with the best information and data to make decisions. Accordingly, the 2019 COSS classified protection equipment as customer-related because there is no demand cost driver for this investment.</w:t>
      </w:r>
      <w:r w:rsidR="007E340A">
        <w:rPr>
          <w:rFonts w:ascii="Times New Roman" w:hAnsi="Times New Roman"/>
          <w:szCs w:val="24"/>
        </w:rPr>
        <w:t xml:space="preserve"> (Tr. 2873.)</w:t>
      </w:r>
      <w:r w:rsidR="00AC4EED" w:rsidRPr="00AC4EED">
        <w:rPr>
          <w:rFonts w:ascii="Times New Roman" w:hAnsi="Times New Roman"/>
          <w:szCs w:val="24"/>
        </w:rPr>
        <w:t xml:space="preserve"> The 2013 COSS MDS analysis understated the customer-related costs for padmount transformers because it used the same Zero-Intercept analysis developed for overhead transformers as a proxy. </w:t>
      </w:r>
      <w:r w:rsidR="007E340A">
        <w:rPr>
          <w:rFonts w:ascii="Times New Roman" w:hAnsi="Times New Roman"/>
          <w:szCs w:val="24"/>
        </w:rPr>
        <w:t>(</w:t>
      </w:r>
      <w:r w:rsidR="007E340A" w:rsidRPr="00B02172">
        <w:rPr>
          <w:rFonts w:ascii="Times New Roman" w:hAnsi="Times New Roman"/>
          <w:i/>
          <w:szCs w:val="24"/>
        </w:rPr>
        <w:t>Id</w:t>
      </w:r>
      <w:r w:rsidR="007E340A">
        <w:rPr>
          <w:rFonts w:ascii="Times New Roman" w:hAnsi="Times New Roman"/>
          <w:szCs w:val="24"/>
        </w:rPr>
        <w:t xml:space="preserve">.) </w:t>
      </w:r>
      <w:r w:rsidR="00AC4EED" w:rsidRPr="00AC4EED">
        <w:rPr>
          <w:rFonts w:ascii="Times New Roman" w:hAnsi="Times New Roman"/>
          <w:szCs w:val="24"/>
        </w:rPr>
        <w:t>The Company still believes it is appropriate to separately calculate the zero-intercept of padmount transformers and overhead transformers and to classify protection equipment as customer-related.</w:t>
      </w:r>
    </w:p>
    <w:p w14:paraId="17E96AD7" w14:textId="095B6F05" w:rsidR="00AC4EED" w:rsidRDefault="00FA4216" w:rsidP="00346BAB">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lastRenderedPageBreak/>
        <w:tab/>
      </w:r>
      <w:r w:rsidR="00AC4EED" w:rsidRPr="00AC4EED">
        <w:rPr>
          <w:rFonts w:ascii="Times New Roman" w:hAnsi="Times New Roman"/>
          <w:szCs w:val="24"/>
        </w:rPr>
        <w:t>PIA Staff and Intervenors discussed two of these refinements impacting the Company</w:t>
      </w:r>
      <w:r w:rsidR="006F6CB0">
        <w:rPr>
          <w:rFonts w:ascii="Times New Roman" w:hAnsi="Times New Roman"/>
          <w:szCs w:val="24"/>
        </w:rPr>
        <w:t>’</w:t>
      </w:r>
      <w:r w:rsidR="00AC4EED" w:rsidRPr="00AC4EED">
        <w:rPr>
          <w:rFonts w:ascii="Times New Roman" w:hAnsi="Times New Roman"/>
          <w:szCs w:val="24"/>
        </w:rPr>
        <w:t>s MDS: (i) classification of protection equipment as exclusively customer-related; and (ii) implementation of a specific Zero-Intercept analysis for padmount transformers</w:t>
      </w:r>
      <w:r w:rsidR="00FB0D6D">
        <w:rPr>
          <w:rFonts w:ascii="Times New Roman" w:hAnsi="Times New Roman"/>
          <w:szCs w:val="24"/>
        </w:rPr>
        <w:t>. T</w:t>
      </w:r>
      <w:r w:rsidR="00AC4EED" w:rsidRPr="00AC4EED">
        <w:rPr>
          <w:rFonts w:ascii="Times New Roman" w:hAnsi="Times New Roman"/>
          <w:szCs w:val="24"/>
        </w:rPr>
        <w:t xml:space="preserve">he Company stands by these refinements. However, to demonstrate the minimal impact of these two refinements, the Company removed them from the analysis as shown in </w:t>
      </w:r>
      <w:r w:rsidR="006E050F">
        <w:rPr>
          <w:rFonts w:ascii="Times New Roman" w:hAnsi="Times New Roman"/>
          <w:szCs w:val="24"/>
        </w:rPr>
        <w:t xml:space="preserve">GPC </w:t>
      </w:r>
      <w:r w:rsidR="00AC4EED" w:rsidRPr="00AC4EED">
        <w:rPr>
          <w:rFonts w:ascii="Times New Roman" w:hAnsi="Times New Roman"/>
          <w:szCs w:val="24"/>
        </w:rPr>
        <w:t xml:space="preserve">Exhibit </w:t>
      </w:r>
      <w:r w:rsidR="006E050F">
        <w:rPr>
          <w:rFonts w:ascii="Times New Roman" w:hAnsi="Times New Roman"/>
          <w:szCs w:val="24"/>
        </w:rPr>
        <w:t>46 (</w:t>
      </w:r>
      <w:r w:rsidR="00AC4EED" w:rsidRPr="00AC4EED">
        <w:rPr>
          <w:rFonts w:ascii="Times New Roman" w:hAnsi="Times New Roman"/>
          <w:szCs w:val="24"/>
        </w:rPr>
        <w:t>LTL/LJV-1</w:t>
      </w:r>
      <w:r w:rsidR="006E050F">
        <w:rPr>
          <w:rFonts w:ascii="Times New Roman" w:hAnsi="Times New Roman"/>
          <w:szCs w:val="24"/>
        </w:rPr>
        <w:t>)</w:t>
      </w:r>
      <w:r w:rsidR="00AC4EED" w:rsidRPr="00AC4EED">
        <w:rPr>
          <w:rFonts w:ascii="Times New Roman" w:hAnsi="Times New Roman"/>
          <w:szCs w:val="24"/>
        </w:rPr>
        <w:t>. (</w:t>
      </w:r>
      <w:r w:rsidR="007E340A">
        <w:rPr>
          <w:rFonts w:ascii="Times New Roman" w:hAnsi="Times New Roman"/>
          <w:szCs w:val="24"/>
        </w:rPr>
        <w:t>Tr. 2874</w:t>
      </w:r>
      <w:r w:rsidR="00AC4EED" w:rsidRPr="00AC4EED">
        <w:rPr>
          <w:rFonts w:ascii="Times New Roman" w:hAnsi="Times New Roman"/>
          <w:szCs w:val="24"/>
        </w:rPr>
        <w:t xml:space="preserve">.) As Exhibit </w:t>
      </w:r>
      <w:r w:rsidR="006E050F">
        <w:rPr>
          <w:rFonts w:ascii="Times New Roman" w:hAnsi="Times New Roman"/>
          <w:szCs w:val="24"/>
        </w:rPr>
        <w:t>GPC Exhibit 46 (</w:t>
      </w:r>
      <w:r w:rsidR="00AC4EED" w:rsidRPr="00AC4EED">
        <w:rPr>
          <w:rFonts w:ascii="Times New Roman" w:hAnsi="Times New Roman"/>
          <w:szCs w:val="24"/>
        </w:rPr>
        <w:t>LTL/LJV-1</w:t>
      </w:r>
      <w:r w:rsidR="006E050F">
        <w:rPr>
          <w:rFonts w:ascii="Times New Roman" w:hAnsi="Times New Roman"/>
          <w:szCs w:val="24"/>
        </w:rPr>
        <w:t>)</w:t>
      </w:r>
      <w:r w:rsidR="00AC4EED" w:rsidRPr="00AC4EED">
        <w:rPr>
          <w:rFonts w:ascii="Times New Roman" w:hAnsi="Times New Roman"/>
          <w:szCs w:val="24"/>
        </w:rPr>
        <w:t xml:space="preserve"> shows, removing the refinements challenged by PIA Staff and Intervenors had minimal impact and did not change the Company</w:t>
      </w:r>
      <w:r w:rsidR="006F6CB0">
        <w:rPr>
          <w:rFonts w:ascii="Times New Roman" w:hAnsi="Times New Roman"/>
          <w:szCs w:val="24"/>
        </w:rPr>
        <w:t>’</w:t>
      </w:r>
      <w:r w:rsidR="00AC4EED" w:rsidRPr="00AC4EED">
        <w:rPr>
          <w:rFonts w:ascii="Times New Roman" w:hAnsi="Times New Roman"/>
          <w:szCs w:val="24"/>
        </w:rPr>
        <w:t>s</w:t>
      </w:r>
      <w:r w:rsidR="001828AA">
        <w:rPr>
          <w:rFonts w:ascii="Times New Roman" w:hAnsi="Times New Roman"/>
          <w:szCs w:val="24"/>
        </w:rPr>
        <w:t xml:space="preserve"> Domestic Group </w:t>
      </w:r>
      <w:r w:rsidR="0051715A">
        <w:rPr>
          <w:rFonts w:ascii="Times New Roman" w:hAnsi="Times New Roman"/>
          <w:szCs w:val="24"/>
        </w:rPr>
        <w:t>Basic Service Charge (“</w:t>
      </w:r>
      <w:r w:rsidR="001828AA">
        <w:rPr>
          <w:rFonts w:ascii="Times New Roman" w:hAnsi="Times New Roman"/>
          <w:szCs w:val="24"/>
        </w:rPr>
        <w:t>BSC</w:t>
      </w:r>
      <w:r w:rsidR="0051715A">
        <w:rPr>
          <w:rFonts w:ascii="Times New Roman" w:hAnsi="Times New Roman"/>
          <w:szCs w:val="24"/>
        </w:rPr>
        <w:t>”)</w:t>
      </w:r>
      <w:r w:rsidR="00AC4EED" w:rsidRPr="00AC4EED">
        <w:rPr>
          <w:rFonts w:ascii="Times New Roman" w:hAnsi="Times New Roman"/>
          <w:szCs w:val="24"/>
        </w:rPr>
        <w:t xml:space="preserve"> request in this case. These results, which provide a more direct comparison with previous studies, show customer-related costs for the </w:t>
      </w:r>
      <w:r w:rsidR="00FB0D6D">
        <w:rPr>
          <w:rFonts w:ascii="Times New Roman" w:hAnsi="Times New Roman"/>
          <w:szCs w:val="24"/>
        </w:rPr>
        <w:t xml:space="preserve"> Residential Service (R) tariff (“the </w:t>
      </w:r>
      <w:r w:rsidR="006F6CB0">
        <w:rPr>
          <w:rFonts w:ascii="Times New Roman" w:hAnsi="Times New Roman"/>
          <w:szCs w:val="24"/>
        </w:rPr>
        <w:t>‘</w:t>
      </w:r>
      <w:r w:rsidR="00AC4EED" w:rsidRPr="00AC4EED">
        <w:rPr>
          <w:rFonts w:ascii="Times New Roman" w:hAnsi="Times New Roman"/>
          <w:szCs w:val="24"/>
        </w:rPr>
        <w:t>R</w:t>
      </w:r>
      <w:r w:rsidR="006F6CB0">
        <w:rPr>
          <w:rFonts w:ascii="Times New Roman" w:hAnsi="Times New Roman"/>
          <w:szCs w:val="24"/>
        </w:rPr>
        <w:t>’</w:t>
      </w:r>
      <w:r w:rsidR="00AC4EED" w:rsidRPr="00AC4EED">
        <w:rPr>
          <w:rFonts w:ascii="Times New Roman" w:hAnsi="Times New Roman"/>
          <w:szCs w:val="24"/>
        </w:rPr>
        <w:t xml:space="preserve"> Rate</w:t>
      </w:r>
      <w:r w:rsidR="00FB0D6D">
        <w:rPr>
          <w:rFonts w:ascii="Times New Roman" w:hAnsi="Times New Roman"/>
          <w:szCs w:val="24"/>
        </w:rPr>
        <w:t>”)</w:t>
      </w:r>
      <w:r w:rsidR="00AC4EED" w:rsidRPr="00AC4EED">
        <w:rPr>
          <w:rFonts w:ascii="Times New Roman" w:hAnsi="Times New Roman"/>
          <w:szCs w:val="24"/>
        </w:rPr>
        <w:t xml:space="preserve"> of </w:t>
      </w:r>
      <w:r w:rsidR="00625744">
        <w:rPr>
          <w:rFonts w:ascii="Times New Roman" w:hAnsi="Times New Roman"/>
          <w:szCs w:val="24"/>
        </w:rPr>
        <w:t>more than</w:t>
      </w:r>
      <w:r w:rsidR="00AC4EED" w:rsidRPr="00AC4EED">
        <w:rPr>
          <w:rFonts w:ascii="Times New Roman" w:hAnsi="Times New Roman"/>
          <w:szCs w:val="24"/>
        </w:rPr>
        <w:t xml:space="preserve"> $21 per customer per month, which is similar to the amount shown in the Company</w:t>
      </w:r>
      <w:r w:rsidR="006F6CB0">
        <w:rPr>
          <w:rFonts w:ascii="Times New Roman" w:hAnsi="Times New Roman"/>
          <w:szCs w:val="24"/>
        </w:rPr>
        <w:t>’</w:t>
      </w:r>
      <w:r w:rsidR="00AC4EED" w:rsidRPr="00AC4EED">
        <w:rPr>
          <w:rFonts w:ascii="Times New Roman" w:hAnsi="Times New Roman"/>
          <w:szCs w:val="24"/>
        </w:rPr>
        <w:t>s original study. (</w:t>
      </w:r>
      <w:r w:rsidR="007E340A" w:rsidRPr="00B02172">
        <w:rPr>
          <w:rFonts w:ascii="Times New Roman" w:hAnsi="Times New Roman"/>
          <w:i/>
          <w:szCs w:val="24"/>
        </w:rPr>
        <w:t>Id</w:t>
      </w:r>
      <w:r w:rsidR="00AC4EED" w:rsidRPr="00AC4EED">
        <w:rPr>
          <w:rFonts w:ascii="Times New Roman" w:hAnsi="Times New Roman"/>
          <w:szCs w:val="24"/>
        </w:rPr>
        <w:t>.)</w:t>
      </w:r>
    </w:p>
    <w:p w14:paraId="04A99D14" w14:textId="557ABC98" w:rsidR="00D0798F" w:rsidRDefault="00D0798F" w:rsidP="00263E8D">
      <w:pPr>
        <w:keepNext/>
        <w:widowControl/>
        <w:tabs>
          <w:tab w:val="left" w:pos="720"/>
        </w:tabs>
        <w:overflowPunct/>
        <w:autoSpaceDE/>
        <w:autoSpaceDN/>
        <w:adjustRightInd/>
        <w:spacing w:before="240" w:after="240"/>
        <w:ind w:left="1440" w:hanging="1440"/>
        <w:jc w:val="both"/>
        <w:textAlignment w:val="auto"/>
        <w:rPr>
          <w:rFonts w:ascii="Times New Roman" w:hAnsi="Times New Roman"/>
          <w:szCs w:val="24"/>
        </w:rPr>
      </w:pPr>
      <w:bookmarkStart w:id="43" w:name="_Hlk26111829"/>
      <w:r>
        <w:rPr>
          <w:rFonts w:ascii="Times New Roman" w:hAnsi="Times New Roman"/>
          <w:szCs w:val="24"/>
        </w:rPr>
        <w:tab/>
        <w:t>4.</w:t>
      </w:r>
      <w:r>
        <w:rPr>
          <w:rFonts w:ascii="Times New Roman" w:hAnsi="Times New Roman"/>
          <w:szCs w:val="24"/>
        </w:rPr>
        <w:tab/>
      </w:r>
      <w:r w:rsidRPr="00D0798F">
        <w:rPr>
          <w:rFonts w:ascii="Times New Roman" w:hAnsi="Times New Roman"/>
          <w:szCs w:val="24"/>
          <w:u w:val="single"/>
        </w:rPr>
        <w:t>The Commission should reject PIA Staff</w:t>
      </w:r>
      <w:r w:rsidR="006F6CB0">
        <w:rPr>
          <w:rFonts w:ascii="Times New Roman" w:hAnsi="Times New Roman"/>
          <w:szCs w:val="24"/>
          <w:u w:val="single"/>
        </w:rPr>
        <w:t>’</w:t>
      </w:r>
      <w:r w:rsidRPr="00D0798F">
        <w:rPr>
          <w:rFonts w:ascii="Times New Roman" w:hAnsi="Times New Roman"/>
          <w:szCs w:val="24"/>
          <w:u w:val="single"/>
        </w:rPr>
        <w:t>s proposal to remove MDS costs as a basis for setting the BSC or stripping out the MDS effects on the monthly BSC it proposes</w:t>
      </w:r>
      <w:r>
        <w:rPr>
          <w:rFonts w:ascii="Times New Roman" w:hAnsi="Times New Roman"/>
          <w:szCs w:val="24"/>
        </w:rPr>
        <w:t>.</w:t>
      </w:r>
    </w:p>
    <w:bookmarkEnd w:id="43"/>
    <w:p w14:paraId="04E07E0F" w14:textId="3A96D07C" w:rsidR="00263E8D" w:rsidRPr="00A322F8" w:rsidRDefault="008B2106" w:rsidP="006A0E5C">
      <w:pPr>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00D0798F" w:rsidRPr="00641856">
        <w:rPr>
          <w:rFonts w:ascii="Times New Roman" w:hAnsi="Times New Roman"/>
          <w:szCs w:val="24"/>
        </w:rPr>
        <w:t xml:space="preserve">The MDS study is used to inform the BSC rather than to set the actual BSC amount for rates within the Domestic Group. The distribution costs classified by MDS in the COSS are necessary to appropriately </w:t>
      </w:r>
      <w:r w:rsidR="001828AA">
        <w:rPr>
          <w:rFonts w:ascii="Times New Roman" w:hAnsi="Times New Roman"/>
          <w:szCs w:val="24"/>
        </w:rPr>
        <w:t>classify</w:t>
      </w:r>
      <w:r w:rsidR="001828AA" w:rsidRPr="00641856">
        <w:rPr>
          <w:rFonts w:ascii="Times New Roman" w:hAnsi="Times New Roman"/>
          <w:szCs w:val="24"/>
        </w:rPr>
        <w:t xml:space="preserve"> </w:t>
      </w:r>
      <w:r w:rsidR="00D0798F" w:rsidRPr="00641856">
        <w:rPr>
          <w:rFonts w:ascii="Times New Roman" w:hAnsi="Times New Roman"/>
          <w:szCs w:val="24"/>
        </w:rPr>
        <w:t>the costs between the customer-related or demand-related functions. These are legitimate costs to serve customers and are correctly recognized as customer-related costs, which then inform rate design to properly recover such costs through appropriately designed charges.</w:t>
      </w:r>
      <w:r w:rsidR="00D0798F">
        <w:rPr>
          <w:rFonts w:ascii="Times New Roman" w:hAnsi="Times New Roman"/>
          <w:szCs w:val="24"/>
        </w:rPr>
        <w:t xml:space="preserve"> Therefore, there is no need to remove MDS costs as a basis for setting the</w:t>
      </w:r>
      <w:r w:rsidR="007F4277">
        <w:rPr>
          <w:rFonts w:ascii="Times New Roman" w:hAnsi="Times New Roman"/>
          <w:szCs w:val="24"/>
        </w:rPr>
        <w:t xml:space="preserve"> residential</w:t>
      </w:r>
      <w:r w:rsidR="00D0798F">
        <w:rPr>
          <w:rFonts w:ascii="Times New Roman" w:hAnsi="Times New Roman"/>
          <w:szCs w:val="24"/>
        </w:rPr>
        <w:t xml:space="preserve"> BSC because it</w:t>
      </w:r>
      <w:r w:rsidR="00281A18">
        <w:rPr>
          <w:rFonts w:ascii="Times New Roman" w:hAnsi="Times New Roman"/>
          <w:szCs w:val="24"/>
        </w:rPr>
        <w:t xml:space="preserve"> i</w:t>
      </w:r>
      <w:r w:rsidR="00D0798F">
        <w:rPr>
          <w:rFonts w:ascii="Times New Roman" w:hAnsi="Times New Roman"/>
          <w:szCs w:val="24"/>
        </w:rPr>
        <w:t>s not used to set the BSC.</w:t>
      </w:r>
    </w:p>
    <w:p w14:paraId="35A64DED" w14:textId="7C8073C0" w:rsidR="00A322F8" w:rsidRDefault="00A322F8" w:rsidP="006A0E5C">
      <w:pPr>
        <w:keepNext/>
        <w:keepLines/>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44" w:name="_Hlk26111837"/>
      <w:r w:rsidRPr="00A322F8">
        <w:rPr>
          <w:rFonts w:ascii="Times New Roman" w:hAnsi="Times New Roman"/>
          <w:b/>
          <w:szCs w:val="24"/>
        </w:rPr>
        <w:lastRenderedPageBreak/>
        <w:t>G.</w:t>
      </w:r>
      <w:r w:rsidRPr="00A322F8">
        <w:rPr>
          <w:rFonts w:ascii="Times New Roman" w:hAnsi="Times New Roman"/>
          <w:b/>
          <w:szCs w:val="24"/>
        </w:rPr>
        <w:tab/>
      </w:r>
      <w:r w:rsidRPr="008B2106">
        <w:rPr>
          <w:rFonts w:ascii="Times New Roman" w:hAnsi="Times New Roman"/>
          <w:b/>
          <w:szCs w:val="24"/>
        </w:rPr>
        <w:t>The Company</w:t>
      </w:r>
      <w:r w:rsidR="006F6CB0">
        <w:rPr>
          <w:rFonts w:ascii="Times New Roman" w:hAnsi="Times New Roman"/>
          <w:b/>
          <w:szCs w:val="24"/>
        </w:rPr>
        <w:t>’</w:t>
      </w:r>
      <w:r w:rsidRPr="008B2106">
        <w:rPr>
          <w:rFonts w:ascii="Times New Roman" w:hAnsi="Times New Roman"/>
          <w:b/>
          <w:szCs w:val="24"/>
        </w:rPr>
        <w:t xml:space="preserve">s proposed increase to the BSC </w:t>
      </w:r>
      <w:r w:rsidR="00073997" w:rsidRPr="008B2106">
        <w:rPr>
          <w:rFonts w:ascii="Times New Roman" w:hAnsi="Times New Roman"/>
          <w:b/>
          <w:szCs w:val="24"/>
        </w:rPr>
        <w:t>is a gradual move</w:t>
      </w:r>
      <w:r w:rsidRPr="008B2106">
        <w:rPr>
          <w:rFonts w:ascii="Times New Roman" w:hAnsi="Times New Roman"/>
          <w:b/>
          <w:szCs w:val="24"/>
        </w:rPr>
        <w:t xml:space="preserve"> toward recovering from customers the cost to serve them in a manner consistent </w:t>
      </w:r>
      <w:r w:rsidR="00073997" w:rsidRPr="008B2106">
        <w:rPr>
          <w:rFonts w:ascii="Times New Roman" w:hAnsi="Times New Roman"/>
          <w:b/>
          <w:szCs w:val="24"/>
        </w:rPr>
        <w:t>with how</w:t>
      </w:r>
      <w:r w:rsidRPr="008B2106">
        <w:rPr>
          <w:rFonts w:ascii="Times New Roman" w:hAnsi="Times New Roman"/>
          <w:b/>
          <w:szCs w:val="24"/>
        </w:rPr>
        <w:t xml:space="preserve"> the costs are incurred.</w:t>
      </w:r>
      <w:r w:rsidRPr="00A322F8">
        <w:rPr>
          <w:rFonts w:ascii="Times New Roman" w:hAnsi="Times New Roman"/>
          <w:b/>
          <w:szCs w:val="24"/>
        </w:rPr>
        <w:t xml:space="preserve"> </w:t>
      </w:r>
    </w:p>
    <w:p w14:paraId="48084C26" w14:textId="0DDEEFAB" w:rsidR="00A322F8" w:rsidRDefault="00A322F8" w:rsidP="006A6778">
      <w:pPr>
        <w:keepLines/>
        <w:widowControl/>
        <w:tabs>
          <w:tab w:val="left" w:pos="0"/>
        </w:tabs>
        <w:overflowPunct/>
        <w:autoSpaceDE/>
        <w:autoSpaceDN/>
        <w:adjustRightInd/>
        <w:spacing w:before="240" w:after="240"/>
        <w:ind w:left="1440" w:hanging="720"/>
        <w:jc w:val="both"/>
        <w:textAlignment w:val="auto"/>
        <w:rPr>
          <w:rFonts w:ascii="Times New Roman" w:hAnsi="Times New Roman"/>
          <w:szCs w:val="24"/>
        </w:rPr>
      </w:pPr>
      <w:r>
        <w:rPr>
          <w:rFonts w:ascii="Times New Roman" w:eastAsiaTheme="majorEastAsia" w:hAnsi="Times New Roman"/>
          <w:szCs w:val="24"/>
        </w:rPr>
        <w:t>1.</w:t>
      </w:r>
      <w:r>
        <w:rPr>
          <w:rFonts w:ascii="Times New Roman" w:eastAsiaTheme="majorEastAsia" w:hAnsi="Times New Roman"/>
          <w:szCs w:val="24"/>
        </w:rPr>
        <w:tab/>
      </w:r>
      <w:r w:rsidRPr="004B6D89">
        <w:rPr>
          <w:rFonts w:ascii="Times New Roman" w:hAnsi="Times New Roman"/>
          <w:szCs w:val="24"/>
          <w:u w:val="single"/>
        </w:rPr>
        <w:t>The Company</w:t>
      </w:r>
      <w:r w:rsidR="006F6CB0">
        <w:rPr>
          <w:rFonts w:ascii="Times New Roman" w:hAnsi="Times New Roman"/>
          <w:szCs w:val="24"/>
          <w:u w:val="single"/>
        </w:rPr>
        <w:t>’</w:t>
      </w:r>
      <w:r w:rsidRPr="004B6D89">
        <w:rPr>
          <w:rFonts w:ascii="Times New Roman" w:hAnsi="Times New Roman"/>
          <w:szCs w:val="24"/>
          <w:u w:val="single"/>
        </w:rPr>
        <w:t>s proposal will gradually increase the BSC over the proposed three-year period to more easily transition customers to</w:t>
      </w:r>
      <w:r w:rsidR="00073997" w:rsidRPr="004B6D89">
        <w:rPr>
          <w:rFonts w:ascii="Times New Roman" w:hAnsi="Times New Roman"/>
          <w:szCs w:val="24"/>
          <w:u w:val="single"/>
        </w:rPr>
        <w:t xml:space="preserve"> </w:t>
      </w:r>
      <w:r w:rsidRPr="004B6D89">
        <w:rPr>
          <w:rFonts w:ascii="Times New Roman" w:hAnsi="Times New Roman"/>
          <w:szCs w:val="24"/>
          <w:u w:val="single"/>
        </w:rPr>
        <w:t>paying for fixed costs through fixed charges</w:t>
      </w:r>
      <w:r w:rsidR="007552B8">
        <w:rPr>
          <w:rFonts w:ascii="Times New Roman" w:hAnsi="Times New Roman"/>
          <w:szCs w:val="24"/>
        </w:rPr>
        <w:t>.</w:t>
      </w:r>
    </w:p>
    <w:bookmarkEnd w:id="44"/>
    <w:p w14:paraId="5CEDC8D3" w14:textId="3A96D07C" w:rsidR="004B4F00" w:rsidRPr="004B4F00" w:rsidRDefault="007F71FA" w:rsidP="008F4C0D">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566FF7">
        <w:rPr>
          <w:rFonts w:ascii="Times New Roman" w:hAnsi="Times New Roman"/>
          <w:szCs w:val="24"/>
        </w:rPr>
        <w:t xml:space="preserve">The Company agrees with PIA Staff that gradualism and bill stability are important, although both parties disagree with the appropriate benchmark against which to compare the gradual move. </w:t>
      </w:r>
      <w:r w:rsidR="004B4F00">
        <w:rPr>
          <w:rFonts w:ascii="Times New Roman" w:hAnsi="Times New Roman"/>
          <w:szCs w:val="24"/>
        </w:rPr>
        <w:t>Contrary to PIA Staff</w:t>
      </w:r>
      <w:r w:rsidR="006F6CB0">
        <w:rPr>
          <w:rFonts w:ascii="Times New Roman" w:hAnsi="Times New Roman"/>
          <w:szCs w:val="24"/>
        </w:rPr>
        <w:t>’</w:t>
      </w:r>
      <w:r w:rsidR="004B4F00">
        <w:rPr>
          <w:rFonts w:ascii="Times New Roman" w:hAnsi="Times New Roman"/>
          <w:szCs w:val="24"/>
        </w:rPr>
        <w:t>s assertions, the Company</w:t>
      </w:r>
      <w:r w:rsidR="006F6CB0">
        <w:rPr>
          <w:rFonts w:ascii="Times New Roman" w:hAnsi="Times New Roman"/>
          <w:szCs w:val="24"/>
        </w:rPr>
        <w:t>’</w:t>
      </w:r>
      <w:r w:rsidR="00566FF7">
        <w:rPr>
          <w:rFonts w:ascii="Times New Roman" w:hAnsi="Times New Roman"/>
          <w:szCs w:val="24"/>
        </w:rPr>
        <w:t>s</w:t>
      </w:r>
      <w:r w:rsidR="004B4F00">
        <w:rPr>
          <w:rFonts w:ascii="Times New Roman" w:hAnsi="Times New Roman"/>
          <w:szCs w:val="24"/>
        </w:rPr>
        <w:t xml:space="preserve"> proposed increase in the BSC</w:t>
      </w:r>
      <w:r w:rsidR="00566FF7">
        <w:rPr>
          <w:rFonts w:ascii="Times New Roman" w:hAnsi="Times New Roman"/>
          <w:szCs w:val="24"/>
        </w:rPr>
        <w:t>,</w:t>
      </w:r>
      <w:r w:rsidR="004B4F00">
        <w:rPr>
          <w:rFonts w:ascii="Times New Roman" w:hAnsi="Times New Roman"/>
          <w:szCs w:val="24"/>
        </w:rPr>
        <w:t xml:space="preserve"> </w:t>
      </w:r>
      <w:r w:rsidR="00566FF7" w:rsidRPr="002F2BDB">
        <w:rPr>
          <w:rFonts w:ascii="Times New Roman" w:hAnsi="Times New Roman"/>
          <w:szCs w:val="24"/>
        </w:rPr>
        <w:t>to better align fixed customer costs with the fixed portion of customer rates</w:t>
      </w:r>
      <w:r w:rsidR="00566FF7">
        <w:rPr>
          <w:rFonts w:ascii="Times New Roman" w:hAnsi="Times New Roman"/>
          <w:szCs w:val="24"/>
        </w:rPr>
        <w:t xml:space="preserve">, </w:t>
      </w:r>
      <w:r w:rsidR="004B4F00">
        <w:rPr>
          <w:rFonts w:ascii="Times New Roman" w:hAnsi="Times New Roman"/>
          <w:szCs w:val="24"/>
        </w:rPr>
        <w:t xml:space="preserve">satisfies the principle of gradualism. </w:t>
      </w:r>
      <w:r w:rsidR="009F7F9E">
        <w:rPr>
          <w:rFonts w:ascii="Times New Roman" w:hAnsi="Times New Roman"/>
          <w:szCs w:val="24"/>
        </w:rPr>
        <w:t>PIA Staff assert</w:t>
      </w:r>
      <w:r w:rsidR="00FB0D6D">
        <w:rPr>
          <w:rFonts w:ascii="Times New Roman" w:hAnsi="Times New Roman"/>
          <w:szCs w:val="24"/>
        </w:rPr>
        <w:t>s</w:t>
      </w:r>
      <w:r w:rsidR="009F7F9E">
        <w:rPr>
          <w:rFonts w:ascii="Times New Roman" w:hAnsi="Times New Roman"/>
          <w:szCs w:val="24"/>
        </w:rPr>
        <w:t xml:space="preserve"> that the Company</w:t>
      </w:r>
      <w:r w:rsidR="006F6CB0">
        <w:rPr>
          <w:rFonts w:ascii="Times New Roman" w:hAnsi="Times New Roman"/>
          <w:szCs w:val="24"/>
        </w:rPr>
        <w:t>’</w:t>
      </w:r>
      <w:r w:rsidR="009F7F9E">
        <w:rPr>
          <w:rFonts w:ascii="Times New Roman" w:hAnsi="Times New Roman"/>
          <w:szCs w:val="24"/>
        </w:rPr>
        <w:t>s proposed change in the BSC relative to the other components of customer rates is not gradual. (</w:t>
      </w:r>
      <w:r w:rsidR="00AA68B2">
        <w:rPr>
          <w:rFonts w:ascii="Times New Roman" w:hAnsi="Times New Roman"/>
          <w:i/>
          <w:szCs w:val="24"/>
        </w:rPr>
        <w:t>See</w:t>
      </w:r>
      <w:r w:rsidR="00AA68B2">
        <w:rPr>
          <w:rFonts w:ascii="Times New Roman" w:hAnsi="Times New Roman"/>
          <w:szCs w:val="24"/>
        </w:rPr>
        <w:t xml:space="preserve"> Tr. 1646</w:t>
      </w:r>
      <w:r w:rsidR="009F7F9E">
        <w:rPr>
          <w:rFonts w:ascii="Times New Roman" w:hAnsi="Times New Roman"/>
          <w:szCs w:val="24"/>
        </w:rPr>
        <w:t>.) However, i</w:t>
      </w:r>
      <w:r w:rsidR="004B4F00" w:rsidRPr="004B4F00">
        <w:rPr>
          <w:rFonts w:ascii="Times New Roman" w:hAnsi="Times New Roman"/>
          <w:szCs w:val="24"/>
        </w:rPr>
        <w:t xml:space="preserve">solating a single component of a rate does not mean that the </w:t>
      </w:r>
      <w:r w:rsidR="009F7F9E">
        <w:rPr>
          <w:rFonts w:ascii="Times New Roman" w:hAnsi="Times New Roman"/>
          <w:szCs w:val="24"/>
        </w:rPr>
        <w:t>Company</w:t>
      </w:r>
      <w:r w:rsidR="006F6CB0">
        <w:rPr>
          <w:rFonts w:ascii="Times New Roman" w:hAnsi="Times New Roman"/>
          <w:szCs w:val="24"/>
        </w:rPr>
        <w:t>’</w:t>
      </w:r>
      <w:r w:rsidR="009F7F9E">
        <w:rPr>
          <w:rFonts w:ascii="Times New Roman" w:hAnsi="Times New Roman"/>
          <w:szCs w:val="24"/>
        </w:rPr>
        <w:t xml:space="preserve">s </w:t>
      </w:r>
      <w:r w:rsidR="004B4F00" w:rsidRPr="004B4F00">
        <w:rPr>
          <w:rFonts w:ascii="Times New Roman" w:hAnsi="Times New Roman"/>
          <w:szCs w:val="24"/>
        </w:rPr>
        <w:t xml:space="preserve">whole rate design proposal is not gradual because all components of the rate collectively are used to determine the overall impact to customer bills. </w:t>
      </w:r>
      <w:r w:rsidR="0074212A">
        <w:rPr>
          <w:rFonts w:ascii="Times New Roman" w:hAnsi="Times New Roman"/>
          <w:szCs w:val="24"/>
        </w:rPr>
        <w:t>(</w:t>
      </w:r>
      <w:r w:rsidR="00AA68B2">
        <w:rPr>
          <w:rFonts w:ascii="Times New Roman" w:hAnsi="Times New Roman"/>
          <w:szCs w:val="24"/>
        </w:rPr>
        <w:t>Tr. 2875</w:t>
      </w:r>
      <w:r w:rsidR="0074212A">
        <w:rPr>
          <w:rFonts w:ascii="Times New Roman" w:hAnsi="Times New Roman"/>
          <w:szCs w:val="24"/>
        </w:rPr>
        <w:t xml:space="preserve">.) </w:t>
      </w:r>
    </w:p>
    <w:p w14:paraId="015E197D" w14:textId="20F18F46" w:rsidR="00A322F8" w:rsidRDefault="00A322F8" w:rsidP="006A677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45" w:name="_Hlk26111843"/>
      <w:r w:rsidRPr="00A322F8">
        <w:rPr>
          <w:rFonts w:ascii="Times New Roman" w:hAnsi="Times New Roman"/>
          <w:szCs w:val="24"/>
        </w:rPr>
        <w:t>2.</w:t>
      </w:r>
      <w:r w:rsidRPr="00A322F8">
        <w:rPr>
          <w:rFonts w:ascii="Times New Roman" w:hAnsi="Times New Roman"/>
          <w:szCs w:val="24"/>
        </w:rPr>
        <w:tab/>
      </w:r>
      <w:r w:rsidRPr="004B6D89">
        <w:rPr>
          <w:rFonts w:ascii="Times New Roman" w:hAnsi="Times New Roman"/>
          <w:szCs w:val="24"/>
          <w:u w:val="single"/>
        </w:rPr>
        <w:t>Continu</w:t>
      </w:r>
      <w:r w:rsidR="00073997" w:rsidRPr="004B6D89">
        <w:rPr>
          <w:rFonts w:ascii="Times New Roman" w:hAnsi="Times New Roman"/>
          <w:szCs w:val="24"/>
          <w:u w:val="single"/>
        </w:rPr>
        <w:t>ing</w:t>
      </w:r>
      <w:r w:rsidRPr="004B6D89">
        <w:rPr>
          <w:rFonts w:ascii="Times New Roman" w:hAnsi="Times New Roman"/>
          <w:szCs w:val="24"/>
          <w:u w:val="single"/>
        </w:rPr>
        <w:t xml:space="preserve"> to collect </w:t>
      </w:r>
      <w:r w:rsidR="008469A0">
        <w:rPr>
          <w:rFonts w:ascii="Times New Roman" w:hAnsi="Times New Roman"/>
          <w:szCs w:val="24"/>
          <w:u w:val="single"/>
        </w:rPr>
        <w:t>the Company</w:t>
      </w:r>
      <w:r w:rsidR="006F6CB0">
        <w:rPr>
          <w:rFonts w:ascii="Times New Roman" w:hAnsi="Times New Roman"/>
          <w:szCs w:val="24"/>
          <w:u w:val="single"/>
        </w:rPr>
        <w:t>’</w:t>
      </w:r>
      <w:r w:rsidR="008469A0">
        <w:rPr>
          <w:rFonts w:ascii="Times New Roman" w:hAnsi="Times New Roman"/>
          <w:szCs w:val="24"/>
          <w:u w:val="single"/>
        </w:rPr>
        <w:t xml:space="preserve">s </w:t>
      </w:r>
      <w:r w:rsidRPr="004B6D89">
        <w:rPr>
          <w:rFonts w:ascii="Times New Roman" w:hAnsi="Times New Roman"/>
          <w:szCs w:val="24"/>
          <w:u w:val="single"/>
        </w:rPr>
        <w:t>fixed costs to serve through</w:t>
      </w:r>
      <w:r w:rsidR="008469A0">
        <w:rPr>
          <w:rFonts w:ascii="Times New Roman" w:hAnsi="Times New Roman"/>
          <w:szCs w:val="24"/>
          <w:u w:val="single"/>
        </w:rPr>
        <w:t xml:space="preserve"> variable</w:t>
      </w:r>
      <w:r w:rsidRPr="004B6D89">
        <w:rPr>
          <w:rFonts w:ascii="Times New Roman" w:hAnsi="Times New Roman"/>
          <w:szCs w:val="24"/>
          <w:u w:val="single"/>
        </w:rPr>
        <w:t xml:space="preserve"> energy rates </w:t>
      </w:r>
      <w:r w:rsidR="0042346E">
        <w:rPr>
          <w:rFonts w:ascii="Times New Roman" w:hAnsi="Times New Roman"/>
          <w:szCs w:val="24"/>
          <w:u w:val="single"/>
        </w:rPr>
        <w:t xml:space="preserve">as proposed by PIA Staff and Intervenors </w:t>
      </w:r>
      <w:r w:rsidRPr="004B6D89">
        <w:rPr>
          <w:rFonts w:ascii="Times New Roman" w:hAnsi="Times New Roman"/>
          <w:szCs w:val="24"/>
          <w:u w:val="single"/>
        </w:rPr>
        <w:t>will lead to</w:t>
      </w:r>
      <w:r w:rsidR="008469A0">
        <w:rPr>
          <w:rFonts w:ascii="Times New Roman" w:hAnsi="Times New Roman"/>
          <w:szCs w:val="24"/>
          <w:u w:val="single"/>
        </w:rPr>
        <w:t xml:space="preserve"> further</w:t>
      </w:r>
      <w:r w:rsidRPr="004B6D89">
        <w:rPr>
          <w:rFonts w:ascii="Times New Roman" w:hAnsi="Times New Roman"/>
          <w:szCs w:val="24"/>
          <w:u w:val="single"/>
        </w:rPr>
        <w:t xml:space="preserve"> cost shifting</w:t>
      </w:r>
      <w:r w:rsidR="007552B8">
        <w:rPr>
          <w:rFonts w:ascii="Times New Roman" w:hAnsi="Times New Roman"/>
          <w:szCs w:val="24"/>
        </w:rPr>
        <w:t>.</w:t>
      </w:r>
      <w:r w:rsidR="002F2BDB">
        <w:rPr>
          <w:rFonts w:ascii="Times New Roman" w:hAnsi="Times New Roman"/>
          <w:szCs w:val="24"/>
        </w:rPr>
        <w:t xml:space="preserve"> </w:t>
      </w:r>
    </w:p>
    <w:bookmarkEnd w:id="45"/>
    <w:p w14:paraId="166F7AE1" w14:textId="60B3102F" w:rsidR="004558B0" w:rsidRDefault="004558B0" w:rsidP="009668EA">
      <w:pPr>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00FC7558" w:rsidRPr="00FC7558">
        <w:rPr>
          <w:rFonts w:ascii="Times New Roman" w:hAnsi="Times New Roman"/>
          <w:szCs w:val="24"/>
        </w:rPr>
        <w:t>PIA Staff and Intervenor arguments for minimal or no change in the BSC would prevent the Company from sufficiently recovering the Company</w:t>
      </w:r>
      <w:r w:rsidR="006F6CB0">
        <w:rPr>
          <w:rFonts w:ascii="Times New Roman" w:hAnsi="Times New Roman"/>
          <w:szCs w:val="24"/>
        </w:rPr>
        <w:t>’</w:t>
      </w:r>
      <w:r w:rsidR="00FC7558" w:rsidRPr="00FC7558">
        <w:rPr>
          <w:rFonts w:ascii="Times New Roman" w:hAnsi="Times New Roman"/>
          <w:szCs w:val="24"/>
        </w:rPr>
        <w:t xml:space="preserve">s fixed costs to serve customers and will cause the Company to recover these costs through increases to variable energy rates. </w:t>
      </w:r>
      <w:r w:rsidR="000A4924">
        <w:rPr>
          <w:rFonts w:ascii="Times New Roman" w:hAnsi="Times New Roman"/>
          <w:szCs w:val="24"/>
        </w:rPr>
        <w:t xml:space="preserve">(Tr. 2905.) </w:t>
      </w:r>
      <w:r w:rsidR="0042346E">
        <w:rPr>
          <w:rFonts w:ascii="Times New Roman" w:hAnsi="Times New Roman"/>
          <w:szCs w:val="24"/>
        </w:rPr>
        <w:t xml:space="preserve">Such an approach maintains the status quo, </w:t>
      </w:r>
      <w:r>
        <w:rPr>
          <w:rFonts w:ascii="Times New Roman" w:hAnsi="Times New Roman"/>
          <w:szCs w:val="24"/>
        </w:rPr>
        <w:t>leaves the Company</w:t>
      </w:r>
      <w:r w:rsidR="006F6CB0">
        <w:rPr>
          <w:rFonts w:ascii="Times New Roman" w:hAnsi="Times New Roman"/>
          <w:szCs w:val="24"/>
        </w:rPr>
        <w:t>’</w:t>
      </w:r>
      <w:r>
        <w:rPr>
          <w:rFonts w:ascii="Times New Roman" w:hAnsi="Times New Roman"/>
          <w:szCs w:val="24"/>
        </w:rPr>
        <w:t xml:space="preserve">s fixed costs under-recovered and </w:t>
      </w:r>
      <w:r w:rsidR="00FC7558" w:rsidRPr="00FC7558">
        <w:rPr>
          <w:rFonts w:ascii="Times New Roman" w:hAnsi="Times New Roman"/>
          <w:szCs w:val="24"/>
        </w:rPr>
        <w:t>is not in</w:t>
      </w:r>
      <w:r>
        <w:rPr>
          <w:rFonts w:ascii="Times New Roman" w:hAnsi="Times New Roman"/>
          <w:szCs w:val="24"/>
        </w:rPr>
        <w:t xml:space="preserve"> </w:t>
      </w:r>
      <w:r w:rsidR="008E1DF4">
        <w:rPr>
          <w:rFonts w:ascii="Times New Roman" w:hAnsi="Times New Roman"/>
          <w:szCs w:val="24"/>
        </w:rPr>
        <w:t xml:space="preserve">the </w:t>
      </w:r>
      <w:r>
        <w:rPr>
          <w:rFonts w:ascii="Times New Roman" w:hAnsi="Times New Roman"/>
          <w:szCs w:val="24"/>
        </w:rPr>
        <w:t>long</w:t>
      </w:r>
      <w:r w:rsidR="00FB0D6D">
        <w:rPr>
          <w:rFonts w:ascii="Times New Roman" w:hAnsi="Times New Roman"/>
          <w:szCs w:val="24"/>
        </w:rPr>
        <w:t>-</w:t>
      </w:r>
      <w:r>
        <w:rPr>
          <w:rFonts w:ascii="Times New Roman" w:hAnsi="Times New Roman"/>
          <w:szCs w:val="24"/>
        </w:rPr>
        <w:t>term</w:t>
      </w:r>
      <w:r w:rsidR="00FC7558" w:rsidRPr="00FC7558">
        <w:rPr>
          <w:rFonts w:ascii="Times New Roman" w:hAnsi="Times New Roman"/>
          <w:szCs w:val="24"/>
        </w:rPr>
        <w:t xml:space="preserve"> best interest of customers or the Company</w:t>
      </w:r>
      <w:r>
        <w:rPr>
          <w:rFonts w:ascii="Times New Roman" w:hAnsi="Times New Roman"/>
          <w:szCs w:val="24"/>
        </w:rPr>
        <w:t xml:space="preserve">. </w:t>
      </w:r>
      <w:r w:rsidR="00916A1D">
        <w:rPr>
          <w:rFonts w:ascii="Times New Roman" w:hAnsi="Times New Roman"/>
          <w:szCs w:val="24"/>
        </w:rPr>
        <w:t>Notably</w:t>
      </w:r>
      <w:r w:rsidR="004338D5">
        <w:rPr>
          <w:rFonts w:ascii="Times New Roman" w:hAnsi="Times New Roman"/>
          <w:szCs w:val="24"/>
        </w:rPr>
        <w:t xml:space="preserve">, </w:t>
      </w:r>
      <w:r w:rsidR="00221C46">
        <w:rPr>
          <w:rFonts w:ascii="Times New Roman" w:hAnsi="Times New Roman"/>
          <w:szCs w:val="24"/>
        </w:rPr>
        <w:t xml:space="preserve">PIA Staff </w:t>
      </w:r>
      <w:r w:rsidR="004D44D3" w:rsidRPr="004D44D3">
        <w:rPr>
          <w:rFonts w:ascii="Times New Roman" w:hAnsi="Times New Roman"/>
          <w:szCs w:val="24"/>
        </w:rPr>
        <w:t>acknowledges that lowering the BSC “would likely result in higher energy charges to align rates to recover the revenue requirement, all else being equal.” (Tr. 1674-75.) PIA Staff</w:t>
      </w:r>
      <w:r w:rsidR="006F6CB0">
        <w:rPr>
          <w:rFonts w:ascii="Times New Roman" w:hAnsi="Times New Roman"/>
          <w:szCs w:val="24"/>
        </w:rPr>
        <w:t>’</w:t>
      </w:r>
      <w:r>
        <w:rPr>
          <w:rFonts w:ascii="Times New Roman" w:hAnsi="Times New Roman"/>
          <w:szCs w:val="24"/>
        </w:rPr>
        <w:t xml:space="preserve">s </w:t>
      </w:r>
      <w:r w:rsidR="009668EA">
        <w:rPr>
          <w:rFonts w:ascii="Times New Roman" w:hAnsi="Times New Roman"/>
          <w:szCs w:val="24"/>
        </w:rPr>
        <w:t xml:space="preserve">clear </w:t>
      </w:r>
      <w:r w:rsidR="009668EA">
        <w:rPr>
          <w:rFonts w:ascii="Times New Roman" w:hAnsi="Times New Roman"/>
          <w:szCs w:val="24"/>
        </w:rPr>
        <w:lastRenderedPageBreak/>
        <w:t>preference to collect</w:t>
      </w:r>
      <w:r w:rsidR="004D44D3" w:rsidRPr="004D44D3">
        <w:rPr>
          <w:rFonts w:ascii="Times New Roman" w:hAnsi="Times New Roman"/>
          <w:szCs w:val="24"/>
        </w:rPr>
        <w:t xml:space="preserve"> the increase in the cost to serve customers through the variable, energy portion of the rate</w:t>
      </w:r>
      <w:r w:rsidR="009668EA">
        <w:rPr>
          <w:rFonts w:ascii="Times New Roman" w:hAnsi="Times New Roman"/>
          <w:szCs w:val="24"/>
        </w:rPr>
        <w:t xml:space="preserve"> evidences PIA Staff</w:t>
      </w:r>
      <w:r w:rsidR="006F6CB0">
        <w:rPr>
          <w:rFonts w:ascii="Times New Roman" w:hAnsi="Times New Roman"/>
          <w:szCs w:val="24"/>
        </w:rPr>
        <w:t>’</w:t>
      </w:r>
      <w:r w:rsidR="009668EA">
        <w:rPr>
          <w:rFonts w:ascii="Times New Roman" w:hAnsi="Times New Roman"/>
          <w:szCs w:val="24"/>
        </w:rPr>
        <w:t>s growing neutrality toward cost shifting and intra-class subsidies.</w:t>
      </w:r>
      <w:r>
        <w:rPr>
          <w:rFonts w:ascii="Times New Roman" w:hAnsi="Times New Roman"/>
          <w:szCs w:val="24"/>
        </w:rPr>
        <w:t xml:space="preserve"> </w:t>
      </w:r>
    </w:p>
    <w:p w14:paraId="12046F0F" w14:textId="44008AC1" w:rsidR="00A322F8" w:rsidRDefault="00A322F8" w:rsidP="006A677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46" w:name="_Hlk26111854"/>
      <w:r w:rsidRPr="00A322F8">
        <w:rPr>
          <w:rFonts w:ascii="Times New Roman" w:hAnsi="Times New Roman"/>
          <w:szCs w:val="24"/>
        </w:rPr>
        <w:t>3.</w:t>
      </w:r>
      <w:r w:rsidRPr="00A322F8">
        <w:rPr>
          <w:rFonts w:ascii="Times New Roman" w:hAnsi="Times New Roman"/>
          <w:szCs w:val="24"/>
        </w:rPr>
        <w:tab/>
      </w:r>
      <w:r w:rsidRPr="004B6D89">
        <w:rPr>
          <w:rFonts w:ascii="Times New Roman" w:hAnsi="Times New Roman"/>
          <w:szCs w:val="24"/>
          <w:u w:val="single"/>
        </w:rPr>
        <w:t>The Company</w:t>
      </w:r>
      <w:r w:rsidR="006F6CB0">
        <w:rPr>
          <w:rFonts w:ascii="Times New Roman" w:hAnsi="Times New Roman"/>
          <w:szCs w:val="24"/>
          <w:u w:val="single"/>
        </w:rPr>
        <w:t>’</w:t>
      </w:r>
      <w:r w:rsidRPr="004B6D89">
        <w:rPr>
          <w:rFonts w:ascii="Times New Roman" w:hAnsi="Times New Roman"/>
          <w:szCs w:val="24"/>
          <w:u w:val="single"/>
        </w:rPr>
        <w:t>s propose</w:t>
      </w:r>
      <w:r w:rsidR="00073997" w:rsidRPr="004B6D89">
        <w:rPr>
          <w:rFonts w:ascii="Times New Roman" w:hAnsi="Times New Roman"/>
          <w:szCs w:val="24"/>
          <w:u w:val="single"/>
        </w:rPr>
        <w:t>d</w:t>
      </w:r>
      <w:r w:rsidRPr="004B6D89">
        <w:rPr>
          <w:rFonts w:ascii="Times New Roman" w:hAnsi="Times New Roman"/>
          <w:szCs w:val="24"/>
          <w:u w:val="single"/>
        </w:rPr>
        <w:t xml:space="preserve"> </w:t>
      </w:r>
      <w:r w:rsidR="00073997" w:rsidRPr="004B6D89">
        <w:rPr>
          <w:rFonts w:ascii="Times New Roman" w:hAnsi="Times New Roman"/>
          <w:szCs w:val="24"/>
          <w:u w:val="single"/>
        </w:rPr>
        <w:t>change to</w:t>
      </w:r>
      <w:r w:rsidRPr="004B6D89">
        <w:rPr>
          <w:rFonts w:ascii="Times New Roman" w:hAnsi="Times New Roman"/>
          <w:szCs w:val="24"/>
          <w:u w:val="single"/>
        </w:rPr>
        <w:t xml:space="preserve"> the BSC does not discourage energy efficiency or distributed generation</w:t>
      </w:r>
      <w:r w:rsidR="007552B8">
        <w:rPr>
          <w:rFonts w:ascii="Times New Roman" w:hAnsi="Times New Roman"/>
          <w:szCs w:val="24"/>
        </w:rPr>
        <w:t>.</w:t>
      </w:r>
    </w:p>
    <w:bookmarkEnd w:id="46"/>
    <w:p w14:paraId="487BBA0E" w14:textId="5599385C" w:rsidR="00641856" w:rsidRDefault="00051890" w:rsidP="00346BAB">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FC7558" w:rsidRPr="00FC7558">
        <w:rPr>
          <w:rFonts w:ascii="Times New Roman" w:hAnsi="Times New Roman"/>
          <w:szCs w:val="24"/>
        </w:rPr>
        <w:t>Contrary to PIA Staff and Intervenor allegations, the Company</w:t>
      </w:r>
      <w:r w:rsidR="006F6CB0">
        <w:rPr>
          <w:rFonts w:ascii="Times New Roman" w:hAnsi="Times New Roman"/>
          <w:szCs w:val="24"/>
        </w:rPr>
        <w:t>’</w:t>
      </w:r>
      <w:r w:rsidR="00FC7558" w:rsidRPr="00FC7558">
        <w:rPr>
          <w:rFonts w:ascii="Times New Roman" w:hAnsi="Times New Roman"/>
          <w:szCs w:val="24"/>
        </w:rPr>
        <w:t>s proposed changes to the BSC won</w:t>
      </w:r>
      <w:r w:rsidR="006F6CB0">
        <w:rPr>
          <w:rFonts w:ascii="Times New Roman" w:hAnsi="Times New Roman"/>
          <w:szCs w:val="24"/>
        </w:rPr>
        <w:t>’</w:t>
      </w:r>
      <w:r w:rsidR="00FC7558" w:rsidRPr="00FC7558">
        <w:rPr>
          <w:rFonts w:ascii="Times New Roman" w:hAnsi="Times New Roman"/>
          <w:szCs w:val="24"/>
        </w:rPr>
        <w:t xml:space="preserve">t discourage energy efficiency or distributed </w:t>
      </w:r>
      <w:r w:rsidR="00FC7558" w:rsidRPr="00221C46">
        <w:rPr>
          <w:rFonts w:ascii="Times New Roman" w:hAnsi="Times New Roman"/>
          <w:szCs w:val="24"/>
        </w:rPr>
        <w:t xml:space="preserve">generation. </w:t>
      </w:r>
      <w:r w:rsidR="009D1690" w:rsidRPr="00221C46">
        <w:rPr>
          <w:rFonts w:ascii="Times New Roman" w:hAnsi="Times New Roman"/>
          <w:szCs w:val="24"/>
        </w:rPr>
        <w:t>(Tr. 2905.)</w:t>
      </w:r>
      <w:r w:rsidR="009D1690">
        <w:rPr>
          <w:rFonts w:ascii="Times New Roman" w:hAnsi="Times New Roman"/>
          <w:szCs w:val="24"/>
        </w:rPr>
        <w:t xml:space="preserve"> </w:t>
      </w:r>
      <w:r w:rsidR="00FC7558" w:rsidRPr="00FC7558">
        <w:rPr>
          <w:rFonts w:ascii="Times New Roman" w:hAnsi="Times New Roman"/>
          <w:szCs w:val="24"/>
        </w:rPr>
        <w:t xml:space="preserve">In fact, </w:t>
      </w:r>
      <w:r w:rsidR="004A55C9">
        <w:rPr>
          <w:rFonts w:ascii="Times New Roman" w:hAnsi="Times New Roman"/>
          <w:szCs w:val="24"/>
        </w:rPr>
        <w:t>t</w:t>
      </w:r>
      <w:r w:rsidR="00641856" w:rsidRPr="00641856">
        <w:rPr>
          <w:rFonts w:ascii="Times New Roman" w:hAnsi="Times New Roman"/>
          <w:szCs w:val="24"/>
        </w:rPr>
        <w:t>he Company</w:t>
      </w:r>
      <w:r w:rsidR="006F6CB0">
        <w:rPr>
          <w:rFonts w:ascii="Times New Roman" w:hAnsi="Times New Roman"/>
          <w:szCs w:val="24"/>
        </w:rPr>
        <w:t>’</w:t>
      </w:r>
      <w:r w:rsidR="00641856" w:rsidRPr="00641856">
        <w:rPr>
          <w:rFonts w:ascii="Times New Roman" w:hAnsi="Times New Roman"/>
          <w:szCs w:val="24"/>
        </w:rPr>
        <w:t xml:space="preserve">s proposed rate design actually increases the value of conservation, energy efficiency, and distributed generation. </w:t>
      </w:r>
      <w:r w:rsidR="004338D5">
        <w:rPr>
          <w:rFonts w:ascii="Times New Roman" w:hAnsi="Times New Roman"/>
          <w:szCs w:val="24"/>
        </w:rPr>
        <w:t>(</w:t>
      </w:r>
      <w:r w:rsidR="006A0A59">
        <w:rPr>
          <w:rFonts w:ascii="Times New Roman" w:hAnsi="Times New Roman"/>
          <w:szCs w:val="24"/>
        </w:rPr>
        <w:t>Tr. 2877</w:t>
      </w:r>
      <w:r w:rsidR="004338D5">
        <w:rPr>
          <w:rFonts w:ascii="Times New Roman" w:hAnsi="Times New Roman"/>
          <w:szCs w:val="24"/>
        </w:rPr>
        <w:t xml:space="preserve">.) </w:t>
      </w:r>
      <w:r w:rsidR="00641856" w:rsidRPr="00641856">
        <w:rPr>
          <w:rFonts w:ascii="Times New Roman" w:hAnsi="Times New Roman"/>
          <w:szCs w:val="24"/>
        </w:rPr>
        <w:t>The Company</w:t>
      </w:r>
      <w:r w:rsidR="006F6CB0">
        <w:rPr>
          <w:rFonts w:ascii="Times New Roman" w:hAnsi="Times New Roman"/>
          <w:szCs w:val="24"/>
        </w:rPr>
        <w:t>’</w:t>
      </w:r>
      <w:r w:rsidR="00641856" w:rsidRPr="00641856">
        <w:rPr>
          <w:rFonts w:ascii="Times New Roman" w:hAnsi="Times New Roman"/>
          <w:szCs w:val="24"/>
        </w:rPr>
        <w:t>s rates proposed in the ARP include higher energy charges for all rates within the Domestic Group, which provides a greater financial incentive to pursue these options in the future.</w:t>
      </w:r>
    </w:p>
    <w:p w14:paraId="0AC1AF91" w14:textId="46691262" w:rsidR="004A55C9" w:rsidRPr="00A322F8" w:rsidRDefault="00051890" w:rsidP="00346BAB">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r>
      <w:r w:rsidR="00A167B2">
        <w:rPr>
          <w:rFonts w:ascii="Times New Roman" w:hAnsi="Times New Roman"/>
          <w:szCs w:val="24"/>
        </w:rPr>
        <w:t>As explained by Witness Legg, currently the Company</w:t>
      </w:r>
      <w:r w:rsidR="006F6CB0">
        <w:rPr>
          <w:rFonts w:ascii="Times New Roman" w:hAnsi="Times New Roman"/>
          <w:szCs w:val="24"/>
        </w:rPr>
        <w:t>’</w:t>
      </w:r>
      <w:r w:rsidR="00A167B2">
        <w:rPr>
          <w:rFonts w:ascii="Times New Roman" w:hAnsi="Times New Roman"/>
          <w:szCs w:val="24"/>
        </w:rPr>
        <w:t xml:space="preserve">s BSC for the </w:t>
      </w:r>
      <w:r w:rsidR="00E45DA5">
        <w:rPr>
          <w:rFonts w:ascii="Times New Roman" w:hAnsi="Times New Roman"/>
          <w:szCs w:val="24"/>
        </w:rPr>
        <w:t xml:space="preserve">typical </w:t>
      </w:r>
      <w:r w:rsidR="00A167B2">
        <w:rPr>
          <w:rFonts w:ascii="Times New Roman" w:hAnsi="Times New Roman"/>
          <w:szCs w:val="24"/>
        </w:rPr>
        <w:t xml:space="preserve">residential </w:t>
      </w:r>
      <w:r w:rsidR="006F6CB0">
        <w:rPr>
          <w:rFonts w:ascii="Times New Roman" w:hAnsi="Times New Roman"/>
          <w:szCs w:val="24"/>
        </w:rPr>
        <w:t>‘</w:t>
      </w:r>
      <w:r w:rsidR="00A167B2">
        <w:rPr>
          <w:rFonts w:ascii="Times New Roman" w:hAnsi="Times New Roman"/>
          <w:szCs w:val="24"/>
        </w:rPr>
        <w:t>R</w:t>
      </w:r>
      <w:r w:rsidR="006F6CB0">
        <w:rPr>
          <w:rFonts w:ascii="Times New Roman" w:hAnsi="Times New Roman"/>
          <w:szCs w:val="24"/>
        </w:rPr>
        <w:t>’</w:t>
      </w:r>
      <w:r w:rsidR="00A167B2">
        <w:rPr>
          <w:rFonts w:ascii="Times New Roman" w:hAnsi="Times New Roman"/>
          <w:szCs w:val="24"/>
        </w:rPr>
        <w:t xml:space="preserve"> </w:t>
      </w:r>
      <w:r w:rsidR="00B6174A">
        <w:rPr>
          <w:rFonts w:ascii="Times New Roman" w:hAnsi="Times New Roman"/>
          <w:szCs w:val="24"/>
        </w:rPr>
        <w:t xml:space="preserve">Rate customer </w:t>
      </w:r>
      <w:r w:rsidR="00A167B2">
        <w:rPr>
          <w:rFonts w:ascii="Times New Roman" w:hAnsi="Times New Roman"/>
          <w:szCs w:val="24"/>
        </w:rPr>
        <w:t>is 10% of the</w:t>
      </w:r>
      <w:r w:rsidR="00B6174A">
        <w:rPr>
          <w:rFonts w:ascii="Times New Roman" w:hAnsi="Times New Roman"/>
          <w:szCs w:val="24"/>
        </w:rPr>
        <w:t>ir</w:t>
      </w:r>
      <w:r w:rsidR="00A167B2">
        <w:rPr>
          <w:rFonts w:ascii="Times New Roman" w:hAnsi="Times New Roman"/>
          <w:szCs w:val="24"/>
        </w:rPr>
        <w:t xml:space="preserve"> bill</w:t>
      </w:r>
      <w:r>
        <w:rPr>
          <w:rFonts w:ascii="Times New Roman" w:hAnsi="Times New Roman"/>
          <w:szCs w:val="24"/>
        </w:rPr>
        <w:t>,</w:t>
      </w:r>
      <w:r w:rsidR="00A167B2">
        <w:rPr>
          <w:rFonts w:ascii="Times New Roman" w:hAnsi="Times New Roman"/>
          <w:szCs w:val="24"/>
        </w:rPr>
        <w:t xml:space="preserve"> which leaves 90% of the bill </w:t>
      </w:r>
      <w:r>
        <w:rPr>
          <w:rFonts w:ascii="Times New Roman" w:hAnsi="Times New Roman"/>
          <w:szCs w:val="24"/>
        </w:rPr>
        <w:t>based on the customer</w:t>
      </w:r>
      <w:r w:rsidR="006F6CB0">
        <w:rPr>
          <w:rFonts w:ascii="Times New Roman" w:hAnsi="Times New Roman"/>
          <w:szCs w:val="24"/>
        </w:rPr>
        <w:t>’</w:t>
      </w:r>
      <w:r>
        <w:rPr>
          <w:rFonts w:ascii="Times New Roman" w:hAnsi="Times New Roman"/>
          <w:szCs w:val="24"/>
        </w:rPr>
        <w:t xml:space="preserve">s energy usage which is within the </w:t>
      </w:r>
      <w:r w:rsidR="00A167B2">
        <w:rPr>
          <w:rFonts w:ascii="Times New Roman" w:hAnsi="Times New Roman"/>
          <w:szCs w:val="24"/>
        </w:rPr>
        <w:t>customer</w:t>
      </w:r>
      <w:r w:rsidR="006F6CB0">
        <w:rPr>
          <w:rFonts w:ascii="Times New Roman" w:hAnsi="Times New Roman"/>
          <w:szCs w:val="24"/>
        </w:rPr>
        <w:t>’</w:t>
      </w:r>
      <w:r>
        <w:rPr>
          <w:rFonts w:ascii="Times New Roman" w:hAnsi="Times New Roman"/>
          <w:szCs w:val="24"/>
        </w:rPr>
        <w:t xml:space="preserve">s </w:t>
      </w:r>
      <w:r w:rsidR="00A167B2">
        <w:rPr>
          <w:rFonts w:ascii="Times New Roman" w:hAnsi="Times New Roman"/>
          <w:szCs w:val="24"/>
        </w:rPr>
        <w:t>control</w:t>
      </w:r>
      <w:r>
        <w:rPr>
          <w:rFonts w:ascii="Times New Roman" w:hAnsi="Times New Roman"/>
          <w:szCs w:val="24"/>
        </w:rPr>
        <w:t xml:space="preserve">. </w:t>
      </w:r>
      <w:r w:rsidR="004338D5">
        <w:rPr>
          <w:rFonts w:ascii="Times New Roman" w:hAnsi="Times New Roman"/>
          <w:szCs w:val="24"/>
        </w:rPr>
        <w:t>(</w:t>
      </w:r>
      <w:r w:rsidR="006A0A59">
        <w:rPr>
          <w:rFonts w:ascii="Times New Roman" w:hAnsi="Times New Roman"/>
          <w:szCs w:val="24"/>
        </w:rPr>
        <w:t xml:space="preserve">Tr. </w:t>
      </w:r>
      <w:r w:rsidR="00B21230">
        <w:rPr>
          <w:rFonts w:ascii="Times New Roman" w:hAnsi="Times New Roman"/>
          <w:szCs w:val="24"/>
        </w:rPr>
        <w:t xml:space="preserve">817, </w:t>
      </w:r>
      <w:r w:rsidR="006A0A59">
        <w:rPr>
          <w:rFonts w:ascii="Times New Roman" w:hAnsi="Times New Roman"/>
          <w:szCs w:val="24"/>
        </w:rPr>
        <w:t>3</w:t>
      </w:r>
      <w:r w:rsidR="006E050F">
        <w:rPr>
          <w:rFonts w:ascii="Times New Roman" w:hAnsi="Times New Roman"/>
          <w:szCs w:val="24"/>
        </w:rPr>
        <w:t>02</w:t>
      </w:r>
      <w:r w:rsidR="006A0A59">
        <w:rPr>
          <w:rFonts w:ascii="Times New Roman" w:hAnsi="Times New Roman"/>
          <w:szCs w:val="24"/>
        </w:rPr>
        <w:t>5</w:t>
      </w:r>
      <w:r w:rsidR="004338D5">
        <w:rPr>
          <w:rFonts w:ascii="Times New Roman" w:hAnsi="Times New Roman"/>
          <w:szCs w:val="24"/>
        </w:rPr>
        <w:t xml:space="preserve">.) </w:t>
      </w:r>
      <w:r>
        <w:rPr>
          <w:rFonts w:ascii="Times New Roman" w:hAnsi="Times New Roman"/>
          <w:szCs w:val="24"/>
        </w:rPr>
        <w:t>If the Company</w:t>
      </w:r>
      <w:r w:rsidR="006F6CB0">
        <w:rPr>
          <w:rFonts w:ascii="Times New Roman" w:hAnsi="Times New Roman"/>
          <w:szCs w:val="24"/>
        </w:rPr>
        <w:t>’</w:t>
      </w:r>
      <w:r>
        <w:rPr>
          <w:rFonts w:ascii="Times New Roman" w:hAnsi="Times New Roman"/>
          <w:szCs w:val="24"/>
        </w:rPr>
        <w:t>s proposed BSC were adopted, this fixed portion of the bill would only increase to 17% of the bill, which</w:t>
      </w:r>
      <w:r w:rsidR="00222D6C">
        <w:rPr>
          <w:rFonts w:ascii="Times New Roman" w:hAnsi="Times New Roman"/>
          <w:szCs w:val="24"/>
        </w:rPr>
        <w:t xml:space="preserve"> still</w:t>
      </w:r>
      <w:r>
        <w:rPr>
          <w:rFonts w:ascii="Times New Roman" w:hAnsi="Times New Roman"/>
          <w:szCs w:val="24"/>
        </w:rPr>
        <w:t xml:space="preserve"> leaves 83% of the bill under the customer</w:t>
      </w:r>
      <w:r w:rsidR="006F6CB0">
        <w:rPr>
          <w:rFonts w:ascii="Times New Roman" w:hAnsi="Times New Roman"/>
          <w:szCs w:val="24"/>
        </w:rPr>
        <w:t>’</w:t>
      </w:r>
      <w:r>
        <w:rPr>
          <w:rFonts w:ascii="Times New Roman" w:hAnsi="Times New Roman"/>
          <w:szCs w:val="24"/>
        </w:rPr>
        <w:t xml:space="preserve">s control. </w:t>
      </w:r>
      <w:r w:rsidR="004338D5">
        <w:rPr>
          <w:rFonts w:ascii="Times New Roman" w:hAnsi="Times New Roman"/>
          <w:szCs w:val="24"/>
        </w:rPr>
        <w:t>(</w:t>
      </w:r>
      <w:r w:rsidR="009C6E38" w:rsidRPr="009C6E38">
        <w:rPr>
          <w:rFonts w:ascii="Times New Roman" w:hAnsi="Times New Roman"/>
          <w:i/>
          <w:szCs w:val="24"/>
        </w:rPr>
        <w:t>Id</w:t>
      </w:r>
      <w:r w:rsidR="004338D5">
        <w:rPr>
          <w:rFonts w:ascii="Times New Roman" w:hAnsi="Times New Roman"/>
          <w:szCs w:val="24"/>
        </w:rPr>
        <w:t xml:space="preserve">.) </w:t>
      </w:r>
      <w:r>
        <w:rPr>
          <w:rFonts w:ascii="Times New Roman" w:hAnsi="Times New Roman"/>
          <w:szCs w:val="24"/>
        </w:rPr>
        <w:t>Therefore, even if the Company</w:t>
      </w:r>
      <w:r w:rsidR="006F6CB0">
        <w:rPr>
          <w:rFonts w:ascii="Times New Roman" w:hAnsi="Times New Roman"/>
          <w:szCs w:val="24"/>
        </w:rPr>
        <w:t>’</w:t>
      </w:r>
      <w:r>
        <w:rPr>
          <w:rFonts w:ascii="Times New Roman" w:hAnsi="Times New Roman"/>
          <w:szCs w:val="24"/>
        </w:rPr>
        <w:t xml:space="preserve">s plan </w:t>
      </w:r>
      <w:r w:rsidR="00B6174A">
        <w:rPr>
          <w:rFonts w:ascii="Times New Roman" w:hAnsi="Times New Roman"/>
          <w:szCs w:val="24"/>
        </w:rPr>
        <w:t xml:space="preserve">is </w:t>
      </w:r>
      <w:r>
        <w:rPr>
          <w:rFonts w:ascii="Times New Roman" w:hAnsi="Times New Roman"/>
          <w:szCs w:val="24"/>
        </w:rPr>
        <w:t xml:space="preserve">adopted, the significant majority of the bill remains available for customer conservation efforts through energy efficiency or distributed generation. </w:t>
      </w:r>
    </w:p>
    <w:p w14:paraId="69BDBA48" w14:textId="20FCECFA" w:rsidR="001F7182" w:rsidRDefault="00A322F8" w:rsidP="006A677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47" w:name="_Hlk26111860"/>
      <w:r w:rsidRPr="00A322F8">
        <w:rPr>
          <w:rFonts w:ascii="Times New Roman" w:hAnsi="Times New Roman"/>
          <w:szCs w:val="24"/>
        </w:rPr>
        <w:t>4.</w:t>
      </w:r>
      <w:r w:rsidRPr="00A322F8">
        <w:rPr>
          <w:rFonts w:ascii="Times New Roman" w:hAnsi="Times New Roman"/>
          <w:szCs w:val="24"/>
        </w:rPr>
        <w:tab/>
      </w:r>
      <w:r w:rsidR="001F7182" w:rsidRPr="001F7182">
        <w:rPr>
          <w:rFonts w:ascii="Times New Roman" w:hAnsi="Times New Roman"/>
          <w:szCs w:val="24"/>
          <w:u w:val="single"/>
        </w:rPr>
        <w:t>The Company</w:t>
      </w:r>
      <w:r w:rsidR="006F6CB0">
        <w:rPr>
          <w:rFonts w:ascii="Times New Roman" w:hAnsi="Times New Roman"/>
          <w:szCs w:val="24"/>
          <w:u w:val="single"/>
        </w:rPr>
        <w:t>’</w:t>
      </w:r>
      <w:r w:rsidR="001F7182" w:rsidRPr="001F7182">
        <w:rPr>
          <w:rFonts w:ascii="Times New Roman" w:hAnsi="Times New Roman"/>
          <w:szCs w:val="24"/>
          <w:u w:val="single"/>
        </w:rPr>
        <w:t>s proposed increase to the BSC</w:t>
      </w:r>
      <w:r w:rsidR="001828AA">
        <w:rPr>
          <w:rFonts w:ascii="Times New Roman" w:hAnsi="Times New Roman"/>
          <w:szCs w:val="24"/>
          <w:u w:val="single"/>
        </w:rPr>
        <w:t xml:space="preserve"> for Domestic Rates</w:t>
      </w:r>
      <w:r w:rsidR="001F7182" w:rsidRPr="001F7182">
        <w:rPr>
          <w:rFonts w:ascii="Times New Roman" w:hAnsi="Times New Roman"/>
          <w:szCs w:val="24"/>
          <w:u w:val="single"/>
        </w:rPr>
        <w:t xml:space="preserve"> has a minimal impact on low-income customers</w:t>
      </w:r>
      <w:r w:rsidR="001F7182">
        <w:rPr>
          <w:rFonts w:ascii="Times New Roman" w:hAnsi="Times New Roman"/>
          <w:szCs w:val="24"/>
        </w:rPr>
        <w:t>.</w:t>
      </w:r>
    </w:p>
    <w:bookmarkEnd w:id="47"/>
    <w:p w14:paraId="58275BC0" w14:textId="61E9F07D" w:rsidR="001F7182" w:rsidRPr="001F7182" w:rsidRDefault="00E4772B" w:rsidP="00221C46">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1F7182" w:rsidRPr="001F7182">
        <w:rPr>
          <w:rFonts w:ascii="Times New Roman" w:hAnsi="Times New Roman"/>
          <w:szCs w:val="24"/>
        </w:rPr>
        <w:t>Contrary to the testimony of many parties, low-income customers on average are minimally impacted by the change to the BSC.</w:t>
      </w:r>
      <w:r w:rsidR="004338D5">
        <w:rPr>
          <w:rFonts w:ascii="Times New Roman" w:hAnsi="Times New Roman"/>
          <w:szCs w:val="24"/>
        </w:rPr>
        <w:t xml:space="preserve"> (</w:t>
      </w:r>
      <w:r w:rsidR="00D2666D">
        <w:rPr>
          <w:rFonts w:ascii="Times New Roman" w:hAnsi="Times New Roman"/>
          <w:i/>
          <w:szCs w:val="24"/>
        </w:rPr>
        <w:t>See</w:t>
      </w:r>
      <w:r w:rsidR="00D2666D">
        <w:rPr>
          <w:rFonts w:ascii="Times New Roman" w:hAnsi="Times New Roman"/>
          <w:szCs w:val="24"/>
        </w:rPr>
        <w:t xml:space="preserve"> Tr. </w:t>
      </w:r>
      <w:r w:rsidR="00EC0A80">
        <w:rPr>
          <w:rFonts w:ascii="Times New Roman" w:hAnsi="Times New Roman"/>
          <w:szCs w:val="24"/>
        </w:rPr>
        <w:t>2877-78</w:t>
      </w:r>
      <w:r w:rsidR="004338D5">
        <w:rPr>
          <w:rFonts w:ascii="Times New Roman" w:hAnsi="Times New Roman"/>
          <w:szCs w:val="24"/>
        </w:rPr>
        <w:t>.)</w:t>
      </w:r>
      <w:r w:rsidR="007E5F52">
        <w:rPr>
          <w:rFonts w:ascii="Times New Roman" w:hAnsi="Times New Roman"/>
          <w:szCs w:val="24"/>
        </w:rPr>
        <w:t xml:space="preserve"> </w:t>
      </w:r>
      <w:r>
        <w:rPr>
          <w:rFonts w:ascii="Times New Roman" w:hAnsi="Times New Roman"/>
          <w:szCs w:val="24"/>
        </w:rPr>
        <w:t xml:space="preserve">In fact, </w:t>
      </w:r>
      <w:r w:rsidRPr="00FC7558">
        <w:rPr>
          <w:rFonts w:ascii="Times New Roman" w:hAnsi="Times New Roman"/>
          <w:szCs w:val="24"/>
        </w:rPr>
        <w:t>the Company</w:t>
      </w:r>
      <w:r w:rsidR="006F6CB0">
        <w:rPr>
          <w:rFonts w:ascii="Times New Roman" w:hAnsi="Times New Roman"/>
          <w:szCs w:val="24"/>
        </w:rPr>
        <w:t>’</w:t>
      </w:r>
      <w:r w:rsidRPr="00FC7558">
        <w:rPr>
          <w:rFonts w:ascii="Times New Roman" w:hAnsi="Times New Roman"/>
          <w:szCs w:val="24"/>
        </w:rPr>
        <w:t xml:space="preserve">s recommended changes aim to address cost shifting that negatively impacts low-income customers </w:t>
      </w:r>
      <w:r w:rsidR="00B6174A">
        <w:rPr>
          <w:rFonts w:ascii="Times New Roman" w:hAnsi="Times New Roman"/>
          <w:szCs w:val="24"/>
        </w:rPr>
        <w:t>when</w:t>
      </w:r>
      <w:r w:rsidRPr="00FC7558">
        <w:rPr>
          <w:rFonts w:ascii="Times New Roman" w:hAnsi="Times New Roman"/>
          <w:szCs w:val="24"/>
        </w:rPr>
        <w:t xml:space="preserve"> fixed costs </w:t>
      </w:r>
      <w:r w:rsidR="00B6174A">
        <w:rPr>
          <w:rFonts w:ascii="Times New Roman" w:hAnsi="Times New Roman"/>
          <w:szCs w:val="24"/>
        </w:rPr>
        <w:t xml:space="preserve">are collected </w:t>
      </w:r>
      <w:r w:rsidRPr="00FC7558">
        <w:rPr>
          <w:rFonts w:ascii="Times New Roman" w:hAnsi="Times New Roman"/>
          <w:szCs w:val="24"/>
        </w:rPr>
        <w:t>through volumetric energy-related charges.</w:t>
      </w:r>
      <w:r>
        <w:rPr>
          <w:rFonts w:ascii="Times New Roman" w:hAnsi="Times New Roman"/>
          <w:szCs w:val="24"/>
        </w:rPr>
        <w:t xml:space="preserve"> </w:t>
      </w:r>
      <w:r w:rsidR="00560D77">
        <w:rPr>
          <w:rFonts w:ascii="Times New Roman" w:hAnsi="Times New Roman"/>
          <w:szCs w:val="24"/>
        </w:rPr>
        <w:t xml:space="preserve">PIA Staff and Intervenors conflate </w:t>
      </w:r>
      <w:r w:rsidR="00560D77">
        <w:rPr>
          <w:rFonts w:ascii="Times New Roman" w:hAnsi="Times New Roman"/>
          <w:szCs w:val="24"/>
        </w:rPr>
        <w:lastRenderedPageBreak/>
        <w:t>the impact of the Company</w:t>
      </w:r>
      <w:r w:rsidR="006F6CB0">
        <w:rPr>
          <w:rFonts w:ascii="Times New Roman" w:hAnsi="Times New Roman"/>
          <w:szCs w:val="24"/>
        </w:rPr>
        <w:t>’</w:t>
      </w:r>
      <w:r w:rsidR="00560D77">
        <w:rPr>
          <w:rFonts w:ascii="Times New Roman" w:hAnsi="Times New Roman"/>
          <w:szCs w:val="24"/>
        </w:rPr>
        <w:t xml:space="preserve">s </w:t>
      </w:r>
      <w:r w:rsidR="007E5F52">
        <w:rPr>
          <w:rFonts w:ascii="Times New Roman" w:hAnsi="Times New Roman"/>
          <w:szCs w:val="24"/>
        </w:rPr>
        <w:t>proposal on low energy users with the impact on low-income customers. The Company</w:t>
      </w:r>
      <w:r w:rsidR="006F6CB0">
        <w:rPr>
          <w:rFonts w:ascii="Times New Roman" w:hAnsi="Times New Roman"/>
          <w:szCs w:val="24"/>
        </w:rPr>
        <w:t>’</w:t>
      </w:r>
      <w:r w:rsidR="007E5F52">
        <w:rPr>
          <w:rFonts w:ascii="Times New Roman" w:hAnsi="Times New Roman"/>
          <w:szCs w:val="24"/>
        </w:rPr>
        <w:t>s proposal to increase the percentage of fixed costs recovered through the BSC</w:t>
      </w:r>
      <w:r w:rsidR="00B6174A">
        <w:rPr>
          <w:rFonts w:ascii="Times New Roman" w:hAnsi="Times New Roman"/>
          <w:szCs w:val="24"/>
        </w:rPr>
        <w:t xml:space="preserve"> does</w:t>
      </w:r>
      <w:r w:rsidR="007E5F52">
        <w:rPr>
          <w:rFonts w:ascii="Times New Roman" w:hAnsi="Times New Roman"/>
          <w:szCs w:val="24"/>
        </w:rPr>
        <w:t xml:space="preserve"> mean that for a low energy user, a great</w:t>
      </w:r>
      <w:r w:rsidR="00B6174A">
        <w:rPr>
          <w:rFonts w:ascii="Times New Roman" w:hAnsi="Times New Roman"/>
          <w:szCs w:val="24"/>
        </w:rPr>
        <w:t>er</w:t>
      </w:r>
      <w:r w:rsidR="007E5F52">
        <w:rPr>
          <w:rFonts w:ascii="Times New Roman" w:hAnsi="Times New Roman"/>
          <w:szCs w:val="24"/>
        </w:rPr>
        <w:t xml:space="preserve"> portion of their bill will be made up of the BSC. </w:t>
      </w:r>
      <w:r w:rsidR="00BE266C">
        <w:rPr>
          <w:rFonts w:ascii="Times New Roman" w:hAnsi="Times New Roman"/>
          <w:szCs w:val="24"/>
        </w:rPr>
        <w:t>(</w:t>
      </w:r>
      <w:r w:rsidR="00B77690">
        <w:rPr>
          <w:rFonts w:ascii="Times New Roman" w:hAnsi="Times New Roman"/>
          <w:szCs w:val="24"/>
        </w:rPr>
        <w:t>Tr. 2878</w:t>
      </w:r>
      <w:r w:rsidR="00BE266C">
        <w:rPr>
          <w:rFonts w:ascii="Times New Roman" w:hAnsi="Times New Roman"/>
          <w:szCs w:val="24"/>
        </w:rPr>
        <w:t xml:space="preserve">.) </w:t>
      </w:r>
      <w:r w:rsidR="007E5F52">
        <w:rPr>
          <w:rFonts w:ascii="Times New Roman" w:hAnsi="Times New Roman"/>
          <w:szCs w:val="24"/>
        </w:rPr>
        <w:t>PIA Staff and Intervenors</w:t>
      </w:r>
      <w:r w:rsidR="00B6174A">
        <w:rPr>
          <w:rFonts w:ascii="Times New Roman" w:hAnsi="Times New Roman"/>
          <w:szCs w:val="24"/>
        </w:rPr>
        <w:t>, however,</w:t>
      </w:r>
      <w:r w:rsidR="007E5F52">
        <w:rPr>
          <w:rFonts w:ascii="Times New Roman" w:hAnsi="Times New Roman"/>
          <w:szCs w:val="24"/>
        </w:rPr>
        <w:t xml:space="preserve"> incorrectly assume there is a direct correlation between low energy users and low-income customers. </w:t>
      </w:r>
      <w:r w:rsidR="00B6174A">
        <w:rPr>
          <w:rFonts w:ascii="Times New Roman" w:hAnsi="Times New Roman"/>
          <w:szCs w:val="24"/>
        </w:rPr>
        <w:t>A</w:t>
      </w:r>
      <w:r w:rsidR="007E5F52" w:rsidRPr="001F7182">
        <w:rPr>
          <w:rFonts w:ascii="Times New Roman" w:hAnsi="Times New Roman"/>
          <w:szCs w:val="24"/>
        </w:rPr>
        <w:t>s shown in the response to data request STF-PIA-8-8, the average low-income customer uses only slightly less energy than the average residential customer.</w:t>
      </w:r>
      <w:r w:rsidR="007E5F52">
        <w:rPr>
          <w:rFonts w:ascii="Times New Roman" w:hAnsi="Times New Roman"/>
          <w:szCs w:val="24"/>
        </w:rPr>
        <w:t xml:space="preserve"> </w:t>
      </w:r>
      <w:r w:rsidR="00BE266C">
        <w:rPr>
          <w:rFonts w:ascii="Times New Roman" w:hAnsi="Times New Roman"/>
          <w:szCs w:val="24"/>
        </w:rPr>
        <w:t>(</w:t>
      </w:r>
      <w:r w:rsidR="00D04CDA">
        <w:rPr>
          <w:rFonts w:ascii="Times New Roman" w:hAnsi="Times New Roman"/>
          <w:szCs w:val="24"/>
        </w:rPr>
        <w:t>Tr. 2877</w:t>
      </w:r>
      <w:r w:rsidR="00BE266C">
        <w:rPr>
          <w:rFonts w:ascii="Times New Roman" w:hAnsi="Times New Roman"/>
          <w:szCs w:val="24"/>
        </w:rPr>
        <w:t xml:space="preserve">.) </w:t>
      </w:r>
      <w:r w:rsidR="007E5F52">
        <w:rPr>
          <w:rFonts w:ascii="Times New Roman" w:hAnsi="Times New Roman"/>
          <w:szCs w:val="24"/>
        </w:rPr>
        <w:t xml:space="preserve">This suggests that although the </w:t>
      </w:r>
      <w:r>
        <w:rPr>
          <w:rFonts w:ascii="Times New Roman" w:hAnsi="Times New Roman"/>
          <w:szCs w:val="24"/>
        </w:rPr>
        <w:t xml:space="preserve">fixed portion of the bill will increase, the magnitude of the impact is much less dramatic than Intervenors would have this Commission believe. </w:t>
      </w:r>
    </w:p>
    <w:p w14:paraId="4F255117" w14:textId="6FD3FDD2" w:rsidR="00A322F8" w:rsidRDefault="001F7182" w:rsidP="00A322F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48" w:name="_Hlk26111867"/>
      <w:r>
        <w:rPr>
          <w:rFonts w:ascii="Times New Roman" w:hAnsi="Times New Roman"/>
          <w:szCs w:val="24"/>
        </w:rPr>
        <w:t>5.</w:t>
      </w:r>
      <w:r>
        <w:rPr>
          <w:rFonts w:ascii="Times New Roman" w:hAnsi="Times New Roman"/>
          <w:szCs w:val="24"/>
        </w:rPr>
        <w:tab/>
      </w:r>
      <w:r w:rsidR="00A322F8" w:rsidRPr="004B6D89">
        <w:rPr>
          <w:rFonts w:ascii="Times New Roman" w:hAnsi="Times New Roman"/>
          <w:szCs w:val="24"/>
          <w:u w:val="single"/>
        </w:rPr>
        <w:t xml:space="preserve">The </w:t>
      </w:r>
      <w:r w:rsidR="007552B8" w:rsidRPr="004B6D89">
        <w:rPr>
          <w:rFonts w:ascii="Times New Roman" w:hAnsi="Times New Roman"/>
          <w:szCs w:val="24"/>
          <w:u w:val="single"/>
        </w:rPr>
        <w:t>Company</w:t>
      </w:r>
      <w:r w:rsidR="006F6CB0">
        <w:rPr>
          <w:rFonts w:ascii="Times New Roman" w:hAnsi="Times New Roman"/>
          <w:szCs w:val="24"/>
          <w:u w:val="single"/>
        </w:rPr>
        <w:t>’</w:t>
      </w:r>
      <w:r w:rsidR="007552B8" w:rsidRPr="004B6D89">
        <w:rPr>
          <w:rFonts w:ascii="Times New Roman" w:hAnsi="Times New Roman"/>
          <w:szCs w:val="24"/>
          <w:u w:val="single"/>
        </w:rPr>
        <w:t xml:space="preserve">s </w:t>
      </w:r>
      <w:r w:rsidR="00A322F8" w:rsidRPr="004B6D89">
        <w:rPr>
          <w:rFonts w:ascii="Times New Roman" w:hAnsi="Times New Roman"/>
          <w:szCs w:val="24"/>
          <w:u w:val="single"/>
        </w:rPr>
        <w:t xml:space="preserve">proposed change </w:t>
      </w:r>
      <w:r w:rsidR="007552B8" w:rsidRPr="004B6D89">
        <w:rPr>
          <w:rFonts w:ascii="Times New Roman" w:hAnsi="Times New Roman"/>
          <w:szCs w:val="24"/>
          <w:u w:val="single"/>
        </w:rPr>
        <w:t xml:space="preserve">to the </w:t>
      </w:r>
      <w:r w:rsidR="00A322F8" w:rsidRPr="004B6D89">
        <w:rPr>
          <w:rFonts w:ascii="Times New Roman" w:hAnsi="Times New Roman"/>
          <w:szCs w:val="24"/>
          <w:u w:val="single"/>
        </w:rPr>
        <w:t>BSC is transparent and already accounts for the impacts of the ECCR, DSM, and MFF tariffs</w:t>
      </w:r>
      <w:r w:rsidR="007552B8">
        <w:rPr>
          <w:rFonts w:ascii="Times New Roman" w:hAnsi="Times New Roman"/>
          <w:szCs w:val="24"/>
        </w:rPr>
        <w:t>.</w:t>
      </w:r>
    </w:p>
    <w:bookmarkEnd w:id="48"/>
    <w:p w14:paraId="77E40D3F" w14:textId="3C874F9F" w:rsidR="00664DAB" w:rsidRPr="00A322F8" w:rsidRDefault="008A1ACD" w:rsidP="008F4C0D">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F23EE5">
        <w:rPr>
          <w:rFonts w:ascii="Times New Roman" w:hAnsi="Times New Roman"/>
          <w:szCs w:val="24"/>
        </w:rPr>
        <w:t>GIPL/Southface/Vote Solar Witness Barnes</w:t>
      </w:r>
      <w:r w:rsidR="00664DAB">
        <w:rPr>
          <w:rFonts w:ascii="Times New Roman" w:hAnsi="Times New Roman"/>
          <w:szCs w:val="24"/>
        </w:rPr>
        <w:t xml:space="preserve"> testified that</w:t>
      </w:r>
      <w:r w:rsidR="00F23EE5">
        <w:rPr>
          <w:rFonts w:ascii="Times New Roman" w:hAnsi="Times New Roman"/>
          <w:szCs w:val="24"/>
        </w:rPr>
        <w:t xml:space="preserve"> the</w:t>
      </w:r>
      <w:r w:rsidR="00806EEA">
        <w:rPr>
          <w:rFonts w:ascii="Times New Roman" w:hAnsi="Times New Roman"/>
          <w:szCs w:val="24"/>
        </w:rPr>
        <w:t xml:space="preserve"> impact of the Company</w:t>
      </w:r>
      <w:r w:rsidR="006F6CB0">
        <w:rPr>
          <w:rFonts w:ascii="Times New Roman" w:hAnsi="Times New Roman"/>
          <w:szCs w:val="24"/>
        </w:rPr>
        <w:t>’</w:t>
      </w:r>
      <w:r w:rsidR="00806EEA">
        <w:rPr>
          <w:rFonts w:ascii="Times New Roman" w:hAnsi="Times New Roman"/>
          <w:szCs w:val="24"/>
        </w:rPr>
        <w:t xml:space="preserve">s proposed increase to the BSC is understated because </w:t>
      </w:r>
      <w:r w:rsidR="00E4772B">
        <w:rPr>
          <w:rFonts w:ascii="Times New Roman" w:hAnsi="Times New Roman"/>
          <w:szCs w:val="24"/>
        </w:rPr>
        <w:t>it doesn</w:t>
      </w:r>
      <w:r w:rsidR="006F6CB0">
        <w:rPr>
          <w:rFonts w:ascii="Times New Roman" w:hAnsi="Times New Roman"/>
          <w:szCs w:val="24"/>
        </w:rPr>
        <w:t>’</w:t>
      </w:r>
      <w:r w:rsidR="00E4772B">
        <w:rPr>
          <w:rFonts w:ascii="Times New Roman" w:hAnsi="Times New Roman"/>
          <w:szCs w:val="24"/>
        </w:rPr>
        <w:t>t account for riders like ECCR, DSM and MFF</w:t>
      </w:r>
      <w:r w:rsidR="00806EEA">
        <w:rPr>
          <w:rFonts w:ascii="Times New Roman" w:hAnsi="Times New Roman"/>
          <w:szCs w:val="24"/>
        </w:rPr>
        <w:t>.</w:t>
      </w:r>
      <w:r w:rsidR="00E4772B">
        <w:rPr>
          <w:rFonts w:ascii="Times New Roman" w:hAnsi="Times New Roman"/>
          <w:szCs w:val="24"/>
        </w:rPr>
        <w:t xml:space="preserve"> </w:t>
      </w:r>
      <w:r w:rsidR="00BE266C">
        <w:rPr>
          <w:rFonts w:ascii="Times New Roman" w:hAnsi="Times New Roman"/>
          <w:szCs w:val="24"/>
        </w:rPr>
        <w:t>(</w:t>
      </w:r>
      <w:r w:rsidR="00D04CDA">
        <w:rPr>
          <w:rFonts w:ascii="Times New Roman" w:hAnsi="Times New Roman"/>
          <w:szCs w:val="24"/>
        </w:rPr>
        <w:t xml:space="preserve">Tr. </w:t>
      </w:r>
      <w:r w:rsidR="00EC0A80">
        <w:rPr>
          <w:rFonts w:ascii="Times New Roman" w:hAnsi="Times New Roman"/>
          <w:szCs w:val="24"/>
        </w:rPr>
        <w:t>3030</w:t>
      </w:r>
      <w:r w:rsidR="00BE266C">
        <w:rPr>
          <w:rFonts w:ascii="Times New Roman" w:hAnsi="Times New Roman"/>
          <w:szCs w:val="24"/>
        </w:rPr>
        <w:t xml:space="preserve">.) </w:t>
      </w:r>
      <w:r w:rsidR="00664DAB">
        <w:rPr>
          <w:rFonts w:ascii="Times New Roman" w:hAnsi="Times New Roman"/>
          <w:szCs w:val="24"/>
        </w:rPr>
        <w:t xml:space="preserve">Contrary to Witness Barnes’ testimony, however, the </w:t>
      </w:r>
      <w:r w:rsidR="00E4772B">
        <w:rPr>
          <w:rFonts w:ascii="Times New Roman" w:hAnsi="Times New Roman"/>
          <w:szCs w:val="24"/>
        </w:rPr>
        <w:t xml:space="preserve">proposed change to the BSC </w:t>
      </w:r>
      <w:r w:rsidR="00664DAB">
        <w:rPr>
          <w:rFonts w:ascii="Times New Roman" w:hAnsi="Times New Roman"/>
          <w:szCs w:val="24"/>
        </w:rPr>
        <w:t xml:space="preserve">already </w:t>
      </w:r>
      <w:r w:rsidR="00E4772B">
        <w:rPr>
          <w:rFonts w:ascii="Times New Roman" w:hAnsi="Times New Roman"/>
          <w:szCs w:val="24"/>
        </w:rPr>
        <w:t>accounts for the impact to the ECCR, DSM and MFF tariffs.</w:t>
      </w:r>
      <w:r>
        <w:rPr>
          <w:rFonts w:ascii="Times New Roman" w:hAnsi="Times New Roman"/>
          <w:szCs w:val="24"/>
        </w:rPr>
        <w:t xml:space="preserve"> </w:t>
      </w:r>
      <w:r w:rsidR="00BE266C">
        <w:rPr>
          <w:rFonts w:ascii="Times New Roman" w:hAnsi="Times New Roman"/>
          <w:szCs w:val="24"/>
        </w:rPr>
        <w:t>(</w:t>
      </w:r>
      <w:r w:rsidR="00D04CDA">
        <w:rPr>
          <w:rFonts w:ascii="Times New Roman" w:hAnsi="Times New Roman"/>
          <w:szCs w:val="24"/>
        </w:rPr>
        <w:t>Tr. 2879</w:t>
      </w:r>
      <w:r w:rsidR="00BE266C">
        <w:rPr>
          <w:rFonts w:ascii="Times New Roman" w:hAnsi="Times New Roman"/>
          <w:szCs w:val="24"/>
        </w:rPr>
        <w:t xml:space="preserve">.) </w:t>
      </w:r>
      <w:r>
        <w:rPr>
          <w:rFonts w:ascii="Times New Roman" w:hAnsi="Times New Roman"/>
          <w:szCs w:val="24"/>
        </w:rPr>
        <w:t>As stated in</w:t>
      </w:r>
      <w:r w:rsidR="00806EEA">
        <w:rPr>
          <w:rFonts w:ascii="Times New Roman" w:hAnsi="Times New Roman"/>
          <w:szCs w:val="24"/>
        </w:rPr>
        <w:t xml:space="preserve"> </w:t>
      </w:r>
      <w:r w:rsidR="00F23EE5" w:rsidRPr="00F23EE5">
        <w:rPr>
          <w:rFonts w:ascii="Times New Roman" w:hAnsi="Times New Roman"/>
          <w:szCs w:val="24"/>
        </w:rPr>
        <w:t xml:space="preserve">Footnote 1 to </w:t>
      </w:r>
      <w:r w:rsidR="00EC0A80">
        <w:rPr>
          <w:rFonts w:ascii="Times New Roman" w:hAnsi="Times New Roman"/>
          <w:szCs w:val="24"/>
        </w:rPr>
        <w:t xml:space="preserve">GPC </w:t>
      </w:r>
      <w:r w:rsidR="00F23EE5" w:rsidRPr="00F23EE5">
        <w:rPr>
          <w:rFonts w:ascii="Times New Roman" w:hAnsi="Times New Roman"/>
          <w:szCs w:val="24"/>
        </w:rPr>
        <w:t xml:space="preserve">Exhibit </w:t>
      </w:r>
      <w:r w:rsidR="00737FE6">
        <w:rPr>
          <w:rFonts w:ascii="Times New Roman" w:hAnsi="Times New Roman"/>
          <w:szCs w:val="24"/>
        </w:rPr>
        <w:t>28 (</w:t>
      </w:r>
      <w:r w:rsidR="00F23EE5" w:rsidRPr="00F23EE5">
        <w:rPr>
          <w:rFonts w:ascii="Times New Roman" w:hAnsi="Times New Roman"/>
          <w:szCs w:val="24"/>
        </w:rPr>
        <w:t>LTL-1</w:t>
      </w:r>
      <w:r w:rsidR="00737FE6">
        <w:rPr>
          <w:rFonts w:ascii="Times New Roman" w:hAnsi="Times New Roman"/>
          <w:szCs w:val="24"/>
        </w:rPr>
        <w:t>)</w:t>
      </w:r>
      <w:r>
        <w:rPr>
          <w:rFonts w:ascii="Times New Roman" w:hAnsi="Times New Roman"/>
          <w:szCs w:val="24"/>
        </w:rPr>
        <w:t xml:space="preserve"> of Company Witness Legg</w:t>
      </w:r>
      <w:r w:rsidR="006F6CB0">
        <w:rPr>
          <w:rFonts w:ascii="Times New Roman" w:hAnsi="Times New Roman"/>
          <w:szCs w:val="24"/>
        </w:rPr>
        <w:t>’</w:t>
      </w:r>
      <w:r>
        <w:rPr>
          <w:rFonts w:ascii="Times New Roman" w:hAnsi="Times New Roman"/>
          <w:szCs w:val="24"/>
        </w:rPr>
        <w:t>s direct testimony</w:t>
      </w:r>
      <w:r w:rsidR="00F23EE5" w:rsidRPr="00F23EE5">
        <w:rPr>
          <w:rFonts w:ascii="Times New Roman" w:hAnsi="Times New Roman"/>
          <w:szCs w:val="24"/>
        </w:rPr>
        <w:t xml:space="preserve">, </w:t>
      </w:r>
      <w:r w:rsidRPr="00F23EE5">
        <w:rPr>
          <w:rFonts w:ascii="Times New Roman" w:hAnsi="Times New Roman"/>
          <w:szCs w:val="24"/>
        </w:rPr>
        <w:t xml:space="preserve">the appropriate riders have already been accounted for in the calculation </w:t>
      </w:r>
      <w:r>
        <w:rPr>
          <w:rFonts w:ascii="Times New Roman" w:hAnsi="Times New Roman"/>
          <w:szCs w:val="24"/>
        </w:rPr>
        <w:t>of</w:t>
      </w:r>
      <w:r w:rsidR="00F23EE5" w:rsidRPr="00F23EE5">
        <w:rPr>
          <w:rFonts w:ascii="Times New Roman" w:hAnsi="Times New Roman"/>
          <w:szCs w:val="24"/>
        </w:rPr>
        <w:t xml:space="preserve"> the impact</w:t>
      </w:r>
      <w:r>
        <w:rPr>
          <w:rFonts w:ascii="Times New Roman" w:hAnsi="Times New Roman"/>
          <w:szCs w:val="24"/>
        </w:rPr>
        <w:t xml:space="preserve"> to rates as a result</w:t>
      </w:r>
      <w:r w:rsidR="00F23EE5" w:rsidRPr="00F23EE5">
        <w:rPr>
          <w:rFonts w:ascii="Times New Roman" w:hAnsi="Times New Roman"/>
          <w:szCs w:val="24"/>
        </w:rPr>
        <w:t xml:space="preserve"> of the</w:t>
      </w:r>
      <w:r>
        <w:rPr>
          <w:rFonts w:ascii="Times New Roman" w:hAnsi="Times New Roman"/>
          <w:szCs w:val="24"/>
        </w:rPr>
        <w:t xml:space="preserve"> Company</w:t>
      </w:r>
      <w:r w:rsidR="006F6CB0">
        <w:rPr>
          <w:rFonts w:ascii="Times New Roman" w:hAnsi="Times New Roman"/>
          <w:szCs w:val="24"/>
        </w:rPr>
        <w:t>’</w:t>
      </w:r>
      <w:r>
        <w:rPr>
          <w:rFonts w:ascii="Times New Roman" w:hAnsi="Times New Roman"/>
          <w:szCs w:val="24"/>
        </w:rPr>
        <w:t>s</w:t>
      </w:r>
      <w:r w:rsidR="00F23EE5" w:rsidRPr="00F23EE5">
        <w:rPr>
          <w:rFonts w:ascii="Times New Roman" w:hAnsi="Times New Roman"/>
          <w:szCs w:val="24"/>
        </w:rPr>
        <w:t xml:space="preserve"> proposed change in the BSC</w:t>
      </w:r>
      <w:r>
        <w:rPr>
          <w:rFonts w:ascii="Times New Roman" w:hAnsi="Times New Roman"/>
          <w:szCs w:val="24"/>
        </w:rPr>
        <w:t>.</w:t>
      </w:r>
      <w:r w:rsidR="00F23EE5" w:rsidRPr="00F23EE5">
        <w:rPr>
          <w:rFonts w:ascii="Times New Roman" w:hAnsi="Times New Roman"/>
          <w:szCs w:val="24"/>
        </w:rPr>
        <w:t xml:space="preserve"> </w:t>
      </w:r>
      <w:r w:rsidR="00664DAB">
        <w:rPr>
          <w:rFonts w:ascii="Times New Roman" w:hAnsi="Times New Roman"/>
          <w:szCs w:val="24"/>
        </w:rPr>
        <w:t>After calculating the full COSS, the Company backed out the ECCR, DSM and MFF rider impacts. (</w:t>
      </w:r>
      <w:r w:rsidR="00AD1C62">
        <w:rPr>
          <w:rFonts w:ascii="Times New Roman" w:hAnsi="Times New Roman"/>
          <w:szCs w:val="24"/>
        </w:rPr>
        <w:t xml:space="preserve">Tr. </w:t>
      </w:r>
      <w:r w:rsidR="00AD1C62" w:rsidRPr="00AD1C62">
        <w:rPr>
          <w:rFonts w:ascii="Times New Roman" w:hAnsi="Times New Roman"/>
          <w:szCs w:val="24"/>
        </w:rPr>
        <w:t>3029-30</w:t>
      </w:r>
      <w:r w:rsidR="00AD1C62">
        <w:rPr>
          <w:rFonts w:ascii="Times New Roman" w:hAnsi="Times New Roman"/>
          <w:szCs w:val="24"/>
        </w:rPr>
        <w:t>.</w:t>
      </w:r>
      <w:r w:rsidR="00664DAB">
        <w:rPr>
          <w:rFonts w:ascii="Times New Roman" w:hAnsi="Times New Roman"/>
          <w:szCs w:val="24"/>
        </w:rPr>
        <w:t>)</w:t>
      </w:r>
      <w:r w:rsidR="00664DAB" w:rsidRPr="009D75D0">
        <w:rPr>
          <w:rStyle w:val="FootnoteReference"/>
          <w:rFonts w:ascii="Times New Roman" w:hAnsi="Times New Roman"/>
          <w:szCs w:val="24"/>
          <w:vertAlign w:val="superscript"/>
        </w:rPr>
        <w:footnoteReference w:id="5"/>
      </w:r>
      <w:r w:rsidR="00664DAB">
        <w:rPr>
          <w:rFonts w:ascii="Times New Roman" w:hAnsi="Times New Roman"/>
          <w:szCs w:val="24"/>
        </w:rPr>
        <w:t xml:space="preserve"> </w:t>
      </w:r>
      <w:r w:rsidR="00F23EE5" w:rsidRPr="00F23EE5">
        <w:rPr>
          <w:rFonts w:ascii="Times New Roman" w:hAnsi="Times New Roman"/>
          <w:szCs w:val="24"/>
        </w:rPr>
        <w:t>Therefore, no additional adjustment is required to demonstrate the effect of the Company</w:t>
      </w:r>
      <w:r w:rsidR="006F6CB0">
        <w:rPr>
          <w:rFonts w:ascii="Times New Roman" w:hAnsi="Times New Roman"/>
          <w:szCs w:val="24"/>
        </w:rPr>
        <w:t>’</w:t>
      </w:r>
      <w:r w:rsidR="00F23EE5" w:rsidRPr="00F23EE5">
        <w:rPr>
          <w:rFonts w:ascii="Times New Roman" w:hAnsi="Times New Roman"/>
          <w:szCs w:val="24"/>
        </w:rPr>
        <w:t>s proposed increase</w:t>
      </w:r>
      <w:r w:rsidR="00664DAB">
        <w:rPr>
          <w:rFonts w:ascii="Times New Roman" w:hAnsi="Times New Roman"/>
          <w:szCs w:val="24"/>
        </w:rPr>
        <w:t xml:space="preserve"> </w:t>
      </w:r>
      <w:r w:rsidR="00664DAB">
        <w:rPr>
          <w:rFonts w:ascii="Times New Roman" w:hAnsi="Times New Roman"/>
          <w:szCs w:val="24"/>
        </w:rPr>
        <w:lastRenderedPageBreak/>
        <w:t>and the</w:t>
      </w:r>
      <w:r w:rsidR="00F23EE5" w:rsidRPr="00F23EE5">
        <w:rPr>
          <w:rFonts w:ascii="Times New Roman" w:hAnsi="Times New Roman"/>
          <w:szCs w:val="24"/>
        </w:rPr>
        <w:t xml:space="preserve"> </w:t>
      </w:r>
      <w:r w:rsidR="006F6CB0">
        <w:rPr>
          <w:rFonts w:ascii="Times New Roman" w:hAnsi="Times New Roman"/>
          <w:szCs w:val="24"/>
        </w:rPr>
        <w:t>‘</w:t>
      </w:r>
      <w:r w:rsidR="00F23EE5" w:rsidRPr="00F23EE5">
        <w:rPr>
          <w:rFonts w:ascii="Times New Roman" w:hAnsi="Times New Roman"/>
          <w:szCs w:val="24"/>
        </w:rPr>
        <w:t>nominal change</w:t>
      </w:r>
      <w:r w:rsidR="006F6CB0">
        <w:rPr>
          <w:rFonts w:ascii="Times New Roman" w:hAnsi="Times New Roman"/>
          <w:szCs w:val="24"/>
        </w:rPr>
        <w:t>’</w:t>
      </w:r>
      <w:r w:rsidR="00F23EE5" w:rsidRPr="00F23EE5">
        <w:rPr>
          <w:rFonts w:ascii="Times New Roman" w:hAnsi="Times New Roman"/>
          <w:szCs w:val="24"/>
        </w:rPr>
        <w:t xml:space="preserve"> and </w:t>
      </w:r>
      <w:r w:rsidR="006F6CB0">
        <w:rPr>
          <w:rFonts w:ascii="Times New Roman" w:hAnsi="Times New Roman"/>
          <w:szCs w:val="24"/>
        </w:rPr>
        <w:t>‘</w:t>
      </w:r>
      <w:r w:rsidR="00F23EE5" w:rsidRPr="00F23EE5">
        <w:rPr>
          <w:rFonts w:ascii="Times New Roman" w:hAnsi="Times New Roman"/>
          <w:szCs w:val="24"/>
        </w:rPr>
        <w:t>effective change</w:t>
      </w:r>
      <w:r w:rsidR="006F6CB0">
        <w:rPr>
          <w:rFonts w:ascii="Times New Roman" w:hAnsi="Times New Roman"/>
          <w:szCs w:val="24"/>
        </w:rPr>
        <w:t>’</w:t>
      </w:r>
      <w:r w:rsidR="00F23EE5" w:rsidRPr="00F23EE5">
        <w:rPr>
          <w:rFonts w:ascii="Times New Roman" w:hAnsi="Times New Roman"/>
          <w:szCs w:val="24"/>
        </w:rPr>
        <w:t xml:space="preserve"> described by GIPL/Southface/Vote Solar Witness Barnes is a meaningless distinction</w:t>
      </w:r>
      <w:r>
        <w:rPr>
          <w:rFonts w:ascii="Times New Roman" w:hAnsi="Times New Roman"/>
          <w:szCs w:val="24"/>
        </w:rPr>
        <w:t xml:space="preserve">. </w:t>
      </w:r>
      <w:r w:rsidR="00664DAB">
        <w:rPr>
          <w:rFonts w:ascii="Times New Roman" w:hAnsi="Times New Roman"/>
          <w:szCs w:val="24"/>
        </w:rPr>
        <w:tab/>
      </w:r>
    </w:p>
    <w:p w14:paraId="65A4BF00" w14:textId="768F17DA" w:rsidR="00A322F8" w:rsidRPr="00A322F8" w:rsidRDefault="00A322F8" w:rsidP="005A188C">
      <w:pPr>
        <w:keepNext/>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49" w:name="_Hlk26111891"/>
      <w:r w:rsidRPr="00A322F8">
        <w:rPr>
          <w:rFonts w:ascii="Times New Roman" w:hAnsi="Times New Roman"/>
          <w:b/>
          <w:szCs w:val="24"/>
        </w:rPr>
        <w:t>H.</w:t>
      </w:r>
      <w:r w:rsidRPr="00A322F8">
        <w:rPr>
          <w:rFonts w:ascii="Times New Roman" w:hAnsi="Times New Roman"/>
          <w:b/>
          <w:szCs w:val="24"/>
        </w:rPr>
        <w:tab/>
      </w:r>
      <w:r w:rsidR="000E60A7" w:rsidRPr="000E60A7">
        <w:rPr>
          <w:rFonts w:ascii="Times New Roman" w:hAnsi="Times New Roman"/>
          <w:b/>
        </w:rPr>
        <w:t>The Company’s residential rate design recommendations are in the best interest of customers, and the Commission should approve them.</w:t>
      </w:r>
    </w:p>
    <w:p w14:paraId="34FE02D2" w14:textId="390832FB" w:rsidR="006876DF" w:rsidRDefault="00A322F8" w:rsidP="005A188C">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r>
        <w:rPr>
          <w:rFonts w:ascii="Times New Roman" w:eastAsiaTheme="majorEastAsia" w:hAnsi="Times New Roman"/>
          <w:szCs w:val="24"/>
        </w:rPr>
        <w:t>1.</w:t>
      </w:r>
      <w:r>
        <w:rPr>
          <w:rFonts w:ascii="Times New Roman" w:eastAsiaTheme="majorEastAsia" w:hAnsi="Times New Roman"/>
          <w:szCs w:val="24"/>
        </w:rPr>
        <w:tab/>
      </w:r>
      <w:r w:rsidR="006876DF" w:rsidRPr="004B6D89">
        <w:rPr>
          <w:rFonts w:ascii="Times New Roman" w:hAnsi="Times New Roman"/>
          <w:szCs w:val="24"/>
          <w:u w:val="single"/>
        </w:rPr>
        <w:t xml:space="preserve">Changes to the </w:t>
      </w:r>
      <w:r w:rsidR="006876DF">
        <w:rPr>
          <w:rFonts w:ascii="Times New Roman" w:hAnsi="Times New Roman"/>
          <w:szCs w:val="24"/>
          <w:u w:val="single"/>
        </w:rPr>
        <w:t>‘</w:t>
      </w:r>
      <w:r w:rsidR="006876DF" w:rsidRPr="004B6D89">
        <w:rPr>
          <w:rFonts w:ascii="Times New Roman" w:hAnsi="Times New Roman"/>
          <w:szCs w:val="24"/>
          <w:u w:val="single"/>
        </w:rPr>
        <w:t>R</w:t>
      </w:r>
      <w:r w:rsidR="006876DF">
        <w:rPr>
          <w:rFonts w:ascii="Times New Roman" w:hAnsi="Times New Roman"/>
          <w:szCs w:val="24"/>
          <w:u w:val="single"/>
        </w:rPr>
        <w:t>’</w:t>
      </w:r>
      <w:r w:rsidR="006876DF" w:rsidRPr="004B6D89">
        <w:rPr>
          <w:rFonts w:ascii="Times New Roman" w:hAnsi="Times New Roman"/>
          <w:szCs w:val="24"/>
          <w:u w:val="single"/>
        </w:rPr>
        <w:t xml:space="preserve"> Tariff </w:t>
      </w:r>
      <w:r w:rsidR="006876DF">
        <w:rPr>
          <w:rFonts w:ascii="Times New Roman" w:hAnsi="Times New Roman"/>
          <w:szCs w:val="24"/>
          <w:u w:val="single"/>
        </w:rPr>
        <w:t xml:space="preserve">as proposed by PIA Staff </w:t>
      </w:r>
      <w:r w:rsidR="006876DF" w:rsidRPr="004B6D89">
        <w:rPr>
          <w:rFonts w:ascii="Times New Roman" w:hAnsi="Times New Roman"/>
          <w:szCs w:val="24"/>
          <w:u w:val="single"/>
        </w:rPr>
        <w:t>to adjust the block tiers or eliminate the declining winter rate structure are unnecessary</w:t>
      </w:r>
      <w:r w:rsidR="006876DF" w:rsidRPr="00A322F8">
        <w:rPr>
          <w:rFonts w:ascii="Times New Roman" w:hAnsi="Times New Roman"/>
          <w:szCs w:val="24"/>
        </w:rPr>
        <w:t xml:space="preserve">. </w:t>
      </w:r>
    </w:p>
    <w:p w14:paraId="0FBF1426" w14:textId="77777777" w:rsidR="006876DF" w:rsidRDefault="006876DF" w:rsidP="006876DF">
      <w:pPr>
        <w:widowControl/>
        <w:tabs>
          <w:tab w:val="left" w:pos="1440"/>
        </w:tabs>
        <w:overflowPunct/>
        <w:autoSpaceDE/>
        <w:autoSpaceDN/>
        <w:adjustRightInd/>
        <w:spacing w:before="240" w:after="240"/>
        <w:ind w:left="2160" w:hanging="720"/>
        <w:jc w:val="both"/>
        <w:textAlignment w:val="auto"/>
        <w:rPr>
          <w:rFonts w:ascii="Times New Roman" w:hAnsi="Times New Roman"/>
          <w:i/>
          <w:szCs w:val="24"/>
        </w:rPr>
      </w:pPr>
      <w:r w:rsidRPr="005A6883">
        <w:rPr>
          <w:rFonts w:ascii="Times New Roman" w:hAnsi="Times New Roman"/>
          <w:i/>
          <w:szCs w:val="24"/>
        </w:rPr>
        <w:t>a.</w:t>
      </w:r>
      <w:r w:rsidRPr="005A6883">
        <w:rPr>
          <w:rFonts w:ascii="Times New Roman" w:hAnsi="Times New Roman"/>
          <w:i/>
          <w:szCs w:val="24"/>
        </w:rPr>
        <w:tab/>
        <w:t xml:space="preserve">The Commission should reject PIA Staff </w:t>
      </w:r>
      <w:r>
        <w:rPr>
          <w:rFonts w:ascii="Times New Roman" w:hAnsi="Times New Roman"/>
          <w:i/>
          <w:szCs w:val="24"/>
        </w:rPr>
        <w:t xml:space="preserve">and Intervenor </w:t>
      </w:r>
      <w:r w:rsidRPr="005A6883">
        <w:rPr>
          <w:rFonts w:ascii="Times New Roman" w:hAnsi="Times New Roman"/>
          <w:i/>
          <w:szCs w:val="24"/>
        </w:rPr>
        <w:t>requests to modify the declining winter block rate structure in the ‘R’ Rate</w:t>
      </w:r>
      <w:r>
        <w:rPr>
          <w:rFonts w:ascii="Times New Roman" w:hAnsi="Times New Roman"/>
          <w:i/>
          <w:szCs w:val="24"/>
        </w:rPr>
        <w:t xml:space="preserve"> and implement a flat rate</w:t>
      </w:r>
      <w:r w:rsidRPr="005A6883">
        <w:rPr>
          <w:rFonts w:ascii="Times New Roman" w:hAnsi="Times New Roman"/>
          <w:i/>
          <w:szCs w:val="24"/>
        </w:rPr>
        <w:t>.</w:t>
      </w:r>
    </w:p>
    <w:bookmarkEnd w:id="49"/>
    <w:p w14:paraId="3074B1D3" w14:textId="0FD9097F" w:rsidR="006876DF" w:rsidRDefault="006876DF" w:rsidP="0032156E">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t>T</w:t>
      </w:r>
      <w:r w:rsidRPr="004A56DF">
        <w:rPr>
          <w:rFonts w:ascii="Times New Roman" w:hAnsi="Times New Roman"/>
          <w:szCs w:val="24"/>
        </w:rPr>
        <w:t xml:space="preserve">he Company originally designed the residential rate to reflect the seasonality of costs to serve residential customers. </w:t>
      </w:r>
      <w:r w:rsidR="00BE266C">
        <w:rPr>
          <w:rFonts w:ascii="Times New Roman" w:hAnsi="Times New Roman"/>
          <w:szCs w:val="24"/>
        </w:rPr>
        <w:t>(</w:t>
      </w:r>
      <w:r w:rsidR="00D04CDA">
        <w:rPr>
          <w:rFonts w:ascii="Times New Roman" w:hAnsi="Times New Roman"/>
          <w:szCs w:val="24"/>
        </w:rPr>
        <w:t>Tr. 2889</w:t>
      </w:r>
      <w:r w:rsidR="00BE266C">
        <w:rPr>
          <w:rFonts w:ascii="Times New Roman" w:hAnsi="Times New Roman"/>
          <w:szCs w:val="24"/>
        </w:rPr>
        <w:t xml:space="preserve">.) </w:t>
      </w:r>
      <w:r w:rsidRPr="004A56DF">
        <w:rPr>
          <w:rFonts w:ascii="Times New Roman" w:hAnsi="Times New Roman"/>
          <w:szCs w:val="24"/>
        </w:rPr>
        <w:t xml:space="preserve">The increasing price blocks in June through September reflect the fact that the Company’s costs are higher in the summer months. </w:t>
      </w:r>
      <w:r w:rsidR="00BE266C">
        <w:rPr>
          <w:rFonts w:ascii="Times New Roman" w:hAnsi="Times New Roman"/>
          <w:szCs w:val="24"/>
        </w:rPr>
        <w:t>(</w:t>
      </w:r>
      <w:r w:rsidR="00737FE6" w:rsidRPr="00737FE6">
        <w:rPr>
          <w:rFonts w:ascii="Times New Roman" w:hAnsi="Times New Roman"/>
          <w:i/>
          <w:szCs w:val="24"/>
        </w:rPr>
        <w:t>Id</w:t>
      </w:r>
      <w:r w:rsidR="00BE266C">
        <w:rPr>
          <w:rFonts w:ascii="Times New Roman" w:hAnsi="Times New Roman"/>
          <w:szCs w:val="24"/>
        </w:rPr>
        <w:t xml:space="preserve">.) </w:t>
      </w:r>
      <w:r w:rsidRPr="004A56DF">
        <w:rPr>
          <w:rFonts w:ascii="Times New Roman" w:hAnsi="Times New Roman"/>
          <w:szCs w:val="24"/>
        </w:rPr>
        <w:t xml:space="preserve">The increasing price structure provides incentives for energy efficiency and conservation. The declining block structure in the </w:t>
      </w:r>
      <w:r w:rsidR="000E60A7">
        <w:rPr>
          <w:rFonts w:ascii="Times New Roman" w:hAnsi="Times New Roman"/>
          <w:szCs w:val="24"/>
        </w:rPr>
        <w:t>non-summer</w:t>
      </w:r>
      <w:r w:rsidRPr="004A56DF">
        <w:rPr>
          <w:rFonts w:ascii="Times New Roman" w:hAnsi="Times New Roman"/>
          <w:szCs w:val="24"/>
        </w:rPr>
        <w:t xml:space="preserve"> months recognizes that off peak costs are lower and provides price signals to reflect this reality.</w:t>
      </w:r>
      <w:r>
        <w:rPr>
          <w:rFonts w:ascii="Times New Roman" w:hAnsi="Times New Roman"/>
          <w:szCs w:val="24"/>
        </w:rPr>
        <w:t xml:space="preserve"> </w:t>
      </w:r>
      <w:r w:rsidR="00BE266C">
        <w:rPr>
          <w:rFonts w:ascii="Times New Roman" w:hAnsi="Times New Roman"/>
          <w:szCs w:val="24"/>
        </w:rPr>
        <w:t>(</w:t>
      </w:r>
      <w:r w:rsidR="00737FE6" w:rsidRPr="00737FE6">
        <w:rPr>
          <w:rFonts w:ascii="Times New Roman" w:hAnsi="Times New Roman"/>
          <w:i/>
          <w:szCs w:val="24"/>
        </w:rPr>
        <w:t>Id</w:t>
      </w:r>
      <w:r w:rsidR="00BE266C">
        <w:rPr>
          <w:rFonts w:ascii="Times New Roman" w:hAnsi="Times New Roman"/>
          <w:szCs w:val="24"/>
        </w:rPr>
        <w:t xml:space="preserve">.) </w:t>
      </w:r>
      <w:r>
        <w:rPr>
          <w:rFonts w:ascii="Times New Roman" w:hAnsi="Times New Roman"/>
          <w:szCs w:val="24"/>
        </w:rPr>
        <w:t>The Company is projected to remain a summer peaking utility</w:t>
      </w:r>
      <w:r w:rsidR="00363C90">
        <w:rPr>
          <w:rFonts w:ascii="Times New Roman" w:hAnsi="Times New Roman"/>
          <w:szCs w:val="24"/>
        </w:rPr>
        <w:t xml:space="preserve"> </w:t>
      </w:r>
      <w:r>
        <w:rPr>
          <w:rFonts w:ascii="Times New Roman" w:hAnsi="Times New Roman"/>
          <w:szCs w:val="24"/>
        </w:rPr>
        <w:t xml:space="preserve">and the inclining rate in the summer months and the declining block structure in the non-summer months continues to support that reality. </w:t>
      </w:r>
      <w:r w:rsidR="00363C90">
        <w:rPr>
          <w:rFonts w:ascii="Times New Roman" w:hAnsi="Times New Roman"/>
          <w:szCs w:val="24"/>
        </w:rPr>
        <w:t>(</w:t>
      </w:r>
      <w:r w:rsidR="00737FE6" w:rsidRPr="00737FE6">
        <w:rPr>
          <w:rFonts w:ascii="Times New Roman" w:hAnsi="Times New Roman"/>
          <w:i/>
          <w:szCs w:val="24"/>
        </w:rPr>
        <w:t>Id</w:t>
      </w:r>
      <w:r w:rsidR="00363C90">
        <w:rPr>
          <w:rFonts w:ascii="Times New Roman" w:hAnsi="Times New Roman"/>
          <w:szCs w:val="24"/>
        </w:rPr>
        <w:t xml:space="preserve">.) </w:t>
      </w:r>
      <w:r w:rsidRPr="004A56DF">
        <w:rPr>
          <w:rFonts w:ascii="Times New Roman" w:hAnsi="Times New Roman"/>
          <w:szCs w:val="24"/>
        </w:rPr>
        <w:t>The declining block structure provides an economical option for customers choosing to use electric-based heating. The prices are set to more than cover the Company’s marginal costs and resulting revenues place downward pressure on rates for all customers.</w:t>
      </w:r>
      <w:r>
        <w:rPr>
          <w:rFonts w:ascii="Times New Roman" w:hAnsi="Times New Roman"/>
          <w:szCs w:val="24"/>
        </w:rPr>
        <w:t xml:space="preserve"> </w:t>
      </w:r>
      <w:r w:rsidR="00BE266C">
        <w:rPr>
          <w:rFonts w:ascii="Times New Roman" w:hAnsi="Times New Roman"/>
          <w:szCs w:val="24"/>
        </w:rPr>
        <w:t>(</w:t>
      </w:r>
      <w:r w:rsidR="00737FE6" w:rsidRPr="00737FE6">
        <w:rPr>
          <w:rFonts w:ascii="Times New Roman" w:hAnsi="Times New Roman"/>
          <w:i/>
          <w:szCs w:val="24"/>
        </w:rPr>
        <w:t>Id</w:t>
      </w:r>
      <w:r w:rsidR="00BE266C">
        <w:rPr>
          <w:rFonts w:ascii="Times New Roman" w:hAnsi="Times New Roman"/>
          <w:szCs w:val="24"/>
        </w:rPr>
        <w:t xml:space="preserve">.) </w:t>
      </w:r>
      <w:r>
        <w:rPr>
          <w:rFonts w:ascii="Times New Roman" w:hAnsi="Times New Roman"/>
          <w:szCs w:val="24"/>
        </w:rPr>
        <w:t xml:space="preserve">The Commission should reject requests to change the declining block rate structure. </w:t>
      </w:r>
    </w:p>
    <w:p w14:paraId="07D6B217" w14:textId="4271CDFB" w:rsidR="006876DF" w:rsidRPr="005A6883" w:rsidRDefault="006876DF" w:rsidP="00227E16">
      <w:pPr>
        <w:keepNext/>
        <w:widowControl/>
        <w:tabs>
          <w:tab w:val="left" w:pos="720"/>
        </w:tabs>
        <w:overflowPunct/>
        <w:autoSpaceDE/>
        <w:autoSpaceDN/>
        <w:adjustRightInd/>
        <w:spacing w:after="240"/>
        <w:ind w:left="2160" w:hanging="720"/>
        <w:jc w:val="both"/>
        <w:textAlignment w:val="auto"/>
        <w:rPr>
          <w:rFonts w:ascii="Times New Roman" w:hAnsi="Times New Roman"/>
          <w:i/>
          <w:szCs w:val="24"/>
        </w:rPr>
      </w:pPr>
      <w:bookmarkStart w:id="50" w:name="_Hlk26111898"/>
      <w:r w:rsidRPr="005A6883">
        <w:rPr>
          <w:rFonts w:ascii="Times New Roman" w:hAnsi="Times New Roman"/>
          <w:i/>
          <w:szCs w:val="24"/>
        </w:rPr>
        <w:lastRenderedPageBreak/>
        <w:t>b.</w:t>
      </w:r>
      <w:r w:rsidRPr="005A6883">
        <w:rPr>
          <w:rFonts w:ascii="Times New Roman" w:hAnsi="Times New Roman"/>
          <w:i/>
          <w:szCs w:val="24"/>
        </w:rPr>
        <w:tab/>
        <w:t>The</w:t>
      </w:r>
      <w:r>
        <w:rPr>
          <w:rFonts w:ascii="Times New Roman" w:hAnsi="Times New Roman"/>
          <w:i/>
          <w:szCs w:val="24"/>
        </w:rPr>
        <w:t xml:space="preserve">re is no need for an ultra-low use tier in the Company’s ‘R’ </w:t>
      </w:r>
      <w:r w:rsidR="00612D34">
        <w:rPr>
          <w:rFonts w:ascii="Times New Roman" w:hAnsi="Times New Roman"/>
          <w:i/>
          <w:szCs w:val="24"/>
        </w:rPr>
        <w:t>R</w:t>
      </w:r>
      <w:r>
        <w:rPr>
          <w:rFonts w:ascii="Times New Roman" w:hAnsi="Times New Roman"/>
          <w:i/>
          <w:szCs w:val="24"/>
        </w:rPr>
        <w:t xml:space="preserve">ate and the </w:t>
      </w:r>
      <w:r w:rsidRPr="005A6883">
        <w:rPr>
          <w:rFonts w:ascii="Times New Roman" w:hAnsi="Times New Roman"/>
          <w:i/>
          <w:szCs w:val="24"/>
        </w:rPr>
        <w:t xml:space="preserve">Commission should reject PIA Staff requests to </w:t>
      </w:r>
      <w:r>
        <w:rPr>
          <w:rFonts w:ascii="Times New Roman" w:hAnsi="Times New Roman"/>
          <w:i/>
          <w:szCs w:val="24"/>
        </w:rPr>
        <w:t>reset the</w:t>
      </w:r>
      <w:r w:rsidRPr="005A6883">
        <w:rPr>
          <w:rFonts w:ascii="Times New Roman" w:hAnsi="Times New Roman"/>
          <w:i/>
          <w:szCs w:val="24"/>
        </w:rPr>
        <w:t xml:space="preserve"> tiered block</w:t>
      </w:r>
      <w:r>
        <w:rPr>
          <w:rFonts w:ascii="Times New Roman" w:hAnsi="Times New Roman"/>
          <w:i/>
          <w:szCs w:val="24"/>
        </w:rPr>
        <w:t xml:space="preserve"> thresholds</w:t>
      </w:r>
      <w:r w:rsidRPr="005A6883">
        <w:rPr>
          <w:rFonts w:ascii="Times New Roman" w:hAnsi="Times New Roman"/>
          <w:i/>
          <w:szCs w:val="24"/>
        </w:rPr>
        <w:t>.</w:t>
      </w:r>
    </w:p>
    <w:bookmarkEnd w:id="50"/>
    <w:p w14:paraId="527AC5F1" w14:textId="47B55482" w:rsidR="006876DF" w:rsidRDefault="006876DF" w:rsidP="00227E16">
      <w:pPr>
        <w:keepNext/>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Pr="00486ECF">
        <w:rPr>
          <w:rFonts w:ascii="Times New Roman" w:hAnsi="Times New Roman"/>
          <w:szCs w:val="24"/>
        </w:rPr>
        <w:t>Georgia Power continues to support the reasonableness of the current</w:t>
      </w:r>
      <w:r>
        <w:rPr>
          <w:rFonts w:ascii="Times New Roman" w:hAnsi="Times New Roman"/>
          <w:szCs w:val="24"/>
        </w:rPr>
        <w:t xml:space="preserve"> tiered</w:t>
      </w:r>
      <w:r w:rsidRPr="00486ECF">
        <w:rPr>
          <w:rFonts w:ascii="Times New Roman" w:hAnsi="Times New Roman"/>
          <w:szCs w:val="24"/>
        </w:rPr>
        <w:t xml:space="preserve"> breakpoints</w:t>
      </w:r>
      <w:r>
        <w:rPr>
          <w:rFonts w:ascii="Times New Roman" w:hAnsi="Times New Roman"/>
          <w:szCs w:val="24"/>
        </w:rPr>
        <w:t xml:space="preserve"> in </w:t>
      </w:r>
      <w:r w:rsidR="00612D34">
        <w:rPr>
          <w:rFonts w:ascii="Times New Roman" w:hAnsi="Times New Roman"/>
          <w:szCs w:val="24"/>
        </w:rPr>
        <w:t xml:space="preserve">its </w:t>
      </w:r>
      <w:r>
        <w:rPr>
          <w:rFonts w:ascii="Times New Roman" w:hAnsi="Times New Roman"/>
          <w:szCs w:val="24"/>
        </w:rPr>
        <w:t>‘R’ Rate</w:t>
      </w:r>
      <w:r w:rsidRPr="00486ECF">
        <w:rPr>
          <w:rFonts w:ascii="Times New Roman" w:hAnsi="Times New Roman"/>
          <w:szCs w:val="24"/>
        </w:rPr>
        <w:t>.</w:t>
      </w:r>
      <w:r w:rsidR="00363C90">
        <w:rPr>
          <w:rFonts w:ascii="Times New Roman" w:hAnsi="Times New Roman"/>
          <w:szCs w:val="24"/>
        </w:rPr>
        <w:t xml:space="preserve"> The Company’s</w:t>
      </w:r>
      <w:r>
        <w:rPr>
          <w:rFonts w:ascii="Times New Roman" w:hAnsi="Times New Roman"/>
          <w:szCs w:val="24"/>
        </w:rPr>
        <w:t xml:space="preserve"> </w:t>
      </w:r>
      <w:r w:rsidRPr="009C4264">
        <w:rPr>
          <w:rFonts w:ascii="Times New Roman" w:hAnsi="Times New Roman"/>
          <w:szCs w:val="24"/>
        </w:rPr>
        <w:t xml:space="preserve">Rate R provides three separate energy rates depending on </w:t>
      </w:r>
      <w:r>
        <w:rPr>
          <w:rFonts w:ascii="Times New Roman" w:hAnsi="Times New Roman"/>
          <w:szCs w:val="24"/>
        </w:rPr>
        <w:t xml:space="preserve">monthly </w:t>
      </w:r>
      <w:r w:rsidRPr="009C4264">
        <w:rPr>
          <w:rFonts w:ascii="Times New Roman" w:hAnsi="Times New Roman"/>
          <w:szCs w:val="24"/>
        </w:rPr>
        <w:t>consumption level</w:t>
      </w:r>
      <w:r w:rsidR="00612D34">
        <w:rPr>
          <w:rFonts w:ascii="Times New Roman" w:hAnsi="Times New Roman"/>
          <w:szCs w:val="24"/>
        </w:rPr>
        <w:t>s</w:t>
      </w:r>
      <w:r>
        <w:rPr>
          <w:rFonts w:ascii="Times New Roman" w:hAnsi="Times New Roman"/>
          <w:szCs w:val="24"/>
        </w:rPr>
        <w:t xml:space="preserve">: (1) </w:t>
      </w:r>
      <w:r w:rsidRPr="009C4264">
        <w:rPr>
          <w:rFonts w:ascii="Times New Roman" w:hAnsi="Times New Roman"/>
          <w:szCs w:val="24"/>
        </w:rPr>
        <w:t>0-650 kWh</w:t>
      </w:r>
      <w:r>
        <w:rPr>
          <w:rFonts w:ascii="Times New Roman" w:hAnsi="Times New Roman"/>
          <w:szCs w:val="24"/>
        </w:rPr>
        <w:t>; (2)</w:t>
      </w:r>
      <w:r w:rsidRPr="009C4264">
        <w:rPr>
          <w:rFonts w:ascii="Times New Roman" w:hAnsi="Times New Roman"/>
          <w:szCs w:val="24"/>
        </w:rPr>
        <w:t xml:space="preserve"> 650-1000 kWh</w:t>
      </w:r>
      <w:r>
        <w:rPr>
          <w:rFonts w:ascii="Times New Roman" w:hAnsi="Times New Roman"/>
          <w:szCs w:val="24"/>
        </w:rPr>
        <w:t>;</w:t>
      </w:r>
      <w:r w:rsidRPr="009C4264">
        <w:rPr>
          <w:rFonts w:ascii="Times New Roman" w:hAnsi="Times New Roman"/>
          <w:szCs w:val="24"/>
        </w:rPr>
        <w:t xml:space="preserve"> and </w:t>
      </w:r>
      <w:r>
        <w:rPr>
          <w:rFonts w:ascii="Times New Roman" w:hAnsi="Times New Roman"/>
          <w:szCs w:val="24"/>
        </w:rPr>
        <w:t>(3) greater than</w:t>
      </w:r>
      <w:r w:rsidRPr="009C4264">
        <w:rPr>
          <w:rFonts w:ascii="Times New Roman" w:hAnsi="Times New Roman"/>
          <w:szCs w:val="24"/>
        </w:rPr>
        <w:t xml:space="preserve"> 1000 kWh.</w:t>
      </w:r>
      <w:r>
        <w:rPr>
          <w:rFonts w:ascii="Times New Roman" w:hAnsi="Times New Roman"/>
          <w:szCs w:val="24"/>
        </w:rPr>
        <w:t xml:space="preserve"> </w:t>
      </w:r>
      <w:r w:rsidRPr="00486ECF">
        <w:rPr>
          <w:rFonts w:ascii="Times New Roman" w:hAnsi="Times New Roman"/>
          <w:szCs w:val="24"/>
        </w:rPr>
        <w:t>The first breakpoint, set at 650 kWh, represents the average consumption of electricity for basic, non-weather sensitive residential loads.</w:t>
      </w:r>
      <w:r w:rsidR="00363C90">
        <w:rPr>
          <w:rFonts w:ascii="Times New Roman" w:hAnsi="Times New Roman"/>
          <w:szCs w:val="24"/>
        </w:rPr>
        <w:t xml:space="preserve"> (Tr. 2890.)</w:t>
      </w:r>
      <w:r>
        <w:rPr>
          <w:rFonts w:ascii="Times New Roman" w:hAnsi="Times New Roman"/>
          <w:szCs w:val="24"/>
        </w:rPr>
        <w:t xml:space="preserve"> Customer usage and the basis for the design of the </w:t>
      </w:r>
      <w:r w:rsidRPr="00486ECF">
        <w:rPr>
          <w:rFonts w:ascii="Times New Roman" w:hAnsi="Times New Roman"/>
          <w:szCs w:val="24"/>
        </w:rPr>
        <w:t xml:space="preserve">‘R’ Rate </w:t>
      </w:r>
      <w:r>
        <w:rPr>
          <w:rFonts w:ascii="Times New Roman" w:hAnsi="Times New Roman"/>
          <w:szCs w:val="24"/>
        </w:rPr>
        <w:t>have not changed in such a way as to necessitate resetting the usage tiers.</w:t>
      </w:r>
    </w:p>
    <w:p w14:paraId="4B08811F" w14:textId="6D7A73E7" w:rsidR="006876DF" w:rsidRDefault="006876DF" w:rsidP="0032156E">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Pr="00486ECF">
        <w:rPr>
          <w:rFonts w:ascii="Times New Roman" w:hAnsi="Times New Roman"/>
          <w:szCs w:val="24"/>
        </w:rPr>
        <w:t>If the residential block tiers were modified to include a tier for 150 kWh or below</w:t>
      </w:r>
      <w:r>
        <w:rPr>
          <w:rFonts w:ascii="Times New Roman" w:hAnsi="Times New Roman"/>
          <w:szCs w:val="24"/>
        </w:rPr>
        <w:t xml:space="preserve"> as proposed by PIA Staff</w:t>
      </w:r>
      <w:r w:rsidRPr="00486ECF">
        <w:rPr>
          <w:rFonts w:ascii="Times New Roman" w:hAnsi="Times New Roman"/>
          <w:szCs w:val="24"/>
        </w:rPr>
        <w:t>, the energy rate for that block would have to be dramatically increased in order for the Company to recover the costs to serve such “ultra-low” use customers.</w:t>
      </w:r>
      <w:r w:rsidR="00BE266C">
        <w:rPr>
          <w:rFonts w:ascii="Times New Roman" w:hAnsi="Times New Roman"/>
          <w:szCs w:val="24"/>
        </w:rPr>
        <w:t xml:space="preserve"> </w:t>
      </w:r>
      <w:r w:rsidR="00363C90">
        <w:rPr>
          <w:rFonts w:ascii="Times New Roman" w:hAnsi="Times New Roman"/>
          <w:szCs w:val="24"/>
        </w:rPr>
        <w:t>(</w:t>
      </w:r>
      <w:r w:rsidR="00363C90" w:rsidRPr="00363C90">
        <w:rPr>
          <w:rFonts w:ascii="Times New Roman" w:hAnsi="Times New Roman"/>
          <w:i/>
          <w:szCs w:val="24"/>
        </w:rPr>
        <w:t>Id</w:t>
      </w:r>
      <w:r w:rsidR="00363C90">
        <w:rPr>
          <w:rFonts w:ascii="Times New Roman" w:hAnsi="Times New Roman"/>
          <w:szCs w:val="24"/>
        </w:rPr>
        <w:t>.)</w:t>
      </w:r>
      <w:r>
        <w:rPr>
          <w:rFonts w:ascii="Times New Roman" w:hAnsi="Times New Roman"/>
          <w:szCs w:val="24"/>
        </w:rPr>
        <w:t xml:space="preserve"> In addition, energy </w:t>
      </w:r>
      <w:r w:rsidRPr="001F7182">
        <w:rPr>
          <w:rFonts w:ascii="Times New Roman" w:hAnsi="Times New Roman"/>
          <w:szCs w:val="24"/>
        </w:rPr>
        <w:t xml:space="preserve">usage </w:t>
      </w:r>
      <w:r>
        <w:rPr>
          <w:rFonts w:ascii="Times New Roman" w:hAnsi="Times New Roman"/>
          <w:szCs w:val="24"/>
        </w:rPr>
        <w:t xml:space="preserve">commensurate with the “ultra-low” use tier suggested by PIA Staff </w:t>
      </w:r>
      <w:r w:rsidRPr="001F7182">
        <w:rPr>
          <w:rFonts w:ascii="Times New Roman" w:hAnsi="Times New Roman"/>
          <w:szCs w:val="24"/>
        </w:rPr>
        <w:t xml:space="preserve">is approximately equal to just </w:t>
      </w:r>
      <w:r w:rsidR="001C5985">
        <w:rPr>
          <w:rFonts w:ascii="Times New Roman" w:hAnsi="Times New Roman"/>
          <w:szCs w:val="24"/>
        </w:rPr>
        <w:t xml:space="preserve">using </w:t>
      </w:r>
      <w:r w:rsidRPr="001F7182">
        <w:rPr>
          <w:rFonts w:ascii="Times New Roman" w:hAnsi="Times New Roman"/>
          <w:szCs w:val="24"/>
        </w:rPr>
        <w:t xml:space="preserve">indoor lighting and a refrigerator for a traditional residence. Therefore, </w:t>
      </w:r>
      <w:r>
        <w:rPr>
          <w:rFonts w:ascii="Times New Roman" w:hAnsi="Times New Roman"/>
          <w:szCs w:val="24"/>
        </w:rPr>
        <w:t>such low usage level more</w:t>
      </w:r>
      <w:r w:rsidRPr="001F7182">
        <w:rPr>
          <w:rFonts w:ascii="Times New Roman" w:hAnsi="Times New Roman"/>
          <w:szCs w:val="24"/>
        </w:rPr>
        <w:t xml:space="preserve"> likely</w:t>
      </w:r>
      <w:r>
        <w:rPr>
          <w:rFonts w:ascii="Times New Roman" w:hAnsi="Times New Roman"/>
          <w:szCs w:val="24"/>
        </w:rPr>
        <w:t xml:space="preserve"> than not</w:t>
      </w:r>
      <w:r w:rsidRPr="001F7182">
        <w:rPr>
          <w:rFonts w:ascii="Times New Roman" w:hAnsi="Times New Roman"/>
          <w:szCs w:val="24"/>
        </w:rPr>
        <w:t xml:space="preserve"> reflects a home that is often vacant or possibly a vacation home – not a normal inhabited residence. </w:t>
      </w:r>
      <w:r>
        <w:rPr>
          <w:rFonts w:ascii="Times New Roman" w:hAnsi="Times New Roman"/>
          <w:szCs w:val="24"/>
        </w:rPr>
        <w:t>The Commission should reject PIA Staff’s revisions to the tiered blocks in the ‘R’ Rate as unnecessary and non-reflective of the average use of a typical Georgia Power residential customer.</w:t>
      </w:r>
    </w:p>
    <w:p w14:paraId="204E628C" w14:textId="3E4932A1" w:rsidR="006876DF" w:rsidRDefault="006876DF" w:rsidP="0032156E">
      <w:pPr>
        <w:widowControl/>
        <w:tabs>
          <w:tab w:val="left" w:pos="720"/>
        </w:tabs>
        <w:overflowPunct/>
        <w:autoSpaceDE/>
        <w:autoSpaceDN/>
        <w:adjustRightInd/>
        <w:spacing w:after="240"/>
        <w:ind w:left="2160" w:hanging="720"/>
        <w:jc w:val="both"/>
        <w:textAlignment w:val="auto"/>
        <w:rPr>
          <w:rFonts w:ascii="Times New Roman" w:hAnsi="Times New Roman"/>
          <w:szCs w:val="24"/>
        </w:rPr>
      </w:pPr>
      <w:bookmarkStart w:id="51" w:name="_Hlk26115416"/>
      <w:r w:rsidRPr="00742E33">
        <w:rPr>
          <w:rFonts w:ascii="Times New Roman" w:hAnsi="Times New Roman"/>
          <w:i/>
          <w:szCs w:val="24"/>
        </w:rPr>
        <w:t>c.</w:t>
      </w:r>
      <w:r w:rsidRPr="00742E33">
        <w:rPr>
          <w:rFonts w:ascii="Times New Roman" w:hAnsi="Times New Roman"/>
          <w:i/>
          <w:szCs w:val="24"/>
        </w:rPr>
        <w:tab/>
        <w:t xml:space="preserve">PIA Staff has not fully analyzed the impacts of the changes to the ‘R’ </w:t>
      </w:r>
      <w:r w:rsidR="001C5985">
        <w:rPr>
          <w:rFonts w:ascii="Times New Roman" w:hAnsi="Times New Roman"/>
          <w:i/>
          <w:szCs w:val="24"/>
        </w:rPr>
        <w:t>R</w:t>
      </w:r>
      <w:r w:rsidRPr="00742E33">
        <w:rPr>
          <w:rFonts w:ascii="Times New Roman" w:hAnsi="Times New Roman"/>
          <w:i/>
          <w:szCs w:val="24"/>
        </w:rPr>
        <w:t xml:space="preserve">ate </w:t>
      </w:r>
      <w:r>
        <w:rPr>
          <w:rFonts w:ascii="Times New Roman" w:hAnsi="Times New Roman"/>
          <w:i/>
          <w:szCs w:val="24"/>
        </w:rPr>
        <w:t>it</w:t>
      </w:r>
      <w:r w:rsidRPr="00742E33">
        <w:rPr>
          <w:rFonts w:ascii="Times New Roman" w:hAnsi="Times New Roman"/>
          <w:i/>
          <w:szCs w:val="24"/>
        </w:rPr>
        <w:t xml:space="preserve"> recommend</w:t>
      </w:r>
      <w:r>
        <w:rPr>
          <w:rFonts w:ascii="Times New Roman" w:hAnsi="Times New Roman"/>
          <w:i/>
          <w:szCs w:val="24"/>
        </w:rPr>
        <w:t>s</w:t>
      </w:r>
      <w:r w:rsidR="00227E16">
        <w:rPr>
          <w:rFonts w:ascii="Times New Roman" w:hAnsi="Times New Roman"/>
          <w:i/>
          <w:szCs w:val="24"/>
        </w:rPr>
        <w:t>,</w:t>
      </w:r>
      <w:r w:rsidRPr="00742E33">
        <w:rPr>
          <w:rFonts w:ascii="Times New Roman" w:hAnsi="Times New Roman"/>
          <w:i/>
          <w:szCs w:val="24"/>
        </w:rPr>
        <w:t xml:space="preserve"> and the Commission should reject PIA Staff’s proposals to avoid unintentional harm on the Company’s residential customers.</w:t>
      </w:r>
      <w:r>
        <w:rPr>
          <w:rFonts w:ascii="Times New Roman" w:hAnsi="Times New Roman"/>
          <w:szCs w:val="24"/>
        </w:rPr>
        <w:t xml:space="preserve"> </w:t>
      </w:r>
    </w:p>
    <w:bookmarkEnd w:id="51"/>
    <w:p w14:paraId="55BDA5D1" w14:textId="13BED176" w:rsidR="006876DF" w:rsidRDefault="006876DF" w:rsidP="003B2E09">
      <w:pPr>
        <w:widowControl/>
        <w:tabs>
          <w:tab w:val="left" w:pos="0"/>
        </w:tabs>
        <w:overflowPunct/>
        <w:autoSpaceDE/>
        <w:autoSpaceDN/>
        <w:adjustRightInd/>
        <w:spacing w:before="240" w:after="240" w:line="480" w:lineRule="auto"/>
        <w:jc w:val="both"/>
        <w:textAlignment w:val="auto"/>
        <w:rPr>
          <w:rFonts w:ascii="Times New Roman" w:eastAsiaTheme="majorEastAsia" w:hAnsi="Times New Roman"/>
          <w:szCs w:val="24"/>
        </w:rPr>
      </w:pPr>
      <w:r>
        <w:rPr>
          <w:rFonts w:ascii="Times New Roman" w:hAnsi="Times New Roman"/>
          <w:szCs w:val="24"/>
        </w:rPr>
        <w:tab/>
      </w:r>
      <w:r w:rsidRPr="00486ECF">
        <w:rPr>
          <w:rFonts w:ascii="Times New Roman" w:hAnsi="Times New Roman"/>
          <w:szCs w:val="24"/>
        </w:rPr>
        <w:t xml:space="preserve">PIA Staff is proposing several modifications to the ‘R’ Rate without any analysis </w:t>
      </w:r>
      <w:r w:rsidR="001C5985">
        <w:rPr>
          <w:rFonts w:ascii="Times New Roman" w:hAnsi="Times New Roman"/>
          <w:szCs w:val="24"/>
        </w:rPr>
        <w:t xml:space="preserve">of </w:t>
      </w:r>
      <w:r w:rsidRPr="00486ECF">
        <w:rPr>
          <w:rFonts w:ascii="Times New Roman" w:hAnsi="Times New Roman"/>
          <w:szCs w:val="24"/>
        </w:rPr>
        <w:t>the impacts these changes would have on a large number of customers who are currently on that rate. The ‘R’ Rate currently serves over 1.8 million customers</w:t>
      </w:r>
      <w:r w:rsidR="00625744">
        <w:rPr>
          <w:rFonts w:ascii="Times New Roman" w:hAnsi="Times New Roman"/>
          <w:szCs w:val="24"/>
        </w:rPr>
        <w:t>,</w:t>
      </w:r>
      <w:r w:rsidRPr="00486ECF">
        <w:rPr>
          <w:rFonts w:ascii="Times New Roman" w:hAnsi="Times New Roman"/>
          <w:szCs w:val="24"/>
        </w:rPr>
        <w:t xml:space="preserve"> and it is not clear that PIA Staff has considered how their proposed modifications will be received or what steps should be taken in </w:t>
      </w:r>
      <w:r w:rsidRPr="00486ECF">
        <w:rPr>
          <w:rFonts w:ascii="Times New Roman" w:hAnsi="Times New Roman"/>
          <w:szCs w:val="24"/>
        </w:rPr>
        <w:lastRenderedPageBreak/>
        <w:t>advance to educate customers prior to the implementation of such significant changes. Unlike moving customers to a new rate at the initiation of service or having rates available for customers to select at any point in time, PIA Staff is proposing to fundamentally alter a rate through which Georgia Power’s largest number of customers are being served without due consideration of the immediate impacts to those customers or how they might respond. This appears to be in fundamental opposition to any form of gradual movement as PIA Staff appears to advocate for in testimony. Further, the ‘R’ Rate is not modern, and it would be inconsistent to overhaul that rate while trying to transition customers to more modern rates.</w:t>
      </w:r>
    </w:p>
    <w:p w14:paraId="7F415000" w14:textId="152B30DB" w:rsidR="006876DF" w:rsidRDefault="006876DF" w:rsidP="006876DF">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52" w:name="_Hlk26111931"/>
      <w:r>
        <w:rPr>
          <w:rFonts w:ascii="Times New Roman" w:eastAsiaTheme="majorEastAsia" w:hAnsi="Times New Roman"/>
          <w:szCs w:val="24"/>
        </w:rPr>
        <w:t>2.</w:t>
      </w:r>
      <w:r>
        <w:rPr>
          <w:rFonts w:ascii="Times New Roman" w:eastAsiaTheme="majorEastAsia" w:hAnsi="Times New Roman"/>
          <w:szCs w:val="24"/>
        </w:rPr>
        <w:tab/>
      </w:r>
      <w:r>
        <w:rPr>
          <w:rFonts w:ascii="Times New Roman" w:hAnsi="Times New Roman"/>
          <w:szCs w:val="24"/>
          <w:u w:val="single"/>
        </w:rPr>
        <w:t>C</w:t>
      </w:r>
      <w:r w:rsidRPr="004B6D89">
        <w:rPr>
          <w:rFonts w:ascii="Times New Roman" w:hAnsi="Times New Roman"/>
          <w:szCs w:val="24"/>
          <w:u w:val="single"/>
        </w:rPr>
        <w:t xml:space="preserve">losing the </w:t>
      </w:r>
      <w:r>
        <w:rPr>
          <w:rFonts w:ascii="Times New Roman" w:hAnsi="Times New Roman"/>
          <w:szCs w:val="24"/>
          <w:u w:val="single"/>
        </w:rPr>
        <w:t>‘R’</w:t>
      </w:r>
      <w:r w:rsidRPr="004B6D89">
        <w:rPr>
          <w:rFonts w:ascii="Times New Roman" w:hAnsi="Times New Roman"/>
          <w:szCs w:val="24"/>
          <w:u w:val="single"/>
        </w:rPr>
        <w:t xml:space="preserve"> </w:t>
      </w:r>
      <w:r>
        <w:rPr>
          <w:rFonts w:ascii="Times New Roman" w:hAnsi="Times New Roman"/>
          <w:szCs w:val="24"/>
          <w:u w:val="single"/>
        </w:rPr>
        <w:t>R</w:t>
      </w:r>
      <w:r w:rsidRPr="004B6D89">
        <w:rPr>
          <w:rFonts w:ascii="Times New Roman" w:hAnsi="Times New Roman"/>
          <w:szCs w:val="24"/>
          <w:u w:val="single"/>
        </w:rPr>
        <w:t xml:space="preserve">ate to new residential premises is an appropriate and gradual first step toward modernizing the </w:t>
      </w:r>
      <w:r>
        <w:rPr>
          <w:rFonts w:ascii="Times New Roman" w:hAnsi="Times New Roman"/>
          <w:szCs w:val="24"/>
          <w:u w:val="single"/>
        </w:rPr>
        <w:t>C</w:t>
      </w:r>
      <w:r w:rsidRPr="004B6D89">
        <w:rPr>
          <w:rFonts w:ascii="Times New Roman" w:hAnsi="Times New Roman"/>
          <w:szCs w:val="24"/>
          <w:u w:val="single"/>
        </w:rPr>
        <w:t>ompany</w:t>
      </w:r>
      <w:r>
        <w:rPr>
          <w:rFonts w:ascii="Times New Roman" w:hAnsi="Times New Roman"/>
          <w:szCs w:val="24"/>
          <w:u w:val="single"/>
        </w:rPr>
        <w:t>’</w:t>
      </w:r>
      <w:r w:rsidRPr="004B6D89">
        <w:rPr>
          <w:rFonts w:ascii="Times New Roman" w:hAnsi="Times New Roman"/>
          <w:szCs w:val="24"/>
          <w:u w:val="single"/>
        </w:rPr>
        <w:t>s rate offerings</w:t>
      </w:r>
      <w:r>
        <w:rPr>
          <w:rFonts w:ascii="Times New Roman" w:hAnsi="Times New Roman"/>
          <w:szCs w:val="24"/>
        </w:rPr>
        <w:t>.</w:t>
      </w:r>
    </w:p>
    <w:bookmarkEnd w:id="52"/>
    <w:p w14:paraId="07A70EB5" w14:textId="509886D0" w:rsidR="006876DF" w:rsidRDefault="006876DF" w:rsidP="006A6778">
      <w:pPr>
        <w:keepLines/>
        <w:widowControl/>
        <w:tabs>
          <w:tab w:val="left" w:pos="0"/>
        </w:tabs>
        <w:suppressAutoHyphen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t xml:space="preserve">The Commission should approve </w:t>
      </w:r>
      <w:r w:rsidRPr="00FC7558">
        <w:rPr>
          <w:rFonts w:ascii="Times New Roman" w:hAnsi="Times New Roman"/>
          <w:szCs w:val="24"/>
        </w:rPr>
        <w:t>Georgia Power</w:t>
      </w:r>
      <w:r>
        <w:rPr>
          <w:rFonts w:ascii="Times New Roman" w:hAnsi="Times New Roman"/>
          <w:szCs w:val="24"/>
        </w:rPr>
        <w:t>’s</w:t>
      </w:r>
      <w:r w:rsidRPr="00FC7558">
        <w:rPr>
          <w:rFonts w:ascii="Times New Roman" w:hAnsi="Times New Roman"/>
          <w:szCs w:val="24"/>
        </w:rPr>
        <w:t xml:space="preserve"> request to begin transitioning away from the more antiquated, volumetric option of the </w:t>
      </w:r>
      <w:r>
        <w:rPr>
          <w:rFonts w:ascii="Times New Roman" w:hAnsi="Times New Roman"/>
          <w:szCs w:val="24"/>
        </w:rPr>
        <w:t>‘</w:t>
      </w:r>
      <w:r w:rsidRPr="00FC7558">
        <w:rPr>
          <w:rFonts w:ascii="Times New Roman" w:hAnsi="Times New Roman"/>
          <w:szCs w:val="24"/>
        </w:rPr>
        <w:t>R</w:t>
      </w:r>
      <w:r>
        <w:rPr>
          <w:rFonts w:ascii="Times New Roman" w:hAnsi="Times New Roman"/>
          <w:szCs w:val="24"/>
        </w:rPr>
        <w:t>’</w:t>
      </w:r>
      <w:r w:rsidRPr="00FC7558">
        <w:rPr>
          <w:rFonts w:ascii="Times New Roman" w:hAnsi="Times New Roman"/>
          <w:szCs w:val="24"/>
        </w:rPr>
        <w:t xml:space="preserve"> Rate</w:t>
      </w:r>
      <w:r>
        <w:rPr>
          <w:rFonts w:ascii="Times New Roman" w:hAnsi="Times New Roman"/>
          <w:szCs w:val="24"/>
        </w:rPr>
        <w:t xml:space="preserve"> by closing </w:t>
      </w:r>
      <w:r w:rsidR="00612D34">
        <w:rPr>
          <w:rFonts w:ascii="Times New Roman" w:hAnsi="Times New Roman"/>
          <w:szCs w:val="24"/>
        </w:rPr>
        <w:t>it</w:t>
      </w:r>
      <w:r>
        <w:rPr>
          <w:rFonts w:ascii="Times New Roman" w:hAnsi="Times New Roman"/>
          <w:szCs w:val="24"/>
        </w:rPr>
        <w:t xml:space="preserve"> to new premises</w:t>
      </w:r>
      <w:r w:rsidRPr="00FC7558">
        <w:rPr>
          <w:rFonts w:ascii="Times New Roman" w:hAnsi="Times New Roman"/>
          <w:szCs w:val="24"/>
        </w:rPr>
        <w:t xml:space="preserve">. If approved, customers establishing service at new premises will be able to select from four of </w:t>
      </w:r>
      <w:r>
        <w:rPr>
          <w:rFonts w:ascii="Times New Roman" w:hAnsi="Times New Roman"/>
          <w:szCs w:val="24"/>
        </w:rPr>
        <w:t>the Company’s</w:t>
      </w:r>
      <w:r w:rsidRPr="00FC7558">
        <w:rPr>
          <w:rFonts w:ascii="Times New Roman" w:hAnsi="Times New Roman"/>
          <w:szCs w:val="24"/>
        </w:rPr>
        <w:t xml:space="preserve"> most modern rate options</w:t>
      </w:r>
      <w:r>
        <w:rPr>
          <w:rFonts w:ascii="Times New Roman" w:hAnsi="Times New Roman"/>
          <w:szCs w:val="24"/>
        </w:rPr>
        <w:t xml:space="preserve">: </w:t>
      </w:r>
      <w:r w:rsidR="0094334F">
        <w:rPr>
          <w:rFonts w:ascii="Times New Roman" w:hAnsi="Times New Roman"/>
          <w:szCs w:val="24"/>
        </w:rPr>
        <w:t>Time of Use – Residential Demand (“</w:t>
      </w:r>
      <w:r w:rsidRPr="00486ECF">
        <w:rPr>
          <w:rFonts w:ascii="Times New Roman" w:hAnsi="Times New Roman"/>
          <w:szCs w:val="24"/>
        </w:rPr>
        <w:t>TOU-RD</w:t>
      </w:r>
      <w:r w:rsidR="0094334F">
        <w:rPr>
          <w:rFonts w:ascii="Times New Roman" w:hAnsi="Times New Roman"/>
          <w:szCs w:val="24"/>
        </w:rPr>
        <w:t>”)</w:t>
      </w:r>
      <w:r w:rsidRPr="00486ECF">
        <w:rPr>
          <w:rFonts w:ascii="Times New Roman" w:hAnsi="Times New Roman"/>
          <w:szCs w:val="24"/>
        </w:rPr>
        <w:t xml:space="preserve">; Time of Use – Residential Energy Only (“TOU-REO”); Time of Use – Plug-in Electric Vehicle (“TOU-PEV”); or PrePay. </w:t>
      </w:r>
      <w:r w:rsidR="000225F3">
        <w:rPr>
          <w:rFonts w:ascii="Times New Roman" w:hAnsi="Times New Roman"/>
          <w:szCs w:val="24"/>
        </w:rPr>
        <w:t xml:space="preserve">(Tr. </w:t>
      </w:r>
      <w:r w:rsidR="004776C4">
        <w:rPr>
          <w:rFonts w:ascii="Times New Roman" w:hAnsi="Times New Roman"/>
          <w:szCs w:val="24"/>
        </w:rPr>
        <w:t xml:space="preserve">2891, </w:t>
      </w:r>
      <w:r w:rsidR="000225F3">
        <w:rPr>
          <w:rFonts w:ascii="Times New Roman" w:hAnsi="Times New Roman"/>
          <w:szCs w:val="24"/>
        </w:rPr>
        <w:t xml:space="preserve">2905-06.) </w:t>
      </w:r>
      <w:r>
        <w:rPr>
          <w:rFonts w:ascii="Times New Roman" w:hAnsi="Times New Roman"/>
          <w:szCs w:val="24"/>
        </w:rPr>
        <w:t>A</w:t>
      </w:r>
      <w:r w:rsidRPr="00FC7558">
        <w:rPr>
          <w:rFonts w:ascii="Times New Roman" w:hAnsi="Times New Roman"/>
          <w:szCs w:val="24"/>
        </w:rPr>
        <w:t>fter the initial year of service at those new premises, customers will be eligible for two additional rates, FlatBill and Pay by Day.</w:t>
      </w:r>
      <w:r w:rsidR="000225F3">
        <w:rPr>
          <w:rFonts w:ascii="Times New Roman" w:hAnsi="Times New Roman"/>
          <w:szCs w:val="24"/>
        </w:rPr>
        <w:t xml:space="preserve"> (Tr.</w:t>
      </w:r>
      <w:r w:rsidR="005062CF">
        <w:rPr>
          <w:rFonts w:ascii="Times New Roman" w:hAnsi="Times New Roman"/>
          <w:szCs w:val="24"/>
        </w:rPr>
        <w:t xml:space="preserve"> 2868,</w:t>
      </w:r>
      <w:r w:rsidR="000225F3">
        <w:rPr>
          <w:rFonts w:ascii="Times New Roman" w:hAnsi="Times New Roman"/>
          <w:szCs w:val="24"/>
        </w:rPr>
        <w:t xml:space="preserve"> 2906.)</w:t>
      </w:r>
    </w:p>
    <w:p w14:paraId="2EEBEF3A" w14:textId="0ECBB39D" w:rsidR="006876DF" w:rsidRPr="00486ECF" w:rsidRDefault="006876DF" w:rsidP="006876DF">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t>PIA Staff and Intervenors mischaracterize</w:t>
      </w:r>
      <w:r w:rsidRPr="00486ECF">
        <w:rPr>
          <w:rFonts w:ascii="Times New Roman" w:hAnsi="Times New Roman"/>
          <w:szCs w:val="24"/>
        </w:rPr>
        <w:t xml:space="preserve"> the Company’s proposal as eliminating the ‘R’ Rate. </w:t>
      </w:r>
      <w:r w:rsidR="007E41CA">
        <w:rPr>
          <w:rFonts w:ascii="Times New Roman" w:hAnsi="Times New Roman"/>
          <w:szCs w:val="24"/>
        </w:rPr>
        <w:t>(</w:t>
      </w:r>
      <w:r w:rsidR="001E6ADC">
        <w:rPr>
          <w:rFonts w:ascii="Times New Roman" w:hAnsi="Times New Roman"/>
          <w:i/>
          <w:szCs w:val="24"/>
        </w:rPr>
        <w:t>See</w:t>
      </w:r>
      <w:r w:rsidR="001E6ADC">
        <w:rPr>
          <w:rFonts w:ascii="Times New Roman" w:hAnsi="Times New Roman"/>
          <w:szCs w:val="24"/>
        </w:rPr>
        <w:t xml:space="preserve"> Tr. 1690-92</w:t>
      </w:r>
      <w:r w:rsidR="007E41CA">
        <w:rPr>
          <w:rFonts w:ascii="Times New Roman" w:hAnsi="Times New Roman"/>
          <w:szCs w:val="24"/>
        </w:rPr>
        <w:t xml:space="preserve">.) </w:t>
      </w:r>
      <w:r w:rsidRPr="00486ECF">
        <w:rPr>
          <w:rFonts w:ascii="Times New Roman" w:hAnsi="Times New Roman"/>
          <w:szCs w:val="24"/>
        </w:rPr>
        <w:t>Rather, the Company is proposing to close the ‘R’ Rate to new premises as the initial step in Georgia Power’s gradual movement towards more modern rate designs that send price signals that more appropriately reflect costs.</w:t>
      </w:r>
      <w:r w:rsidR="007E41CA">
        <w:rPr>
          <w:rFonts w:ascii="Times New Roman" w:hAnsi="Times New Roman"/>
          <w:szCs w:val="24"/>
        </w:rPr>
        <w:t xml:space="preserve"> (</w:t>
      </w:r>
      <w:r w:rsidR="00DE1B16">
        <w:rPr>
          <w:rFonts w:ascii="Times New Roman" w:hAnsi="Times New Roman"/>
          <w:szCs w:val="24"/>
        </w:rPr>
        <w:t>Tr. 28</w:t>
      </w:r>
      <w:r w:rsidR="00E444E5">
        <w:rPr>
          <w:rFonts w:ascii="Times New Roman" w:hAnsi="Times New Roman"/>
          <w:szCs w:val="24"/>
        </w:rPr>
        <w:t>91</w:t>
      </w:r>
      <w:r w:rsidR="007E41CA">
        <w:rPr>
          <w:rFonts w:ascii="Times New Roman" w:hAnsi="Times New Roman"/>
          <w:szCs w:val="24"/>
        </w:rPr>
        <w:t>.)</w:t>
      </w:r>
      <w:r>
        <w:rPr>
          <w:rFonts w:ascii="Times New Roman" w:hAnsi="Times New Roman"/>
          <w:szCs w:val="24"/>
        </w:rPr>
        <w:t xml:space="preserve"> The Company’s 1.8 million e</w:t>
      </w:r>
      <w:r w:rsidRPr="00486ECF">
        <w:rPr>
          <w:rFonts w:ascii="Times New Roman" w:hAnsi="Times New Roman"/>
          <w:szCs w:val="24"/>
        </w:rPr>
        <w:t>xisting customers currently on the ‘R’ Rate will not be removed from the ‘R’ Rate or forced to select a new rate</w:t>
      </w:r>
      <w:r>
        <w:rPr>
          <w:rFonts w:ascii="Times New Roman" w:hAnsi="Times New Roman"/>
          <w:szCs w:val="24"/>
        </w:rPr>
        <w:t xml:space="preserve">. </w:t>
      </w:r>
      <w:r w:rsidR="007E41CA">
        <w:rPr>
          <w:rFonts w:ascii="Times New Roman" w:hAnsi="Times New Roman"/>
          <w:szCs w:val="24"/>
        </w:rPr>
        <w:t>(</w:t>
      </w:r>
      <w:r w:rsidR="005062CF">
        <w:rPr>
          <w:rFonts w:ascii="Times New Roman" w:hAnsi="Times New Roman"/>
          <w:i/>
          <w:szCs w:val="24"/>
        </w:rPr>
        <w:t xml:space="preserve">See </w:t>
      </w:r>
      <w:r w:rsidR="00DE1B16">
        <w:rPr>
          <w:rFonts w:ascii="Times New Roman" w:hAnsi="Times New Roman"/>
          <w:szCs w:val="24"/>
        </w:rPr>
        <w:t>Tr. 89</w:t>
      </w:r>
      <w:r w:rsidR="005062CF">
        <w:rPr>
          <w:rFonts w:ascii="Times New Roman" w:hAnsi="Times New Roman"/>
          <w:szCs w:val="24"/>
        </w:rPr>
        <w:t>3</w:t>
      </w:r>
      <w:r w:rsidR="00F67047">
        <w:rPr>
          <w:rFonts w:ascii="Times New Roman" w:hAnsi="Times New Roman"/>
          <w:szCs w:val="24"/>
        </w:rPr>
        <w:t>-94, 3045</w:t>
      </w:r>
      <w:r w:rsidR="007E41CA">
        <w:rPr>
          <w:rFonts w:ascii="Times New Roman" w:hAnsi="Times New Roman"/>
          <w:szCs w:val="24"/>
        </w:rPr>
        <w:t xml:space="preserve">.) </w:t>
      </w:r>
      <w:r>
        <w:rPr>
          <w:rFonts w:ascii="Times New Roman" w:hAnsi="Times New Roman"/>
          <w:szCs w:val="24"/>
        </w:rPr>
        <w:t xml:space="preserve">In addition, </w:t>
      </w:r>
      <w:r w:rsidRPr="00486ECF">
        <w:rPr>
          <w:rFonts w:ascii="Times New Roman" w:hAnsi="Times New Roman"/>
          <w:szCs w:val="24"/>
        </w:rPr>
        <w:t xml:space="preserve">existing customers currently on the ‘R’ Rate </w:t>
      </w:r>
      <w:r w:rsidRPr="00486ECF">
        <w:rPr>
          <w:rFonts w:ascii="Times New Roman" w:hAnsi="Times New Roman"/>
          <w:szCs w:val="24"/>
        </w:rPr>
        <w:lastRenderedPageBreak/>
        <w:t>who move to another existing premises</w:t>
      </w:r>
      <w:r>
        <w:rPr>
          <w:rFonts w:ascii="Times New Roman" w:hAnsi="Times New Roman"/>
          <w:szCs w:val="24"/>
        </w:rPr>
        <w:t xml:space="preserve"> will be allowed to remain on the ‘R’ </w:t>
      </w:r>
      <w:r w:rsidR="00612D34">
        <w:rPr>
          <w:rFonts w:ascii="Times New Roman" w:hAnsi="Times New Roman"/>
          <w:szCs w:val="24"/>
        </w:rPr>
        <w:t>R</w:t>
      </w:r>
      <w:r>
        <w:rPr>
          <w:rFonts w:ascii="Times New Roman" w:hAnsi="Times New Roman"/>
          <w:szCs w:val="24"/>
        </w:rPr>
        <w:t>ate</w:t>
      </w:r>
      <w:r w:rsidRPr="00486ECF">
        <w:rPr>
          <w:rFonts w:ascii="Times New Roman" w:hAnsi="Times New Roman"/>
          <w:szCs w:val="24"/>
        </w:rPr>
        <w:t>.</w:t>
      </w:r>
      <w:r w:rsidR="007E41CA" w:rsidRPr="007E41CA">
        <w:rPr>
          <w:rFonts w:ascii="Times New Roman" w:hAnsi="Times New Roman"/>
          <w:szCs w:val="24"/>
        </w:rPr>
        <w:t xml:space="preserve"> </w:t>
      </w:r>
      <w:r w:rsidR="007E41CA">
        <w:rPr>
          <w:rFonts w:ascii="Times New Roman" w:hAnsi="Times New Roman"/>
          <w:szCs w:val="24"/>
        </w:rPr>
        <w:t>(</w:t>
      </w:r>
      <w:r w:rsidR="00DE1B16" w:rsidRPr="00DE1B16">
        <w:rPr>
          <w:rFonts w:ascii="Times New Roman" w:hAnsi="Times New Roman"/>
          <w:i/>
          <w:szCs w:val="24"/>
        </w:rPr>
        <w:t>Id</w:t>
      </w:r>
      <w:r w:rsidR="007E41CA">
        <w:rPr>
          <w:rFonts w:ascii="Times New Roman" w:hAnsi="Times New Roman"/>
          <w:szCs w:val="24"/>
        </w:rPr>
        <w:t>.)</w:t>
      </w:r>
      <w:r>
        <w:rPr>
          <w:rFonts w:ascii="Times New Roman" w:hAnsi="Times New Roman"/>
          <w:szCs w:val="24"/>
        </w:rPr>
        <w:t xml:space="preserve"> Closing the ‘R’ </w:t>
      </w:r>
      <w:r w:rsidR="00612D34">
        <w:rPr>
          <w:rFonts w:ascii="Times New Roman" w:hAnsi="Times New Roman"/>
          <w:szCs w:val="24"/>
        </w:rPr>
        <w:t xml:space="preserve">Rate </w:t>
      </w:r>
      <w:r>
        <w:rPr>
          <w:rFonts w:ascii="Times New Roman" w:hAnsi="Times New Roman"/>
          <w:szCs w:val="24"/>
        </w:rPr>
        <w:t>to new residential premises is an appropriate first step toward modernizing the Company’s rate offerings without immediately reducing rate options for customers. The Commission should approve the Company’s request.</w:t>
      </w:r>
    </w:p>
    <w:p w14:paraId="2C4543C3" w14:textId="39065107" w:rsidR="006876DF" w:rsidRDefault="006876DF" w:rsidP="006A6778">
      <w:pPr>
        <w:keepNext/>
        <w:widowControl/>
        <w:tabs>
          <w:tab w:val="left" w:pos="0"/>
          <w:tab w:val="left" w:pos="720"/>
        </w:tabs>
        <w:overflowPunct/>
        <w:autoSpaceDE/>
        <w:autoSpaceDN/>
        <w:adjustRightInd/>
        <w:spacing w:before="240" w:after="240"/>
        <w:ind w:left="1440" w:hanging="1440"/>
        <w:jc w:val="both"/>
        <w:textAlignment w:val="auto"/>
        <w:rPr>
          <w:rFonts w:ascii="Times New Roman" w:hAnsi="Times New Roman"/>
          <w:szCs w:val="24"/>
        </w:rPr>
      </w:pPr>
      <w:bookmarkStart w:id="53" w:name="_Hlk26111936"/>
      <w:r w:rsidRPr="005E12E9">
        <w:rPr>
          <w:rFonts w:ascii="Times New Roman" w:hAnsi="Times New Roman"/>
          <w:szCs w:val="24"/>
        </w:rPr>
        <w:tab/>
      </w:r>
      <w:r>
        <w:rPr>
          <w:rFonts w:ascii="Times New Roman" w:hAnsi="Times New Roman"/>
          <w:szCs w:val="24"/>
        </w:rPr>
        <w:t>3</w:t>
      </w:r>
      <w:r w:rsidRPr="005E12E9">
        <w:rPr>
          <w:rFonts w:ascii="Times New Roman" w:hAnsi="Times New Roman"/>
          <w:szCs w:val="24"/>
        </w:rPr>
        <w:t>.</w:t>
      </w:r>
      <w:r w:rsidRPr="005E12E9">
        <w:rPr>
          <w:rFonts w:ascii="Times New Roman" w:hAnsi="Times New Roman"/>
          <w:szCs w:val="24"/>
        </w:rPr>
        <w:tab/>
      </w:r>
      <w:r w:rsidRPr="004B6D89">
        <w:rPr>
          <w:rFonts w:ascii="Times New Roman" w:hAnsi="Times New Roman"/>
          <w:szCs w:val="24"/>
          <w:u w:val="single"/>
        </w:rPr>
        <w:t>TOU-RD is an appropriate default rate for new premises and is less volatile than the TOU-REO rate</w:t>
      </w:r>
      <w:r w:rsidRPr="00A322F8">
        <w:rPr>
          <w:rFonts w:ascii="Times New Roman" w:hAnsi="Times New Roman"/>
          <w:szCs w:val="24"/>
        </w:rPr>
        <w:t>.</w:t>
      </w:r>
    </w:p>
    <w:bookmarkEnd w:id="53"/>
    <w:p w14:paraId="78455273" w14:textId="237E711E" w:rsidR="006876DF" w:rsidRDefault="006876DF" w:rsidP="006A6778">
      <w:pPr>
        <w:keepNext/>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t xml:space="preserve">Currently, if a customer does not select a different rate, the ‘R’ </w:t>
      </w:r>
      <w:r w:rsidR="00612D34">
        <w:rPr>
          <w:rFonts w:ascii="Times New Roman" w:hAnsi="Times New Roman"/>
          <w:szCs w:val="24"/>
        </w:rPr>
        <w:t>R</w:t>
      </w:r>
      <w:r>
        <w:rPr>
          <w:rFonts w:ascii="Times New Roman" w:hAnsi="Times New Roman"/>
          <w:szCs w:val="24"/>
        </w:rPr>
        <w:t xml:space="preserve">ate is the default residential rate. Assuming the Commission approves the Company’s request to close the ‘R’ </w:t>
      </w:r>
      <w:r w:rsidR="00612D34">
        <w:rPr>
          <w:rFonts w:ascii="Times New Roman" w:hAnsi="Times New Roman"/>
          <w:szCs w:val="24"/>
        </w:rPr>
        <w:t>R</w:t>
      </w:r>
      <w:r>
        <w:rPr>
          <w:rFonts w:ascii="Times New Roman" w:hAnsi="Times New Roman"/>
          <w:szCs w:val="24"/>
        </w:rPr>
        <w:t>ate</w:t>
      </w:r>
      <w:r w:rsidR="00BE6C9C">
        <w:rPr>
          <w:rFonts w:ascii="Times New Roman" w:hAnsi="Times New Roman"/>
          <w:szCs w:val="24"/>
        </w:rPr>
        <w:t xml:space="preserve"> to new premises</w:t>
      </w:r>
      <w:r>
        <w:rPr>
          <w:rFonts w:ascii="Times New Roman" w:hAnsi="Times New Roman"/>
          <w:szCs w:val="24"/>
        </w:rPr>
        <w:t xml:space="preserve">, the Commission should also accept </w:t>
      </w:r>
      <w:r w:rsidRPr="00486ECF">
        <w:rPr>
          <w:rFonts w:ascii="Times New Roman" w:hAnsi="Times New Roman"/>
          <w:szCs w:val="24"/>
        </w:rPr>
        <w:t>the Company</w:t>
      </w:r>
      <w:r>
        <w:rPr>
          <w:rFonts w:ascii="Times New Roman" w:hAnsi="Times New Roman"/>
          <w:szCs w:val="24"/>
        </w:rPr>
        <w:t>’s</w:t>
      </w:r>
      <w:r w:rsidRPr="00486ECF">
        <w:rPr>
          <w:rFonts w:ascii="Times New Roman" w:hAnsi="Times New Roman"/>
          <w:szCs w:val="24"/>
        </w:rPr>
        <w:t xml:space="preserve"> propos</w:t>
      </w:r>
      <w:r>
        <w:rPr>
          <w:rFonts w:ascii="Times New Roman" w:hAnsi="Times New Roman"/>
          <w:szCs w:val="24"/>
        </w:rPr>
        <w:t>al</w:t>
      </w:r>
      <w:r w:rsidRPr="00486ECF">
        <w:rPr>
          <w:rFonts w:ascii="Times New Roman" w:hAnsi="Times New Roman"/>
          <w:szCs w:val="24"/>
        </w:rPr>
        <w:t xml:space="preserve"> to use the TOU-RD rate as the new default rate for </w:t>
      </w:r>
      <w:r w:rsidR="00BE6C9C">
        <w:rPr>
          <w:rFonts w:ascii="Times New Roman" w:hAnsi="Times New Roman"/>
          <w:szCs w:val="24"/>
        </w:rPr>
        <w:t>new reside</w:t>
      </w:r>
      <w:r w:rsidR="00D47D8E">
        <w:rPr>
          <w:rFonts w:ascii="Times New Roman" w:hAnsi="Times New Roman"/>
          <w:szCs w:val="24"/>
        </w:rPr>
        <w:t>ntial premises</w:t>
      </w:r>
      <w:r w:rsidRPr="00486ECF">
        <w:rPr>
          <w:rFonts w:ascii="Times New Roman" w:hAnsi="Times New Roman"/>
          <w:szCs w:val="24"/>
        </w:rPr>
        <w:t>.</w:t>
      </w:r>
      <w:r>
        <w:rPr>
          <w:rFonts w:ascii="Times New Roman" w:hAnsi="Times New Roman"/>
          <w:szCs w:val="24"/>
        </w:rPr>
        <w:t xml:space="preserve"> As explained above, the </w:t>
      </w:r>
      <w:r w:rsidRPr="00486ECF">
        <w:rPr>
          <w:rFonts w:ascii="Times New Roman" w:hAnsi="Times New Roman"/>
          <w:szCs w:val="24"/>
        </w:rPr>
        <w:t xml:space="preserve">TOU-RD </w:t>
      </w:r>
      <w:r>
        <w:rPr>
          <w:rFonts w:ascii="Times New Roman" w:hAnsi="Times New Roman"/>
          <w:szCs w:val="24"/>
        </w:rPr>
        <w:t xml:space="preserve">rate </w:t>
      </w:r>
      <w:r w:rsidRPr="00486ECF">
        <w:rPr>
          <w:rFonts w:ascii="Times New Roman" w:hAnsi="Times New Roman"/>
          <w:szCs w:val="24"/>
        </w:rPr>
        <w:t>is a modern, three-part rate that sends price signals that more appropriately reflect costs</w:t>
      </w:r>
      <w:r>
        <w:rPr>
          <w:rFonts w:ascii="Times New Roman" w:hAnsi="Times New Roman"/>
          <w:szCs w:val="24"/>
        </w:rPr>
        <w:t>, consistent with the Company’s overarching goal of pursuing modern rates in this case</w:t>
      </w:r>
      <w:r w:rsidRPr="00486ECF">
        <w:rPr>
          <w:rFonts w:ascii="Times New Roman" w:hAnsi="Times New Roman"/>
          <w:szCs w:val="24"/>
        </w:rPr>
        <w:t xml:space="preserve">. </w:t>
      </w:r>
    </w:p>
    <w:p w14:paraId="1678F1FA" w14:textId="1A7649A7" w:rsidR="006876DF" w:rsidRDefault="006876DF" w:rsidP="003B2E09">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Pr="005E12E9">
        <w:rPr>
          <w:rFonts w:ascii="Times New Roman" w:hAnsi="Times New Roman"/>
          <w:szCs w:val="24"/>
        </w:rPr>
        <w:t xml:space="preserve">Georgia Power disagrees with PIA Staff’s assertion that customers cannot understand the TOU-RD rate. </w:t>
      </w:r>
      <w:r w:rsidR="007E41CA">
        <w:rPr>
          <w:rFonts w:ascii="Times New Roman" w:hAnsi="Times New Roman"/>
          <w:szCs w:val="24"/>
        </w:rPr>
        <w:t>(</w:t>
      </w:r>
      <w:r w:rsidR="00DE1B16">
        <w:rPr>
          <w:rFonts w:ascii="Times New Roman" w:hAnsi="Times New Roman"/>
          <w:szCs w:val="24"/>
        </w:rPr>
        <w:t>Tr. 1691</w:t>
      </w:r>
      <w:r w:rsidR="007E41CA">
        <w:rPr>
          <w:rFonts w:ascii="Times New Roman" w:hAnsi="Times New Roman"/>
          <w:szCs w:val="24"/>
        </w:rPr>
        <w:t xml:space="preserve">.) </w:t>
      </w:r>
      <w:r w:rsidRPr="005E12E9">
        <w:rPr>
          <w:rFonts w:ascii="Times New Roman" w:hAnsi="Times New Roman"/>
          <w:szCs w:val="24"/>
        </w:rPr>
        <w:t xml:space="preserve">Customers understand that when pricing is higher in certain hours they can shift their energy usage to lower-priced hours to save money. </w:t>
      </w:r>
      <w:r w:rsidR="007E41CA">
        <w:rPr>
          <w:rFonts w:ascii="Times New Roman" w:hAnsi="Times New Roman"/>
          <w:szCs w:val="24"/>
        </w:rPr>
        <w:t>(</w:t>
      </w:r>
      <w:r w:rsidR="00DE1B16">
        <w:rPr>
          <w:rFonts w:ascii="Times New Roman" w:hAnsi="Times New Roman"/>
          <w:szCs w:val="24"/>
        </w:rPr>
        <w:t>Tr. 2893</w:t>
      </w:r>
      <w:r w:rsidR="007E41CA">
        <w:rPr>
          <w:rFonts w:ascii="Times New Roman" w:hAnsi="Times New Roman"/>
          <w:szCs w:val="24"/>
        </w:rPr>
        <w:t xml:space="preserve">.) </w:t>
      </w:r>
      <w:r w:rsidRPr="005E12E9">
        <w:rPr>
          <w:rFonts w:ascii="Times New Roman" w:hAnsi="Times New Roman"/>
          <w:szCs w:val="24"/>
        </w:rPr>
        <w:t xml:space="preserve">Customers are fully capable of grasping the concept that under a demand rate they can save money by not running major appliances at the same time. Additionally, customers who have enrolled on the TOU-RD rate have remained on the rate for several years, which indicates that they understand the rate. </w:t>
      </w:r>
      <w:r w:rsidR="007E41CA">
        <w:rPr>
          <w:rFonts w:ascii="Times New Roman" w:hAnsi="Times New Roman"/>
          <w:szCs w:val="24"/>
        </w:rPr>
        <w:t>(</w:t>
      </w:r>
      <w:r w:rsidR="00DE1B16" w:rsidRPr="00DE1B16">
        <w:rPr>
          <w:rFonts w:ascii="Times New Roman" w:hAnsi="Times New Roman"/>
          <w:i/>
          <w:szCs w:val="24"/>
        </w:rPr>
        <w:t>Id</w:t>
      </w:r>
      <w:r w:rsidR="007E41CA">
        <w:rPr>
          <w:rFonts w:ascii="Times New Roman" w:hAnsi="Times New Roman"/>
          <w:szCs w:val="24"/>
        </w:rPr>
        <w:t xml:space="preserve">.) </w:t>
      </w:r>
      <w:r w:rsidRPr="005E12E9">
        <w:rPr>
          <w:rFonts w:ascii="Times New Roman" w:hAnsi="Times New Roman"/>
          <w:szCs w:val="24"/>
        </w:rPr>
        <w:t xml:space="preserve">Further, </w:t>
      </w:r>
      <w:r>
        <w:rPr>
          <w:rFonts w:ascii="Times New Roman" w:hAnsi="Times New Roman"/>
          <w:szCs w:val="24"/>
        </w:rPr>
        <w:t>if customers have questions about the Company’s rates, Georgia Power’s team at the customer care center</w:t>
      </w:r>
      <w:r w:rsidRPr="005E12E9">
        <w:rPr>
          <w:rFonts w:ascii="Times New Roman" w:hAnsi="Times New Roman"/>
          <w:szCs w:val="24"/>
        </w:rPr>
        <w:t xml:space="preserve"> regularly help</w:t>
      </w:r>
      <w:r w:rsidR="00625744">
        <w:rPr>
          <w:rFonts w:ascii="Times New Roman" w:hAnsi="Times New Roman"/>
          <w:szCs w:val="24"/>
        </w:rPr>
        <w:t>s</w:t>
      </w:r>
      <w:r w:rsidRPr="005E12E9">
        <w:rPr>
          <w:rFonts w:ascii="Times New Roman" w:hAnsi="Times New Roman"/>
          <w:szCs w:val="24"/>
        </w:rPr>
        <w:t xml:space="preserve"> customers understand how </w:t>
      </w:r>
      <w:r w:rsidR="00612D34">
        <w:rPr>
          <w:rFonts w:ascii="Times New Roman" w:hAnsi="Times New Roman"/>
          <w:szCs w:val="24"/>
        </w:rPr>
        <w:t xml:space="preserve">each </w:t>
      </w:r>
      <w:r w:rsidRPr="005E12E9">
        <w:rPr>
          <w:rFonts w:ascii="Times New Roman" w:hAnsi="Times New Roman"/>
          <w:szCs w:val="24"/>
        </w:rPr>
        <w:t>rate option work</w:t>
      </w:r>
      <w:r w:rsidR="00612D34">
        <w:rPr>
          <w:rFonts w:ascii="Times New Roman" w:hAnsi="Times New Roman"/>
          <w:szCs w:val="24"/>
        </w:rPr>
        <w:t>s,</w:t>
      </w:r>
      <w:r w:rsidRPr="005E12E9">
        <w:rPr>
          <w:rFonts w:ascii="Times New Roman" w:hAnsi="Times New Roman"/>
          <w:szCs w:val="24"/>
        </w:rPr>
        <w:t xml:space="preserve"> </w:t>
      </w:r>
      <w:r>
        <w:rPr>
          <w:rFonts w:ascii="Times New Roman" w:hAnsi="Times New Roman"/>
          <w:szCs w:val="24"/>
        </w:rPr>
        <w:t xml:space="preserve">along </w:t>
      </w:r>
      <w:r w:rsidRPr="005E12E9">
        <w:rPr>
          <w:rFonts w:ascii="Times New Roman" w:hAnsi="Times New Roman"/>
          <w:szCs w:val="24"/>
        </w:rPr>
        <w:t>with helpful online videos</w:t>
      </w:r>
      <w:r>
        <w:rPr>
          <w:rFonts w:ascii="Times New Roman" w:hAnsi="Times New Roman"/>
          <w:szCs w:val="24"/>
        </w:rPr>
        <w:t xml:space="preserve"> available on the Company’s website.</w:t>
      </w:r>
      <w:r w:rsidR="007E41CA">
        <w:rPr>
          <w:rFonts w:ascii="Times New Roman" w:hAnsi="Times New Roman"/>
          <w:szCs w:val="24"/>
        </w:rPr>
        <w:t xml:space="preserve"> </w:t>
      </w:r>
      <w:r w:rsidR="00DE1B16">
        <w:rPr>
          <w:rFonts w:ascii="Times New Roman" w:hAnsi="Times New Roman"/>
          <w:szCs w:val="24"/>
        </w:rPr>
        <w:t>(</w:t>
      </w:r>
      <w:r w:rsidR="00DE1B16" w:rsidRPr="00DE1B16">
        <w:rPr>
          <w:rFonts w:ascii="Times New Roman" w:hAnsi="Times New Roman"/>
          <w:i/>
          <w:szCs w:val="24"/>
        </w:rPr>
        <w:t>Id</w:t>
      </w:r>
      <w:r w:rsidR="00DE1B16">
        <w:rPr>
          <w:rFonts w:ascii="Times New Roman" w:hAnsi="Times New Roman"/>
          <w:szCs w:val="24"/>
        </w:rPr>
        <w:t>.)</w:t>
      </w:r>
    </w:p>
    <w:p w14:paraId="38E7C263" w14:textId="156A83EE" w:rsidR="006876DF" w:rsidRDefault="006876DF" w:rsidP="006876DF">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r>
      <w:r w:rsidRPr="00486ECF">
        <w:rPr>
          <w:rFonts w:ascii="Times New Roman" w:hAnsi="Times New Roman"/>
          <w:szCs w:val="24"/>
        </w:rPr>
        <w:t xml:space="preserve">As a default rate for residential customers, the Company recommends using the comparatively less volatile rate, TOU-RD. </w:t>
      </w:r>
      <w:r>
        <w:rPr>
          <w:rFonts w:ascii="Times New Roman" w:hAnsi="Times New Roman"/>
          <w:szCs w:val="24"/>
        </w:rPr>
        <w:t xml:space="preserve">The </w:t>
      </w:r>
      <w:r w:rsidRPr="00486ECF">
        <w:rPr>
          <w:rFonts w:ascii="Times New Roman" w:hAnsi="Times New Roman"/>
          <w:szCs w:val="24"/>
        </w:rPr>
        <w:t xml:space="preserve">TOU-RD </w:t>
      </w:r>
      <w:r>
        <w:rPr>
          <w:rFonts w:ascii="Times New Roman" w:hAnsi="Times New Roman"/>
          <w:szCs w:val="24"/>
        </w:rPr>
        <w:t xml:space="preserve">rate </w:t>
      </w:r>
      <w:r w:rsidRPr="00486ECF">
        <w:rPr>
          <w:rFonts w:ascii="Times New Roman" w:hAnsi="Times New Roman"/>
          <w:szCs w:val="24"/>
        </w:rPr>
        <w:t xml:space="preserve">is much less volatile than either </w:t>
      </w:r>
      <w:r w:rsidRPr="00486ECF">
        <w:rPr>
          <w:rFonts w:ascii="Times New Roman" w:hAnsi="Times New Roman"/>
          <w:szCs w:val="24"/>
        </w:rPr>
        <w:lastRenderedPageBreak/>
        <w:t>TOU-REO or the ‘R’ Rate when comparing the difference between minimum and maximum bills over a given year. PIA Staff Witness Faryniarz admitted that Staff failed to investigate the rate volatility of the TOU-REO rate compared to the other rate options before making their recommendation</w:t>
      </w:r>
      <w:r>
        <w:rPr>
          <w:rFonts w:ascii="Times New Roman" w:hAnsi="Times New Roman"/>
          <w:szCs w:val="24"/>
        </w:rPr>
        <w:t xml:space="preserve"> to use TOU-REO as the new default rate</w:t>
      </w:r>
      <w:r w:rsidRPr="00486ECF">
        <w:rPr>
          <w:rFonts w:ascii="Times New Roman" w:hAnsi="Times New Roman"/>
          <w:szCs w:val="24"/>
        </w:rPr>
        <w:t xml:space="preserve">. (Tr. </w:t>
      </w:r>
      <w:r w:rsidR="00E40DFC">
        <w:rPr>
          <w:rFonts w:ascii="Times New Roman" w:hAnsi="Times New Roman"/>
          <w:szCs w:val="24"/>
        </w:rPr>
        <w:t>1691</w:t>
      </w:r>
      <w:r w:rsidRPr="00486ECF">
        <w:rPr>
          <w:rFonts w:ascii="Times New Roman" w:hAnsi="Times New Roman"/>
          <w:szCs w:val="24"/>
        </w:rPr>
        <w:t xml:space="preserve">.) </w:t>
      </w:r>
      <w:r>
        <w:rPr>
          <w:rFonts w:ascii="Times New Roman" w:hAnsi="Times New Roman"/>
          <w:szCs w:val="24"/>
        </w:rPr>
        <w:t xml:space="preserve">Recognizing customer interest in bill stability, the Commission should adopt the Company’s recommendation to use TOU-RD as the new default residential rate if closing the ‘R’ Rate to new premises is adopted. </w:t>
      </w:r>
    </w:p>
    <w:p w14:paraId="2E191D24" w14:textId="5E7063E0" w:rsidR="006876DF" w:rsidRDefault="006876DF" w:rsidP="006A677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54" w:name="_Hlk26111942"/>
      <w:r>
        <w:rPr>
          <w:rFonts w:ascii="Times New Roman" w:hAnsi="Times New Roman"/>
          <w:szCs w:val="24"/>
        </w:rPr>
        <w:t>4</w:t>
      </w:r>
      <w:r w:rsidRPr="00A322F8">
        <w:rPr>
          <w:rFonts w:ascii="Times New Roman" w:hAnsi="Times New Roman"/>
          <w:szCs w:val="24"/>
        </w:rPr>
        <w:t>.</w:t>
      </w:r>
      <w:r w:rsidRPr="00A322F8">
        <w:rPr>
          <w:rFonts w:ascii="Times New Roman" w:hAnsi="Times New Roman"/>
          <w:szCs w:val="24"/>
        </w:rPr>
        <w:tab/>
      </w:r>
      <w:r w:rsidRPr="004B6D89">
        <w:rPr>
          <w:rFonts w:ascii="Times New Roman" w:hAnsi="Times New Roman"/>
          <w:szCs w:val="24"/>
          <w:u w:val="single"/>
        </w:rPr>
        <w:t>Changing the demand component of the TOU-RD rate to a limited peaking window would increase the volatility and make the rate less stable</w:t>
      </w:r>
      <w:r w:rsidRPr="00A322F8">
        <w:rPr>
          <w:rFonts w:ascii="Times New Roman" w:hAnsi="Times New Roman"/>
          <w:szCs w:val="24"/>
        </w:rPr>
        <w:t>.</w:t>
      </w:r>
    </w:p>
    <w:bookmarkEnd w:id="54"/>
    <w:p w14:paraId="5120F222" w14:textId="5428C09A" w:rsidR="006876DF" w:rsidRPr="00C73A5C" w:rsidRDefault="00C73A5C" w:rsidP="00C73A5C">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6876DF" w:rsidRPr="005E12E9">
        <w:rPr>
          <w:rFonts w:ascii="Times New Roman" w:hAnsi="Times New Roman"/>
          <w:szCs w:val="24"/>
        </w:rPr>
        <w:t xml:space="preserve">The Company’s TOU-RD rate is appropriately designed in its current structure to base the demand charge billing determinant on the customer’s monthly non-coincident peak demand. If the demand billing determinant </w:t>
      </w:r>
      <w:r w:rsidR="00D47D8E">
        <w:rPr>
          <w:rFonts w:ascii="Times New Roman" w:hAnsi="Times New Roman"/>
          <w:szCs w:val="24"/>
        </w:rPr>
        <w:t>was</w:t>
      </w:r>
      <w:r w:rsidR="006876DF" w:rsidRPr="005E12E9">
        <w:rPr>
          <w:rFonts w:ascii="Times New Roman" w:hAnsi="Times New Roman"/>
          <w:szCs w:val="24"/>
        </w:rPr>
        <w:t xml:space="preserve"> based strictly on a short on-peak period, there would be much greater potential for bill volatility due to the customer’s usage variance from month-to-month and year-to-year during this finite window.</w:t>
      </w:r>
      <w:r w:rsidR="007E41CA">
        <w:rPr>
          <w:rFonts w:ascii="Times New Roman" w:hAnsi="Times New Roman"/>
          <w:szCs w:val="24"/>
        </w:rPr>
        <w:t xml:space="preserve"> (</w:t>
      </w:r>
      <w:r w:rsidR="00DE1B16">
        <w:rPr>
          <w:rFonts w:ascii="Times New Roman" w:hAnsi="Times New Roman"/>
          <w:szCs w:val="24"/>
        </w:rPr>
        <w:t>Tr. 2894</w:t>
      </w:r>
      <w:r w:rsidR="007E41CA">
        <w:rPr>
          <w:rFonts w:ascii="Times New Roman" w:hAnsi="Times New Roman"/>
          <w:szCs w:val="24"/>
        </w:rPr>
        <w:t>.)</w:t>
      </w:r>
      <w:r w:rsidR="006876DF" w:rsidRPr="005E12E9">
        <w:rPr>
          <w:rFonts w:ascii="Times New Roman" w:hAnsi="Times New Roman"/>
          <w:szCs w:val="24"/>
        </w:rPr>
        <w:t xml:space="preserve"> This is in direct contrast to PIA Staff’s argument that the non-coincident peak design causes bill instability. </w:t>
      </w:r>
      <w:r w:rsidR="007E41CA">
        <w:rPr>
          <w:rFonts w:ascii="Times New Roman" w:hAnsi="Times New Roman"/>
          <w:szCs w:val="24"/>
        </w:rPr>
        <w:t xml:space="preserve">PIA </w:t>
      </w:r>
      <w:r w:rsidR="006876DF" w:rsidRPr="005E12E9">
        <w:rPr>
          <w:rFonts w:ascii="Times New Roman" w:hAnsi="Times New Roman"/>
          <w:szCs w:val="24"/>
        </w:rPr>
        <w:t xml:space="preserve">Staff also fails to recognize that the current design of TOU-RD includes a time-of-use energy component that sends an appropriate price signal to customers. </w:t>
      </w:r>
      <w:r w:rsidR="006876DF" w:rsidRPr="00647182">
        <w:rPr>
          <w:rFonts w:ascii="Times New Roman" w:hAnsi="Times New Roman"/>
          <w:szCs w:val="24"/>
        </w:rPr>
        <w:t xml:space="preserve">TOU-RD </w:t>
      </w:r>
      <w:r w:rsidR="006876DF">
        <w:rPr>
          <w:rFonts w:ascii="Times New Roman" w:hAnsi="Times New Roman"/>
          <w:szCs w:val="24"/>
        </w:rPr>
        <w:t xml:space="preserve">sends a price signal to customers </w:t>
      </w:r>
      <w:r w:rsidR="006876DF" w:rsidRPr="00647182">
        <w:rPr>
          <w:rFonts w:ascii="Times New Roman" w:hAnsi="Times New Roman"/>
          <w:szCs w:val="24"/>
        </w:rPr>
        <w:t xml:space="preserve">through the on-peak energy price during the hours of 2:00pm to 7:00pm on summer weekdays, </w:t>
      </w:r>
      <w:r w:rsidR="006876DF">
        <w:rPr>
          <w:rFonts w:ascii="Times New Roman" w:hAnsi="Times New Roman"/>
          <w:szCs w:val="24"/>
        </w:rPr>
        <w:t>which</w:t>
      </w:r>
      <w:r w:rsidR="006876DF" w:rsidRPr="00647182">
        <w:rPr>
          <w:rFonts w:ascii="Times New Roman" w:hAnsi="Times New Roman"/>
          <w:szCs w:val="24"/>
        </w:rPr>
        <w:t xml:space="preserve"> encourage</w:t>
      </w:r>
      <w:r w:rsidR="006876DF">
        <w:rPr>
          <w:rFonts w:ascii="Times New Roman" w:hAnsi="Times New Roman"/>
          <w:szCs w:val="24"/>
        </w:rPr>
        <w:t>s</w:t>
      </w:r>
      <w:r w:rsidR="006876DF" w:rsidRPr="00647182">
        <w:rPr>
          <w:rFonts w:ascii="Times New Roman" w:hAnsi="Times New Roman"/>
          <w:szCs w:val="24"/>
        </w:rPr>
        <w:t xml:space="preserve"> customers to avoid the highest cost hours to the system. </w:t>
      </w:r>
      <w:r w:rsidR="007E41CA">
        <w:rPr>
          <w:rFonts w:ascii="Times New Roman" w:hAnsi="Times New Roman"/>
          <w:szCs w:val="24"/>
        </w:rPr>
        <w:t>(</w:t>
      </w:r>
      <w:r w:rsidR="00DE1B16">
        <w:rPr>
          <w:rFonts w:ascii="Times New Roman" w:hAnsi="Times New Roman"/>
          <w:szCs w:val="24"/>
        </w:rPr>
        <w:t>Tr. 2883</w:t>
      </w:r>
      <w:r w:rsidR="007E41CA">
        <w:rPr>
          <w:rFonts w:ascii="Times New Roman" w:hAnsi="Times New Roman"/>
          <w:szCs w:val="24"/>
        </w:rPr>
        <w:t xml:space="preserve">.) </w:t>
      </w:r>
      <w:r w:rsidR="006876DF" w:rsidRPr="005E12E9">
        <w:rPr>
          <w:rFonts w:ascii="Times New Roman" w:hAnsi="Times New Roman"/>
          <w:szCs w:val="24"/>
        </w:rPr>
        <w:t>The TOU-RD tariff is a modern, three-part rate that is a model for the modern rates the Company hopes to expand.</w:t>
      </w:r>
    </w:p>
    <w:p w14:paraId="7C404AD9" w14:textId="06AF02BE" w:rsidR="00A322F8" w:rsidRDefault="006876DF" w:rsidP="00A322F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55" w:name="_Hlk26111948"/>
      <w:r>
        <w:rPr>
          <w:rFonts w:ascii="Times New Roman" w:eastAsiaTheme="majorEastAsia" w:hAnsi="Times New Roman"/>
          <w:szCs w:val="24"/>
        </w:rPr>
        <w:t>5.</w:t>
      </w:r>
      <w:r>
        <w:rPr>
          <w:rFonts w:ascii="Times New Roman" w:eastAsiaTheme="majorEastAsia" w:hAnsi="Times New Roman"/>
          <w:szCs w:val="24"/>
        </w:rPr>
        <w:tab/>
      </w:r>
      <w:r w:rsidR="00A322F8" w:rsidRPr="004B6D89">
        <w:rPr>
          <w:rFonts w:ascii="Times New Roman" w:hAnsi="Times New Roman"/>
          <w:szCs w:val="24"/>
          <w:u w:val="single"/>
        </w:rPr>
        <w:t>The Company</w:t>
      </w:r>
      <w:r w:rsidR="006F6CB0">
        <w:rPr>
          <w:rFonts w:ascii="Times New Roman" w:hAnsi="Times New Roman"/>
          <w:szCs w:val="24"/>
          <w:u w:val="single"/>
        </w:rPr>
        <w:t>’</w:t>
      </w:r>
      <w:r w:rsidR="00A322F8" w:rsidRPr="004B6D89">
        <w:rPr>
          <w:rFonts w:ascii="Times New Roman" w:hAnsi="Times New Roman"/>
          <w:szCs w:val="24"/>
          <w:u w:val="single"/>
        </w:rPr>
        <w:t xml:space="preserve">s residential rates provide </w:t>
      </w:r>
      <w:r w:rsidR="008E1DF4">
        <w:rPr>
          <w:rFonts w:ascii="Times New Roman" w:hAnsi="Times New Roman"/>
          <w:szCs w:val="24"/>
          <w:u w:val="single"/>
        </w:rPr>
        <w:t>ample choices</w:t>
      </w:r>
      <w:r w:rsidR="00A322F8" w:rsidRPr="004B6D89">
        <w:rPr>
          <w:rFonts w:ascii="Times New Roman" w:hAnsi="Times New Roman"/>
          <w:szCs w:val="24"/>
          <w:u w:val="single"/>
        </w:rPr>
        <w:t xml:space="preserve"> for customers</w:t>
      </w:r>
      <w:r w:rsidR="005A0465">
        <w:rPr>
          <w:rFonts w:ascii="Times New Roman" w:hAnsi="Times New Roman"/>
          <w:szCs w:val="24"/>
          <w:u w:val="single"/>
        </w:rPr>
        <w:t xml:space="preserve"> and should be adopted as revised by Georgia Power</w:t>
      </w:r>
      <w:r w:rsidR="007552B8">
        <w:rPr>
          <w:rFonts w:ascii="Times New Roman" w:hAnsi="Times New Roman"/>
          <w:szCs w:val="24"/>
        </w:rPr>
        <w:t>.</w:t>
      </w:r>
    </w:p>
    <w:bookmarkEnd w:id="55"/>
    <w:p w14:paraId="716C940C" w14:textId="0308F6FD" w:rsidR="002F2BDB" w:rsidRDefault="005A0465" w:rsidP="00D47D8E">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2F2BDB" w:rsidRPr="002F2BDB">
        <w:rPr>
          <w:rFonts w:ascii="Times New Roman" w:hAnsi="Times New Roman"/>
          <w:szCs w:val="24"/>
        </w:rPr>
        <w:t>The Company</w:t>
      </w:r>
      <w:r w:rsidR="006F6CB0">
        <w:rPr>
          <w:rFonts w:ascii="Times New Roman" w:hAnsi="Times New Roman"/>
          <w:szCs w:val="24"/>
        </w:rPr>
        <w:t>’</w:t>
      </w:r>
      <w:r w:rsidR="002F2BDB" w:rsidRPr="002F2BDB">
        <w:rPr>
          <w:rFonts w:ascii="Times New Roman" w:hAnsi="Times New Roman"/>
          <w:szCs w:val="24"/>
        </w:rPr>
        <w:t xml:space="preserve">s portfolio of rates proposed in this case </w:t>
      </w:r>
      <w:r w:rsidR="008E1DF4">
        <w:rPr>
          <w:rFonts w:ascii="Times New Roman" w:hAnsi="Times New Roman"/>
          <w:szCs w:val="24"/>
        </w:rPr>
        <w:t>provides choices</w:t>
      </w:r>
      <w:r w:rsidR="002F2BDB" w:rsidRPr="002F2BDB">
        <w:rPr>
          <w:rFonts w:ascii="Times New Roman" w:hAnsi="Times New Roman"/>
          <w:szCs w:val="24"/>
        </w:rPr>
        <w:t xml:space="preserve"> for customers while supporting a gradual move toward more modern rates.</w:t>
      </w:r>
      <w:r>
        <w:rPr>
          <w:rFonts w:ascii="Times New Roman" w:hAnsi="Times New Roman"/>
          <w:szCs w:val="24"/>
        </w:rPr>
        <w:t xml:space="preserve"> </w:t>
      </w:r>
      <w:r w:rsidR="00647182" w:rsidRPr="00647182">
        <w:rPr>
          <w:rFonts w:ascii="Times New Roman" w:hAnsi="Times New Roman"/>
          <w:szCs w:val="24"/>
        </w:rPr>
        <w:t>If the Company</w:t>
      </w:r>
      <w:r w:rsidR="006F6CB0">
        <w:rPr>
          <w:rFonts w:ascii="Times New Roman" w:hAnsi="Times New Roman"/>
          <w:szCs w:val="24"/>
        </w:rPr>
        <w:t>’</w:t>
      </w:r>
      <w:r w:rsidR="00647182" w:rsidRPr="00647182">
        <w:rPr>
          <w:rFonts w:ascii="Times New Roman" w:hAnsi="Times New Roman"/>
          <w:szCs w:val="24"/>
        </w:rPr>
        <w:t xml:space="preserve">s proposal is </w:t>
      </w:r>
      <w:r w:rsidR="00647182" w:rsidRPr="00647182">
        <w:rPr>
          <w:rFonts w:ascii="Times New Roman" w:hAnsi="Times New Roman"/>
          <w:szCs w:val="24"/>
        </w:rPr>
        <w:lastRenderedPageBreak/>
        <w:t>approved, current residential customers will have seven rate options. Compared to other investor-owned utility tariff portfolios, Georgia Power</w:t>
      </w:r>
      <w:r w:rsidR="006F6CB0">
        <w:rPr>
          <w:rFonts w:ascii="Times New Roman" w:hAnsi="Times New Roman"/>
          <w:szCs w:val="24"/>
        </w:rPr>
        <w:t>’</w:t>
      </w:r>
      <w:r w:rsidR="00647182" w:rsidRPr="00647182">
        <w:rPr>
          <w:rFonts w:ascii="Times New Roman" w:hAnsi="Times New Roman"/>
          <w:szCs w:val="24"/>
        </w:rPr>
        <w:t xml:space="preserve">s proposed options would be one of the most robust and advanced tariff portfolios in the nation. </w:t>
      </w:r>
    </w:p>
    <w:p w14:paraId="445E7F6B" w14:textId="18C26C26" w:rsidR="005A0465" w:rsidRDefault="005A0465" w:rsidP="00D47D8E">
      <w:pPr>
        <w:widowControl/>
        <w:tabs>
          <w:tab w:val="left" w:pos="0"/>
          <w:tab w:val="left" w:pos="1440"/>
        </w:tabs>
        <w:overflowPunct/>
        <w:autoSpaceDE/>
        <w:autoSpaceDN/>
        <w:adjustRightInd/>
        <w:spacing w:after="240"/>
        <w:ind w:left="2160" w:hanging="2160"/>
        <w:jc w:val="both"/>
        <w:textAlignment w:val="auto"/>
        <w:rPr>
          <w:rFonts w:ascii="Times New Roman" w:hAnsi="Times New Roman"/>
          <w:szCs w:val="24"/>
        </w:rPr>
      </w:pPr>
      <w:bookmarkStart w:id="56" w:name="_Hlk26111953"/>
      <w:r>
        <w:rPr>
          <w:rFonts w:ascii="Times New Roman" w:hAnsi="Times New Roman"/>
          <w:szCs w:val="24"/>
        </w:rPr>
        <w:tab/>
      </w:r>
      <w:r w:rsidRPr="005A0465">
        <w:rPr>
          <w:rFonts w:ascii="Times New Roman" w:hAnsi="Times New Roman"/>
          <w:i/>
          <w:szCs w:val="24"/>
        </w:rPr>
        <w:t>a.</w:t>
      </w:r>
      <w:r w:rsidRPr="005A0465">
        <w:rPr>
          <w:rFonts w:ascii="Times New Roman" w:hAnsi="Times New Roman"/>
          <w:i/>
          <w:szCs w:val="24"/>
        </w:rPr>
        <w:tab/>
        <w:t xml:space="preserve">The Commission should reject PIA Staff’s recommendation to replace FlatBill </w:t>
      </w:r>
      <w:r w:rsidR="00434D71">
        <w:rPr>
          <w:rFonts w:ascii="Times New Roman" w:hAnsi="Times New Roman"/>
          <w:i/>
          <w:szCs w:val="24"/>
        </w:rPr>
        <w:t xml:space="preserve">First Year </w:t>
      </w:r>
      <w:r w:rsidRPr="005A0465">
        <w:rPr>
          <w:rFonts w:ascii="Times New Roman" w:hAnsi="Times New Roman"/>
          <w:i/>
          <w:szCs w:val="24"/>
        </w:rPr>
        <w:t>with Budget Bill</w:t>
      </w:r>
      <w:r w:rsidR="00434D71">
        <w:rPr>
          <w:rFonts w:ascii="Times New Roman" w:hAnsi="Times New Roman"/>
          <w:i/>
          <w:szCs w:val="24"/>
        </w:rPr>
        <w:t xml:space="preserve"> First Year and approve the Company’s FlatBill First Year prog</w:t>
      </w:r>
      <w:r w:rsidR="00553AAA">
        <w:rPr>
          <w:rFonts w:ascii="Times New Roman" w:hAnsi="Times New Roman"/>
          <w:i/>
          <w:szCs w:val="24"/>
        </w:rPr>
        <w:t>r</w:t>
      </w:r>
      <w:r w:rsidR="00434D71">
        <w:rPr>
          <w:rFonts w:ascii="Times New Roman" w:hAnsi="Times New Roman"/>
          <w:i/>
          <w:szCs w:val="24"/>
        </w:rPr>
        <w:t>am</w:t>
      </w:r>
      <w:r>
        <w:rPr>
          <w:rFonts w:ascii="Times New Roman" w:hAnsi="Times New Roman"/>
          <w:szCs w:val="24"/>
        </w:rPr>
        <w:t>.</w:t>
      </w:r>
    </w:p>
    <w:bookmarkEnd w:id="56"/>
    <w:p w14:paraId="69A25951" w14:textId="6C47C8FD" w:rsidR="006C2FF4" w:rsidRDefault="00C13DCA" w:rsidP="00C13DCA">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6C2FF4">
        <w:rPr>
          <w:rFonts w:ascii="Times New Roman" w:hAnsi="Times New Roman"/>
          <w:szCs w:val="24"/>
        </w:rPr>
        <w:t xml:space="preserve">The Company and PIA Staff agree that bill stability is an important customer interest that the Company should strive to accommodate. The Company piloted both FlatBill First Year and Budget Bill First Year rates to evaluate which option best achieves customer interest in levelizing their utility bill. </w:t>
      </w:r>
      <w:r w:rsidR="003268EB" w:rsidRPr="003268EB">
        <w:rPr>
          <w:rFonts w:ascii="Times New Roman" w:hAnsi="Times New Roman"/>
          <w:szCs w:val="24"/>
        </w:rPr>
        <w:t xml:space="preserve">The Company </w:t>
      </w:r>
      <w:r w:rsidR="006C2FF4">
        <w:rPr>
          <w:rFonts w:ascii="Times New Roman" w:hAnsi="Times New Roman"/>
          <w:szCs w:val="24"/>
        </w:rPr>
        <w:t xml:space="preserve">proposes to move forward with FlatBill First Year after </w:t>
      </w:r>
      <w:r w:rsidR="003268EB" w:rsidRPr="003268EB">
        <w:rPr>
          <w:rFonts w:ascii="Times New Roman" w:hAnsi="Times New Roman"/>
          <w:szCs w:val="24"/>
        </w:rPr>
        <w:t>conclud</w:t>
      </w:r>
      <w:r w:rsidR="006C2FF4">
        <w:rPr>
          <w:rFonts w:ascii="Times New Roman" w:hAnsi="Times New Roman"/>
          <w:szCs w:val="24"/>
        </w:rPr>
        <w:t>ing</w:t>
      </w:r>
      <w:r w:rsidR="003268EB" w:rsidRPr="003268EB">
        <w:rPr>
          <w:rFonts w:ascii="Times New Roman" w:hAnsi="Times New Roman"/>
          <w:szCs w:val="24"/>
        </w:rPr>
        <w:t xml:space="preserve"> that Budget Bill First Year does not adequately meet customers’ desire for bill stability. </w:t>
      </w:r>
      <w:r w:rsidR="00792582">
        <w:rPr>
          <w:rFonts w:ascii="Times New Roman" w:hAnsi="Times New Roman"/>
          <w:szCs w:val="24"/>
        </w:rPr>
        <w:t>(</w:t>
      </w:r>
      <w:r w:rsidR="00DE1B16">
        <w:rPr>
          <w:rFonts w:ascii="Times New Roman" w:hAnsi="Times New Roman"/>
          <w:szCs w:val="24"/>
        </w:rPr>
        <w:t>Tr. 2887</w:t>
      </w:r>
      <w:r w:rsidR="00792582">
        <w:rPr>
          <w:rFonts w:ascii="Times New Roman" w:hAnsi="Times New Roman"/>
          <w:szCs w:val="24"/>
        </w:rPr>
        <w:t>.)</w:t>
      </w:r>
    </w:p>
    <w:p w14:paraId="3B6F4553" w14:textId="15D49C5F" w:rsidR="003268EB" w:rsidRDefault="00C13DCA" w:rsidP="00C13D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3268EB" w:rsidRPr="003268EB">
        <w:rPr>
          <w:rFonts w:ascii="Times New Roman" w:hAnsi="Times New Roman"/>
          <w:szCs w:val="24"/>
        </w:rPr>
        <w:t xml:space="preserve">FlatBill offers are guaranteed to be fixed for the entire contract period with no true-up, whereas Budget Bill can vary from month-to-month and requires a true-up each year. </w:t>
      </w:r>
      <w:r w:rsidR="00DE1B16">
        <w:rPr>
          <w:rFonts w:ascii="Times New Roman" w:hAnsi="Times New Roman"/>
          <w:szCs w:val="24"/>
        </w:rPr>
        <w:t>(</w:t>
      </w:r>
      <w:r w:rsidR="00DE1B16" w:rsidRPr="00DE1B16">
        <w:rPr>
          <w:rFonts w:ascii="Times New Roman" w:hAnsi="Times New Roman"/>
          <w:i/>
          <w:szCs w:val="24"/>
        </w:rPr>
        <w:t>Id</w:t>
      </w:r>
      <w:r w:rsidR="00DE1B16">
        <w:rPr>
          <w:rFonts w:ascii="Times New Roman" w:hAnsi="Times New Roman"/>
          <w:szCs w:val="24"/>
        </w:rPr>
        <w:t>.)</w:t>
      </w:r>
      <w:r w:rsidR="00792582">
        <w:rPr>
          <w:rFonts w:ascii="Times New Roman" w:hAnsi="Times New Roman"/>
          <w:szCs w:val="24"/>
        </w:rPr>
        <w:t xml:space="preserve"> </w:t>
      </w:r>
      <w:r w:rsidR="003268EB" w:rsidRPr="003268EB">
        <w:rPr>
          <w:rFonts w:ascii="Times New Roman" w:hAnsi="Times New Roman"/>
          <w:szCs w:val="24"/>
        </w:rPr>
        <w:t>The frequency of monthly changes in Budget Bill amounts</w:t>
      </w:r>
      <w:r w:rsidR="006C2FF4">
        <w:rPr>
          <w:rFonts w:ascii="Times New Roman" w:hAnsi="Times New Roman"/>
          <w:szCs w:val="24"/>
        </w:rPr>
        <w:t xml:space="preserve"> caused participant</w:t>
      </w:r>
      <w:r w:rsidR="006C2FF4" w:rsidRPr="003268EB">
        <w:rPr>
          <w:rFonts w:ascii="Times New Roman" w:hAnsi="Times New Roman"/>
          <w:szCs w:val="24"/>
        </w:rPr>
        <w:t xml:space="preserve"> dissatis</w:t>
      </w:r>
      <w:r w:rsidR="006C2FF4">
        <w:rPr>
          <w:rFonts w:ascii="Times New Roman" w:hAnsi="Times New Roman"/>
          <w:szCs w:val="24"/>
        </w:rPr>
        <w:t>faction</w:t>
      </w:r>
      <w:r w:rsidR="006C2FF4" w:rsidRPr="003268EB">
        <w:rPr>
          <w:rFonts w:ascii="Times New Roman" w:hAnsi="Times New Roman"/>
          <w:szCs w:val="24"/>
        </w:rPr>
        <w:t xml:space="preserve"> and confus</w:t>
      </w:r>
      <w:r w:rsidR="001F41B7">
        <w:rPr>
          <w:rFonts w:ascii="Times New Roman" w:hAnsi="Times New Roman"/>
          <w:szCs w:val="24"/>
        </w:rPr>
        <w:t>ion</w:t>
      </w:r>
      <w:r w:rsidR="006C2FF4" w:rsidRPr="003268EB">
        <w:rPr>
          <w:rFonts w:ascii="Times New Roman" w:hAnsi="Times New Roman"/>
          <w:szCs w:val="24"/>
        </w:rPr>
        <w:t xml:space="preserve"> by the </w:t>
      </w:r>
      <w:r w:rsidR="001F41B7">
        <w:rPr>
          <w:rFonts w:ascii="Times New Roman" w:hAnsi="Times New Roman"/>
          <w:szCs w:val="24"/>
        </w:rPr>
        <w:t>month-to-month variability in their bill</w:t>
      </w:r>
      <w:r w:rsidR="006C2FF4" w:rsidRPr="003268EB">
        <w:rPr>
          <w:rFonts w:ascii="Times New Roman" w:hAnsi="Times New Roman"/>
          <w:szCs w:val="24"/>
        </w:rPr>
        <w:t>.</w:t>
      </w:r>
      <w:r w:rsidR="001F41B7">
        <w:rPr>
          <w:rFonts w:ascii="Times New Roman" w:hAnsi="Times New Roman"/>
          <w:szCs w:val="24"/>
        </w:rPr>
        <w:t xml:space="preserve"> For example, </w:t>
      </w:r>
      <w:r w:rsidR="003268EB" w:rsidRPr="003268EB">
        <w:rPr>
          <w:rFonts w:ascii="Times New Roman" w:hAnsi="Times New Roman"/>
          <w:szCs w:val="24"/>
        </w:rPr>
        <w:t>80%</w:t>
      </w:r>
      <w:r w:rsidR="001F41B7">
        <w:rPr>
          <w:rFonts w:ascii="Times New Roman" w:hAnsi="Times New Roman"/>
          <w:szCs w:val="24"/>
        </w:rPr>
        <w:t xml:space="preserve"> of Budget Bill First Year pilot participants</w:t>
      </w:r>
      <w:r w:rsidR="003268EB" w:rsidRPr="003268EB">
        <w:rPr>
          <w:rFonts w:ascii="Times New Roman" w:hAnsi="Times New Roman"/>
          <w:szCs w:val="24"/>
        </w:rPr>
        <w:t xml:space="preserve"> </w:t>
      </w:r>
      <w:r w:rsidR="001F41B7">
        <w:rPr>
          <w:rFonts w:ascii="Times New Roman" w:hAnsi="Times New Roman"/>
          <w:szCs w:val="24"/>
        </w:rPr>
        <w:t xml:space="preserve">reported </w:t>
      </w:r>
      <w:r w:rsidR="003268EB" w:rsidRPr="003268EB">
        <w:rPr>
          <w:rFonts w:ascii="Times New Roman" w:hAnsi="Times New Roman"/>
          <w:szCs w:val="24"/>
        </w:rPr>
        <w:t xml:space="preserve">experiencing a change to their bill amount throughout the 12-month period and 50% of customers </w:t>
      </w:r>
      <w:r w:rsidR="0094334F" w:rsidRPr="003268EB">
        <w:rPr>
          <w:rFonts w:ascii="Times New Roman" w:hAnsi="Times New Roman"/>
          <w:szCs w:val="24"/>
        </w:rPr>
        <w:t>experienc</w:t>
      </w:r>
      <w:r w:rsidR="0094334F">
        <w:rPr>
          <w:rFonts w:ascii="Times New Roman" w:hAnsi="Times New Roman"/>
          <w:szCs w:val="24"/>
        </w:rPr>
        <w:t>ed</w:t>
      </w:r>
      <w:r w:rsidR="0094334F" w:rsidRPr="003268EB">
        <w:rPr>
          <w:rFonts w:ascii="Times New Roman" w:hAnsi="Times New Roman"/>
          <w:szCs w:val="24"/>
        </w:rPr>
        <w:t xml:space="preserve"> </w:t>
      </w:r>
      <w:r w:rsidR="003268EB" w:rsidRPr="003268EB">
        <w:rPr>
          <w:rFonts w:ascii="Times New Roman" w:hAnsi="Times New Roman"/>
          <w:szCs w:val="24"/>
        </w:rPr>
        <w:t>two or more such changes.</w:t>
      </w:r>
      <w:r w:rsidR="00792582">
        <w:rPr>
          <w:rFonts w:ascii="Times New Roman" w:hAnsi="Times New Roman"/>
          <w:szCs w:val="24"/>
        </w:rPr>
        <w:t xml:space="preserve"> </w:t>
      </w:r>
      <w:r w:rsidR="00DE1B16">
        <w:rPr>
          <w:rFonts w:ascii="Times New Roman" w:hAnsi="Times New Roman"/>
          <w:szCs w:val="24"/>
        </w:rPr>
        <w:t>(</w:t>
      </w:r>
      <w:r w:rsidR="00DE1B16" w:rsidRPr="00DE1B16">
        <w:rPr>
          <w:rFonts w:ascii="Times New Roman" w:hAnsi="Times New Roman"/>
          <w:i/>
          <w:szCs w:val="24"/>
        </w:rPr>
        <w:t>Id</w:t>
      </w:r>
      <w:r w:rsidR="00DE1B16">
        <w:rPr>
          <w:rFonts w:ascii="Times New Roman" w:hAnsi="Times New Roman"/>
          <w:szCs w:val="24"/>
        </w:rPr>
        <w:t xml:space="preserve">.) </w:t>
      </w:r>
      <w:r w:rsidR="001F41B7">
        <w:rPr>
          <w:rFonts w:ascii="Times New Roman" w:hAnsi="Times New Roman"/>
          <w:szCs w:val="24"/>
        </w:rPr>
        <w:t xml:space="preserve">Post-pilot survey results indicated that </w:t>
      </w:r>
      <w:r w:rsidR="003268EB" w:rsidRPr="003268EB">
        <w:rPr>
          <w:rFonts w:ascii="Times New Roman" w:hAnsi="Times New Roman"/>
          <w:szCs w:val="24"/>
        </w:rPr>
        <w:t xml:space="preserve">Budget Bill </w:t>
      </w:r>
      <w:r w:rsidR="001F41B7">
        <w:rPr>
          <w:rFonts w:ascii="Times New Roman" w:hAnsi="Times New Roman"/>
          <w:szCs w:val="24"/>
        </w:rPr>
        <w:t xml:space="preserve">variability did </w:t>
      </w:r>
      <w:r w:rsidR="003268EB" w:rsidRPr="003268EB">
        <w:rPr>
          <w:rFonts w:ascii="Times New Roman" w:hAnsi="Times New Roman"/>
          <w:szCs w:val="24"/>
        </w:rPr>
        <w:t xml:space="preserve">not meet the customers’ fundamental desire for a levelized billing option. </w:t>
      </w:r>
      <w:r w:rsidR="001F41B7">
        <w:rPr>
          <w:rFonts w:ascii="Times New Roman" w:hAnsi="Times New Roman"/>
          <w:szCs w:val="24"/>
        </w:rPr>
        <w:t xml:space="preserve">In contrast, </w:t>
      </w:r>
      <w:r w:rsidR="003268EB" w:rsidRPr="003268EB">
        <w:rPr>
          <w:rFonts w:ascii="Times New Roman" w:hAnsi="Times New Roman"/>
          <w:szCs w:val="24"/>
        </w:rPr>
        <w:t xml:space="preserve">FlatBill, including FlatBill First Year, does meet this customer desire, has no true-up component, and received a higher satisfaction score on its end-of-program survey than Budget Bill First Year.  </w:t>
      </w:r>
    </w:p>
    <w:p w14:paraId="610BA82A" w14:textId="6E0123A4" w:rsidR="00434D71" w:rsidRDefault="00C13DCA" w:rsidP="00C13D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434D71" w:rsidRPr="003268EB">
        <w:rPr>
          <w:rFonts w:ascii="Times New Roman" w:hAnsi="Times New Roman"/>
          <w:szCs w:val="24"/>
        </w:rPr>
        <w:t xml:space="preserve">FlatBill is Georgia Power’s most popular voluntary rate option as many customers value the predictability and stability of a 12-month fixed bill. </w:t>
      </w:r>
      <w:r w:rsidR="00553AAA">
        <w:rPr>
          <w:rFonts w:ascii="Times New Roman" w:hAnsi="Times New Roman"/>
          <w:szCs w:val="24"/>
        </w:rPr>
        <w:t xml:space="preserve">PIA Staff objects to the Company’s proposed FlatBill tariff because it removes the 12-month customer usage requirement, instead </w:t>
      </w:r>
      <w:r w:rsidR="00553AAA">
        <w:rPr>
          <w:rFonts w:ascii="Times New Roman" w:hAnsi="Times New Roman"/>
          <w:szCs w:val="24"/>
        </w:rPr>
        <w:lastRenderedPageBreak/>
        <w:t xml:space="preserve">permitting the required 12-month usage history to be set by the usage history of the premises. </w:t>
      </w:r>
      <w:r w:rsidR="00792582">
        <w:rPr>
          <w:rFonts w:ascii="Times New Roman" w:hAnsi="Times New Roman"/>
          <w:szCs w:val="24"/>
        </w:rPr>
        <w:t>(</w:t>
      </w:r>
      <w:r w:rsidR="00DE1B16">
        <w:rPr>
          <w:rFonts w:ascii="Times New Roman" w:hAnsi="Times New Roman"/>
          <w:szCs w:val="24"/>
        </w:rPr>
        <w:t>Tr.</w:t>
      </w:r>
      <w:r w:rsidR="00E40DFC">
        <w:rPr>
          <w:rFonts w:ascii="Times New Roman" w:hAnsi="Times New Roman"/>
          <w:szCs w:val="24"/>
        </w:rPr>
        <w:t> </w:t>
      </w:r>
      <w:r w:rsidR="00DE1B16">
        <w:rPr>
          <w:rFonts w:ascii="Times New Roman" w:hAnsi="Times New Roman"/>
          <w:szCs w:val="24"/>
        </w:rPr>
        <w:t>1703</w:t>
      </w:r>
      <w:r w:rsidR="00E40DFC">
        <w:rPr>
          <w:rFonts w:ascii="Times New Roman" w:hAnsi="Times New Roman"/>
          <w:szCs w:val="24"/>
        </w:rPr>
        <w:t>-04</w:t>
      </w:r>
      <w:r w:rsidR="00792582">
        <w:rPr>
          <w:rFonts w:ascii="Times New Roman" w:hAnsi="Times New Roman"/>
          <w:szCs w:val="24"/>
        </w:rPr>
        <w:t xml:space="preserve">.) </w:t>
      </w:r>
      <w:r w:rsidR="00553AAA">
        <w:rPr>
          <w:rFonts w:ascii="Times New Roman" w:hAnsi="Times New Roman"/>
          <w:szCs w:val="24"/>
        </w:rPr>
        <w:t>However, r</w:t>
      </w:r>
      <w:r w:rsidR="00434D71" w:rsidRPr="003268EB">
        <w:rPr>
          <w:rFonts w:ascii="Times New Roman" w:hAnsi="Times New Roman"/>
          <w:szCs w:val="24"/>
        </w:rPr>
        <w:t xml:space="preserve">emoving the FlatBill requirement that a customer must have 12 months of usage history at their current residence allows the Company to expand this popular rate option by making it available </w:t>
      </w:r>
      <w:r w:rsidR="00792582">
        <w:rPr>
          <w:rFonts w:ascii="Times New Roman" w:hAnsi="Times New Roman"/>
          <w:szCs w:val="24"/>
        </w:rPr>
        <w:t xml:space="preserve">to customers </w:t>
      </w:r>
      <w:r w:rsidR="00434D71" w:rsidRPr="003268EB">
        <w:rPr>
          <w:rFonts w:ascii="Times New Roman" w:hAnsi="Times New Roman"/>
          <w:szCs w:val="24"/>
        </w:rPr>
        <w:t>sooner.</w:t>
      </w:r>
      <w:r w:rsidR="00792582">
        <w:rPr>
          <w:rFonts w:ascii="Times New Roman" w:hAnsi="Times New Roman"/>
          <w:szCs w:val="24"/>
        </w:rPr>
        <w:t xml:space="preserve"> (</w:t>
      </w:r>
      <w:r w:rsidR="00DE1B16">
        <w:rPr>
          <w:rFonts w:ascii="Times New Roman" w:hAnsi="Times New Roman"/>
          <w:szCs w:val="24"/>
        </w:rPr>
        <w:t>Tr. 2885</w:t>
      </w:r>
      <w:r w:rsidR="00792582">
        <w:rPr>
          <w:rFonts w:ascii="Times New Roman" w:hAnsi="Times New Roman"/>
          <w:szCs w:val="24"/>
        </w:rPr>
        <w:t>.)</w:t>
      </w:r>
      <w:r w:rsidR="00434D71" w:rsidRPr="003268EB">
        <w:rPr>
          <w:rFonts w:ascii="Times New Roman" w:hAnsi="Times New Roman"/>
          <w:szCs w:val="24"/>
        </w:rPr>
        <w:t xml:space="preserve"> In situations where a customer has less than 12 months of usage history at their residence, prior usage history from that premises will be used to develop the FlatBill offer.</w:t>
      </w:r>
      <w:r w:rsidR="00792582">
        <w:rPr>
          <w:rFonts w:ascii="Times New Roman" w:hAnsi="Times New Roman"/>
          <w:szCs w:val="24"/>
        </w:rPr>
        <w:t xml:space="preserve"> </w:t>
      </w:r>
      <w:r w:rsidR="00DE1B16">
        <w:rPr>
          <w:rFonts w:ascii="Times New Roman" w:hAnsi="Times New Roman"/>
          <w:szCs w:val="24"/>
        </w:rPr>
        <w:t>(</w:t>
      </w:r>
      <w:r w:rsidR="00DE1B16" w:rsidRPr="00DE1B16">
        <w:rPr>
          <w:rFonts w:ascii="Times New Roman" w:hAnsi="Times New Roman"/>
          <w:i/>
          <w:szCs w:val="24"/>
        </w:rPr>
        <w:t>Id</w:t>
      </w:r>
      <w:r w:rsidR="00DE1B16">
        <w:rPr>
          <w:rFonts w:ascii="Times New Roman" w:hAnsi="Times New Roman"/>
          <w:szCs w:val="24"/>
        </w:rPr>
        <w:t xml:space="preserve">.) </w:t>
      </w:r>
      <w:r w:rsidR="00434D71">
        <w:rPr>
          <w:rFonts w:ascii="Times New Roman" w:hAnsi="Times New Roman"/>
          <w:szCs w:val="24"/>
        </w:rPr>
        <w:t xml:space="preserve">The </w:t>
      </w:r>
      <w:r w:rsidR="00434D71" w:rsidRPr="003268EB">
        <w:rPr>
          <w:rFonts w:ascii="Times New Roman" w:hAnsi="Times New Roman"/>
          <w:szCs w:val="24"/>
        </w:rPr>
        <w:t xml:space="preserve">Company </w:t>
      </w:r>
      <w:r w:rsidR="00434D71">
        <w:rPr>
          <w:rFonts w:ascii="Times New Roman" w:hAnsi="Times New Roman"/>
          <w:szCs w:val="24"/>
        </w:rPr>
        <w:t xml:space="preserve">studied the impacts of this change through the </w:t>
      </w:r>
      <w:r w:rsidR="00434D71" w:rsidRPr="003268EB">
        <w:rPr>
          <w:rFonts w:ascii="Times New Roman" w:hAnsi="Times New Roman"/>
          <w:szCs w:val="24"/>
        </w:rPr>
        <w:t xml:space="preserve">FlatBill First Year pilot </w:t>
      </w:r>
      <w:r w:rsidR="00434D71">
        <w:rPr>
          <w:rFonts w:ascii="Times New Roman" w:hAnsi="Times New Roman"/>
          <w:szCs w:val="24"/>
        </w:rPr>
        <w:t>and</w:t>
      </w:r>
      <w:r w:rsidR="00434D71" w:rsidRPr="003268EB">
        <w:rPr>
          <w:rFonts w:ascii="Times New Roman" w:hAnsi="Times New Roman"/>
          <w:szCs w:val="24"/>
        </w:rPr>
        <w:t xml:space="preserve"> confirmed that customers find tremendous value in such a rate option with a 53% take rate, a 93% renewal rate, and a mean satisfaction score of 8.3 out of 10 on the end-of-program survey. </w:t>
      </w:r>
      <w:r w:rsidR="000225F3">
        <w:rPr>
          <w:rFonts w:ascii="Times New Roman" w:hAnsi="Times New Roman"/>
          <w:szCs w:val="24"/>
        </w:rPr>
        <w:t xml:space="preserve">(Tr. </w:t>
      </w:r>
      <w:r w:rsidR="00E40DFC">
        <w:rPr>
          <w:rFonts w:ascii="Times New Roman" w:hAnsi="Times New Roman"/>
          <w:szCs w:val="24"/>
        </w:rPr>
        <w:t>2885</w:t>
      </w:r>
      <w:r w:rsidR="00C25D9F">
        <w:rPr>
          <w:rFonts w:ascii="Times New Roman" w:hAnsi="Times New Roman"/>
          <w:szCs w:val="24"/>
        </w:rPr>
        <w:t xml:space="preserve">, </w:t>
      </w:r>
      <w:r w:rsidR="000225F3">
        <w:rPr>
          <w:rFonts w:ascii="Times New Roman" w:hAnsi="Times New Roman"/>
          <w:szCs w:val="24"/>
        </w:rPr>
        <w:t xml:space="preserve">2924.) </w:t>
      </w:r>
      <w:r w:rsidR="00434D71" w:rsidRPr="003268EB">
        <w:rPr>
          <w:rFonts w:ascii="Times New Roman" w:hAnsi="Times New Roman"/>
          <w:szCs w:val="24"/>
        </w:rPr>
        <w:t xml:space="preserve">The </w:t>
      </w:r>
      <w:r w:rsidR="00222D6C">
        <w:rPr>
          <w:rFonts w:ascii="Times New Roman" w:hAnsi="Times New Roman"/>
          <w:szCs w:val="24"/>
        </w:rPr>
        <w:t>strong</w:t>
      </w:r>
      <w:r w:rsidR="00222D6C" w:rsidRPr="003268EB">
        <w:rPr>
          <w:rFonts w:ascii="Times New Roman" w:hAnsi="Times New Roman"/>
          <w:szCs w:val="24"/>
        </w:rPr>
        <w:t xml:space="preserve"> </w:t>
      </w:r>
      <w:r w:rsidR="00434D71" w:rsidRPr="003268EB">
        <w:rPr>
          <w:rFonts w:ascii="Times New Roman" w:hAnsi="Times New Roman"/>
          <w:szCs w:val="24"/>
        </w:rPr>
        <w:t xml:space="preserve">take rate of FlatBill First Year indicates a strong customer preference for this type of rate offering, and the </w:t>
      </w:r>
      <w:r w:rsidR="00222D6C">
        <w:rPr>
          <w:rFonts w:ascii="Times New Roman" w:hAnsi="Times New Roman"/>
          <w:szCs w:val="24"/>
        </w:rPr>
        <w:t>overwhelming</w:t>
      </w:r>
      <w:r w:rsidR="00222D6C" w:rsidRPr="003268EB">
        <w:rPr>
          <w:rFonts w:ascii="Times New Roman" w:hAnsi="Times New Roman"/>
          <w:szCs w:val="24"/>
        </w:rPr>
        <w:t xml:space="preserve"> </w:t>
      </w:r>
      <w:r w:rsidR="00434D71" w:rsidRPr="003268EB">
        <w:rPr>
          <w:rFonts w:ascii="Times New Roman" w:hAnsi="Times New Roman"/>
          <w:szCs w:val="24"/>
        </w:rPr>
        <w:t>renewal rate and positive survey responses indicate their continued satisfaction with the rate throughout their contract term.</w:t>
      </w:r>
    </w:p>
    <w:p w14:paraId="61FD9910" w14:textId="3B7128C3" w:rsidR="005351E4" w:rsidRDefault="005351E4" w:rsidP="00C13DCA">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t xml:space="preserve">Contrary to PIA Staff’s assertions, both FlatBill and FlatBill First Year send price signals, albeit over a longer timeframe than </w:t>
      </w:r>
      <w:r w:rsidR="00644896">
        <w:rPr>
          <w:rFonts w:ascii="Times New Roman" w:hAnsi="Times New Roman"/>
          <w:szCs w:val="24"/>
        </w:rPr>
        <w:t xml:space="preserve">price signals embedded in other rates. </w:t>
      </w:r>
      <w:r w:rsidR="00644896" w:rsidRPr="00644896">
        <w:rPr>
          <w:rFonts w:ascii="Times New Roman" w:hAnsi="Times New Roman"/>
          <w:szCs w:val="24"/>
        </w:rPr>
        <w:t xml:space="preserve">Even GIPL Witness Gilliam acknowledged that informing a customer that their renewal offer for FlatBill is based on their prior year’s usage is a form of price signal. (Tr. 2010.) </w:t>
      </w:r>
      <w:r w:rsidR="00184D38">
        <w:rPr>
          <w:rFonts w:ascii="Times New Roman" w:hAnsi="Times New Roman"/>
          <w:szCs w:val="24"/>
        </w:rPr>
        <w:t xml:space="preserve">In fact, based on this logic, where the Company bills after the fact and after usage has occurred, all rates send a delayed price signal. </w:t>
      </w:r>
      <w:r w:rsidR="00644896" w:rsidRPr="00644896">
        <w:rPr>
          <w:rFonts w:ascii="Times New Roman" w:hAnsi="Times New Roman"/>
          <w:szCs w:val="24"/>
        </w:rPr>
        <w:t>The Company’s FlatBill customers typically and overwhelmingly continue to renew on FlatBill for several years after their initial year on the program. The renewal offers are based on the customer’s usage over the previous 12 months, and therefore any increase or decrease in usage manifests itself in the renewal offer for the subsequent year.</w:t>
      </w:r>
      <w:r w:rsidR="00644896">
        <w:rPr>
          <w:rFonts w:ascii="Times New Roman" w:hAnsi="Times New Roman"/>
          <w:szCs w:val="24"/>
        </w:rPr>
        <w:t xml:space="preserve"> Just because the price signal offered by FlatBill and FlatBill First Year is different from other rates does not justify their elimination from the Company’s balanced residential rate options.</w:t>
      </w:r>
    </w:p>
    <w:p w14:paraId="5AE16921" w14:textId="3886952A" w:rsidR="00434D71" w:rsidRDefault="00C13DCA" w:rsidP="006A6778">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lastRenderedPageBreak/>
        <w:tab/>
      </w:r>
      <w:r w:rsidR="00CA5D48">
        <w:rPr>
          <w:rFonts w:ascii="Times New Roman" w:hAnsi="Times New Roman"/>
          <w:szCs w:val="24"/>
        </w:rPr>
        <w:t xml:space="preserve">PIA Staff’s concerns that customers could be over- or under-billed on FlatBill compared to the ‘R’ Rate ignore the reality </w:t>
      </w:r>
      <w:r w:rsidR="00664DAB">
        <w:rPr>
          <w:rFonts w:ascii="Times New Roman" w:hAnsi="Times New Roman"/>
          <w:szCs w:val="24"/>
        </w:rPr>
        <w:t xml:space="preserve">of </w:t>
      </w:r>
      <w:r w:rsidR="00CA5D48">
        <w:rPr>
          <w:rFonts w:ascii="Times New Roman" w:hAnsi="Times New Roman"/>
          <w:szCs w:val="24"/>
        </w:rPr>
        <w:t xml:space="preserve">how the FlatBill rate is structured. </w:t>
      </w:r>
      <w:r w:rsidR="00CA5D48" w:rsidRPr="00CA5D48">
        <w:rPr>
          <w:rFonts w:ascii="Times New Roman" w:hAnsi="Times New Roman"/>
          <w:szCs w:val="24"/>
        </w:rPr>
        <w:t xml:space="preserve">Because the customer pays a flat amount each month, by definition the customer will pay more or less than compared to a traditional bill for their actual usage. </w:t>
      </w:r>
      <w:r w:rsidR="00B71434">
        <w:rPr>
          <w:rFonts w:ascii="Times New Roman" w:hAnsi="Times New Roman"/>
          <w:szCs w:val="24"/>
        </w:rPr>
        <w:t>(</w:t>
      </w:r>
      <w:r w:rsidR="00C844FD">
        <w:rPr>
          <w:rFonts w:ascii="Times New Roman" w:hAnsi="Times New Roman"/>
          <w:szCs w:val="24"/>
        </w:rPr>
        <w:t>Tr. 2886</w:t>
      </w:r>
      <w:r w:rsidR="00B71434">
        <w:rPr>
          <w:rFonts w:ascii="Times New Roman" w:hAnsi="Times New Roman"/>
          <w:szCs w:val="24"/>
        </w:rPr>
        <w:t xml:space="preserve">.) </w:t>
      </w:r>
      <w:r w:rsidR="00CA5D48" w:rsidRPr="00CA5D48">
        <w:rPr>
          <w:rFonts w:ascii="Times New Roman" w:hAnsi="Times New Roman"/>
          <w:szCs w:val="24"/>
        </w:rPr>
        <w:t xml:space="preserve">However, </w:t>
      </w:r>
      <w:r w:rsidR="00CA5D48">
        <w:rPr>
          <w:rFonts w:ascii="Times New Roman" w:hAnsi="Times New Roman"/>
          <w:szCs w:val="24"/>
        </w:rPr>
        <w:t xml:space="preserve">the Company’s continued support for the FlatBill program recognizes that </w:t>
      </w:r>
      <w:r w:rsidR="00CA5D48" w:rsidRPr="00CA5D48">
        <w:rPr>
          <w:rFonts w:ascii="Times New Roman" w:hAnsi="Times New Roman"/>
          <w:szCs w:val="24"/>
        </w:rPr>
        <w:t xml:space="preserve">for many customers the value of predictability and bill stability outweighs the potential over/under paying. Georgia Power understands that not all customers may be interested in participating in such a program, therefore participation in FlatBill is completely voluntary. </w:t>
      </w:r>
      <w:r w:rsidR="00C844FD">
        <w:rPr>
          <w:rFonts w:ascii="Times New Roman" w:hAnsi="Times New Roman"/>
          <w:szCs w:val="24"/>
        </w:rPr>
        <w:t>(</w:t>
      </w:r>
      <w:r w:rsidR="00C844FD" w:rsidRPr="00DE1B16">
        <w:rPr>
          <w:rFonts w:ascii="Times New Roman" w:hAnsi="Times New Roman"/>
          <w:i/>
          <w:szCs w:val="24"/>
        </w:rPr>
        <w:t>Id</w:t>
      </w:r>
      <w:r w:rsidR="00C844FD">
        <w:rPr>
          <w:rFonts w:ascii="Times New Roman" w:hAnsi="Times New Roman"/>
          <w:szCs w:val="24"/>
        </w:rPr>
        <w:t xml:space="preserve">.) </w:t>
      </w:r>
      <w:r w:rsidR="00434D71" w:rsidRPr="003268EB">
        <w:rPr>
          <w:rFonts w:ascii="Times New Roman" w:hAnsi="Times New Roman"/>
          <w:szCs w:val="24"/>
        </w:rPr>
        <w:t>However, for th</w:t>
      </w:r>
      <w:r w:rsidR="00434D71">
        <w:rPr>
          <w:rFonts w:ascii="Times New Roman" w:hAnsi="Times New Roman"/>
          <w:szCs w:val="24"/>
        </w:rPr>
        <w:t>e</w:t>
      </w:r>
      <w:r w:rsidR="00553AAA">
        <w:rPr>
          <w:rFonts w:ascii="Times New Roman" w:hAnsi="Times New Roman"/>
          <w:szCs w:val="24"/>
        </w:rPr>
        <w:t xml:space="preserve"> 300,000</w:t>
      </w:r>
      <w:r w:rsidR="00434D71" w:rsidRPr="003268EB">
        <w:rPr>
          <w:rFonts w:ascii="Times New Roman" w:hAnsi="Times New Roman"/>
          <w:szCs w:val="24"/>
        </w:rPr>
        <w:t xml:space="preserve"> customers who do participate, the feedback has been resoundingly positive, especially from the FlatBill First Year pilot participants, as demonstrated by their 93% renewal rate.</w:t>
      </w:r>
      <w:r w:rsidR="00664DAB">
        <w:rPr>
          <w:rFonts w:ascii="Times New Roman" w:hAnsi="Times New Roman"/>
          <w:szCs w:val="24"/>
        </w:rPr>
        <w:t xml:space="preserve"> (</w:t>
      </w:r>
      <w:r w:rsidR="00C844FD">
        <w:rPr>
          <w:rFonts w:ascii="Times New Roman" w:hAnsi="Times New Roman"/>
          <w:szCs w:val="24"/>
        </w:rPr>
        <w:t>Tr. 2885</w:t>
      </w:r>
      <w:r w:rsidR="00664DAB">
        <w:rPr>
          <w:rFonts w:ascii="Times New Roman" w:hAnsi="Times New Roman"/>
          <w:szCs w:val="24"/>
        </w:rPr>
        <w:t>.)</w:t>
      </w:r>
      <w:r w:rsidR="00434D71">
        <w:rPr>
          <w:rFonts w:ascii="Times New Roman" w:hAnsi="Times New Roman"/>
          <w:szCs w:val="24"/>
        </w:rPr>
        <w:t xml:space="preserve"> As explained above, </w:t>
      </w:r>
      <w:r>
        <w:rPr>
          <w:rFonts w:ascii="Times New Roman" w:hAnsi="Times New Roman"/>
          <w:szCs w:val="24"/>
        </w:rPr>
        <w:t xml:space="preserve">the Commission should approve the continuation of the FlatBill program and approve the FlatBill First Year program in lieu of implementing the Budget Bill First Year program. </w:t>
      </w:r>
    </w:p>
    <w:p w14:paraId="1CEFEC7A" w14:textId="684CAA38" w:rsidR="003268EB" w:rsidRDefault="003268EB" w:rsidP="00867228">
      <w:pPr>
        <w:widowControl/>
        <w:tabs>
          <w:tab w:val="left" w:pos="1440"/>
        </w:tabs>
        <w:overflowPunct/>
        <w:autoSpaceDE/>
        <w:autoSpaceDN/>
        <w:adjustRightInd/>
        <w:spacing w:after="240"/>
        <w:ind w:left="2160" w:hanging="2160"/>
        <w:jc w:val="both"/>
        <w:textAlignment w:val="auto"/>
        <w:rPr>
          <w:rFonts w:ascii="Times New Roman" w:hAnsi="Times New Roman"/>
          <w:i/>
          <w:szCs w:val="24"/>
        </w:rPr>
      </w:pPr>
      <w:r>
        <w:rPr>
          <w:rFonts w:ascii="Times New Roman" w:hAnsi="Times New Roman"/>
          <w:szCs w:val="24"/>
        </w:rPr>
        <w:tab/>
      </w:r>
      <w:bookmarkStart w:id="57" w:name="_Hlk26111961"/>
      <w:r w:rsidRPr="003268EB">
        <w:rPr>
          <w:rFonts w:ascii="Times New Roman" w:hAnsi="Times New Roman"/>
          <w:i/>
          <w:szCs w:val="24"/>
        </w:rPr>
        <w:t>b.</w:t>
      </w:r>
      <w:r w:rsidRPr="003268EB">
        <w:rPr>
          <w:rFonts w:ascii="Times New Roman" w:hAnsi="Times New Roman"/>
          <w:i/>
          <w:szCs w:val="24"/>
        </w:rPr>
        <w:tab/>
      </w:r>
      <w:r w:rsidR="00E1405F">
        <w:rPr>
          <w:rFonts w:ascii="Times New Roman" w:hAnsi="Times New Roman"/>
          <w:i/>
          <w:szCs w:val="24"/>
        </w:rPr>
        <w:t xml:space="preserve">The Commission should </w:t>
      </w:r>
      <w:r w:rsidR="002D7496">
        <w:rPr>
          <w:rFonts w:ascii="Times New Roman" w:hAnsi="Times New Roman"/>
          <w:i/>
          <w:szCs w:val="24"/>
        </w:rPr>
        <w:t>approve the Company’s proposal to expand its rate offerings with the Pay by Day program</w:t>
      </w:r>
      <w:r w:rsidRPr="003268EB">
        <w:rPr>
          <w:rFonts w:ascii="Times New Roman" w:hAnsi="Times New Roman"/>
          <w:i/>
          <w:szCs w:val="24"/>
        </w:rPr>
        <w:t>.</w:t>
      </w:r>
      <w:bookmarkEnd w:id="57"/>
    </w:p>
    <w:p w14:paraId="3F3F5A5C" w14:textId="4934FD13" w:rsidR="001D257D" w:rsidRDefault="002D7496" w:rsidP="00D60FF3">
      <w:pPr>
        <w:widowControl/>
        <w:tabs>
          <w:tab w:val="left" w:pos="0"/>
        </w:tabs>
        <w:overflowPunct/>
        <w:autoSpaceDE/>
        <w:autoSpaceDN/>
        <w:adjustRightInd/>
        <w:spacing w:before="240" w:line="480" w:lineRule="auto"/>
        <w:ind w:firstLine="720"/>
        <w:jc w:val="both"/>
        <w:textAlignment w:val="auto"/>
        <w:rPr>
          <w:rFonts w:ascii="Times New Roman" w:hAnsi="Times New Roman"/>
          <w:szCs w:val="24"/>
        </w:rPr>
      </w:pPr>
      <w:r>
        <w:rPr>
          <w:rFonts w:ascii="Times New Roman" w:hAnsi="Times New Roman"/>
          <w:szCs w:val="24"/>
        </w:rPr>
        <w:t xml:space="preserve">The Company has proposed to roll out the Pay by Day program based on the success of its Pay by Day pilot program. </w:t>
      </w:r>
      <w:r w:rsidRPr="002D7496">
        <w:rPr>
          <w:rFonts w:ascii="Times New Roman" w:hAnsi="Times New Roman"/>
          <w:szCs w:val="24"/>
        </w:rPr>
        <w:t>Th</w:t>
      </w:r>
      <w:r>
        <w:rPr>
          <w:rFonts w:ascii="Times New Roman" w:hAnsi="Times New Roman"/>
          <w:szCs w:val="24"/>
        </w:rPr>
        <w:t>is</w:t>
      </w:r>
      <w:r w:rsidRPr="002D7496">
        <w:rPr>
          <w:rFonts w:ascii="Times New Roman" w:hAnsi="Times New Roman"/>
          <w:szCs w:val="24"/>
        </w:rPr>
        <w:t xml:space="preserve"> new rate option combines the convenience and control of PrePay with the predictability of FlatBill. The rate operates like PrePay but customers are offered a fixed daily price that does not fluctuate for an entire year. </w:t>
      </w:r>
      <w:r w:rsidR="00B71434">
        <w:rPr>
          <w:rFonts w:ascii="Times New Roman" w:hAnsi="Times New Roman"/>
          <w:szCs w:val="24"/>
        </w:rPr>
        <w:t>(</w:t>
      </w:r>
      <w:r w:rsidR="00C844FD">
        <w:rPr>
          <w:rFonts w:ascii="Times New Roman" w:hAnsi="Times New Roman"/>
          <w:szCs w:val="24"/>
        </w:rPr>
        <w:t>Tr. 2888</w:t>
      </w:r>
      <w:r w:rsidR="00B71434">
        <w:rPr>
          <w:rFonts w:ascii="Times New Roman" w:hAnsi="Times New Roman"/>
          <w:szCs w:val="24"/>
        </w:rPr>
        <w:t xml:space="preserve">.) </w:t>
      </w:r>
      <w:r>
        <w:rPr>
          <w:rFonts w:ascii="Times New Roman" w:hAnsi="Times New Roman"/>
          <w:szCs w:val="24"/>
        </w:rPr>
        <w:t>PIA Staff expressed concerns about the Pay by Day program</w:t>
      </w:r>
      <w:r w:rsidR="00664DAB">
        <w:rPr>
          <w:rFonts w:ascii="Times New Roman" w:hAnsi="Times New Roman"/>
          <w:szCs w:val="24"/>
        </w:rPr>
        <w:t>,</w:t>
      </w:r>
      <w:r>
        <w:rPr>
          <w:rFonts w:ascii="Times New Roman" w:hAnsi="Times New Roman"/>
          <w:szCs w:val="24"/>
        </w:rPr>
        <w:t xml:space="preserve"> questioning the level of education the Company offers customers when enrolling for the Pay by Day rate and citing “a number of complaints from customers</w:t>
      </w:r>
      <w:r w:rsidR="001D257D">
        <w:rPr>
          <w:rFonts w:ascii="Times New Roman" w:hAnsi="Times New Roman"/>
          <w:szCs w:val="24"/>
        </w:rPr>
        <w:t>” who may not have understood the program details and costs associated with participating on the rate.</w:t>
      </w:r>
      <w:r w:rsidR="00664DAB">
        <w:rPr>
          <w:rFonts w:ascii="Times New Roman" w:hAnsi="Times New Roman"/>
          <w:szCs w:val="24"/>
        </w:rPr>
        <w:t xml:space="preserve"> (</w:t>
      </w:r>
      <w:r w:rsidR="00C844FD">
        <w:rPr>
          <w:rFonts w:ascii="Times New Roman" w:hAnsi="Times New Roman"/>
          <w:szCs w:val="24"/>
        </w:rPr>
        <w:t>Tr. 1705-06</w:t>
      </w:r>
      <w:r w:rsidR="00664DAB">
        <w:rPr>
          <w:rFonts w:ascii="Times New Roman" w:hAnsi="Times New Roman"/>
          <w:szCs w:val="24"/>
        </w:rPr>
        <w:t>.)</w:t>
      </w:r>
      <w:r w:rsidR="001D257D">
        <w:rPr>
          <w:rFonts w:ascii="Times New Roman" w:hAnsi="Times New Roman"/>
          <w:szCs w:val="24"/>
        </w:rPr>
        <w:t xml:space="preserve"> However, the Company never received any customer complaints nor was it made aware of any customer complaints raised with Commission Staff. The Company’s hearing request for the </w:t>
      </w:r>
      <w:r w:rsidR="001D257D">
        <w:rPr>
          <w:rFonts w:ascii="Times New Roman" w:hAnsi="Times New Roman"/>
          <w:szCs w:val="24"/>
        </w:rPr>
        <w:lastRenderedPageBreak/>
        <w:t>referenced Pay by Day complaints</w:t>
      </w:r>
      <w:r w:rsidR="00B71434">
        <w:rPr>
          <w:rFonts w:ascii="Times New Roman" w:hAnsi="Times New Roman"/>
          <w:szCs w:val="24"/>
        </w:rPr>
        <w:t xml:space="preserve"> </w:t>
      </w:r>
      <w:r w:rsidR="00625744">
        <w:rPr>
          <w:rFonts w:ascii="Times New Roman" w:hAnsi="Times New Roman"/>
          <w:szCs w:val="24"/>
        </w:rPr>
        <w:t xml:space="preserve">that PIA Staff claimed to have received </w:t>
      </w:r>
      <w:r w:rsidR="00B71434">
        <w:rPr>
          <w:rFonts w:ascii="Times New Roman" w:hAnsi="Times New Roman"/>
          <w:szCs w:val="24"/>
        </w:rPr>
        <w:t>(</w:t>
      </w:r>
      <w:r w:rsidR="00C844FD">
        <w:rPr>
          <w:rFonts w:ascii="Times New Roman" w:hAnsi="Times New Roman"/>
          <w:szCs w:val="24"/>
        </w:rPr>
        <w:t>Tr. 1779-80</w:t>
      </w:r>
      <w:r w:rsidR="00B71434">
        <w:rPr>
          <w:rFonts w:ascii="Times New Roman" w:hAnsi="Times New Roman"/>
          <w:szCs w:val="24"/>
        </w:rPr>
        <w:t>)</w:t>
      </w:r>
      <w:r w:rsidR="001D257D">
        <w:rPr>
          <w:rFonts w:ascii="Times New Roman" w:hAnsi="Times New Roman"/>
          <w:szCs w:val="24"/>
        </w:rPr>
        <w:t xml:space="preserve"> </w:t>
      </w:r>
      <w:r w:rsidR="00612D34">
        <w:rPr>
          <w:rFonts w:ascii="Times New Roman" w:hAnsi="Times New Roman"/>
          <w:szCs w:val="24"/>
        </w:rPr>
        <w:t>remains</w:t>
      </w:r>
      <w:r w:rsidR="001D257D">
        <w:rPr>
          <w:rFonts w:ascii="Times New Roman" w:hAnsi="Times New Roman"/>
          <w:szCs w:val="24"/>
        </w:rPr>
        <w:t xml:space="preserve"> unanswered</w:t>
      </w:r>
      <w:r w:rsidR="00612D34">
        <w:rPr>
          <w:rFonts w:ascii="Times New Roman" w:hAnsi="Times New Roman"/>
          <w:szCs w:val="24"/>
        </w:rPr>
        <w:t xml:space="preserve"> as of the filing of this brief, despite repeated follow-up requests for the information</w:t>
      </w:r>
      <w:r w:rsidR="001D257D">
        <w:rPr>
          <w:rFonts w:ascii="Times New Roman" w:hAnsi="Times New Roman"/>
          <w:szCs w:val="24"/>
        </w:rPr>
        <w:t xml:space="preserve">. </w:t>
      </w:r>
    </w:p>
    <w:p w14:paraId="6DC7B315" w14:textId="3A1C2996" w:rsidR="004A56DF" w:rsidRPr="002D7496" w:rsidRDefault="001D257D" w:rsidP="00D60FF3">
      <w:pPr>
        <w:widowControl/>
        <w:tabs>
          <w:tab w:val="left" w:pos="0"/>
        </w:tabs>
        <w:overflowPunct/>
        <w:autoSpaceDE/>
        <w:autoSpaceDN/>
        <w:adjustRightInd/>
        <w:spacing w:after="240" w:line="480" w:lineRule="auto"/>
        <w:ind w:firstLine="720"/>
        <w:jc w:val="both"/>
        <w:textAlignment w:val="auto"/>
        <w:rPr>
          <w:rFonts w:ascii="Times New Roman" w:hAnsi="Times New Roman"/>
          <w:szCs w:val="24"/>
        </w:rPr>
      </w:pPr>
      <w:r>
        <w:rPr>
          <w:rFonts w:ascii="Times New Roman" w:hAnsi="Times New Roman"/>
          <w:szCs w:val="24"/>
        </w:rPr>
        <w:t xml:space="preserve">Contrary to PIA Staff’s position, customers support the addition of Pay by Day to its residential rate offerings. </w:t>
      </w:r>
      <w:r w:rsidR="002D7496">
        <w:rPr>
          <w:rFonts w:ascii="Times New Roman" w:hAnsi="Times New Roman"/>
          <w:szCs w:val="24"/>
        </w:rPr>
        <w:t>C</w:t>
      </w:r>
      <w:r w:rsidR="002D7496" w:rsidRPr="002D7496">
        <w:rPr>
          <w:rFonts w:ascii="Times New Roman" w:hAnsi="Times New Roman"/>
          <w:szCs w:val="24"/>
        </w:rPr>
        <w:t xml:space="preserve">ustomers </w:t>
      </w:r>
      <w:r w:rsidR="002D7496">
        <w:rPr>
          <w:rFonts w:ascii="Times New Roman" w:hAnsi="Times New Roman"/>
          <w:szCs w:val="24"/>
        </w:rPr>
        <w:t>have stated</w:t>
      </w:r>
      <w:r w:rsidR="002D7496" w:rsidRPr="002D7496">
        <w:rPr>
          <w:rFonts w:ascii="Times New Roman" w:hAnsi="Times New Roman"/>
          <w:szCs w:val="24"/>
        </w:rPr>
        <w:t xml:space="preserve"> that the rate is easy to understand and is easy to budget. Customers </w:t>
      </w:r>
      <w:r>
        <w:rPr>
          <w:rFonts w:ascii="Times New Roman" w:hAnsi="Times New Roman"/>
          <w:szCs w:val="24"/>
        </w:rPr>
        <w:t xml:space="preserve">report </w:t>
      </w:r>
      <w:r w:rsidR="002D7496" w:rsidRPr="002D7496">
        <w:rPr>
          <w:rFonts w:ascii="Times New Roman" w:hAnsi="Times New Roman"/>
          <w:szCs w:val="24"/>
        </w:rPr>
        <w:t>experienc</w:t>
      </w:r>
      <w:r>
        <w:rPr>
          <w:rFonts w:ascii="Times New Roman" w:hAnsi="Times New Roman"/>
          <w:szCs w:val="24"/>
        </w:rPr>
        <w:t>ing</w:t>
      </w:r>
      <w:r w:rsidR="002D7496" w:rsidRPr="002D7496">
        <w:rPr>
          <w:rFonts w:ascii="Times New Roman" w:hAnsi="Times New Roman"/>
          <w:szCs w:val="24"/>
        </w:rPr>
        <w:t xml:space="preserve"> less stress knowing what the daily cost will be and not having to worry about higher summer charges when </w:t>
      </w:r>
      <w:r w:rsidR="00612D34">
        <w:rPr>
          <w:rFonts w:ascii="Times New Roman" w:hAnsi="Times New Roman"/>
          <w:szCs w:val="24"/>
        </w:rPr>
        <w:t>energy</w:t>
      </w:r>
      <w:r w:rsidR="00612D34" w:rsidRPr="002D7496">
        <w:rPr>
          <w:rFonts w:ascii="Times New Roman" w:hAnsi="Times New Roman"/>
          <w:szCs w:val="24"/>
        </w:rPr>
        <w:t xml:space="preserve"> </w:t>
      </w:r>
      <w:r w:rsidR="002D7496" w:rsidRPr="002D7496">
        <w:rPr>
          <w:rFonts w:ascii="Times New Roman" w:hAnsi="Times New Roman"/>
          <w:szCs w:val="24"/>
        </w:rPr>
        <w:t>prices are higher and usage increases. Customers also like avoiding high deposits and having the ability to pay off arrears amounts.</w:t>
      </w:r>
      <w:r>
        <w:rPr>
          <w:rFonts w:ascii="Times New Roman" w:hAnsi="Times New Roman"/>
          <w:szCs w:val="24"/>
        </w:rPr>
        <w:t xml:space="preserve"> With an increasing number of customers seeking alternative payment arrangements and rates that work for their budget, timelines and lifestyle, the Commission should </w:t>
      </w:r>
      <w:r w:rsidR="00D60FF3">
        <w:rPr>
          <w:rFonts w:ascii="Times New Roman" w:hAnsi="Times New Roman"/>
          <w:szCs w:val="24"/>
        </w:rPr>
        <w:t>approve the Company’s proposed Pay by Day rate.</w:t>
      </w:r>
    </w:p>
    <w:p w14:paraId="7607609D" w14:textId="0E269CF3" w:rsidR="007A1BD2" w:rsidRDefault="006876DF" w:rsidP="007A1BD2">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58" w:name="_Hlk26111994"/>
      <w:r>
        <w:rPr>
          <w:rFonts w:ascii="Times New Roman" w:eastAsiaTheme="majorEastAsia" w:hAnsi="Times New Roman"/>
          <w:szCs w:val="24"/>
        </w:rPr>
        <w:t>6</w:t>
      </w:r>
      <w:r w:rsidR="007A1BD2">
        <w:rPr>
          <w:rFonts w:ascii="Times New Roman" w:eastAsiaTheme="majorEastAsia" w:hAnsi="Times New Roman"/>
          <w:szCs w:val="24"/>
        </w:rPr>
        <w:t>.</w:t>
      </w:r>
      <w:r w:rsidR="007A1BD2">
        <w:rPr>
          <w:rFonts w:ascii="Times New Roman" w:eastAsiaTheme="majorEastAsia" w:hAnsi="Times New Roman"/>
          <w:szCs w:val="24"/>
        </w:rPr>
        <w:tab/>
      </w:r>
      <w:r w:rsidR="007A1BD2" w:rsidRPr="004B6D89">
        <w:rPr>
          <w:rFonts w:ascii="Times New Roman" w:hAnsi="Times New Roman"/>
          <w:szCs w:val="24"/>
          <w:u w:val="single"/>
        </w:rPr>
        <w:t>The Company</w:t>
      </w:r>
      <w:r w:rsidR="007A1BD2">
        <w:rPr>
          <w:rFonts w:ascii="Times New Roman" w:hAnsi="Times New Roman"/>
          <w:szCs w:val="24"/>
          <w:u w:val="single"/>
        </w:rPr>
        <w:t>’</w:t>
      </w:r>
      <w:r w:rsidR="007A1BD2" w:rsidRPr="004B6D89">
        <w:rPr>
          <w:rFonts w:ascii="Times New Roman" w:hAnsi="Times New Roman"/>
          <w:szCs w:val="24"/>
          <w:u w:val="single"/>
        </w:rPr>
        <w:t xml:space="preserve">s </w:t>
      </w:r>
      <w:r w:rsidR="007A1BD2">
        <w:rPr>
          <w:rFonts w:ascii="Times New Roman" w:hAnsi="Times New Roman"/>
          <w:szCs w:val="24"/>
          <w:u w:val="single"/>
        </w:rPr>
        <w:t xml:space="preserve">gradual movement towards more modern rates </w:t>
      </w:r>
      <w:r w:rsidR="004A56DF">
        <w:rPr>
          <w:rFonts w:ascii="Times New Roman" w:hAnsi="Times New Roman"/>
          <w:szCs w:val="24"/>
          <w:u w:val="single"/>
        </w:rPr>
        <w:t xml:space="preserve">as </w:t>
      </w:r>
      <w:r w:rsidR="007A1BD2">
        <w:rPr>
          <w:rFonts w:ascii="Times New Roman" w:hAnsi="Times New Roman"/>
          <w:szCs w:val="24"/>
          <w:u w:val="single"/>
        </w:rPr>
        <w:t xml:space="preserve">proposed </w:t>
      </w:r>
      <w:r w:rsidR="004A56DF">
        <w:rPr>
          <w:rFonts w:ascii="Times New Roman" w:hAnsi="Times New Roman"/>
          <w:szCs w:val="24"/>
          <w:u w:val="single"/>
        </w:rPr>
        <w:t xml:space="preserve">by the Company </w:t>
      </w:r>
      <w:r w:rsidR="007A1BD2">
        <w:rPr>
          <w:rFonts w:ascii="Times New Roman" w:hAnsi="Times New Roman"/>
          <w:szCs w:val="24"/>
          <w:u w:val="single"/>
        </w:rPr>
        <w:t>in this rate case should be encouraged</w:t>
      </w:r>
      <w:r w:rsidR="007A1BD2">
        <w:rPr>
          <w:rFonts w:ascii="Times New Roman" w:hAnsi="Times New Roman"/>
          <w:szCs w:val="24"/>
        </w:rPr>
        <w:t>.</w:t>
      </w:r>
    </w:p>
    <w:bookmarkEnd w:id="58"/>
    <w:p w14:paraId="475296FF" w14:textId="7495ADFA" w:rsidR="008F3F2E" w:rsidRDefault="000D1770" w:rsidP="006B5DA1">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DF1841">
        <w:rPr>
          <w:rFonts w:ascii="Times New Roman" w:hAnsi="Times New Roman"/>
          <w:szCs w:val="24"/>
        </w:rPr>
        <w:t>The Commission should support the</w:t>
      </w:r>
      <w:r w:rsidR="008F3F2E" w:rsidRPr="008F3F2E">
        <w:rPr>
          <w:rFonts w:ascii="Times New Roman" w:hAnsi="Times New Roman"/>
          <w:szCs w:val="24"/>
        </w:rPr>
        <w:t xml:space="preserve"> Company</w:t>
      </w:r>
      <w:r w:rsidR="00DF1841">
        <w:rPr>
          <w:rFonts w:ascii="Times New Roman" w:hAnsi="Times New Roman"/>
          <w:szCs w:val="24"/>
        </w:rPr>
        <w:t xml:space="preserve">’s goal </w:t>
      </w:r>
      <w:r w:rsidR="008F3F2E" w:rsidRPr="008F3F2E">
        <w:rPr>
          <w:rFonts w:ascii="Times New Roman" w:hAnsi="Times New Roman"/>
          <w:szCs w:val="24"/>
        </w:rPr>
        <w:t>to modernize its rates to be more cost reflective, utilize current technology, and adjust to changing customer behaviors and preferences. To support these objectives, the Company proposed</w:t>
      </w:r>
      <w:r>
        <w:rPr>
          <w:rFonts w:ascii="Times New Roman" w:hAnsi="Times New Roman"/>
          <w:szCs w:val="24"/>
        </w:rPr>
        <w:t xml:space="preserve"> to</w:t>
      </w:r>
      <w:r w:rsidR="00612D34">
        <w:rPr>
          <w:rFonts w:ascii="Times New Roman" w:hAnsi="Times New Roman"/>
          <w:szCs w:val="24"/>
        </w:rPr>
        <w:t>:</w:t>
      </w:r>
      <w:r>
        <w:rPr>
          <w:rFonts w:ascii="Times New Roman" w:hAnsi="Times New Roman"/>
          <w:szCs w:val="24"/>
        </w:rPr>
        <w:t xml:space="preserve"> (1) i</w:t>
      </w:r>
      <w:r w:rsidR="008F3F2E" w:rsidRPr="008F3F2E">
        <w:rPr>
          <w:rFonts w:ascii="Times New Roman" w:hAnsi="Times New Roman"/>
          <w:szCs w:val="24"/>
        </w:rPr>
        <w:t xml:space="preserve">mprove </w:t>
      </w:r>
      <w:r>
        <w:rPr>
          <w:rFonts w:ascii="Times New Roman" w:hAnsi="Times New Roman"/>
          <w:szCs w:val="24"/>
        </w:rPr>
        <w:t>its rate</w:t>
      </w:r>
      <w:r w:rsidR="008F3F2E" w:rsidRPr="008F3F2E">
        <w:rPr>
          <w:rFonts w:ascii="Times New Roman" w:hAnsi="Times New Roman"/>
          <w:szCs w:val="24"/>
        </w:rPr>
        <w:t xml:space="preserve"> design by aligning the BSC to more closely reflect the customer-related costs identified in the COSS</w:t>
      </w:r>
      <w:r>
        <w:rPr>
          <w:rFonts w:ascii="Times New Roman" w:hAnsi="Times New Roman"/>
          <w:szCs w:val="24"/>
        </w:rPr>
        <w:t>; (2) g</w:t>
      </w:r>
      <w:r w:rsidR="008F3F2E" w:rsidRPr="008F3F2E">
        <w:rPr>
          <w:rFonts w:ascii="Times New Roman" w:hAnsi="Times New Roman"/>
          <w:szCs w:val="24"/>
        </w:rPr>
        <w:t>row the number of customers on more modern rates in the Company</w:t>
      </w:r>
      <w:r w:rsidR="006F6CB0">
        <w:rPr>
          <w:rFonts w:ascii="Times New Roman" w:hAnsi="Times New Roman"/>
          <w:szCs w:val="24"/>
        </w:rPr>
        <w:t>’</w:t>
      </w:r>
      <w:r w:rsidR="008F3F2E" w:rsidRPr="008F3F2E">
        <w:rPr>
          <w:rFonts w:ascii="Times New Roman" w:hAnsi="Times New Roman"/>
          <w:szCs w:val="24"/>
        </w:rPr>
        <w:t xml:space="preserve">s portfolio that send price signals </w:t>
      </w:r>
      <w:r>
        <w:rPr>
          <w:rFonts w:ascii="Times New Roman" w:hAnsi="Times New Roman"/>
          <w:szCs w:val="24"/>
        </w:rPr>
        <w:t>to</w:t>
      </w:r>
      <w:r w:rsidR="008F3F2E" w:rsidRPr="008F3F2E">
        <w:rPr>
          <w:rFonts w:ascii="Times New Roman" w:hAnsi="Times New Roman"/>
          <w:szCs w:val="24"/>
        </w:rPr>
        <w:t xml:space="preserve"> more appropriately reflect costs</w:t>
      </w:r>
      <w:r>
        <w:rPr>
          <w:rFonts w:ascii="Times New Roman" w:hAnsi="Times New Roman"/>
          <w:szCs w:val="24"/>
        </w:rPr>
        <w:t>; and (3) i</w:t>
      </w:r>
      <w:r w:rsidR="008F3F2E" w:rsidRPr="008F3F2E">
        <w:rPr>
          <w:rFonts w:ascii="Times New Roman" w:hAnsi="Times New Roman"/>
          <w:szCs w:val="24"/>
        </w:rPr>
        <w:t>ntroduce new rate offerings to expand the rate choices available to customers.</w:t>
      </w:r>
      <w:r>
        <w:rPr>
          <w:rFonts w:ascii="Times New Roman" w:hAnsi="Times New Roman"/>
          <w:szCs w:val="24"/>
        </w:rPr>
        <w:t xml:space="preserve"> </w:t>
      </w:r>
      <w:r w:rsidR="00B71434">
        <w:rPr>
          <w:rFonts w:ascii="Times New Roman" w:hAnsi="Times New Roman"/>
          <w:szCs w:val="24"/>
        </w:rPr>
        <w:t>(</w:t>
      </w:r>
      <w:r w:rsidR="00346CE8">
        <w:rPr>
          <w:rFonts w:ascii="Times New Roman" w:hAnsi="Times New Roman"/>
          <w:szCs w:val="24"/>
        </w:rPr>
        <w:t>Tr. 2881</w:t>
      </w:r>
      <w:r w:rsidR="00B71434">
        <w:rPr>
          <w:rFonts w:ascii="Times New Roman" w:hAnsi="Times New Roman"/>
          <w:szCs w:val="24"/>
        </w:rPr>
        <w:t xml:space="preserve">.) </w:t>
      </w:r>
      <w:r>
        <w:rPr>
          <w:rFonts w:ascii="Times New Roman" w:hAnsi="Times New Roman"/>
          <w:szCs w:val="24"/>
        </w:rPr>
        <w:t>As described briefly above, the Company’s desire to move customers towards more modern rates is intended to be gradual and intentional, while still supporting optionality for customers in selecting what rate works best for them.</w:t>
      </w:r>
      <w:r w:rsidR="008F3D75" w:rsidRPr="008F3D75">
        <w:rPr>
          <w:rFonts w:ascii="Times New Roman" w:hAnsi="Times New Roman"/>
          <w:szCs w:val="24"/>
        </w:rPr>
        <w:t xml:space="preserve"> </w:t>
      </w:r>
      <w:r w:rsidR="008F3D75" w:rsidRPr="008F3F2E">
        <w:rPr>
          <w:rFonts w:ascii="Times New Roman" w:hAnsi="Times New Roman"/>
          <w:szCs w:val="24"/>
        </w:rPr>
        <w:t xml:space="preserve">PIA Staff supports marketing and education to grow customer adoption of modern rates in the Georgia Power service territory </w:t>
      </w:r>
      <w:r w:rsidR="008F3D75" w:rsidRPr="008F3F2E">
        <w:rPr>
          <w:rFonts w:ascii="Times New Roman" w:hAnsi="Times New Roman"/>
          <w:szCs w:val="24"/>
        </w:rPr>
        <w:lastRenderedPageBreak/>
        <w:t xml:space="preserve">to encourage customers to choose rates that can both benefit customers and the </w:t>
      </w:r>
      <w:r w:rsidR="00612D34">
        <w:rPr>
          <w:rFonts w:ascii="Times New Roman" w:hAnsi="Times New Roman"/>
          <w:szCs w:val="24"/>
        </w:rPr>
        <w:t>efficient</w:t>
      </w:r>
      <w:r w:rsidR="00612D34" w:rsidRPr="008F3F2E">
        <w:rPr>
          <w:rFonts w:ascii="Times New Roman" w:hAnsi="Times New Roman"/>
          <w:szCs w:val="24"/>
        </w:rPr>
        <w:t xml:space="preserve"> </w:t>
      </w:r>
      <w:r w:rsidR="008F3D75" w:rsidRPr="008F3F2E">
        <w:rPr>
          <w:rFonts w:ascii="Times New Roman" w:hAnsi="Times New Roman"/>
          <w:szCs w:val="24"/>
        </w:rPr>
        <w:t xml:space="preserve">usage of the Georgia Power </w:t>
      </w:r>
      <w:r w:rsidR="00625744">
        <w:rPr>
          <w:rFonts w:ascii="Times New Roman" w:hAnsi="Times New Roman"/>
          <w:szCs w:val="24"/>
        </w:rPr>
        <w:t xml:space="preserve">electric </w:t>
      </w:r>
      <w:r w:rsidR="008F3D75" w:rsidRPr="008F3F2E">
        <w:rPr>
          <w:rFonts w:ascii="Times New Roman" w:hAnsi="Times New Roman"/>
          <w:szCs w:val="24"/>
        </w:rPr>
        <w:t>system. (Tr. 1721</w:t>
      </w:r>
      <w:r w:rsidR="00C25D9F">
        <w:rPr>
          <w:rFonts w:ascii="Times New Roman" w:hAnsi="Times New Roman"/>
          <w:szCs w:val="24"/>
        </w:rPr>
        <w:t>, 2881-82</w:t>
      </w:r>
      <w:r w:rsidR="008F3D75" w:rsidRPr="008F3F2E">
        <w:rPr>
          <w:rFonts w:ascii="Times New Roman" w:hAnsi="Times New Roman"/>
          <w:szCs w:val="24"/>
        </w:rPr>
        <w:t>.)</w:t>
      </w:r>
    </w:p>
    <w:p w14:paraId="27659CE9" w14:textId="7B62046A" w:rsidR="00647182" w:rsidRDefault="000D1770" w:rsidP="006B5DA1">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C04225">
        <w:rPr>
          <w:rFonts w:ascii="Times New Roman" w:hAnsi="Times New Roman"/>
          <w:szCs w:val="24"/>
        </w:rPr>
        <w:t>As discussed throughout this proceeding, c</w:t>
      </w:r>
      <w:r w:rsidR="003C3F3D" w:rsidRPr="003C3F3D">
        <w:rPr>
          <w:rFonts w:ascii="Times New Roman" w:hAnsi="Times New Roman"/>
          <w:szCs w:val="24"/>
        </w:rPr>
        <w:t xml:space="preserve">osts in the COSS are </w:t>
      </w:r>
      <w:r w:rsidR="00F60FEF">
        <w:rPr>
          <w:rFonts w:ascii="Times New Roman" w:hAnsi="Times New Roman"/>
          <w:szCs w:val="24"/>
        </w:rPr>
        <w:t>classified</w:t>
      </w:r>
      <w:r w:rsidR="00F60FEF" w:rsidRPr="003C3F3D">
        <w:rPr>
          <w:rFonts w:ascii="Times New Roman" w:hAnsi="Times New Roman"/>
          <w:szCs w:val="24"/>
        </w:rPr>
        <w:t xml:space="preserve"> </w:t>
      </w:r>
      <w:r w:rsidR="003C3F3D" w:rsidRPr="003C3F3D">
        <w:rPr>
          <w:rFonts w:ascii="Times New Roman" w:hAnsi="Times New Roman"/>
          <w:szCs w:val="24"/>
        </w:rPr>
        <w:t xml:space="preserve">by customer, demand and energy. To most accurately reflect and align costs in prices, </w:t>
      </w:r>
      <w:r w:rsidR="00C04225">
        <w:rPr>
          <w:rFonts w:ascii="Times New Roman" w:hAnsi="Times New Roman"/>
          <w:szCs w:val="24"/>
        </w:rPr>
        <w:t>each of these three</w:t>
      </w:r>
      <w:r w:rsidR="003C3F3D" w:rsidRPr="003C3F3D">
        <w:rPr>
          <w:rFonts w:ascii="Times New Roman" w:hAnsi="Times New Roman"/>
          <w:szCs w:val="24"/>
        </w:rPr>
        <w:t xml:space="preserve"> cost components should be accounted for in the rate design. </w:t>
      </w:r>
      <w:r w:rsidR="00B71434">
        <w:rPr>
          <w:rFonts w:ascii="Times New Roman" w:hAnsi="Times New Roman"/>
          <w:szCs w:val="24"/>
        </w:rPr>
        <w:t>(</w:t>
      </w:r>
      <w:r w:rsidR="00346CE8">
        <w:rPr>
          <w:rFonts w:ascii="Times New Roman" w:hAnsi="Times New Roman"/>
          <w:szCs w:val="24"/>
        </w:rPr>
        <w:t>Tr. 288</w:t>
      </w:r>
      <w:r w:rsidR="002D71DA">
        <w:rPr>
          <w:rFonts w:ascii="Times New Roman" w:hAnsi="Times New Roman"/>
          <w:szCs w:val="24"/>
        </w:rPr>
        <w:t>3</w:t>
      </w:r>
      <w:r w:rsidR="00B71434">
        <w:rPr>
          <w:rFonts w:ascii="Times New Roman" w:hAnsi="Times New Roman"/>
          <w:szCs w:val="24"/>
        </w:rPr>
        <w:t xml:space="preserve">.) </w:t>
      </w:r>
      <w:r w:rsidR="003C3F3D" w:rsidRPr="003C3F3D">
        <w:rPr>
          <w:rFonts w:ascii="Times New Roman" w:hAnsi="Times New Roman"/>
          <w:szCs w:val="24"/>
        </w:rPr>
        <w:t xml:space="preserve">When the demand component is left out, demand-related costs must be recovered from the energy component, creating a </w:t>
      </w:r>
      <w:r w:rsidR="00C04225">
        <w:rPr>
          <w:rFonts w:ascii="Times New Roman" w:hAnsi="Times New Roman"/>
          <w:szCs w:val="24"/>
        </w:rPr>
        <w:t>disconnect between</w:t>
      </w:r>
      <w:r w:rsidR="003C3F3D" w:rsidRPr="003C3F3D">
        <w:rPr>
          <w:rFonts w:ascii="Times New Roman" w:hAnsi="Times New Roman"/>
          <w:szCs w:val="24"/>
        </w:rPr>
        <w:t xml:space="preserve"> the collection of revenues </w:t>
      </w:r>
      <w:r w:rsidR="00C04225">
        <w:rPr>
          <w:rFonts w:ascii="Times New Roman" w:hAnsi="Times New Roman"/>
          <w:szCs w:val="24"/>
        </w:rPr>
        <w:t>and</w:t>
      </w:r>
      <w:r w:rsidR="003C3F3D" w:rsidRPr="003C3F3D">
        <w:rPr>
          <w:rFonts w:ascii="Times New Roman" w:hAnsi="Times New Roman"/>
          <w:szCs w:val="24"/>
        </w:rPr>
        <w:t xml:space="preserve"> how the utility incurs costs.</w:t>
      </w:r>
      <w:r w:rsidR="00647182">
        <w:rPr>
          <w:rFonts w:ascii="Times New Roman" w:hAnsi="Times New Roman"/>
          <w:szCs w:val="24"/>
        </w:rPr>
        <w:t xml:space="preserve"> </w:t>
      </w:r>
      <w:r w:rsidR="00C04225">
        <w:rPr>
          <w:rFonts w:ascii="Times New Roman" w:hAnsi="Times New Roman"/>
          <w:szCs w:val="24"/>
        </w:rPr>
        <w:t xml:space="preserve">Based on this reasoning, the Company supports customer movement to three-part rates such as its TOU-RD rate. PIA Staff agrees </w:t>
      </w:r>
      <w:r w:rsidR="00612D34">
        <w:rPr>
          <w:rFonts w:ascii="Times New Roman" w:hAnsi="Times New Roman"/>
          <w:szCs w:val="24"/>
        </w:rPr>
        <w:t>with using</w:t>
      </w:r>
      <w:r w:rsidR="00647182">
        <w:rPr>
          <w:rFonts w:ascii="Times New Roman" w:hAnsi="Times New Roman"/>
          <w:szCs w:val="24"/>
        </w:rPr>
        <w:t xml:space="preserve"> a three-part rate such as TOU-RD</w:t>
      </w:r>
      <w:r w:rsidR="00C04225">
        <w:rPr>
          <w:rFonts w:ascii="Times New Roman" w:hAnsi="Times New Roman"/>
          <w:szCs w:val="24"/>
        </w:rPr>
        <w:t xml:space="preserve">, as demonstrated by its </w:t>
      </w:r>
      <w:r w:rsidR="00647182" w:rsidRPr="00647182">
        <w:rPr>
          <w:rFonts w:ascii="Times New Roman" w:hAnsi="Times New Roman"/>
          <w:szCs w:val="24"/>
        </w:rPr>
        <w:t>recommended approval of the TOU-RD rate in the</w:t>
      </w:r>
      <w:r w:rsidR="00C04225">
        <w:rPr>
          <w:rFonts w:ascii="Times New Roman" w:hAnsi="Times New Roman"/>
          <w:szCs w:val="24"/>
        </w:rPr>
        <w:t xml:space="preserve"> Company’s </w:t>
      </w:r>
      <w:r w:rsidR="00647182" w:rsidRPr="00647182">
        <w:rPr>
          <w:rFonts w:ascii="Times New Roman" w:hAnsi="Times New Roman"/>
          <w:szCs w:val="24"/>
        </w:rPr>
        <w:t>2013 rate case as an appropriate rate option for residential customers.</w:t>
      </w:r>
    </w:p>
    <w:p w14:paraId="0F888A38" w14:textId="47E9AF45" w:rsidR="00BB41C2" w:rsidRDefault="008F3D75" w:rsidP="006B5DA1">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BE3431" w:rsidRPr="002C613D">
        <w:rPr>
          <w:rFonts w:ascii="Times New Roman" w:hAnsi="Times New Roman"/>
          <w:szCs w:val="24"/>
        </w:rPr>
        <w:t>I</w:t>
      </w:r>
      <w:r w:rsidRPr="002C613D">
        <w:rPr>
          <w:rFonts w:ascii="Times New Roman" w:hAnsi="Times New Roman"/>
          <w:szCs w:val="24"/>
        </w:rPr>
        <w:t>f the Commission moves toward greater adoption of three</w:t>
      </w:r>
      <w:r w:rsidR="00BE3431" w:rsidRPr="002C613D">
        <w:rPr>
          <w:rFonts w:ascii="Times New Roman" w:hAnsi="Times New Roman"/>
          <w:szCs w:val="24"/>
        </w:rPr>
        <w:t>-</w:t>
      </w:r>
      <w:r w:rsidRPr="002C613D">
        <w:rPr>
          <w:rFonts w:ascii="Times New Roman" w:hAnsi="Times New Roman"/>
          <w:szCs w:val="24"/>
        </w:rPr>
        <w:t xml:space="preserve">part rates with demand charges, </w:t>
      </w:r>
      <w:r w:rsidR="00647182" w:rsidRPr="002C613D">
        <w:rPr>
          <w:rFonts w:ascii="Times New Roman" w:hAnsi="Times New Roman"/>
          <w:szCs w:val="24"/>
        </w:rPr>
        <w:t xml:space="preserve">PIA Staff </w:t>
      </w:r>
      <w:r w:rsidR="00DF1841" w:rsidRPr="002C613D">
        <w:rPr>
          <w:rFonts w:ascii="Times New Roman" w:hAnsi="Times New Roman"/>
          <w:szCs w:val="24"/>
        </w:rPr>
        <w:t xml:space="preserve">objects to the use of </w:t>
      </w:r>
      <w:r w:rsidR="00647182" w:rsidRPr="002C613D">
        <w:rPr>
          <w:rFonts w:ascii="Times New Roman" w:hAnsi="Times New Roman"/>
          <w:szCs w:val="24"/>
        </w:rPr>
        <w:t>a demand charge based on a customer</w:t>
      </w:r>
      <w:r w:rsidR="006F6CB0" w:rsidRPr="002C613D">
        <w:rPr>
          <w:rFonts w:ascii="Times New Roman" w:hAnsi="Times New Roman"/>
          <w:szCs w:val="24"/>
        </w:rPr>
        <w:t>’</w:t>
      </w:r>
      <w:r w:rsidR="00647182" w:rsidRPr="002C613D">
        <w:rPr>
          <w:rFonts w:ascii="Times New Roman" w:hAnsi="Times New Roman"/>
          <w:szCs w:val="24"/>
        </w:rPr>
        <w:t xml:space="preserve">s non-coincident peak demand </w:t>
      </w:r>
      <w:r w:rsidR="00DF1841" w:rsidRPr="002C613D">
        <w:rPr>
          <w:rFonts w:ascii="Times New Roman" w:hAnsi="Times New Roman"/>
          <w:szCs w:val="24"/>
        </w:rPr>
        <w:t xml:space="preserve">claiming it </w:t>
      </w:r>
      <w:r w:rsidR="00647182" w:rsidRPr="002C613D">
        <w:rPr>
          <w:rFonts w:ascii="Times New Roman" w:hAnsi="Times New Roman"/>
          <w:szCs w:val="24"/>
        </w:rPr>
        <w:t>sends a poor price signal</w:t>
      </w:r>
      <w:r w:rsidR="00BE3431" w:rsidRPr="002C613D">
        <w:rPr>
          <w:rFonts w:ascii="Times New Roman" w:hAnsi="Times New Roman"/>
          <w:szCs w:val="24"/>
        </w:rPr>
        <w:t xml:space="preserve"> </w:t>
      </w:r>
      <w:r w:rsidR="002C613D" w:rsidRPr="002C613D">
        <w:rPr>
          <w:rFonts w:ascii="Times New Roman" w:hAnsi="Times New Roman"/>
          <w:szCs w:val="24"/>
        </w:rPr>
        <w:t>to customers</w:t>
      </w:r>
      <w:r w:rsidR="00647182" w:rsidRPr="002C613D">
        <w:rPr>
          <w:rFonts w:ascii="Times New Roman" w:hAnsi="Times New Roman"/>
          <w:szCs w:val="24"/>
        </w:rPr>
        <w:t>.</w:t>
      </w:r>
      <w:r w:rsidR="00647182" w:rsidRPr="00647182">
        <w:rPr>
          <w:rFonts w:ascii="Times New Roman" w:hAnsi="Times New Roman"/>
          <w:szCs w:val="24"/>
        </w:rPr>
        <w:t xml:space="preserve"> </w:t>
      </w:r>
      <w:r w:rsidR="00B71434">
        <w:rPr>
          <w:rFonts w:ascii="Times New Roman" w:hAnsi="Times New Roman"/>
          <w:szCs w:val="24"/>
        </w:rPr>
        <w:t>(</w:t>
      </w:r>
      <w:r w:rsidR="00346CE8">
        <w:rPr>
          <w:rFonts w:ascii="Times New Roman" w:hAnsi="Times New Roman"/>
          <w:szCs w:val="24"/>
        </w:rPr>
        <w:t>Tr. 2883</w:t>
      </w:r>
      <w:r w:rsidR="00B71434">
        <w:rPr>
          <w:rFonts w:ascii="Times New Roman" w:hAnsi="Times New Roman"/>
          <w:szCs w:val="24"/>
        </w:rPr>
        <w:t xml:space="preserve">.) </w:t>
      </w:r>
      <w:r w:rsidR="002C613D">
        <w:rPr>
          <w:rFonts w:ascii="Times New Roman" w:hAnsi="Times New Roman"/>
          <w:szCs w:val="24"/>
        </w:rPr>
        <w:t xml:space="preserve">Alternatively, PIA </w:t>
      </w:r>
      <w:r w:rsidR="00612D34">
        <w:rPr>
          <w:rFonts w:ascii="Times New Roman" w:hAnsi="Times New Roman"/>
          <w:szCs w:val="24"/>
        </w:rPr>
        <w:t xml:space="preserve">Staff </w:t>
      </w:r>
      <w:r w:rsidR="002C613D">
        <w:rPr>
          <w:rFonts w:ascii="Times New Roman" w:hAnsi="Times New Roman"/>
          <w:szCs w:val="24"/>
        </w:rPr>
        <w:t xml:space="preserve">advocates setting a demand charge based on Georgia Power’s coincident peak demand or a short pre-defined window of time when peak demand is likely to occur. </w:t>
      </w:r>
      <w:r w:rsidR="00346CE8">
        <w:rPr>
          <w:rFonts w:ascii="Times New Roman" w:hAnsi="Times New Roman"/>
          <w:szCs w:val="24"/>
        </w:rPr>
        <w:t>(</w:t>
      </w:r>
      <w:r w:rsidR="00346CE8" w:rsidRPr="00DE1B16">
        <w:rPr>
          <w:rFonts w:ascii="Times New Roman" w:hAnsi="Times New Roman"/>
          <w:i/>
          <w:szCs w:val="24"/>
        </w:rPr>
        <w:t>Id</w:t>
      </w:r>
      <w:r w:rsidR="00346CE8">
        <w:rPr>
          <w:rFonts w:ascii="Times New Roman" w:hAnsi="Times New Roman"/>
          <w:szCs w:val="24"/>
        </w:rPr>
        <w:t xml:space="preserve">.) </w:t>
      </w:r>
      <w:r w:rsidR="00BB41C2">
        <w:rPr>
          <w:rFonts w:ascii="Times New Roman" w:hAnsi="Times New Roman"/>
          <w:szCs w:val="24"/>
        </w:rPr>
        <w:t>Georgia Power refutes the idea that a non-coincident peak is an inappropriate base for setting a demand charge. T</w:t>
      </w:r>
      <w:r w:rsidR="00BB41C2" w:rsidRPr="00647182">
        <w:rPr>
          <w:rFonts w:ascii="Times New Roman" w:hAnsi="Times New Roman"/>
          <w:szCs w:val="24"/>
        </w:rPr>
        <w:t xml:space="preserve">here are multiple demand costs to cover in a demand charge, including distribution costs, which are based on </w:t>
      </w:r>
      <w:r w:rsidR="00625744">
        <w:rPr>
          <w:rFonts w:ascii="Times New Roman" w:hAnsi="Times New Roman"/>
          <w:szCs w:val="24"/>
        </w:rPr>
        <w:t xml:space="preserve">a </w:t>
      </w:r>
      <w:r w:rsidR="00BB41C2" w:rsidRPr="00647182">
        <w:rPr>
          <w:rFonts w:ascii="Times New Roman" w:hAnsi="Times New Roman"/>
          <w:szCs w:val="24"/>
        </w:rPr>
        <w:t xml:space="preserve">non-coincident peak. </w:t>
      </w:r>
      <w:r w:rsidR="00346CE8">
        <w:rPr>
          <w:rFonts w:ascii="Times New Roman" w:hAnsi="Times New Roman"/>
          <w:szCs w:val="24"/>
        </w:rPr>
        <w:t>(</w:t>
      </w:r>
      <w:r w:rsidR="00346CE8" w:rsidRPr="00DE1B16">
        <w:rPr>
          <w:rFonts w:ascii="Times New Roman" w:hAnsi="Times New Roman"/>
          <w:i/>
          <w:szCs w:val="24"/>
        </w:rPr>
        <w:t>Id</w:t>
      </w:r>
      <w:r w:rsidR="00346CE8">
        <w:rPr>
          <w:rFonts w:ascii="Times New Roman" w:hAnsi="Times New Roman"/>
          <w:szCs w:val="24"/>
        </w:rPr>
        <w:t xml:space="preserve">.) </w:t>
      </w:r>
      <w:r w:rsidR="00BB41C2">
        <w:rPr>
          <w:rFonts w:ascii="Times New Roman" w:hAnsi="Times New Roman"/>
          <w:szCs w:val="24"/>
        </w:rPr>
        <w:t>Us</w:t>
      </w:r>
      <w:r w:rsidR="00BB41C2" w:rsidRPr="00647182">
        <w:rPr>
          <w:rFonts w:ascii="Times New Roman" w:hAnsi="Times New Roman"/>
          <w:szCs w:val="24"/>
        </w:rPr>
        <w:t>ing the</w:t>
      </w:r>
      <w:r w:rsidR="00BB41C2">
        <w:rPr>
          <w:rFonts w:ascii="Times New Roman" w:hAnsi="Times New Roman"/>
          <w:szCs w:val="24"/>
        </w:rPr>
        <w:t xml:space="preserve"> Company’s</w:t>
      </w:r>
      <w:r w:rsidR="00BB41C2" w:rsidRPr="00647182">
        <w:rPr>
          <w:rFonts w:ascii="Times New Roman" w:hAnsi="Times New Roman"/>
          <w:szCs w:val="24"/>
        </w:rPr>
        <w:t xml:space="preserve"> existing time of use price signal keeps the rate simpler and easy to understand</w:t>
      </w:r>
      <w:r w:rsidR="00BB41C2">
        <w:rPr>
          <w:rFonts w:ascii="Times New Roman" w:hAnsi="Times New Roman"/>
          <w:szCs w:val="24"/>
        </w:rPr>
        <w:t xml:space="preserve"> and</w:t>
      </w:r>
      <w:r w:rsidR="00BB41C2" w:rsidRPr="00647182">
        <w:rPr>
          <w:rFonts w:ascii="Times New Roman" w:hAnsi="Times New Roman"/>
          <w:szCs w:val="24"/>
        </w:rPr>
        <w:t xml:space="preserve"> helps customers avoid extreme bill swings in summer months.</w:t>
      </w:r>
      <w:r w:rsidR="00B71434">
        <w:rPr>
          <w:rFonts w:ascii="Times New Roman" w:hAnsi="Times New Roman"/>
          <w:szCs w:val="24"/>
        </w:rPr>
        <w:t xml:space="preserve"> </w:t>
      </w:r>
      <w:r w:rsidR="00346CE8">
        <w:rPr>
          <w:rFonts w:ascii="Times New Roman" w:hAnsi="Times New Roman"/>
          <w:szCs w:val="24"/>
        </w:rPr>
        <w:t>(</w:t>
      </w:r>
      <w:r w:rsidR="00346CE8" w:rsidRPr="00DE1B16">
        <w:rPr>
          <w:rFonts w:ascii="Times New Roman" w:hAnsi="Times New Roman"/>
          <w:i/>
          <w:szCs w:val="24"/>
        </w:rPr>
        <w:t>Id</w:t>
      </w:r>
      <w:r w:rsidR="00346CE8">
        <w:rPr>
          <w:rFonts w:ascii="Times New Roman" w:hAnsi="Times New Roman"/>
          <w:szCs w:val="24"/>
        </w:rPr>
        <w:t>.)</w:t>
      </w:r>
    </w:p>
    <w:p w14:paraId="267FC704" w14:textId="01CC818F" w:rsidR="003C3F3D" w:rsidRDefault="006B5DA1" w:rsidP="006B5DA1">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t>Finally, the Commission should reject the</w:t>
      </w:r>
      <w:r w:rsidR="003C3F3D" w:rsidRPr="003C3F3D">
        <w:rPr>
          <w:rFonts w:ascii="Times New Roman" w:hAnsi="Times New Roman"/>
          <w:szCs w:val="24"/>
        </w:rPr>
        <w:t xml:space="preserve"> one-year bill guarantee </w:t>
      </w:r>
      <w:r>
        <w:rPr>
          <w:rFonts w:ascii="Times New Roman" w:hAnsi="Times New Roman"/>
          <w:szCs w:val="24"/>
        </w:rPr>
        <w:t>proposed</w:t>
      </w:r>
      <w:r w:rsidR="003C3F3D" w:rsidRPr="003C3F3D">
        <w:rPr>
          <w:rFonts w:ascii="Times New Roman" w:hAnsi="Times New Roman"/>
          <w:szCs w:val="24"/>
        </w:rPr>
        <w:t xml:space="preserve"> by GIPL/Southface/Vote Solar</w:t>
      </w:r>
      <w:r w:rsidR="003C3F3D">
        <w:rPr>
          <w:rFonts w:ascii="Times New Roman" w:hAnsi="Times New Roman"/>
          <w:szCs w:val="24"/>
        </w:rPr>
        <w:t xml:space="preserve"> when switching customers to more modern rates</w:t>
      </w:r>
      <w:r w:rsidR="003C3F3D" w:rsidRPr="003C3F3D">
        <w:rPr>
          <w:rFonts w:ascii="Times New Roman" w:hAnsi="Times New Roman"/>
          <w:szCs w:val="24"/>
        </w:rPr>
        <w:t xml:space="preserve">. </w:t>
      </w:r>
      <w:r>
        <w:rPr>
          <w:rFonts w:ascii="Times New Roman" w:hAnsi="Times New Roman"/>
          <w:szCs w:val="24"/>
        </w:rPr>
        <w:t xml:space="preserve">Such a guarantee </w:t>
      </w:r>
      <w:r w:rsidR="003C3F3D" w:rsidRPr="003C3F3D">
        <w:rPr>
          <w:rFonts w:ascii="Times New Roman" w:hAnsi="Times New Roman"/>
          <w:szCs w:val="24"/>
        </w:rPr>
        <w:t>would likely create revenue erosion which would put upward pressure on rates</w:t>
      </w:r>
      <w:r>
        <w:rPr>
          <w:rFonts w:ascii="Times New Roman" w:hAnsi="Times New Roman"/>
          <w:szCs w:val="24"/>
        </w:rPr>
        <w:t xml:space="preserve"> for all customers</w:t>
      </w:r>
      <w:r w:rsidR="003C3F3D" w:rsidRPr="003C3F3D">
        <w:rPr>
          <w:rFonts w:ascii="Times New Roman" w:hAnsi="Times New Roman"/>
          <w:szCs w:val="24"/>
        </w:rPr>
        <w:t xml:space="preserve">. </w:t>
      </w:r>
      <w:r w:rsidR="003C3F3D" w:rsidRPr="003C3F3D">
        <w:rPr>
          <w:rFonts w:ascii="Times New Roman" w:hAnsi="Times New Roman"/>
          <w:szCs w:val="24"/>
        </w:rPr>
        <w:lastRenderedPageBreak/>
        <w:t>In addition, it would put a significant administrative burden on the Company</w:t>
      </w:r>
      <w:r w:rsidR="006F6CB0">
        <w:rPr>
          <w:rFonts w:ascii="Times New Roman" w:hAnsi="Times New Roman"/>
          <w:szCs w:val="24"/>
        </w:rPr>
        <w:t>’</w:t>
      </w:r>
      <w:r w:rsidR="003C3F3D" w:rsidRPr="003C3F3D">
        <w:rPr>
          <w:rFonts w:ascii="Times New Roman" w:hAnsi="Times New Roman"/>
          <w:szCs w:val="24"/>
        </w:rPr>
        <w:t xml:space="preserve">s customer service organization and would require additional costs to support </w:t>
      </w:r>
      <w:r>
        <w:rPr>
          <w:rFonts w:ascii="Times New Roman" w:hAnsi="Times New Roman"/>
          <w:szCs w:val="24"/>
        </w:rPr>
        <w:t>the</w:t>
      </w:r>
      <w:r w:rsidR="003C3F3D" w:rsidRPr="003C3F3D">
        <w:rPr>
          <w:rFonts w:ascii="Times New Roman" w:hAnsi="Times New Roman"/>
          <w:szCs w:val="24"/>
        </w:rPr>
        <w:t xml:space="preserve"> level of tracking</w:t>
      </w:r>
      <w:r>
        <w:rPr>
          <w:rFonts w:ascii="Times New Roman" w:hAnsi="Times New Roman"/>
          <w:szCs w:val="24"/>
        </w:rPr>
        <w:t xml:space="preserve"> necessary to calculate a customer’s bill twice under the ‘new’ and ‘old’ rate</w:t>
      </w:r>
      <w:r w:rsidR="003C3F3D" w:rsidRPr="003C3F3D">
        <w:rPr>
          <w:rFonts w:ascii="Times New Roman" w:hAnsi="Times New Roman"/>
          <w:szCs w:val="24"/>
        </w:rPr>
        <w:t>. This, too, would create upward pressure on all rates. Finally, providing a guarantee to customers removes any and all incentive to pay attention to and respond to price signals. As a result, these guarantees may not produce the results or behaviors expected by customers on modern rates.</w:t>
      </w:r>
    </w:p>
    <w:p w14:paraId="5E03DD7E" w14:textId="2B1E9B8A" w:rsidR="00A322F8" w:rsidRPr="00A322F8" w:rsidRDefault="00A322F8" w:rsidP="00A322F8">
      <w:pPr>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59" w:name="_Hlk26112007"/>
      <w:r w:rsidRPr="00A322F8">
        <w:rPr>
          <w:rFonts w:ascii="Times New Roman" w:hAnsi="Times New Roman"/>
          <w:b/>
          <w:szCs w:val="24"/>
        </w:rPr>
        <w:t>I.</w:t>
      </w:r>
      <w:r w:rsidRPr="00A322F8">
        <w:rPr>
          <w:rFonts w:ascii="Times New Roman" w:hAnsi="Times New Roman"/>
          <w:b/>
          <w:szCs w:val="24"/>
        </w:rPr>
        <w:tab/>
      </w:r>
      <w:r w:rsidR="005E0FE6" w:rsidRPr="005E0FE6">
        <w:rPr>
          <w:rFonts w:ascii="Times New Roman" w:hAnsi="Times New Roman"/>
          <w:b/>
          <w:szCs w:val="24"/>
        </w:rPr>
        <w:t>The Company’s commercial rate design recommendations are in the best interest of customers, and the Commission should approve them</w:t>
      </w:r>
      <w:r w:rsidR="005E0FE6">
        <w:rPr>
          <w:rFonts w:ascii="Times New Roman" w:hAnsi="Times New Roman"/>
          <w:b/>
          <w:szCs w:val="24"/>
        </w:rPr>
        <w:t>.</w:t>
      </w:r>
    </w:p>
    <w:p w14:paraId="3C760BFD" w14:textId="4EA54F5D" w:rsidR="00A322F8" w:rsidRDefault="00A322F8" w:rsidP="00A322F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r w:rsidRPr="00A322F8">
        <w:rPr>
          <w:rFonts w:ascii="Times New Roman" w:hAnsi="Times New Roman"/>
          <w:szCs w:val="24"/>
        </w:rPr>
        <w:t>1.</w:t>
      </w:r>
      <w:r w:rsidRPr="00A322F8">
        <w:rPr>
          <w:rFonts w:ascii="Times New Roman" w:hAnsi="Times New Roman"/>
          <w:szCs w:val="24"/>
        </w:rPr>
        <w:tab/>
      </w:r>
      <w:r w:rsidRPr="004B6D89">
        <w:rPr>
          <w:rFonts w:ascii="Times New Roman" w:hAnsi="Times New Roman"/>
          <w:szCs w:val="24"/>
          <w:u w:val="single"/>
        </w:rPr>
        <w:t>Consolidating Customers on “Less Beneficial Tariffs” into rate classes with “More Beneficial tariffs” creates revenue erosion and cost shifting</w:t>
      </w:r>
      <w:r w:rsidRPr="00A322F8">
        <w:rPr>
          <w:rFonts w:ascii="Times New Roman" w:hAnsi="Times New Roman"/>
          <w:szCs w:val="24"/>
        </w:rPr>
        <w:t xml:space="preserve">. </w:t>
      </w:r>
    </w:p>
    <w:bookmarkEnd w:id="59"/>
    <w:p w14:paraId="3DAD16C4" w14:textId="7F3599B4" w:rsidR="005E12E9" w:rsidRPr="00A322F8" w:rsidRDefault="007C0753" w:rsidP="00137CBC">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BB41C2">
        <w:rPr>
          <w:rFonts w:ascii="Times New Roman" w:hAnsi="Times New Roman"/>
          <w:szCs w:val="24"/>
        </w:rPr>
        <w:t xml:space="preserve">The Commission should reject PIA Staff and </w:t>
      </w:r>
      <w:r w:rsidR="004E3254">
        <w:rPr>
          <w:rFonts w:ascii="Times New Roman" w:hAnsi="Times New Roman"/>
          <w:szCs w:val="24"/>
        </w:rPr>
        <w:t>Intervenor</w:t>
      </w:r>
      <w:r w:rsidR="00BB41C2">
        <w:rPr>
          <w:rFonts w:ascii="Times New Roman" w:hAnsi="Times New Roman"/>
          <w:szCs w:val="24"/>
        </w:rPr>
        <w:t xml:space="preserve"> recommendations to</w:t>
      </w:r>
      <w:r w:rsidR="004E3254">
        <w:rPr>
          <w:rFonts w:ascii="Times New Roman" w:hAnsi="Times New Roman"/>
          <w:szCs w:val="24"/>
        </w:rPr>
        <w:t xml:space="preserve"> move</w:t>
      </w:r>
      <w:r w:rsidR="00BB41C2" w:rsidRPr="00FC7558">
        <w:rPr>
          <w:rFonts w:ascii="Times New Roman" w:hAnsi="Times New Roman"/>
          <w:szCs w:val="24"/>
        </w:rPr>
        <w:t xml:space="preserve"> customers to more optimal rates</w:t>
      </w:r>
      <w:r w:rsidR="004E3254">
        <w:rPr>
          <w:rFonts w:ascii="Times New Roman" w:hAnsi="Times New Roman"/>
          <w:szCs w:val="24"/>
        </w:rPr>
        <w:t xml:space="preserve"> or</w:t>
      </w:r>
      <w:r w:rsidR="00BB41C2" w:rsidRPr="00FC7558">
        <w:rPr>
          <w:rFonts w:ascii="Times New Roman" w:hAnsi="Times New Roman"/>
          <w:szCs w:val="24"/>
        </w:rPr>
        <w:t xml:space="preserve"> to </w:t>
      </w:r>
      <w:r w:rsidR="004E3254" w:rsidRPr="00FC7558">
        <w:rPr>
          <w:rFonts w:ascii="Times New Roman" w:hAnsi="Times New Roman"/>
          <w:szCs w:val="24"/>
        </w:rPr>
        <w:t xml:space="preserve">limit rate choices </w:t>
      </w:r>
      <w:r w:rsidR="004E3254">
        <w:rPr>
          <w:rFonts w:ascii="Times New Roman" w:hAnsi="Times New Roman"/>
          <w:szCs w:val="24"/>
        </w:rPr>
        <w:t xml:space="preserve">by </w:t>
      </w:r>
      <w:r w:rsidR="00BB41C2" w:rsidRPr="00FC7558">
        <w:rPr>
          <w:rFonts w:ascii="Times New Roman" w:hAnsi="Times New Roman"/>
          <w:szCs w:val="24"/>
        </w:rPr>
        <w:t>consolidat</w:t>
      </w:r>
      <w:r w:rsidR="004E3254">
        <w:rPr>
          <w:rFonts w:ascii="Times New Roman" w:hAnsi="Times New Roman"/>
          <w:szCs w:val="24"/>
        </w:rPr>
        <w:t>ing</w:t>
      </w:r>
      <w:r w:rsidR="00BB41C2" w:rsidRPr="00FC7558">
        <w:rPr>
          <w:rFonts w:ascii="Times New Roman" w:hAnsi="Times New Roman"/>
          <w:szCs w:val="24"/>
        </w:rPr>
        <w:t xml:space="preserve"> customers onto fewer tariffs</w:t>
      </w:r>
      <w:r w:rsidR="004E3254">
        <w:rPr>
          <w:rFonts w:ascii="Times New Roman" w:hAnsi="Times New Roman"/>
          <w:szCs w:val="24"/>
        </w:rPr>
        <w:t xml:space="preserve"> in violation of Commission rules.</w:t>
      </w:r>
      <w:r w:rsidR="00BB41C2" w:rsidRPr="00FC7558">
        <w:rPr>
          <w:rFonts w:ascii="Times New Roman" w:hAnsi="Times New Roman"/>
          <w:szCs w:val="24"/>
        </w:rPr>
        <w:t xml:space="preserve"> </w:t>
      </w:r>
      <w:r w:rsidR="005E12E9" w:rsidRPr="005E12E9">
        <w:rPr>
          <w:rFonts w:ascii="Times New Roman" w:hAnsi="Times New Roman"/>
          <w:szCs w:val="24"/>
        </w:rPr>
        <w:t>If the Company were to consolidate customers onto fewer tariffs, not collecting costs previously captured from customers under their prior tariffs would create substantial revenue erosion</w:t>
      </w:r>
      <w:r w:rsidR="001C5985">
        <w:rPr>
          <w:rFonts w:ascii="Times New Roman" w:hAnsi="Times New Roman"/>
          <w:szCs w:val="24"/>
        </w:rPr>
        <w:t xml:space="preserve"> that</w:t>
      </w:r>
      <w:r w:rsidR="005E12E9" w:rsidRPr="005E12E9">
        <w:rPr>
          <w:rFonts w:ascii="Times New Roman" w:hAnsi="Times New Roman"/>
          <w:szCs w:val="24"/>
        </w:rPr>
        <w:t xml:space="preserve"> </w:t>
      </w:r>
      <w:r w:rsidR="004E3254">
        <w:rPr>
          <w:rFonts w:ascii="Times New Roman" w:hAnsi="Times New Roman"/>
          <w:szCs w:val="24"/>
        </w:rPr>
        <w:t>would result</w:t>
      </w:r>
      <w:r w:rsidR="001C5985">
        <w:rPr>
          <w:rFonts w:ascii="Times New Roman" w:hAnsi="Times New Roman"/>
          <w:szCs w:val="24"/>
        </w:rPr>
        <w:t xml:space="preserve"> in</w:t>
      </w:r>
      <w:r w:rsidR="004E3254">
        <w:rPr>
          <w:rFonts w:ascii="Times New Roman" w:hAnsi="Times New Roman"/>
          <w:szCs w:val="24"/>
        </w:rPr>
        <w:t xml:space="preserve"> </w:t>
      </w:r>
      <w:r w:rsidR="005E12E9" w:rsidRPr="005E12E9">
        <w:rPr>
          <w:rFonts w:ascii="Times New Roman" w:hAnsi="Times New Roman"/>
          <w:szCs w:val="24"/>
        </w:rPr>
        <w:t xml:space="preserve">cost shifting among customers. </w:t>
      </w:r>
      <w:r w:rsidR="00B71434">
        <w:rPr>
          <w:rFonts w:ascii="Times New Roman" w:hAnsi="Times New Roman"/>
          <w:szCs w:val="24"/>
        </w:rPr>
        <w:t>(</w:t>
      </w:r>
      <w:r w:rsidR="00346CE8">
        <w:rPr>
          <w:rFonts w:ascii="Times New Roman" w:hAnsi="Times New Roman"/>
          <w:szCs w:val="24"/>
        </w:rPr>
        <w:t>Tr. 2896</w:t>
      </w:r>
      <w:r w:rsidR="00B71434">
        <w:rPr>
          <w:rFonts w:ascii="Times New Roman" w:hAnsi="Times New Roman"/>
          <w:szCs w:val="24"/>
        </w:rPr>
        <w:t xml:space="preserve">.) </w:t>
      </w:r>
      <w:r w:rsidR="005E12E9" w:rsidRPr="005E12E9">
        <w:rPr>
          <w:rFonts w:ascii="Times New Roman" w:hAnsi="Times New Roman"/>
          <w:szCs w:val="24"/>
        </w:rPr>
        <w:t xml:space="preserve">Additionally, in consolidating customers onto other tariffs, the Company would be violating Georgia Power’s Rules and Regulations for Electric Service that prevent the Company from selecting a rate for a customer. </w:t>
      </w:r>
      <w:r w:rsidR="00346CE8">
        <w:rPr>
          <w:rFonts w:ascii="Times New Roman" w:hAnsi="Times New Roman"/>
          <w:i/>
          <w:szCs w:val="24"/>
        </w:rPr>
        <w:t xml:space="preserve">Georgia Power Company Rules and Regulations for Electric </w:t>
      </w:r>
      <w:r w:rsidR="00346CE8" w:rsidRPr="00346CE8">
        <w:rPr>
          <w:rFonts w:ascii="Times New Roman" w:hAnsi="Times New Roman"/>
          <w:i/>
          <w:szCs w:val="24"/>
        </w:rPr>
        <w:t>Service</w:t>
      </w:r>
      <w:r w:rsidR="00346CE8">
        <w:rPr>
          <w:rFonts w:ascii="Times New Roman" w:hAnsi="Times New Roman"/>
          <w:szCs w:val="24"/>
        </w:rPr>
        <w:t xml:space="preserve">, Section A(2) and (3). </w:t>
      </w:r>
      <w:r w:rsidR="005E12E9" w:rsidRPr="00346CE8">
        <w:rPr>
          <w:rFonts w:ascii="Times New Roman" w:hAnsi="Times New Roman"/>
          <w:szCs w:val="24"/>
        </w:rPr>
        <w:t>This</w:t>
      </w:r>
      <w:r w:rsidR="005E12E9" w:rsidRPr="005E12E9">
        <w:rPr>
          <w:rFonts w:ascii="Times New Roman" w:hAnsi="Times New Roman"/>
          <w:szCs w:val="24"/>
        </w:rPr>
        <w:t xml:space="preserve"> would also presume that customers choose a rate based solely on economics, ignoring all other factors, such as price risk</w:t>
      </w:r>
      <w:r w:rsidR="001C5985">
        <w:rPr>
          <w:rFonts w:ascii="Times New Roman" w:hAnsi="Times New Roman"/>
          <w:szCs w:val="24"/>
        </w:rPr>
        <w:t xml:space="preserve"> and</w:t>
      </w:r>
      <w:r w:rsidR="005E12E9" w:rsidRPr="005E12E9">
        <w:rPr>
          <w:rFonts w:ascii="Times New Roman" w:hAnsi="Times New Roman"/>
          <w:szCs w:val="24"/>
        </w:rPr>
        <w:t xml:space="preserve"> bill stability. The Company’s experience has been that</w:t>
      </w:r>
      <w:r w:rsidR="001C5985">
        <w:rPr>
          <w:rFonts w:ascii="Times New Roman" w:hAnsi="Times New Roman"/>
          <w:szCs w:val="24"/>
        </w:rPr>
        <w:t xml:space="preserve"> customers consider</w:t>
      </w:r>
      <w:r w:rsidR="005E12E9" w:rsidRPr="005E12E9">
        <w:rPr>
          <w:rFonts w:ascii="Times New Roman" w:hAnsi="Times New Roman"/>
          <w:szCs w:val="24"/>
        </w:rPr>
        <w:t xml:space="preserve"> many factor</w:t>
      </w:r>
      <w:r w:rsidR="001C5985">
        <w:rPr>
          <w:rFonts w:ascii="Times New Roman" w:hAnsi="Times New Roman"/>
          <w:szCs w:val="24"/>
        </w:rPr>
        <w:t>s</w:t>
      </w:r>
      <w:r w:rsidR="005E12E9" w:rsidRPr="005E12E9">
        <w:rPr>
          <w:rFonts w:ascii="Times New Roman" w:hAnsi="Times New Roman"/>
          <w:szCs w:val="24"/>
        </w:rPr>
        <w:t xml:space="preserve"> </w:t>
      </w:r>
      <w:r w:rsidR="001C5985">
        <w:rPr>
          <w:rFonts w:ascii="Times New Roman" w:hAnsi="Times New Roman"/>
          <w:szCs w:val="24"/>
        </w:rPr>
        <w:t>when choosing</w:t>
      </w:r>
      <w:r w:rsidR="005E12E9" w:rsidRPr="005E12E9">
        <w:rPr>
          <w:rFonts w:ascii="Times New Roman" w:hAnsi="Times New Roman"/>
          <w:szCs w:val="24"/>
        </w:rPr>
        <w:t xml:space="preserve"> rates</w:t>
      </w:r>
      <w:r w:rsidR="001C5985">
        <w:rPr>
          <w:rFonts w:ascii="Times New Roman" w:hAnsi="Times New Roman"/>
          <w:szCs w:val="24"/>
        </w:rPr>
        <w:t>, and Georgia Power should not substitute its judgement for that of its customers</w:t>
      </w:r>
      <w:r w:rsidR="005E12E9" w:rsidRPr="005E12E9">
        <w:rPr>
          <w:rFonts w:ascii="Times New Roman" w:hAnsi="Times New Roman"/>
          <w:szCs w:val="24"/>
        </w:rPr>
        <w:t>. Finally, taken to its logical conclusion</w:t>
      </w:r>
      <w:r w:rsidR="00D47D8E">
        <w:rPr>
          <w:rFonts w:ascii="Times New Roman" w:hAnsi="Times New Roman"/>
          <w:szCs w:val="24"/>
        </w:rPr>
        <w:t>,</w:t>
      </w:r>
      <w:r w:rsidR="005E12E9" w:rsidRPr="005E12E9">
        <w:rPr>
          <w:rFonts w:ascii="Times New Roman" w:hAnsi="Times New Roman"/>
          <w:szCs w:val="24"/>
        </w:rPr>
        <w:t xml:space="preserve"> as customers are continually consolidated to fewer rates, each customer class would </w:t>
      </w:r>
      <w:r w:rsidR="005E12E9" w:rsidRPr="005E12E9">
        <w:rPr>
          <w:rFonts w:ascii="Times New Roman" w:hAnsi="Times New Roman"/>
          <w:szCs w:val="24"/>
        </w:rPr>
        <w:lastRenderedPageBreak/>
        <w:t xml:space="preserve">ultimately end up with fewer rate choices, which is contrary to PIA Staff’s stated objective of ensuring customers are empowered to select their own rates </w:t>
      </w:r>
      <w:r w:rsidR="004E3254">
        <w:rPr>
          <w:rFonts w:ascii="Times New Roman" w:hAnsi="Times New Roman"/>
          <w:szCs w:val="24"/>
        </w:rPr>
        <w:t>among</w:t>
      </w:r>
      <w:r w:rsidR="005E12E9" w:rsidRPr="005E12E9">
        <w:rPr>
          <w:rFonts w:ascii="Times New Roman" w:hAnsi="Times New Roman"/>
          <w:szCs w:val="24"/>
        </w:rPr>
        <w:t xml:space="preserve"> sufficient option</w:t>
      </w:r>
      <w:r w:rsidR="004E3254">
        <w:rPr>
          <w:rFonts w:ascii="Times New Roman" w:hAnsi="Times New Roman"/>
          <w:szCs w:val="24"/>
        </w:rPr>
        <w:t>s</w:t>
      </w:r>
      <w:r w:rsidR="005E12E9" w:rsidRPr="005E12E9">
        <w:rPr>
          <w:rFonts w:ascii="Times New Roman" w:hAnsi="Times New Roman"/>
          <w:szCs w:val="24"/>
        </w:rPr>
        <w:t>.</w:t>
      </w:r>
    </w:p>
    <w:p w14:paraId="17B6BB7C" w14:textId="51B96901" w:rsidR="00A322F8" w:rsidRDefault="00A322F8" w:rsidP="00DF30B7">
      <w:pPr>
        <w:keepNext/>
        <w:widowControl/>
        <w:tabs>
          <w:tab w:val="left" w:pos="720"/>
        </w:tabs>
        <w:overflowPunct/>
        <w:autoSpaceDE/>
        <w:autoSpaceDN/>
        <w:adjustRightInd/>
        <w:spacing w:after="240"/>
        <w:ind w:left="2160" w:hanging="720"/>
        <w:jc w:val="both"/>
        <w:textAlignment w:val="auto"/>
        <w:rPr>
          <w:rFonts w:ascii="Times New Roman" w:hAnsi="Times New Roman"/>
          <w:i/>
          <w:iCs/>
          <w:szCs w:val="24"/>
        </w:rPr>
      </w:pPr>
      <w:bookmarkStart w:id="60" w:name="_Hlk26112030"/>
      <w:r w:rsidRPr="00A322F8">
        <w:rPr>
          <w:rFonts w:ascii="Times New Roman" w:hAnsi="Times New Roman"/>
          <w:i/>
          <w:iCs/>
          <w:szCs w:val="24"/>
        </w:rPr>
        <w:t>a.</w:t>
      </w:r>
      <w:r w:rsidRPr="00A322F8">
        <w:rPr>
          <w:rFonts w:ascii="Times New Roman" w:hAnsi="Times New Roman"/>
          <w:i/>
          <w:iCs/>
          <w:szCs w:val="24"/>
        </w:rPr>
        <w:tab/>
      </w:r>
      <w:r w:rsidR="00574F1C">
        <w:rPr>
          <w:rFonts w:ascii="Times New Roman" w:hAnsi="Times New Roman"/>
          <w:i/>
          <w:iCs/>
          <w:szCs w:val="24"/>
        </w:rPr>
        <w:t>The Company’s Time of Use – Medium Business (“</w:t>
      </w:r>
      <w:r w:rsidRPr="00A322F8">
        <w:rPr>
          <w:rFonts w:ascii="Times New Roman" w:hAnsi="Times New Roman"/>
          <w:i/>
          <w:iCs/>
          <w:szCs w:val="24"/>
        </w:rPr>
        <w:t>TOU-MB</w:t>
      </w:r>
      <w:r w:rsidR="00574F1C">
        <w:rPr>
          <w:rFonts w:ascii="Times New Roman" w:hAnsi="Times New Roman"/>
          <w:i/>
          <w:iCs/>
          <w:szCs w:val="24"/>
        </w:rPr>
        <w:t>”)</w:t>
      </w:r>
      <w:r w:rsidR="007D705A">
        <w:rPr>
          <w:rFonts w:ascii="Times New Roman" w:hAnsi="Times New Roman"/>
          <w:i/>
          <w:iCs/>
          <w:szCs w:val="24"/>
        </w:rPr>
        <w:t xml:space="preserve"> tariff</w:t>
      </w:r>
      <w:r w:rsidRPr="00A322F8">
        <w:rPr>
          <w:rFonts w:ascii="Times New Roman" w:hAnsi="Times New Roman"/>
          <w:i/>
          <w:iCs/>
          <w:szCs w:val="24"/>
        </w:rPr>
        <w:t xml:space="preserve"> was designed to meet the needs of a specific class of customers and is not inequitable.</w:t>
      </w:r>
    </w:p>
    <w:bookmarkEnd w:id="60"/>
    <w:p w14:paraId="278FAEF1" w14:textId="007901DD" w:rsidR="00E751D3" w:rsidRDefault="00301BEE" w:rsidP="006A6778">
      <w:pPr>
        <w:keepNext/>
        <w:widowControl/>
        <w:tabs>
          <w:tab w:val="left" w:pos="720"/>
        </w:tabs>
        <w:overflowPunct/>
        <w:autoSpaceDE/>
        <w:autoSpaceDN/>
        <w:adjustRightInd/>
        <w:spacing w:before="240" w:line="480" w:lineRule="auto"/>
        <w:jc w:val="both"/>
        <w:textAlignment w:val="auto"/>
        <w:rPr>
          <w:rFonts w:ascii="Times New Roman" w:hAnsi="Times New Roman"/>
          <w:iCs/>
          <w:szCs w:val="24"/>
        </w:rPr>
      </w:pPr>
      <w:r>
        <w:rPr>
          <w:rFonts w:ascii="Times New Roman" w:hAnsi="Times New Roman"/>
          <w:iCs/>
          <w:szCs w:val="24"/>
        </w:rPr>
        <w:tab/>
      </w:r>
      <w:r w:rsidR="005E12E9" w:rsidRPr="005E12E9">
        <w:rPr>
          <w:rFonts w:ascii="Times New Roman" w:hAnsi="Times New Roman"/>
          <w:iCs/>
          <w:szCs w:val="24"/>
        </w:rPr>
        <w:t>PIA Staff and GRA</w:t>
      </w:r>
      <w:r w:rsidR="001C5985">
        <w:rPr>
          <w:rFonts w:ascii="Times New Roman" w:hAnsi="Times New Roman"/>
          <w:iCs/>
          <w:szCs w:val="24"/>
        </w:rPr>
        <w:t xml:space="preserve"> assert that</w:t>
      </w:r>
      <w:r w:rsidR="005E12E9" w:rsidRPr="005E12E9">
        <w:rPr>
          <w:rFonts w:ascii="Times New Roman" w:hAnsi="Times New Roman"/>
          <w:iCs/>
          <w:szCs w:val="24"/>
        </w:rPr>
        <w:t xml:space="preserve"> the</w:t>
      </w:r>
      <w:r w:rsidR="00574F1C">
        <w:rPr>
          <w:rFonts w:ascii="Times New Roman" w:hAnsi="Times New Roman"/>
          <w:iCs/>
          <w:szCs w:val="24"/>
        </w:rPr>
        <w:t xml:space="preserve"> TOU-MB</w:t>
      </w:r>
      <w:r w:rsidR="005E12E9" w:rsidRPr="005E12E9">
        <w:rPr>
          <w:rFonts w:ascii="Times New Roman" w:hAnsi="Times New Roman"/>
          <w:iCs/>
          <w:szCs w:val="24"/>
        </w:rPr>
        <w:t xml:space="preserve"> rate</w:t>
      </w:r>
      <w:r w:rsidR="001C5985">
        <w:rPr>
          <w:rFonts w:ascii="Times New Roman" w:hAnsi="Times New Roman"/>
          <w:iCs/>
          <w:szCs w:val="24"/>
        </w:rPr>
        <w:t xml:space="preserve"> only being</w:t>
      </w:r>
      <w:r w:rsidR="005E12E9" w:rsidRPr="005E12E9">
        <w:rPr>
          <w:rFonts w:ascii="Times New Roman" w:hAnsi="Times New Roman"/>
          <w:iCs/>
          <w:szCs w:val="24"/>
        </w:rPr>
        <w:t xml:space="preserve"> available </w:t>
      </w:r>
      <w:r w:rsidR="00574F1C" w:rsidRPr="005E12E9">
        <w:rPr>
          <w:rFonts w:ascii="Times New Roman" w:hAnsi="Times New Roman"/>
          <w:iCs/>
          <w:szCs w:val="24"/>
        </w:rPr>
        <w:t>to franchise-run and owned restaurants, but not individually-owned franchise label or non-franchise restaurants</w:t>
      </w:r>
      <w:r w:rsidR="001C5985">
        <w:rPr>
          <w:rFonts w:ascii="Times New Roman" w:hAnsi="Times New Roman"/>
          <w:iCs/>
          <w:szCs w:val="24"/>
        </w:rPr>
        <w:t>,</w:t>
      </w:r>
      <w:r w:rsidR="00574F1C" w:rsidRPr="005E12E9">
        <w:rPr>
          <w:rFonts w:ascii="Times New Roman" w:hAnsi="Times New Roman"/>
          <w:iCs/>
          <w:szCs w:val="24"/>
        </w:rPr>
        <w:t xml:space="preserve"> </w:t>
      </w:r>
      <w:r w:rsidR="005E12E9" w:rsidRPr="005E12E9">
        <w:rPr>
          <w:rFonts w:ascii="Times New Roman" w:hAnsi="Times New Roman"/>
          <w:iCs/>
          <w:szCs w:val="24"/>
        </w:rPr>
        <w:t>results in an inequity.</w:t>
      </w:r>
      <w:r w:rsidR="005E12E9">
        <w:rPr>
          <w:rFonts w:ascii="Times New Roman" w:hAnsi="Times New Roman"/>
          <w:iCs/>
          <w:szCs w:val="24"/>
        </w:rPr>
        <w:t xml:space="preserve"> </w:t>
      </w:r>
      <w:r w:rsidR="00A731FC">
        <w:rPr>
          <w:rFonts w:ascii="Times New Roman" w:hAnsi="Times New Roman"/>
          <w:szCs w:val="24"/>
        </w:rPr>
        <w:t>(</w:t>
      </w:r>
      <w:r w:rsidR="00346CE8">
        <w:rPr>
          <w:rFonts w:ascii="Times New Roman" w:hAnsi="Times New Roman"/>
          <w:i/>
          <w:szCs w:val="24"/>
        </w:rPr>
        <w:t xml:space="preserve">See </w:t>
      </w:r>
      <w:r w:rsidR="00346CE8">
        <w:rPr>
          <w:rFonts w:ascii="Times New Roman" w:hAnsi="Times New Roman"/>
          <w:szCs w:val="24"/>
        </w:rPr>
        <w:t>Tr. 1700-01</w:t>
      </w:r>
      <w:r w:rsidR="00D47D8E">
        <w:rPr>
          <w:rFonts w:ascii="Times New Roman" w:hAnsi="Times New Roman"/>
          <w:szCs w:val="24"/>
        </w:rPr>
        <w:t xml:space="preserve">; </w:t>
      </w:r>
      <w:r w:rsidR="002D71DA">
        <w:rPr>
          <w:rFonts w:ascii="Times New Roman" w:hAnsi="Times New Roman"/>
          <w:szCs w:val="24"/>
        </w:rPr>
        <w:t xml:space="preserve">2198-99, </w:t>
      </w:r>
      <w:r w:rsidR="00D47D8E">
        <w:rPr>
          <w:rFonts w:ascii="Times New Roman" w:hAnsi="Times New Roman"/>
          <w:szCs w:val="24"/>
        </w:rPr>
        <w:t>2201</w:t>
      </w:r>
      <w:r w:rsidR="00A731FC">
        <w:rPr>
          <w:rFonts w:ascii="Times New Roman" w:hAnsi="Times New Roman"/>
          <w:szCs w:val="24"/>
        </w:rPr>
        <w:t xml:space="preserve">.) </w:t>
      </w:r>
      <w:r w:rsidR="005E12E9" w:rsidRPr="005E12E9">
        <w:rPr>
          <w:rFonts w:ascii="Times New Roman" w:hAnsi="Times New Roman"/>
          <w:iCs/>
          <w:szCs w:val="24"/>
        </w:rPr>
        <w:t>As approved by the Commission, each of the Company’s tariffs include eligibility language outlining the requirements for a customer to be qualified for, switch to, add, or participate in a Company</w:t>
      </w:r>
      <w:r w:rsidR="001C5985">
        <w:rPr>
          <w:rFonts w:ascii="Times New Roman" w:hAnsi="Times New Roman"/>
          <w:iCs/>
          <w:szCs w:val="24"/>
        </w:rPr>
        <w:t>-</w:t>
      </w:r>
      <w:r w:rsidR="005E12E9" w:rsidRPr="005E12E9">
        <w:rPr>
          <w:rFonts w:ascii="Times New Roman" w:hAnsi="Times New Roman"/>
          <w:iCs/>
          <w:szCs w:val="24"/>
        </w:rPr>
        <w:t xml:space="preserve">tariffed program. </w:t>
      </w:r>
      <w:r w:rsidR="00A731FC">
        <w:rPr>
          <w:rFonts w:ascii="Times New Roman" w:hAnsi="Times New Roman"/>
          <w:szCs w:val="24"/>
        </w:rPr>
        <w:t>(</w:t>
      </w:r>
      <w:r w:rsidR="00346CE8">
        <w:rPr>
          <w:rFonts w:ascii="Times New Roman" w:hAnsi="Times New Roman"/>
          <w:szCs w:val="24"/>
        </w:rPr>
        <w:t>Tr. 2895</w:t>
      </w:r>
      <w:r w:rsidR="00A731FC">
        <w:rPr>
          <w:rFonts w:ascii="Times New Roman" w:hAnsi="Times New Roman"/>
          <w:szCs w:val="24"/>
        </w:rPr>
        <w:t xml:space="preserve">.) </w:t>
      </w:r>
      <w:r w:rsidR="005E12E9" w:rsidRPr="005E12E9">
        <w:rPr>
          <w:rFonts w:ascii="Times New Roman" w:hAnsi="Times New Roman"/>
          <w:iCs/>
          <w:szCs w:val="24"/>
        </w:rPr>
        <w:t>The TOU-MB rate is no different, and its eligibility requirements were made clear when the tariff was modified and approved in the 201</w:t>
      </w:r>
      <w:r w:rsidR="007D705A">
        <w:rPr>
          <w:rFonts w:ascii="Times New Roman" w:hAnsi="Times New Roman"/>
          <w:iCs/>
          <w:szCs w:val="24"/>
        </w:rPr>
        <w:t>0</w:t>
      </w:r>
      <w:r w:rsidR="005E12E9" w:rsidRPr="005E12E9">
        <w:rPr>
          <w:rFonts w:ascii="Times New Roman" w:hAnsi="Times New Roman"/>
          <w:iCs/>
          <w:szCs w:val="24"/>
        </w:rPr>
        <w:t xml:space="preserve"> </w:t>
      </w:r>
      <w:r w:rsidR="007D705A">
        <w:rPr>
          <w:rFonts w:ascii="Times New Roman" w:hAnsi="Times New Roman"/>
          <w:iCs/>
          <w:szCs w:val="24"/>
        </w:rPr>
        <w:t>r</w:t>
      </w:r>
      <w:r w:rsidR="005E12E9" w:rsidRPr="005E12E9">
        <w:rPr>
          <w:rFonts w:ascii="Times New Roman" w:hAnsi="Times New Roman"/>
          <w:iCs/>
          <w:szCs w:val="24"/>
        </w:rPr>
        <w:t xml:space="preserve">ate </w:t>
      </w:r>
      <w:r w:rsidR="007D705A">
        <w:rPr>
          <w:rFonts w:ascii="Times New Roman" w:hAnsi="Times New Roman"/>
          <w:iCs/>
          <w:szCs w:val="24"/>
        </w:rPr>
        <w:t>c</w:t>
      </w:r>
      <w:r w:rsidR="005E12E9" w:rsidRPr="005E12E9">
        <w:rPr>
          <w:rFonts w:ascii="Times New Roman" w:hAnsi="Times New Roman"/>
          <w:iCs/>
          <w:szCs w:val="24"/>
        </w:rPr>
        <w:t>ase.</w:t>
      </w:r>
      <w:r w:rsidR="00574F1C">
        <w:rPr>
          <w:rFonts w:ascii="Times New Roman" w:hAnsi="Times New Roman"/>
          <w:iCs/>
          <w:szCs w:val="24"/>
        </w:rPr>
        <w:t xml:space="preserve"> </w:t>
      </w:r>
      <w:r>
        <w:rPr>
          <w:rFonts w:ascii="Times New Roman" w:hAnsi="Times New Roman"/>
          <w:iCs/>
          <w:szCs w:val="24"/>
        </w:rPr>
        <w:t>The fact that a customer is not eligible for a particular rate does not mean that an inequity exists – all customers are not eligible for every Georgia Power rate. The Commission should not read into the TOU-MB tariff an inequity that does not exist.</w:t>
      </w:r>
      <w:r w:rsidR="00E751D3">
        <w:rPr>
          <w:rFonts w:ascii="Times New Roman" w:hAnsi="Times New Roman"/>
          <w:iCs/>
          <w:szCs w:val="24"/>
        </w:rPr>
        <w:t xml:space="preserve"> As a result, the Commission does not need to take action regarding the TOU-MB rate.</w:t>
      </w:r>
    </w:p>
    <w:p w14:paraId="58433DF7" w14:textId="088754E3" w:rsidR="00A322F8" w:rsidRDefault="00A322F8" w:rsidP="006A6778">
      <w:pPr>
        <w:keepNext/>
        <w:widowControl/>
        <w:tabs>
          <w:tab w:val="left" w:pos="720"/>
        </w:tabs>
        <w:overflowPunct/>
        <w:autoSpaceDE/>
        <w:autoSpaceDN/>
        <w:adjustRightInd/>
        <w:spacing w:before="240" w:after="240"/>
        <w:ind w:left="2160" w:hanging="720"/>
        <w:jc w:val="both"/>
        <w:textAlignment w:val="auto"/>
        <w:rPr>
          <w:rFonts w:ascii="Times New Roman" w:hAnsi="Times New Roman"/>
          <w:i/>
          <w:iCs/>
          <w:szCs w:val="24"/>
        </w:rPr>
      </w:pPr>
      <w:bookmarkStart w:id="61" w:name="_Hlk26112044"/>
      <w:r w:rsidRPr="00A322F8">
        <w:rPr>
          <w:rFonts w:ascii="Times New Roman" w:hAnsi="Times New Roman"/>
          <w:i/>
          <w:iCs/>
          <w:szCs w:val="24"/>
        </w:rPr>
        <w:t>b.</w:t>
      </w:r>
      <w:r w:rsidRPr="00A322F8">
        <w:rPr>
          <w:rFonts w:ascii="Times New Roman" w:hAnsi="Times New Roman"/>
          <w:i/>
          <w:iCs/>
          <w:szCs w:val="24"/>
        </w:rPr>
        <w:tab/>
        <w:t>Expansion of TOU-MB would cause revenue erosion and cost shifting to other customers.</w:t>
      </w:r>
    </w:p>
    <w:bookmarkEnd w:id="61"/>
    <w:p w14:paraId="6B9F5734" w14:textId="3D2224E0" w:rsidR="005E12E9" w:rsidRDefault="00CD30B8" w:rsidP="00137CBC">
      <w:pPr>
        <w:keepNext/>
        <w:widowControl/>
        <w:tabs>
          <w:tab w:val="left" w:pos="720"/>
        </w:tabs>
        <w:overflowPunct/>
        <w:autoSpaceDE/>
        <w:autoSpaceDN/>
        <w:adjustRightInd/>
        <w:spacing w:before="240" w:after="240" w:line="480" w:lineRule="auto"/>
        <w:jc w:val="both"/>
        <w:textAlignment w:val="auto"/>
        <w:rPr>
          <w:rFonts w:ascii="Times New Roman" w:hAnsi="Times New Roman"/>
          <w:iCs/>
          <w:szCs w:val="24"/>
        </w:rPr>
      </w:pPr>
      <w:r>
        <w:rPr>
          <w:rFonts w:ascii="Times New Roman" w:hAnsi="Times New Roman"/>
          <w:iCs/>
          <w:szCs w:val="24"/>
        </w:rPr>
        <w:tab/>
      </w:r>
      <w:r w:rsidR="00E751D3">
        <w:rPr>
          <w:rFonts w:ascii="Times New Roman" w:hAnsi="Times New Roman"/>
          <w:iCs/>
          <w:szCs w:val="24"/>
        </w:rPr>
        <w:t xml:space="preserve">The Commission should reject GRA’s request to expand the TOU-MB rate. </w:t>
      </w:r>
      <w:r w:rsidR="005E12E9" w:rsidRPr="005E12E9">
        <w:rPr>
          <w:rFonts w:ascii="Times New Roman" w:hAnsi="Times New Roman"/>
          <w:iCs/>
          <w:szCs w:val="24"/>
        </w:rPr>
        <w:t xml:space="preserve">The TOU-MB rate was redesigned with a super off-peak period to help customers who use a significant amount of off-peak energy to take advantage of that pricing. </w:t>
      </w:r>
      <w:r w:rsidR="00A731FC">
        <w:rPr>
          <w:rFonts w:ascii="Times New Roman" w:hAnsi="Times New Roman"/>
          <w:szCs w:val="24"/>
        </w:rPr>
        <w:t>(</w:t>
      </w:r>
      <w:r w:rsidR="00124665">
        <w:rPr>
          <w:rFonts w:ascii="Times New Roman" w:hAnsi="Times New Roman"/>
          <w:szCs w:val="24"/>
        </w:rPr>
        <w:t>Tr. 2895</w:t>
      </w:r>
      <w:r w:rsidR="00A731FC">
        <w:rPr>
          <w:rFonts w:ascii="Times New Roman" w:hAnsi="Times New Roman"/>
          <w:szCs w:val="24"/>
        </w:rPr>
        <w:t xml:space="preserve">.) </w:t>
      </w:r>
      <w:r w:rsidR="005E12E9" w:rsidRPr="005E12E9">
        <w:rPr>
          <w:rFonts w:ascii="Times New Roman" w:hAnsi="Times New Roman"/>
          <w:iCs/>
          <w:szCs w:val="24"/>
        </w:rPr>
        <w:t>PIA Staff and GRA have not adequately demonstrated that all restaurants have similar load shapes</w:t>
      </w:r>
      <w:r>
        <w:rPr>
          <w:rFonts w:ascii="Times New Roman" w:hAnsi="Times New Roman"/>
          <w:iCs/>
          <w:szCs w:val="24"/>
        </w:rPr>
        <w:t xml:space="preserve">, which </w:t>
      </w:r>
      <w:r w:rsidR="001C5985">
        <w:rPr>
          <w:rFonts w:ascii="Times New Roman" w:hAnsi="Times New Roman"/>
          <w:iCs/>
          <w:szCs w:val="24"/>
        </w:rPr>
        <w:t>might justify expanding the rate eligibility requirements</w:t>
      </w:r>
      <w:r>
        <w:rPr>
          <w:rFonts w:ascii="Times New Roman" w:hAnsi="Times New Roman"/>
          <w:iCs/>
          <w:szCs w:val="24"/>
        </w:rPr>
        <w:t xml:space="preserve">. Further, </w:t>
      </w:r>
      <w:r w:rsidR="005E12E9" w:rsidRPr="005E12E9">
        <w:rPr>
          <w:rFonts w:ascii="Times New Roman" w:hAnsi="Times New Roman"/>
          <w:iCs/>
          <w:szCs w:val="24"/>
        </w:rPr>
        <w:t xml:space="preserve">broadening the rate eligibility requirements would not be fair to similarly situated, non-restaurant customers who are unable to take advantage of the TOU-MB rate. Moreover, Georgia Power estimates that expanding eligibility for TOU-MB </w:t>
      </w:r>
      <w:r w:rsidR="005E12E9" w:rsidRPr="005E12E9">
        <w:rPr>
          <w:rFonts w:ascii="Times New Roman" w:hAnsi="Times New Roman"/>
          <w:iCs/>
          <w:szCs w:val="24"/>
        </w:rPr>
        <w:lastRenderedPageBreak/>
        <w:t>would cause a significant amount of revenue erosion that would have to be made up by other customers in the rate group.</w:t>
      </w:r>
      <w:r>
        <w:rPr>
          <w:rFonts w:ascii="Times New Roman" w:hAnsi="Times New Roman"/>
          <w:iCs/>
          <w:szCs w:val="24"/>
        </w:rPr>
        <w:t xml:space="preserve"> </w:t>
      </w:r>
      <w:r w:rsidR="00124665">
        <w:rPr>
          <w:rFonts w:ascii="Times New Roman" w:hAnsi="Times New Roman"/>
          <w:szCs w:val="24"/>
        </w:rPr>
        <w:t>(</w:t>
      </w:r>
      <w:r w:rsidR="00124665" w:rsidRPr="00DE1B16">
        <w:rPr>
          <w:rFonts w:ascii="Times New Roman" w:hAnsi="Times New Roman"/>
          <w:i/>
          <w:szCs w:val="24"/>
        </w:rPr>
        <w:t>Id</w:t>
      </w:r>
      <w:r w:rsidR="00124665">
        <w:rPr>
          <w:rFonts w:ascii="Times New Roman" w:hAnsi="Times New Roman"/>
          <w:szCs w:val="24"/>
        </w:rPr>
        <w:t xml:space="preserve">.) </w:t>
      </w:r>
      <w:r w:rsidR="00A731FC">
        <w:rPr>
          <w:rFonts w:ascii="Times New Roman" w:hAnsi="Times New Roman"/>
          <w:szCs w:val="24"/>
        </w:rPr>
        <w:t xml:space="preserve"> </w:t>
      </w:r>
      <w:r>
        <w:rPr>
          <w:rFonts w:ascii="Times New Roman" w:hAnsi="Times New Roman"/>
          <w:iCs/>
          <w:szCs w:val="24"/>
        </w:rPr>
        <w:t xml:space="preserve">The upward pressure on rates to other class members that would result if GRA’s recommendation is adopted is sufficient grounds for the Commission to reject GRA’s request.  </w:t>
      </w:r>
    </w:p>
    <w:p w14:paraId="26AD163B" w14:textId="5FFB3D1E" w:rsidR="00A322F8" w:rsidRDefault="007C0753" w:rsidP="00A322F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62" w:name="_Hlk26112050"/>
      <w:r>
        <w:rPr>
          <w:rFonts w:ascii="Times New Roman" w:hAnsi="Times New Roman"/>
          <w:szCs w:val="24"/>
        </w:rPr>
        <w:t>2</w:t>
      </w:r>
      <w:r w:rsidR="00A322F8" w:rsidRPr="00A322F8">
        <w:rPr>
          <w:rFonts w:ascii="Times New Roman" w:hAnsi="Times New Roman"/>
          <w:szCs w:val="24"/>
        </w:rPr>
        <w:t>.</w:t>
      </w:r>
      <w:r w:rsidR="00A322F8" w:rsidRPr="00A322F8">
        <w:rPr>
          <w:rFonts w:ascii="Times New Roman" w:hAnsi="Times New Roman"/>
          <w:szCs w:val="24"/>
        </w:rPr>
        <w:tab/>
      </w:r>
      <w:r w:rsidR="00A322F8" w:rsidRPr="004B6D89">
        <w:rPr>
          <w:rFonts w:ascii="Times New Roman" w:hAnsi="Times New Roman"/>
          <w:szCs w:val="24"/>
          <w:u w:val="single"/>
        </w:rPr>
        <w:t>Customers transitioning off the MLM rate should not be permitted to choose a CBL rate other than TOU-RN</w:t>
      </w:r>
      <w:r w:rsidR="00A322F8" w:rsidRPr="00A322F8">
        <w:rPr>
          <w:rFonts w:ascii="Times New Roman" w:hAnsi="Times New Roman"/>
          <w:szCs w:val="24"/>
        </w:rPr>
        <w:t>.</w:t>
      </w:r>
    </w:p>
    <w:bookmarkEnd w:id="62"/>
    <w:p w14:paraId="1B3BE3DE" w14:textId="3489C9A1" w:rsidR="005E12E9" w:rsidRPr="00A322F8" w:rsidRDefault="00B44DEF" w:rsidP="00B44DEF">
      <w:pPr>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007C09DA">
        <w:rPr>
          <w:rFonts w:ascii="Times New Roman" w:hAnsi="Times New Roman"/>
          <w:szCs w:val="24"/>
        </w:rPr>
        <w:t xml:space="preserve">The Commission should reject Intervenor requests to </w:t>
      </w:r>
      <w:r w:rsidR="00A901DF">
        <w:rPr>
          <w:rFonts w:ascii="Times New Roman" w:hAnsi="Times New Roman"/>
          <w:szCs w:val="24"/>
        </w:rPr>
        <w:t>require the Company to allow</w:t>
      </w:r>
      <w:r w:rsidR="005E12E9" w:rsidRPr="005E12E9">
        <w:rPr>
          <w:rFonts w:ascii="Times New Roman" w:hAnsi="Times New Roman"/>
          <w:szCs w:val="24"/>
        </w:rPr>
        <w:t xml:space="preserve"> customers to choose a CBL rate other than TOU-RN</w:t>
      </w:r>
      <w:r w:rsidR="00A901DF">
        <w:rPr>
          <w:rFonts w:ascii="Times New Roman" w:hAnsi="Times New Roman"/>
          <w:szCs w:val="24"/>
        </w:rPr>
        <w:t xml:space="preserve"> when transitioning off the MLM rate</w:t>
      </w:r>
      <w:r w:rsidR="005E12E9" w:rsidRPr="005E12E9">
        <w:rPr>
          <w:rFonts w:ascii="Times New Roman" w:hAnsi="Times New Roman"/>
          <w:szCs w:val="24"/>
        </w:rPr>
        <w:t xml:space="preserve">. TOU-RN was created for situations like this, to migrate customers on a revenue neutral basis when the original rate is being eliminated. Customers who currently have MLM as their CBL tariff will transition to TOU-RN on </w:t>
      </w:r>
      <w:r w:rsidR="009A7CF0">
        <w:rPr>
          <w:rFonts w:ascii="Times New Roman" w:hAnsi="Times New Roman"/>
          <w:szCs w:val="24"/>
        </w:rPr>
        <w:t>a</w:t>
      </w:r>
      <w:r w:rsidR="005E12E9" w:rsidRPr="005E12E9">
        <w:rPr>
          <w:rFonts w:ascii="Times New Roman" w:hAnsi="Times New Roman"/>
          <w:szCs w:val="24"/>
        </w:rPr>
        <w:t xml:space="preserve"> revenue neutral basis and with the same total CBL cost as before the </w:t>
      </w:r>
      <w:r>
        <w:rPr>
          <w:rFonts w:ascii="Times New Roman" w:hAnsi="Times New Roman"/>
          <w:szCs w:val="24"/>
        </w:rPr>
        <w:t>MLM tariff closed</w:t>
      </w:r>
      <w:r w:rsidR="005E12E9" w:rsidRPr="005E12E9">
        <w:rPr>
          <w:rFonts w:ascii="Times New Roman" w:hAnsi="Times New Roman"/>
          <w:szCs w:val="24"/>
        </w:rPr>
        <w:t xml:space="preserve">. The Company must ensure that the CBL revenue and </w:t>
      </w:r>
      <w:r w:rsidR="001C5985">
        <w:rPr>
          <w:rFonts w:ascii="Times New Roman" w:hAnsi="Times New Roman"/>
          <w:szCs w:val="24"/>
        </w:rPr>
        <w:t>usage</w:t>
      </w:r>
      <w:r w:rsidR="001C5985" w:rsidRPr="005E12E9">
        <w:rPr>
          <w:rFonts w:ascii="Times New Roman" w:hAnsi="Times New Roman"/>
          <w:szCs w:val="24"/>
        </w:rPr>
        <w:t xml:space="preserve"> </w:t>
      </w:r>
      <w:r w:rsidR="005E12E9" w:rsidRPr="005E12E9">
        <w:rPr>
          <w:rFonts w:ascii="Times New Roman" w:hAnsi="Times New Roman"/>
          <w:szCs w:val="24"/>
        </w:rPr>
        <w:t>remain the same in order to ensure this revenue neutrality and to avoid revenue erosion. This would not occur if customers were allowed to select a different CBL rate.</w:t>
      </w:r>
    </w:p>
    <w:p w14:paraId="593AA5AE" w14:textId="4BA10388" w:rsidR="00A322F8" w:rsidRDefault="007C0753" w:rsidP="00A322F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63" w:name="_Hlk26112055"/>
      <w:r>
        <w:rPr>
          <w:rFonts w:ascii="Times New Roman" w:hAnsi="Times New Roman"/>
          <w:szCs w:val="24"/>
        </w:rPr>
        <w:t>3</w:t>
      </w:r>
      <w:r w:rsidR="00A322F8" w:rsidRPr="00A322F8">
        <w:rPr>
          <w:rFonts w:ascii="Times New Roman" w:hAnsi="Times New Roman"/>
          <w:szCs w:val="24"/>
        </w:rPr>
        <w:t>.</w:t>
      </w:r>
      <w:r w:rsidR="00A322F8" w:rsidRPr="00A322F8">
        <w:rPr>
          <w:rFonts w:ascii="Times New Roman" w:hAnsi="Times New Roman"/>
          <w:szCs w:val="24"/>
        </w:rPr>
        <w:tab/>
      </w:r>
      <w:r w:rsidR="00265724" w:rsidRPr="00265724">
        <w:rPr>
          <w:rFonts w:ascii="Times New Roman" w:hAnsi="Times New Roman"/>
          <w:szCs w:val="24"/>
          <w:u w:val="single"/>
        </w:rPr>
        <w:t xml:space="preserve">The Commission should approve the Company’s request to modify </w:t>
      </w:r>
      <w:r w:rsidR="00E444E5">
        <w:rPr>
          <w:rFonts w:ascii="Times New Roman" w:hAnsi="Times New Roman"/>
          <w:szCs w:val="24"/>
          <w:u w:val="single"/>
        </w:rPr>
        <w:t>the Real Time Pricing (“</w:t>
      </w:r>
      <w:r w:rsidR="00265724" w:rsidRPr="00265724">
        <w:rPr>
          <w:rFonts w:ascii="Times New Roman" w:hAnsi="Times New Roman"/>
          <w:szCs w:val="24"/>
          <w:u w:val="single"/>
        </w:rPr>
        <w:t>RTP</w:t>
      </w:r>
      <w:r w:rsidR="00E444E5">
        <w:rPr>
          <w:rFonts w:ascii="Times New Roman" w:hAnsi="Times New Roman"/>
          <w:szCs w:val="24"/>
          <w:u w:val="single"/>
        </w:rPr>
        <w:t>”) tariffs</w:t>
      </w:r>
      <w:r w:rsidR="00265724" w:rsidRPr="00265724">
        <w:rPr>
          <w:rFonts w:ascii="Times New Roman" w:hAnsi="Times New Roman"/>
          <w:szCs w:val="24"/>
          <w:u w:val="single"/>
        </w:rPr>
        <w:t xml:space="preserve"> to </w:t>
      </w:r>
      <w:r w:rsidR="00137CBC">
        <w:rPr>
          <w:rFonts w:ascii="Times New Roman" w:hAnsi="Times New Roman"/>
          <w:szCs w:val="24"/>
          <w:u w:val="single"/>
        </w:rPr>
        <w:t>reflect current practices</w:t>
      </w:r>
      <w:r w:rsidR="0094334F">
        <w:rPr>
          <w:rFonts w:ascii="Times New Roman" w:hAnsi="Times New Roman"/>
          <w:szCs w:val="24"/>
          <w:u w:val="single"/>
        </w:rPr>
        <w:t>, limit</w:t>
      </w:r>
      <w:r w:rsidR="00265724" w:rsidRPr="00265724">
        <w:rPr>
          <w:rFonts w:ascii="Times New Roman" w:hAnsi="Times New Roman"/>
          <w:szCs w:val="24"/>
          <w:u w:val="single"/>
        </w:rPr>
        <w:t xml:space="preserve"> changes to the CBL during the initial term</w:t>
      </w:r>
      <w:r w:rsidR="0094334F">
        <w:rPr>
          <w:rFonts w:ascii="Times New Roman" w:hAnsi="Times New Roman"/>
          <w:szCs w:val="24"/>
          <w:u w:val="single"/>
        </w:rPr>
        <w:t>,</w:t>
      </w:r>
      <w:r w:rsidR="00265724" w:rsidRPr="00265724">
        <w:rPr>
          <w:rFonts w:ascii="Times New Roman" w:hAnsi="Times New Roman"/>
          <w:szCs w:val="24"/>
          <w:u w:val="single"/>
        </w:rPr>
        <w:t xml:space="preserve"> and</w:t>
      </w:r>
      <w:r w:rsidR="00265724">
        <w:rPr>
          <w:rFonts w:ascii="Times New Roman" w:hAnsi="Times New Roman"/>
          <w:szCs w:val="24"/>
          <w:u w:val="single"/>
        </w:rPr>
        <w:t xml:space="preserve"> </w:t>
      </w:r>
      <w:r w:rsidR="0094334F">
        <w:rPr>
          <w:rFonts w:ascii="Times New Roman" w:hAnsi="Times New Roman"/>
          <w:szCs w:val="24"/>
          <w:u w:val="single"/>
        </w:rPr>
        <w:t xml:space="preserve">require </w:t>
      </w:r>
      <w:r w:rsidR="00265724">
        <w:rPr>
          <w:rFonts w:ascii="Times New Roman" w:hAnsi="Times New Roman"/>
          <w:szCs w:val="24"/>
          <w:u w:val="single"/>
        </w:rPr>
        <w:t xml:space="preserve">a customer to </w:t>
      </w:r>
      <w:r w:rsidR="00137CBC">
        <w:rPr>
          <w:rFonts w:ascii="Times New Roman" w:hAnsi="Times New Roman"/>
          <w:szCs w:val="24"/>
          <w:u w:val="single"/>
        </w:rPr>
        <w:t>stay off RTP</w:t>
      </w:r>
      <w:r w:rsidR="00265724">
        <w:rPr>
          <w:rFonts w:ascii="Times New Roman" w:hAnsi="Times New Roman"/>
          <w:szCs w:val="24"/>
          <w:u w:val="single"/>
        </w:rPr>
        <w:t xml:space="preserve"> for</w:t>
      </w:r>
      <w:r w:rsidR="00A322F8" w:rsidRPr="004B6D89">
        <w:rPr>
          <w:rFonts w:ascii="Times New Roman" w:hAnsi="Times New Roman"/>
          <w:szCs w:val="24"/>
          <w:u w:val="single"/>
        </w:rPr>
        <w:t xml:space="preserve"> 24 months rat</w:t>
      </w:r>
      <w:r w:rsidR="00B77EBB" w:rsidRPr="004B6D89">
        <w:rPr>
          <w:rFonts w:ascii="Times New Roman" w:hAnsi="Times New Roman"/>
          <w:szCs w:val="24"/>
          <w:u w:val="single"/>
        </w:rPr>
        <w:t>h</w:t>
      </w:r>
      <w:r w:rsidR="00A322F8" w:rsidRPr="004B6D89">
        <w:rPr>
          <w:rFonts w:ascii="Times New Roman" w:hAnsi="Times New Roman"/>
          <w:szCs w:val="24"/>
          <w:u w:val="single"/>
        </w:rPr>
        <w:t xml:space="preserve">er than 12 months </w:t>
      </w:r>
      <w:r w:rsidR="00137CBC">
        <w:rPr>
          <w:rFonts w:ascii="Times New Roman" w:hAnsi="Times New Roman"/>
          <w:szCs w:val="24"/>
          <w:u w:val="single"/>
        </w:rPr>
        <w:t>before</w:t>
      </w:r>
      <w:r w:rsidR="00A322F8" w:rsidRPr="004B6D89">
        <w:rPr>
          <w:rFonts w:ascii="Times New Roman" w:hAnsi="Times New Roman"/>
          <w:szCs w:val="24"/>
          <w:u w:val="single"/>
        </w:rPr>
        <w:t xml:space="preserve"> set</w:t>
      </w:r>
      <w:r w:rsidR="00137CBC">
        <w:rPr>
          <w:rFonts w:ascii="Times New Roman" w:hAnsi="Times New Roman"/>
          <w:szCs w:val="24"/>
          <w:u w:val="single"/>
        </w:rPr>
        <w:t>ting</w:t>
      </w:r>
      <w:r w:rsidR="001828AA">
        <w:rPr>
          <w:rFonts w:ascii="Times New Roman" w:hAnsi="Times New Roman"/>
          <w:szCs w:val="24"/>
          <w:u w:val="single"/>
        </w:rPr>
        <w:t xml:space="preserve"> a</w:t>
      </w:r>
      <w:r w:rsidR="00A322F8" w:rsidRPr="004B6D89">
        <w:rPr>
          <w:rFonts w:ascii="Times New Roman" w:hAnsi="Times New Roman"/>
          <w:szCs w:val="24"/>
          <w:u w:val="single"/>
        </w:rPr>
        <w:t xml:space="preserve"> new CBL </w:t>
      </w:r>
      <w:r w:rsidR="001828AA">
        <w:rPr>
          <w:rFonts w:ascii="Times New Roman" w:hAnsi="Times New Roman"/>
          <w:szCs w:val="24"/>
          <w:u w:val="single"/>
        </w:rPr>
        <w:t>level</w:t>
      </w:r>
      <w:r w:rsidR="004B6D89">
        <w:rPr>
          <w:rFonts w:ascii="Times New Roman" w:hAnsi="Times New Roman"/>
          <w:szCs w:val="24"/>
        </w:rPr>
        <w:t>.</w:t>
      </w:r>
    </w:p>
    <w:bookmarkEnd w:id="63"/>
    <w:p w14:paraId="2B1751A1" w14:textId="5ED9A603" w:rsidR="00265724" w:rsidRPr="00A322F8" w:rsidRDefault="00C636CE" w:rsidP="00137CBC">
      <w:pPr>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265724">
        <w:rPr>
          <w:rFonts w:ascii="Times New Roman" w:hAnsi="Times New Roman"/>
          <w:szCs w:val="24"/>
        </w:rPr>
        <w:t xml:space="preserve">The Commission should approve the Company’s proposed changes to RTP. </w:t>
      </w:r>
      <w:r w:rsidR="00265724" w:rsidRPr="0063431D">
        <w:rPr>
          <w:rFonts w:ascii="Times New Roman" w:hAnsi="Times New Roman"/>
          <w:szCs w:val="24"/>
        </w:rPr>
        <w:t>Economic analyses for new RTP customers are run using projected CBL revenue. </w:t>
      </w:r>
      <w:r w:rsidR="006562E4">
        <w:rPr>
          <w:rFonts w:ascii="Times New Roman" w:hAnsi="Times New Roman"/>
          <w:szCs w:val="24"/>
        </w:rPr>
        <w:t>(</w:t>
      </w:r>
      <w:r w:rsidR="00124665">
        <w:rPr>
          <w:rFonts w:ascii="Times New Roman" w:hAnsi="Times New Roman"/>
          <w:szCs w:val="24"/>
        </w:rPr>
        <w:t>Tr. 2897</w:t>
      </w:r>
      <w:r w:rsidR="006562E4">
        <w:rPr>
          <w:rFonts w:ascii="Times New Roman" w:hAnsi="Times New Roman"/>
          <w:szCs w:val="24"/>
        </w:rPr>
        <w:t xml:space="preserve">.) </w:t>
      </w:r>
      <w:r w:rsidR="00265724" w:rsidRPr="0063431D">
        <w:rPr>
          <w:rFonts w:ascii="Times New Roman" w:hAnsi="Times New Roman"/>
          <w:szCs w:val="24"/>
        </w:rPr>
        <w:t>The purpose of this economic analysis is to ensure the revenue collected from a new RTP customer will cover the cost to serve its load so that other customers will not have to subsidize that service.</w:t>
      </w:r>
      <w:r w:rsidR="006562E4">
        <w:rPr>
          <w:rFonts w:ascii="Times New Roman" w:hAnsi="Times New Roman"/>
          <w:szCs w:val="24"/>
        </w:rPr>
        <w:t xml:space="preserve"> </w:t>
      </w:r>
      <w:r w:rsidR="00124665">
        <w:rPr>
          <w:rFonts w:ascii="Times New Roman" w:hAnsi="Times New Roman"/>
          <w:szCs w:val="24"/>
        </w:rPr>
        <w:t>(</w:t>
      </w:r>
      <w:r w:rsidR="00124665" w:rsidRPr="00DE1B16">
        <w:rPr>
          <w:rFonts w:ascii="Times New Roman" w:hAnsi="Times New Roman"/>
          <w:i/>
          <w:szCs w:val="24"/>
        </w:rPr>
        <w:t>Id</w:t>
      </w:r>
      <w:r w:rsidR="00124665">
        <w:rPr>
          <w:rFonts w:ascii="Times New Roman" w:hAnsi="Times New Roman"/>
          <w:szCs w:val="24"/>
        </w:rPr>
        <w:t xml:space="preserve">.) </w:t>
      </w:r>
      <w:r w:rsidR="00265724" w:rsidRPr="0063431D">
        <w:rPr>
          <w:rFonts w:ascii="Times New Roman" w:hAnsi="Times New Roman"/>
          <w:szCs w:val="24"/>
        </w:rPr>
        <w:t xml:space="preserve">It is reasonable to hold RTP customers to the contracted CBL level during the initial term of their contract in order to avoid putting upward rate pressure on other customers. </w:t>
      </w:r>
    </w:p>
    <w:p w14:paraId="3D729B88" w14:textId="6A28F4DB" w:rsidR="0063431D" w:rsidRDefault="00C636CE" w:rsidP="00137CBC">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lastRenderedPageBreak/>
        <w:tab/>
      </w:r>
      <w:r w:rsidR="000560DA">
        <w:rPr>
          <w:rFonts w:ascii="Times New Roman" w:hAnsi="Times New Roman"/>
          <w:szCs w:val="24"/>
        </w:rPr>
        <w:t>In addition, the Commission should approve the Company’s proposal to extend the length of time a customer must stay off RTP before rejoining RTP and setting a new CBL. The Company adamantly believes that s</w:t>
      </w:r>
      <w:r w:rsidR="0063431D" w:rsidRPr="0063431D">
        <w:rPr>
          <w:rFonts w:ascii="Times New Roman" w:hAnsi="Times New Roman"/>
          <w:szCs w:val="24"/>
        </w:rPr>
        <w:t>hort term changes to a customer’s usage should not result in the permanent conversion of embedded load into marginal load on the RTP rate. The RTP tariffs have provisions to revise the CBL as the result of actions like permanent equipment removal and energy efficiency improvements, but specifically forbid revisions due to temporary factors such as economic downturns. </w:t>
      </w:r>
      <w:r w:rsidR="00124665">
        <w:rPr>
          <w:rFonts w:ascii="Times New Roman" w:hAnsi="Times New Roman"/>
          <w:szCs w:val="24"/>
        </w:rPr>
        <w:t>(</w:t>
      </w:r>
      <w:r w:rsidR="00124665" w:rsidRPr="00DE1B16">
        <w:rPr>
          <w:rFonts w:ascii="Times New Roman" w:hAnsi="Times New Roman"/>
          <w:i/>
          <w:szCs w:val="24"/>
        </w:rPr>
        <w:t>Id</w:t>
      </w:r>
      <w:r w:rsidR="00124665">
        <w:rPr>
          <w:rFonts w:ascii="Times New Roman" w:hAnsi="Times New Roman"/>
          <w:szCs w:val="24"/>
        </w:rPr>
        <w:t xml:space="preserve">.) </w:t>
      </w:r>
      <w:r>
        <w:rPr>
          <w:rFonts w:ascii="Times New Roman" w:hAnsi="Times New Roman"/>
          <w:szCs w:val="24"/>
        </w:rPr>
        <w:t>The Company is better able to distinguish between short-term and long-term changes by lengthening the amount of time before a customer can re-enroll in RTP and reset their CBL.</w:t>
      </w:r>
      <w:r w:rsidRPr="0063431D">
        <w:rPr>
          <w:rFonts w:ascii="Times New Roman" w:hAnsi="Times New Roman"/>
          <w:szCs w:val="24"/>
        </w:rPr>
        <w:t xml:space="preserve"> </w:t>
      </w:r>
      <w:r w:rsidR="0063431D" w:rsidRPr="0063431D">
        <w:rPr>
          <w:rFonts w:ascii="Times New Roman" w:hAnsi="Times New Roman"/>
          <w:szCs w:val="24"/>
        </w:rPr>
        <w:t>Changing the requirement so that customers who have not removed load must stay off RTP for 24 months in order to set a new CBL preserves the integrity of the RTP program and protects other customers.</w:t>
      </w:r>
      <w:r>
        <w:rPr>
          <w:rFonts w:ascii="Times New Roman" w:hAnsi="Times New Roman"/>
          <w:szCs w:val="24"/>
        </w:rPr>
        <w:t xml:space="preserve"> </w:t>
      </w:r>
    </w:p>
    <w:p w14:paraId="39F2F2A8" w14:textId="067834E0" w:rsidR="00A322F8" w:rsidRDefault="001C5985" w:rsidP="00A322F8">
      <w:pPr>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64" w:name="_Hlk26112203"/>
      <w:r>
        <w:rPr>
          <w:rFonts w:ascii="Times New Roman" w:hAnsi="Times New Roman"/>
          <w:szCs w:val="24"/>
        </w:rPr>
        <w:t>4</w:t>
      </w:r>
      <w:r w:rsidR="00A322F8" w:rsidRPr="00A322F8">
        <w:rPr>
          <w:rFonts w:ascii="Times New Roman" w:hAnsi="Times New Roman"/>
          <w:szCs w:val="24"/>
        </w:rPr>
        <w:t>.</w:t>
      </w:r>
      <w:r w:rsidR="00A322F8" w:rsidRPr="00A322F8">
        <w:rPr>
          <w:rFonts w:ascii="Times New Roman" w:hAnsi="Times New Roman"/>
          <w:szCs w:val="24"/>
        </w:rPr>
        <w:tab/>
      </w:r>
      <w:r w:rsidRPr="00137CBC">
        <w:rPr>
          <w:rFonts w:ascii="Times New Roman" w:hAnsi="Times New Roman"/>
          <w:szCs w:val="24"/>
          <w:u w:val="single"/>
        </w:rPr>
        <w:t xml:space="preserve">Expanding the amount </w:t>
      </w:r>
      <w:r w:rsidR="00A322F8" w:rsidRPr="00137CBC">
        <w:rPr>
          <w:rFonts w:ascii="Times New Roman" w:hAnsi="Times New Roman"/>
          <w:szCs w:val="24"/>
          <w:u w:val="single"/>
        </w:rPr>
        <w:t>of</w:t>
      </w:r>
      <w:r w:rsidR="00A322F8" w:rsidRPr="004B6D89">
        <w:rPr>
          <w:rFonts w:ascii="Times New Roman" w:hAnsi="Times New Roman"/>
          <w:szCs w:val="24"/>
          <w:u w:val="single"/>
        </w:rPr>
        <w:t xml:space="preserve"> embedded load </w:t>
      </w:r>
      <w:r>
        <w:rPr>
          <w:rFonts w:ascii="Times New Roman" w:hAnsi="Times New Roman"/>
          <w:szCs w:val="24"/>
          <w:u w:val="single"/>
        </w:rPr>
        <w:t xml:space="preserve">eligible for conversion </w:t>
      </w:r>
      <w:r w:rsidR="00A322F8" w:rsidRPr="004B6D89">
        <w:rPr>
          <w:rFonts w:ascii="Times New Roman" w:hAnsi="Times New Roman"/>
          <w:szCs w:val="24"/>
          <w:u w:val="single"/>
        </w:rPr>
        <w:t>to marginal load as requested by MARTA and RSM is</w:t>
      </w:r>
      <w:r w:rsidR="007552B8" w:rsidRPr="004B6D89">
        <w:rPr>
          <w:rFonts w:ascii="Times New Roman" w:hAnsi="Times New Roman"/>
          <w:szCs w:val="24"/>
          <w:u w:val="single"/>
        </w:rPr>
        <w:t xml:space="preserve"> inappropriate and</w:t>
      </w:r>
      <w:r w:rsidR="00A322F8" w:rsidRPr="004B6D89">
        <w:rPr>
          <w:rFonts w:ascii="Times New Roman" w:hAnsi="Times New Roman"/>
          <w:szCs w:val="24"/>
          <w:u w:val="single"/>
        </w:rPr>
        <w:t xml:space="preserve"> unfair to other customers</w:t>
      </w:r>
      <w:r w:rsidR="00A322F8" w:rsidRPr="00A322F8">
        <w:rPr>
          <w:rFonts w:ascii="Times New Roman" w:hAnsi="Times New Roman"/>
          <w:szCs w:val="24"/>
        </w:rPr>
        <w:t xml:space="preserve">. </w:t>
      </w:r>
    </w:p>
    <w:bookmarkEnd w:id="64"/>
    <w:p w14:paraId="3F05D0FA" w14:textId="69E5DA5D" w:rsidR="005E12E9" w:rsidRPr="005E12E9" w:rsidRDefault="00C636CE" w:rsidP="00C636CE">
      <w:pPr>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005E12E9" w:rsidRPr="005E12E9">
        <w:rPr>
          <w:rFonts w:ascii="Times New Roman" w:hAnsi="Times New Roman"/>
          <w:szCs w:val="24"/>
        </w:rPr>
        <w:t xml:space="preserve">Georgia Power does not support the requests by MARTA and </w:t>
      </w:r>
      <w:r w:rsidR="00C4529A">
        <w:rPr>
          <w:rFonts w:ascii="Times New Roman" w:hAnsi="Times New Roman"/>
          <w:szCs w:val="24"/>
        </w:rPr>
        <w:t>RSM</w:t>
      </w:r>
      <w:r w:rsidR="005E12E9" w:rsidRPr="005E12E9">
        <w:rPr>
          <w:rFonts w:ascii="Times New Roman" w:hAnsi="Times New Roman"/>
          <w:szCs w:val="24"/>
        </w:rPr>
        <w:t xml:space="preserve"> to convert additional embedded load to marginal load that is subject to RTP hourly pricing. A conversion of this type would create substantial revenue erosion that would have to be borne by other customers.</w:t>
      </w:r>
      <w:r w:rsidR="006562E4">
        <w:rPr>
          <w:rFonts w:ascii="Times New Roman" w:hAnsi="Times New Roman"/>
          <w:szCs w:val="24"/>
        </w:rPr>
        <w:t xml:space="preserve"> (</w:t>
      </w:r>
      <w:r w:rsidR="00124665">
        <w:rPr>
          <w:rFonts w:ascii="Times New Roman" w:hAnsi="Times New Roman"/>
          <w:szCs w:val="24"/>
        </w:rPr>
        <w:t>Tr.</w:t>
      </w:r>
      <w:r w:rsidR="006A6778">
        <w:rPr>
          <w:rFonts w:ascii="Times New Roman" w:hAnsi="Times New Roman"/>
          <w:szCs w:val="24"/>
        </w:rPr>
        <w:t> </w:t>
      </w:r>
      <w:r w:rsidR="00124665">
        <w:rPr>
          <w:rFonts w:ascii="Times New Roman" w:hAnsi="Times New Roman"/>
          <w:szCs w:val="24"/>
        </w:rPr>
        <w:t>2896</w:t>
      </w:r>
      <w:r w:rsidR="006562E4">
        <w:rPr>
          <w:rFonts w:ascii="Times New Roman" w:hAnsi="Times New Roman"/>
          <w:szCs w:val="24"/>
        </w:rPr>
        <w:t>.)</w:t>
      </w:r>
      <w:r w:rsidR="005E12E9" w:rsidRPr="005E12E9">
        <w:rPr>
          <w:rFonts w:ascii="Times New Roman" w:hAnsi="Times New Roman"/>
          <w:szCs w:val="24"/>
        </w:rPr>
        <w:t xml:space="preserve"> It would also be </w:t>
      </w:r>
      <w:r>
        <w:rPr>
          <w:rFonts w:ascii="Times New Roman" w:hAnsi="Times New Roman"/>
          <w:szCs w:val="24"/>
        </w:rPr>
        <w:t>un</w:t>
      </w:r>
      <w:r w:rsidR="005E12E9" w:rsidRPr="005E12E9">
        <w:rPr>
          <w:rFonts w:ascii="Times New Roman" w:hAnsi="Times New Roman"/>
          <w:szCs w:val="24"/>
        </w:rPr>
        <w:t xml:space="preserve">fair and </w:t>
      </w:r>
      <w:r>
        <w:rPr>
          <w:rFonts w:ascii="Times New Roman" w:hAnsi="Times New Roman"/>
          <w:szCs w:val="24"/>
        </w:rPr>
        <w:t>in</w:t>
      </w:r>
      <w:r w:rsidR="005E12E9" w:rsidRPr="005E12E9">
        <w:rPr>
          <w:rFonts w:ascii="Times New Roman" w:hAnsi="Times New Roman"/>
          <w:szCs w:val="24"/>
        </w:rPr>
        <w:t xml:space="preserve">equitable to allow only certain customers like MARTA to convert this load and not allow other customers the same opportunity. </w:t>
      </w:r>
      <w:r>
        <w:rPr>
          <w:rFonts w:ascii="Times New Roman" w:hAnsi="Times New Roman"/>
          <w:szCs w:val="24"/>
        </w:rPr>
        <w:t>As such, this Commission should reject requests by MARTA and RSM to expand the amount of embedded load eligible for conversion to marginal load under RTP.</w:t>
      </w:r>
    </w:p>
    <w:p w14:paraId="3853E6D5" w14:textId="6004E3E1" w:rsidR="00A322F8" w:rsidRPr="00A322F8" w:rsidRDefault="00A322F8" w:rsidP="00867228">
      <w:pPr>
        <w:keepNext/>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65" w:name="_Hlk26112216"/>
      <w:r w:rsidRPr="00A322F8">
        <w:rPr>
          <w:rFonts w:ascii="Times New Roman" w:hAnsi="Times New Roman"/>
          <w:b/>
          <w:szCs w:val="24"/>
        </w:rPr>
        <w:lastRenderedPageBreak/>
        <w:t>J.</w:t>
      </w:r>
      <w:r w:rsidRPr="00A322F8">
        <w:rPr>
          <w:rFonts w:ascii="Times New Roman" w:hAnsi="Times New Roman"/>
          <w:b/>
          <w:szCs w:val="24"/>
        </w:rPr>
        <w:tab/>
        <w:t>The Company</w:t>
      </w:r>
      <w:r w:rsidR="006F6CB0">
        <w:rPr>
          <w:rFonts w:ascii="Times New Roman" w:hAnsi="Times New Roman"/>
          <w:b/>
          <w:szCs w:val="24"/>
        </w:rPr>
        <w:t>’</w:t>
      </w:r>
      <w:r w:rsidRPr="00A322F8">
        <w:rPr>
          <w:rFonts w:ascii="Times New Roman" w:hAnsi="Times New Roman"/>
          <w:b/>
          <w:szCs w:val="24"/>
        </w:rPr>
        <w:t>s Implementation of the RNR Tariff is Compliant with the Cogen Act</w:t>
      </w:r>
      <w:r w:rsidR="00F05CA3">
        <w:rPr>
          <w:rFonts w:ascii="Times New Roman" w:hAnsi="Times New Roman"/>
          <w:b/>
          <w:szCs w:val="24"/>
        </w:rPr>
        <w:t xml:space="preserve"> and Intervenor Arguments to Overhaul the RNR Tariff to Institute Policy Changes to Increase Payments to Customer Generators Should Not Be Adopted</w:t>
      </w:r>
      <w:r w:rsidRPr="00A322F8">
        <w:rPr>
          <w:rFonts w:ascii="Times New Roman" w:hAnsi="Times New Roman"/>
          <w:b/>
          <w:szCs w:val="24"/>
        </w:rPr>
        <w:t>.</w:t>
      </w:r>
    </w:p>
    <w:bookmarkEnd w:id="65"/>
    <w:p w14:paraId="05CB3E04" w14:textId="71CA863E" w:rsidR="00A322F8" w:rsidRPr="00D84697" w:rsidRDefault="00A322F8" w:rsidP="00867228">
      <w:pPr>
        <w:keepNext/>
        <w:widowControl/>
        <w:overflowPunct/>
        <w:autoSpaceDE/>
        <w:autoSpaceDN/>
        <w:adjustRightInd/>
        <w:spacing w:line="480" w:lineRule="auto"/>
        <w:ind w:firstLine="720"/>
        <w:jc w:val="both"/>
        <w:textAlignment w:val="auto"/>
        <w:rPr>
          <w:rFonts w:ascii="Times New Roman" w:hAnsi="Times New Roman"/>
          <w:szCs w:val="24"/>
        </w:rPr>
      </w:pPr>
      <w:r w:rsidRPr="00A322F8">
        <w:rPr>
          <w:rFonts w:ascii="Times New Roman" w:hAnsi="Times New Roman"/>
          <w:szCs w:val="24"/>
        </w:rPr>
        <w:t xml:space="preserve">The Georgia Cogeneration and Distributed Generation Act of 2001 (“Cogen Act”) was </w:t>
      </w:r>
      <w:r w:rsidR="00F05CA3">
        <w:rPr>
          <w:rFonts w:ascii="Times New Roman" w:hAnsi="Times New Roman"/>
          <w:szCs w:val="24"/>
        </w:rPr>
        <w:t>enacted</w:t>
      </w:r>
      <w:r w:rsidRPr="00A322F8">
        <w:rPr>
          <w:rFonts w:ascii="Times New Roman" w:hAnsi="Times New Roman"/>
          <w:szCs w:val="24"/>
        </w:rPr>
        <w:t xml:space="preserve"> to encourage private investment in renewable energy resources. O.C.G.A. § </w:t>
      </w:r>
      <w:r w:rsidR="00F05CA3">
        <w:rPr>
          <w:rFonts w:ascii="Times New Roman" w:hAnsi="Times New Roman"/>
          <w:szCs w:val="24"/>
        </w:rPr>
        <w:t>4</w:t>
      </w:r>
      <w:r w:rsidRPr="00A322F8">
        <w:rPr>
          <w:rFonts w:ascii="Times New Roman" w:hAnsi="Times New Roman"/>
          <w:szCs w:val="24"/>
        </w:rPr>
        <w:t xml:space="preserve">6-3-51. The Georgia General Assembly found that a program to provide distributed generation for eligible cogenerators was a way to achieve this goal. </w:t>
      </w:r>
      <w:r w:rsidRPr="00A322F8">
        <w:rPr>
          <w:rFonts w:ascii="Times New Roman" w:hAnsi="Times New Roman"/>
          <w:i/>
          <w:szCs w:val="24"/>
        </w:rPr>
        <w:t>Id.</w:t>
      </w:r>
      <w:r w:rsidRPr="00A322F8">
        <w:rPr>
          <w:rFonts w:ascii="Times New Roman" w:hAnsi="Times New Roman"/>
          <w:szCs w:val="24"/>
        </w:rPr>
        <w:t xml:space="preserve"> The Company designed and implemented its </w:t>
      </w:r>
      <w:r w:rsidR="008B004B">
        <w:rPr>
          <w:rFonts w:ascii="Times New Roman" w:hAnsi="Times New Roman"/>
          <w:szCs w:val="24"/>
        </w:rPr>
        <w:t>R</w:t>
      </w:r>
      <w:r w:rsidRPr="00A322F8">
        <w:rPr>
          <w:rFonts w:ascii="Times New Roman" w:hAnsi="Times New Roman"/>
          <w:szCs w:val="24"/>
        </w:rPr>
        <w:t xml:space="preserve">enewable and </w:t>
      </w:r>
      <w:r w:rsidR="008B004B">
        <w:rPr>
          <w:rFonts w:ascii="Times New Roman" w:hAnsi="Times New Roman"/>
          <w:szCs w:val="24"/>
        </w:rPr>
        <w:t>N</w:t>
      </w:r>
      <w:r w:rsidRPr="00A322F8">
        <w:rPr>
          <w:rFonts w:ascii="Times New Roman" w:hAnsi="Times New Roman"/>
          <w:szCs w:val="24"/>
        </w:rPr>
        <w:t>on-</w:t>
      </w:r>
      <w:r w:rsidR="008B004B">
        <w:rPr>
          <w:rFonts w:ascii="Times New Roman" w:hAnsi="Times New Roman"/>
          <w:szCs w:val="24"/>
        </w:rPr>
        <w:t>R</w:t>
      </w:r>
      <w:r w:rsidRPr="00A322F8">
        <w:rPr>
          <w:rFonts w:ascii="Times New Roman" w:hAnsi="Times New Roman"/>
          <w:szCs w:val="24"/>
        </w:rPr>
        <w:t xml:space="preserve">enewable (“RNR”) tariff as its </w:t>
      </w:r>
      <w:r w:rsidR="00F05CA3">
        <w:rPr>
          <w:rFonts w:ascii="Times New Roman" w:hAnsi="Times New Roman"/>
          <w:szCs w:val="24"/>
        </w:rPr>
        <w:t>customer offering</w:t>
      </w:r>
      <w:r w:rsidRPr="00A322F8">
        <w:rPr>
          <w:rFonts w:ascii="Times New Roman" w:hAnsi="Times New Roman"/>
          <w:szCs w:val="24"/>
        </w:rPr>
        <w:t xml:space="preserve"> to comply with the requirements of the Cogen Act. Georgia </w:t>
      </w:r>
      <w:r w:rsidR="00594EA9" w:rsidRPr="00A322F8">
        <w:rPr>
          <w:rFonts w:ascii="Times New Roman" w:hAnsi="Times New Roman"/>
          <w:szCs w:val="24"/>
        </w:rPr>
        <w:t>Power</w:t>
      </w:r>
      <w:r w:rsidR="00594EA9">
        <w:rPr>
          <w:rFonts w:ascii="Times New Roman" w:hAnsi="Times New Roman"/>
          <w:szCs w:val="24"/>
        </w:rPr>
        <w:t xml:space="preserve"> introduced the</w:t>
      </w:r>
      <w:r w:rsidR="00594EA9" w:rsidRPr="00A322F8">
        <w:rPr>
          <w:rFonts w:ascii="Times New Roman" w:hAnsi="Times New Roman"/>
          <w:szCs w:val="24"/>
        </w:rPr>
        <w:t xml:space="preserve"> </w:t>
      </w:r>
      <w:r w:rsidRPr="00A322F8">
        <w:rPr>
          <w:rFonts w:ascii="Times New Roman" w:hAnsi="Times New Roman"/>
          <w:szCs w:val="24"/>
        </w:rPr>
        <w:t xml:space="preserve">RNR Tariff in </w:t>
      </w:r>
      <w:r w:rsidR="00594EA9" w:rsidRPr="00A322F8">
        <w:rPr>
          <w:rFonts w:ascii="Times New Roman" w:hAnsi="Times New Roman"/>
          <w:szCs w:val="24"/>
        </w:rPr>
        <w:t>200</w:t>
      </w:r>
      <w:r w:rsidR="00594EA9">
        <w:rPr>
          <w:rFonts w:ascii="Times New Roman" w:hAnsi="Times New Roman"/>
          <w:szCs w:val="24"/>
        </w:rPr>
        <w:t>2</w:t>
      </w:r>
      <w:r w:rsidR="00594EA9" w:rsidRPr="00A322F8">
        <w:rPr>
          <w:rFonts w:ascii="Times New Roman" w:hAnsi="Times New Roman"/>
          <w:szCs w:val="24"/>
        </w:rPr>
        <w:t xml:space="preserve"> </w:t>
      </w:r>
      <w:r w:rsidRPr="00A322F8">
        <w:rPr>
          <w:rFonts w:ascii="Times New Roman" w:hAnsi="Times New Roman"/>
          <w:szCs w:val="24"/>
        </w:rPr>
        <w:t>and</w:t>
      </w:r>
      <w:r w:rsidR="00594EA9">
        <w:rPr>
          <w:rFonts w:ascii="Times New Roman" w:hAnsi="Times New Roman"/>
          <w:szCs w:val="24"/>
        </w:rPr>
        <w:t xml:space="preserve"> the Commission</w:t>
      </w:r>
      <w:r w:rsidRPr="00A322F8">
        <w:rPr>
          <w:rFonts w:ascii="Times New Roman" w:hAnsi="Times New Roman"/>
          <w:szCs w:val="24"/>
        </w:rPr>
        <w:t xml:space="preserve"> subsequently approved </w:t>
      </w:r>
      <w:r w:rsidR="0094334F">
        <w:rPr>
          <w:rFonts w:ascii="Times New Roman" w:hAnsi="Times New Roman"/>
          <w:szCs w:val="24"/>
        </w:rPr>
        <w:t>it in 2003</w:t>
      </w:r>
      <w:r w:rsidR="00AA17EA">
        <w:rPr>
          <w:rFonts w:ascii="Times New Roman" w:hAnsi="Times New Roman"/>
          <w:szCs w:val="24"/>
        </w:rPr>
        <w:t xml:space="preserve"> in</w:t>
      </w:r>
      <w:r w:rsidR="0094334F">
        <w:rPr>
          <w:rFonts w:ascii="Times New Roman" w:hAnsi="Times New Roman"/>
          <w:szCs w:val="24"/>
        </w:rPr>
        <w:t xml:space="preserve"> </w:t>
      </w:r>
      <w:r w:rsidR="00AA17EA">
        <w:rPr>
          <w:rFonts w:ascii="Times New Roman" w:hAnsi="Times New Roman"/>
          <w:szCs w:val="24"/>
        </w:rPr>
        <w:t>the Commission’s</w:t>
      </w:r>
      <w:r w:rsidR="0094334F">
        <w:rPr>
          <w:rFonts w:ascii="Times New Roman" w:hAnsi="Times New Roman"/>
          <w:szCs w:val="24"/>
        </w:rPr>
        <w:t xml:space="preserve"> </w:t>
      </w:r>
      <w:r w:rsidR="00D84697" w:rsidRPr="00B02172">
        <w:rPr>
          <w:rFonts w:ascii="Times New Roman" w:hAnsi="Times New Roman"/>
          <w:szCs w:val="24"/>
        </w:rPr>
        <w:t>Order Approving Green Energy Programs for Georgia Power Company and Savannah Electric Power Company</w:t>
      </w:r>
      <w:r w:rsidR="0094334F">
        <w:rPr>
          <w:rFonts w:ascii="Times New Roman" w:hAnsi="Times New Roman"/>
          <w:szCs w:val="24"/>
        </w:rPr>
        <w:t xml:space="preserve"> in</w:t>
      </w:r>
      <w:r w:rsidR="00D84697">
        <w:rPr>
          <w:rFonts w:ascii="Times New Roman" w:hAnsi="Times New Roman"/>
          <w:szCs w:val="24"/>
        </w:rPr>
        <w:t xml:space="preserve"> Docket No. 16573</w:t>
      </w:r>
      <w:r w:rsidR="00AA17EA">
        <w:rPr>
          <w:rFonts w:ascii="Times New Roman" w:hAnsi="Times New Roman"/>
          <w:szCs w:val="24"/>
        </w:rPr>
        <w:t xml:space="preserve">. Since then, the Commission has approved </w:t>
      </w:r>
      <w:r w:rsidR="00AA17EA" w:rsidRPr="00A322F8">
        <w:rPr>
          <w:rFonts w:ascii="Times New Roman" w:hAnsi="Times New Roman"/>
          <w:szCs w:val="24"/>
        </w:rPr>
        <w:t>its continuation in each rate case thereafter, including most recently in 2013</w:t>
      </w:r>
      <w:r w:rsidR="00D84697">
        <w:rPr>
          <w:rFonts w:ascii="Times New Roman" w:hAnsi="Times New Roman"/>
          <w:szCs w:val="24"/>
        </w:rPr>
        <w:t>.</w:t>
      </w:r>
    </w:p>
    <w:p w14:paraId="6116E19D" w14:textId="5A851C95" w:rsidR="00A322F8" w:rsidRPr="00A322F8" w:rsidRDefault="00A322F8" w:rsidP="004B6D89">
      <w:pPr>
        <w:widowControl/>
        <w:overflowPunct/>
        <w:autoSpaceDE/>
        <w:autoSpaceDN/>
        <w:adjustRightInd/>
        <w:spacing w:line="480" w:lineRule="auto"/>
        <w:ind w:firstLine="720"/>
        <w:jc w:val="both"/>
        <w:textAlignment w:val="auto"/>
        <w:rPr>
          <w:rFonts w:ascii="Times New Roman" w:hAnsi="Times New Roman"/>
          <w:szCs w:val="24"/>
        </w:rPr>
      </w:pPr>
      <w:r w:rsidRPr="00A322F8">
        <w:rPr>
          <w:rFonts w:ascii="Times New Roman" w:hAnsi="Times New Roman"/>
          <w:szCs w:val="24"/>
        </w:rPr>
        <w:t>GIPL/Southface/Vote Solar allege that Georgia Power</w:t>
      </w:r>
      <w:r w:rsidR="006F6CB0">
        <w:rPr>
          <w:rFonts w:ascii="Times New Roman" w:hAnsi="Times New Roman"/>
          <w:szCs w:val="24"/>
        </w:rPr>
        <w:t>’</w:t>
      </w:r>
      <w:r w:rsidRPr="00A322F8">
        <w:rPr>
          <w:rFonts w:ascii="Times New Roman" w:hAnsi="Times New Roman"/>
          <w:szCs w:val="24"/>
        </w:rPr>
        <w:t xml:space="preserve">s RNR tariff as written and implemented is inconsistent with the Cogen Act. </w:t>
      </w:r>
      <w:r w:rsidR="006562E4">
        <w:rPr>
          <w:rFonts w:ascii="Times New Roman" w:hAnsi="Times New Roman"/>
          <w:szCs w:val="24"/>
        </w:rPr>
        <w:t>(</w:t>
      </w:r>
      <w:r w:rsidR="00124665">
        <w:rPr>
          <w:rFonts w:ascii="Times New Roman" w:hAnsi="Times New Roman"/>
          <w:szCs w:val="24"/>
        </w:rPr>
        <w:t>Tr. 1966</w:t>
      </w:r>
      <w:r w:rsidR="006562E4">
        <w:rPr>
          <w:rFonts w:ascii="Times New Roman" w:hAnsi="Times New Roman"/>
          <w:szCs w:val="24"/>
        </w:rPr>
        <w:t xml:space="preserve">.) </w:t>
      </w:r>
      <w:r w:rsidRPr="00A322F8">
        <w:rPr>
          <w:rFonts w:ascii="Times New Roman" w:hAnsi="Times New Roman"/>
          <w:szCs w:val="24"/>
        </w:rPr>
        <w:t>More specifically, GIPL/Southface/Vote Solar claim that Georgia Power</w:t>
      </w:r>
      <w:r w:rsidR="006F6CB0">
        <w:rPr>
          <w:rFonts w:ascii="Times New Roman" w:hAnsi="Times New Roman"/>
          <w:szCs w:val="24"/>
        </w:rPr>
        <w:t>’</w:t>
      </w:r>
      <w:r w:rsidRPr="00A322F8">
        <w:rPr>
          <w:rFonts w:ascii="Times New Roman" w:hAnsi="Times New Roman"/>
          <w:szCs w:val="24"/>
        </w:rPr>
        <w:t>s practice of instantaneously netting a customer</w:t>
      </w:r>
      <w:r w:rsidR="006F6CB0">
        <w:rPr>
          <w:rFonts w:ascii="Times New Roman" w:hAnsi="Times New Roman"/>
          <w:szCs w:val="24"/>
        </w:rPr>
        <w:t>’</w:t>
      </w:r>
      <w:r w:rsidRPr="00A322F8">
        <w:rPr>
          <w:rFonts w:ascii="Times New Roman" w:hAnsi="Times New Roman"/>
          <w:szCs w:val="24"/>
        </w:rPr>
        <w:t xml:space="preserve">s consumption and production through a bidirectional meter to measure energy inflows and outflows does not reflect </w:t>
      </w:r>
      <w:r w:rsidR="006F6CB0">
        <w:rPr>
          <w:rFonts w:ascii="Times New Roman" w:hAnsi="Times New Roman"/>
          <w:szCs w:val="24"/>
        </w:rPr>
        <w:t>‘</w:t>
      </w:r>
      <w:r w:rsidRPr="00A322F8">
        <w:rPr>
          <w:rFonts w:ascii="Times New Roman" w:hAnsi="Times New Roman"/>
          <w:szCs w:val="24"/>
        </w:rPr>
        <w:t>normal</w:t>
      </w:r>
      <w:r w:rsidR="006F6CB0">
        <w:rPr>
          <w:rFonts w:ascii="Times New Roman" w:hAnsi="Times New Roman"/>
          <w:szCs w:val="24"/>
        </w:rPr>
        <w:t>’</w:t>
      </w:r>
      <w:r w:rsidRPr="00A322F8">
        <w:rPr>
          <w:rFonts w:ascii="Times New Roman" w:hAnsi="Times New Roman"/>
          <w:szCs w:val="24"/>
        </w:rPr>
        <w:t xml:space="preserve"> metering practice and negatively impacts the value proposition of distributed generation customers.</w:t>
      </w:r>
      <w:r w:rsidR="006562E4">
        <w:rPr>
          <w:rFonts w:ascii="Times New Roman" w:hAnsi="Times New Roman"/>
          <w:szCs w:val="24"/>
        </w:rPr>
        <w:t xml:space="preserve"> (</w:t>
      </w:r>
      <w:r w:rsidR="00124665">
        <w:rPr>
          <w:rFonts w:ascii="Times New Roman" w:hAnsi="Times New Roman"/>
          <w:i/>
          <w:szCs w:val="24"/>
        </w:rPr>
        <w:t xml:space="preserve">See e.g. </w:t>
      </w:r>
      <w:r w:rsidR="00124665">
        <w:rPr>
          <w:rFonts w:ascii="Times New Roman" w:hAnsi="Times New Roman"/>
          <w:szCs w:val="24"/>
        </w:rPr>
        <w:t>Tr. 1986; 2019-20.</w:t>
      </w:r>
      <w:r w:rsidR="006562E4">
        <w:rPr>
          <w:rFonts w:ascii="Times New Roman" w:hAnsi="Times New Roman"/>
          <w:szCs w:val="24"/>
        </w:rPr>
        <w:t>)</w:t>
      </w:r>
      <w:r w:rsidRPr="00A322F8">
        <w:rPr>
          <w:rFonts w:ascii="Times New Roman" w:hAnsi="Times New Roman"/>
          <w:szCs w:val="24"/>
        </w:rPr>
        <w:t xml:space="preserve"> Contrary to GIPL/Southface/Vote Solar</w:t>
      </w:r>
      <w:r w:rsidR="006F6CB0">
        <w:rPr>
          <w:rFonts w:ascii="Times New Roman" w:hAnsi="Times New Roman"/>
          <w:szCs w:val="24"/>
        </w:rPr>
        <w:t>’</w:t>
      </w:r>
      <w:r w:rsidRPr="00A322F8">
        <w:rPr>
          <w:rFonts w:ascii="Times New Roman" w:hAnsi="Times New Roman"/>
          <w:szCs w:val="24"/>
        </w:rPr>
        <w:t xml:space="preserve">s accusations, Georgia Power applies the plain language of the Cogen Act to properly measure and credit RNR customers for the excess generation that they push back to the </w:t>
      </w:r>
      <w:r w:rsidR="003615AA">
        <w:rPr>
          <w:rFonts w:ascii="Times New Roman" w:hAnsi="Times New Roman"/>
          <w:szCs w:val="24"/>
        </w:rPr>
        <w:t>grid</w:t>
      </w:r>
      <w:r w:rsidRPr="00A322F8">
        <w:rPr>
          <w:rFonts w:ascii="Times New Roman" w:hAnsi="Times New Roman"/>
          <w:szCs w:val="24"/>
        </w:rPr>
        <w:t>. For each of the following reasons, GIPL/Southface/Vote Solar</w:t>
      </w:r>
      <w:r w:rsidR="006F6CB0">
        <w:rPr>
          <w:rFonts w:ascii="Times New Roman" w:hAnsi="Times New Roman"/>
          <w:szCs w:val="24"/>
        </w:rPr>
        <w:t>’</w:t>
      </w:r>
      <w:r w:rsidRPr="00A322F8">
        <w:rPr>
          <w:rFonts w:ascii="Times New Roman" w:hAnsi="Times New Roman"/>
          <w:szCs w:val="24"/>
        </w:rPr>
        <w:t>s arguments are incorrect and fail to establish a sufficient basis to challenge the Company</w:t>
      </w:r>
      <w:r w:rsidR="006F6CB0">
        <w:rPr>
          <w:rFonts w:ascii="Times New Roman" w:hAnsi="Times New Roman"/>
          <w:szCs w:val="24"/>
        </w:rPr>
        <w:t>’</w:t>
      </w:r>
      <w:r w:rsidRPr="00A322F8">
        <w:rPr>
          <w:rFonts w:ascii="Times New Roman" w:hAnsi="Times New Roman"/>
          <w:szCs w:val="24"/>
        </w:rPr>
        <w:t>s implementation of its RNR tariff.</w:t>
      </w:r>
    </w:p>
    <w:p w14:paraId="45DA2CC9" w14:textId="555C2652" w:rsidR="00A322F8" w:rsidRPr="00A322F8" w:rsidRDefault="00A322F8" w:rsidP="004B6D89">
      <w:pPr>
        <w:widowControl/>
        <w:overflowPunct/>
        <w:autoSpaceDE/>
        <w:autoSpaceDN/>
        <w:adjustRightInd/>
        <w:spacing w:line="480" w:lineRule="auto"/>
        <w:jc w:val="both"/>
        <w:textAlignment w:val="auto"/>
        <w:rPr>
          <w:rFonts w:ascii="Times New Roman" w:hAnsi="Times New Roman"/>
          <w:szCs w:val="24"/>
        </w:rPr>
      </w:pPr>
      <w:r w:rsidRPr="00A322F8">
        <w:rPr>
          <w:rFonts w:ascii="Times New Roman" w:hAnsi="Times New Roman"/>
          <w:szCs w:val="24"/>
        </w:rPr>
        <w:lastRenderedPageBreak/>
        <w:tab/>
      </w:r>
      <w:r w:rsidR="003615AA">
        <w:rPr>
          <w:rFonts w:ascii="Times New Roman" w:hAnsi="Times New Roman"/>
          <w:szCs w:val="24"/>
        </w:rPr>
        <w:t>O.C.G.A.</w:t>
      </w:r>
      <w:r w:rsidR="006152C5">
        <w:rPr>
          <w:rFonts w:ascii="Times New Roman" w:hAnsi="Times New Roman"/>
          <w:szCs w:val="24"/>
        </w:rPr>
        <w:t xml:space="preserve"> §</w:t>
      </w:r>
      <w:r w:rsidRPr="00A322F8">
        <w:rPr>
          <w:rFonts w:ascii="Times New Roman" w:hAnsi="Times New Roman"/>
          <w:szCs w:val="24"/>
        </w:rPr>
        <w:t xml:space="preserve"> 46-3-55 provides for the measurement and payment for energy flow. For customer generators whose distributed generation facilities are connected on the customer</w:t>
      </w:r>
      <w:r w:rsidR="006F6CB0">
        <w:rPr>
          <w:rFonts w:ascii="Times New Roman" w:hAnsi="Times New Roman"/>
          <w:szCs w:val="24"/>
        </w:rPr>
        <w:t>’</w:t>
      </w:r>
      <w:r w:rsidRPr="00A322F8">
        <w:rPr>
          <w:rFonts w:ascii="Times New Roman" w:hAnsi="Times New Roman"/>
          <w:szCs w:val="24"/>
        </w:rPr>
        <w:t>s side of the meter (how most of the Company</w:t>
      </w:r>
      <w:r w:rsidR="006F6CB0">
        <w:rPr>
          <w:rFonts w:ascii="Times New Roman" w:hAnsi="Times New Roman"/>
          <w:szCs w:val="24"/>
        </w:rPr>
        <w:t>’</w:t>
      </w:r>
      <w:r w:rsidRPr="00A322F8">
        <w:rPr>
          <w:rFonts w:ascii="Times New Roman" w:hAnsi="Times New Roman"/>
          <w:szCs w:val="24"/>
        </w:rPr>
        <w:t>s RNR customers are connected), the Cogen Act requires the electric service provider to “measure the electricity produced or consumed during the billing period, in accordance with normal meter</w:t>
      </w:r>
      <w:r w:rsidR="006152C5">
        <w:rPr>
          <w:rFonts w:ascii="Times New Roman" w:hAnsi="Times New Roman"/>
          <w:szCs w:val="24"/>
        </w:rPr>
        <w:t>ing</w:t>
      </w:r>
      <w:r w:rsidRPr="00A322F8">
        <w:rPr>
          <w:rFonts w:ascii="Times New Roman" w:hAnsi="Times New Roman"/>
          <w:szCs w:val="24"/>
        </w:rPr>
        <w:t xml:space="preserve"> practices using bidirectional metering.” O.C.G.A. § </w:t>
      </w:r>
      <w:r w:rsidR="003615AA">
        <w:rPr>
          <w:rFonts w:ascii="Times New Roman" w:hAnsi="Times New Roman"/>
          <w:szCs w:val="24"/>
        </w:rPr>
        <w:t>4</w:t>
      </w:r>
      <w:r w:rsidRPr="00A322F8">
        <w:rPr>
          <w:rFonts w:ascii="Times New Roman" w:hAnsi="Times New Roman"/>
          <w:szCs w:val="24"/>
        </w:rPr>
        <w:t xml:space="preserve">6-3-55(1)(A). Three phrases </w:t>
      </w:r>
      <w:r w:rsidR="003615AA">
        <w:rPr>
          <w:rFonts w:ascii="Times New Roman" w:hAnsi="Times New Roman"/>
          <w:szCs w:val="24"/>
        </w:rPr>
        <w:t>with</w:t>
      </w:r>
      <w:r w:rsidRPr="00A322F8">
        <w:rPr>
          <w:rFonts w:ascii="Times New Roman" w:hAnsi="Times New Roman"/>
          <w:szCs w:val="24"/>
        </w:rPr>
        <w:t xml:space="preserve">in O.C.G.A. § </w:t>
      </w:r>
      <w:r w:rsidR="003615AA">
        <w:rPr>
          <w:rFonts w:ascii="Times New Roman" w:hAnsi="Times New Roman"/>
          <w:szCs w:val="24"/>
        </w:rPr>
        <w:t>4</w:t>
      </w:r>
      <w:r w:rsidRPr="00A322F8">
        <w:rPr>
          <w:rFonts w:ascii="Times New Roman" w:hAnsi="Times New Roman"/>
          <w:szCs w:val="24"/>
        </w:rPr>
        <w:t xml:space="preserve">6-3-55(1) are critical to understanding how energy flows should be </w:t>
      </w:r>
      <w:r w:rsidRPr="00A322F8">
        <w:rPr>
          <w:rFonts w:ascii="Times New Roman" w:hAnsi="Times New Roman"/>
          <w:i/>
          <w:szCs w:val="24"/>
        </w:rPr>
        <w:t>measured</w:t>
      </w:r>
      <w:r w:rsidRPr="00A322F8">
        <w:rPr>
          <w:rFonts w:ascii="Times New Roman" w:hAnsi="Times New Roman"/>
          <w:szCs w:val="24"/>
        </w:rPr>
        <w:t xml:space="preserve">. </w:t>
      </w:r>
    </w:p>
    <w:p w14:paraId="5DF4F24F" w14:textId="6D7C6FC0" w:rsidR="00A322F8" w:rsidRPr="00A322F8" w:rsidRDefault="00A322F8" w:rsidP="004B6D89">
      <w:pPr>
        <w:widowControl/>
        <w:overflowPunct/>
        <w:autoSpaceDE/>
        <w:autoSpaceDN/>
        <w:adjustRightInd/>
        <w:spacing w:line="480" w:lineRule="auto"/>
        <w:ind w:firstLine="720"/>
        <w:jc w:val="both"/>
        <w:textAlignment w:val="auto"/>
        <w:rPr>
          <w:rFonts w:ascii="Times New Roman" w:hAnsi="Times New Roman"/>
          <w:szCs w:val="24"/>
        </w:rPr>
      </w:pPr>
      <w:r w:rsidRPr="00A322F8">
        <w:rPr>
          <w:rFonts w:ascii="Times New Roman" w:hAnsi="Times New Roman"/>
          <w:szCs w:val="24"/>
        </w:rPr>
        <w:t>First, for these customer generators connected behind</w:t>
      </w:r>
      <w:r w:rsidR="006152C5">
        <w:rPr>
          <w:rFonts w:ascii="Times New Roman" w:hAnsi="Times New Roman"/>
          <w:szCs w:val="24"/>
        </w:rPr>
        <w:t xml:space="preserve"> </w:t>
      </w:r>
      <w:r w:rsidRPr="00A322F8">
        <w:rPr>
          <w:rFonts w:ascii="Times New Roman" w:hAnsi="Times New Roman"/>
          <w:szCs w:val="24"/>
        </w:rPr>
        <w:t>the</w:t>
      </w:r>
      <w:r w:rsidR="006152C5">
        <w:rPr>
          <w:rFonts w:ascii="Times New Roman" w:hAnsi="Times New Roman"/>
          <w:szCs w:val="24"/>
        </w:rPr>
        <w:t xml:space="preserve"> </w:t>
      </w:r>
      <w:r w:rsidRPr="00A322F8">
        <w:rPr>
          <w:rFonts w:ascii="Times New Roman" w:hAnsi="Times New Roman"/>
          <w:szCs w:val="24"/>
        </w:rPr>
        <w:t xml:space="preserve">meter, the statute requires that the amount of electricity consumed by the customer and produced by the customer be measured using “bidirectional metering.” As defined in O.C.G.A. § </w:t>
      </w:r>
      <w:r w:rsidR="003615AA">
        <w:rPr>
          <w:rFonts w:ascii="Times New Roman" w:hAnsi="Times New Roman"/>
          <w:szCs w:val="24"/>
        </w:rPr>
        <w:t>4</w:t>
      </w:r>
      <w:r w:rsidRPr="00A322F8">
        <w:rPr>
          <w:rFonts w:ascii="Times New Roman" w:hAnsi="Times New Roman"/>
          <w:szCs w:val="24"/>
        </w:rPr>
        <w:t>6-3-52(1), “[b]idirectional metering” means measuring the amount of electricity supplied by an electric service provider and the amount fed back to the electric service provider by the customer</w:t>
      </w:r>
      <w:r w:rsidR="006F6CB0">
        <w:rPr>
          <w:rFonts w:ascii="Times New Roman" w:hAnsi="Times New Roman"/>
          <w:szCs w:val="24"/>
        </w:rPr>
        <w:t>’</w:t>
      </w:r>
      <w:r w:rsidRPr="00A322F8">
        <w:rPr>
          <w:rFonts w:ascii="Times New Roman" w:hAnsi="Times New Roman"/>
          <w:szCs w:val="24"/>
        </w:rPr>
        <w:t xml:space="preserve">s distributed generation facility using the same meter. A bidirectional meter is different from a normal analog meter (which </w:t>
      </w:r>
      <w:r w:rsidR="003615AA">
        <w:rPr>
          <w:rFonts w:ascii="Times New Roman" w:hAnsi="Times New Roman"/>
          <w:szCs w:val="24"/>
        </w:rPr>
        <w:t>was</w:t>
      </w:r>
      <w:r w:rsidRPr="00A322F8">
        <w:rPr>
          <w:rFonts w:ascii="Times New Roman" w:hAnsi="Times New Roman"/>
          <w:szCs w:val="24"/>
        </w:rPr>
        <w:t xml:space="preserve"> typical when the act was written) in that a bidirectional meter can measure and record separately the inflows and outflows of electricity</w:t>
      </w:r>
      <w:r w:rsidR="008E1DF4">
        <w:rPr>
          <w:rFonts w:ascii="Times New Roman" w:hAnsi="Times New Roman"/>
          <w:szCs w:val="24"/>
        </w:rPr>
        <w:t xml:space="preserve"> using two registers</w:t>
      </w:r>
      <w:r w:rsidRPr="00A322F8">
        <w:rPr>
          <w:rFonts w:ascii="Times New Roman" w:hAnsi="Times New Roman"/>
          <w:szCs w:val="24"/>
        </w:rPr>
        <w:t xml:space="preserve"> within the same </w:t>
      </w:r>
      <w:r w:rsidR="003615AA">
        <w:rPr>
          <w:rFonts w:ascii="Times New Roman" w:hAnsi="Times New Roman"/>
          <w:szCs w:val="24"/>
        </w:rPr>
        <w:t>meter</w:t>
      </w:r>
      <w:r w:rsidRPr="00A322F8">
        <w:rPr>
          <w:rFonts w:ascii="Times New Roman" w:hAnsi="Times New Roman"/>
          <w:szCs w:val="24"/>
        </w:rPr>
        <w:t>.</w:t>
      </w:r>
      <w:r w:rsidR="006562E4">
        <w:rPr>
          <w:rFonts w:ascii="Times New Roman" w:hAnsi="Times New Roman"/>
          <w:szCs w:val="24"/>
        </w:rPr>
        <w:t xml:space="preserve"> </w:t>
      </w:r>
      <w:r w:rsidRPr="00A322F8">
        <w:rPr>
          <w:rFonts w:ascii="Times New Roman" w:hAnsi="Times New Roman"/>
          <w:szCs w:val="24"/>
        </w:rPr>
        <w:t xml:space="preserve">In contrast, a standard meter can only run forward and backward. A standard meter would show the net amount on </w:t>
      </w:r>
      <w:r w:rsidR="008E1DF4">
        <w:rPr>
          <w:rFonts w:ascii="Times New Roman" w:hAnsi="Times New Roman"/>
          <w:szCs w:val="24"/>
        </w:rPr>
        <w:t>a single</w:t>
      </w:r>
      <w:r w:rsidR="008E1DF4" w:rsidRPr="00A322F8">
        <w:rPr>
          <w:rFonts w:ascii="Times New Roman" w:hAnsi="Times New Roman"/>
          <w:szCs w:val="24"/>
        </w:rPr>
        <w:t xml:space="preserve"> </w:t>
      </w:r>
      <w:r w:rsidRPr="00A322F8">
        <w:rPr>
          <w:rFonts w:ascii="Times New Roman" w:hAnsi="Times New Roman"/>
          <w:szCs w:val="24"/>
        </w:rPr>
        <w:t xml:space="preserve">register for the month, whereas using a bidirectional meter provides the Company with two discrete measurements of inflows and outflows as they happen. If the statute intended for the Company and other electric service providers to net the production and consumption monthly, there would be no reason to include a requirement to use a bidirectional meter. As a matter of statutory interpretation, language included in a statute is not presumed to be superfluous, rather the words within a statute </w:t>
      </w:r>
      <w:r w:rsidR="003615AA">
        <w:rPr>
          <w:rFonts w:ascii="Times New Roman" w:hAnsi="Times New Roman"/>
          <w:szCs w:val="24"/>
        </w:rPr>
        <w:t xml:space="preserve">are </w:t>
      </w:r>
      <w:r w:rsidRPr="00A322F8">
        <w:rPr>
          <w:rFonts w:ascii="Times New Roman" w:hAnsi="Times New Roman"/>
          <w:szCs w:val="24"/>
        </w:rPr>
        <w:t>interpreted to be intentional and to have meaning.</w:t>
      </w:r>
      <w:r w:rsidR="003615AA">
        <w:rPr>
          <w:rFonts w:ascii="Times New Roman" w:hAnsi="Times New Roman"/>
          <w:szCs w:val="24"/>
        </w:rPr>
        <w:t xml:space="preserve"> </w:t>
      </w:r>
      <w:r w:rsidR="00281ECB" w:rsidRPr="008101B9">
        <w:rPr>
          <w:rFonts w:ascii="Times New Roman" w:hAnsi="Times New Roman"/>
          <w:i/>
          <w:szCs w:val="24"/>
        </w:rPr>
        <w:t>Berryhill v. Ga. Community Support and Solutions, Inc.</w:t>
      </w:r>
      <w:r w:rsidR="00281ECB" w:rsidRPr="00281ECB">
        <w:rPr>
          <w:rFonts w:ascii="Times New Roman" w:hAnsi="Times New Roman"/>
          <w:szCs w:val="24"/>
        </w:rPr>
        <w:t>, 281 Ga. 439, 441 (Nov. 28, 2006)</w:t>
      </w:r>
      <w:r w:rsidR="00281ECB">
        <w:rPr>
          <w:rFonts w:ascii="Times New Roman" w:hAnsi="Times New Roman"/>
          <w:szCs w:val="24"/>
        </w:rPr>
        <w:t xml:space="preserve"> (“</w:t>
      </w:r>
      <w:r w:rsidR="00281ECB" w:rsidRPr="00281ECB">
        <w:rPr>
          <w:rFonts w:ascii="Times New Roman" w:hAnsi="Times New Roman"/>
          <w:szCs w:val="24"/>
        </w:rPr>
        <w:t xml:space="preserve">Courts should give a </w:t>
      </w:r>
      <w:r w:rsidR="00281ECB" w:rsidRPr="00281ECB">
        <w:rPr>
          <w:rFonts w:ascii="Times New Roman" w:hAnsi="Times New Roman"/>
          <w:szCs w:val="24"/>
        </w:rPr>
        <w:lastRenderedPageBreak/>
        <w:t>sensible and intelligent effect to every part of a statute and not render any language superfluous.”</w:t>
      </w:r>
      <w:r w:rsidR="00281ECB">
        <w:rPr>
          <w:rFonts w:ascii="Times New Roman" w:hAnsi="Times New Roman"/>
          <w:szCs w:val="24"/>
        </w:rPr>
        <w:t>)</w:t>
      </w:r>
      <w:r w:rsidR="00281ECB" w:rsidRPr="00281ECB">
        <w:rPr>
          <w:rFonts w:ascii="Times New Roman" w:hAnsi="Times New Roman"/>
          <w:szCs w:val="24"/>
        </w:rPr>
        <w:t xml:space="preserve">; </w:t>
      </w:r>
      <w:r w:rsidR="00281ECB" w:rsidRPr="008101B9">
        <w:rPr>
          <w:rFonts w:ascii="Times New Roman" w:hAnsi="Times New Roman"/>
          <w:i/>
          <w:szCs w:val="24"/>
        </w:rPr>
        <w:t>see also Costin v. State</w:t>
      </w:r>
      <w:r w:rsidR="00281ECB" w:rsidRPr="00281ECB">
        <w:rPr>
          <w:rFonts w:ascii="Times New Roman" w:hAnsi="Times New Roman"/>
          <w:szCs w:val="24"/>
        </w:rPr>
        <w:t>, 269 Ga. App. 632, 633 (Sept. 16, 2004) (“Moreover, courts should give meaning to every part of a statute and not render language superfluous.”)</w:t>
      </w:r>
    </w:p>
    <w:p w14:paraId="1900B1FE" w14:textId="3D491D3A" w:rsidR="00A322F8" w:rsidRPr="00A322F8" w:rsidRDefault="00A322F8" w:rsidP="004B6D89">
      <w:pPr>
        <w:widowControl/>
        <w:overflowPunct/>
        <w:autoSpaceDE/>
        <w:autoSpaceDN/>
        <w:adjustRightInd/>
        <w:spacing w:line="480" w:lineRule="auto"/>
        <w:ind w:firstLine="720"/>
        <w:jc w:val="both"/>
        <w:textAlignment w:val="auto"/>
        <w:rPr>
          <w:rFonts w:ascii="Times New Roman" w:hAnsi="Times New Roman"/>
          <w:szCs w:val="24"/>
        </w:rPr>
      </w:pPr>
      <w:r w:rsidRPr="00A322F8">
        <w:rPr>
          <w:rFonts w:ascii="Times New Roman" w:hAnsi="Times New Roman"/>
          <w:szCs w:val="24"/>
        </w:rPr>
        <w:t xml:space="preserve">Second, an electric service provider is required to measure the energy inflows and outflows “in accordance with normal metering practices using a bidirectional meter.” O.C.G.A. § </w:t>
      </w:r>
      <w:r w:rsidR="009407DC">
        <w:rPr>
          <w:rFonts w:ascii="Times New Roman" w:hAnsi="Times New Roman"/>
          <w:szCs w:val="24"/>
        </w:rPr>
        <w:t>4</w:t>
      </w:r>
      <w:r w:rsidRPr="00A322F8">
        <w:rPr>
          <w:rFonts w:ascii="Times New Roman" w:hAnsi="Times New Roman"/>
          <w:szCs w:val="24"/>
        </w:rPr>
        <w:t xml:space="preserve">6-3-55(1). Unlike the term “bidirectional metering,” the phrase “normal metering practices” is not defined in the statute. Presumably, the applicable “normal metering practices” would be those typical and standard to the electric service provider. Here, Georgia Power is and should be held accountable to normal metering practices. </w:t>
      </w:r>
      <w:r w:rsidR="00AA17EA">
        <w:rPr>
          <w:rFonts w:ascii="Times New Roman" w:hAnsi="Times New Roman"/>
          <w:szCs w:val="24"/>
        </w:rPr>
        <w:t xml:space="preserve">Georgia Power uses bidirectional meters to monitor and track the flow of electricity from Georgia Power to the RNR customer and back from the RNR customer. The Company’s bidirectional meters measure the customer’s production or consumption instantaneously, which is the normal practice for bidirectional meters and is how the meters are designed to work. </w:t>
      </w:r>
      <w:r w:rsidRPr="00A322F8">
        <w:rPr>
          <w:rFonts w:ascii="Times New Roman" w:hAnsi="Times New Roman"/>
          <w:szCs w:val="24"/>
        </w:rPr>
        <w:t>It is a useless comparison to evaluate Georgia Power</w:t>
      </w:r>
      <w:r w:rsidR="006F6CB0">
        <w:rPr>
          <w:rFonts w:ascii="Times New Roman" w:hAnsi="Times New Roman"/>
          <w:szCs w:val="24"/>
        </w:rPr>
        <w:t>’</w:t>
      </w:r>
      <w:r w:rsidRPr="00A322F8">
        <w:rPr>
          <w:rFonts w:ascii="Times New Roman" w:hAnsi="Times New Roman"/>
          <w:szCs w:val="24"/>
        </w:rPr>
        <w:t>s metering practices against the metering practices of utilities in other states who are not subject to the Cogen Act</w:t>
      </w:r>
      <w:r w:rsidR="009407DC">
        <w:rPr>
          <w:rFonts w:ascii="Times New Roman" w:hAnsi="Times New Roman"/>
          <w:szCs w:val="24"/>
        </w:rPr>
        <w:t>, but</w:t>
      </w:r>
      <w:r w:rsidRPr="00A322F8">
        <w:rPr>
          <w:rFonts w:ascii="Times New Roman" w:hAnsi="Times New Roman"/>
          <w:szCs w:val="24"/>
        </w:rPr>
        <w:t xml:space="preserve"> are held accountable to the statutes, regulations, </w:t>
      </w:r>
      <w:r w:rsidR="009407DC">
        <w:rPr>
          <w:rFonts w:ascii="Times New Roman" w:hAnsi="Times New Roman"/>
          <w:szCs w:val="24"/>
        </w:rPr>
        <w:t>c</w:t>
      </w:r>
      <w:r w:rsidRPr="00A322F8">
        <w:rPr>
          <w:rFonts w:ascii="Times New Roman" w:hAnsi="Times New Roman"/>
          <w:szCs w:val="24"/>
        </w:rPr>
        <w:t>ommission rules and policies of their own jurisdictions.</w:t>
      </w:r>
      <w:r w:rsidR="009909C0">
        <w:rPr>
          <w:rFonts w:ascii="Times New Roman" w:hAnsi="Times New Roman"/>
          <w:szCs w:val="24"/>
        </w:rPr>
        <w:t xml:space="preserve"> (</w:t>
      </w:r>
      <w:r w:rsidR="00124665">
        <w:rPr>
          <w:rFonts w:ascii="Times New Roman" w:hAnsi="Times New Roman"/>
          <w:i/>
          <w:szCs w:val="24"/>
        </w:rPr>
        <w:t xml:space="preserve">See e.g. </w:t>
      </w:r>
      <w:r w:rsidR="00124665">
        <w:rPr>
          <w:rFonts w:ascii="Times New Roman" w:hAnsi="Times New Roman"/>
          <w:szCs w:val="24"/>
        </w:rPr>
        <w:t>Tr. 2021</w:t>
      </w:r>
      <w:r w:rsidR="009909C0">
        <w:rPr>
          <w:rFonts w:ascii="Times New Roman" w:hAnsi="Times New Roman"/>
          <w:szCs w:val="24"/>
        </w:rPr>
        <w:t>.)</w:t>
      </w:r>
      <w:r w:rsidRPr="00A322F8">
        <w:rPr>
          <w:rFonts w:ascii="Times New Roman" w:hAnsi="Times New Roman"/>
          <w:szCs w:val="24"/>
        </w:rPr>
        <w:t xml:space="preserve"> Further, O.C.G.A. § </w:t>
      </w:r>
      <w:r w:rsidR="009407DC">
        <w:rPr>
          <w:rFonts w:ascii="Times New Roman" w:hAnsi="Times New Roman"/>
          <w:szCs w:val="24"/>
        </w:rPr>
        <w:t>4</w:t>
      </w:r>
      <w:r w:rsidRPr="00A322F8">
        <w:rPr>
          <w:rFonts w:ascii="Times New Roman" w:hAnsi="Times New Roman"/>
          <w:szCs w:val="24"/>
        </w:rPr>
        <w:t xml:space="preserve">6-3-55(1) does not use the word </w:t>
      </w:r>
      <w:r w:rsidR="006F6CB0">
        <w:rPr>
          <w:rFonts w:ascii="Times New Roman" w:hAnsi="Times New Roman"/>
          <w:szCs w:val="24"/>
        </w:rPr>
        <w:t>‘</w:t>
      </w:r>
      <w:r w:rsidRPr="00A322F8">
        <w:rPr>
          <w:rFonts w:ascii="Times New Roman" w:hAnsi="Times New Roman"/>
          <w:szCs w:val="24"/>
        </w:rPr>
        <w:t>month</w:t>
      </w:r>
      <w:r w:rsidR="006F6CB0">
        <w:rPr>
          <w:rFonts w:ascii="Times New Roman" w:hAnsi="Times New Roman"/>
          <w:szCs w:val="24"/>
        </w:rPr>
        <w:t>’</w:t>
      </w:r>
      <w:r w:rsidRPr="00A322F8">
        <w:rPr>
          <w:rFonts w:ascii="Times New Roman" w:hAnsi="Times New Roman"/>
          <w:szCs w:val="24"/>
        </w:rPr>
        <w:t xml:space="preserve"> or </w:t>
      </w:r>
      <w:r w:rsidR="006F6CB0">
        <w:rPr>
          <w:rFonts w:ascii="Times New Roman" w:hAnsi="Times New Roman"/>
          <w:szCs w:val="24"/>
        </w:rPr>
        <w:t>‘</w:t>
      </w:r>
      <w:r w:rsidRPr="00A322F8">
        <w:rPr>
          <w:rFonts w:ascii="Times New Roman" w:hAnsi="Times New Roman"/>
          <w:szCs w:val="24"/>
        </w:rPr>
        <w:t>monthly</w:t>
      </w:r>
      <w:r w:rsidR="006F6CB0">
        <w:rPr>
          <w:rFonts w:ascii="Times New Roman" w:hAnsi="Times New Roman"/>
          <w:szCs w:val="24"/>
        </w:rPr>
        <w:t>’</w:t>
      </w:r>
      <w:r w:rsidRPr="00A322F8">
        <w:rPr>
          <w:rFonts w:ascii="Times New Roman" w:hAnsi="Times New Roman"/>
          <w:szCs w:val="24"/>
        </w:rPr>
        <w:t xml:space="preserve"> in addressing how often energy is measured at the meter.</w:t>
      </w:r>
    </w:p>
    <w:p w14:paraId="4AB92953" w14:textId="148C23CC" w:rsidR="00A322F8" w:rsidRPr="00A322F8" w:rsidRDefault="00A322F8" w:rsidP="004B6D89">
      <w:pPr>
        <w:widowControl/>
        <w:overflowPunct/>
        <w:autoSpaceDE/>
        <w:autoSpaceDN/>
        <w:adjustRightInd/>
        <w:spacing w:line="480" w:lineRule="auto"/>
        <w:ind w:firstLine="720"/>
        <w:jc w:val="both"/>
        <w:textAlignment w:val="auto"/>
        <w:rPr>
          <w:rFonts w:ascii="Times New Roman" w:hAnsi="Times New Roman"/>
          <w:szCs w:val="24"/>
        </w:rPr>
      </w:pPr>
      <w:r w:rsidRPr="00A322F8">
        <w:rPr>
          <w:rFonts w:ascii="Times New Roman" w:hAnsi="Times New Roman"/>
          <w:szCs w:val="24"/>
        </w:rPr>
        <w:t xml:space="preserve">Third, O.C.G.A § </w:t>
      </w:r>
      <w:r w:rsidR="009407DC">
        <w:rPr>
          <w:rFonts w:ascii="Times New Roman" w:hAnsi="Times New Roman"/>
          <w:szCs w:val="24"/>
        </w:rPr>
        <w:t>4</w:t>
      </w:r>
      <w:r w:rsidRPr="00A322F8">
        <w:rPr>
          <w:rFonts w:ascii="Times New Roman" w:hAnsi="Times New Roman"/>
          <w:szCs w:val="24"/>
        </w:rPr>
        <w:t xml:space="preserve">6-3-55(1)(C) addresses how the Company should </w:t>
      </w:r>
      <w:r w:rsidRPr="00A322F8">
        <w:rPr>
          <w:rFonts w:ascii="Times New Roman" w:hAnsi="Times New Roman"/>
          <w:i/>
          <w:szCs w:val="24"/>
        </w:rPr>
        <w:t>credit</w:t>
      </w:r>
      <w:r w:rsidRPr="00A322F8">
        <w:rPr>
          <w:rFonts w:ascii="Times New Roman" w:hAnsi="Times New Roman"/>
          <w:szCs w:val="24"/>
        </w:rPr>
        <w:t xml:space="preserve"> a customer when the electricity it generates exceeds the amount of electricity supplied by the electric service provider, as follows:</w:t>
      </w:r>
    </w:p>
    <w:p w14:paraId="3C733D01" w14:textId="31262545" w:rsidR="00A322F8" w:rsidRPr="00A322F8" w:rsidRDefault="00A322F8" w:rsidP="00A322F8">
      <w:pPr>
        <w:widowControl/>
        <w:overflowPunct/>
        <w:autoSpaceDE/>
        <w:autoSpaceDN/>
        <w:adjustRightInd/>
        <w:ind w:left="1440" w:right="720"/>
        <w:jc w:val="both"/>
        <w:textAlignment w:val="auto"/>
        <w:rPr>
          <w:rFonts w:ascii="Times New Roman" w:hAnsi="Times New Roman"/>
          <w:szCs w:val="24"/>
        </w:rPr>
      </w:pPr>
      <w:r w:rsidRPr="00A322F8">
        <w:rPr>
          <w:rFonts w:ascii="Times New Roman" w:hAnsi="Times New Roman"/>
          <w:szCs w:val="24"/>
        </w:rPr>
        <w:t>(C) When electricity generated by the customer</w:t>
      </w:r>
      <w:r w:rsidR="006F6CB0">
        <w:rPr>
          <w:rFonts w:ascii="Times New Roman" w:hAnsi="Times New Roman"/>
          <w:szCs w:val="24"/>
        </w:rPr>
        <w:t>’</w:t>
      </w:r>
      <w:r w:rsidRPr="00A322F8">
        <w:rPr>
          <w:rFonts w:ascii="Times New Roman" w:hAnsi="Times New Roman"/>
          <w:szCs w:val="24"/>
        </w:rPr>
        <w:t>s distributed generation system exceeds the electricity supplied by the electric service provider, the customer generator:</w:t>
      </w:r>
    </w:p>
    <w:p w14:paraId="2BF81FC3" w14:textId="77777777" w:rsidR="00A322F8" w:rsidRPr="00A322F8" w:rsidRDefault="00A322F8" w:rsidP="00A322F8">
      <w:pPr>
        <w:widowControl/>
        <w:overflowPunct/>
        <w:autoSpaceDE/>
        <w:autoSpaceDN/>
        <w:adjustRightInd/>
        <w:ind w:left="2160" w:right="720"/>
        <w:jc w:val="both"/>
        <w:textAlignment w:val="auto"/>
        <w:rPr>
          <w:rFonts w:ascii="Times New Roman" w:hAnsi="Times New Roman"/>
          <w:szCs w:val="24"/>
        </w:rPr>
      </w:pPr>
      <w:r w:rsidRPr="00A322F8">
        <w:rPr>
          <w:rFonts w:ascii="Times New Roman" w:hAnsi="Times New Roman"/>
          <w:szCs w:val="24"/>
        </w:rPr>
        <w:t>(i) Shall be billed for the appropriate customer charges for that billing period; and</w:t>
      </w:r>
    </w:p>
    <w:p w14:paraId="68E751DB" w14:textId="74A690C7" w:rsidR="00A322F8" w:rsidRPr="00A322F8" w:rsidRDefault="00A322F8" w:rsidP="00A322F8">
      <w:pPr>
        <w:widowControl/>
        <w:overflowPunct/>
        <w:autoSpaceDE/>
        <w:autoSpaceDN/>
        <w:adjustRightInd/>
        <w:spacing w:after="240"/>
        <w:ind w:left="2160" w:right="720"/>
        <w:jc w:val="both"/>
        <w:textAlignment w:val="auto"/>
        <w:rPr>
          <w:rFonts w:ascii="Times New Roman" w:hAnsi="Times New Roman"/>
          <w:szCs w:val="24"/>
        </w:rPr>
      </w:pPr>
      <w:r w:rsidRPr="00A322F8">
        <w:rPr>
          <w:rFonts w:ascii="Times New Roman" w:hAnsi="Times New Roman"/>
          <w:szCs w:val="24"/>
        </w:rPr>
        <w:lastRenderedPageBreak/>
        <w:t>(ii) Shall be credited for the excess kilowatt-hours generated during the billing period at an agreed to rate as filed with the commission, with this kilowatt-hour credit appearing on the bill for the billing period</w:t>
      </w:r>
      <w:r w:rsidR="009407DC">
        <w:rPr>
          <w:rFonts w:ascii="Times New Roman" w:hAnsi="Times New Roman"/>
          <w:szCs w:val="24"/>
        </w:rPr>
        <w:t>.</w:t>
      </w:r>
    </w:p>
    <w:p w14:paraId="0D3C2C7B" w14:textId="087ED9B7" w:rsidR="00A322F8" w:rsidRPr="00A322F8" w:rsidRDefault="00A322F8" w:rsidP="004B6D89">
      <w:pPr>
        <w:widowControl/>
        <w:overflowPunct/>
        <w:autoSpaceDE/>
        <w:autoSpaceDN/>
        <w:adjustRightInd/>
        <w:spacing w:line="480" w:lineRule="auto"/>
        <w:jc w:val="both"/>
        <w:textAlignment w:val="auto"/>
        <w:rPr>
          <w:rFonts w:ascii="Times New Roman" w:hAnsi="Times New Roman"/>
          <w:szCs w:val="24"/>
        </w:rPr>
      </w:pPr>
      <w:r w:rsidRPr="00A322F8">
        <w:rPr>
          <w:rFonts w:ascii="Times New Roman" w:hAnsi="Times New Roman"/>
          <w:szCs w:val="24"/>
        </w:rPr>
        <w:tab/>
        <w:t>Notably, the introductory phrase for how a customer is billed simply states “when the electricity generated by the customer</w:t>
      </w:r>
      <w:r w:rsidR="006F6CB0">
        <w:rPr>
          <w:rFonts w:ascii="Times New Roman" w:hAnsi="Times New Roman"/>
          <w:szCs w:val="24"/>
        </w:rPr>
        <w:t>’</w:t>
      </w:r>
      <w:r w:rsidRPr="00A322F8">
        <w:rPr>
          <w:rFonts w:ascii="Times New Roman" w:hAnsi="Times New Roman"/>
          <w:szCs w:val="24"/>
        </w:rPr>
        <w:t xml:space="preserve">s distributed generation system exceeds the electricity supplied by the electric service provider.” This phrase does not include a reference to a specific time period over which </w:t>
      </w:r>
      <w:r w:rsidR="006152C5">
        <w:rPr>
          <w:rFonts w:ascii="Times New Roman" w:hAnsi="Times New Roman"/>
          <w:szCs w:val="24"/>
        </w:rPr>
        <w:t xml:space="preserve">the </w:t>
      </w:r>
      <w:r w:rsidRPr="00A322F8">
        <w:rPr>
          <w:rFonts w:ascii="Times New Roman" w:hAnsi="Times New Roman"/>
          <w:szCs w:val="24"/>
        </w:rPr>
        <w:t>customer</w:t>
      </w:r>
      <w:r w:rsidR="006F6CB0">
        <w:rPr>
          <w:rFonts w:ascii="Times New Roman" w:hAnsi="Times New Roman"/>
          <w:szCs w:val="24"/>
        </w:rPr>
        <w:t>’</w:t>
      </w:r>
      <w:r w:rsidRPr="00A322F8">
        <w:rPr>
          <w:rFonts w:ascii="Times New Roman" w:hAnsi="Times New Roman"/>
          <w:szCs w:val="24"/>
        </w:rPr>
        <w:t>s production or consumption is netted. Nothing in section (C) changes the prior determination in section (A) that the customer</w:t>
      </w:r>
      <w:r w:rsidR="006F6CB0">
        <w:rPr>
          <w:rFonts w:ascii="Times New Roman" w:hAnsi="Times New Roman"/>
          <w:szCs w:val="24"/>
        </w:rPr>
        <w:t>’</w:t>
      </w:r>
      <w:r w:rsidRPr="00A322F8">
        <w:rPr>
          <w:rFonts w:ascii="Times New Roman" w:hAnsi="Times New Roman"/>
          <w:szCs w:val="24"/>
        </w:rPr>
        <w:t>s generation is measured “in accordance with normal metering practices using bidirectional metering” as previously discussed. In contrast, subparts (i) and (ii) appropriately reference the billing period because the customer</w:t>
      </w:r>
      <w:r w:rsidR="006F6CB0">
        <w:rPr>
          <w:rFonts w:ascii="Times New Roman" w:hAnsi="Times New Roman"/>
          <w:szCs w:val="24"/>
        </w:rPr>
        <w:t>’</w:t>
      </w:r>
      <w:r w:rsidRPr="00A322F8">
        <w:rPr>
          <w:rFonts w:ascii="Times New Roman" w:hAnsi="Times New Roman"/>
          <w:szCs w:val="24"/>
        </w:rPr>
        <w:t>s monthly bill is the time and place when the customer is charged for their use and credited for any excess electricity generated. As explained in the Company</w:t>
      </w:r>
      <w:r w:rsidR="006F6CB0">
        <w:rPr>
          <w:rFonts w:ascii="Times New Roman" w:hAnsi="Times New Roman"/>
          <w:szCs w:val="24"/>
        </w:rPr>
        <w:t>’</w:t>
      </w:r>
      <w:r w:rsidRPr="00A322F8">
        <w:rPr>
          <w:rFonts w:ascii="Times New Roman" w:hAnsi="Times New Roman"/>
          <w:szCs w:val="24"/>
        </w:rPr>
        <w:t>s rebuttal testimony, “the fact that a participating customer is credited monthly for any excess energy generated over the billing period does not affect how that energy is measured in accordance with the Company</w:t>
      </w:r>
      <w:r w:rsidR="006F6CB0">
        <w:rPr>
          <w:rFonts w:ascii="Times New Roman" w:hAnsi="Times New Roman"/>
          <w:szCs w:val="24"/>
        </w:rPr>
        <w:t>’</w:t>
      </w:r>
      <w:r w:rsidRPr="00A322F8">
        <w:rPr>
          <w:rFonts w:ascii="Times New Roman" w:hAnsi="Times New Roman"/>
          <w:szCs w:val="24"/>
        </w:rPr>
        <w:t xml:space="preserve">s </w:t>
      </w:r>
      <w:r w:rsidR="006F6CB0">
        <w:rPr>
          <w:rFonts w:ascii="Times New Roman" w:hAnsi="Times New Roman"/>
          <w:szCs w:val="24"/>
        </w:rPr>
        <w:t>‘</w:t>
      </w:r>
      <w:r w:rsidRPr="00A322F8">
        <w:rPr>
          <w:rFonts w:ascii="Times New Roman" w:hAnsi="Times New Roman"/>
          <w:szCs w:val="24"/>
        </w:rPr>
        <w:t>normal metering practices using bidirectional metering,</w:t>
      </w:r>
      <w:r w:rsidR="006F6CB0">
        <w:rPr>
          <w:rFonts w:ascii="Times New Roman" w:hAnsi="Times New Roman"/>
          <w:szCs w:val="24"/>
        </w:rPr>
        <w:t>’</w:t>
      </w:r>
      <w:r w:rsidRPr="00A322F8">
        <w:rPr>
          <w:rFonts w:ascii="Times New Roman" w:hAnsi="Times New Roman"/>
          <w:szCs w:val="24"/>
        </w:rPr>
        <w:t xml:space="preserve"> as directed by the Cogen Act.”</w:t>
      </w:r>
      <w:r w:rsidR="006152C5">
        <w:rPr>
          <w:rFonts w:ascii="Times New Roman" w:hAnsi="Times New Roman"/>
          <w:szCs w:val="24"/>
        </w:rPr>
        <w:t xml:space="preserve"> (</w:t>
      </w:r>
      <w:r w:rsidR="00124665">
        <w:rPr>
          <w:rFonts w:ascii="Times New Roman" w:hAnsi="Times New Roman"/>
          <w:szCs w:val="24"/>
        </w:rPr>
        <w:t>Tr. 2900</w:t>
      </w:r>
      <w:r w:rsidR="006152C5">
        <w:rPr>
          <w:rFonts w:ascii="Times New Roman" w:hAnsi="Times New Roman"/>
          <w:szCs w:val="24"/>
        </w:rPr>
        <w:t>.)</w:t>
      </w:r>
    </w:p>
    <w:p w14:paraId="1DC1DEB3" w14:textId="426F1CAD" w:rsidR="002475DE" w:rsidRDefault="00A322F8" w:rsidP="004B6D89">
      <w:pPr>
        <w:widowControl/>
        <w:overflowPunct/>
        <w:autoSpaceDE/>
        <w:autoSpaceDN/>
        <w:adjustRightInd/>
        <w:spacing w:line="480" w:lineRule="auto"/>
        <w:jc w:val="both"/>
        <w:textAlignment w:val="auto"/>
        <w:rPr>
          <w:rFonts w:ascii="Times New Roman" w:hAnsi="Times New Roman"/>
          <w:szCs w:val="24"/>
        </w:rPr>
      </w:pPr>
      <w:r w:rsidRPr="00A322F8">
        <w:rPr>
          <w:rFonts w:ascii="Times New Roman" w:hAnsi="Times New Roman"/>
          <w:szCs w:val="24"/>
        </w:rPr>
        <w:tab/>
        <w:t xml:space="preserve">GIPL/Southface/Vote Solar argue that the word </w:t>
      </w:r>
      <w:r w:rsidR="006F6CB0">
        <w:rPr>
          <w:rFonts w:ascii="Times New Roman" w:hAnsi="Times New Roman"/>
          <w:szCs w:val="24"/>
        </w:rPr>
        <w:t>‘</w:t>
      </w:r>
      <w:r w:rsidRPr="00A322F8">
        <w:rPr>
          <w:rFonts w:ascii="Times New Roman" w:hAnsi="Times New Roman"/>
          <w:szCs w:val="24"/>
        </w:rPr>
        <w:t>or</w:t>
      </w:r>
      <w:r w:rsidR="006F6CB0">
        <w:rPr>
          <w:rFonts w:ascii="Times New Roman" w:hAnsi="Times New Roman"/>
          <w:szCs w:val="24"/>
        </w:rPr>
        <w:t>’</w:t>
      </w:r>
      <w:r w:rsidRPr="00A322F8">
        <w:rPr>
          <w:rFonts w:ascii="Times New Roman" w:hAnsi="Times New Roman"/>
          <w:szCs w:val="24"/>
        </w:rPr>
        <w:t xml:space="preserve"> in O.C.G.A. § </w:t>
      </w:r>
      <w:r w:rsidR="009407DC">
        <w:rPr>
          <w:rFonts w:ascii="Times New Roman" w:hAnsi="Times New Roman"/>
          <w:szCs w:val="24"/>
        </w:rPr>
        <w:t>4</w:t>
      </w:r>
      <w:r w:rsidRPr="00A322F8">
        <w:rPr>
          <w:rFonts w:ascii="Times New Roman" w:hAnsi="Times New Roman"/>
          <w:szCs w:val="24"/>
        </w:rPr>
        <w:t xml:space="preserve">6-3-55(1)(A), which instructs utilities to “measure the electricity produced </w:t>
      </w:r>
      <w:r w:rsidRPr="00A322F8">
        <w:rPr>
          <w:rFonts w:ascii="Times New Roman" w:hAnsi="Times New Roman"/>
          <w:i/>
          <w:szCs w:val="24"/>
        </w:rPr>
        <w:t>or</w:t>
      </w:r>
      <w:r w:rsidRPr="00A322F8">
        <w:rPr>
          <w:rFonts w:ascii="Times New Roman" w:hAnsi="Times New Roman"/>
          <w:szCs w:val="24"/>
        </w:rPr>
        <w:t xml:space="preserve"> consumed during the billing period, in accordance with normal meter practices using bidirectional metering,” implies an expectation that a bill would not report both production </w:t>
      </w:r>
      <w:r w:rsidRPr="00A322F8">
        <w:rPr>
          <w:rFonts w:ascii="Times New Roman" w:hAnsi="Times New Roman"/>
          <w:i/>
          <w:iCs/>
          <w:szCs w:val="24"/>
        </w:rPr>
        <w:t>and</w:t>
      </w:r>
      <w:r w:rsidRPr="00A322F8">
        <w:rPr>
          <w:rFonts w:ascii="Times New Roman" w:hAnsi="Times New Roman"/>
          <w:szCs w:val="24"/>
        </w:rPr>
        <w:t xml:space="preserve"> consumption over a billing period. (</w:t>
      </w:r>
      <w:r w:rsidR="00124665">
        <w:rPr>
          <w:rFonts w:ascii="Times New Roman" w:hAnsi="Times New Roman"/>
          <w:szCs w:val="24"/>
        </w:rPr>
        <w:t>Tr. 19</w:t>
      </w:r>
      <w:r w:rsidR="002D71DA">
        <w:rPr>
          <w:rFonts w:ascii="Times New Roman" w:hAnsi="Times New Roman"/>
          <w:szCs w:val="24"/>
        </w:rPr>
        <w:t>6</w:t>
      </w:r>
      <w:r w:rsidR="00124665">
        <w:rPr>
          <w:rFonts w:ascii="Times New Roman" w:hAnsi="Times New Roman"/>
          <w:szCs w:val="24"/>
        </w:rPr>
        <w:t>8-</w:t>
      </w:r>
      <w:r w:rsidR="002D71DA">
        <w:rPr>
          <w:rFonts w:ascii="Times New Roman" w:hAnsi="Times New Roman"/>
          <w:szCs w:val="24"/>
        </w:rPr>
        <w:t>6</w:t>
      </w:r>
      <w:r w:rsidR="00124665">
        <w:rPr>
          <w:rFonts w:ascii="Times New Roman" w:hAnsi="Times New Roman"/>
          <w:szCs w:val="24"/>
        </w:rPr>
        <w:t>9</w:t>
      </w:r>
      <w:r w:rsidRPr="00A322F8">
        <w:rPr>
          <w:rFonts w:ascii="Times New Roman" w:hAnsi="Times New Roman"/>
          <w:szCs w:val="24"/>
        </w:rPr>
        <w:t xml:space="preserve">.) </w:t>
      </w:r>
      <w:r w:rsidR="00AA17EA" w:rsidRPr="00A322F8">
        <w:rPr>
          <w:rFonts w:ascii="Times New Roman" w:hAnsi="Times New Roman"/>
          <w:szCs w:val="24"/>
        </w:rPr>
        <w:t xml:space="preserve">However, this argument </w:t>
      </w:r>
      <w:r w:rsidR="00AA17EA">
        <w:rPr>
          <w:rFonts w:ascii="Times New Roman" w:hAnsi="Times New Roman"/>
          <w:szCs w:val="24"/>
        </w:rPr>
        <w:t xml:space="preserve">shows a lack of understanding as to how a bidirectional meter works. Based on the laws of physics and the fundamental nature of electricity, at any one time, electricity is either flowing from the grid to the premises, or from the premises to the grid, and a bidirectional meter measures this flow of energy as it happens. Customer production and customer consumption </w:t>
      </w:r>
      <w:r w:rsidR="00AA17EA">
        <w:rPr>
          <w:rFonts w:ascii="Times New Roman" w:hAnsi="Times New Roman"/>
          <w:szCs w:val="24"/>
        </w:rPr>
        <w:lastRenderedPageBreak/>
        <w:t xml:space="preserve">do not happen at the same time; therefore, the “electricity produced or consumed during the billing period” has to be a measurement of one “or” the other. They cannot happen at the same time. GIPL/Southface/Vote Solar </w:t>
      </w:r>
      <w:r w:rsidR="00AA17EA" w:rsidRPr="00A322F8">
        <w:rPr>
          <w:rFonts w:ascii="Times New Roman" w:hAnsi="Times New Roman"/>
          <w:szCs w:val="24"/>
        </w:rPr>
        <w:t xml:space="preserve">incorrectly </w:t>
      </w:r>
      <w:r w:rsidR="00AA17EA">
        <w:rPr>
          <w:rFonts w:ascii="Times New Roman" w:hAnsi="Times New Roman"/>
          <w:szCs w:val="24"/>
        </w:rPr>
        <w:t>confuses</w:t>
      </w:r>
      <w:r w:rsidR="00AA17EA" w:rsidRPr="00A322F8">
        <w:rPr>
          <w:rFonts w:ascii="Times New Roman" w:hAnsi="Times New Roman"/>
          <w:szCs w:val="24"/>
        </w:rPr>
        <w:t xml:space="preserve"> the act of </w:t>
      </w:r>
      <w:r w:rsidR="00AA17EA" w:rsidRPr="00A322F8">
        <w:rPr>
          <w:rFonts w:ascii="Times New Roman" w:hAnsi="Times New Roman"/>
          <w:i/>
          <w:szCs w:val="24"/>
        </w:rPr>
        <w:t>measuring</w:t>
      </w:r>
      <w:r w:rsidR="00AA17EA" w:rsidRPr="00A322F8">
        <w:rPr>
          <w:rFonts w:ascii="Times New Roman" w:hAnsi="Times New Roman"/>
          <w:szCs w:val="24"/>
        </w:rPr>
        <w:t xml:space="preserve"> production and consumption with a bidirectional meter </w:t>
      </w:r>
      <w:r w:rsidR="00AA17EA">
        <w:rPr>
          <w:rFonts w:ascii="Times New Roman" w:hAnsi="Times New Roman"/>
          <w:szCs w:val="24"/>
        </w:rPr>
        <w:t>with</w:t>
      </w:r>
      <w:r w:rsidR="00AA17EA" w:rsidRPr="00A322F8">
        <w:rPr>
          <w:rFonts w:ascii="Times New Roman" w:hAnsi="Times New Roman"/>
          <w:szCs w:val="24"/>
        </w:rPr>
        <w:t xml:space="preserve"> the act of </w:t>
      </w:r>
      <w:r w:rsidR="00AA17EA" w:rsidRPr="00A322F8">
        <w:rPr>
          <w:rFonts w:ascii="Times New Roman" w:hAnsi="Times New Roman"/>
          <w:i/>
          <w:szCs w:val="24"/>
        </w:rPr>
        <w:t>crediting</w:t>
      </w:r>
      <w:r w:rsidR="00AA17EA" w:rsidRPr="00A322F8">
        <w:rPr>
          <w:rFonts w:ascii="Times New Roman" w:hAnsi="Times New Roman"/>
          <w:szCs w:val="24"/>
        </w:rPr>
        <w:t xml:space="preserve"> a customer for excess generation on their bill.</w:t>
      </w:r>
      <w:r w:rsidR="00AA17EA">
        <w:rPr>
          <w:rFonts w:ascii="Times New Roman" w:hAnsi="Times New Roman"/>
          <w:szCs w:val="24"/>
        </w:rPr>
        <w:t xml:space="preserve"> When the customer uses more energy than they produce, the Company correctly charges the customer the retail rate for all energy consumed. Likewise, when the customer produces more energy than they consume, the Company pays the customer its avoided cost rate for all energy sent to the grid. This is the “agreed to rate” specified above in section (C)(ii).</w:t>
      </w:r>
      <w:r w:rsidR="00AA17EA" w:rsidRPr="00A322F8">
        <w:rPr>
          <w:rFonts w:ascii="Times New Roman" w:hAnsi="Times New Roman"/>
          <w:szCs w:val="24"/>
        </w:rPr>
        <w:t xml:space="preserve"> </w:t>
      </w:r>
      <w:r w:rsidRPr="00A322F8">
        <w:rPr>
          <w:rFonts w:ascii="Times New Roman" w:hAnsi="Times New Roman"/>
          <w:szCs w:val="24"/>
        </w:rPr>
        <w:t xml:space="preserve"> Further, GIPL/Southface/Vote Solar regularly discuss what such language “implies” and what would be “presumed by a reasonable reader.” </w:t>
      </w:r>
      <w:r w:rsidR="009909C0">
        <w:rPr>
          <w:rFonts w:ascii="Times New Roman" w:hAnsi="Times New Roman"/>
          <w:szCs w:val="24"/>
        </w:rPr>
        <w:t>(</w:t>
      </w:r>
      <w:r w:rsidR="00124665">
        <w:rPr>
          <w:rFonts w:ascii="Times New Roman" w:hAnsi="Times New Roman"/>
          <w:szCs w:val="24"/>
        </w:rPr>
        <w:t>Tr. 19</w:t>
      </w:r>
      <w:r w:rsidR="002D71DA">
        <w:rPr>
          <w:rFonts w:ascii="Times New Roman" w:hAnsi="Times New Roman"/>
          <w:szCs w:val="24"/>
        </w:rPr>
        <w:t>6</w:t>
      </w:r>
      <w:r w:rsidR="00124665">
        <w:rPr>
          <w:rFonts w:ascii="Times New Roman" w:hAnsi="Times New Roman"/>
          <w:szCs w:val="24"/>
        </w:rPr>
        <w:t>9</w:t>
      </w:r>
      <w:r w:rsidR="009909C0">
        <w:rPr>
          <w:rFonts w:ascii="Times New Roman" w:hAnsi="Times New Roman"/>
          <w:szCs w:val="24"/>
        </w:rPr>
        <w:t xml:space="preserve">.) </w:t>
      </w:r>
      <w:r w:rsidRPr="00A322F8">
        <w:rPr>
          <w:rFonts w:ascii="Times New Roman" w:hAnsi="Times New Roman"/>
          <w:szCs w:val="24"/>
        </w:rPr>
        <w:t>They cannot point to the plain language to support their argument because it</w:t>
      </w:r>
      <w:r w:rsidR="006F6CB0">
        <w:rPr>
          <w:rFonts w:ascii="Times New Roman" w:hAnsi="Times New Roman"/>
          <w:szCs w:val="24"/>
        </w:rPr>
        <w:t>’</w:t>
      </w:r>
      <w:r w:rsidRPr="00A322F8">
        <w:rPr>
          <w:rFonts w:ascii="Times New Roman" w:hAnsi="Times New Roman"/>
          <w:szCs w:val="24"/>
        </w:rPr>
        <w:t xml:space="preserve">s not there. </w:t>
      </w:r>
    </w:p>
    <w:p w14:paraId="34679B1B" w14:textId="5395BDBA" w:rsidR="001A5001" w:rsidRDefault="001A5001" w:rsidP="00F362F6">
      <w:pPr>
        <w:widowControl/>
        <w:overflowPunct/>
        <w:autoSpaceDE/>
        <w:autoSpaceDN/>
        <w:adjustRightInd/>
        <w:spacing w:line="480" w:lineRule="auto"/>
        <w:ind w:firstLine="720"/>
        <w:jc w:val="both"/>
        <w:textAlignment w:val="auto"/>
        <w:rPr>
          <w:rFonts w:ascii="Times New Roman" w:hAnsi="Times New Roman"/>
          <w:szCs w:val="24"/>
        </w:rPr>
      </w:pPr>
      <w:r>
        <w:rPr>
          <w:rFonts w:ascii="Times New Roman" w:hAnsi="Times New Roman"/>
          <w:szCs w:val="24"/>
        </w:rPr>
        <w:t xml:space="preserve">It is also incorrect to assume that for bidirectional metering applications the use of the </w:t>
      </w:r>
      <w:r w:rsidRPr="00727CB4">
        <w:rPr>
          <w:rFonts w:ascii="Times New Roman" w:hAnsi="Times New Roman"/>
          <w:szCs w:val="24"/>
        </w:rPr>
        <w:t xml:space="preserve">word “or” in </w:t>
      </w:r>
      <w:r>
        <w:rPr>
          <w:rFonts w:ascii="Times New Roman" w:hAnsi="Times New Roman"/>
          <w:szCs w:val="24"/>
        </w:rPr>
        <w:t xml:space="preserve">O.C.G.A. </w:t>
      </w:r>
      <w:r w:rsidRPr="00863C52">
        <w:rPr>
          <w:rFonts w:ascii="Times New Roman" w:hAnsi="Times New Roman"/>
        </w:rPr>
        <w:t xml:space="preserve">§ 46-3-55(1)(A) </w:t>
      </w:r>
      <w:r>
        <w:rPr>
          <w:rFonts w:ascii="Times New Roman" w:hAnsi="Times New Roman"/>
        </w:rPr>
        <w:t xml:space="preserve">and (B) </w:t>
      </w:r>
      <w:r w:rsidRPr="00727CB4">
        <w:rPr>
          <w:rFonts w:ascii="Times New Roman" w:hAnsi="Times New Roman"/>
          <w:szCs w:val="24"/>
        </w:rPr>
        <w:t xml:space="preserve">implies an expectation that a bill would not report both consumption and </w:t>
      </w:r>
      <w:r w:rsidR="0077314B">
        <w:rPr>
          <w:rFonts w:ascii="Times New Roman" w:hAnsi="Times New Roman"/>
          <w:szCs w:val="24"/>
        </w:rPr>
        <w:t>production</w:t>
      </w:r>
      <w:r w:rsidRPr="00727CB4">
        <w:rPr>
          <w:rFonts w:ascii="Times New Roman" w:hAnsi="Times New Roman"/>
          <w:szCs w:val="24"/>
        </w:rPr>
        <w:t xml:space="preserve"> over a billing period</w:t>
      </w:r>
      <w:r>
        <w:rPr>
          <w:rFonts w:ascii="Times New Roman" w:hAnsi="Times New Roman"/>
          <w:szCs w:val="24"/>
        </w:rPr>
        <w:t xml:space="preserve">, as asserted in GIPL/Southface/Vote Solar (Tr. 1968-69). The witnesses ignore the fact that the same language, including the use of the word “or”, is also used in </w:t>
      </w:r>
      <w:r w:rsidR="00F362F6">
        <w:rPr>
          <w:rFonts w:ascii="Times New Roman" w:hAnsi="Times New Roman"/>
          <w:szCs w:val="24"/>
        </w:rPr>
        <w:t xml:space="preserve">O.C.G.A. § </w:t>
      </w:r>
      <w:r>
        <w:rPr>
          <w:rFonts w:ascii="Times New Roman" w:hAnsi="Times New Roman"/>
          <w:szCs w:val="24"/>
        </w:rPr>
        <w:t>46-3-55 (2)(A) and (B), which describes the billing for single directional metering configurations, interconnected on the utility side of the meter. The notion that “to any reasonable reader, this would imply that production and consumption are netted at the billing period”</w:t>
      </w:r>
      <w:r w:rsidR="00F362F6">
        <w:rPr>
          <w:rFonts w:ascii="Times New Roman" w:hAnsi="Times New Roman"/>
          <w:szCs w:val="24"/>
        </w:rPr>
        <w:t xml:space="preserve"> (Tr. 1969)</w:t>
      </w:r>
      <w:r>
        <w:rPr>
          <w:rFonts w:ascii="Times New Roman" w:hAnsi="Times New Roman"/>
          <w:szCs w:val="24"/>
        </w:rPr>
        <w:t xml:space="preserve"> is a fallacy that is exposed in the single directional metering scenario, where each meter would only show production (for the solar meter) or consumption (for the premise</w:t>
      </w:r>
      <w:r w:rsidR="00F362F6">
        <w:rPr>
          <w:rFonts w:ascii="Times New Roman" w:hAnsi="Times New Roman"/>
          <w:szCs w:val="24"/>
        </w:rPr>
        <w:t>s</w:t>
      </w:r>
      <w:r>
        <w:rPr>
          <w:rFonts w:ascii="Times New Roman" w:hAnsi="Times New Roman"/>
          <w:szCs w:val="24"/>
        </w:rPr>
        <w:t xml:space="preserve"> meter) over the course of the billing period. The language of the Cogen Act clearly anticipates both production and consumption over the course of the billing period, and the methodology </w:t>
      </w:r>
      <w:r>
        <w:rPr>
          <w:rFonts w:ascii="Times New Roman" w:hAnsi="Times New Roman"/>
          <w:szCs w:val="24"/>
        </w:rPr>
        <w:lastRenderedPageBreak/>
        <w:t xml:space="preserve">Georgia Power employs in the RNR </w:t>
      </w:r>
      <w:r w:rsidR="00F362F6">
        <w:rPr>
          <w:rFonts w:ascii="Times New Roman" w:hAnsi="Times New Roman"/>
          <w:szCs w:val="24"/>
        </w:rPr>
        <w:t>Tariff</w:t>
      </w:r>
      <w:r>
        <w:rPr>
          <w:rFonts w:ascii="Times New Roman" w:hAnsi="Times New Roman"/>
          <w:szCs w:val="24"/>
        </w:rPr>
        <w:t xml:space="preserve"> is in compliance with the Cogen Act for both bidirectional and single directional metering configurations.</w:t>
      </w:r>
    </w:p>
    <w:p w14:paraId="58833011" w14:textId="479A77D2" w:rsidR="00A322F8" w:rsidRPr="00A322F8" w:rsidRDefault="005C5C2C" w:rsidP="003B2E09">
      <w:pPr>
        <w:widowControl/>
        <w:overflowPunct/>
        <w:autoSpaceDE/>
        <w:autoSpaceDN/>
        <w:adjustRightInd/>
        <w:spacing w:line="480" w:lineRule="auto"/>
        <w:ind w:firstLine="720"/>
        <w:jc w:val="both"/>
        <w:textAlignment w:val="auto"/>
        <w:rPr>
          <w:rFonts w:ascii="Times New Roman" w:hAnsi="Times New Roman"/>
          <w:szCs w:val="24"/>
        </w:rPr>
      </w:pPr>
      <w:bookmarkStart w:id="66" w:name="_Hlk26337268"/>
      <w:r>
        <w:rPr>
          <w:rFonts w:ascii="Times New Roman" w:hAnsi="Times New Roman"/>
          <w:szCs w:val="24"/>
        </w:rPr>
        <w:t xml:space="preserve">Further, </w:t>
      </w:r>
      <w:r w:rsidRPr="00A322F8">
        <w:rPr>
          <w:rFonts w:ascii="Times New Roman" w:hAnsi="Times New Roman"/>
          <w:szCs w:val="24"/>
        </w:rPr>
        <w:t>GIPL/Southface/Vote Solar</w:t>
      </w:r>
      <w:r>
        <w:rPr>
          <w:rFonts w:ascii="Times New Roman" w:hAnsi="Times New Roman"/>
          <w:szCs w:val="24"/>
        </w:rPr>
        <w:t>’s assertion that RNR customers might be confused as to how they are credited for their generation is entirely without support.</w:t>
      </w:r>
      <w:r w:rsidRPr="00A322F8">
        <w:rPr>
          <w:rFonts w:ascii="Times New Roman" w:hAnsi="Times New Roman"/>
          <w:szCs w:val="24"/>
        </w:rPr>
        <w:t xml:space="preserve"> </w:t>
      </w:r>
      <w:r>
        <w:rPr>
          <w:rFonts w:ascii="Times New Roman" w:hAnsi="Times New Roman"/>
          <w:szCs w:val="24"/>
        </w:rPr>
        <w:t xml:space="preserve">Georgia Power has an entire department </w:t>
      </w:r>
      <w:r w:rsidR="008B004B">
        <w:rPr>
          <w:rFonts w:ascii="Times New Roman" w:hAnsi="Times New Roman"/>
          <w:szCs w:val="24"/>
        </w:rPr>
        <w:t xml:space="preserve">of experts </w:t>
      </w:r>
      <w:r>
        <w:rPr>
          <w:rFonts w:ascii="Times New Roman" w:hAnsi="Times New Roman"/>
          <w:szCs w:val="24"/>
        </w:rPr>
        <w:t>available to discuss these questions with customers as they arise. Nonetheless, a</w:t>
      </w:r>
      <w:r w:rsidRPr="00A322F8">
        <w:rPr>
          <w:rFonts w:ascii="Times New Roman" w:hAnsi="Times New Roman"/>
          <w:szCs w:val="24"/>
        </w:rPr>
        <w:t xml:space="preserve">s </w:t>
      </w:r>
      <w:r w:rsidR="00A322F8" w:rsidRPr="00A322F8">
        <w:rPr>
          <w:rFonts w:ascii="Times New Roman" w:hAnsi="Times New Roman"/>
          <w:szCs w:val="24"/>
        </w:rPr>
        <w:t xml:space="preserve">mentioned in rebuttal testimony, the Company is willing to revisit the RNR tariff language to clarify how energy consumption and production is measured </w:t>
      </w:r>
      <w:r w:rsidR="009407DC">
        <w:rPr>
          <w:rFonts w:ascii="Times New Roman" w:hAnsi="Times New Roman"/>
          <w:szCs w:val="24"/>
        </w:rPr>
        <w:t xml:space="preserve">and credited </w:t>
      </w:r>
      <w:r w:rsidR="00A322F8" w:rsidRPr="00A322F8">
        <w:rPr>
          <w:rFonts w:ascii="Times New Roman" w:hAnsi="Times New Roman"/>
          <w:szCs w:val="24"/>
        </w:rPr>
        <w:t>for customers on that rate.</w:t>
      </w:r>
      <w:r w:rsidR="009909C0">
        <w:rPr>
          <w:rFonts w:ascii="Times New Roman" w:hAnsi="Times New Roman"/>
          <w:szCs w:val="24"/>
        </w:rPr>
        <w:t xml:space="preserve"> (</w:t>
      </w:r>
      <w:r w:rsidR="00124665">
        <w:rPr>
          <w:rFonts w:ascii="Times New Roman" w:hAnsi="Times New Roman"/>
          <w:szCs w:val="24"/>
        </w:rPr>
        <w:t>Tr. 2900</w:t>
      </w:r>
      <w:r w:rsidR="009909C0">
        <w:rPr>
          <w:rFonts w:ascii="Times New Roman" w:hAnsi="Times New Roman"/>
          <w:szCs w:val="24"/>
        </w:rPr>
        <w:t>.)</w:t>
      </w:r>
    </w:p>
    <w:bookmarkEnd w:id="66"/>
    <w:p w14:paraId="3BD7DDA8" w14:textId="5B1C283F" w:rsidR="00A322F8" w:rsidRPr="00A322F8" w:rsidRDefault="00A322F8" w:rsidP="004B6D89">
      <w:pPr>
        <w:widowControl/>
        <w:overflowPunct/>
        <w:autoSpaceDE/>
        <w:autoSpaceDN/>
        <w:adjustRightInd/>
        <w:spacing w:line="480" w:lineRule="auto"/>
        <w:jc w:val="both"/>
        <w:textAlignment w:val="auto"/>
        <w:rPr>
          <w:rFonts w:ascii="Times New Roman" w:hAnsi="Times New Roman"/>
          <w:szCs w:val="24"/>
        </w:rPr>
      </w:pPr>
      <w:r w:rsidRPr="00A322F8">
        <w:rPr>
          <w:rFonts w:ascii="Times New Roman" w:hAnsi="Times New Roman"/>
          <w:szCs w:val="24"/>
        </w:rPr>
        <w:tab/>
        <w:t>GIPL/Southface/Vote Solar assert that the difference between Georgia Power</w:t>
      </w:r>
      <w:r w:rsidR="006F6CB0">
        <w:rPr>
          <w:rFonts w:ascii="Times New Roman" w:hAnsi="Times New Roman"/>
          <w:szCs w:val="24"/>
        </w:rPr>
        <w:t>’</w:t>
      </w:r>
      <w:r w:rsidRPr="00A322F8">
        <w:rPr>
          <w:rFonts w:ascii="Times New Roman" w:hAnsi="Times New Roman"/>
          <w:szCs w:val="24"/>
        </w:rPr>
        <w:t>s monthly netting period for its Community Solar program and its energy measurement under the RNR tariff demonstrates discriminatory rate treatment against self-generating customers.</w:t>
      </w:r>
      <w:r w:rsidR="009909C0">
        <w:rPr>
          <w:rFonts w:ascii="Times New Roman" w:hAnsi="Times New Roman"/>
          <w:szCs w:val="24"/>
        </w:rPr>
        <w:t xml:space="preserve"> (</w:t>
      </w:r>
      <w:r w:rsidR="00124665">
        <w:rPr>
          <w:rFonts w:ascii="Times New Roman" w:hAnsi="Times New Roman"/>
          <w:szCs w:val="24"/>
        </w:rPr>
        <w:t>Tr. 1971-72</w:t>
      </w:r>
      <w:r w:rsidR="009909C0">
        <w:rPr>
          <w:rFonts w:ascii="Times New Roman" w:hAnsi="Times New Roman"/>
          <w:szCs w:val="24"/>
        </w:rPr>
        <w:t>.)</w:t>
      </w:r>
      <w:r w:rsidRPr="00A322F8">
        <w:rPr>
          <w:rFonts w:ascii="Times New Roman" w:hAnsi="Times New Roman"/>
          <w:szCs w:val="24"/>
        </w:rPr>
        <w:t xml:space="preserve"> This allegation is patently false. It is appropriate for Georgia Power to net the production of the Community Solar facility and consumption of participating customers at a retail rate on a monthly basis because customers pay to participate in the Community Solar program. (</w:t>
      </w:r>
      <w:r w:rsidR="00124665">
        <w:rPr>
          <w:rFonts w:ascii="Times New Roman" w:hAnsi="Times New Roman"/>
          <w:szCs w:val="24"/>
        </w:rPr>
        <w:t>Tr. 2900</w:t>
      </w:r>
      <w:r w:rsidRPr="00A322F8">
        <w:rPr>
          <w:rFonts w:ascii="Times New Roman" w:hAnsi="Times New Roman"/>
          <w:szCs w:val="24"/>
        </w:rPr>
        <w:t>.) Customers who subscribe to a block of community solar get the kWh generated by their block netted from their bill with any monthly excess compensated at the Company</w:t>
      </w:r>
      <w:r w:rsidR="006F6CB0">
        <w:rPr>
          <w:rFonts w:ascii="Times New Roman" w:hAnsi="Times New Roman"/>
          <w:szCs w:val="24"/>
        </w:rPr>
        <w:t>’</w:t>
      </w:r>
      <w:r w:rsidRPr="00A322F8">
        <w:rPr>
          <w:rFonts w:ascii="Times New Roman" w:hAnsi="Times New Roman"/>
          <w:szCs w:val="24"/>
        </w:rPr>
        <w:t>s solar avoided cost rate. What GIPL/Southface/Vote Solar ignore is that customers in the Community Solar Program pay for their block subscription at a rate</w:t>
      </w:r>
      <w:r w:rsidR="009407DC">
        <w:rPr>
          <w:rFonts w:ascii="Times New Roman" w:hAnsi="Times New Roman"/>
          <w:szCs w:val="24"/>
        </w:rPr>
        <w:t xml:space="preserve"> of $24.99 per kW block, which is calculated to</w:t>
      </w:r>
      <w:r w:rsidRPr="00A322F8">
        <w:rPr>
          <w:rFonts w:ascii="Times New Roman" w:hAnsi="Times New Roman"/>
          <w:szCs w:val="24"/>
        </w:rPr>
        <w:t xml:space="preserve"> prevent any cost shifting from occurring, and thus ensures fairness for both participants and non-participants.</w:t>
      </w:r>
    </w:p>
    <w:p w14:paraId="635F5BEF" w14:textId="0A876265" w:rsidR="00A322F8" w:rsidRPr="00A322F8" w:rsidRDefault="00A322F8" w:rsidP="004B6D89">
      <w:pPr>
        <w:widowControl/>
        <w:overflowPunct/>
        <w:autoSpaceDE/>
        <w:autoSpaceDN/>
        <w:adjustRightInd/>
        <w:spacing w:line="480" w:lineRule="auto"/>
        <w:jc w:val="both"/>
        <w:textAlignment w:val="auto"/>
        <w:rPr>
          <w:rFonts w:ascii="Times New Roman" w:hAnsi="Times New Roman"/>
          <w:szCs w:val="24"/>
        </w:rPr>
      </w:pPr>
      <w:r w:rsidRPr="00A322F8">
        <w:rPr>
          <w:rFonts w:ascii="Times New Roman" w:hAnsi="Times New Roman"/>
          <w:szCs w:val="24"/>
        </w:rPr>
        <w:tab/>
        <w:t>GIPL/Southface/Vote Solar</w:t>
      </w:r>
      <w:r w:rsidR="006F6CB0">
        <w:rPr>
          <w:rFonts w:ascii="Times New Roman" w:hAnsi="Times New Roman"/>
          <w:szCs w:val="24"/>
        </w:rPr>
        <w:t>’</w:t>
      </w:r>
      <w:r w:rsidRPr="00A322F8">
        <w:rPr>
          <w:rFonts w:ascii="Times New Roman" w:hAnsi="Times New Roman"/>
          <w:szCs w:val="24"/>
        </w:rPr>
        <w:t>s primary object</w:t>
      </w:r>
      <w:r w:rsidR="009407DC">
        <w:rPr>
          <w:rFonts w:ascii="Times New Roman" w:hAnsi="Times New Roman"/>
          <w:szCs w:val="24"/>
        </w:rPr>
        <w:t>ion</w:t>
      </w:r>
      <w:r w:rsidRPr="00A322F8">
        <w:rPr>
          <w:rFonts w:ascii="Times New Roman" w:hAnsi="Times New Roman"/>
          <w:szCs w:val="24"/>
        </w:rPr>
        <w:t xml:space="preserve"> to the Company</w:t>
      </w:r>
      <w:r w:rsidR="006F6CB0">
        <w:rPr>
          <w:rFonts w:ascii="Times New Roman" w:hAnsi="Times New Roman"/>
          <w:szCs w:val="24"/>
        </w:rPr>
        <w:t>’</w:t>
      </w:r>
      <w:r w:rsidRPr="00A322F8">
        <w:rPr>
          <w:rFonts w:ascii="Times New Roman" w:hAnsi="Times New Roman"/>
          <w:szCs w:val="24"/>
        </w:rPr>
        <w:t>s implementation of the RNR tariff is that</w:t>
      </w:r>
      <w:r w:rsidR="009407DC">
        <w:rPr>
          <w:rFonts w:ascii="Times New Roman" w:hAnsi="Times New Roman"/>
          <w:szCs w:val="24"/>
        </w:rPr>
        <w:t xml:space="preserve"> the</w:t>
      </w:r>
      <w:r w:rsidRPr="00A322F8">
        <w:rPr>
          <w:rFonts w:ascii="Times New Roman" w:hAnsi="Times New Roman"/>
          <w:szCs w:val="24"/>
        </w:rPr>
        <w:t xml:space="preserve"> time period over which the Company measures and nets the electricity produced and consumed by the customer is too short and </w:t>
      </w:r>
      <w:r w:rsidR="009407DC">
        <w:rPr>
          <w:rFonts w:ascii="Times New Roman" w:hAnsi="Times New Roman"/>
          <w:szCs w:val="24"/>
        </w:rPr>
        <w:t>reduces the “value proposition”</w:t>
      </w:r>
      <w:r w:rsidRPr="00A322F8">
        <w:rPr>
          <w:rFonts w:ascii="Times New Roman" w:hAnsi="Times New Roman"/>
          <w:szCs w:val="24"/>
        </w:rPr>
        <w:t xml:space="preserve"> to </w:t>
      </w:r>
      <w:r w:rsidRPr="00A322F8">
        <w:rPr>
          <w:rFonts w:ascii="Times New Roman" w:hAnsi="Times New Roman"/>
          <w:szCs w:val="24"/>
        </w:rPr>
        <w:lastRenderedPageBreak/>
        <w:t xml:space="preserve">customers </w:t>
      </w:r>
      <w:r w:rsidR="009407DC">
        <w:rPr>
          <w:rFonts w:ascii="Times New Roman" w:hAnsi="Times New Roman"/>
          <w:szCs w:val="24"/>
        </w:rPr>
        <w:t>who install</w:t>
      </w:r>
      <w:r w:rsidRPr="00A322F8">
        <w:rPr>
          <w:rFonts w:ascii="Times New Roman" w:hAnsi="Times New Roman"/>
          <w:szCs w:val="24"/>
        </w:rPr>
        <w:t xml:space="preserve"> solar in the first place.</w:t>
      </w:r>
      <w:r w:rsidR="009909C0">
        <w:rPr>
          <w:rFonts w:ascii="Times New Roman" w:hAnsi="Times New Roman"/>
          <w:szCs w:val="24"/>
        </w:rPr>
        <w:t xml:space="preserve"> (</w:t>
      </w:r>
      <w:r w:rsidR="00124665">
        <w:rPr>
          <w:rFonts w:ascii="Times New Roman" w:hAnsi="Times New Roman"/>
          <w:i/>
          <w:szCs w:val="24"/>
        </w:rPr>
        <w:t>See</w:t>
      </w:r>
      <w:r w:rsidR="00124665">
        <w:rPr>
          <w:rFonts w:ascii="Times New Roman" w:hAnsi="Times New Roman"/>
          <w:szCs w:val="24"/>
        </w:rPr>
        <w:t xml:space="preserve"> Tr. 1972-73</w:t>
      </w:r>
      <w:r w:rsidR="009909C0">
        <w:rPr>
          <w:rFonts w:ascii="Times New Roman" w:hAnsi="Times New Roman"/>
          <w:szCs w:val="24"/>
        </w:rPr>
        <w:t>.)</w:t>
      </w:r>
      <w:r w:rsidRPr="00A322F8">
        <w:rPr>
          <w:rFonts w:ascii="Times New Roman" w:hAnsi="Times New Roman"/>
          <w:szCs w:val="24"/>
        </w:rPr>
        <w:t xml:space="preserve"> Nowhere in the Cogen Act are Georgia Power and similarly situated electric service providers required to guarantee or ensure the value proposition of installing solar at a residence or small business. Further, GIPL/Southface/Vote Solar allege that “[i]nstantaneous netting impacts the value proposition for solar and other distributed generation because it values more generation at the set export value (which is a wholesale price) and less of it as an offset to generation (which is a retail price).” (</w:t>
      </w:r>
      <w:r w:rsidR="00124665">
        <w:rPr>
          <w:rFonts w:ascii="Times New Roman" w:hAnsi="Times New Roman"/>
          <w:szCs w:val="24"/>
        </w:rPr>
        <w:t>Tr. 1972</w:t>
      </w:r>
      <w:r w:rsidRPr="00A322F8">
        <w:rPr>
          <w:rFonts w:ascii="Times New Roman" w:hAnsi="Times New Roman"/>
          <w:szCs w:val="24"/>
        </w:rPr>
        <w:t xml:space="preserve">.) GIPL/Southface/Vote Solar Witnesses Fitch and Gilliam would essentially </w:t>
      </w:r>
      <w:r w:rsidR="009407DC">
        <w:rPr>
          <w:rFonts w:ascii="Times New Roman" w:hAnsi="Times New Roman"/>
          <w:szCs w:val="24"/>
        </w:rPr>
        <w:t>have</w:t>
      </w:r>
      <w:r w:rsidRPr="00A322F8">
        <w:rPr>
          <w:rFonts w:ascii="Times New Roman" w:hAnsi="Times New Roman"/>
          <w:szCs w:val="24"/>
        </w:rPr>
        <w:t xml:space="preserve"> Georgia Power “purchas</w:t>
      </w:r>
      <w:r w:rsidR="009407DC">
        <w:rPr>
          <w:rFonts w:ascii="Times New Roman" w:hAnsi="Times New Roman"/>
          <w:szCs w:val="24"/>
        </w:rPr>
        <w:t>e</w:t>
      </w:r>
      <w:r w:rsidRPr="00A322F8">
        <w:rPr>
          <w:rFonts w:ascii="Times New Roman" w:hAnsi="Times New Roman"/>
          <w:szCs w:val="24"/>
        </w:rPr>
        <w:t>” solar customer production pushed back to the grid at the retail rate, thus creating additional costs for all other customers to cover. Further, advocating for a greater share of the customer</w:t>
      </w:r>
      <w:r w:rsidR="006F6CB0">
        <w:rPr>
          <w:rFonts w:ascii="Times New Roman" w:hAnsi="Times New Roman"/>
          <w:szCs w:val="24"/>
        </w:rPr>
        <w:t>’</w:t>
      </w:r>
      <w:r w:rsidRPr="00A322F8">
        <w:rPr>
          <w:rFonts w:ascii="Times New Roman" w:hAnsi="Times New Roman"/>
          <w:szCs w:val="24"/>
        </w:rPr>
        <w:t xml:space="preserve">s production to be “purchased” at the retail rate </w:t>
      </w:r>
      <w:r w:rsidR="009407DC">
        <w:rPr>
          <w:rFonts w:ascii="Times New Roman" w:hAnsi="Times New Roman"/>
          <w:szCs w:val="24"/>
        </w:rPr>
        <w:t>is a backdoor attempt at retail</w:t>
      </w:r>
      <w:r w:rsidRPr="00A322F8">
        <w:rPr>
          <w:rFonts w:ascii="Times New Roman" w:hAnsi="Times New Roman"/>
          <w:szCs w:val="24"/>
        </w:rPr>
        <w:t xml:space="preserve"> net metering</w:t>
      </w:r>
      <w:r w:rsidR="009407DC">
        <w:rPr>
          <w:rFonts w:ascii="Times New Roman" w:hAnsi="Times New Roman"/>
          <w:szCs w:val="24"/>
        </w:rPr>
        <w:t>,</w:t>
      </w:r>
      <w:r w:rsidRPr="00A322F8">
        <w:rPr>
          <w:rFonts w:ascii="Times New Roman" w:hAnsi="Times New Roman"/>
          <w:szCs w:val="24"/>
        </w:rPr>
        <w:t xml:space="preserve"> which has not been adopted in Georgia and is not supported by the Company</w:t>
      </w:r>
      <w:r w:rsidR="009407DC">
        <w:rPr>
          <w:rFonts w:ascii="Times New Roman" w:hAnsi="Times New Roman"/>
          <w:szCs w:val="24"/>
        </w:rPr>
        <w:t xml:space="preserve"> nor the Commission</w:t>
      </w:r>
      <w:r w:rsidRPr="00A322F8">
        <w:rPr>
          <w:rFonts w:ascii="Times New Roman" w:hAnsi="Times New Roman"/>
          <w:szCs w:val="24"/>
        </w:rPr>
        <w:t>.</w:t>
      </w:r>
    </w:p>
    <w:p w14:paraId="064B7E5D" w14:textId="2417A12A" w:rsidR="00A322F8" w:rsidRPr="00A322F8" w:rsidRDefault="00A322F8" w:rsidP="004B6D89">
      <w:pPr>
        <w:widowControl/>
        <w:overflowPunct/>
        <w:autoSpaceDE/>
        <w:autoSpaceDN/>
        <w:adjustRightInd/>
        <w:spacing w:line="480" w:lineRule="auto"/>
        <w:ind w:firstLine="720"/>
        <w:jc w:val="both"/>
        <w:textAlignment w:val="auto"/>
        <w:rPr>
          <w:rFonts w:ascii="Times New Roman" w:hAnsi="Times New Roman"/>
          <w:szCs w:val="24"/>
        </w:rPr>
      </w:pPr>
      <w:r w:rsidRPr="00A322F8">
        <w:rPr>
          <w:rFonts w:ascii="Times New Roman" w:hAnsi="Times New Roman"/>
          <w:szCs w:val="24"/>
        </w:rPr>
        <w:t xml:space="preserve">GIPL/Southface/Vote Solar advocate for a change to the RNR tariff and how the Company nets energy produced and consumed </w:t>
      </w:r>
      <w:r w:rsidR="00505098">
        <w:rPr>
          <w:rFonts w:ascii="Times New Roman" w:hAnsi="Times New Roman"/>
          <w:szCs w:val="24"/>
        </w:rPr>
        <w:t>for the purpose of</w:t>
      </w:r>
      <w:r w:rsidRPr="00A322F8">
        <w:rPr>
          <w:rFonts w:ascii="Times New Roman" w:hAnsi="Times New Roman"/>
          <w:szCs w:val="24"/>
        </w:rPr>
        <w:t xml:space="preserve"> increas</w:t>
      </w:r>
      <w:r w:rsidR="00505098">
        <w:rPr>
          <w:rFonts w:ascii="Times New Roman" w:hAnsi="Times New Roman"/>
          <w:szCs w:val="24"/>
        </w:rPr>
        <w:t>ing</w:t>
      </w:r>
      <w:r w:rsidRPr="00A322F8">
        <w:rPr>
          <w:rFonts w:ascii="Times New Roman" w:hAnsi="Times New Roman"/>
          <w:szCs w:val="24"/>
        </w:rPr>
        <w:t xml:space="preserve"> the benefits to and financial return for customer generators. However, </w:t>
      </w:r>
      <w:r w:rsidR="00505098">
        <w:rPr>
          <w:rFonts w:ascii="Times New Roman" w:hAnsi="Times New Roman"/>
          <w:szCs w:val="24"/>
        </w:rPr>
        <w:t>advocating</w:t>
      </w:r>
      <w:r w:rsidRPr="00A322F8">
        <w:rPr>
          <w:rFonts w:ascii="Times New Roman" w:hAnsi="Times New Roman"/>
          <w:szCs w:val="24"/>
        </w:rPr>
        <w:t xml:space="preserve"> for a policy change to Georgia Power</w:t>
      </w:r>
      <w:r w:rsidR="006F6CB0">
        <w:rPr>
          <w:rFonts w:ascii="Times New Roman" w:hAnsi="Times New Roman"/>
          <w:szCs w:val="24"/>
        </w:rPr>
        <w:t>’</w:t>
      </w:r>
      <w:r w:rsidRPr="00A322F8">
        <w:rPr>
          <w:rFonts w:ascii="Times New Roman" w:hAnsi="Times New Roman"/>
          <w:szCs w:val="24"/>
        </w:rPr>
        <w:t xml:space="preserve">s current practice </w:t>
      </w:r>
      <w:r w:rsidR="00505098">
        <w:rPr>
          <w:rFonts w:ascii="Times New Roman" w:hAnsi="Times New Roman"/>
          <w:szCs w:val="24"/>
        </w:rPr>
        <w:t xml:space="preserve">to increase the “value proposition” for customer generators </w:t>
      </w:r>
      <w:r w:rsidRPr="00A322F8">
        <w:rPr>
          <w:rFonts w:ascii="Times New Roman" w:hAnsi="Times New Roman"/>
          <w:szCs w:val="24"/>
        </w:rPr>
        <w:t>does not mean that the Company</w:t>
      </w:r>
      <w:r w:rsidR="006F6CB0">
        <w:rPr>
          <w:rFonts w:ascii="Times New Roman" w:hAnsi="Times New Roman"/>
          <w:szCs w:val="24"/>
        </w:rPr>
        <w:t>’</w:t>
      </w:r>
      <w:r w:rsidRPr="00A322F8">
        <w:rPr>
          <w:rFonts w:ascii="Times New Roman" w:hAnsi="Times New Roman"/>
          <w:szCs w:val="24"/>
        </w:rPr>
        <w:t>s implementation</w:t>
      </w:r>
      <w:r w:rsidR="00505098">
        <w:rPr>
          <w:rFonts w:ascii="Times New Roman" w:hAnsi="Times New Roman"/>
          <w:szCs w:val="24"/>
        </w:rPr>
        <w:t xml:space="preserve"> of the RNR tariff</w:t>
      </w:r>
      <w:r w:rsidRPr="00A322F8">
        <w:rPr>
          <w:rFonts w:ascii="Times New Roman" w:hAnsi="Times New Roman"/>
          <w:szCs w:val="24"/>
        </w:rPr>
        <w:t xml:space="preserve"> is not compliant with the Cogen Act. </w:t>
      </w:r>
    </w:p>
    <w:p w14:paraId="193B739B" w14:textId="68FA86A9" w:rsidR="00A322F8" w:rsidRPr="00A322F8" w:rsidRDefault="00A322F8" w:rsidP="004B6D89">
      <w:pPr>
        <w:widowControl/>
        <w:overflowPunct/>
        <w:autoSpaceDE/>
        <w:autoSpaceDN/>
        <w:adjustRightInd/>
        <w:spacing w:line="480" w:lineRule="auto"/>
        <w:ind w:firstLine="720"/>
        <w:jc w:val="both"/>
        <w:textAlignment w:val="auto"/>
        <w:rPr>
          <w:rFonts w:ascii="Times New Roman" w:hAnsi="Times New Roman"/>
          <w:szCs w:val="24"/>
        </w:rPr>
      </w:pPr>
      <w:r w:rsidRPr="00A322F8">
        <w:rPr>
          <w:rFonts w:ascii="Times New Roman" w:hAnsi="Times New Roman"/>
          <w:szCs w:val="24"/>
        </w:rPr>
        <w:t>Finally, this Commission approved the RNR tariff in 200</w:t>
      </w:r>
      <w:r w:rsidR="00116C00">
        <w:rPr>
          <w:rFonts w:ascii="Times New Roman" w:hAnsi="Times New Roman"/>
          <w:szCs w:val="24"/>
        </w:rPr>
        <w:t>3</w:t>
      </w:r>
      <w:r w:rsidRPr="00A322F8">
        <w:rPr>
          <w:rFonts w:ascii="Times New Roman" w:hAnsi="Times New Roman"/>
          <w:szCs w:val="24"/>
        </w:rPr>
        <w:t xml:space="preserve"> and subsequently reviewed and approved its continuation in each rate case since.</w:t>
      </w:r>
      <w:r w:rsidR="00505098">
        <w:rPr>
          <w:rFonts w:ascii="Times New Roman" w:hAnsi="Times New Roman"/>
          <w:szCs w:val="24"/>
        </w:rPr>
        <w:t xml:space="preserve"> The RNR tariff filed in this case is the </w:t>
      </w:r>
      <w:r w:rsidR="0074098C">
        <w:rPr>
          <w:rFonts w:ascii="Times New Roman" w:hAnsi="Times New Roman"/>
          <w:szCs w:val="24"/>
        </w:rPr>
        <w:t>ninth</w:t>
      </w:r>
      <w:r w:rsidR="00505098">
        <w:rPr>
          <w:rFonts w:ascii="Times New Roman" w:hAnsi="Times New Roman"/>
          <w:szCs w:val="24"/>
        </w:rPr>
        <w:t xml:space="preserve"> version of the tariff. </w:t>
      </w:r>
      <w:r w:rsidRPr="00A322F8">
        <w:rPr>
          <w:rFonts w:ascii="Times New Roman" w:hAnsi="Times New Roman"/>
          <w:szCs w:val="24"/>
        </w:rPr>
        <w:t>To argue that the Company</w:t>
      </w:r>
      <w:r w:rsidR="006F6CB0">
        <w:rPr>
          <w:rFonts w:ascii="Times New Roman" w:hAnsi="Times New Roman"/>
          <w:szCs w:val="24"/>
        </w:rPr>
        <w:t>’</w:t>
      </w:r>
      <w:r w:rsidRPr="00A322F8">
        <w:rPr>
          <w:rFonts w:ascii="Times New Roman" w:hAnsi="Times New Roman"/>
          <w:szCs w:val="24"/>
        </w:rPr>
        <w:t xml:space="preserve">s implementation of the RNR tariff is not compliant with the Cogen Act would suggest that this Commission has </w:t>
      </w:r>
      <w:r w:rsidR="00505098">
        <w:rPr>
          <w:rFonts w:ascii="Times New Roman" w:hAnsi="Times New Roman"/>
          <w:szCs w:val="24"/>
        </w:rPr>
        <w:t xml:space="preserve">reviewed and </w:t>
      </w:r>
      <w:r w:rsidRPr="00A322F8">
        <w:rPr>
          <w:rFonts w:ascii="Times New Roman" w:hAnsi="Times New Roman"/>
          <w:szCs w:val="24"/>
        </w:rPr>
        <w:t>approved an unlawful tariff</w:t>
      </w:r>
      <w:r w:rsidR="00505098">
        <w:rPr>
          <w:rFonts w:ascii="Times New Roman" w:hAnsi="Times New Roman"/>
          <w:szCs w:val="24"/>
        </w:rPr>
        <w:t xml:space="preserve"> </w:t>
      </w:r>
      <w:r w:rsidR="0074098C">
        <w:rPr>
          <w:rFonts w:ascii="Times New Roman" w:hAnsi="Times New Roman"/>
          <w:szCs w:val="24"/>
        </w:rPr>
        <w:t>eight</w:t>
      </w:r>
      <w:r w:rsidR="00505098">
        <w:rPr>
          <w:rFonts w:ascii="Times New Roman" w:hAnsi="Times New Roman"/>
          <w:szCs w:val="24"/>
        </w:rPr>
        <w:t xml:space="preserve"> separate times</w:t>
      </w:r>
      <w:r w:rsidRPr="00A322F8">
        <w:rPr>
          <w:rFonts w:ascii="Times New Roman" w:hAnsi="Times New Roman"/>
          <w:szCs w:val="24"/>
        </w:rPr>
        <w:t>. The RNR tariff has regularly been reviewed by the Commission and its Staff</w:t>
      </w:r>
      <w:r w:rsidR="005C5C2C">
        <w:rPr>
          <w:rFonts w:ascii="Times New Roman" w:hAnsi="Times New Roman"/>
          <w:szCs w:val="24"/>
        </w:rPr>
        <w:t>,</w:t>
      </w:r>
      <w:r w:rsidRPr="00A322F8">
        <w:rPr>
          <w:rFonts w:ascii="Times New Roman" w:hAnsi="Times New Roman"/>
          <w:szCs w:val="24"/>
        </w:rPr>
        <w:t xml:space="preserve"> and similar questions as to the compliance of the RNR tariff have been </w:t>
      </w:r>
      <w:r w:rsidRPr="00A322F8">
        <w:rPr>
          <w:rFonts w:ascii="Times New Roman" w:hAnsi="Times New Roman"/>
          <w:szCs w:val="24"/>
        </w:rPr>
        <w:lastRenderedPageBreak/>
        <w:t>brought to the Commission Staff</w:t>
      </w:r>
      <w:r w:rsidR="006F6CB0">
        <w:rPr>
          <w:rFonts w:ascii="Times New Roman" w:hAnsi="Times New Roman"/>
          <w:szCs w:val="24"/>
        </w:rPr>
        <w:t>’</w:t>
      </w:r>
      <w:r w:rsidRPr="00A322F8">
        <w:rPr>
          <w:rFonts w:ascii="Times New Roman" w:hAnsi="Times New Roman"/>
          <w:szCs w:val="24"/>
        </w:rPr>
        <w:t xml:space="preserve">s attention </w:t>
      </w:r>
      <w:r w:rsidR="005C5C2C" w:rsidRPr="00A322F8">
        <w:rPr>
          <w:rFonts w:ascii="Times New Roman" w:hAnsi="Times New Roman"/>
          <w:szCs w:val="24"/>
        </w:rPr>
        <w:t xml:space="preserve">previously </w:t>
      </w:r>
      <w:r w:rsidRPr="00A322F8">
        <w:rPr>
          <w:rFonts w:ascii="Times New Roman" w:hAnsi="Times New Roman"/>
          <w:szCs w:val="24"/>
        </w:rPr>
        <w:t xml:space="preserve">and resolved to their satisfaction. </w:t>
      </w:r>
      <w:r w:rsidR="00505098">
        <w:rPr>
          <w:rFonts w:ascii="Times New Roman" w:hAnsi="Times New Roman"/>
          <w:szCs w:val="24"/>
        </w:rPr>
        <w:t>The</w:t>
      </w:r>
      <w:r w:rsidRPr="00A322F8">
        <w:rPr>
          <w:rFonts w:ascii="Times New Roman" w:hAnsi="Times New Roman"/>
          <w:szCs w:val="24"/>
        </w:rPr>
        <w:t xml:space="preserve"> Commission should not consider</w:t>
      </w:r>
      <w:r w:rsidR="00505098">
        <w:rPr>
          <w:rFonts w:ascii="Times New Roman" w:hAnsi="Times New Roman"/>
          <w:szCs w:val="24"/>
        </w:rPr>
        <w:t xml:space="preserve"> GIPL/Southface/Vote Solar</w:t>
      </w:r>
      <w:r w:rsidR="006F6CB0">
        <w:rPr>
          <w:rFonts w:ascii="Times New Roman" w:hAnsi="Times New Roman"/>
          <w:szCs w:val="24"/>
        </w:rPr>
        <w:t>’</w:t>
      </w:r>
      <w:r w:rsidR="00505098">
        <w:rPr>
          <w:rFonts w:ascii="Times New Roman" w:hAnsi="Times New Roman"/>
          <w:szCs w:val="24"/>
        </w:rPr>
        <w:t>s</w:t>
      </w:r>
      <w:r w:rsidRPr="00A322F8">
        <w:rPr>
          <w:rFonts w:ascii="Times New Roman" w:hAnsi="Times New Roman"/>
          <w:szCs w:val="24"/>
        </w:rPr>
        <w:t xml:space="preserve"> request a</w:t>
      </w:r>
      <w:r w:rsidR="00505098">
        <w:rPr>
          <w:rFonts w:ascii="Times New Roman" w:hAnsi="Times New Roman"/>
          <w:szCs w:val="24"/>
        </w:rPr>
        <w:t>s a</w:t>
      </w:r>
      <w:r w:rsidRPr="00A322F8">
        <w:rPr>
          <w:rFonts w:ascii="Times New Roman" w:hAnsi="Times New Roman"/>
          <w:szCs w:val="24"/>
        </w:rPr>
        <w:t xml:space="preserve">nything </w:t>
      </w:r>
      <w:r w:rsidR="00505098">
        <w:rPr>
          <w:rFonts w:ascii="Times New Roman" w:hAnsi="Times New Roman"/>
          <w:szCs w:val="24"/>
        </w:rPr>
        <w:t>more</w:t>
      </w:r>
      <w:r w:rsidRPr="00A322F8">
        <w:rPr>
          <w:rFonts w:ascii="Times New Roman" w:hAnsi="Times New Roman"/>
          <w:szCs w:val="24"/>
        </w:rPr>
        <w:t xml:space="preserve"> than an</w:t>
      </w:r>
      <w:r w:rsidR="00505098">
        <w:rPr>
          <w:rFonts w:ascii="Times New Roman" w:hAnsi="Times New Roman"/>
          <w:szCs w:val="24"/>
        </w:rPr>
        <w:t xml:space="preserve"> </w:t>
      </w:r>
      <w:r w:rsidRPr="00A322F8">
        <w:rPr>
          <w:rFonts w:ascii="Times New Roman" w:hAnsi="Times New Roman"/>
          <w:szCs w:val="24"/>
        </w:rPr>
        <w:t>attempt to move</w:t>
      </w:r>
      <w:r w:rsidR="00505098">
        <w:rPr>
          <w:rFonts w:ascii="Times New Roman" w:hAnsi="Times New Roman"/>
          <w:szCs w:val="24"/>
        </w:rPr>
        <w:t xml:space="preserve"> Georgia</w:t>
      </w:r>
      <w:r w:rsidRPr="00A322F8">
        <w:rPr>
          <w:rFonts w:ascii="Times New Roman" w:hAnsi="Times New Roman"/>
          <w:szCs w:val="24"/>
        </w:rPr>
        <w:t xml:space="preserve"> towards </w:t>
      </w:r>
      <w:r w:rsidR="00505098">
        <w:rPr>
          <w:rFonts w:ascii="Times New Roman" w:hAnsi="Times New Roman"/>
          <w:szCs w:val="24"/>
        </w:rPr>
        <w:t xml:space="preserve">retail </w:t>
      </w:r>
      <w:r w:rsidRPr="00A322F8">
        <w:rPr>
          <w:rFonts w:ascii="Times New Roman" w:hAnsi="Times New Roman"/>
          <w:szCs w:val="24"/>
        </w:rPr>
        <w:t>net metering and have the Company</w:t>
      </w:r>
      <w:r w:rsidR="00505098">
        <w:rPr>
          <w:rFonts w:ascii="Times New Roman" w:hAnsi="Times New Roman"/>
          <w:szCs w:val="24"/>
        </w:rPr>
        <w:t xml:space="preserve"> artificially</w:t>
      </w:r>
      <w:r w:rsidRPr="00A322F8">
        <w:rPr>
          <w:rFonts w:ascii="Times New Roman" w:hAnsi="Times New Roman"/>
          <w:szCs w:val="24"/>
        </w:rPr>
        <w:t xml:space="preserve"> increase </w:t>
      </w:r>
      <w:r w:rsidR="00505098">
        <w:rPr>
          <w:rFonts w:ascii="Times New Roman" w:hAnsi="Times New Roman"/>
          <w:szCs w:val="24"/>
        </w:rPr>
        <w:t>the “value proposition”</w:t>
      </w:r>
      <w:r w:rsidRPr="00A322F8">
        <w:rPr>
          <w:rFonts w:ascii="Times New Roman" w:hAnsi="Times New Roman"/>
          <w:szCs w:val="24"/>
        </w:rPr>
        <w:t xml:space="preserve"> </w:t>
      </w:r>
      <w:r w:rsidR="00505098">
        <w:rPr>
          <w:rFonts w:ascii="Times New Roman" w:hAnsi="Times New Roman"/>
          <w:szCs w:val="24"/>
        </w:rPr>
        <w:t>for</w:t>
      </w:r>
      <w:r w:rsidRPr="00A322F8">
        <w:rPr>
          <w:rFonts w:ascii="Times New Roman" w:hAnsi="Times New Roman"/>
          <w:szCs w:val="24"/>
        </w:rPr>
        <w:t xml:space="preserve"> customer generators</w:t>
      </w:r>
      <w:r w:rsidR="008E1DF4">
        <w:rPr>
          <w:rFonts w:ascii="Times New Roman" w:hAnsi="Times New Roman"/>
          <w:szCs w:val="24"/>
        </w:rPr>
        <w:t xml:space="preserve"> at a cost to be borne by all other customers</w:t>
      </w:r>
      <w:r w:rsidRPr="00A322F8">
        <w:rPr>
          <w:rFonts w:ascii="Times New Roman" w:hAnsi="Times New Roman"/>
          <w:szCs w:val="24"/>
        </w:rPr>
        <w:t>.</w:t>
      </w:r>
    </w:p>
    <w:p w14:paraId="4C22BE64" w14:textId="61C0663B" w:rsidR="00A322F8" w:rsidRDefault="00A322F8" w:rsidP="00DF30B7">
      <w:pPr>
        <w:keepNext/>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67" w:name="_Hlk26112230"/>
      <w:r w:rsidRPr="00A322F8">
        <w:rPr>
          <w:rFonts w:ascii="Times New Roman" w:hAnsi="Times New Roman"/>
          <w:b/>
          <w:szCs w:val="24"/>
        </w:rPr>
        <w:t>K.</w:t>
      </w:r>
      <w:r w:rsidRPr="00A322F8">
        <w:rPr>
          <w:rFonts w:ascii="Times New Roman" w:hAnsi="Times New Roman"/>
          <w:b/>
          <w:szCs w:val="24"/>
        </w:rPr>
        <w:tab/>
        <w:t xml:space="preserve">Further Increasing the Senior Low-Income Discount and Establishing a Low-Income Working Group is Unnecessary Because the Company </w:t>
      </w:r>
      <w:r w:rsidR="0034611E">
        <w:rPr>
          <w:rFonts w:ascii="Times New Roman" w:hAnsi="Times New Roman"/>
          <w:b/>
          <w:szCs w:val="24"/>
        </w:rPr>
        <w:t>A</w:t>
      </w:r>
      <w:r w:rsidRPr="00A322F8">
        <w:rPr>
          <w:rFonts w:ascii="Times New Roman" w:hAnsi="Times New Roman"/>
          <w:b/>
          <w:szCs w:val="24"/>
        </w:rPr>
        <w:t xml:space="preserve">lready </w:t>
      </w:r>
      <w:r w:rsidR="0034611E">
        <w:rPr>
          <w:rFonts w:ascii="Times New Roman" w:hAnsi="Times New Roman"/>
          <w:b/>
          <w:szCs w:val="24"/>
        </w:rPr>
        <w:t>O</w:t>
      </w:r>
      <w:r w:rsidRPr="00A322F8">
        <w:rPr>
          <w:rFonts w:ascii="Times New Roman" w:hAnsi="Times New Roman"/>
          <w:b/>
          <w:szCs w:val="24"/>
        </w:rPr>
        <w:t xml:space="preserve">ffers </w:t>
      </w:r>
      <w:r w:rsidR="0034611E">
        <w:rPr>
          <w:rFonts w:ascii="Times New Roman" w:hAnsi="Times New Roman"/>
          <w:b/>
          <w:szCs w:val="24"/>
        </w:rPr>
        <w:t>M</w:t>
      </w:r>
      <w:r w:rsidRPr="00A322F8">
        <w:rPr>
          <w:rFonts w:ascii="Times New Roman" w:hAnsi="Times New Roman"/>
          <w:b/>
          <w:szCs w:val="24"/>
        </w:rPr>
        <w:t xml:space="preserve">any </w:t>
      </w:r>
      <w:r w:rsidR="0034611E">
        <w:rPr>
          <w:rFonts w:ascii="Times New Roman" w:hAnsi="Times New Roman"/>
          <w:b/>
          <w:szCs w:val="24"/>
        </w:rPr>
        <w:t>P</w:t>
      </w:r>
      <w:r w:rsidRPr="00A322F8">
        <w:rPr>
          <w:rFonts w:ascii="Times New Roman" w:hAnsi="Times New Roman"/>
          <w:b/>
          <w:szCs w:val="24"/>
        </w:rPr>
        <w:t xml:space="preserve">rograms, </w:t>
      </w:r>
      <w:r w:rsidR="0034611E">
        <w:rPr>
          <w:rFonts w:ascii="Times New Roman" w:hAnsi="Times New Roman"/>
          <w:b/>
          <w:szCs w:val="24"/>
        </w:rPr>
        <w:t>R</w:t>
      </w:r>
      <w:r w:rsidRPr="00A322F8">
        <w:rPr>
          <w:rFonts w:ascii="Times New Roman" w:hAnsi="Times New Roman"/>
          <w:b/>
          <w:szCs w:val="24"/>
        </w:rPr>
        <w:t xml:space="preserve">esources and </w:t>
      </w:r>
      <w:r w:rsidR="0034611E">
        <w:rPr>
          <w:rFonts w:ascii="Times New Roman" w:hAnsi="Times New Roman"/>
          <w:b/>
          <w:szCs w:val="24"/>
        </w:rPr>
        <w:t>O</w:t>
      </w:r>
      <w:r w:rsidRPr="00A322F8">
        <w:rPr>
          <w:rFonts w:ascii="Times New Roman" w:hAnsi="Times New Roman"/>
          <w:b/>
          <w:szCs w:val="24"/>
        </w:rPr>
        <w:t xml:space="preserve">ptions to </w:t>
      </w:r>
      <w:r w:rsidR="003F7C2F">
        <w:rPr>
          <w:rFonts w:ascii="Times New Roman" w:hAnsi="Times New Roman"/>
          <w:b/>
          <w:szCs w:val="24"/>
        </w:rPr>
        <w:t>A</w:t>
      </w:r>
      <w:r w:rsidRPr="00A322F8">
        <w:rPr>
          <w:rFonts w:ascii="Times New Roman" w:hAnsi="Times New Roman"/>
          <w:b/>
          <w:szCs w:val="24"/>
        </w:rPr>
        <w:t xml:space="preserve">ssist </w:t>
      </w:r>
      <w:r w:rsidR="004872E5">
        <w:rPr>
          <w:rFonts w:ascii="Times New Roman" w:hAnsi="Times New Roman"/>
          <w:b/>
          <w:szCs w:val="24"/>
        </w:rPr>
        <w:t>Georgia Power</w:t>
      </w:r>
      <w:r w:rsidR="006F6CB0">
        <w:rPr>
          <w:rFonts w:ascii="Times New Roman" w:hAnsi="Times New Roman"/>
          <w:b/>
          <w:szCs w:val="24"/>
        </w:rPr>
        <w:t>’</w:t>
      </w:r>
      <w:r w:rsidR="004872E5">
        <w:rPr>
          <w:rFonts w:ascii="Times New Roman" w:hAnsi="Times New Roman"/>
          <w:b/>
          <w:szCs w:val="24"/>
        </w:rPr>
        <w:t xml:space="preserve">s </w:t>
      </w:r>
      <w:r w:rsidR="003F7C2F">
        <w:rPr>
          <w:rFonts w:ascii="Times New Roman" w:hAnsi="Times New Roman"/>
          <w:b/>
          <w:szCs w:val="24"/>
        </w:rPr>
        <w:t>L</w:t>
      </w:r>
      <w:r w:rsidRPr="00A322F8">
        <w:rPr>
          <w:rFonts w:ascii="Times New Roman" w:hAnsi="Times New Roman"/>
          <w:b/>
          <w:szCs w:val="24"/>
        </w:rPr>
        <w:t>ow</w:t>
      </w:r>
      <w:r w:rsidR="003F7C2F">
        <w:rPr>
          <w:rFonts w:ascii="Times New Roman" w:hAnsi="Times New Roman"/>
          <w:b/>
          <w:szCs w:val="24"/>
        </w:rPr>
        <w:t>-I</w:t>
      </w:r>
      <w:r w:rsidRPr="00A322F8">
        <w:rPr>
          <w:rFonts w:ascii="Times New Roman" w:hAnsi="Times New Roman"/>
          <w:b/>
          <w:szCs w:val="24"/>
        </w:rPr>
        <w:t xml:space="preserve">ncome </w:t>
      </w:r>
      <w:r w:rsidR="003F7C2F">
        <w:rPr>
          <w:rFonts w:ascii="Times New Roman" w:hAnsi="Times New Roman"/>
          <w:b/>
          <w:szCs w:val="24"/>
        </w:rPr>
        <w:t>C</w:t>
      </w:r>
      <w:r w:rsidRPr="00A322F8">
        <w:rPr>
          <w:rFonts w:ascii="Times New Roman" w:hAnsi="Times New Roman"/>
          <w:b/>
          <w:szCs w:val="24"/>
        </w:rPr>
        <w:t xml:space="preserve">ustomers in </w:t>
      </w:r>
      <w:r w:rsidR="003F7C2F">
        <w:rPr>
          <w:rFonts w:ascii="Times New Roman" w:hAnsi="Times New Roman"/>
          <w:b/>
          <w:szCs w:val="24"/>
        </w:rPr>
        <w:t>P</w:t>
      </w:r>
      <w:r w:rsidRPr="00A322F8">
        <w:rPr>
          <w:rFonts w:ascii="Times New Roman" w:hAnsi="Times New Roman"/>
          <w:b/>
          <w:szCs w:val="24"/>
        </w:rPr>
        <w:t xml:space="preserve">aying </w:t>
      </w:r>
      <w:r w:rsidR="003F7C2F">
        <w:rPr>
          <w:rFonts w:ascii="Times New Roman" w:hAnsi="Times New Roman"/>
          <w:b/>
          <w:szCs w:val="24"/>
        </w:rPr>
        <w:t>T</w:t>
      </w:r>
      <w:r w:rsidRPr="00A322F8">
        <w:rPr>
          <w:rFonts w:ascii="Times New Roman" w:hAnsi="Times New Roman"/>
          <w:b/>
          <w:szCs w:val="24"/>
        </w:rPr>
        <w:t xml:space="preserve">heir </w:t>
      </w:r>
      <w:r w:rsidR="003F7C2F">
        <w:rPr>
          <w:rFonts w:ascii="Times New Roman" w:hAnsi="Times New Roman"/>
          <w:b/>
          <w:szCs w:val="24"/>
        </w:rPr>
        <w:t>E</w:t>
      </w:r>
      <w:r w:rsidRPr="00A322F8">
        <w:rPr>
          <w:rFonts w:ascii="Times New Roman" w:hAnsi="Times New Roman"/>
          <w:b/>
          <w:szCs w:val="24"/>
        </w:rPr>
        <w:t xml:space="preserve">lectric </w:t>
      </w:r>
      <w:r w:rsidR="003F7C2F">
        <w:rPr>
          <w:rFonts w:ascii="Times New Roman" w:hAnsi="Times New Roman"/>
          <w:b/>
          <w:szCs w:val="24"/>
        </w:rPr>
        <w:t>B</w:t>
      </w:r>
      <w:r w:rsidRPr="00A322F8">
        <w:rPr>
          <w:rFonts w:ascii="Times New Roman" w:hAnsi="Times New Roman"/>
          <w:b/>
          <w:szCs w:val="24"/>
        </w:rPr>
        <w:t xml:space="preserve">ill and </w:t>
      </w:r>
      <w:r w:rsidR="003F7C2F">
        <w:rPr>
          <w:rFonts w:ascii="Times New Roman" w:hAnsi="Times New Roman"/>
          <w:b/>
          <w:szCs w:val="24"/>
        </w:rPr>
        <w:t>L</w:t>
      </w:r>
      <w:r w:rsidRPr="00A322F8">
        <w:rPr>
          <w:rFonts w:ascii="Times New Roman" w:hAnsi="Times New Roman"/>
          <w:b/>
          <w:szCs w:val="24"/>
        </w:rPr>
        <w:t xml:space="preserve">owering </w:t>
      </w:r>
      <w:r w:rsidR="003F7C2F">
        <w:rPr>
          <w:rFonts w:ascii="Times New Roman" w:hAnsi="Times New Roman"/>
          <w:b/>
          <w:szCs w:val="24"/>
        </w:rPr>
        <w:t>T</w:t>
      </w:r>
      <w:r w:rsidRPr="00A322F8">
        <w:rPr>
          <w:rFonts w:ascii="Times New Roman" w:hAnsi="Times New Roman"/>
          <w:b/>
          <w:szCs w:val="24"/>
        </w:rPr>
        <w:t xml:space="preserve">heir </w:t>
      </w:r>
      <w:r w:rsidR="003F7C2F">
        <w:rPr>
          <w:rFonts w:ascii="Times New Roman" w:hAnsi="Times New Roman"/>
          <w:b/>
          <w:szCs w:val="24"/>
        </w:rPr>
        <w:t>U</w:t>
      </w:r>
      <w:r w:rsidRPr="00A322F8">
        <w:rPr>
          <w:rFonts w:ascii="Times New Roman" w:hAnsi="Times New Roman"/>
          <w:b/>
          <w:szCs w:val="24"/>
        </w:rPr>
        <w:t>sag</w:t>
      </w:r>
      <w:r w:rsidR="003F7C2F">
        <w:rPr>
          <w:rFonts w:ascii="Times New Roman" w:hAnsi="Times New Roman"/>
          <w:b/>
          <w:szCs w:val="24"/>
        </w:rPr>
        <w:t>e</w:t>
      </w:r>
      <w:r w:rsidR="007B7084">
        <w:rPr>
          <w:rFonts w:ascii="Times New Roman" w:hAnsi="Times New Roman"/>
          <w:b/>
          <w:szCs w:val="24"/>
        </w:rPr>
        <w:t>.</w:t>
      </w:r>
    </w:p>
    <w:p w14:paraId="5807CB23" w14:textId="0682B525" w:rsidR="00E8750A" w:rsidRDefault="00E8750A" w:rsidP="00DF30B7">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r>
        <w:rPr>
          <w:rFonts w:ascii="Times New Roman" w:hAnsi="Times New Roman"/>
          <w:szCs w:val="24"/>
        </w:rPr>
        <w:t>1.</w:t>
      </w:r>
      <w:r>
        <w:rPr>
          <w:rFonts w:ascii="Times New Roman" w:hAnsi="Times New Roman"/>
          <w:szCs w:val="24"/>
        </w:rPr>
        <w:tab/>
      </w:r>
      <w:r w:rsidRPr="00E8750A">
        <w:rPr>
          <w:rFonts w:ascii="Times New Roman" w:hAnsi="Times New Roman"/>
          <w:szCs w:val="24"/>
          <w:u w:val="single"/>
        </w:rPr>
        <w:t>The Commission should maintain the senior low-income discount at current levels and as currently structured</w:t>
      </w:r>
      <w:r>
        <w:rPr>
          <w:rFonts w:ascii="Times New Roman" w:hAnsi="Times New Roman"/>
          <w:szCs w:val="24"/>
        </w:rPr>
        <w:t xml:space="preserve">.  </w:t>
      </w:r>
    </w:p>
    <w:bookmarkEnd w:id="67"/>
    <w:p w14:paraId="5A8CD7EB" w14:textId="553AEF1F" w:rsidR="00806EEA" w:rsidRDefault="00E8750A" w:rsidP="00DF30B7">
      <w:pPr>
        <w:keepNext/>
        <w:widowControl/>
        <w:tabs>
          <w:tab w:val="left" w:pos="0"/>
        </w:tabs>
        <w:overflowPunct/>
        <w:autoSpaceDE/>
        <w:autoSpaceDN/>
        <w:adjustRightInd/>
        <w:spacing w:before="240" w:after="240" w:line="480" w:lineRule="auto"/>
        <w:jc w:val="both"/>
        <w:textAlignment w:val="auto"/>
        <w:rPr>
          <w:rFonts w:ascii="Times New Roman" w:hAnsi="Times New Roman"/>
          <w:szCs w:val="24"/>
        </w:rPr>
      </w:pPr>
      <w:r>
        <w:rPr>
          <w:rFonts w:ascii="Times New Roman" w:hAnsi="Times New Roman"/>
          <w:szCs w:val="24"/>
        </w:rPr>
        <w:tab/>
      </w:r>
      <w:r w:rsidR="003F7C2F">
        <w:rPr>
          <w:rFonts w:ascii="Times New Roman" w:hAnsi="Times New Roman"/>
          <w:szCs w:val="24"/>
        </w:rPr>
        <w:t>The Commission should reject PIA Staff’s recommendations to expand the senior low-income discount</w:t>
      </w:r>
      <w:r w:rsidR="008C1708">
        <w:rPr>
          <w:rFonts w:ascii="Times New Roman" w:hAnsi="Times New Roman"/>
          <w:szCs w:val="24"/>
        </w:rPr>
        <w:t xml:space="preserve">. </w:t>
      </w:r>
      <w:r w:rsidR="00806EEA" w:rsidRPr="00806EEA">
        <w:rPr>
          <w:rFonts w:ascii="Times New Roman" w:hAnsi="Times New Roman"/>
          <w:szCs w:val="24"/>
        </w:rPr>
        <w:t>PIA Staff</w:t>
      </w:r>
      <w:r w:rsidR="008C1708">
        <w:rPr>
          <w:rFonts w:ascii="Times New Roman" w:hAnsi="Times New Roman"/>
          <w:szCs w:val="24"/>
        </w:rPr>
        <w:t xml:space="preserve"> first</w:t>
      </w:r>
      <w:r w:rsidR="00806EEA" w:rsidRPr="00806EEA">
        <w:rPr>
          <w:rFonts w:ascii="Times New Roman" w:hAnsi="Times New Roman"/>
          <w:szCs w:val="24"/>
        </w:rPr>
        <w:t xml:space="preserve"> recommends expanding the eligibility criteria for the senior citizen low-income discount to include households with two senior citizens with combined incomes that fall below 200 percent of the federal poverty guidelines for a two-person household.</w:t>
      </w:r>
      <w:r w:rsidR="009909C0">
        <w:rPr>
          <w:rFonts w:ascii="Times New Roman" w:hAnsi="Times New Roman"/>
          <w:szCs w:val="24"/>
        </w:rPr>
        <w:t xml:space="preserve"> (</w:t>
      </w:r>
      <w:r w:rsidR="00124665">
        <w:rPr>
          <w:rFonts w:ascii="Times New Roman" w:hAnsi="Times New Roman"/>
          <w:szCs w:val="24"/>
        </w:rPr>
        <w:t>Tr. 1699</w:t>
      </w:r>
      <w:r w:rsidR="009909C0">
        <w:rPr>
          <w:rFonts w:ascii="Times New Roman" w:hAnsi="Times New Roman"/>
          <w:szCs w:val="24"/>
        </w:rPr>
        <w:t>.)</w:t>
      </w:r>
      <w:r w:rsidR="008C1708">
        <w:rPr>
          <w:rFonts w:ascii="Times New Roman" w:hAnsi="Times New Roman"/>
          <w:szCs w:val="24"/>
        </w:rPr>
        <w:t xml:space="preserve"> </w:t>
      </w:r>
      <w:r w:rsidR="00806EEA" w:rsidRPr="00806EEA">
        <w:rPr>
          <w:rFonts w:ascii="Times New Roman" w:hAnsi="Times New Roman"/>
          <w:szCs w:val="24"/>
        </w:rPr>
        <w:t>PIA Staff</w:t>
      </w:r>
      <w:r w:rsidR="008C1708">
        <w:rPr>
          <w:rFonts w:ascii="Times New Roman" w:hAnsi="Times New Roman"/>
          <w:szCs w:val="24"/>
        </w:rPr>
        <w:t xml:space="preserve"> then</w:t>
      </w:r>
      <w:r w:rsidR="00806EEA" w:rsidRPr="00806EEA">
        <w:rPr>
          <w:rFonts w:ascii="Times New Roman" w:hAnsi="Times New Roman"/>
          <w:szCs w:val="24"/>
        </w:rPr>
        <w:t xml:space="preserve"> recommends that the same level discount be applied to each qualifying household</w:t>
      </w:r>
      <w:r w:rsidR="002D71DA">
        <w:rPr>
          <w:rFonts w:ascii="Times New Roman" w:hAnsi="Times New Roman"/>
          <w:szCs w:val="24"/>
        </w:rPr>
        <w:t xml:space="preserve"> member</w:t>
      </w:r>
      <w:r w:rsidR="00806EEA" w:rsidRPr="00806EEA">
        <w:rPr>
          <w:rFonts w:ascii="Times New Roman" w:hAnsi="Times New Roman"/>
          <w:szCs w:val="24"/>
        </w:rPr>
        <w:t xml:space="preserve">. </w:t>
      </w:r>
      <w:r w:rsidR="00124665">
        <w:rPr>
          <w:rFonts w:ascii="Times New Roman" w:hAnsi="Times New Roman"/>
          <w:szCs w:val="24"/>
        </w:rPr>
        <w:t>(</w:t>
      </w:r>
      <w:r w:rsidR="00124665" w:rsidRPr="00124665">
        <w:rPr>
          <w:rFonts w:ascii="Times New Roman" w:hAnsi="Times New Roman"/>
          <w:i/>
          <w:szCs w:val="24"/>
        </w:rPr>
        <w:t>Id</w:t>
      </w:r>
      <w:r w:rsidR="00124665">
        <w:rPr>
          <w:rFonts w:ascii="Times New Roman" w:hAnsi="Times New Roman"/>
          <w:szCs w:val="24"/>
        </w:rPr>
        <w:t>.)</w:t>
      </w:r>
      <w:r w:rsidR="009909C0">
        <w:rPr>
          <w:rFonts w:ascii="Times New Roman" w:hAnsi="Times New Roman"/>
          <w:szCs w:val="24"/>
        </w:rPr>
        <w:t xml:space="preserve"> </w:t>
      </w:r>
      <w:r w:rsidR="00FA1318">
        <w:rPr>
          <w:rFonts w:ascii="Times New Roman" w:hAnsi="Times New Roman"/>
          <w:szCs w:val="24"/>
        </w:rPr>
        <w:t xml:space="preserve">However, the effect of </w:t>
      </w:r>
      <w:r w:rsidR="003F7C2F">
        <w:rPr>
          <w:rFonts w:ascii="Times New Roman" w:hAnsi="Times New Roman"/>
          <w:szCs w:val="24"/>
        </w:rPr>
        <w:t>PIA Staff’s recommendation</w:t>
      </w:r>
      <w:r w:rsidR="008C1708">
        <w:rPr>
          <w:rFonts w:ascii="Times New Roman" w:hAnsi="Times New Roman"/>
          <w:szCs w:val="24"/>
        </w:rPr>
        <w:t xml:space="preserve"> would</w:t>
      </w:r>
      <w:r w:rsidR="003F7C2F">
        <w:rPr>
          <w:rFonts w:ascii="Times New Roman" w:hAnsi="Times New Roman"/>
          <w:szCs w:val="24"/>
        </w:rPr>
        <w:t xml:space="preserve"> </w:t>
      </w:r>
      <w:r w:rsidR="00806EEA" w:rsidRPr="00806EEA">
        <w:rPr>
          <w:rFonts w:ascii="Times New Roman" w:hAnsi="Times New Roman"/>
          <w:szCs w:val="24"/>
        </w:rPr>
        <w:t>either</w:t>
      </w:r>
      <w:r w:rsidR="008C1708">
        <w:rPr>
          <w:rFonts w:ascii="Times New Roman" w:hAnsi="Times New Roman"/>
          <w:szCs w:val="24"/>
        </w:rPr>
        <w:t>:</w:t>
      </w:r>
      <w:r w:rsidR="00806EEA" w:rsidRPr="00806EEA">
        <w:rPr>
          <w:rFonts w:ascii="Times New Roman" w:hAnsi="Times New Roman"/>
          <w:szCs w:val="24"/>
        </w:rPr>
        <w:t xml:space="preserve"> </w:t>
      </w:r>
      <w:r w:rsidR="008C1708">
        <w:rPr>
          <w:rFonts w:ascii="Times New Roman" w:hAnsi="Times New Roman"/>
          <w:szCs w:val="24"/>
        </w:rPr>
        <w:t>(i) erode</w:t>
      </w:r>
      <w:r w:rsidR="00806EEA" w:rsidRPr="00806EEA">
        <w:rPr>
          <w:rFonts w:ascii="Times New Roman" w:hAnsi="Times New Roman"/>
          <w:szCs w:val="24"/>
        </w:rPr>
        <w:t xml:space="preserve"> the benefit afforded to participants in the current senior low-income discount program</w:t>
      </w:r>
      <w:r w:rsidR="003F7C2F">
        <w:rPr>
          <w:rFonts w:ascii="Times New Roman" w:hAnsi="Times New Roman"/>
          <w:szCs w:val="24"/>
        </w:rPr>
        <w:t xml:space="preserve">, meaning each </w:t>
      </w:r>
      <w:r w:rsidR="00E70CCA">
        <w:rPr>
          <w:rFonts w:ascii="Times New Roman" w:hAnsi="Times New Roman"/>
          <w:szCs w:val="24"/>
        </w:rPr>
        <w:t xml:space="preserve">eligible person receiving the benefit </w:t>
      </w:r>
      <w:r w:rsidR="008C1708">
        <w:rPr>
          <w:rFonts w:ascii="Times New Roman" w:hAnsi="Times New Roman"/>
          <w:szCs w:val="24"/>
        </w:rPr>
        <w:t>receives less;</w:t>
      </w:r>
      <w:r w:rsidR="00806EEA" w:rsidRPr="00806EEA">
        <w:rPr>
          <w:rFonts w:ascii="Times New Roman" w:hAnsi="Times New Roman"/>
          <w:szCs w:val="24"/>
        </w:rPr>
        <w:t xml:space="preserve"> or </w:t>
      </w:r>
      <w:r w:rsidR="008C1708">
        <w:rPr>
          <w:rFonts w:ascii="Times New Roman" w:hAnsi="Times New Roman"/>
          <w:szCs w:val="24"/>
        </w:rPr>
        <w:t>(ii)</w:t>
      </w:r>
      <w:r w:rsidR="00806EEA" w:rsidRPr="00806EEA">
        <w:rPr>
          <w:rFonts w:ascii="Times New Roman" w:hAnsi="Times New Roman"/>
          <w:szCs w:val="24"/>
        </w:rPr>
        <w:t xml:space="preserve"> greatly increase the subsidy being spread to other customers. </w:t>
      </w:r>
      <w:r w:rsidR="009909C0">
        <w:rPr>
          <w:rFonts w:ascii="Times New Roman" w:hAnsi="Times New Roman"/>
          <w:szCs w:val="24"/>
        </w:rPr>
        <w:t>(</w:t>
      </w:r>
      <w:r w:rsidR="00124665">
        <w:rPr>
          <w:rFonts w:ascii="Times New Roman" w:hAnsi="Times New Roman"/>
          <w:szCs w:val="24"/>
        </w:rPr>
        <w:t>Tr. 2880</w:t>
      </w:r>
      <w:r w:rsidR="009909C0">
        <w:rPr>
          <w:rFonts w:ascii="Times New Roman" w:hAnsi="Times New Roman"/>
          <w:szCs w:val="24"/>
        </w:rPr>
        <w:t xml:space="preserve">.) </w:t>
      </w:r>
      <w:r w:rsidR="00FA1318">
        <w:rPr>
          <w:rFonts w:ascii="Times New Roman" w:hAnsi="Times New Roman"/>
          <w:szCs w:val="24"/>
        </w:rPr>
        <w:t xml:space="preserve">The Company currently has 90,000 plus customers receiving the senior </w:t>
      </w:r>
      <w:r w:rsidR="004C3ED3">
        <w:rPr>
          <w:rFonts w:ascii="Times New Roman" w:hAnsi="Times New Roman"/>
          <w:szCs w:val="24"/>
        </w:rPr>
        <w:t>low-income</w:t>
      </w:r>
      <w:r w:rsidR="00FA1318">
        <w:rPr>
          <w:rFonts w:ascii="Times New Roman" w:hAnsi="Times New Roman"/>
          <w:szCs w:val="24"/>
        </w:rPr>
        <w:t xml:space="preserve"> discount of $24.00 a month, which totals around $25 million a year. (Tr. 2921.) </w:t>
      </w:r>
      <w:r w:rsidR="008C1708">
        <w:rPr>
          <w:rFonts w:ascii="Times New Roman" w:hAnsi="Times New Roman"/>
          <w:szCs w:val="24"/>
        </w:rPr>
        <w:t xml:space="preserve">As explained on rebuttal, the </w:t>
      </w:r>
      <w:r w:rsidR="00FA1318">
        <w:rPr>
          <w:rFonts w:ascii="Times New Roman" w:hAnsi="Times New Roman"/>
          <w:szCs w:val="24"/>
        </w:rPr>
        <w:t xml:space="preserve">$25 million annual </w:t>
      </w:r>
      <w:r w:rsidR="008C1708">
        <w:rPr>
          <w:rFonts w:ascii="Times New Roman" w:hAnsi="Times New Roman"/>
          <w:szCs w:val="24"/>
        </w:rPr>
        <w:t>cost of the senior low-income discount is paid for by all of the Company’s other customers.</w:t>
      </w:r>
      <w:r w:rsidR="00FA1318">
        <w:rPr>
          <w:rFonts w:ascii="Times New Roman" w:hAnsi="Times New Roman"/>
          <w:szCs w:val="24"/>
        </w:rPr>
        <w:t xml:space="preserve"> (</w:t>
      </w:r>
      <w:r w:rsidR="00124665">
        <w:rPr>
          <w:rFonts w:ascii="Times New Roman" w:hAnsi="Times New Roman"/>
          <w:szCs w:val="24"/>
        </w:rPr>
        <w:t>Tr. 2943.)</w:t>
      </w:r>
      <w:r w:rsidR="008C1708">
        <w:rPr>
          <w:rFonts w:ascii="Times New Roman" w:hAnsi="Times New Roman"/>
          <w:szCs w:val="24"/>
        </w:rPr>
        <w:t xml:space="preserve"> As a policy matter, this Commission has approved a subsidy through this discount to assist low-income customers over the age of 65. However, this is not a limitless subsidy</w:t>
      </w:r>
      <w:r w:rsidR="00F362F6">
        <w:rPr>
          <w:rFonts w:ascii="Times New Roman" w:hAnsi="Times New Roman"/>
          <w:szCs w:val="24"/>
        </w:rPr>
        <w:t>: non-participating</w:t>
      </w:r>
      <w:r>
        <w:rPr>
          <w:rFonts w:ascii="Times New Roman" w:hAnsi="Times New Roman"/>
          <w:szCs w:val="24"/>
        </w:rPr>
        <w:t xml:space="preserve"> customers </w:t>
      </w:r>
      <w:r w:rsidR="00F362F6">
        <w:rPr>
          <w:rFonts w:ascii="Times New Roman" w:hAnsi="Times New Roman"/>
          <w:szCs w:val="24"/>
        </w:rPr>
        <w:t xml:space="preserve">bear </w:t>
      </w:r>
      <w:r>
        <w:rPr>
          <w:rFonts w:ascii="Times New Roman" w:hAnsi="Times New Roman"/>
          <w:szCs w:val="24"/>
        </w:rPr>
        <w:t xml:space="preserve">the financial burden of </w:t>
      </w:r>
      <w:r>
        <w:rPr>
          <w:rFonts w:ascii="Times New Roman" w:hAnsi="Times New Roman"/>
          <w:szCs w:val="24"/>
        </w:rPr>
        <w:lastRenderedPageBreak/>
        <w:t xml:space="preserve">paying down other customers’ bills. PIA Staff’s proposed changes are not transparent nor has the impact to existing customers been sufficiently analyzed. As such, the Commission should take no action and leave the existing senior low-income discount </w:t>
      </w:r>
      <w:r w:rsidR="00806EEA" w:rsidRPr="00806EEA">
        <w:rPr>
          <w:rFonts w:ascii="Times New Roman" w:hAnsi="Times New Roman"/>
          <w:szCs w:val="24"/>
        </w:rPr>
        <w:t>as-</w:t>
      </w:r>
      <w:r>
        <w:rPr>
          <w:rFonts w:ascii="Times New Roman" w:hAnsi="Times New Roman"/>
          <w:szCs w:val="24"/>
        </w:rPr>
        <w:t>i</w:t>
      </w:r>
      <w:r w:rsidR="00806EEA" w:rsidRPr="00806EEA">
        <w:rPr>
          <w:rFonts w:ascii="Times New Roman" w:hAnsi="Times New Roman"/>
          <w:szCs w:val="24"/>
        </w:rPr>
        <w:t>s.</w:t>
      </w:r>
    </w:p>
    <w:p w14:paraId="48D22359" w14:textId="062D11A5" w:rsidR="00E8750A" w:rsidRDefault="00E8750A" w:rsidP="00DF30B7">
      <w:pPr>
        <w:keepNext/>
        <w:widowControl/>
        <w:tabs>
          <w:tab w:val="left" w:pos="0"/>
        </w:tabs>
        <w:overflowPunct/>
        <w:autoSpaceDE/>
        <w:autoSpaceDN/>
        <w:adjustRightInd/>
        <w:spacing w:before="240" w:after="240"/>
        <w:ind w:left="1440" w:hanging="720"/>
        <w:jc w:val="both"/>
        <w:textAlignment w:val="auto"/>
        <w:rPr>
          <w:rFonts w:ascii="Times New Roman" w:hAnsi="Times New Roman"/>
          <w:szCs w:val="24"/>
        </w:rPr>
      </w:pPr>
      <w:bookmarkStart w:id="68" w:name="_Hlk26112237"/>
      <w:r>
        <w:rPr>
          <w:rFonts w:ascii="Times New Roman" w:hAnsi="Times New Roman"/>
          <w:szCs w:val="24"/>
        </w:rPr>
        <w:t xml:space="preserve">2. </w:t>
      </w:r>
      <w:r>
        <w:rPr>
          <w:rFonts w:ascii="Times New Roman" w:hAnsi="Times New Roman"/>
          <w:szCs w:val="24"/>
        </w:rPr>
        <w:tab/>
      </w:r>
      <w:r w:rsidRPr="00E8750A">
        <w:rPr>
          <w:rFonts w:ascii="Times New Roman" w:hAnsi="Times New Roman"/>
          <w:szCs w:val="24"/>
          <w:u w:val="single"/>
        </w:rPr>
        <w:t xml:space="preserve">An Income Qualified Working Group is not </w:t>
      </w:r>
      <w:r w:rsidR="00B60798">
        <w:rPr>
          <w:rFonts w:ascii="Times New Roman" w:hAnsi="Times New Roman"/>
          <w:szCs w:val="24"/>
          <w:u w:val="single"/>
        </w:rPr>
        <w:t>necessary and would be duplicative of existing Company efforts to s</w:t>
      </w:r>
      <w:r w:rsidRPr="00E8750A">
        <w:rPr>
          <w:rFonts w:ascii="Times New Roman" w:hAnsi="Times New Roman"/>
          <w:szCs w:val="24"/>
          <w:u w:val="single"/>
        </w:rPr>
        <w:t>upport the Company’s low-income customers</w:t>
      </w:r>
      <w:r>
        <w:rPr>
          <w:rFonts w:ascii="Times New Roman" w:hAnsi="Times New Roman"/>
          <w:szCs w:val="24"/>
        </w:rPr>
        <w:t>.</w:t>
      </w:r>
    </w:p>
    <w:bookmarkEnd w:id="68"/>
    <w:p w14:paraId="57AF0519" w14:textId="59BBD0E9" w:rsidR="00806EEA" w:rsidRDefault="00BB2CBF" w:rsidP="00DF30B7">
      <w:pPr>
        <w:keepNext/>
        <w:widowControl/>
        <w:tabs>
          <w:tab w:val="left" w:pos="0"/>
        </w:tabs>
        <w:overflowPunct/>
        <w:autoSpaceDE/>
        <w:autoSpaceDN/>
        <w:adjustRightInd/>
        <w:spacing w:before="240" w:line="480" w:lineRule="auto"/>
        <w:jc w:val="both"/>
        <w:textAlignment w:val="auto"/>
        <w:rPr>
          <w:rFonts w:ascii="Times New Roman" w:hAnsi="Times New Roman"/>
          <w:szCs w:val="24"/>
        </w:rPr>
      </w:pPr>
      <w:r>
        <w:rPr>
          <w:rFonts w:ascii="Times New Roman" w:hAnsi="Times New Roman"/>
          <w:szCs w:val="24"/>
        </w:rPr>
        <w:tab/>
      </w:r>
      <w:r w:rsidR="00B60798">
        <w:rPr>
          <w:rFonts w:ascii="Times New Roman" w:hAnsi="Times New Roman"/>
          <w:szCs w:val="24"/>
        </w:rPr>
        <w:t>The Commission should reject PIA Staff and Intervenor</w:t>
      </w:r>
      <w:r w:rsidR="00806EEA" w:rsidRPr="00806EEA">
        <w:rPr>
          <w:rFonts w:ascii="Times New Roman" w:hAnsi="Times New Roman"/>
          <w:szCs w:val="24"/>
        </w:rPr>
        <w:t xml:space="preserve"> </w:t>
      </w:r>
      <w:r w:rsidR="00B60798">
        <w:rPr>
          <w:rFonts w:ascii="Times New Roman" w:hAnsi="Times New Roman"/>
          <w:szCs w:val="24"/>
        </w:rPr>
        <w:t>requests to establish a</w:t>
      </w:r>
      <w:r w:rsidR="00806EEA" w:rsidRPr="00806EEA">
        <w:rPr>
          <w:rFonts w:ascii="Times New Roman" w:hAnsi="Times New Roman"/>
          <w:szCs w:val="24"/>
        </w:rPr>
        <w:t>n Income Qualified Working Group</w:t>
      </w:r>
      <w:r w:rsidR="00B60798">
        <w:rPr>
          <w:rFonts w:ascii="Times New Roman" w:hAnsi="Times New Roman"/>
          <w:szCs w:val="24"/>
        </w:rPr>
        <w:t>. Such a working group</w:t>
      </w:r>
      <w:r w:rsidR="00806EEA" w:rsidRPr="00806EEA">
        <w:rPr>
          <w:rFonts w:ascii="Times New Roman" w:hAnsi="Times New Roman"/>
          <w:szCs w:val="24"/>
        </w:rPr>
        <w:t xml:space="preserve"> is not necessary to leverage the Company</w:t>
      </w:r>
      <w:r w:rsidR="006F6CB0">
        <w:rPr>
          <w:rFonts w:ascii="Times New Roman" w:hAnsi="Times New Roman"/>
          <w:szCs w:val="24"/>
        </w:rPr>
        <w:t>’</w:t>
      </w:r>
      <w:r w:rsidR="00806EEA" w:rsidRPr="00806EEA">
        <w:rPr>
          <w:rFonts w:ascii="Times New Roman" w:hAnsi="Times New Roman"/>
          <w:szCs w:val="24"/>
        </w:rPr>
        <w:t>s assistance programs to income qualified customers or to inform the Company</w:t>
      </w:r>
      <w:r w:rsidR="006F6CB0">
        <w:rPr>
          <w:rFonts w:ascii="Times New Roman" w:hAnsi="Times New Roman"/>
          <w:szCs w:val="24"/>
        </w:rPr>
        <w:t>’</w:t>
      </w:r>
      <w:r w:rsidR="00806EEA" w:rsidRPr="00806EEA">
        <w:rPr>
          <w:rFonts w:ascii="Times New Roman" w:hAnsi="Times New Roman"/>
          <w:szCs w:val="24"/>
        </w:rPr>
        <w:t>s next rate case. The Company</w:t>
      </w:r>
      <w:r w:rsidR="006F6CB0">
        <w:rPr>
          <w:rFonts w:ascii="Times New Roman" w:hAnsi="Times New Roman"/>
          <w:szCs w:val="24"/>
        </w:rPr>
        <w:t>’</w:t>
      </w:r>
      <w:r w:rsidR="00806EEA" w:rsidRPr="00806EEA">
        <w:rPr>
          <w:rFonts w:ascii="Times New Roman" w:hAnsi="Times New Roman"/>
          <w:szCs w:val="24"/>
        </w:rPr>
        <w:t xml:space="preserve">s Energy Assistance Team </w:t>
      </w:r>
      <w:r w:rsidR="00B60798">
        <w:rPr>
          <w:rFonts w:ascii="Times New Roman" w:hAnsi="Times New Roman"/>
          <w:szCs w:val="24"/>
        </w:rPr>
        <w:t>regularly works</w:t>
      </w:r>
      <w:r w:rsidR="00806EEA" w:rsidRPr="00806EEA">
        <w:rPr>
          <w:rFonts w:ascii="Times New Roman" w:hAnsi="Times New Roman"/>
          <w:szCs w:val="24"/>
        </w:rPr>
        <w:t xml:space="preserve"> with community programs and leaders to address the needs of low-income customers</w:t>
      </w:r>
      <w:r w:rsidR="00B60798">
        <w:rPr>
          <w:rFonts w:ascii="Times New Roman" w:hAnsi="Times New Roman"/>
          <w:szCs w:val="24"/>
        </w:rPr>
        <w:t xml:space="preserve"> across the Company’s service territory</w:t>
      </w:r>
      <w:r w:rsidR="00806EEA" w:rsidRPr="00806EEA">
        <w:rPr>
          <w:rFonts w:ascii="Times New Roman" w:hAnsi="Times New Roman"/>
          <w:szCs w:val="24"/>
        </w:rPr>
        <w:t>.</w:t>
      </w:r>
      <w:r w:rsidR="009909C0">
        <w:rPr>
          <w:rFonts w:ascii="Times New Roman" w:hAnsi="Times New Roman"/>
          <w:szCs w:val="24"/>
        </w:rPr>
        <w:t xml:space="preserve"> (</w:t>
      </w:r>
      <w:r w:rsidR="00124665">
        <w:rPr>
          <w:rFonts w:ascii="Times New Roman" w:hAnsi="Times New Roman"/>
          <w:szCs w:val="24"/>
        </w:rPr>
        <w:t>Tr. 2880</w:t>
      </w:r>
      <w:r w:rsidR="009909C0">
        <w:rPr>
          <w:rFonts w:ascii="Times New Roman" w:hAnsi="Times New Roman"/>
          <w:szCs w:val="24"/>
        </w:rPr>
        <w:t>.)</w:t>
      </w:r>
      <w:r w:rsidR="00806EEA" w:rsidRPr="00806EEA">
        <w:rPr>
          <w:rFonts w:ascii="Times New Roman" w:hAnsi="Times New Roman"/>
          <w:szCs w:val="24"/>
        </w:rPr>
        <w:t xml:space="preserve"> A working group will not enhance those efforts nor make them more efficient. In addition, all participants in this rate case were afforded the opportunity to propose changes to the existing programs or to introduce new low-income programs that they deemed beneficial. </w:t>
      </w:r>
      <w:r w:rsidR="00B60798">
        <w:rPr>
          <w:rFonts w:ascii="Times New Roman" w:hAnsi="Times New Roman"/>
          <w:szCs w:val="24"/>
        </w:rPr>
        <w:t>The same opportunity was afforded</w:t>
      </w:r>
      <w:r w:rsidR="00125D6A">
        <w:rPr>
          <w:rFonts w:ascii="Times New Roman" w:hAnsi="Times New Roman"/>
          <w:szCs w:val="24"/>
        </w:rPr>
        <w:t xml:space="preserve"> to</w:t>
      </w:r>
      <w:r w:rsidR="00B60798">
        <w:rPr>
          <w:rFonts w:ascii="Times New Roman" w:hAnsi="Times New Roman"/>
          <w:szCs w:val="24"/>
        </w:rPr>
        <w:t xml:space="preserve"> intervenors in the IRP, where additional energy efficiency and demand side management programs targeting </w:t>
      </w:r>
      <w:r w:rsidR="005C5C2C">
        <w:rPr>
          <w:rFonts w:ascii="Times New Roman" w:hAnsi="Times New Roman"/>
          <w:szCs w:val="24"/>
        </w:rPr>
        <w:t>income</w:t>
      </w:r>
      <w:r w:rsidR="00B60798">
        <w:rPr>
          <w:rFonts w:ascii="Times New Roman" w:hAnsi="Times New Roman"/>
          <w:szCs w:val="24"/>
        </w:rPr>
        <w:t>-</w:t>
      </w:r>
      <w:r w:rsidR="005C5C2C">
        <w:rPr>
          <w:rFonts w:ascii="Times New Roman" w:hAnsi="Times New Roman"/>
          <w:szCs w:val="24"/>
        </w:rPr>
        <w:t xml:space="preserve">qualified </w:t>
      </w:r>
      <w:r w:rsidR="00B60798">
        <w:rPr>
          <w:rFonts w:ascii="Times New Roman" w:hAnsi="Times New Roman"/>
          <w:szCs w:val="24"/>
        </w:rPr>
        <w:t xml:space="preserve">customers were requested and approved by this Commission. </w:t>
      </w:r>
      <w:r w:rsidR="00806EEA" w:rsidRPr="00806EEA">
        <w:rPr>
          <w:rFonts w:ascii="Times New Roman" w:hAnsi="Times New Roman"/>
          <w:szCs w:val="24"/>
        </w:rPr>
        <w:t>However, no specific programs or recommendations have been made</w:t>
      </w:r>
      <w:r w:rsidR="00B60798">
        <w:rPr>
          <w:rFonts w:ascii="Times New Roman" w:hAnsi="Times New Roman"/>
          <w:szCs w:val="24"/>
        </w:rPr>
        <w:t xml:space="preserve"> in the current proceeding. </w:t>
      </w:r>
    </w:p>
    <w:p w14:paraId="634FDD02" w14:textId="28240327" w:rsidR="00806EEA" w:rsidRPr="00806EEA" w:rsidRDefault="00BB2CBF" w:rsidP="00BB2CBF">
      <w:pPr>
        <w:widowControl/>
        <w:tabs>
          <w:tab w:val="left" w:pos="0"/>
        </w:tabs>
        <w:overflowPunct/>
        <w:autoSpaceDE/>
        <w:autoSpaceDN/>
        <w:adjustRightInd/>
        <w:spacing w:after="240" w:line="480" w:lineRule="auto"/>
        <w:jc w:val="both"/>
        <w:textAlignment w:val="auto"/>
        <w:rPr>
          <w:rFonts w:ascii="Times New Roman" w:hAnsi="Times New Roman"/>
          <w:szCs w:val="24"/>
        </w:rPr>
      </w:pPr>
      <w:r>
        <w:rPr>
          <w:rFonts w:ascii="Times New Roman" w:hAnsi="Times New Roman"/>
          <w:szCs w:val="24"/>
        </w:rPr>
        <w:tab/>
      </w:r>
      <w:r w:rsidR="00B60798">
        <w:rPr>
          <w:rFonts w:ascii="Times New Roman" w:hAnsi="Times New Roman"/>
          <w:szCs w:val="24"/>
        </w:rPr>
        <w:t>Further, t</w:t>
      </w:r>
      <w:r w:rsidR="00806EEA">
        <w:rPr>
          <w:rFonts w:ascii="Times New Roman" w:hAnsi="Times New Roman"/>
          <w:szCs w:val="24"/>
        </w:rPr>
        <w:t xml:space="preserve">he Company already offers or supports programs that assist low income customers in paying their electric bills. </w:t>
      </w:r>
      <w:r w:rsidR="00806EEA" w:rsidRPr="00806EEA">
        <w:rPr>
          <w:rFonts w:ascii="Times New Roman" w:hAnsi="Times New Roman"/>
          <w:szCs w:val="24"/>
        </w:rPr>
        <w:t>Georgia Power</w:t>
      </w:r>
      <w:r w:rsidR="006F6CB0">
        <w:rPr>
          <w:rFonts w:ascii="Times New Roman" w:hAnsi="Times New Roman"/>
          <w:szCs w:val="24"/>
        </w:rPr>
        <w:t>’</w:t>
      </w:r>
      <w:r w:rsidR="00806EEA" w:rsidRPr="00806EEA">
        <w:rPr>
          <w:rFonts w:ascii="Times New Roman" w:hAnsi="Times New Roman"/>
          <w:szCs w:val="24"/>
        </w:rPr>
        <w:t>s Energy Assistance Team works in local communities talking to groups who represent low-income customers, advising on programs, and coordinating with governmental agencies</w:t>
      </w:r>
      <w:r w:rsidR="003C335C">
        <w:rPr>
          <w:rFonts w:ascii="Times New Roman" w:hAnsi="Times New Roman"/>
          <w:szCs w:val="24"/>
        </w:rPr>
        <w:t xml:space="preserve"> like Community Action Agencies</w:t>
      </w:r>
      <w:r w:rsidR="00806EEA" w:rsidRPr="00806EEA">
        <w:rPr>
          <w:rFonts w:ascii="Times New Roman" w:hAnsi="Times New Roman"/>
          <w:szCs w:val="24"/>
        </w:rPr>
        <w:t xml:space="preserve"> to address the needs of low-income customers </w:t>
      </w:r>
      <w:r w:rsidR="003C335C">
        <w:rPr>
          <w:rFonts w:ascii="Times New Roman" w:hAnsi="Times New Roman"/>
          <w:szCs w:val="24"/>
        </w:rPr>
        <w:t xml:space="preserve">through services </w:t>
      </w:r>
      <w:r w:rsidR="00806EEA" w:rsidRPr="00806EEA">
        <w:rPr>
          <w:rFonts w:ascii="Times New Roman" w:hAnsi="Times New Roman"/>
          <w:szCs w:val="24"/>
        </w:rPr>
        <w:t>such as LIHEAP.</w:t>
      </w:r>
      <w:r w:rsidR="003C335C">
        <w:rPr>
          <w:rFonts w:ascii="Times New Roman" w:hAnsi="Times New Roman"/>
          <w:szCs w:val="24"/>
        </w:rPr>
        <w:t xml:space="preserve"> </w:t>
      </w:r>
      <w:r w:rsidR="000225F3">
        <w:rPr>
          <w:rFonts w:ascii="Times New Roman" w:hAnsi="Times New Roman"/>
          <w:szCs w:val="24"/>
        </w:rPr>
        <w:t>(Tr. 29</w:t>
      </w:r>
      <w:r w:rsidR="00F67047">
        <w:rPr>
          <w:rFonts w:ascii="Times New Roman" w:hAnsi="Times New Roman"/>
          <w:szCs w:val="24"/>
        </w:rPr>
        <w:t>21-</w:t>
      </w:r>
      <w:r w:rsidR="000225F3">
        <w:rPr>
          <w:rFonts w:ascii="Times New Roman" w:hAnsi="Times New Roman"/>
          <w:szCs w:val="24"/>
        </w:rPr>
        <w:t xml:space="preserve">22.) </w:t>
      </w:r>
      <w:r w:rsidR="003C335C">
        <w:rPr>
          <w:rFonts w:ascii="Times New Roman" w:hAnsi="Times New Roman"/>
          <w:szCs w:val="24"/>
        </w:rPr>
        <w:t xml:space="preserve">The Company regularly partners with community-based organizations, nonprofits, houses of worship, and government-funded programs </w:t>
      </w:r>
      <w:r w:rsidR="003C335C">
        <w:rPr>
          <w:rFonts w:ascii="Times New Roman" w:hAnsi="Times New Roman"/>
          <w:szCs w:val="24"/>
        </w:rPr>
        <w:lastRenderedPageBreak/>
        <w:t>and services to assist customers in need. For example, the</w:t>
      </w:r>
      <w:r w:rsidR="00806EEA" w:rsidRPr="00806EEA">
        <w:rPr>
          <w:rFonts w:ascii="Times New Roman" w:hAnsi="Times New Roman"/>
          <w:szCs w:val="24"/>
        </w:rPr>
        <w:t xml:space="preserve"> Company partners with </w:t>
      </w:r>
      <w:r w:rsidR="003C335C">
        <w:rPr>
          <w:rFonts w:ascii="Times New Roman" w:hAnsi="Times New Roman"/>
          <w:szCs w:val="24"/>
        </w:rPr>
        <w:t xml:space="preserve">the Salvation Army through </w:t>
      </w:r>
      <w:r w:rsidR="00806EEA" w:rsidRPr="00806EEA">
        <w:rPr>
          <w:rFonts w:ascii="Times New Roman" w:hAnsi="Times New Roman"/>
          <w:szCs w:val="24"/>
        </w:rPr>
        <w:t>Project SHARE to help customers</w:t>
      </w:r>
      <w:r w:rsidR="00017F1C">
        <w:rPr>
          <w:rFonts w:ascii="Times New Roman" w:hAnsi="Times New Roman"/>
          <w:szCs w:val="24"/>
        </w:rPr>
        <w:t xml:space="preserve"> in need</w:t>
      </w:r>
      <w:r w:rsidR="00806EEA" w:rsidRPr="00806EEA">
        <w:rPr>
          <w:rFonts w:ascii="Times New Roman" w:hAnsi="Times New Roman"/>
          <w:szCs w:val="24"/>
        </w:rPr>
        <w:t xml:space="preserve"> pay their bills</w:t>
      </w:r>
      <w:r w:rsidR="0077314B">
        <w:rPr>
          <w:rFonts w:ascii="Times New Roman" w:hAnsi="Times New Roman"/>
          <w:szCs w:val="24"/>
        </w:rPr>
        <w:t>,</w:t>
      </w:r>
      <w:r w:rsidR="000225F3">
        <w:rPr>
          <w:rFonts w:ascii="Times New Roman" w:hAnsi="Times New Roman"/>
          <w:szCs w:val="24"/>
        </w:rPr>
        <w:t xml:space="preserve"> matching customer contributions up to one million dollars a year</w:t>
      </w:r>
      <w:r w:rsidR="00806EEA" w:rsidRPr="00806EEA">
        <w:rPr>
          <w:rFonts w:ascii="Times New Roman" w:hAnsi="Times New Roman"/>
          <w:szCs w:val="24"/>
        </w:rPr>
        <w:t>.</w:t>
      </w:r>
      <w:r w:rsidR="000225F3">
        <w:rPr>
          <w:rFonts w:ascii="Times New Roman" w:hAnsi="Times New Roman"/>
          <w:szCs w:val="24"/>
        </w:rPr>
        <w:t xml:space="preserve"> (Tr. 29</w:t>
      </w:r>
      <w:r w:rsidR="00877A92">
        <w:rPr>
          <w:rFonts w:ascii="Times New Roman" w:hAnsi="Times New Roman"/>
          <w:szCs w:val="24"/>
        </w:rPr>
        <w:t>44-45</w:t>
      </w:r>
      <w:r w:rsidR="000225F3">
        <w:rPr>
          <w:rFonts w:ascii="Times New Roman" w:hAnsi="Times New Roman"/>
          <w:szCs w:val="24"/>
        </w:rPr>
        <w:t>.)</w:t>
      </w:r>
      <w:r w:rsidR="00806EEA" w:rsidRPr="00806EEA">
        <w:rPr>
          <w:rFonts w:ascii="Times New Roman" w:hAnsi="Times New Roman"/>
          <w:szCs w:val="24"/>
        </w:rPr>
        <w:t xml:space="preserve"> In addition, Georgia Power offers options like FlatBill and budget billing, which help lower income customers by keeping the</w:t>
      </w:r>
      <w:r w:rsidR="00017F1C">
        <w:rPr>
          <w:rFonts w:ascii="Times New Roman" w:hAnsi="Times New Roman"/>
          <w:szCs w:val="24"/>
        </w:rPr>
        <w:t>ir</w:t>
      </w:r>
      <w:r w:rsidR="00806EEA" w:rsidRPr="00806EEA">
        <w:rPr>
          <w:rFonts w:ascii="Times New Roman" w:hAnsi="Times New Roman"/>
          <w:szCs w:val="24"/>
        </w:rPr>
        <w:t xml:space="preserve"> monthly bill amount more stable and predictable each month, along with PrePay, which can help customers who fall behind on payment of their electric bills. </w:t>
      </w:r>
      <w:r w:rsidR="009909C0">
        <w:rPr>
          <w:rFonts w:ascii="Times New Roman" w:hAnsi="Times New Roman"/>
          <w:szCs w:val="24"/>
        </w:rPr>
        <w:t>(</w:t>
      </w:r>
      <w:r w:rsidR="00124665">
        <w:rPr>
          <w:rFonts w:ascii="Times New Roman" w:hAnsi="Times New Roman"/>
          <w:szCs w:val="24"/>
        </w:rPr>
        <w:t>Tr. 2881</w:t>
      </w:r>
      <w:r w:rsidR="009909C0">
        <w:rPr>
          <w:rFonts w:ascii="Times New Roman" w:hAnsi="Times New Roman"/>
          <w:szCs w:val="24"/>
        </w:rPr>
        <w:t xml:space="preserve">.) </w:t>
      </w:r>
      <w:r w:rsidR="00806EEA" w:rsidRPr="00806EEA">
        <w:rPr>
          <w:rFonts w:ascii="Times New Roman" w:hAnsi="Times New Roman"/>
          <w:szCs w:val="24"/>
        </w:rPr>
        <w:t>Finally,</w:t>
      </w:r>
      <w:r w:rsidR="006876DF">
        <w:rPr>
          <w:rFonts w:ascii="Times New Roman" w:hAnsi="Times New Roman"/>
          <w:szCs w:val="24"/>
        </w:rPr>
        <w:t xml:space="preserve"> some of</w:t>
      </w:r>
      <w:r w:rsidR="00806EEA" w:rsidRPr="00806EEA">
        <w:rPr>
          <w:rFonts w:ascii="Times New Roman" w:hAnsi="Times New Roman"/>
          <w:szCs w:val="24"/>
        </w:rPr>
        <w:t xml:space="preserve"> Georgia Power</w:t>
      </w:r>
      <w:r w:rsidR="006F6CB0">
        <w:rPr>
          <w:rFonts w:ascii="Times New Roman" w:hAnsi="Times New Roman"/>
          <w:szCs w:val="24"/>
        </w:rPr>
        <w:t>’</w:t>
      </w:r>
      <w:r w:rsidR="00806EEA" w:rsidRPr="00806EEA">
        <w:rPr>
          <w:rFonts w:ascii="Times New Roman" w:hAnsi="Times New Roman"/>
          <w:szCs w:val="24"/>
        </w:rPr>
        <w:t>s DSM programs aim to help low income customers through the installation of energy efficiency measures and other conservation efforts to save customers money.</w:t>
      </w:r>
      <w:r w:rsidR="00B60798">
        <w:rPr>
          <w:rFonts w:ascii="Times New Roman" w:hAnsi="Times New Roman"/>
          <w:szCs w:val="24"/>
        </w:rPr>
        <w:t xml:space="preserve"> </w:t>
      </w:r>
      <w:r w:rsidR="000225F3">
        <w:rPr>
          <w:rFonts w:ascii="Times New Roman" w:hAnsi="Times New Roman"/>
          <w:szCs w:val="24"/>
        </w:rPr>
        <w:t>(</w:t>
      </w:r>
      <w:r w:rsidR="000225F3">
        <w:rPr>
          <w:rFonts w:ascii="Times New Roman" w:hAnsi="Times New Roman"/>
          <w:i/>
          <w:szCs w:val="24"/>
        </w:rPr>
        <w:t xml:space="preserve">See </w:t>
      </w:r>
      <w:r w:rsidR="000E0178">
        <w:rPr>
          <w:rFonts w:ascii="Times New Roman" w:hAnsi="Times New Roman"/>
          <w:i/>
          <w:szCs w:val="24"/>
        </w:rPr>
        <w:t>i</w:t>
      </w:r>
      <w:r w:rsidR="00877A92">
        <w:rPr>
          <w:rFonts w:ascii="Times New Roman" w:hAnsi="Times New Roman"/>
          <w:i/>
          <w:szCs w:val="24"/>
        </w:rPr>
        <w:t>d</w:t>
      </w:r>
      <w:r w:rsidR="000225F3">
        <w:rPr>
          <w:rFonts w:ascii="Times New Roman" w:hAnsi="Times New Roman"/>
          <w:szCs w:val="24"/>
        </w:rPr>
        <w:t xml:space="preserve">.) </w:t>
      </w:r>
      <w:r w:rsidR="00B60798">
        <w:rPr>
          <w:rFonts w:ascii="Times New Roman" w:hAnsi="Times New Roman"/>
          <w:szCs w:val="24"/>
        </w:rPr>
        <w:t>T</w:t>
      </w:r>
      <w:r w:rsidR="00B60798" w:rsidRPr="00806EEA">
        <w:rPr>
          <w:rFonts w:ascii="Times New Roman" w:hAnsi="Times New Roman"/>
          <w:szCs w:val="24"/>
        </w:rPr>
        <w:t xml:space="preserve">he Company </w:t>
      </w:r>
      <w:r>
        <w:rPr>
          <w:rFonts w:ascii="Times New Roman" w:hAnsi="Times New Roman"/>
          <w:szCs w:val="24"/>
        </w:rPr>
        <w:t xml:space="preserve">recognizes the needs of its customers and </w:t>
      </w:r>
      <w:r w:rsidR="00B60798">
        <w:rPr>
          <w:rFonts w:ascii="Times New Roman" w:hAnsi="Times New Roman"/>
          <w:szCs w:val="24"/>
        </w:rPr>
        <w:t>will</w:t>
      </w:r>
      <w:r w:rsidR="00B60798" w:rsidRPr="00806EEA">
        <w:rPr>
          <w:rFonts w:ascii="Times New Roman" w:hAnsi="Times New Roman"/>
          <w:szCs w:val="24"/>
        </w:rPr>
        <w:t xml:space="preserve"> continue offering its current array of programs and outreach to support customers in need.</w:t>
      </w:r>
      <w:r>
        <w:rPr>
          <w:rFonts w:ascii="Times New Roman" w:hAnsi="Times New Roman"/>
          <w:szCs w:val="24"/>
        </w:rPr>
        <w:t xml:space="preserve"> No Commission action is needed regarding the Company’s low-income assistance. </w:t>
      </w:r>
    </w:p>
    <w:p w14:paraId="45C34C52" w14:textId="2C6529FE" w:rsidR="00A322F8" w:rsidRPr="00A322F8" w:rsidRDefault="00A322F8" w:rsidP="00BB2CBF">
      <w:pPr>
        <w:keepNext/>
        <w:widowControl/>
        <w:tabs>
          <w:tab w:val="left" w:pos="720"/>
        </w:tabs>
        <w:overflowPunct/>
        <w:autoSpaceDE/>
        <w:autoSpaceDN/>
        <w:adjustRightInd/>
        <w:spacing w:before="240" w:after="240"/>
        <w:ind w:left="720" w:hanging="720"/>
        <w:jc w:val="both"/>
        <w:textAlignment w:val="auto"/>
        <w:rPr>
          <w:rFonts w:ascii="Times New Roman" w:hAnsi="Times New Roman"/>
          <w:b/>
          <w:szCs w:val="24"/>
        </w:rPr>
      </w:pPr>
      <w:bookmarkStart w:id="69" w:name="_Hlk26112243"/>
      <w:r w:rsidRPr="00A322F8">
        <w:rPr>
          <w:rFonts w:ascii="Times New Roman" w:hAnsi="Times New Roman"/>
          <w:b/>
          <w:szCs w:val="24"/>
        </w:rPr>
        <w:t>L.</w:t>
      </w:r>
      <w:r w:rsidRPr="00A322F8">
        <w:rPr>
          <w:rFonts w:ascii="Times New Roman" w:hAnsi="Times New Roman"/>
          <w:b/>
          <w:szCs w:val="24"/>
        </w:rPr>
        <w:tab/>
        <w:t>The Company Supports Making More Granular Customer Usage Data available to Customers</w:t>
      </w:r>
      <w:r w:rsidR="007B7084">
        <w:rPr>
          <w:rFonts w:ascii="Times New Roman" w:hAnsi="Times New Roman"/>
          <w:b/>
          <w:szCs w:val="24"/>
        </w:rPr>
        <w:t>.</w:t>
      </w:r>
      <w:r w:rsidRPr="00A322F8">
        <w:rPr>
          <w:rFonts w:ascii="Times New Roman" w:hAnsi="Times New Roman"/>
          <w:b/>
          <w:szCs w:val="24"/>
        </w:rPr>
        <w:t xml:space="preserve"> </w:t>
      </w:r>
    </w:p>
    <w:bookmarkEnd w:id="69"/>
    <w:p w14:paraId="4B426610" w14:textId="125234E7" w:rsidR="00A6576B" w:rsidRDefault="00A6576B" w:rsidP="00BB2CBF">
      <w:pPr>
        <w:keepNext/>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466A45">
        <w:rPr>
          <w:rFonts w:ascii="Times New Roman" w:hAnsi="Times New Roman"/>
          <w:szCs w:val="24"/>
        </w:rPr>
        <w:t xml:space="preserve">PIA Staff </w:t>
      </w:r>
      <w:r>
        <w:rPr>
          <w:rFonts w:ascii="Times New Roman" w:hAnsi="Times New Roman"/>
          <w:szCs w:val="24"/>
        </w:rPr>
        <w:t>assert</w:t>
      </w:r>
      <w:r w:rsidR="005135F4">
        <w:rPr>
          <w:rFonts w:ascii="Times New Roman" w:hAnsi="Times New Roman"/>
          <w:szCs w:val="24"/>
        </w:rPr>
        <w:t>s</w:t>
      </w:r>
      <w:r>
        <w:rPr>
          <w:rFonts w:ascii="Times New Roman" w:hAnsi="Times New Roman"/>
          <w:szCs w:val="24"/>
        </w:rPr>
        <w:t xml:space="preserve"> that the Company has not established the requisite communications and tools necessary to explain and market modern rate design options to customers, in part because the Company does not make hourly data, shadow billing or an online bill calculator available to customers. </w:t>
      </w:r>
      <w:r w:rsidR="00EE5F67">
        <w:rPr>
          <w:rFonts w:ascii="Times New Roman" w:hAnsi="Times New Roman"/>
          <w:szCs w:val="24"/>
        </w:rPr>
        <w:t>(</w:t>
      </w:r>
      <w:r w:rsidR="00124665">
        <w:rPr>
          <w:rFonts w:ascii="Times New Roman" w:hAnsi="Times New Roman"/>
          <w:szCs w:val="24"/>
        </w:rPr>
        <w:t>Tr. 1694-95</w:t>
      </w:r>
      <w:r w:rsidR="00EE5F67">
        <w:rPr>
          <w:rFonts w:ascii="Times New Roman" w:hAnsi="Times New Roman"/>
          <w:szCs w:val="24"/>
        </w:rPr>
        <w:t xml:space="preserve">.) </w:t>
      </w:r>
      <w:r w:rsidR="00C5552B">
        <w:rPr>
          <w:rFonts w:ascii="Times New Roman" w:hAnsi="Times New Roman"/>
          <w:szCs w:val="24"/>
        </w:rPr>
        <w:t xml:space="preserve">Nevertheless, </w:t>
      </w:r>
      <w:r>
        <w:rPr>
          <w:rFonts w:ascii="Times New Roman" w:hAnsi="Times New Roman"/>
          <w:szCs w:val="24"/>
        </w:rPr>
        <w:t>Georgia Power disagrees that its customers are ill-equipped to understand how modern rates would affect them and their bills</w:t>
      </w:r>
      <w:r w:rsidR="00124665">
        <w:rPr>
          <w:rFonts w:ascii="Times New Roman" w:hAnsi="Times New Roman"/>
          <w:szCs w:val="24"/>
        </w:rPr>
        <w:t xml:space="preserve">. </w:t>
      </w:r>
      <w:r>
        <w:rPr>
          <w:rFonts w:ascii="Times New Roman" w:hAnsi="Times New Roman"/>
          <w:szCs w:val="24"/>
        </w:rPr>
        <w:t xml:space="preserve">First, </w:t>
      </w:r>
      <w:r w:rsidR="00C5552B">
        <w:rPr>
          <w:rFonts w:ascii="Times New Roman" w:hAnsi="Times New Roman"/>
          <w:szCs w:val="24"/>
        </w:rPr>
        <w:t>c</w:t>
      </w:r>
      <w:r w:rsidR="00C5552B" w:rsidRPr="00C5552B">
        <w:rPr>
          <w:rFonts w:ascii="Times New Roman" w:hAnsi="Times New Roman"/>
          <w:szCs w:val="24"/>
        </w:rPr>
        <w:t>ustomers</w:t>
      </w:r>
      <w:r w:rsidR="00C5552B">
        <w:rPr>
          <w:rFonts w:ascii="Times New Roman" w:hAnsi="Times New Roman"/>
          <w:szCs w:val="24"/>
        </w:rPr>
        <w:t xml:space="preserve"> on TOU-RD, the Company’s time of use demand rate, understand that they can</w:t>
      </w:r>
      <w:r w:rsidR="00C5552B" w:rsidRPr="00C5552B">
        <w:rPr>
          <w:rFonts w:ascii="Times New Roman" w:hAnsi="Times New Roman"/>
          <w:szCs w:val="24"/>
        </w:rPr>
        <w:t xml:space="preserve"> shift their energy usage to lower-priced hours to save money.</w:t>
      </w:r>
      <w:r w:rsidR="00EE5F67">
        <w:rPr>
          <w:rFonts w:ascii="Times New Roman" w:hAnsi="Times New Roman"/>
          <w:szCs w:val="24"/>
        </w:rPr>
        <w:t xml:space="preserve"> (Tr. 2893.)</w:t>
      </w:r>
      <w:r w:rsidR="00C5552B">
        <w:rPr>
          <w:rFonts w:ascii="Times New Roman" w:hAnsi="Times New Roman"/>
          <w:szCs w:val="24"/>
        </w:rPr>
        <w:t xml:space="preserve"> Further,</w:t>
      </w:r>
      <w:r w:rsidR="00C5552B" w:rsidRPr="00C5552B">
        <w:rPr>
          <w:rFonts w:ascii="Times New Roman" w:hAnsi="Times New Roman"/>
          <w:szCs w:val="24"/>
        </w:rPr>
        <w:t xml:space="preserve"> Customers are fully capable of</w:t>
      </w:r>
      <w:r w:rsidR="001210AC">
        <w:rPr>
          <w:rFonts w:ascii="Times New Roman" w:hAnsi="Times New Roman"/>
          <w:szCs w:val="24"/>
        </w:rPr>
        <w:t xml:space="preserve"> </w:t>
      </w:r>
      <w:r w:rsidR="00C5552B" w:rsidRPr="00C5552B">
        <w:rPr>
          <w:rFonts w:ascii="Times New Roman" w:hAnsi="Times New Roman"/>
          <w:szCs w:val="24"/>
        </w:rPr>
        <w:lastRenderedPageBreak/>
        <w:t>grasping the concept that under a demand rate they can save money by not running major appliances at the same time.</w:t>
      </w:r>
      <w:r w:rsidR="00EE5F67">
        <w:rPr>
          <w:rFonts w:ascii="Times New Roman" w:hAnsi="Times New Roman"/>
          <w:szCs w:val="24"/>
        </w:rPr>
        <w:t xml:space="preserve"> </w:t>
      </w:r>
      <w:r w:rsidR="009909C0">
        <w:rPr>
          <w:rFonts w:ascii="Times New Roman" w:hAnsi="Times New Roman"/>
          <w:szCs w:val="24"/>
        </w:rPr>
        <w:t>(</w:t>
      </w:r>
      <w:r w:rsidR="00EE5F67" w:rsidRPr="004E6C8D">
        <w:rPr>
          <w:rFonts w:ascii="Times New Roman" w:hAnsi="Times New Roman"/>
          <w:i/>
          <w:szCs w:val="24"/>
        </w:rPr>
        <w:t>Id</w:t>
      </w:r>
      <w:r w:rsidR="00EE5F67">
        <w:rPr>
          <w:rFonts w:ascii="Times New Roman" w:hAnsi="Times New Roman"/>
          <w:szCs w:val="24"/>
        </w:rPr>
        <w:t>.</w:t>
      </w:r>
      <w:r w:rsidR="009909C0">
        <w:rPr>
          <w:rFonts w:ascii="Times New Roman" w:hAnsi="Times New Roman"/>
          <w:szCs w:val="24"/>
        </w:rPr>
        <w:t>)</w:t>
      </w:r>
    </w:p>
    <w:p w14:paraId="4C8BE155" w14:textId="6FEE4371" w:rsidR="00A6576B" w:rsidRDefault="00A6576B" w:rsidP="0063431D">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t xml:space="preserve">In accordance with the Commission’s order in the 2013 rate case, the Company investigated the need for and associated costs with providing hourly usage information </w:t>
      </w:r>
      <w:r w:rsidR="00130072">
        <w:rPr>
          <w:rFonts w:ascii="Times New Roman" w:hAnsi="Times New Roman"/>
          <w:szCs w:val="24"/>
        </w:rPr>
        <w:t>t</w:t>
      </w:r>
      <w:r>
        <w:rPr>
          <w:rFonts w:ascii="Times New Roman" w:hAnsi="Times New Roman"/>
          <w:szCs w:val="24"/>
        </w:rPr>
        <w:t>o all metered customers.</w:t>
      </w:r>
      <w:r w:rsidR="00EE5F67">
        <w:rPr>
          <w:rFonts w:ascii="Times New Roman" w:hAnsi="Times New Roman"/>
          <w:szCs w:val="24"/>
        </w:rPr>
        <w:t xml:space="preserve"> (</w:t>
      </w:r>
      <w:r w:rsidR="00124665">
        <w:rPr>
          <w:rFonts w:ascii="Times New Roman" w:hAnsi="Times New Roman"/>
          <w:szCs w:val="24"/>
        </w:rPr>
        <w:t>Tr. 872</w:t>
      </w:r>
      <w:r w:rsidR="00EE5F67">
        <w:rPr>
          <w:rFonts w:ascii="Times New Roman" w:hAnsi="Times New Roman"/>
          <w:szCs w:val="24"/>
        </w:rPr>
        <w:t>.)</w:t>
      </w:r>
      <w:r w:rsidR="00130072">
        <w:rPr>
          <w:rFonts w:ascii="Times New Roman" w:hAnsi="Times New Roman"/>
          <w:szCs w:val="24"/>
        </w:rPr>
        <w:t xml:space="preserve"> In its June 23, 2014 report, the Company stated that the cost to provide hourly usage data would require an initial upfront cost of $4.2 million with another $1.2</w:t>
      </w:r>
      <w:r w:rsidR="006A6778">
        <w:rPr>
          <w:rFonts w:ascii="Times New Roman" w:hAnsi="Times New Roman"/>
          <w:szCs w:val="24"/>
        </w:rPr>
        <w:t> </w:t>
      </w:r>
      <w:r w:rsidR="00130072">
        <w:rPr>
          <w:rFonts w:ascii="Times New Roman" w:hAnsi="Times New Roman"/>
          <w:szCs w:val="24"/>
        </w:rPr>
        <w:t xml:space="preserve">million each year in support costs. </w:t>
      </w:r>
      <w:r w:rsidR="00EE5F67">
        <w:rPr>
          <w:rFonts w:ascii="Times New Roman" w:hAnsi="Times New Roman"/>
          <w:szCs w:val="24"/>
        </w:rPr>
        <w:t>(</w:t>
      </w:r>
      <w:r w:rsidR="00845E78">
        <w:rPr>
          <w:rFonts w:ascii="Times New Roman" w:hAnsi="Times New Roman"/>
          <w:szCs w:val="24"/>
        </w:rPr>
        <w:t>Tr. 1716</w:t>
      </w:r>
      <w:r w:rsidR="00EE5F67">
        <w:rPr>
          <w:rFonts w:ascii="Times New Roman" w:hAnsi="Times New Roman"/>
          <w:szCs w:val="24"/>
        </w:rPr>
        <w:t xml:space="preserve">.) </w:t>
      </w:r>
      <w:r w:rsidR="00130072">
        <w:rPr>
          <w:rFonts w:ascii="Times New Roman" w:hAnsi="Times New Roman"/>
          <w:szCs w:val="24"/>
        </w:rPr>
        <w:t xml:space="preserve">The Company also found that the majority of customers to whom this data would be provided were unlikely to be interested in or use </w:t>
      </w:r>
      <w:r w:rsidR="00AE1424">
        <w:rPr>
          <w:rFonts w:ascii="Times New Roman" w:hAnsi="Times New Roman"/>
          <w:szCs w:val="24"/>
        </w:rPr>
        <w:t>such</w:t>
      </w:r>
      <w:r w:rsidR="00130072">
        <w:rPr>
          <w:rFonts w:ascii="Times New Roman" w:hAnsi="Times New Roman"/>
          <w:szCs w:val="24"/>
        </w:rPr>
        <w:t xml:space="preserve"> hourly data. </w:t>
      </w:r>
      <w:r w:rsidR="00EE5F67">
        <w:rPr>
          <w:rFonts w:ascii="Times New Roman" w:hAnsi="Times New Roman"/>
          <w:szCs w:val="24"/>
        </w:rPr>
        <w:t>(</w:t>
      </w:r>
      <w:r w:rsidR="00124665">
        <w:rPr>
          <w:rFonts w:ascii="Times New Roman" w:hAnsi="Times New Roman"/>
          <w:szCs w:val="24"/>
        </w:rPr>
        <w:t>Tr. 875-76</w:t>
      </w:r>
      <w:r w:rsidR="00EE5F67">
        <w:rPr>
          <w:rFonts w:ascii="Times New Roman" w:hAnsi="Times New Roman"/>
          <w:szCs w:val="24"/>
        </w:rPr>
        <w:t xml:space="preserve">.) </w:t>
      </w:r>
      <w:r w:rsidR="00130072">
        <w:rPr>
          <w:rFonts w:ascii="Times New Roman" w:hAnsi="Times New Roman"/>
          <w:szCs w:val="24"/>
        </w:rPr>
        <w:t>Therefore, the Company concluded that the limited benefit to</w:t>
      </w:r>
      <w:r w:rsidR="00017F1C">
        <w:rPr>
          <w:rFonts w:ascii="Times New Roman" w:hAnsi="Times New Roman"/>
          <w:szCs w:val="24"/>
        </w:rPr>
        <w:t xml:space="preserve"> a</w:t>
      </w:r>
      <w:r w:rsidR="00130072">
        <w:rPr>
          <w:rFonts w:ascii="Times New Roman" w:hAnsi="Times New Roman"/>
          <w:szCs w:val="24"/>
        </w:rPr>
        <w:t xml:space="preserve"> few customers was not worth the time and cost to make hourly data available to customers at that time.</w:t>
      </w:r>
    </w:p>
    <w:p w14:paraId="424A9848" w14:textId="333C53BC" w:rsidR="00137CBC" w:rsidRDefault="00130072" w:rsidP="00D927F8">
      <w:pPr>
        <w:widowControl/>
        <w:tabs>
          <w:tab w:val="left" w:pos="0"/>
        </w:tabs>
        <w:overflowPunct/>
        <w:autoSpaceDE/>
        <w:autoSpaceDN/>
        <w:adjustRightInd/>
        <w:spacing w:line="480" w:lineRule="auto"/>
        <w:jc w:val="both"/>
        <w:textAlignment w:val="auto"/>
        <w:rPr>
          <w:rFonts w:ascii="Times New Roman" w:hAnsi="Times New Roman"/>
          <w:szCs w:val="24"/>
        </w:rPr>
      </w:pPr>
      <w:r>
        <w:rPr>
          <w:rFonts w:ascii="Times New Roman" w:hAnsi="Times New Roman"/>
          <w:szCs w:val="24"/>
        </w:rPr>
        <w:tab/>
      </w:r>
      <w:r w:rsidR="0063431D" w:rsidRPr="0063431D">
        <w:rPr>
          <w:rFonts w:ascii="Times New Roman" w:hAnsi="Times New Roman"/>
          <w:szCs w:val="24"/>
        </w:rPr>
        <w:t xml:space="preserve">Georgia Power </w:t>
      </w:r>
      <w:r>
        <w:rPr>
          <w:rFonts w:ascii="Times New Roman" w:hAnsi="Times New Roman"/>
          <w:szCs w:val="24"/>
        </w:rPr>
        <w:t>agrees with PIA</w:t>
      </w:r>
      <w:r w:rsidR="0063431D" w:rsidRPr="0063431D">
        <w:rPr>
          <w:rFonts w:ascii="Times New Roman" w:hAnsi="Times New Roman"/>
          <w:szCs w:val="24"/>
        </w:rPr>
        <w:t xml:space="preserve"> Staff’s recommendation to further study the need for and costs of providing hourly data to customers and to file this information with the Commission within six months of the Commission order in this docket</w:t>
      </w:r>
      <w:r w:rsidR="008B004B">
        <w:rPr>
          <w:rFonts w:ascii="Times New Roman" w:hAnsi="Times New Roman"/>
          <w:szCs w:val="24"/>
        </w:rPr>
        <w:t>.</w:t>
      </w:r>
    </w:p>
    <w:p w14:paraId="47E3AFDD" w14:textId="77777777" w:rsidR="00C53D00" w:rsidRPr="00C60454" w:rsidRDefault="00C53D00" w:rsidP="00E00941">
      <w:pPr>
        <w:keepNext/>
        <w:widowControl/>
        <w:overflowPunct/>
        <w:autoSpaceDE/>
        <w:autoSpaceDN/>
        <w:adjustRightInd/>
        <w:spacing w:line="480" w:lineRule="auto"/>
        <w:jc w:val="center"/>
        <w:textAlignment w:val="auto"/>
        <w:rPr>
          <w:rFonts w:ascii="Times New Roman" w:hAnsi="Times New Roman"/>
          <w:b/>
          <w:szCs w:val="24"/>
        </w:rPr>
      </w:pPr>
      <w:bookmarkStart w:id="70" w:name="_Hlk26112266"/>
      <w:r w:rsidRPr="00C60454">
        <w:rPr>
          <w:rFonts w:ascii="Times New Roman" w:hAnsi="Times New Roman"/>
          <w:b/>
          <w:szCs w:val="24"/>
        </w:rPr>
        <w:t>V.</w:t>
      </w:r>
      <w:r w:rsidR="00A322F8">
        <w:rPr>
          <w:rFonts w:ascii="Times New Roman" w:hAnsi="Times New Roman"/>
          <w:b/>
          <w:szCs w:val="24"/>
        </w:rPr>
        <w:t xml:space="preserve">  </w:t>
      </w:r>
      <w:r w:rsidRPr="00C60454">
        <w:rPr>
          <w:rFonts w:ascii="Times New Roman" w:hAnsi="Times New Roman"/>
          <w:b/>
          <w:szCs w:val="24"/>
        </w:rPr>
        <w:t>CONCLUSION</w:t>
      </w:r>
    </w:p>
    <w:bookmarkEnd w:id="70"/>
    <w:p w14:paraId="69C86512" w14:textId="558A8130" w:rsidR="00C53D00" w:rsidRPr="00C60454" w:rsidRDefault="00C53D00" w:rsidP="00BB2CBF">
      <w:pPr>
        <w:keepNext/>
        <w:widowControl/>
        <w:spacing w:line="480" w:lineRule="auto"/>
        <w:rPr>
          <w:rFonts w:ascii="Times New Roman" w:hAnsi="Times New Roman"/>
          <w:szCs w:val="24"/>
        </w:rPr>
      </w:pPr>
      <w:r w:rsidRPr="00C60454">
        <w:rPr>
          <w:rFonts w:ascii="Times New Roman" w:hAnsi="Times New Roman"/>
          <w:szCs w:val="24"/>
        </w:rPr>
        <w:tab/>
        <w:t>For all of the above reasons, the Commission should approve Georgia Power</w:t>
      </w:r>
      <w:r w:rsidR="007B5A1E" w:rsidRPr="00C60454">
        <w:rPr>
          <w:rFonts w:ascii="Times New Roman" w:hAnsi="Times New Roman"/>
          <w:szCs w:val="24"/>
        </w:rPr>
        <w:t xml:space="preserve"> Company</w:t>
      </w:r>
      <w:r w:rsidR="006F6CB0">
        <w:rPr>
          <w:rFonts w:ascii="Times New Roman" w:hAnsi="Times New Roman"/>
          <w:szCs w:val="24"/>
        </w:rPr>
        <w:t>’</w:t>
      </w:r>
      <w:r w:rsidRPr="00C60454">
        <w:rPr>
          <w:rFonts w:ascii="Times New Roman" w:hAnsi="Times New Roman"/>
          <w:szCs w:val="24"/>
        </w:rPr>
        <w:t>s 201</w:t>
      </w:r>
      <w:r w:rsidR="005635B5" w:rsidRPr="00C60454">
        <w:rPr>
          <w:rFonts w:ascii="Times New Roman" w:hAnsi="Times New Roman"/>
          <w:szCs w:val="24"/>
        </w:rPr>
        <w:t>9</w:t>
      </w:r>
      <w:r w:rsidRPr="00C60454">
        <w:rPr>
          <w:rFonts w:ascii="Times New Roman" w:hAnsi="Times New Roman"/>
          <w:szCs w:val="24"/>
        </w:rPr>
        <w:t xml:space="preserve"> Rate Case as </w:t>
      </w:r>
      <w:r w:rsidR="00A322F8">
        <w:rPr>
          <w:rFonts w:ascii="Times New Roman" w:hAnsi="Times New Roman"/>
          <w:szCs w:val="24"/>
        </w:rPr>
        <w:t>filed by the Company</w:t>
      </w:r>
      <w:r w:rsidRPr="00C60454">
        <w:rPr>
          <w:rFonts w:ascii="Times New Roman" w:hAnsi="Times New Roman"/>
          <w:szCs w:val="24"/>
        </w:rPr>
        <w:t>.</w:t>
      </w:r>
    </w:p>
    <w:p w14:paraId="1FD265F7" w14:textId="77777777" w:rsidR="00C53D00" w:rsidRPr="00C60454" w:rsidRDefault="00C53D00" w:rsidP="00C53D00">
      <w:pPr>
        <w:pStyle w:val="BodyTextIndent3"/>
        <w:widowControl/>
        <w:ind w:left="0" w:firstLine="0"/>
        <w:jc w:val="both"/>
        <w:rPr>
          <w:szCs w:val="24"/>
        </w:rPr>
      </w:pPr>
      <w:r w:rsidRPr="00C60454">
        <w:rPr>
          <w:szCs w:val="24"/>
        </w:rPr>
        <w:tab/>
        <w:t>Respectfully submitted</w:t>
      </w:r>
      <w:r w:rsidR="00F76F6D" w:rsidRPr="00C60454">
        <w:rPr>
          <w:szCs w:val="24"/>
        </w:rPr>
        <w:t>,</w:t>
      </w:r>
      <w:r w:rsidRPr="00C60454">
        <w:rPr>
          <w:szCs w:val="24"/>
        </w:rPr>
        <w:t xml:space="preserve"> this </w:t>
      </w:r>
      <w:r w:rsidR="00354691" w:rsidRPr="00C60454">
        <w:rPr>
          <w:szCs w:val="24"/>
        </w:rPr>
        <w:t>4</w:t>
      </w:r>
      <w:r w:rsidRPr="00C60454">
        <w:rPr>
          <w:szCs w:val="24"/>
          <w:vertAlign w:val="superscript"/>
        </w:rPr>
        <w:t>th</w:t>
      </w:r>
      <w:r w:rsidRPr="00C60454">
        <w:rPr>
          <w:szCs w:val="24"/>
        </w:rPr>
        <w:t xml:space="preserve"> day of December 201</w:t>
      </w:r>
      <w:r w:rsidR="005635B5" w:rsidRPr="00C60454">
        <w:rPr>
          <w:szCs w:val="24"/>
        </w:rPr>
        <w:t>9</w:t>
      </w:r>
      <w:r w:rsidRPr="00C60454">
        <w:rPr>
          <w:szCs w:val="24"/>
        </w:rPr>
        <w:t>.</w:t>
      </w:r>
    </w:p>
    <w:p w14:paraId="659E7CA9" w14:textId="77777777" w:rsidR="00C53D00" w:rsidRPr="00C60454" w:rsidRDefault="00C53D00" w:rsidP="00C53D00">
      <w:pPr>
        <w:pStyle w:val="BodyTextIndent3"/>
        <w:widowControl/>
        <w:ind w:left="0" w:firstLine="0"/>
        <w:jc w:val="both"/>
        <w:rPr>
          <w:szCs w:val="24"/>
        </w:rPr>
      </w:pPr>
    </w:p>
    <w:p w14:paraId="77BF33FD" w14:textId="77777777" w:rsidR="00C53D00" w:rsidRPr="00C60454" w:rsidRDefault="00C53D00" w:rsidP="00C53D00">
      <w:pPr>
        <w:pStyle w:val="BodyTextIndent3"/>
        <w:widowControl/>
        <w:ind w:left="5040" w:firstLine="0"/>
        <w:jc w:val="both"/>
        <w:rPr>
          <w:szCs w:val="24"/>
          <w:lang w:val="it-IT"/>
        </w:rPr>
      </w:pPr>
      <w:r w:rsidRPr="00C60454">
        <w:rPr>
          <w:szCs w:val="24"/>
          <w:lang w:val="it-IT"/>
        </w:rPr>
        <w:t>______________________________</w:t>
      </w:r>
    </w:p>
    <w:p w14:paraId="7D3A60C6" w14:textId="77777777" w:rsidR="00C53D00" w:rsidRPr="00C60454" w:rsidRDefault="00C53D00" w:rsidP="00C53D00">
      <w:pPr>
        <w:pStyle w:val="BodyTextIndent3"/>
        <w:widowControl/>
        <w:ind w:left="5040" w:firstLine="0"/>
        <w:jc w:val="both"/>
        <w:rPr>
          <w:szCs w:val="24"/>
          <w:lang w:val="it-IT"/>
        </w:rPr>
      </w:pPr>
      <w:r w:rsidRPr="00C60454">
        <w:rPr>
          <w:szCs w:val="24"/>
          <w:lang w:val="it-IT"/>
        </w:rPr>
        <w:t>Kevin C. Greene</w:t>
      </w:r>
    </w:p>
    <w:p w14:paraId="439F937A" w14:textId="77777777" w:rsidR="00C53D00" w:rsidRPr="00C60454" w:rsidRDefault="00C53D00" w:rsidP="00C53D00">
      <w:pPr>
        <w:pStyle w:val="BodyTextIndent3"/>
        <w:widowControl/>
        <w:ind w:left="5040" w:firstLine="0"/>
        <w:jc w:val="both"/>
        <w:rPr>
          <w:szCs w:val="24"/>
          <w:lang w:val="it-IT"/>
        </w:rPr>
      </w:pPr>
      <w:r w:rsidRPr="00C60454">
        <w:rPr>
          <w:szCs w:val="24"/>
          <w:lang w:val="it-IT"/>
        </w:rPr>
        <w:t>Brandon F. Marzo</w:t>
      </w:r>
    </w:p>
    <w:p w14:paraId="5BE9796C" w14:textId="77777777" w:rsidR="00B34135" w:rsidRPr="00C60454" w:rsidRDefault="00B34135" w:rsidP="00C53D00">
      <w:pPr>
        <w:pStyle w:val="BodyTextIndent3"/>
        <w:widowControl/>
        <w:ind w:left="5040" w:firstLine="0"/>
        <w:jc w:val="both"/>
        <w:rPr>
          <w:szCs w:val="24"/>
        </w:rPr>
      </w:pPr>
      <w:r w:rsidRPr="00C60454">
        <w:rPr>
          <w:szCs w:val="24"/>
        </w:rPr>
        <w:t xml:space="preserve">Steven </w:t>
      </w:r>
      <w:r w:rsidR="00A350FE" w:rsidRPr="00C60454">
        <w:rPr>
          <w:szCs w:val="24"/>
        </w:rPr>
        <w:t xml:space="preserve">J. </w:t>
      </w:r>
      <w:r w:rsidRPr="00C60454">
        <w:rPr>
          <w:szCs w:val="24"/>
        </w:rPr>
        <w:t>Hewitson</w:t>
      </w:r>
    </w:p>
    <w:p w14:paraId="591626D2" w14:textId="33C3C153" w:rsidR="00C53D00" w:rsidRDefault="00172550" w:rsidP="00C53D00">
      <w:pPr>
        <w:pStyle w:val="BodyTextIndent3"/>
        <w:widowControl/>
        <w:ind w:left="5040" w:firstLine="0"/>
        <w:jc w:val="both"/>
        <w:rPr>
          <w:szCs w:val="24"/>
        </w:rPr>
      </w:pPr>
      <w:r>
        <w:rPr>
          <w:szCs w:val="24"/>
        </w:rPr>
        <w:t>Allison W. Pryor</w:t>
      </w:r>
    </w:p>
    <w:p w14:paraId="41DC1CAE" w14:textId="77777777" w:rsidR="00C53D00" w:rsidRPr="00C60454" w:rsidRDefault="00C53D00" w:rsidP="00C53D00">
      <w:pPr>
        <w:pStyle w:val="BodyTextIndent3"/>
        <w:widowControl/>
        <w:ind w:left="5040" w:firstLine="0"/>
        <w:jc w:val="both"/>
        <w:rPr>
          <w:szCs w:val="24"/>
        </w:rPr>
      </w:pPr>
      <w:r w:rsidRPr="00C60454">
        <w:rPr>
          <w:szCs w:val="24"/>
        </w:rPr>
        <w:t>Attorneys for Georgia Power Company</w:t>
      </w:r>
    </w:p>
    <w:p w14:paraId="5C5A1CD0" w14:textId="77777777" w:rsidR="00C53D00" w:rsidRPr="00C60454" w:rsidRDefault="00C53D00" w:rsidP="00C53D00">
      <w:pPr>
        <w:pStyle w:val="BodyTextIndent3"/>
        <w:widowControl/>
        <w:jc w:val="both"/>
        <w:rPr>
          <w:szCs w:val="24"/>
        </w:rPr>
      </w:pPr>
      <w:r w:rsidRPr="00C60454">
        <w:rPr>
          <w:szCs w:val="24"/>
        </w:rPr>
        <w:t>TROUTMAN SANDERS LLP</w:t>
      </w:r>
    </w:p>
    <w:p w14:paraId="08103AEC" w14:textId="77777777" w:rsidR="00C53D00" w:rsidRPr="00C60454" w:rsidRDefault="00C53D00" w:rsidP="00C53D00">
      <w:pPr>
        <w:pStyle w:val="BodyTextIndent3"/>
        <w:widowControl/>
        <w:jc w:val="both"/>
        <w:rPr>
          <w:szCs w:val="24"/>
        </w:rPr>
      </w:pPr>
      <w:r w:rsidRPr="00C60454">
        <w:rPr>
          <w:szCs w:val="24"/>
        </w:rPr>
        <w:t>Bank of America Plaza</w:t>
      </w:r>
    </w:p>
    <w:p w14:paraId="71B11DAA" w14:textId="67B952E2" w:rsidR="00C53D00" w:rsidRDefault="00E00941" w:rsidP="00C53D00">
      <w:pPr>
        <w:pStyle w:val="BodyTextIndent3"/>
        <w:widowControl/>
        <w:jc w:val="both"/>
        <w:rPr>
          <w:szCs w:val="24"/>
        </w:rPr>
      </w:pPr>
      <w:r>
        <w:rPr>
          <w:szCs w:val="24"/>
        </w:rPr>
        <w:t xml:space="preserve">600 Peachtree Street, N.E., </w:t>
      </w:r>
      <w:r w:rsidR="00C53D00" w:rsidRPr="00C60454">
        <w:rPr>
          <w:szCs w:val="24"/>
        </w:rPr>
        <w:t xml:space="preserve">Suite </w:t>
      </w:r>
      <w:r w:rsidR="00FF2C82" w:rsidRPr="00C60454">
        <w:rPr>
          <w:szCs w:val="24"/>
        </w:rPr>
        <w:t>3000</w:t>
      </w:r>
    </w:p>
    <w:p w14:paraId="32CBE9DC" w14:textId="2618CA5C" w:rsidR="00C53D00" w:rsidRPr="00C60454" w:rsidRDefault="00E00941" w:rsidP="00C53D00">
      <w:pPr>
        <w:pStyle w:val="BodyTextIndent3"/>
        <w:widowControl/>
        <w:jc w:val="both"/>
        <w:rPr>
          <w:szCs w:val="24"/>
        </w:rPr>
      </w:pPr>
      <w:r>
        <w:rPr>
          <w:szCs w:val="24"/>
        </w:rPr>
        <w:t>Atlanta, GA 30308-2216</w:t>
      </w:r>
    </w:p>
    <w:p w14:paraId="0B97ECA7" w14:textId="349BABF6" w:rsidR="00C53D00" w:rsidRPr="00C60454" w:rsidRDefault="00C53D00" w:rsidP="00C53D00">
      <w:pPr>
        <w:pStyle w:val="BodyTextIndent3"/>
        <w:widowControl/>
        <w:jc w:val="both"/>
        <w:rPr>
          <w:b/>
          <w:szCs w:val="24"/>
        </w:rPr>
      </w:pPr>
      <w:bookmarkStart w:id="71" w:name="_GoBack"/>
      <w:bookmarkEnd w:id="71"/>
      <w:r w:rsidRPr="00C60454">
        <w:rPr>
          <w:szCs w:val="24"/>
        </w:rPr>
        <w:t>(404) 885-3000</w:t>
      </w:r>
    </w:p>
    <w:sectPr w:rsidR="00C53D00" w:rsidRPr="00C60454" w:rsidSect="002B1599">
      <w:footerReference w:type="default" r:id="rId9"/>
      <w:foot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68A76" w14:textId="77777777" w:rsidR="00E00941" w:rsidRDefault="00E00941">
      <w:r>
        <w:separator/>
      </w:r>
    </w:p>
  </w:endnote>
  <w:endnote w:type="continuationSeparator" w:id="0">
    <w:p w14:paraId="3143223E" w14:textId="77777777" w:rsidR="00E00941" w:rsidRDefault="00E0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600075"/>
      <w:docPartObj>
        <w:docPartGallery w:val="Page Numbers (Bottom of Page)"/>
        <w:docPartUnique/>
      </w:docPartObj>
    </w:sdtPr>
    <w:sdtEndPr>
      <w:rPr>
        <w:rFonts w:ascii="Times New Roman" w:hAnsi="Times New Roman"/>
        <w:noProof/>
        <w:sz w:val="20"/>
      </w:rPr>
    </w:sdtEndPr>
    <w:sdtContent>
      <w:p w14:paraId="31284835" w14:textId="164F0878" w:rsidR="00E00941" w:rsidRPr="002B1599" w:rsidRDefault="00E00941">
        <w:pPr>
          <w:pStyle w:val="Footer"/>
          <w:jc w:val="center"/>
          <w:rPr>
            <w:rFonts w:ascii="Times New Roman" w:hAnsi="Times New Roman"/>
            <w:sz w:val="20"/>
          </w:rPr>
        </w:pPr>
        <w:r w:rsidRPr="002B1599">
          <w:rPr>
            <w:rFonts w:ascii="Times New Roman" w:hAnsi="Times New Roman"/>
            <w:sz w:val="20"/>
          </w:rPr>
          <w:fldChar w:fldCharType="begin"/>
        </w:r>
        <w:r w:rsidRPr="002B1599">
          <w:rPr>
            <w:rFonts w:ascii="Times New Roman" w:hAnsi="Times New Roman"/>
            <w:sz w:val="20"/>
          </w:rPr>
          <w:instrText xml:space="preserve"> PAGE   \* MERGEFORMAT </w:instrText>
        </w:r>
        <w:r w:rsidRPr="002B1599">
          <w:rPr>
            <w:rFonts w:ascii="Times New Roman" w:hAnsi="Times New Roman"/>
            <w:sz w:val="20"/>
          </w:rPr>
          <w:fldChar w:fldCharType="separate"/>
        </w:r>
        <w:r w:rsidRPr="002B1599">
          <w:rPr>
            <w:rFonts w:ascii="Times New Roman" w:hAnsi="Times New Roman"/>
            <w:noProof/>
            <w:sz w:val="20"/>
          </w:rPr>
          <w:t>2</w:t>
        </w:r>
        <w:r w:rsidRPr="002B1599">
          <w:rPr>
            <w:rFonts w:ascii="Times New Roman" w:hAnsi="Times New Roman"/>
            <w:noProof/>
            <w:sz w:val="20"/>
          </w:rPr>
          <w:fldChar w:fldCharType="end"/>
        </w:r>
      </w:p>
    </w:sdtContent>
  </w:sdt>
  <w:p w14:paraId="0E6034CC" w14:textId="77777777" w:rsidR="00E00941" w:rsidRPr="004446CD" w:rsidRDefault="00E00941" w:rsidP="00043F2B">
    <w:pPr>
      <w:pStyle w:val="Footer"/>
      <w:jc w:val="center"/>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542380"/>
      <w:docPartObj>
        <w:docPartGallery w:val="Page Numbers (Bottom of Page)"/>
        <w:docPartUnique/>
      </w:docPartObj>
    </w:sdtPr>
    <w:sdtContent>
      <w:sdt>
        <w:sdtPr>
          <w:id w:val="-1200544416"/>
          <w:docPartObj>
            <w:docPartGallery w:val="Page Numbers (Top of Page)"/>
            <w:docPartUnique/>
          </w:docPartObj>
        </w:sdtPr>
        <w:sdtContent>
          <w:p w14:paraId="598F4101" w14:textId="77777777" w:rsidR="00E00941" w:rsidRDefault="00E00941" w:rsidP="002B1599">
            <w:pPr>
              <w:pStyle w:val="Footer"/>
              <w:jc w:val="center"/>
            </w:pPr>
          </w:p>
          <w:p w14:paraId="1A2F8C0E" w14:textId="4619744B" w:rsidR="00E00941" w:rsidRPr="004446CD" w:rsidRDefault="00E00941" w:rsidP="002B1599">
            <w:pPr>
              <w:pStyle w:val="Footer"/>
              <w:jc w:val="center"/>
              <w:rPr>
                <w:rFonts w:ascii="Times New Roman" w:hAnsi="Times New Roman"/>
                <w:sz w:val="20"/>
              </w:rPr>
            </w:pPr>
            <w:r w:rsidRPr="004446CD">
              <w:rPr>
                <w:rFonts w:ascii="Times New Roman" w:hAnsi="Times New Roman"/>
                <w:sz w:val="20"/>
              </w:rPr>
              <w:t xml:space="preserve">Post Hearing Brief of Georgia Power Company </w:t>
            </w:r>
          </w:p>
          <w:p w14:paraId="3F645E4B" w14:textId="3F1F51AE" w:rsidR="00E00941" w:rsidRPr="002B1599" w:rsidRDefault="00E00941" w:rsidP="002B1599">
            <w:pPr>
              <w:pStyle w:val="Footer"/>
              <w:jc w:val="center"/>
              <w:rPr>
                <w:rFonts w:ascii="Times New Roman" w:hAnsi="Times New Roman"/>
                <w:sz w:val="20"/>
              </w:rPr>
            </w:pPr>
            <w:r w:rsidRPr="004446CD">
              <w:rPr>
                <w:rFonts w:ascii="Times New Roman" w:hAnsi="Times New Roman"/>
                <w:sz w:val="20"/>
              </w:rPr>
              <w:t xml:space="preserve">GPSC Docket No. </w:t>
            </w:r>
            <w:r>
              <w:rPr>
                <w:rFonts w:ascii="Times New Roman" w:hAnsi="Times New Roman"/>
                <w:sz w:val="20"/>
              </w:rPr>
              <w:t>42516</w:t>
            </w:r>
          </w:p>
          <w:p w14:paraId="116A6455" w14:textId="56047AE4" w:rsidR="00E00941" w:rsidRDefault="00E00941">
            <w:pPr>
              <w:pStyle w:val="Footer"/>
              <w:jc w:val="center"/>
            </w:pPr>
            <w:r w:rsidRPr="002B1599">
              <w:rPr>
                <w:rFonts w:ascii="Times New Roman" w:hAnsi="Times New Roman"/>
                <w:sz w:val="20"/>
              </w:rPr>
              <w:t xml:space="preserve">Page </w:t>
            </w:r>
            <w:r w:rsidRPr="002B1599">
              <w:rPr>
                <w:rFonts w:ascii="Times New Roman" w:hAnsi="Times New Roman"/>
                <w:sz w:val="20"/>
              </w:rPr>
              <w:fldChar w:fldCharType="begin"/>
            </w:r>
            <w:r w:rsidRPr="002B1599">
              <w:rPr>
                <w:rFonts w:ascii="Times New Roman" w:hAnsi="Times New Roman"/>
                <w:sz w:val="20"/>
              </w:rPr>
              <w:instrText xml:space="preserve"> PAGE </w:instrText>
            </w:r>
            <w:r w:rsidRPr="002B1599">
              <w:rPr>
                <w:rFonts w:ascii="Times New Roman" w:hAnsi="Times New Roman"/>
                <w:sz w:val="20"/>
              </w:rPr>
              <w:fldChar w:fldCharType="separate"/>
            </w:r>
            <w:r w:rsidRPr="002B1599">
              <w:rPr>
                <w:rFonts w:ascii="Times New Roman" w:hAnsi="Times New Roman"/>
                <w:sz w:val="20"/>
              </w:rPr>
              <w:t>2</w:t>
            </w:r>
            <w:r w:rsidRPr="002B1599">
              <w:rPr>
                <w:rFonts w:ascii="Times New Roman" w:hAnsi="Times New Roman"/>
                <w:sz w:val="20"/>
              </w:rPr>
              <w:fldChar w:fldCharType="end"/>
            </w:r>
            <w:r w:rsidRPr="002B1599">
              <w:rPr>
                <w:rFonts w:ascii="Times New Roman" w:hAnsi="Times New Roman"/>
                <w:sz w:val="20"/>
              </w:rPr>
              <w:t xml:space="preserve"> of </w:t>
            </w:r>
            <w:r>
              <w:rPr>
                <w:rFonts w:ascii="Times New Roman" w:hAnsi="Times New Roman"/>
                <w:sz w:val="20"/>
              </w:rPr>
              <w:t>85</w:t>
            </w:r>
          </w:p>
        </w:sdtContent>
      </w:sdt>
    </w:sdtContent>
  </w:sdt>
  <w:p w14:paraId="57ACE8F7" w14:textId="77777777" w:rsidR="00E00941" w:rsidRPr="004446CD" w:rsidRDefault="00E00941" w:rsidP="00502802">
    <w:pPr>
      <w:pStyle w:val="Footer"/>
      <w:jc w:val="center"/>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786690"/>
      <w:docPartObj>
        <w:docPartGallery w:val="Page Numbers (Bottom of Page)"/>
        <w:docPartUnique/>
      </w:docPartObj>
    </w:sdtPr>
    <w:sdtContent>
      <w:sdt>
        <w:sdtPr>
          <w:id w:val="1728636285"/>
          <w:docPartObj>
            <w:docPartGallery w:val="Page Numbers (Top of Page)"/>
            <w:docPartUnique/>
          </w:docPartObj>
        </w:sdtPr>
        <w:sdtContent>
          <w:p w14:paraId="455D41AF" w14:textId="77777777" w:rsidR="00E00941" w:rsidRDefault="00E00941" w:rsidP="002B1599">
            <w:pPr>
              <w:pStyle w:val="Footer"/>
              <w:jc w:val="center"/>
            </w:pPr>
          </w:p>
          <w:p w14:paraId="7517F54D" w14:textId="515F055A" w:rsidR="00E00941" w:rsidRPr="004446CD" w:rsidRDefault="00E00941" w:rsidP="002B1599">
            <w:pPr>
              <w:pStyle w:val="Footer"/>
              <w:jc w:val="center"/>
              <w:rPr>
                <w:rFonts w:ascii="Times New Roman" w:hAnsi="Times New Roman"/>
                <w:sz w:val="20"/>
              </w:rPr>
            </w:pPr>
            <w:r w:rsidRPr="004446CD">
              <w:rPr>
                <w:rFonts w:ascii="Times New Roman" w:hAnsi="Times New Roman"/>
                <w:sz w:val="20"/>
              </w:rPr>
              <w:t xml:space="preserve">Post Hearing Brief of Georgia Power Company </w:t>
            </w:r>
          </w:p>
          <w:p w14:paraId="6C4C554E" w14:textId="4E9279AB" w:rsidR="00E00941" w:rsidRPr="002B1599" w:rsidRDefault="00E00941" w:rsidP="002B1599">
            <w:pPr>
              <w:pStyle w:val="Footer"/>
              <w:jc w:val="center"/>
              <w:rPr>
                <w:rFonts w:ascii="Times New Roman" w:hAnsi="Times New Roman"/>
                <w:sz w:val="20"/>
              </w:rPr>
            </w:pPr>
            <w:r w:rsidRPr="004446CD">
              <w:rPr>
                <w:rFonts w:ascii="Times New Roman" w:hAnsi="Times New Roman"/>
                <w:sz w:val="20"/>
              </w:rPr>
              <w:t xml:space="preserve">GPSC Docket No. </w:t>
            </w:r>
            <w:r>
              <w:rPr>
                <w:rFonts w:ascii="Times New Roman" w:hAnsi="Times New Roman"/>
                <w:sz w:val="20"/>
              </w:rPr>
              <w:t>42516</w:t>
            </w:r>
          </w:p>
          <w:p w14:paraId="56C006C5" w14:textId="2A9E6A8E" w:rsidR="00E00941" w:rsidRDefault="00E00941">
            <w:pPr>
              <w:pStyle w:val="Footer"/>
              <w:jc w:val="center"/>
            </w:pPr>
            <w:r w:rsidRPr="002B1599">
              <w:rPr>
                <w:rFonts w:ascii="Times New Roman" w:hAnsi="Times New Roman"/>
                <w:sz w:val="20"/>
              </w:rPr>
              <w:t xml:space="preserve">Page </w:t>
            </w:r>
            <w:r w:rsidRPr="002B1599">
              <w:rPr>
                <w:rFonts w:ascii="Times New Roman" w:hAnsi="Times New Roman"/>
                <w:bCs/>
                <w:sz w:val="20"/>
                <w:szCs w:val="24"/>
              </w:rPr>
              <w:fldChar w:fldCharType="begin"/>
            </w:r>
            <w:r w:rsidRPr="002B1599">
              <w:rPr>
                <w:rFonts w:ascii="Times New Roman" w:hAnsi="Times New Roman"/>
                <w:bCs/>
                <w:sz w:val="20"/>
              </w:rPr>
              <w:instrText xml:space="preserve"> PAGE </w:instrText>
            </w:r>
            <w:r w:rsidRPr="002B1599">
              <w:rPr>
                <w:rFonts w:ascii="Times New Roman" w:hAnsi="Times New Roman"/>
                <w:bCs/>
                <w:sz w:val="20"/>
                <w:szCs w:val="24"/>
              </w:rPr>
              <w:fldChar w:fldCharType="separate"/>
            </w:r>
            <w:r w:rsidRPr="002B1599">
              <w:rPr>
                <w:rFonts w:ascii="Times New Roman" w:hAnsi="Times New Roman"/>
                <w:bCs/>
                <w:noProof/>
                <w:sz w:val="20"/>
              </w:rPr>
              <w:t>2</w:t>
            </w:r>
            <w:r w:rsidRPr="002B1599">
              <w:rPr>
                <w:rFonts w:ascii="Times New Roman" w:hAnsi="Times New Roman"/>
                <w:bCs/>
                <w:sz w:val="20"/>
                <w:szCs w:val="24"/>
              </w:rPr>
              <w:fldChar w:fldCharType="end"/>
            </w:r>
            <w:r w:rsidRPr="002B1599">
              <w:rPr>
                <w:rFonts w:ascii="Times New Roman" w:hAnsi="Times New Roman"/>
                <w:sz w:val="20"/>
              </w:rPr>
              <w:t xml:space="preserve"> of </w:t>
            </w:r>
            <w:r w:rsidRPr="002B1599">
              <w:rPr>
                <w:rFonts w:ascii="Times New Roman" w:hAnsi="Times New Roman"/>
                <w:bCs/>
                <w:sz w:val="20"/>
                <w:szCs w:val="24"/>
              </w:rPr>
              <w:fldChar w:fldCharType="begin"/>
            </w:r>
            <w:r w:rsidRPr="002B1599">
              <w:rPr>
                <w:rFonts w:ascii="Times New Roman" w:hAnsi="Times New Roman"/>
                <w:bCs/>
                <w:sz w:val="20"/>
              </w:rPr>
              <w:instrText xml:space="preserve"> NUMPAGES  </w:instrText>
            </w:r>
            <w:r w:rsidRPr="002B1599">
              <w:rPr>
                <w:rFonts w:ascii="Times New Roman" w:hAnsi="Times New Roman"/>
                <w:bCs/>
                <w:sz w:val="20"/>
                <w:szCs w:val="24"/>
              </w:rPr>
              <w:fldChar w:fldCharType="separate"/>
            </w:r>
            <w:r w:rsidRPr="002B1599">
              <w:rPr>
                <w:rFonts w:ascii="Times New Roman" w:hAnsi="Times New Roman"/>
                <w:bCs/>
                <w:noProof/>
                <w:sz w:val="20"/>
              </w:rPr>
              <w:t>2</w:t>
            </w:r>
            <w:r w:rsidRPr="002B1599">
              <w:rPr>
                <w:rFonts w:ascii="Times New Roman" w:hAnsi="Times New Roman"/>
                <w:bCs/>
                <w:sz w:val="20"/>
                <w:szCs w:val="24"/>
              </w:rPr>
              <w:fldChar w:fldCharType="end"/>
            </w:r>
          </w:p>
        </w:sdtContent>
      </w:sdt>
    </w:sdtContent>
  </w:sdt>
  <w:p w14:paraId="2803A50F" w14:textId="77777777" w:rsidR="00E00941" w:rsidRPr="004446CD" w:rsidRDefault="00E00941" w:rsidP="00043F2B">
    <w:pPr>
      <w:pStyle w:val="Foote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E62D5" w14:textId="77777777" w:rsidR="00E00941" w:rsidRDefault="00E00941">
      <w:r>
        <w:separator/>
      </w:r>
    </w:p>
  </w:footnote>
  <w:footnote w:type="continuationSeparator" w:id="0">
    <w:p w14:paraId="1D03C14B" w14:textId="77777777" w:rsidR="00E00941" w:rsidRDefault="00E00941">
      <w:r>
        <w:continuationSeparator/>
      </w:r>
    </w:p>
  </w:footnote>
  <w:footnote w:id="1">
    <w:p w14:paraId="488D7BFE" w14:textId="77777777" w:rsidR="00E00941" w:rsidRDefault="00E00941" w:rsidP="00186C1F">
      <w:pPr>
        <w:pStyle w:val="FootnoteText"/>
      </w:pPr>
      <w:r>
        <w:rPr>
          <w:rStyle w:val="FootnoteReference"/>
        </w:rPr>
        <w:footnoteRef/>
      </w:r>
      <w:r>
        <w:t xml:space="preserve"> S&amp;P Summary Georgia Power, October 12, 2018.</w:t>
      </w:r>
    </w:p>
  </w:footnote>
  <w:footnote w:id="2">
    <w:p w14:paraId="76DA9BCF" w14:textId="77777777" w:rsidR="00E00941" w:rsidRDefault="00E00941" w:rsidP="00186C1F">
      <w:pPr>
        <w:pStyle w:val="FootnoteText"/>
      </w:pPr>
      <w:r>
        <w:rPr>
          <w:rStyle w:val="FootnoteReference"/>
        </w:rPr>
        <w:footnoteRef/>
      </w:r>
      <w:r>
        <w:t xml:space="preserve"> Moody’s Credit Opinion, October 16, 2019.</w:t>
      </w:r>
    </w:p>
  </w:footnote>
  <w:footnote w:id="3">
    <w:p w14:paraId="3B983A8D" w14:textId="77777777" w:rsidR="00E00941" w:rsidRDefault="00E00941" w:rsidP="00186C1F">
      <w:pPr>
        <w:pStyle w:val="FootnoteText"/>
      </w:pPr>
      <w:r>
        <w:rPr>
          <w:rStyle w:val="FootnoteReference"/>
        </w:rPr>
        <w:footnoteRef/>
      </w:r>
      <w:r>
        <w:t xml:space="preserve"> Fitch Georgia Power Company, July 29, 2019.</w:t>
      </w:r>
    </w:p>
  </w:footnote>
  <w:footnote w:id="4">
    <w:p w14:paraId="56EE126B" w14:textId="3B4CFD70" w:rsidR="00E00941" w:rsidRPr="00660CE2" w:rsidRDefault="00E00941">
      <w:pPr>
        <w:pStyle w:val="FootnoteText"/>
      </w:pPr>
      <w:r>
        <w:rPr>
          <w:rStyle w:val="FootnoteReference"/>
        </w:rPr>
        <w:footnoteRef/>
      </w:r>
      <w:r>
        <w:t xml:space="preserve"> Contrary to PIA Staff allegations that Dr. Vander Weide’s financial risk adjustment has never been adopted, it has in fact been adopted by at least the Public Service Commission of Missouri in Empire District Electric Company’s 2004 Rate Case. </w:t>
      </w:r>
      <w:r w:rsidRPr="00746466">
        <w:rPr>
          <w:i/>
        </w:rPr>
        <w:t>Report and Order</w:t>
      </w:r>
      <w:r>
        <w:t xml:space="preserve">, </w:t>
      </w:r>
      <w:r w:rsidRPr="00746466">
        <w:t>In the Matter of the Tariff Filing of The Empire District Electric Company to Implement a General Rate Increase for Retail Electric Service Provided to Customers in its Missouri Service Area</w:t>
      </w:r>
      <w:r>
        <w:t>, Case No. ER-2004-0570 (March 10, 2005).</w:t>
      </w:r>
    </w:p>
  </w:footnote>
  <w:footnote w:id="5">
    <w:p w14:paraId="11A3DCA6" w14:textId="3F8A45B6" w:rsidR="00E00941" w:rsidRDefault="00E00941" w:rsidP="00664DAB">
      <w:pPr>
        <w:pStyle w:val="FootnoteText"/>
      </w:pPr>
      <w:r w:rsidRPr="009D75D0">
        <w:rPr>
          <w:rStyle w:val="FootnoteReference"/>
          <w:vertAlign w:val="superscript"/>
        </w:rPr>
        <w:footnoteRef/>
      </w:r>
      <w:r>
        <w:t xml:space="preserve"> Although Witness Barnes also referenced the NCCR rider, the </w:t>
      </w:r>
      <w:r>
        <w:rPr>
          <w:szCs w:val="24"/>
        </w:rPr>
        <w:t>NCCR is not a revenue requirement and, therefore, is not included in the COSS in the first place.</w:t>
      </w:r>
      <w:r>
        <w:t xml:space="preserve"> (Tr. 3031.)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13A29A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1139B5"/>
    <w:multiLevelType w:val="hybridMultilevel"/>
    <w:tmpl w:val="FE1E7ECC"/>
    <w:lvl w:ilvl="0" w:tplc="F75ADE9A">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4C72EA"/>
    <w:multiLevelType w:val="hybridMultilevel"/>
    <w:tmpl w:val="B9323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CA7E59"/>
    <w:multiLevelType w:val="hybridMultilevel"/>
    <w:tmpl w:val="C54A55D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3C0381"/>
    <w:multiLevelType w:val="hybridMultilevel"/>
    <w:tmpl w:val="55446B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50273374"/>
    <w:multiLevelType w:val="hybridMultilevel"/>
    <w:tmpl w:val="EA124C38"/>
    <w:lvl w:ilvl="0" w:tplc="F75ADE9A">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9A42CFB"/>
    <w:multiLevelType w:val="hybridMultilevel"/>
    <w:tmpl w:val="939C4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C5DC9"/>
    <w:multiLevelType w:val="hybridMultilevel"/>
    <w:tmpl w:val="49906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F0F17"/>
    <w:multiLevelType w:val="hybridMultilevel"/>
    <w:tmpl w:val="1780E73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C361F1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76352045"/>
    <w:multiLevelType w:val="hybridMultilevel"/>
    <w:tmpl w:val="7C80D0A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5"/>
  </w:num>
  <w:num w:numId="3">
    <w:abstractNumId w:val="1"/>
  </w:num>
  <w:num w:numId="4">
    <w:abstractNumId w:val="10"/>
  </w:num>
  <w:num w:numId="5">
    <w:abstractNumId w:val="8"/>
  </w:num>
  <w:num w:numId="6">
    <w:abstractNumId w:val="3"/>
  </w:num>
  <w:num w:numId="7">
    <w:abstractNumId w:val="2"/>
  </w:num>
  <w:num w:numId="8">
    <w:abstractNumId w:val="4"/>
  </w:num>
  <w:num w:numId="9">
    <w:abstractNumId w:val="9"/>
  </w:num>
  <w:num w:numId="10">
    <w:abstractNumId w:val="7"/>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Vertic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ClientMatter|&amp;Client/Matter|0|%cm"/>
    <w:docVar w:name="MPDocID" w:val="40579381"/>
    <w:docVar w:name="MPDocIDTemplate" w:val="%l| %n|v%v| %c|.%m"/>
    <w:docVar w:name="MPDocIDTemplateDefault" w:val="%l| %n|v%v| %c|.%m"/>
    <w:docVar w:name="NewDocStampType" w:val="7"/>
    <w:docVar w:name="zzmpLTFontsClean" w:val="True"/>
    <w:docVar w:name="zzmpnSession" w:val="0.4220392"/>
    <w:docVar w:name="zzmpTrailerDateFormat" w:val="0"/>
  </w:docVars>
  <w:rsids>
    <w:rsidRoot w:val="00EE770B"/>
    <w:rsid w:val="00000ECC"/>
    <w:rsid w:val="000027B0"/>
    <w:rsid w:val="00005E1E"/>
    <w:rsid w:val="00011768"/>
    <w:rsid w:val="000117F4"/>
    <w:rsid w:val="00011C0F"/>
    <w:rsid w:val="00012557"/>
    <w:rsid w:val="0001284A"/>
    <w:rsid w:val="000129E4"/>
    <w:rsid w:val="00012ECB"/>
    <w:rsid w:val="0001331D"/>
    <w:rsid w:val="000155A0"/>
    <w:rsid w:val="00015840"/>
    <w:rsid w:val="00017940"/>
    <w:rsid w:val="00017F1C"/>
    <w:rsid w:val="00021F2B"/>
    <w:rsid w:val="000225F3"/>
    <w:rsid w:val="00023FC5"/>
    <w:rsid w:val="00025B98"/>
    <w:rsid w:val="00026D46"/>
    <w:rsid w:val="00027493"/>
    <w:rsid w:val="0002791B"/>
    <w:rsid w:val="00027B54"/>
    <w:rsid w:val="00027BCA"/>
    <w:rsid w:val="00031237"/>
    <w:rsid w:val="00031345"/>
    <w:rsid w:val="0003141E"/>
    <w:rsid w:val="000353BD"/>
    <w:rsid w:val="00036910"/>
    <w:rsid w:val="00036EC9"/>
    <w:rsid w:val="00041642"/>
    <w:rsid w:val="00043DCF"/>
    <w:rsid w:val="00043F2B"/>
    <w:rsid w:val="00050541"/>
    <w:rsid w:val="00050696"/>
    <w:rsid w:val="000508D3"/>
    <w:rsid w:val="00050DC1"/>
    <w:rsid w:val="00051890"/>
    <w:rsid w:val="00052738"/>
    <w:rsid w:val="00052896"/>
    <w:rsid w:val="00053F21"/>
    <w:rsid w:val="00054425"/>
    <w:rsid w:val="00055963"/>
    <w:rsid w:val="000560DA"/>
    <w:rsid w:val="000631AB"/>
    <w:rsid w:val="00066F1A"/>
    <w:rsid w:val="00070A66"/>
    <w:rsid w:val="00071126"/>
    <w:rsid w:val="000722A9"/>
    <w:rsid w:val="00072943"/>
    <w:rsid w:val="00072E8F"/>
    <w:rsid w:val="00073997"/>
    <w:rsid w:val="00074D8D"/>
    <w:rsid w:val="000758C8"/>
    <w:rsid w:val="00075F20"/>
    <w:rsid w:val="00076982"/>
    <w:rsid w:val="000821C9"/>
    <w:rsid w:val="0008330A"/>
    <w:rsid w:val="00083AB0"/>
    <w:rsid w:val="00083FBB"/>
    <w:rsid w:val="00085567"/>
    <w:rsid w:val="000857A9"/>
    <w:rsid w:val="00085A42"/>
    <w:rsid w:val="00085ECF"/>
    <w:rsid w:val="00085F6E"/>
    <w:rsid w:val="0009007A"/>
    <w:rsid w:val="00091272"/>
    <w:rsid w:val="000926C3"/>
    <w:rsid w:val="00093DEB"/>
    <w:rsid w:val="0009415D"/>
    <w:rsid w:val="000945E5"/>
    <w:rsid w:val="00095E06"/>
    <w:rsid w:val="0009707F"/>
    <w:rsid w:val="000A1736"/>
    <w:rsid w:val="000A18AA"/>
    <w:rsid w:val="000A244D"/>
    <w:rsid w:val="000A293C"/>
    <w:rsid w:val="000A339D"/>
    <w:rsid w:val="000A3DF9"/>
    <w:rsid w:val="000A4924"/>
    <w:rsid w:val="000A4C6B"/>
    <w:rsid w:val="000A5905"/>
    <w:rsid w:val="000A5C08"/>
    <w:rsid w:val="000A718B"/>
    <w:rsid w:val="000B13EF"/>
    <w:rsid w:val="000B1849"/>
    <w:rsid w:val="000B1BA5"/>
    <w:rsid w:val="000B2C1C"/>
    <w:rsid w:val="000B2FE0"/>
    <w:rsid w:val="000B5CA1"/>
    <w:rsid w:val="000B756F"/>
    <w:rsid w:val="000B794D"/>
    <w:rsid w:val="000B7F01"/>
    <w:rsid w:val="000C0A2B"/>
    <w:rsid w:val="000C15F6"/>
    <w:rsid w:val="000C1E91"/>
    <w:rsid w:val="000C223A"/>
    <w:rsid w:val="000C288B"/>
    <w:rsid w:val="000C5A4E"/>
    <w:rsid w:val="000C7FAD"/>
    <w:rsid w:val="000D04DE"/>
    <w:rsid w:val="000D1770"/>
    <w:rsid w:val="000D1FB6"/>
    <w:rsid w:val="000D20D9"/>
    <w:rsid w:val="000D233A"/>
    <w:rsid w:val="000D2F04"/>
    <w:rsid w:val="000D487A"/>
    <w:rsid w:val="000D4DCB"/>
    <w:rsid w:val="000D633D"/>
    <w:rsid w:val="000D7C23"/>
    <w:rsid w:val="000D7E59"/>
    <w:rsid w:val="000D7F64"/>
    <w:rsid w:val="000E0178"/>
    <w:rsid w:val="000E3298"/>
    <w:rsid w:val="000E347A"/>
    <w:rsid w:val="000E351E"/>
    <w:rsid w:val="000E36A4"/>
    <w:rsid w:val="000E3A74"/>
    <w:rsid w:val="000E59E6"/>
    <w:rsid w:val="000E60A7"/>
    <w:rsid w:val="000F2712"/>
    <w:rsid w:val="000F3590"/>
    <w:rsid w:val="000F51F7"/>
    <w:rsid w:val="000F5961"/>
    <w:rsid w:val="000F68A5"/>
    <w:rsid w:val="00104FBE"/>
    <w:rsid w:val="00105603"/>
    <w:rsid w:val="00105E63"/>
    <w:rsid w:val="0010620A"/>
    <w:rsid w:val="001065F1"/>
    <w:rsid w:val="00106702"/>
    <w:rsid w:val="00110D77"/>
    <w:rsid w:val="00112CA1"/>
    <w:rsid w:val="001132AB"/>
    <w:rsid w:val="00114383"/>
    <w:rsid w:val="00115FF3"/>
    <w:rsid w:val="00116C00"/>
    <w:rsid w:val="00117252"/>
    <w:rsid w:val="00117ABB"/>
    <w:rsid w:val="001210AC"/>
    <w:rsid w:val="00121230"/>
    <w:rsid w:val="00121681"/>
    <w:rsid w:val="001221B2"/>
    <w:rsid w:val="00124665"/>
    <w:rsid w:val="00125D6A"/>
    <w:rsid w:val="00130072"/>
    <w:rsid w:val="0013023C"/>
    <w:rsid w:val="0013153B"/>
    <w:rsid w:val="00131EAD"/>
    <w:rsid w:val="00133280"/>
    <w:rsid w:val="001347A6"/>
    <w:rsid w:val="00134DBE"/>
    <w:rsid w:val="00135225"/>
    <w:rsid w:val="0013563A"/>
    <w:rsid w:val="001361BB"/>
    <w:rsid w:val="00137CBC"/>
    <w:rsid w:val="001404AA"/>
    <w:rsid w:val="00142090"/>
    <w:rsid w:val="00142BC3"/>
    <w:rsid w:val="00143E87"/>
    <w:rsid w:val="00143FAE"/>
    <w:rsid w:val="00144DF1"/>
    <w:rsid w:val="00145409"/>
    <w:rsid w:val="00145980"/>
    <w:rsid w:val="00146BAA"/>
    <w:rsid w:val="001471CE"/>
    <w:rsid w:val="00147517"/>
    <w:rsid w:val="00147CCF"/>
    <w:rsid w:val="00150189"/>
    <w:rsid w:val="00152D54"/>
    <w:rsid w:val="00152D56"/>
    <w:rsid w:val="00153435"/>
    <w:rsid w:val="00154643"/>
    <w:rsid w:val="001551ED"/>
    <w:rsid w:val="00156A32"/>
    <w:rsid w:val="00156C06"/>
    <w:rsid w:val="00157018"/>
    <w:rsid w:val="00160321"/>
    <w:rsid w:val="00160FCA"/>
    <w:rsid w:val="001610B0"/>
    <w:rsid w:val="00161197"/>
    <w:rsid w:val="00162977"/>
    <w:rsid w:val="00162DFF"/>
    <w:rsid w:val="00162FA9"/>
    <w:rsid w:val="001654F1"/>
    <w:rsid w:val="001662F2"/>
    <w:rsid w:val="00172550"/>
    <w:rsid w:val="00172E06"/>
    <w:rsid w:val="00172E2F"/>
    <w:rsid w:val="0017366E"/>
    <w:rsid w:val="00174F29"/>
    <w:rsid w:val="001762B7"/>
    <w:rsid w:val="00177B0C"/>
    <w:rsid w:val="00177B4C"/>
    <w:rsid w:val="00181D26"/>
    <w:rsid w:val="001828AA"/>
    <w:rsid w:val="001835C0"/>
    <w:rsid w:val="001840C8"/>
    <w:rsid w:val="00184993"/>
    <w:rsid w:val="00184D38"/>
    <w:rsid w:val="00185B53"/>
    <w:rsid w:val="00185BF1"/>
    <w:rsid w:val="0018634F"/>
    <w:rsid w:val="00186C1F"/>
    <w:rsid w:val="00190761"/>
    <w:rsid w:val="00191F2A"/>
    <w:rsid w:val="001925BE"/>
    <w:rsid w:val="00193504"/>
    <w:rsid w:val="00193E0C"/>
    <w:rsid w:val="00194B62"/>
    <w:rsid w:val="00195CBF"/>
    <w:rsid w:val="00196CEB"/>
    <w:rsid w:val="001A00D5"/>
    <w:rsid w:val="001A302C"/>
    <w:rsid w:val="001A5001"/>
    <w:rsid w:val="001A6594"/>
    <w:rsid w:val="001A793B"/>
    <w:rsid w:val="001B246E"/>
    <w:rsid w:val="001B2C32"/>
    <w:rsid w:val="001B3523"/>
    <w:rsid w:val="001B64CA"/>
    <w:rsid w:val="001C1457"/>
    <w:rsid w:val="001C14E1"/>
    <w:rsid w:val="001C4096"/>
    <w:rsid w:val="001C41E6"/>
    <w:rsid w:val="001C5985"/>
    <w:rsid w:val="001C6A2F"/>
    <w:rsid w:val="001D01E6"/>
    <w:rsid w:val="001D0367"/>
    <w:rsid w:val="001D056F"/>
    <w:rsid w:val="001D157A"/>
    <w:rsid w:val="001D257D"/>
    <w:rsid w:val="001D4BD5"/>
    <w:rsid w:val="001D5133"/>
    <w:rsid w:val="001D713D"/>
    <w:rsid w:val="001E021E"/>
    <w:rsid w:val="001E06E7"/>
    <w:rsid w:val="001E1910"/>
    <w:rsid w:val="001E3078"/>
    <w:rsid w:val="001E3293"/>
    <w:rsid w:val="001E3FDB"/>
    <w:rsid w:val="001E4EF6"/>
    <w:rsid w:val="001E5120"/>
    <w:rsid w:val="001E6315"/>
    <w:rsid w:val="001E6890"/>
    <w:rsid w:val="001E6ADC"/>
    <w:rsid w:val="001E6D10"/>
    <w:rsid w:val="001E798A"/>
    <w:rsid w:val="001F3297"/>
    <w:rsid w:val="001F41B7"/>
    <w:rsid w:val="001F5CF5"/>
    <w:rsid w:val="001F6235"/>
    <w:rsid w:val="001F7182"/>
    <w:rsid w:val="001F7B3A"/>
    <w:rsid w:val="00201602"/>
    <w:rsid w:val="002028EF"/>
    <w:rsid w:val="00202D8C"/>
    <w:rsid w:val="0020386B"/>
    <w:rsid w:val="002160A8"/>
    <w:rsid w:val="00220CF6"/>
    <w:rsid w:val="00221C46"/>
    <w:rsid w:val="00222D6C"/>
    <w:rsid w:val="00223AF4"/>
    <w:rsid w:val="002269B7"/>
    <w:rsid w:val="00226AC4"/>
    <w:rsid w:val="00227725"/>
    <w:rsid w:val="002278BB"/>
    <w:rsid w:val="00227E16"/>
    <w:rsid w:val="002300C2"/>
    <w:rsid w:val="00231C6B"/>
    <w:rsid w:val="00233243"/>
    <w:rsid w:val="0023546E"/>
    <w:rsid w:val="00246FEE"/>
    <w:rsid w:val="002475DE"/>
    <w:rsid w:val="00251B7F"/>
    <w:rsid w:val="00252D0B"/>
    <w:rsid w:val="002546A4"/>
    <w:rsid w:val="00254931"/>
    <w:rsid w:val="00255B07"/>
    <w:rsid w:val="0026277F"/>
    <w:rsid w:val="00263E8D"/>
    <w:rsid w:val="00264491"/>
    <w:rsid w:val="00265724"/>
    <w:rsid w:val="00265A10"/>
    <w:rsid w:val="00265CE7"/>
    <w:rsid w:val="00271ECB"/>
    <w:rsid w:val="00272CE6"/>
    <w:rsid w:val="00272F0F"/>
    <w:rsid w:val="00274059"/>
    <w:rsid w:val="00274D96"/>
    <w:rsid w:val="00275F3A"/>
    <w:rsid w:val="00277D67"/>
    <w:rsid w:val="0028055E"/>
    <w:rsid w:val="00280BE1"/>
    <w:rsid w:val="00281A18"/>
    <w:rsid w:val="00281ECB"/>
    <w:rsid w:val="002823FE"/>
    <w:rsid w:val="0028505C"/>
    <w:rsid w:val="0028630E"/>
    <w:rsid w:val="00286420"/>
    <w:rsid w:val="00286A61"/>
    <w:rsid w:val="002878FB"/>
    <w:rsid w:val="002917FB"/>
    <w:rsid w:val="00291E77"/>
    <w:rsid w:val="00291F6C"/>
    <w:rsid w:val="002922FB"/>
    <w:rsid w:val="00292428"/>
    <w:rsid w:val="00294434"/>
    <w:rsid w:val="0029453A"/>
    <w:rsid w:val="002958EC"/>
    <w:rsid w:val="002A28F5"/>
    <w:rsid w:val="002A3C8F"/>
    <w:rsid w:val="002A3FCB"/>
    <w:rsid w:val="002A593B"/>
    <w:rsid w:val="002A5A9E"/>
    <w:rsid w:val="002A5CD0"/>
    <w:rsid w:val="002A5E9B"/>
    <w:rsid w:val="002A6D28"/>
    <w:rsid w:val="002B04D1"/>
    <w:rsid w:val="002B0FF7"/>
    <w:rsid w:val="002B1599"/>
    <w:rsid w:val="002B1DFF"/>
    <w:rsid w:val="002B2BD8"/>
    <w:rsid w:val="002B3F65"/>
    <w:rsid w:val="002B4D4D"/>
    <w:rsid w:val="002B5308"/>
    <w:rsid w:val="002C030A"/>
    <w:rsid w:val="002C10EC"/>
    <w:rsid w:val="002C1A23"/>
    <w:rsid w:val="002C2265"/>
    <w:rsid w:val="002C2B36"/>
    <w:rsid w:val="002C4AA5"/>
    <w:rsid w:val="002C54EF"/>
    <w:rsid w:val="002C5CF2"/>
    <w:rsid w:val="002C613D"/>
    <w:rsid w:val="002D0EEF"/>
    <w:rsid w:val="002D2105"/>
    <w:rsid w:val="002D2D94"/>
    <w:rsid w:val="002D603F"/>
    <w:rsid w:val="002D6CB9"/>
    <w:rsid w:val="002D71DA"/>
    <w:rsid w:val="002D7496"/>
    <w:rsid w:val="002E1B41"/>
    <w:rsid w:val="002E1E15"/>
    <w:rsid w:val="002E4568"/>
    <w:rsid w:val="002E4933"/>
    <w:rsid w:val="002E5483"/>
    <w:rsid w:val="002E550E"/>
    <w:rsid w:val="002E663F"/>
    <w:rsid w:val="002E6B1F"/>
    <w:rsid w:val="002E77E4"/>
    <w:rsid w:val="002F2BDB"/>
    <w:rsid w:val="002F356C"/>
    <w:rsid w:val="002F42ED"/>
    <w:rsid w:val="002F4315"/>
    <w:rsid w:val="002F45AC"/>
    <w:rsid w:val="002F6C4B"/>
    <w:rsid w:val="00301BEE"/>
    <w:rsid w:val="003024DD"/>
    <w:rsid w:val="00302561"/>
    <w:rsid w:val="003040CC"/>
    <w:rsid w:val="003061F6"/>
    <w:rsid w:val="00306D04"/>
    <w:rsid w:val="003075E4"/>
    <w:rsid w:val="003128D2"/>
    <w:rsid w:val="003138B7"/>
    <w:rsid w:val="003141F7"/>
    <w:rsid w:val="0031439D"/>
    <w:rsid w:val="00315804"/>
    <w:rsid w:val="0031595E"/>
    <w:rsid w:val="00315E3E"/>
    <w:rsid w:val="00316C3A"/>
    <w:rsid w:val="0032156E"/>
    <w:rsid w:val="003218F5"/>
    <w:rsid w:val="003234B3"/>
    <w:rsid w:val="00323915"/>
    <w:rsid w:val="0032403C"/>
    <w:rsid w:val="0032593E"/>
    <w:rsid w:val="003268EB"/>
    <w:rsid w:val="00330ED4"/>
    <w:rsid w:val="00331D79"/>
    <w:rsid w:val="00332C73"/>
    <w:rsid w:val="00333AC0"/>
    <w:rsid w:val="00335B8F"/>
    <w:rsid w:val="0033667A"/>
    <w:rsid w:val="00336CEE"/>
    <w:rsid w:val="00337794"/>
    <w:rsid w:val="00337960"/>
    <w:rsid w:val="00337B66"/>
    <w:rsid w:val="00337E4F"/>
    <w:rsid w:val="00342BB4"/>
    <w:rsid w:val="00343171"/>
    <w:rsid w:val="00343588"/>
    <w:rsid w:val="0034481C"/>
    <w:rsid w:val="0034611E"/>
    <w:rsid w:val="00346BAB"/>
    <w:rsid w:val="00346CE8"/>
    <w:rsid w:val="0034738D"/>
    <w:rsid w:val="003473A6"/>
    <w:rsid w:val="00347A44"/>
    <w:rsid w:val="00350042"/>
    <w:rsid w:val="00352CD0"/>
    <w:rsid w:val="00353C4D"/>
    <w:rsid w:val="00354691"/>
    <w:rsid w:val="003562E1"/>
    <w:rsid w:val="00357BD7"/>
    <w:rsid w:val="0036111F"/>
    <w:rsid w:val="003615AA"/>
    <w:rsid w:val="00361F79"/>
    <w:rsid w:val="003622A6"/>
    <w:rsid w:val="00363099"/>
    <w:rsid w:val="003634BD"/>
    <w:rsid w:val="00363C90"/>
    <w:rsid w:val="00363F40"/>
    <w:rsid w:val="00365D7A"/>
    <w:rsid w:val="00371859"/>
    <w:rsid w:val="003723B0"/>
    <w:rsid w:val="0037296D"/>
    <w:rsid w:val="00373228"/>
    <w:rsid w:val="0037437E"/>
    <w:rsid w:val="00375746"/>
    <w:rsid w:val="00375D16"/>
    <w:rsid w:val="00376033"/>
    <w:rsid w:val="00377E8F"/>
    <w:rsid w:val="00377EB1"/>
    <w:rsid w:val="003813CF"/>
    <w:rsid w:val="00381486"/>
    <w:rsid w:val="0038237B"/>
    <w:rsid w:val="00383087"/>
    <w:rsid w:val="00383378"/>
    <w:rsid w:val="00383EBD"/>
    <w:rsid w:val="00384877"/>
    <w:rsid w:val="003867D0"/>
    <w:rsid w:val="003900E3"/>
    <w:rsid w:val="003914C3"/>
    <w:rsid w:val="00392F55"/>
    <w:rsid w:val="003940F5"/>
    <w:rsid w:val="00394FEE"/>
    <w:rsid w:val="00395021"/>
    <w:rsid w:val="0039632E"/>
    <w:rsid w:val="00397E58"/>
    <w:rsid w:val="003A205B"/>
    <w:rsid w:val="003A4F06"/>
    <w:rsid w:val="003B0445"/>
    <w:rsid w:val="003B2535"/>
    <w:rsid w:val="003B27CA"/>
    <w:rsid w:val="003B2E09"/>
    <w:rsid w:val="003B4F88"/>
    <w:rsid w:val="003B625A"/>
    <w:rsid w:val="003B7AB6"/>
    <w:rsid w:val="003C1358"/>
    <w:rsid w:val="003C14E3"/>
    <w:rsid w:val="003C3012"/>
    <w:rsid w:val="003C335C"/>
    <w:rsid w:val="003C3F3D"/>
    <w:rsid w:val="003D0AE7"/>
    <w:rsid w:val="003D34EE"/>
    <w:rsid w:val="003D3D24"/>
    <w:rsid w:val="003D436C"/>
    <w:rsid w:val="003D442A"/>
    <w:rsid w:val="003D67C0"/>
    <w:rsid w:val="003D71D7"/>
    <w:rsid w:val="003D72FA"/>
    <w:rsid w:val="003E0292"/>
    <w:rsid w:val="003E18C3"/>
    <w:rsid w:val="003E2B7B"/>
    <w:rsid w:val="003E313E"/>
    <w:rsid w:val="003E385F"/>
    <w:rsid w:val="003E4132"/>
    <w:rsid w:val="003E5581"/>
    <w:rsid w:val="003E5719"/>
    <w:rsid w:val="003E74B7"/>
    <w:rsid w:val="003F2037"/>
    <w:rsid w:val="003F2797"/>
    <w:rsid w:val="003F32E5"/>
    <w:rsid w:val="003F45E0"/>
    <w:rsid w:val="003F5ECF"/>
    <w:rsid w:val="003F608D"/>
    <w:rsid w:val="003F6B2A"/>
    <w:rsid w:val="003F72C6"/>
    <w:rsid w:val="003F7C2F"/>
    <w:rsid w:val="00400E3C"/>
    <w:rsid w:val="004012B4"/>
    <w:rsid w:val="00403966"/>
    <w:rsid w:val="004043E8"/>
    <w:rsid w:val="00404752"/>
    <w:rsid w:val="0040494F"/>
    <w:rsid w:val="00407D7A"/>
    <w:rsid w:val="00410B8C"/>
    <w:rsid w:val="00411EA4"/>
    <w:rsid w:val="00413200"/>
    <w:rsid w:val="0041369D"/>
    <w:rsid w:val="00415D57"/>
    <w:rsid w:val="00415DD0"/>
    <w:rsid w:val="0042030F"/>
    <w:rsid w:val="004233D7"/>
    <w:rsid w:val="0042346E"/>
    <w:rsid w:val="004338D5"/>
    <w:rsid w:val="00433929"/>
    <w:rsid w:val="00433EAF"/>
    <w:rsid w:val="00434D71"/>
    <w:rsid w:val="00437A2E"/>
    <w:rsid w:val="00437B26"/>
    <w:rsid w:val="004430A3"/>
    <w:rsid w:val="00443215"/>
    <w:rsid w:val="004446CD"/>
    <w:rsid w:val="00444845"/>
    <w:rsid w:val="00444F02"/>
    <w:rsid w:val="0044541A"/>
    <w:rsid w:val="00446A43"/>
    <w:rsid w:val="00446A7B"/>
    <w:rsid w:val="0044742B"/>
    <w:rsid w:val="004500BD"/>
    <w:rsid w:val="004503E4"/>
    <w:rsid w:val="004505BF"/>
    <w:rsid w:val="00450AB2"/>
    <w:rsid w:val="00454EC7"/>
    <w:rsid w:val="004558B0"/>
    <w:rsid w:val="00457E6D"/>
    <w:rsid w:val="004619FD"/>
    <w:rsid w:val="0046232E"/>
    <w:rsid w:val="00462760"/>
    <w:rsid w:val="00465DCA"/>
    <w:rsid w:val="00465FF1"/>
    <w:rsid w:val="00466A45"/>
    <w:rsid w:val="00470779"/>
    <w:rsid w:val="0047097C"/>
    <w:rsid w:val="00473B52"/>
    <w:rsid w:val="0047692C"/>
    <w:rsid w:val="004776C4"/>
    <w:rsid w:val="00477C35"/>
    <w:rsid w:val="00480144"/>
    <w:rsid w:val="004803EE"/>
    <w:rsid w:val="00480C82"/>
    <w:rsid w:val="00483289"/>
    <w:rsid w:val="0048458F"/>
    <w:rsid w:val="00484D03"/>
    <w:rsid w:val="00486ECF"/>
    <w:rsid w:val="0048721B"/>
    <w:rsid w:val="004872E5"/>
    <w:rsid w:val="0049047D"/>
    <w:rsid w:val="00490E35"/>
    <w:rsid w:val="00492AA7"/>
    <w:rsid w:val="00492E66"/>
    <w:rsid w:val="0049559F"/>
    <w:rsid w:val="0049614D"/>
    <w:rsid w:val="004969AD"/>
    <w:rsid w:val="004A0718"/>
    <w:rsid w:val="004A116E"/>
    <w:rsid w:val="004A194C"/>
    <w:rsid w:val="004A55C9"/>
    <w:rsid w:val="004A56DF"/>
    <w:rsid w:val="004A5BC1"/>
    <w:rsid w:val="004A65D4"/>
    <w:rsid w:val="004A7E89"/>
    <w:rsid w:val="004B0167"/>
    <w:rsid w:val="004B053C"/>
    <w:rsid w:val="004B0746"/>
    <w:rsid w:val="004B0C7E"/>
    <w:rsid w:val="004B14E2"/>
    <w:rsid w:val="004B2C27"/>
    <w:rsid w:val="004B2D36"/>
    <w:rsid w:val="004B3690"/>
    <w:rsid w:val="004B4F00"/>
    <w:rsid w:val="004B5B5A"/>
    <w:rsid w:val="004B5E71"/>
    <w:rsid w:val="004B5F59"/>
    <w:rsid w:val="004B6D89"/>
    <w:rsid w:val="004C0772"/>
    <w:rsid w:val="004C272A"/>
    <w:rsid w:val="004C3ED3"/>
    <w:rsid w:val="004C4C67"/>
    <w:rsid w:val="004C4E42"/>
    <w:rsid w:val="004C4EF0"/>
    <w:rsid w:val="004C7B3E"/>
    <w:rsid w:val="004D17FA"/>
    <w:rsid w:val="004D2212"/>
    <w:rsid w:val="004D247E"/>
    <w:rsid w:val="004D2E5B"/>
    <w:rsid w:val="004D3CD4"/>
    <w:rsid w:val="004D44D3"/>
    <w:rsid w:val="004D4636"/>
    <w:rsid w:val="004D751D"/>
    <w:rsid w:val="004D79CA"/>
    <w:rsid w:val="004E0399"/>
    <w:rsid w:val="004E0AB4"/>
    <w:rsid w:val="004E3254"/>
    <w:rsid w:val="004E3D4E"/>
    <w:rsid w:val="004E5253"/>
    <w:rsid w:val="004E6C8D"/>
    <w:rsid w:val="004E7FE3"/>
    <w:rsid w:val="004F033D"/>
    <w:rsid w:val="004F163F"/>
    <w:rsid w:val="004F26C1"/>
    <w:rsid w:val="004F2E45"/>
    <w:rsid w:val="004F4B61"/>
    <w:rsid w:val="004F52E9"/>
    <w:rsid w:val="004F6B3A"/>
    <w:rsid w:val="004F6EC5"/>
    <w:rsid w:val="004F7A2C"/>
    <w:rsid w:val="0050081B"/>
    <w:rsid w:val="00500D28"/>
    <w:rsid w:val="005027DB"/>
    <w:rsid w:val="00502802"/>
    <w:rsid w:val="0050495A"/>
    <w:rsid w:val="00504CB5"/>
    <w:rsid w:val="00505098"/>
    <w:rsid w:val="005059C6"/>
    <w:rsid w:val="005062CF"/>
    <w:rsid w:val="005109B4"/>
    <w:rsid w:val="0051185C"/>
    <w:rsid w:val="00511C83"/>
    <w:rsid w:val="005129CA"/>
    <w:rsid w:val="005130EC"/>
    <w:rsid w:val="005135F4"/>
    <w:rsid w:val="00514357"/>
    <w:rsid w:val="00515DB6"/>
    <w:rsid w:val="005169A6"/>
    <w:rsid w:val="00516D20"/>
    <w:rsid w:val="0051715A"/>
    <w:rsid w:val="00517641"/>
    <w:rsid w:val="00517C1C"/>
    <w:rsid w:val="00517D5F"/>
    <w:rsid w:val="0052272C"/>
    <w:rsid w:val="00522B4E"/>
    <w:rsid w:val="00522C94"/>
    <w:rsid w:val="00525075"/>
    <w:rsid w:val="005255E3"/>
    <w:rsid w:val="00525743"/>
    <w:rsid w:val="00525CFE"/>
    <w:rsid w:val="00525E4B"/>
    <w:rsid w:val="0052646B"/>
    <w:rsid w:val="005264D7"/>
    <w:rsid w:val="00526652"/>
    <w:rsid w:val="00527B42"/>
    <w:rsid w:val="00533458"/>
    <w:rsid w:val="00533CAD"/>
    <w:rsid w:val="005351E4"/>
    <w:rsid w:val="005365F8"/>
    <w:rsid w:val="0054124B"/>
    <w:rsid w:val="005416CE"/>
    <w:rsid w:val="00542FD7"/>
    <w:rsid w:val="00543DC8"/>
    <w:rsid w:val="005449C9"/>
    <w:rsid w:val="00544DB5"/>
    <w:rsid w:val="00544E7E"/>
    <w:rsid w:val="00544EC5"/>
    <w:rsid w:val="005453C2"/>
    <w:rsid w:val="00546802"/>
    <w:rsid w:val="00546E3B"/>
    <w:rsid w:val="005472BA"/>
    <w:rsid w:val="00547D45"/>
    <w:rsid w:val="00550647"/>
    <w:rsid w:val="00552488"/>
    <w:rsid w:val="005525AB"/>
    <w:rsid w:val="00553AAA"/>
    <w:rsid w:val="00553CCC"/>
    <w:rsid w:val="00555994"/>
    <w:rsid w:val="00556D73"/>
    <w:rsid w:val="005571BA"/>
    <w:rsid w:val="0055791A"/>
    <w:rsid w:val="00557F3B"/>
    <w:rsid w:val="00560D77"/>
    <w:rsid w:val="00560EF7"/>
    <w:rsid w:val="005635B5"/>
    <w:rsid w:val="00563660"/>
    <w:rsid w:val="00565753"/>
    <w:rsid w:val="00566CF1"/>
    <w:rsid w:val="00566FF7"/>
    <w:rsid w:val="00567CF4"/>
    <w:rsid w:val="00570B85"/>
    <w:rsid w:val="0057207C"/>
    <w:rsid w:val="00573285"/>
    <w:rsid w:val="00573F1A"/>
    <w:rsid w:val="00574F1C"/>
    <w:rsid w:val="00575FDD"/>
    <w:rsid w:val="005769CD"/>
    <w:rsid w:val="00577E6A"/>
    <w:rsid w:val="005809F2"/>
    <w:rsid w:val="0058157D"/>
    <w:rsid w:val="005835D4"/>
    <w:rsid w:val="005836B7"/>
    <w:rsid w:val="00583A4F"/>
    <w:rsid w:val="005850DA"/>
    <w:rsid w:val="00587D24"/>
    <w:rsid w:val="00590F29"/>
    <w:rsid w:val="00590FF6"/>
    <w:rsid w:val="00592C2E"/>
    <w:rsid w:val="00594EA9"/>
    <w:rsid w:val="005959A7"/>
    <w:rsid w:val="00596BFE"/>
    <w:rsid w:val="005A0465"/>
    <w:rsid w:val="005A14B7"/>
    <w:rsid w:val="005A188C"/>
    <w:rsid w:val="005A19B8"/>
    <w:rsid w:val="005A6883"/>
    <w:rsid w:val="005B0C62"/>
    <w:rsid w:val="005B0F10"/>
    <w:rsid w:val="005B16D9"/>
    <w:rsid w:val="005B252D"/>
    <w:rsid w:val="005B3871"/>
    <w:rsid w:val="005B4E06"/>
    <w:rsid w:val="005C0BE3"/>
    <w:rsid w:val="005C0DCF"/>
    <w:rsid w:val="005C1D2A"/>
    <w:rsid w:val="005C513F"/>
    <w:rsid w:val="005C5C2C"/>
    <w:rsid w:val="005C6A59"/>
    <w:rsid w:val="005D05EE"/>
    <w:rsid w:val="005D263C"/>
    <w:rsid w:val="005D5E97"/>
    <w:rsid w:val="005D6E97"/>
    <w:rsid w:val="005E0FE6"/>
    <w:rsid w:val="005E12E9"/>
    <w:rsid w:val="005E28BC"/>
    <w:rsid w:val="005E32DC"/>
    <w:rsid w:val="005E432C"/>
    <w:rsid w:val="005E45A9"/>
    <w:rsid w:val="005E551E"/>
    <w:rsid w:val="005E6D78"/>
    <w:rsid w:val="005E6DC7"/>
    <w:rsid w:val="005E7BC3"/>
    <w:rsid w:val="005F0639"/>
    <w:rsid w:val="005F09D6"/>
    <w:rsid w:val="005F2748"/>
    <w:rsid w:val="005F27D6"/>
    <w:rsid w:val="005F307A"/>
    <w:rsid w:val="005F3418"/>
    <w:rsid w:val="005F51EE"/>
    <w:rsid w:val="005F6FCD"/>
    <w:rsid w:val="0060092C"/>
    <w:rsid w:val="00600C99"/>
    <w:rsid w:val="00603ECD"/>
    <w:rsid w:val="00604211"/>
    <w:rsid w:val="00604643"/>
    <w:rsid w:val="0060547B"/>
    <w:rsid w:val="00605C31"/>
    <w:rsid w:val="00610BEF"/>
    <w:rsid w:val="0061170C"/>
    <w:rsid w:val="00611D1C"/>
    <w:rsid w:val="00612D34"/>
    <w:rsid w:val="00614E76"/>
    <w:rsid w:val="006152C5"/>
    <w:rsid w:val="0061634E"/>
    <w:rsid w:val="00622031"/>
    <w:rsid w:val="00623EBE"/>
    <w:rsid w:val="006241E6"/>
    <w:rsid w:val="00625049"/>
    <w:rsid w:val="0062558C"/>
    <w:rsid w:val="00625744"/>
    <w:rsid w:val="006258D6"/>
    <w:rsid w:val="00626540"/>
    <w:rsid w:val="0062663F"/>
    <w:rsid w:val="006301F2"/>
    <w:rsid w:val="00630BD2"/>
    <w:rsid w:val="00632FA3"/>
    <w:rsid w:val="006339C7"/>
    <w:rsid w:val="0063431D"/>
    <w:rsid w:val="00641856"/>
    <w:rsid w:val="006419D5"/>
    <w:rsid w:val="006439B3"/>
    <w:rsid w:val="00644896"/>
    <w:rsid w:val="006459F6"/>
    <w:rsid w:val="00647182"/>
    <w:rsid w:val="00647A2F"/>
    <w:rsid w:val="00647E96"/>
    <w:rsid w:val="00651567"/>
    <w:rsid w:val="00651659"/>
    <w:rsid w:val="00651F9E"/>
    <w:rsid w:val="00652A4B"/>
    <w:rsid w:val="006530A8"/>
    <w:rsid w:val="0065325E"/>
    <w:rsid w:val="0065364E"/>
    <w:rsid w:val="006562E4"/>
    <w:rsid w:val="0065731F"/>
    <w:rsid w:val="0065739D"/>
    <w:rsid w:val="00657EF9"/>
    <w:rsid w:val="00660B0F"/>
    <w:rsid w:val="00660CE2"/>
    <w:rsid w:val="00661577"/>
    <w:rsid w:val="0066176E"/>
    <w:rsid w:val="006621B3"/>
    <w:rsid w:val="00663509"/>
    <w:rsid w:val="00664004"/>
    <w:rsid w:val="00664063"/>
    <w:rsid w:val="006644D4"/>
    <w:rsid w:val="006647C3"/>
    <w:rsid w:val="00664DAB"/>
    <w:rsid w:val="00666AC3"/>
    <w:rsid w:val="00666FC9"/>
    <w:rsid w:val="00672453"/>
    <w:rsid w:val="00672772"/>
    <w:rsid w:val="00672D79"/>
    <w:rsid w:val="00675027"/>
    <w:rsid w:val="00676AD3"/>
    <w:rsid w:val="0067720B"/>
    <w:rsid w:val="00677A91"/>
    <w:rsid w:val="006800DF"/>
    <w:rsid w:val="006827EA"/>
    <w:rsid w:val="00682801"/>
    <w:rsid w:val="00682962"/>
    <w:rsid w:val="0068316A"/>
    <w:rsid w:val="006850D5"/>
    <w:rsid w:val="00686D22"/>
    <w:rsid w:val="006876DF"/>
    <w:rsid w:val="00687BE7"/>
    <w:rsid w:val="00690324"/>
    <w:rsid w:val="00691050"/>
    <w:rsid w:val="00693262"/>
    <w:rsid w:val="0069361E"/>
    <w:rsid w:val="00693782"/>
    <w:rsid w:val="0069407B"/>
    <w:rsid w:val="006956A1"/>
    <w:rsid w:val="006957E6"/>
    <w:rsid w:val="00697A4A"/>
    <w:rsid w:val="006A0A4E"/>
    <w:rsid w:val="006A0A59"/>
    <w:rsid w:val="006A0E5C"/>
    <w:rsid w:val="006A2540"/>
    <w:rsid w:val="006A4C42"/>
    <w:rsid w:val="006A5292"/>
    <w:rsid w:val="006A53E3"/>
    <w:rsid w:val="006A6778"/>
    <w:rsid w:val="006B135C"/>
    <w:rsid w:val="006B177D"/>
    <w:rsid w:val="006B2BA4"/>
    <w:rsid w:val="006B339C"/>
    <w:rsid w:val="006B5DA1"/>
    <w:rsid w:val="006B6136"/>
    <w:rsid w:val="006C1FD9"/>
    <w:rsid w:val="006C26C8"/>
    <w:rsid w:val="006C2783"/>
    <w:rsid w:val="006C2FF4"/>
    <w:rsid w:val="006C32D5"/>
    <w:rsid w:val="006C5A29"/>
    <w:rsid w:val="006C6C2E"/>
    <w:rsid w:val="006D649A"/>
    <w:rsid w:val="006D6D49"/>
    <w:rsid w:val="006D721C"/>
    <w:rsid w:val="006E050F"/>
    <w:rsid w:val="006E1040"/>
    <w:rsid w:val="006E1EE6"/>
    <w:rsid w:val="006E450C"/>
    <w:rsid w:val="006E7F47"/>
    <w:rsid w:val="006F076B"/>
    <w:rsid w:val="006F420B"/>
    <w:rsid w:val="006F5879"/>
    <w:rsid w:val="006F6CB0"/>
    <w:rsid w:val="006F7D69"/>
    <w:rsid w:val="00701DD4"/>
    <w:rsid w:val="007020F2"/>
    <w:rsid w:val="0070310E"/>
    <w:rsid w:val="00706388"/>
    <w:rsid w:val="007073A7"/>
    <w:rsid w:val="00710632"/>
    <w:rsid w:val="0071275A"/>
    <w:rsid w:val="00712BD7"/>
    <w:rsid w:val="00712C4D"/>
    <w:rsid w:val="00715D8D"/>
    <w:rsid w:val="00716C19"/>
    <w:rsid w:val="007203C4"/>
    <w:rsid w:val="0072095E"/>
    <w:rsid w:val="007243D6"/>
    <w:rsid w:val="007257B1"/>
    <w:rsid w:val="00725CDE"/>
    <w:rsid w:val="007264D6"/>
    <w:rsid w:val="00726D6B"/>
    <w:rsid w:val="00727954"/>
    <w:rsid w:val="007307D4"/>
    <w:rsid w:val="00732BE9"/>
    <w:rsid w:val="00733410"/>
    <w:rsid w:val="00734058"/>
    <w:rsid w:val="00734D65"/>
    <w:rsid w:val="00735DC1"/>
    <w:rsid w:val="00737053"/>
    <w:rsid w:val="00737FE6"/>
    <w:rsid w:val="0074098C"/>
    <w:rsid w:val="00741288"/>
    <w:rsid w:val="007414CF"/>
    <w:rsid w:val="0074212A"/>
    <w:rsid w:val="00742674"/>
    <w:rsid w:val="00742E33"/>
    <w:rsid w:val="00743109"/>
    <w:rsid w:val="0074343D"/>
    <w:rsid w:val="00743FE7"/>
    <w:rsid w:val="007449B5"/>
    <w:rsid w:val="00744D12"/>
    <w:rsid w:val="00745088"/>
    <w:rsid w:val="00746466"/>
    <w:rsid w:val="0075224C"/>
    <w:rsid w:val="00753455"/>
    <w:rsid w:val="007552B8"/>
    <w:rsid w:val="00755E21"/>
    <w:rsid w:val="00761412"/>
    <w:rsid w:val="00762327"/>
    <w:rsid w:val="0076260A"/>
    <w:rsid w:val="007626C9"/>
    <w:rsid w:val="007630E1"/>
    <w:rsid w:val="00763F1F"/>
    <w:rsid w:val="007640F3"/>
    <w:rsid w:val="00765030"/>
    <w:rsid w:val="007652AB"/>
    <w:rsid w:val="007674FC"/>
    <w:rsid w:val="00770D5E"/>
    <w:rsid w:val="0077314B"/>
    <w:rsid w:val="00774474"/>
    <w:rsid w:val="00774801"/>
    <w:rsid w:val="0077726F"/>
    <w:rsid w:val="00780B12"/>
    <w:rsid w:val="00780B15"/>
    <w:rsid w:val="007812CB"/>
    <w:rsid w:val="00781A5B"/>
    <w:rsid w:val="0078233E"/>
    <w:rsid w:val="007825BC"/>
    <w:rsid w:val="00783151"/>
    <w:rsid w:val="0078401C"/>
    <w:rsid w:val="00785D0D"/>
    <w:rsid w:val="00787059"/>
    <w:rsid w:val="00791F9F"/>
    <w:rsid w:val="00792582"/>
    <w:rsid w:val="0079368B"/>
    <w:rsid w:val="00793A77"/>
    <w:rsid w:val="0079530D"/>
    <w:rsid w:val="0079564C"/>
    <w:rsid w:val="007A00EC"/>
    <w:rsid w:val="007A0242"/>
    <w:rsid w:val="007A1BD2"/>
    <w:rsid w:val="007A768D"/>
    <w:rsid w:val="007B280C"/>
    <w:rsid w:val="007B54C7"/>
    <w:rsid w:val="007B5A1E"/>
    <w:rsid w:val="007B615A"/>
    <w:rsid w:val="007B7084"/>
    <w:rsid w:val="007B73D6"/>
    <w:rsid w:val="007C0753"/>
    <w:rsid w:val="007C09DA"/>
    <w:rsid w:val="007C1103"/>
    <w:rsid w:val="007C150A"/>
    <w:rsid w:val="007C4770"/>
    <w:rsid w:val="007C4879"/>
    <w:rsid w:val="007D01F4"/>
    <w:rsid w:val="007D1008"/>
    <w:rsid w:val="007D1A7E"/>
    <w:rsid w:val="007D2A70"/>
    <w:rsid w:val="007D2FDB"/>
    <w:rsid w:val="007D3932"/>
    <w:rsid w:val="007D3F9F"/>
    <w:rsid w:val="007D401E"/>
    <w:rsid w:val="007D479E"/>
    <w:rsid w:val="007D4BE3"/>
    <w:rsid w:val="007D4FF7"/>
    <w:rsid w:val="007D5420"/>
    <w:rsid w:val="007D705A"/>
    <w:rsid w:val="007E0BE9"/>
    <w:rsid w:val="007E1112"/>
    <w:rsid w:val="007E21BC"/>
    <w:rsid w:val="007E340A"/>
    <w:rsid w:val="007E37DC"/>
    <w:rsid w:val="007E3D8B"/>
    <w:rsid w:val="007E3EAB"/>
    <w:rsid w:val="007E41CA"/>
    <w:rsid w:val="007E465B"/>
    <w:rsid w:val="007E521E"/>
    <w:rsid w:val="007E52CC"/>
    <w:rsid w:val="007E5F52"/>
    <w:rsid w:val="007E6F4C"/>
    <w:rsid w:val="007F06DD"/>
    <w:rsid w:val="007F0FA4"/>
    <w:rsid w:val="007F205D"/>
    <w:rsid w:val="007F253A"/>
    <w:rsid w:val="007F4277"/>
    <w:rsid w:val="007F71FA"/>
    <w:rsid w:val="007F73D4"/>
    <w:rsid w:val="0080146E"/>
    <w:rsid w:val="00803A9B"/>
    <w:rsid w:val="008040EB"/>
    <w:rsid w:val="00805D38"/>
    <w:rsid w:val="00806EEA"/>
    <w:rsid w:val="008101B9"/>
    <w:rsid w:val="008116D0"/>
    <w:rsid w:val="00811988"/>
    <w:rsid w:val="00811C55"/>
    <w:rsid w:val="00814442"/>
    <w:rsid w:val="00814469"/>
    <w:rsid w:val="00814A9F"/>
    <w:rsid w:val="00815CD3"/>
    <w:rsid w:val="0082161D"/>
    <w:rsid w:val="00823B13"/>
    <w:rsid w:val="00823B5B"/>
    <w:rsid w:val="0083174E"/>
    <w:rsid w:val="008324FB"/>
    <w:rsid w:val="00835820"/>
    <w:rsid w:val="008358F6"/>
    <w:rsid w:val="00836E6A"/>
    <w:rsid w:val="00836EF4"/>
    <w:rsid w:val="00840D97"/>
    <w:rsid w:val="00841EED"/>
    <w:rsid w:val="0084258F"/>
    <w:rsid w:val="008437F9"/>
    <w:rsid w:val="00845BC6"/>
    <w:rsid w:val="00845E78"/>
    <w:rsid w:val="00846657"/>
    <w:rsid w:val="008469A0"/>
    <w:rsid w:val="0084758A"/>
    <w:rsid w:val="00847881"/>
    <w:rsid w:val="00847B77"/>
    <w:rsid w:val="00854581"/>
    <w:rsid w:val="008576AC"/>
    <w:rsid w:val="00860A4C"/>
    <w:rsid w:val="00860A97"/>
    <w:rsid w:val="00860D2D"/>
    <w:rsid w:val="0086130D"/>
    <w:rsid w:val="008614DF"/>
    <w:rsid w:val="00865568"/>
    <w:rsid w:val="00866C8D"/>
    <w:rsid w:val="00867228"/>
    <w:rsid w:val="00871514"/>
    <w:rsid w:val="00872004"/>
    <w:rsid w:val="00873FFE"/>
    <w:rsid w:val="008745E8"/>
    <w:rsid w:val="00875205"/>
    <w:rsid w:val="00875CA0"/>
    <w:rsid w:val="00875D73"/>
    <w:rsid w:val="00876E21"/>
    <w:rsid w:val="00877A92"/>
    <w:rsid w:val="00881CA4"/>
    <w:rsid w:val="008828D9"/>
    <w:rsid w:val="008844B9"/>
    <w:rsid w:val="0088600D"/>
    <w:rsid w:val="00891D1E"/>
    <w:rsid w:val="00894FE3"/>
    <w:rsid w:val="00896571"/>
    <w:rsid w:val="008A0D41"/>
    <w:rsid w:val="008A1888"/>
    <w:rsid w:val="008A1ACD"/>
    <w:rsid w:val="008A27EF"/>
    <w:rsid w:val="008A3D80"/>
    <w:rsid w:val="008A446D"/>
    <w:rsid w:val="008A4AC5"/>
    <w:rsid w:val="008A57BE"/>
    <w:rsid w:val="008B004B"/>
    <w:rsid w:val="008B0903"/>
    <w:rsid w:val="008B1498"/>
    <w:rsid w:val="008B2106"/>
    <w:rsid w:val="008B50A0"/>
    <w:rsid w:val="008B587A"/>
    <w:rsid w:val="008B5DA5"/>
    <w:rsid w:val="008C119A"/>
    <w:rsid w:val="008C1708"/>
    <w:rsid w:val="008C2CC0"/>
    <w:rsid w:val="008C53A0"/>
    <w:rsid w:val="008C5C87"/>
    <w:rsid w:val="008C5E82"/>
    <w:rsid w:val="008D2229"/>
    <w:rsid w:val="008D2A8F"/>
    <w:rsid w:val="008D59A1"/>
    <w:rsid w:val="008D5BFE"/>
    <w:rsid w:val="008D66F0"/>
    <w:rsid w:val="008D679A"/>
    <w:rsid w:val="008D77FB"/>
    <w:rsid w:val="008D7BC4"/>
    <w:rsid w:val="008E1DF4"/>
    <w:rsid w:val="008E2FA9"/>
    <w:rsid w:val="008E3DA4"/>
    <w:rsid w:val="008E5474"/>
    <w:rsid w:val="008E6749"/>
    <w:rsid w:val="008E6D51"/>
    <w:rsid w:val="008E784A"/>
    <w:rsid w:val="008E7CB2"/>
    <w:rsid w:val="008F0C9E"/>
    <w:rsid w:val="008F12D1"/>
    <w:rsid w:val="008F203F"/>
    <w:rsid w:val="008F317A"/>
    <w:rsid w:val="008F3D75"/>
    <w:rsid w:val="008F3F2E"/>
    <w:rsid w:val="008F4BDF"/>
    <w:rsid w:val="008F4C0D"/>
    <w:rsid w:val="0090002E"/>
    <w:rsid w:val="00900B09"/>
    <w:rsid w:val="00900B8B"/>
    <w:rsid w:val="009018D3"/>
    <w:rsid w:val="00901D2A"/>
    <w:rsid w:val="00907A10"/>
    <w:rsid w:val="00910DA7"/>
    <w:rsid w:val="00911DD5"/>
    <w:rsid w:val="00913DDA"/>
    <w:rsid w:val="00915060"/>
    <w:rsid w:val="00916211"/>
    <w:rsid w:val="00916A1D"/>
    <w:rsid w:val="00916F7E"/>
    <w:rsid w:val="00921DDF"/>
    <w:rsid w:val="00922F66"/>
    <w:rsid w:val="00927C53"/>
    <w:rsid w:val="009319A0"/>
    <w:rsid w:val="009335E7"/>
    <w:rsid w:val="00934868"/>
    <w:rsid w:val="00934A95"/>
    <w:rsid w:val="00935E6B"/>
    <w:rsid w:val="00937132"/>
    <w:rsid w:val="009376C6"/>
    <w:rsid w:val="00937824"/>
    <w:rsid w:val="009407DC"/>
    <w:rsid w:val="0094334F"/>
    <w:rsid w:val="00944DD2"/>
    <w:rsid w:val="00945C41"/>
    <w:rsid w:val="00946894"/>
    <w:rsid w:val="00946CFB"/>
    <w:rsid w:val="0094731A"/>
    <w:rsid w:val="00947494"/>
    <w:rsid w:val="00947D54"/>
    <w:rsid w:val="009502D5"/>
    <w:rsid w:val="009524C8"/>
    <w:rsid w:val="00952AF2"/>
    <w:rsid w:val="00952C9D"/>
    <w:rsid w:val="009578E1"/>
    <w:rsid w:val="0096329B"/>
    <w:rsid w:val="009636D1"/>
    <w:rsid w:val="00965A9B"/>
    <w:rsid w:val="009668EA"/>
    <w:rsid w:val="00966E45"/>
    <w:rsid w:val="00970A51"/>
    <w:rsid w:val="00972126"/>
    <w:rsid w:val="009764EC"/>
    <w:rsid w:val="00976865"/>
    <w:rsid w:val="00977949"/>
    <w:rsid w:val="00977B6B"/>
    <w:rsid w:val="00977D9B"/>
    <w:rsid w:val="009823B5"/>
    <w:rsid w:val="00984304"/>
    <w:rsid w:val="00984692"/>
    <w:rsid w:val="00985556"/>
    <w:rsid w:val="00986AF8"/>
    <w:rsid w:val="00987B22"/>
    <w:rsid w:val="009909C0"/>
    <w:rsid w:val="00990F5E"/>
    <w:rsid w:val="009928A3"/>
    <w:rsid w:val="009929D4"/>
    <w:rsid w:val="00996193"/>
    <w:rsid w:val="009A1B6D"/>
    <w:rsid w:val="009A2AA3"/>
    <w:rsid w:val="009A2E2C"/>
    <w:rsid w:val="009A435A"/>
    <w:rsid w:val="009A54E3"/>
    <w:rsid w:val="009A5C10"/>
    <w:rsid w:val="009A7CF0"/>
    <w:rsid w:val="009B178D"/>
    <w:rsid w:val="009B251A"/>
    <w:rsid w:val="009B31F7"/>
    <w:rsid w:val="009B401B"/>
    <w:rsid w:val="009B5AEB"/>
    <w:rsid w:val="009B5E4E"/>
    <w:rsid w:val="009B6B27"/>
    <w:rsid w:val="009C04B1"/>
    <w:rsid w:val="009C08A5"/>
    <w:rsid w:val="009C2EFD"/>
    <w:rsid w:val="009C3B4C"/>
    <w:rsid w:val="009C4264"/>
    <w:rsid w:val="009C42CA"/>
    <w:rsid w:val="009C5F1B"/>
    <w:rsid w:val="009C6E38"/>
    <w:rsid w:val="009C7A38"/>
    <w:rsid w:val="009D06C5"/>
    <w:rsid w:val="009D1690"/>
    <w:rsid w:val="009D1FD4"/>
    <w:rsid w:val="009D221C"/>
    <w:rsid w:val="009D5680"/>
    <w:rsid w:val="009D5B1A"/>
    <w:rsid w:val="009D68C4"/>
    <w:rsid w:val="009D6B98"/>
    <w:rsid w:val="009E08D5"/>
    <w:rsid w:val="009E12D5"/>
    <w:rsid w:val="009E3A86"/>
    <w:rsid w:val="009E3EE8"/>
    <w:rsid w:val="009E4C36"/>
    <w:rsid w:val="009E4D4C"/>
    <w:rsid w:val="009E5C41"/>
    <w:rsid w:val="009F0686"/>
    <w:rsid w:val="009F2930"/>
    <w:rsid w:val="009F4419"/>
    <w:rsid w:val="009F4E3C"/>
    <w:rsid w:val="009F73B3"/>
    <w:rsid w:val="009F7F9E"/>
    <w:rsid w:val="00A00192"/>
    <w:rsid w:val="00A00818"/>
    <w:rsid w:val="00A01C88"/>
    <w:rsid w:val="00A05341"/>
    <w:rsid w:val="00A06523"/>
    <w:rsid w:val="00A10101"/>
    <w:rsid w:val="00A10C1F"/>
    <w:rsid w:val="00A1125D"/>
    <w:rsid w:val="00A12C9F"/>
    <w:rsid w:val="00A15380"/>
    <w:rsid w:val="00A155A9"/>
    <w:rsid w:val="00A15BE5"/>
    <w:rsid w:val="00A15D2B"/>
    <w:rsid w:val="00A167B2"/>
    <w:rsid w:val="00A17DDE"/>
    <w:rsid w:val="00A218BF"/>
    <w:rsid w:val="00A22746"/>
    <w:rsid w:val="00A22B36"/>
    <w:rsid w:val="00A242F6"/>
    <w:rsid w:val="00A249F4"/>
    <w:rsid w:val="00A25A5B"/>
    <w:rsid w:val="00A25AFB"/>
    <w:rsid w:val="00A25E01"/>
    <w:rsid w:val="00A273DF"/>
    <w:rsid w:val="00A312E6"/>
    <w:rsid w:val="00A31A97"/>
    <w:rsid w:val="00A322F8"/>
    <w:rsid w:val="00A350FE"/>
    <w:rsid w:val="00A35833"/>
    <w:rsid w:val="00A36415"/>
    <w:rsid w:val="00A36508"/>
    <w:rsid w:val="00A374FE"/>
    <w:rsid w:val="00A37604"/>
    <w:rsid w:val="00A411CF"/>
    <w:rsid w:val="00A414AB"/>
    <w:rsid w:val="00A43986"/>
    <w:rsid w:val="00A45E98"/>
    <w:rsid w:val="00A47E17"/>
    <w:rsid w:val="00A47ECC"/>
    <w:rsid w:val="00A50E28"/>
    <w:rsid w:val="00A51FAA"/>
    <w:rsid w:val="00A53326"/>
    <w:rsid w:val="00A551D9"/>
    <w:rsid w:val="00A562E1"/>
    <w:rsid w:val="00A56D51"/>
    <w:rsid w:val="00A57894"/>
    <w:rsid w:val="00A6000A"/>
    <w:rsid w:val="00A60388"/>
    <w:rsid w:val="00A61195"/>
    <w:rsid w:val="00A64908"/>
    <w:rsid w:val="00A6576B"/>
    <w:rsid w:val="00A66389"/>
    <w:rsid w:val="00A71755"/>
    <w:rsid w:val="00A723E8"/>
    <w:rsid w:val="00A72E05"/>
    <w:rsid w:val="00A731FC"/>
    <w:rsid w:val="00A73482"/>
    <w:rsid w:val="00A73E29"/>
    <w:rsid w:val="00A74A8C"/>
    <w:rsid w:val="00A7607D"/>
    <w:rsid w:val="00A7686B"/>
    <w:rsid w:val="00A77BC0"/>
    <w:rsid w:val="00A8333C"/>
    <w:rsid w:val="00A83F5E"/>
    <w:rsid w:val="00A856B4"/>
    <w:rsid w:val="00A901DF"/>
    <w:rsid w:val="00A91982"/>
    <w:rsid w:val="00A9271E"/>
    <w:rsid w:val="00A92C6B"/>
    <w:rsid w:val="00A950AC"/>
    <w:rsid w:val="00A9566C"/>
    <w:rsid w:val="00A970DE"/>
    <w:rsid w:val="00AA17EA"/>
    <w:rsid w:val="00AA2949"/>
    <w:rsid w:val="00AA6883"/>
    <w:rsid w:val="00AA68B2"/>
    <w:rsid w:val="00AB0FC2"/>
    <w:rsid w:val="00AB2192"/>
    <w:rsid w:val="00AB3DAF"/>
    <w:rsid w:val="00AB7E83"/>
    <w:rsid w:val="00AC2C0C"/>
    <w:rsid w:val="00AC3147"/>
    <w:rsid w:val="00AC32A1"/>
    <w:rsid w:val="00AC4EED"/>
    <w:rsid w:val="00AC54C5"/>
    <w:rsid w:val="00AC5B5E"/>
    <w:rsid w:val="00AC7775"/>
    <w:rsid w:val="00AD157C"/>
    <w:rsid w:val="00AD1C62"/>
    <w:rsid w:val="00AD202B"/>
    <w:rsid w:val="00AD572B"/>
    <w:rsid w:val="00AD5E9D"/>
    <w:rsid w:val="00AD5F54"/>
    <w:rsid w:val="00AD6BF6"/>
    <w:rsid w:val="00AE048C"/>
    <w:rsid w:val="00AE0E8D"/>
    <w:rsid w:val="00AE1424"/>
    <w:rsid w:val="00AE17B2"/>
    <w:rsid w:val="00AE2051"/>
    <w:rsid w:val="00AE55E3"/>
    <w:rsid w:val="00AE5CDC"/>
    <w:rsid w:val="00AE691E"/>
    <w:rsid w:val="00AF00CB"/>
    <w:rsid w:val="00AF07F8"/>
    <w:rsid w:val="00AF5436"/>
    <w:rsid w:val="00AF7524"/>
    <w:rsid w:val="00AF7656"/>
    <w:rsid w:val="00B00468"/>
    <w:rsid w:val="00B006BE"/>
    <w:rsid w:val="00B01906"/>
    <w:rsid w:val="00B02172"/>
    <w:rsid w:val="00B02A25"/>
    <w:rsid w:val="00B02D4E"/>
    <w:rsid w:val="00B0605E"/>
    <w:rsid w:val="00B118C2"/>
    <w:rsid w:val="00B12BCB"/>
    <w:rsid w:val="00B12C64"/>
    <w:rsid w:val="00B13352"/>
    <w:rsid w:val="00B13CC1"/>
    <w:rsid w:val="00B15122"/>
    <w:rsid w:val="00B16D37"/>
    <w:rsid w:val="00B21230"/>
    <w:rsid w:val="00B22F96"/>
    <w:rsid w:val="00B24139"/>
    <w:rsid w:val="00B2423E"/>
    <w:rsid w:val="00B24276"/>
    <w:rsid w:val="00B24E1B"/>
    <w:rsid w:val="00B26476"/>
    <w:rsid w:val="00B26C37"/>
    <w:rsid w:val="00B27A7A"/>
    <w:rsid w:val="00B33763"/>
    <w:rsid w:val="00B34135"/>
    <w:rsid w:val="00B37701"/>
    <w:rsid w:val="00B37ECF"/>
    <w:rsid w:val="00B40291"/>
    <w:rsid w:val="00B402AC"/>
    <w:rsid w:val="00B43FC7"/>
    <w:rsid w:val="00B44DEF"/>
    <w:rsid w:val="00B46BA4"/>
    <w:rsid w:val="00B46F26"/>
    <w:rsid w:val="00B47705"/>
    <w:rsid w:val="00B47CF3"/>
    <w:rsid w:val="00B5009B"/>
    <w:rsid w:val="00B500E9"/>
    <w:rsid w:val="00B5074D"/>
    <w:rsid w:val="00B523B5"/>
    <w:rsid w:val="00B543F8"/>
    <w:rsid w:val="00B55017"/>
    <w:rsid w:val="00B60798"/>
    <w:rsid w:val="00B6174A"/>
    <w:rsid w:val="00B63FB2"/>
    <w:rsid w:val="00B64EC5"/>
    <w:rsid w:val="00B66BE1"/>
    <w:rsid w:val="00B70002"/>
    <w:rsid w:val="00B70CBE"/>
    <w:rsid w:val="00B71434"/>
    <w:rsid w:val="00B7260E"/>
    <w:rsid w:val="00B72D70"/>
    <w:rsid w:val="00B73F4A"/>
    <w:rsid w:val="00B74F7A"/>
    <w:rsid w:val="00B7568F"/>
    <w:rsid w:val="00B7750D"/>
    <w:rsid w:val="00B77690"/>
    <w:rsid w:val="00B77EBB"/>
    <w:rsid w:val="00B80097"/>
    <w:rsid w:val="00B809FE"/>
    <w:rsid w:val="00B81740"/>
    <w:rsid w:val="00B81836"/>
    <w:rsid w:val="00B827D3"/>
    <w:rsid w:val="00B8313E"/>
    <w:rsid w:val="00B83FD4"/>
    <w:rsid w:val="00B84D12"/>
    <w:rsid w:val="00B85468"/>
    <w:rsid w:val="00B87033"/>
    <w:rsid w:val="00B8792F"/>
    <w:rsid w:val="00B91CD3"/>
    <w:rsid w:val="00B91F4C"/>
    <w:rsid w:val="00B93692"/>
    <w:rsid w:val="00B937F6"/>
    <w:rsid w:val="00B965F6"/>
    <w:rsid w:val="00B97E0F"/>
    <w:rsid w:val="00BA268A"/>
    <w:rsid w:val="00BA32A6"/>
    <w:rsid w:val="00BA37DA"/>
    <w:rsid w:val="00BB0455"/>
    <w:rsid w:val="00BB08B8"/>
    <w:rsid w:val="00BB1C29"/>
    <w:rsid w:val="00BB2CBF"/>
    <w:rsid w:val="00BB2F4B"/>
    <w:rsid w:val="00BB41C2"/>
    <w:rsid w:val="00BB44A0"/>
    <w:rsid w:val="00BB4706"/>
    <w:rsid w:val="00BB5ACD"/>
    <w:rsid w:val="00BB6036"/>
    <w:rsid w:val="00BB6118"/>
    <w:rsid w:val="00BB6F61"/>
    <w:rsid w:val="00BB7DD4"/>
    <w:rsid w:val="00BB7FF8"/>
    <w:rsid w:val="00BC160F"/>
    <w:rsid w:val="00BC3C05"/>
    <w:rsid w:val="00BC41DE"/>
    <w:rsid w:val="00BC5BC5"/>
    <w:rsid w:val="00BC5E0B"/>
    <w:rsid w:val="00BC5E68"/>
    <w:rsid w:val="00BC7AF2"/>
    <w:rsid w:val="00BD32FC"/>
    <w:rsid w:val="00BD3798"/>
    <w:rsid w:val="00BD72DF"/>
    <w:rsid w:val="00BE266C"/>
    <w:rsid w:val="00BE3431"/>
    <w:rsid w:val="00BE4DEA"/>
    <w:rsid w:val="00BE6C9C"/>
    <w:rsid w:val="00BF087F"/>
    <w:rsid w:val="00BF48D1"/>
    <w:rsid w:val="00BF4AA5"/>
    <w:rsid w:val="00BF55DF"/>
    <w:rsid w:val="00BF5AE5"/>
    <w:rsid w:val="00C01473"/>
    <w:rsid w:val="00C026D7"/>
    <w:rsid w:val="00C04225"/>
    <w:rsid w:val="00C04FA6"/>
    <w:rsid w:val="00C075C3"/>
    <w:rsid w:val="00C128FB"/>
    <w:rsid w:val="00C129B4"/>
    <w:rsid w:val="00C134E3"/>
    <w:rsid w:val="00C13D74"/>
    <w:rsid w:val="00C13DCA"/>
    <w:rsid w:val="00C14287"/>
    <w:rsid w:val="00C152EE"/>
    <w:rsid w:val="00C15675"/>
    <w:rsid w:val="00C162C9"/>
    <w:rsid w:val="00C17DF8"/>
    <w:rsid w:val="00C224CE"/>
    <w:rsid w:val="00C24B93"/>
    <w:rsid w:val="00C25B39"/>
    <w:rsid w:val="00C25D9F"/>
    <w:rsid w:val="00C271D2"/>
    <w:rsid w:val="00C32A9A"/>
    <w:rsid w:val="00C331CF"/>
    <w:rsid w:val="00C35262"/>
    <w:rsid w:val="00C3735D"/>
    <w:rsid w:val="00C40843"/>
    <w:rsid w:val="00C41075"/>
    <w:rsid w:val="00C4529A"/>
    <w:rsid w:val="00C45FB5"/>
    <w:rsid w:val="00C46F48"/>
    <w:rsid w:val="00C4719E"/>
    <w:rsid w:val="00C514D6"/>
    <w:rsid w:val="00C5371D"/>
    <w:rsid w:val="00C53D00"/>
    <w:rsid w:val="00C53DCD"/>
    <w:rsid w:val="00C53DE6"/>
    <w:rsid w:val="00C5403A"/>
    <w:rsid w:val="00C545C6"/>
    <w:rsid w:val="00C5552B"/>
    <w:rsid w:val="00C55C7E"/>
    <w:rsid w:val="00C56EAF"/>
    <w:rsid w:val="00C5709F"/>
    <w:rsid w:val="00C60454"/>
    <w:rsid w:val="00C618AE"/>
    <w:rsid w:val="00C636CE"/>
    <w:rsid w:val="00C64595"/>
    <w:rsid w:val="00C707B7"/>
    <w:rsid w:val="00C71717"/>
    <w:rsid w:val="00C72742"/>
    <w:rsid w:val="00C727B1"/>
    <w:rsid w:val="00C72BA4"/>
    <w:rsid w:val="00C73A5C"/>
    <w:rsid w:val="00C74CD7"/>
    <w:rsid w:val="00C769D7"/>
    <w:rsid w:val="00C80C1A"/>
    <w:rsid w:val="00C8178F"/>
    <w:rsid w:val="00C81C2F"/>
    <w:rsid w:val="00C82D2E"/>
    <w:rsid w:val="00C83782"/>
    <w:rsid w:val="00C83FC1"/>
    <w:rsid w:val="00C844FD"/>
    <w:rsid w:val="00C86C8B"/>
    <w:rsid w:val="00C8736B"/>
    <w:rsid w:val="00C87F84"/>
    <w:rsid w:val="00C90041"/>
    <w:rsid w:val="00C91346"/>
    <w:rsid w:val="00C93D9C"/>
    <w:rsid w:val="00C94750"/>
    <w:rsid w:val="00C96ED0"/>
    <w:rsid w:val="00CA209E"/>
    <w:rsid w:val="00CA20C0"/>
    <w:rsid w:val="00CA3B0A"/>
    <w:rsid w:val="00CA3D3A"/>
    <w:rsid w:val="00CA4BFF"/>
    <w:rsid w:val="00CA5585"/>
    <w:rsid w:val="00CA5D48"/>
    <w:rsid w:val="00CA79A4"/>
    <w:rsid w:val="00CB6BA1"/>
    <w:rsid w:val="00CB6BED"/>
    <w:rsid w:val="00CB6DF1"/>
    <w:rsid w:val="00CB7976"/>
    <w:rsid w:val="00CB7F1D"/>
    <w:rsid w:val="00CC0BEC"/>
    <w:rsid w:val="00CC0D9C"/>
    <w:rsid w:val="00CC10A9"/>
    <w:rsid w:val="00CC1FAC"/>
    <w:rsid w:val="00CC25FE"/>
    <w:rsid w:val="00CC4B75"/>
    <w:rsid w:val="00CC795B"/>
    <w:rsid w:val="00CD0072"/>
    <w:rsid w:val="00CD30B8"/>
    <w:rsid w:val="00CD3998"/>
    <w:rsid w:val="00CD4BF5"/>
    <w:rsid w:val="00CD622E"/>
    <w:rsid w:val="00CD6679"/>
    <w:rsid w:val="00CD694E"/>
    <w:rsid w:val="00CD6A28"/>
    <w:rsid w:val="00CD72D0"/>
    <w:rsid w:val="00CD78C8"/>
    <w:rsid w:val="00CE0E87"/>
    <w:rsid w:val="00CE12DF"/>
    <w:rsid w:val="00CE327A"/>
    <w:rsid w:val="00CE3D30"/>
    <w:rsid w:val="00CE3EC1"/>
    <w:rsid w:val="00CE73DB"/>
    <w:rsid w:val="00CF0A50"/>
    <w:rsid w:val="00CF343A"/>
    <w:rsid w:val="00CF3831"/>
    <w:rsid w:val="00CF67D0"/>
    <w:rsid w:val="00D01444"/>
    <w:rsid w:val="00D0206F"/>
    <w:rsid w:val="00D03DCD"/>
    <w:rsid w:val="00D04665"/>
    <w:rsid w:val="00D04788"/>
    <w:rsid w:val="00D04CDA"/>
    <w:rsid w:val="00D05230"/>
    <w:rsid w:val="00D0798F"/>
    <w:rsid w:val="00D07CAC"/>
    <w:rsid w:val="00D1182F"/>
    <w:rsid w:val="00D13367"/>
    <w:rsid w:val="00D14DAF"/>
    <w:rsid w:val="00D1543A"/>
    <w:rsid w:val="00D165EB"/>
    <w:rsid w:val="00D16B17"/>
    <w:rsid w:val="00D170B0"/>
    <w:rsid w:val="00D17987"/>
    <w:rsid w:val="00D17B17"/>
    <w:rsid w:val="00D20E67"/>
    <w:rsid w:val="00D20F2E"/>
    <w:rsid w:val="00D21B96"/>
    <w:rsid w:val="00D22B21"/>
    <w:rsid w:val="00D23EBD"/>
    <w:rsid w:val="00D2666D"/>
    <w:rsid w:val="00D32039"/>
    <w:rsid w:val="00D324F6"/>
    <w:rsid w:val="00D32663"/>
    <w:rsid w:val="00D32CE5"/>
    <w:rsid w:val="00D33651"/>
    <w:rsid w:val="00D33BEA"/>
    <w:rsid w:val="00D364AB"/>
    <w:rsid w:val="00D3676A"/>
    <w:rsid w:val="00D43F09"/>
    <w:rsid w:val="00D44AEC"/>
    <w:rsid w:val="00D45A33"/>
    <w:rsid w:val="00D45AD6"/>
    <w:rsid w:val="00D46778"/>
    <w:rsid w:val="00D47BE2"/>
    <w:rsid w:val="00D47D8E"/>
    <w:rsid w:val="00D5092F"/>
    <w:rsid w:val="00D52A49"/>
    <w:rsid w:val="00D54DD2"/>
    <w:rsid w:val="00D54E89"/>
    <w:rsid w:val="00D57781"/>
    <w:rsid w:val="00D57E30"/>
    <w:rsid w:val="00D60FF3"/>
    <w:rsid w:val="00D622B3"/>
    <w:rsid w:val="00D624AC"/>
    <w:rsid w:val="00D62EE4"/>
    <w:rsid w:val="00D6430F"/>
    <w:rsid w:val="00D64B2E"/>
    <w:rsid w:val="00D65036"/>
    <w:rsid w:val="00D653BB"/>
    <w:rsid w:val="00D658C5"/>
    <w:rsid w:val="00D7137A"/>
    <w:rsid w:val="00D71D63"/>
    <w:rsid w:val="00D72CF2"/>
    <w:rsid w:val="00D757CE"/>
    <w:rsid w:val="00D758C3"/>
    <w:rsid w:val="00D76893"/>
    <w:rsid w:val="00D832CA"/>
    <w:rsid w:val="00D83E2B"/>
    <w:rsid w:val="00D84697"/>
    <w:rsid w:val="00D87599"/>
    <w:rsid w:val="00D90A4F"/>
    <w:rsid w:val="00D927F8"/>
    <w:rsid w:val="00D92FF9"/>
    <w:rsid w:val="00D931FB"/>
    <w:rsid w:val="00D96A7D"/>
    <w:rsid w:val="00D97D74"/>
    <w:rsid w:val="00DA537F"/>
    <w:rsid w:val="00DA6740"/>
    <w:rsid w:val="00DA7107"/>
    <w:rsid w:val="00DA7C4C"/>
    <w:rsid w:val="00DB023C"/>
    <w:rsid w:val="00DB18EE"/>
    <w:rsid w:val="00DB5A3B"/>
    <w:rsid w:val="00DB5F4A"/>
    <w:rsid w:val="00DC0721"/>
    <w:rsid w:val="00DC220F"/>
    <w:rsid w:val="00DC382C"/>
    <w:rsid w:val="00DC4265"/>
    <w:rsid w:val="00DC5650"/>
    <w:rsid w:val="00DC6DA2"/>
    <w:rsid w:val="00DC7A4A"/>
    <w:rsid w:val="00DD3C0B"/>
    <w:rsid w:val="00DD52DC"/>
    <w:rsid w:val="00DE04BE"/>
    <w:rsid w:val="00DE10D6"/>
    <w:rsid w:val="00DE1B16"/>
    <w:rsid w:val="00DE2861"/>
    <w:rsid w:val="00DE43C1"/>
    <w:rsid w:val="00DE4520"/>
    <w:rsid w:val="00DE45FC"/>
    <w:rsid w:val="00DE675D"/>
    <w:rsid w:val="00DF1841"/>
    <w:rsid w:val="00DF21F7"/>
    <w:rsid w:val="00DF2897"/>
    <w:rsid w:val="00DF2D94"/>
    <w:rsid w:val="00DF30B7"/>
    <w:rsid w:val="00DF3416"/>
    <w:rsid w:val="00DF55A7"/>
    <w:rsid w:val="00DF6C0F"/>
    <w:rsid w:val="00DF6EA6"/>
    <w:rsid w:val="00E00549"/>
    <w:rsid w:val="00E00941"/>
    <w:rsid w:val="00E014AB"/>
    <w:rsid w:val="00E02D4F"/>
    <w:rsid w:val="00E04B01"/>
    <w:rsid w:val="00E102F1"/>
    <w:rsid w:val="00E116EF"/>
    <w:rsid w:val="00E1405F"/>
    <w:rsid w:val="00E14A01"/>
    <w:rsid w:val="00E21052"/>
    <w:rsid w:val="00E218D1"/>
    <w:rsid w:val="00E2705C"/>
    <w:rsid w:val="00E27E1E"/>
    <w:rsid w:val="00E27E7B"/>
    <w:rsid w:val="00E31131"/>
    <w:rsid w:val="00E313AC"/>
    <w:rsid w:val="00E3334C"/>
    <w:rsid w:val="00E3378A"/>
    <w:rsid w:val="00E34DDB"/>
    <w:rsid w:val="00E35A6B"/>
    <w:rsid w:val="00E3748E"/>
    <w:rsid w:val="00E40DFC"/>
    <w:rsid w:val="00E444E5"/>
    <w:rsid w:val="00E447FE"/>
    <w:rsid w:val="00E44D70"/>
    <w:rsid w:val="00E45C6C"/>
    <w:rsid w:val="00E45DA5"/>
    <w:rsid w:val="00E46988"/>
    <w:rsid w:val="00E46C14"/>
    <w:rsid w:val="00E4772B"/>
    <w:rsid w:val="00E47737"/>
    <w:rsid w:val="00E51048"/>
    <w:rsid w:val="00E532C0"/>
    <w:rsid w:val="00E54FC8"/>
    <w:rsid w:val="00E56126"/>
    <w:rsid w:val="00E6065C"/>
    <w:rsid w:val="00E62E07"/>
    <w:rsid w:val="00E63035"/>
    <w:rsid w:val="00E64B30"/>
    <w:rsid w:val="00E70CCA"/>
    <w:rsid w:val="00E70EC2"/>
    <w:rsid w:val="00E71B34"/>
    <w:rsid w:val="00E71FF5"/>
    <w:rsid w:val="00E7200B"/>
    <w:rsid w:val="00E72189"/>
    <w:rsid w:val="00E74087"/>
    <w:rsid w:val="00E751D3"/>
    <w:rsid w:val="00E75F89"/>
    <w:rsid w:val="00E81D4F"/>
    <w:rsid w:val="00E8466D"/>
    <w:rsid w:val="00E846D4"/>
    <w:rsid w:val="00E847C9"/>
    <w:rsid w:val="00E85527"/>
    <w:rsid w:val="00E8736B"/>
    <w:rsid w:val="00E87461"/>
    <w:rsid w:val="00E8750A"/>
    <w:rsid w:val="00E913EC"/>
    <w:rsid w:val="00E9210D"/>
    <w:rsid w:val="00E9525C"/>
    <w:rsid w:val="00E960A0"/>
    <w:rsid w:val="00E977A0"/>
    <w:rsid w:val="00EA2562"/>
    <w:rsid w:val="00EA55BF"/>
    <w:rsid w:val="00EA5E5D"/>
    <w:rsid w:val="00EA6AD0"/>
    <w:rsid w:val="00EA6F95"/>
    <w:rsid w:val="00EB1338"/>
    <w:rsid w:val="00EB2B90"/>
    <w:rsid w:val="00EB2D48"/>
    <w:rsid w:val="00EB319A"/>
    <w:rsid w:val="00EB5BBB"/>
    <w:rsid w:val="00EB715A"/>
    <w:rsid w:val="00EC0096"/>
    <w:rsid w:val="00EC0A80"/>
    <w:rsid w:val="00EC117B"/>
    <w:rsid w:val="00EC141A"/>
    <w:rsid w:val="00EC1B25"/>
    <w:rsid w:val="00EC1E9C"/>
    <w:rsid w:val="00EC28C7"/>
    <w:rsid w:val="00EC35C4"/>
    <w:rsid w:val="00EC43BA"/>
    <w:rsid w:val="00EC45E8"/>
    <w:rsid w:val="00EC4DAB"/>
    <w:rsid w:val="00EC5D11"/>
    <w:rsid w:val="00EC6657"/>
    <w:rsid w:val="00EC6982"/>
    <w:rsid w:val="00EC7009"/>
    <w:rsid w:val="00EC7733"/>
    <w:rsid w:val="00ED03B2"/>
    <w:rsid w:val="00ED17CE"/>
    <w:rsid w:val="00ED1C0B"/>
    <w:rsid w:val="00ED1CD9"/>
    <w:rsid w:val="00ED1F7A"/>
    <w:rsid w:val="00ED28FA"/>
    <w:rsid w:val="00ED407F"/>
    <w:rsid w:val="00ED734D"/>
    <w:rsid w:val="00EE1660"/>
    <w:rsid w:val="00EE2671"/>
    <w:rsid w:val="00EE3F21"/>
    <w:rsid w:val="00EE3F96"/>
    <w:rsid w:val="00EE59D3"/>
    <w:rsid w:val="00EE5E2C"/>
    <w:rsid w:val="00EE5F67"/>
    <w:rsid w:val="00EE770B"/>
    <w:rsid w:val="00EE7939"/>
    <w:rsid w:val="00EE7E52"/>
    <w:rsid w:val="00EF0300"/>
    <w:rsid w:val="00EF04A3"/>
    <w:rsid w:val="00EF0CED"/>
    <w:rsid w:val="00EF0F7D"/>
    <w:rsid w:val="00EF1929"/>
    <w:rsid w:val="00EF77CF"/>
    <w:rsid w:val="00F00543"/>
    <w:rsid w:val="00F01100"/>
    <w:rsid w:val="00F01317"/>
    <w:rsid w:val="00F024B7"/>
    <w:rsid w:val="00F024B8"/>
    <w:rsid w:val="00F02911"/>
    <w:rsid w:val="00F04630"/>
    <w:rsid w:val="00F04766"/>
    <w:rsid w:val="00F056DF"/>
    <w:rsid w:val="00F05CA3"/>
    <w:rsid w:val="00F0622E"/>
    <w:rsid w:val="00F108A7"/>
    <w:rsid w:val="00F10E7D"/>
    <w:rsid w:val="00F12A53"/>
    <w:rsid w:val="00F12AF1"/>
    <w:rsid w:val="00F12D39"/>
    <w:rsid w:val="00F12F36"/>
    <w:rsid w:val="00F132C8"/>
    <w:rsid w:val="00F13766"/>
    <w:rsid w:val="00F13A45"/>
    <w:rsid w:val="00F142EE"/>
    <w:rsid w:val="00F1526E"/>
    <w:rsid w:val="00F214C6"/>
    <w:rsid w:val="00F23EE5"/>
    <w:rsid w:val="00F23F80"/>
    <w:rsid w:val="00F23FA1"/>
    <w:rsid w:val="00F25780"/>
    <w:rsid w:val="00F275DC"/>
    <w:rsid w:val="00F27DFE"/>
    <w:rsid w:val="00F30913"/>
    <w:rsid w:val="00F30B73"/>
    <w:rsid w:val="00F33D44"/>
    <w:rsid w:val="00F35940"/>
    <w:rsid w:val="00F362F6"/>
    <w:rsid w:val="00F42919"/>
    <w:rsid w:val="00F42939"/>
    <w:rsid w:val="00F433BC"/>
    <w:rsid w:val="00F44C5E"/>
    <w:rsid w:val="00F454D9"/>
    <w:rsid w:val="00F4602A"/>
    <w:rsid w:val="00F462EB"/>
    <w:rsid w:val="00F47AD8"/>
    <w:rsid w:val="00F50AE1"/>
    <w:rsid w:val="00F50E72"/>
    <w:rsid w:val="00F51B8E"/>
    <w:rsid w:val="00F54F5B"/>
    <w:rsid w:val="00F54FBE"/>
    <w:rsid w:val="00F55DB3"/>
    <w:rsid w:val="00F60251"/>
    <w:rsid w:val="00F605E1"/>
    <w:rsid w:val="00F60FEF"/>
    <w:rsid w:val="00F6316B"/>
    <w:rsid w:val="00F66314"/>
    <w:rsid w:val="00F6657B"/>
    <w:rsid w:val="00F66627"/>
    <w:rsid w:val="00F67047"/>
    <w:rsid w:val="00F67235"/>
    <w:rsid w:val="00F707DC"/>
    <w:rsid w:val="00F70937"/>
    <w:rsid w:val="00F7167B"/>
    <w:rsid w:val="00F71D93"/>
    <w:rsid w:val="00F74DDA"/>
    <w:rsid w:val="00F768A0"/>
    <w:rsid w:val="00F76F6D"/>
    <w:rsid w:val="00F8200D"/>
    <w:rsid w:val="00F842D4"/>
    <w:rsid w:val="00F8454A"/>
    <w:rsid w:val="00F87E49"/>
    <w:rsid w:val="00F919D7"/>
    <w:rsid w:val="00F91ACD"/>
    <w:rsid w:val="00F91AD3"/>
    <w:rsid w:val="00F95FFF"/>
    <w:rsid w:val="00F9654E"/>
    <w:rsid w:val="00F97CD9"/>
    <w:rsid w:val="00FA1318"/>
    <w:rsid w:val="00FA33C8"/>
    <w:rsid w:val="00FA3631"/>
    <w:rsid w:val="00FA3C7B"/>
    <w:rsid w:val="00FA3CD8"/>
    <w:rsid w:val="00FA4216"/>
    <w:rsid w:val="00FA4D00"/>
    <w:rsid w:val="00FA6644"/>
    <w:rsid w:val="00FA6F99"/>
    <w:rsid w:val="00FA7297"/>
    <w:rsid w:val="00FA7FFA"/>
    <w:rsid w:val="00FB0AEC"/>
    <w:rsid w:val="00FB0D6D"/>
    <w:rsid w:val="00FB25E8"/>
    <w:rsid w:val="00FB30E5"/>
    <w:rsid w:val="00FB353E"/>
    <w:rsid w:val="00FB3703"/>
    <w:rsid w:val="00FB42B9"/>
    <w:rsid w:val="00FB67C8"/>
    <w:rsid w:val="00FC392F"/>
    <w:rsid w:val="00FC5CA6"/>
    <w:rsid w:val="00FC72DE"/>
    <w:rsid w:val="00FC74BD"/>
    <w:rsid w:val="00FC7558"/>
    <w:rsid w:val="00FD0B6E"/>
    <w:rsid w:val="00FD1CCB"/>
    <w:rsid w:val="00FD411F"/>
    <w:rsid w:val="00FD41F9"/>
    <w:rsid w:val="00FD5DBE"/>
    <w:rsid w:val="00FD6626"/>
    <w:rsid w:val="00FD7A3F"/>
    <w:rsid w:val="00FE0250"/>
    <w:rsid w:val="00FE0883"/>
    <w:rsid w:val="00FE161C"/>
    <w:rsid w:val="00FE329F"/>
    <w:rsid w:val="00FE48B6"/>
    <w:rsid w:val="00FE5F8F"/>
    <w:rsid w:val="00FE64B5"/>
    <w:rsid w:val="00FE6A4D"/>
    <w:rsid w:val="00FE6B21"/>
    <w:rsid w:val="00FE7028"/>
    <w:rsid w:val="00FE70F3"/>
    <w:rsid w:val="00FE73EC"/>
    <w:rsid w:val="00FE7926"/>
    <w:rsid w:val="00FF0690"/>
    <w:rsid w:val="00FF150F"/>
    <w:rsid w:val="00FF2C82"/>
    <w:rsid w:val="00FF4F90"/>
    <w:rsid w:val="00FF562E"/>
    <w:rsid w:val="00FF5D40"/>
    <w:rsid w:val="00FF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4753612"/>
  <w15:chartTrackingRefBased/>
  <w15:docId w15:val="{A16266C3-3357-4FB0-ADE3-C5BDAEAD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92C"/>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291E77"/>
    <w:pPr>
      <w:keepNext/>
      <w:jc w:val="center"/>
      <w:outlineLvl w:val="0"/>
    </w:pPr>
    <w:rPr>
      <w:rFonts w:ascii="Courier" w:hAnsi="Courier"/>
      <w:b/>
    </w:rPr>
  </w:style>
  <w:style w:type="paragraph" w:styleId="Heading2">
    <w:name w:val="heading 2"/>
    <w:basedOn w:val="Normal"/>
    <w:next w:val="Normal"/>
    <w:qFormat/>
    <w:rsid w:val="00291E77"/>
    <w:pPr>
      <w:keepNext/>
      <w:jc w:val="center"/>
      <w:outlineLvl w:val="1"/>
    </w:pPr>
    <w:rPr>
      <w:rFonts w:ascii="Courier" w:hAnsi="Courier"/>
      <w:b/>
      <w:u w:val="single"/>
    </w:rPr>
  </w:style>
  <w:style w:type="paragraph" w:styleId="Heading3">
    <w:name w:val="heading 3"/>
    <w:basedOn w:val="Normal"/>
    <w:next w:val="Normal"/>
    <w:qFormat/>
    <w:rsid w:val="00660B0F"/>
    <w:pPr>
      <w:keepNext/>
      <w:widowControl/>
      <w:overflowPunct/>
      <w:autoSpaceDE/>
      <w:autoSpaceDN/>
      <w:adjustRightInd/>
      <w:spacing w:before="240" w:after="60"/>
      <w:textAlignment w:val="auto"/>
      <w:outlineLvl w:val="2"/>
    </w:pPr>
    <w:rPr>
      <w:rFonts w:ascii="Arial" w:hAnsi="Arial" w:cs="Arial"/>
      <w:b/>
      <w:bCs/>
      <w:sz w:val="26"/>
      <w:szCs w:val="26"/>
    </w:rPr>
  </w:style>
  <w:style w:type="paragraph" w:styleId="Heading4">
    <w:name w:val="heading 4"/>
    <w:basedOn w:val="Normal"/>
    <w:next w:val="Normal"/>
    <w:qFormat/>
    <w:rsid w:val="007A0242"/>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1E77"/>
    <w:pPr>
      <w:tabs>
        <w:tab w:val="center" w:pos="4320"/>
        <w:tab w:val="right" w:pos="8640"/>
      </w:tabs>
    </w:pPr>
  </w:style>
  <w:style w:type="paragraph" w:styleId="Footer">
    <w:name w:val="footer"/>
    <w:basedOn w:val="Normal"/>
    <w:link w:val="FooterChar"/>
    <w:uiPriority w:val="99"/>
    <w:rsid w:val="00291E77"/>
    <w:pPr>
      <w:tabs>
        <w:tab w:val="center" w:pos="4320"/>
        <w:tab w:val="right" w:pos="8640"/>
      </w:tabs>
    </w:pPr>
  </w:style>
  <w:style w:type="paragraph" w:styleId="BodyTextIndent3">
    <w:name w:val="Body Text Indent 3"/>
    <w:basedOn w:val="Normal"/>
    <w:rsid w:val="00291E77"/>
    <w:pPr>
      <w:ind w:left="720" w:hanging="720"/>
    </w:pPr>
    <w:rPr>
      <w:rFonts w:ascii="Times New Roman" w:hAnsi="Times New Roman"/>
    </w:rPr>
  </w:style>
  <w:style w:type="paragraph" w:styleId="BodyTextIndent2">
    <w:name w:val="Body Text Indent 2"/>
    <w:basedOn w:val="Normal"/>
    <w:rsid w:val="00291E77"/>
    <w:pPr>
      <w:spacing w:after="120" w:line="480" w:lineRule="auto"/>
      <w:ind w:left="360"/>
    </w:pPr>
  </w:style>
  <w:style w:type="character" w:styleId="PageNumber">
    <w:name w:val="page number"/>
    <w:basedOn w:val="DefaultParagraphFont"/>
    <w:rsid w:val="00291E77"/>
  </w:style>
  <w:style w:type="paragraph" w:styleId="ListBullet2">
    <w:name w:val="List Bullet 2"/>
    <w:basedOn w:val="Normal"/>
    <w:rsid w:val="00291E77"/>
    <w:rPr>
      <w:rFonts w:ascii="Times New Roman" w:hAnsi="Times New Roman"/>
    </w:rPr>
  </w:style>
  <w:style w:type="paragraph" w:styleId="TOC1">
    <w:name w:val="toc 1"/>
    <w:basedOn w:val="Normal"/>
    <w:next w:val="Normal"/>
    <w:uiPriority w:val="39"/>
    <w:rsid w:val="00291E77"/>
    <w:pPr>
      <w:spacing w:before="240" w:after="120"/>
    </w:pPr>
    <w:rPr>
      <w:rFonts w:ascii="Times New Roman" w:hAnsi="Times New Roman"/>
      <w:b/>
      <w:sz w:val="20"/>
    </w:rPr>
  </w:style>
  <w:style w:type="paragraph" w:styleId="TOC2">
    <w:name w:val="toc 2"/>
    <w:basedOn w:val="Normal"/>
    <w:next w:val="Normal"/>
    <w:uiPriority w:val="39"/>
    <w:rsid w:val="00291E77"/>
    <w:pPr>
      <w:tabs>
        <w:tab w:val="left" w:pos="720"/>
        <w:tab w:val="right" w:leader="dot" w:pos="9350"/>
      </w:tabs>
      <w:spacing w:before="120"/>
      <w:ind w:left="240"/>
    </w:pPr>
    <w:rPr>
      <w:rFonts w:ascii="Times New Roman" w:hAnsi="Times New Roman"/>
      <w:i/>
      <w:sz w:val="20"/>
    </w:rPr>
  </w:style>
  <w:style w:type="paragraph" w:styleId="TOC3">
    <w:name w:val="toc 3"/>
    <w:basedOn w:val="Normal"/>
    <w:next w:val="Normal"/>
    <w:uiPriority w:val="39"/>
    <w:rsid w:val="00291E77"/>
    <w:pPr>
      <w:tabs>
        <w:tab w:val="left" w:pos="960"/>
        <w:tab w:val="right" w:leader="dot" w:pos="9350"/>
      </w:tabs>
      <w:ind w:left="900" w:hanging="420"/>
    </w:pPr>
    <w:rPr>
      <w:rFonts w:ascii="Times New Roman" w:hAnsi="Times New Roman"/>
      <w:sz w:val="20"/>
    </w:rPr>
  </w:style>
  <w:style w:type="character" w:styleId="Hyperlink">
    <w:name w:val="Hyperlink"/>
    <w:rsid w:val="00291E77"/>
    <w:rPr>
      <w:color w:val="0000FF"/>
      <w:u w:val="single"/>
    </w:rPr>
  </w:style>
  <w:style w:type="paragraph" w:styleId="BodyTextIndent">
    <w:name w:val="Body Text Indent"/>
    <w:basedOn w:val="Normal"/>
    <w:link w:val="BodyTextIndentChar"/>
    <w:rsid w:val="00286420"/>
    <w:pPr>
      <w:spacing w:after="120"/>
      <w:ind w:left="360"/>
    </w:pPr>
  </w:style>
  <w:style w:type="character" w:customStyle="1" w:styleId="BodyTextIndentChar">
    <w:name w:val="Body Text Indent Char"/>
    <w:link w:val="BodyTextIndent"/>
    <w:rsid w:val="005449C9"/>
    <w:rPr>
      <w:rFonts w:ascii="Courier New" w:hAnsi="Courier New"/>
      <w:sz w:val="24"/>
      <w:lang w:val="en-US" w:eastAsia="en-US" w:bidi="ar-SA"/>
    </w:rPr>
  </w:style>
  <w:style w:type="character" w:styleId="LineNumber">
    <w:name w:val="line number"/>
    <w:rsid w:val="00660B0F"/>
    <w:rPr>
      <w:rFonts w:ascii="Times New Roman" w:hAnsi="Times New Roman"/>
      <w:sz w:val="22"/>
    </w:rPr>
  </w:style>
  <w:style w:type="character" w:styleId="FootnoteReference">
    <w:name w:val="footnote reference"/>
    <w:semiHidden/>
    <w:rsid w:val="00660B0F"/>
  </w:style>
  <w:style w:type="paragraph" w:styleId="BodyText">
    <w:name w:val="Body Text"/>
    <w:basedOn w:val="Normal"/>
    <w:rsid w:val="00660B0F"/>
    <w:pPr>
      <w:spacing w:after="120"/>
    </w:pPr>
  </w:style>
  <w:style w:type="paragraph" w:styleId="BodyText2">
    <w:name w:val="Body Text 2"/>
    <w:basedOn w:val="Normal"/>
    <w:rsid w:val="00660B0F"/>
    <w:pPr>
      <w:spacing w:after="120" w:line="480" w:lineRule="auto"/>
    </w:pPr>
  </w:style>
  <w:style w:type="paragraph" w:styleId="FootnoteText">
    <w:name w:val="footnote text"/>
    <w:basedOn w:val="Normal"/>
    <w:uiPriority w:val="99"/>
    <w:semiHidden/>
    <w:rsid w:val="00660B0F"/>
    <w:pPr>
      <w:widowControl/>
      <w:overflowPunct/>
      <w:autoSpaceDE/>
      <w:autoSpaceDN/>
      <w:adjustRightInd/>
      <w:textAlignment w:val="auto"/>
    </w:pPr>
    <w:rPr>
      <w:rFonts w:ascii="Times New Roman" w:hAnsi="Times New Roman"/>
      <w:sz w:val="20"/>
    </w:rPr>
  </w:style>
  <w:style w:type="paragraph" w:styleId="ListBullet3">
    <w:name w:val="List Bullet 3"/>
    <w:basedOn w:val="Normal"/>
    <w:autoRedefine/>
    <w:rsid w:val="00660B0F"/>
    <w:pPr>
      <w:widowControl/>
      <w:numPr>
        <w:numId w:val="1"/>
      </w:numPr>
      <w:overflowPunct/>
      <w:autoSpaceDE/>
      <w:autoSpaceDN/>
      <w:adjustRightInd/>
      <w:textAlignment w:val="auto"/>
    </w:pPr>
    <w:rPr>
      <w:rFonts w:ascii="Times New Roman" w:hAnsi="Times New Roman"/>
      <w:szCs w:val="24"/>
    </w:rPr>
  </w:style>
  <w:style w:type="table" w:styleId="TableGrid">
    <w:name w:val="Table Grid"/>
    <w:basedOn w:val="TableNormal"/>
    <w:rsid w:val="00BB5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B53"/>
    <w:pPr>
      <w:widowControl/>
      <w:overflowPunct/>
      <w:autoSpaceDE/>
      <w:autoSpaceDN/>
      <w:adjustRightInd/>
      <w:spacing w:after="120"/>
      <w:textAlignment w:val="auto"/>
    </w:pPr>
    <w:rPr>
      <w:rFonts w:ascii="Times New Roman" w:hAnsi="Times New Roman"/>
      <w:sz w:val="16"/>
      <w:szCs w:val="16"/>
    </w:rPr>
  </w:style>
  <w:style w:type="character" w:customStyle="1" w:styleId="Char">
    <w:name w:val="Char"/>
    <w:rsid w:val="00D54DD2"/>
    <w:rPr>
      <w:rFonts w:ascii="Courier New" w:hAnsi="Courier New"/>
      <w:sz w:val="24"/>
      <w:lang w:val="en-US" w:eastAsia="en-US" w:bidi="ar-SA"/>
    </w:rPr>
  </w:style>
  <w:style w:type="paragraph" w:styleId="NormalWeb">
    <w:name w:val="Normal (Web)"/>
    <w:basedOn w:val="Normal"/>
    <w:rsid w:val="002B3F65"/>
    <w:pPr>
      <w:widowControl/>
      <w:overflowPunct/>
      <w:autoSpaceDE/>
      <w:autoSpaceDN/>
      <w:adjustRightInd/>
      <w:textAlignment w:val="auto"/>
    </w:pPr>
    <w:rPr>
      <w:rFonts w:ascii="Times New Roman" w:hAnsi="Times New Roman"/>
      <w:szCs w:val="24"/>
    </w:rPr>
  </w:style>
  <w:style w:type="paragraph" w:styleId="TOC4">
    <w:name w:val="toc 4"/>
    <w:basedOn w:val="Normal"/>
    <w:next w:val="Normal"/>
    <w:autoRedefine/>
    <w:semiHidden/>
    <w:rsid w:val="005472BA"/>
    <w:pPr>
      <w:tabs>
        <w:tab w:val="left" w:pos="43"/>
        <w:tab w:val="left" w:pos="1122"/>
        <w:tab w:val="right" w:leader="dot" w:pos="9350"/>
      </w:tabs>
      <w:ind w:left="1122" w:hanging="374"/>
    </w:pPr>
    <w:rPr>
      <w:rFonts w:ascii="Times New Roman" w:hAnsi="Times New Roman"/>
      <w:noProof/>
      <w:sz w:val="20"/>
    </w:rPr>
  </w:style>
  <w:style w:type="paragraph" w:styleId="TOC5">
    <w:name w:val="toc 5"/>
    <w:basedOn w:val="Normal"/>
    <w:next w:val="Normal"/>
    <w:autoRedefine/>
    <w:semiHidden/>
    <w:rsid w:val="005472BA"/>
    <w:pPr>
      <w:tabs>
        <w:tab w:val="left" w:pos="1309"/>
        <w:tab w:val="right" w:leader="dot" w:pos="9350"/>
      </w:tabs>
      <w:ind w:left="1309" w:hanging="374"/>
    </w:pPr>
    <w:rPr>
      <w:rFonts w:ascii="Times New Roman" w:hAnsi="Times New Roman"/>
      <w:noProof/>
      <w:sz w:val="20"/>
    </w:rPr>
  </w:style>
  <w:style w:type="paragraph" w:styleId="TOC6">
    <w:name w:val="toc 6"/>
    <w:basedOn w:val="Normal"/>
    <w:next w:val="Normal"/>
    <w:autoRedefine/>
    <w:semiHidden/>
    <w:rsid w:val="00FE0250"/>
    <w:pPr>
      <w:tabs>
        <w:tab w:val="left" w:pos="1920"/>
        <w:tab w:val="right" w:leader="dot" w:pos="9350"/>
      </w:tabs>
      <w:ind w:left="1870" w:hanging="670"/>
    </w:pPr>
    <w:rPr>
      <w:rFonts w:ascii="Times New Roman" w:hAnsi="Times New Roman"/>
      <w:noProof/>
      <w:sz w:val="20"/>
    </w:rPr>
  </w:style>
  <w:style w:type="character" w:customStyle="1" w:styleId="zzmpTrailerItem">
    <w:name w:val="zzmpTrailerItem"/>
    <w:basedOn w:val="DefaultParagraphFont"/>
    <w:rsid w:val="001C41E6"/>
    <w:rPr>
      <w:rFonts w:ascii="Courier New" w:hAnsi="Courier New" w:cs="Courier New"/>
      <w:dstrike w:val="0"/>
      <w:noProof/>
      <w:color w:val="auto"/>
      <w:spacing w:val="0"/>
      <w:position w:val="0"/>
      <w:sz w:val="16"/>
      <w:szCs w:val="16"/>
      <w:u w:val="none"/>
      <w:effect w:val="none"/>
      <w:vertAlign w:val="baseline"/>
    </w:rPr>
  </w:style>
  <w:style w:type="character" w:styleId="CommentReference">
    <w:name w:val="annotation reference"/>
    <w:uiPriority w:val="99"/>
    <w:semiHidden/>
    <w:rsid w:val="00FF6A26"/>
    <w:rPr>
      <w:sz w:val="16"/>
      <w:szCs w:val="16"/>
    </w:rPr>
  </w:style>
  <w:style w:type="paragraph" w:styleId="CommentText">
    <w:name w:val="annotation text"/>
    <w:basedOn w:val="Normal"/>
    <w:link w:val="CommentTextChar"/>
    <w:uiPriority w:val="99"/>
    <w:semiHidden/>
    <w:rsid w:val="00FF6A26"/>
    <w:rPr>
      <w:sz w:val="20"/>
    </w:rPr>
  </w:style>
  <w:style w:type="paragraph" w:styleId="CommentSubject">
    <w:name w:val="annotation subject"/>
    <w:basedOn w:val="CommentText"/>
    <w:next w:val="CommentText"/>
    <w:semiHidden/>
    <w:rsid w:val="00FF6A26"/>
    <w:rPr>
      <w:b/>
      <w:bCs/>
    </w:rPr>
  </w:style>
  <w:style w:type="paragraph" w:styleId="BalloonText">
    <w:name w:val="Balloon Text"/>
    <w:basedOn w:val="Normal"/>
    <w:semiHidden/>
    <w:rsid w:val="00FF6A26"/>
    <w:rPr>
      <w:rFonts w:ascii="Tahoma" w:hAnsi="Tahoma" w:cs="Tahoma"/>
      <w:sz w:val="16"/>
      <w:szCs w:val="16"/>
    </w:rPr>
  </w:style>
  <w:style w:type="paragraph" w:customStyle="1" w:styleId="Body">
    <w:name w:val="Body"/>
    <w:uiPriority w:val="99"/>
    <w:rsid w:val="006419D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color w:val="000000"/>
      <w:sz w:val="22"/>
      <w:szCs w:val="22"/>
      <w:u w:color="000000"/>
    </w:rPr>
  </w:style>
  <w:style w:type="paragraph" w:styleId="ListParagraph">
    <w:name w:val="List Paragraph"/>
    <w:basedOn w:val="Normal"/>
    <w:link w:val="ListParagraphChar"/>
    <w:uiPriority w:val="34"/>
    <w:qFormat/>
    <w:rsid w:val="00F50E72"/>
    <w:pPr>
      <w:widowControl/>
      <w:overflowPunct/>
      <w:autoSpaceDE/>
      <w:autoSpaceDN/>
      <w:adjustRightInd/>
      <w:ind w:left="720"/>
      <w:contextualSpacing/>
      <w:textAlignment w:val="auto"/>
    </w:pPr>
    <w:rPr>
      <w:rFonts w:ascii="Times New Roman" w:eastAsia="SimSun" w:hAnsi="Times New Roman"/>
      <w:szCs w:val="24"/>
      <w:lang w:eastAsia="zh-CN"/>
    </w:rPr>
  </w:style>
  <w:style w:type="character" w:customStyle="1" w:styleId="ListParagraphChar">
    <w:name w:val="List Paragraph Char"/>
    <w:basedOn w:val="DefaultParagraphFont"/>
    <w:link w:val="ListParagraph"/>
    <w:uiPriority w:val="34"/>
    <w:rsid w:val="00F50E72"/>
    <w:rPr>
      <w:rFonts w:eastAsia="SimSun"/>
      <w:sz w:val="24"/>
      <w:szCs w:val="24"/>
      <w:lang w:eastAsia="zh-CN"/>
    </w:rPr>
  </w:style>
  <w:style w:type="character" w:customStyle="1" w:styleId="CommentTextChar">
    <w:name w:val="Comment Text Char"/>
    <w:basedOn w:val="DefaultParagraphFont"/>
    <w:link w:val="CommentText"/>
    <w:uiPriority w:val="99"/>
    <w:semiHidden/>
    <w:rsid w:val="009407DC"/>
    <w:rPr>
      <w:rFonts w:ascii="Courier New" w:hAnsi="Courier New"/>
    </w:rPr>
  </w:style>
  <w:style w:type="character" w:customStyle="1" w:styleId="FooterChar">
    <w:name w:val="Footer Char"/>
    <w:basedOn w:val="DefaultParagraphFont"/>
    <w:link w:val="Footer"/>
    <w:uiPriority w:val="99"/>
    <w:rsid w:val="001925BE"/>
    <w:rPr>
      <w:rFonts w:ascii="Courier New" w:hAnsi="Courier New"/>
      <w:sz w:val="24"/>
    </w:rPr>
  </w:style>
  <w:style w:type="paragraph" w:styleId="Revision">
    <w:name w:val="Revision"/>
    <w:hidden/>
    <w:uiPriority w:val="99"/>
    <w:semiHidden/>
    <w:rsid w:val="006876DF"/>
    <w:rPr>
      <w:rFonts w:ascii="Courier New" w:hAnsi="Courier New"/>
      <w:sz w:val="24"/>
    </w:rPr>
  </w:style>
  <w:style w:type="paragraph" w:styleId="TOCHeading">
    <w:name w:val="TOC Heading"/>
    <w:basedOn w:val="Heading1"/>
    <w:next w:val="Normal"/>
    <w:uiPriority w:val="39"/>
    <w:unhideWhenUsed/>
    <w:qFormat/>
    <w:rsid w:val="008F0C9E"/>
    <w:pPr>
      <w:keepLines/>
      <w:spacing w:before="240"/>
      <w:jc w:val="left"/>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801771">
      <w:bodyDiv w:val="1"/>
      <w:marLeft w:val="0"/>
      <w:marRight w:val="0"/>
      <w:marTop w:val="0"/>
      <w:marBottom w:val="0"/>
      <w:divBdr>
        <w:top w:val="none" w:sz="0" w:space="0" w:color="auto"/>
        <w:left w:val="none" w:sz="0" w:space="0" w:color="auto"/>
        <w:bottom w:val="none" w:sz="0" w:space="0" w:color="auto"/>
        <w:right w:val="none" w:sz="0" w:space="0" w:color="auto"/>
      </w:divBdr>
    </w:div>
    <w:div w:id="19924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D1B16-969E-4C0B-AB52-1C0E1FA5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90</Pages>
  <Words>27025</Words>
  <Characters>154044</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BEFORE THE</vt:lpstr>
    </vt:vector>
  </TitlesOfParts>
  <Company>Troutman Sanders LLP</Company>
  <LinksUpToDate>false</LinksUpToDate>
  <CharactersWithSpaces>180708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Troutman Sanders LLP</dc:creator>
  <cp:keywords/>
  <cp:lastModifiedBy>Pendergrass, Susan G.</cp:lastModifiedBy>
  <cp:revision>7</cp:revision>
  <cp:lastPrinted>2019-12-04T17:32:00Z</cp:lastPrinted>
  <dcterms:created xsi:type="dcterms:W3CDTF">2019-12-04T17:26:00Z</dcterms:created>
  <dcterms:modified xsi:type="dcterms:W3CDTF">2019-12-04T17:43:00Z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2">
    <vt:lpwstr>vqE2dcgPczAVwfwtJgR4Dx6lMpa1w1XmEzU3Y9BLl/oAVs1wRCvOWTfH3Jy_x000d_
iLGBkUtl0GU7Xq3v42LGw+ylihdPOxAFAnQM1s5AOE/qRgQsP3Pft5FsoJk=</vt:lpwstr>
  </property>
  <property fmtid="{D5CDD505-2E9C-101B-9397-08002B2CF9AE}" pid="4" name="RESPONSE_SENDER_NAME">
    <vt:lpwstr>sAAAE34RQVAK31lKn4wdSIWwkUs5UsvEQVSnhfjsjezyHoQ=</vt:lpwstr>
  </property>
  <property fmtid="{D5CDD505-2E9C-101B-9397-08002B2CF9AE}" pid="5" name="MAIL_MSG_ID1">
    <vt:lpwstr>sAAAE34RQVAK31nZh0BJvRTdNwofon9CKE1h+2xbLMOtces=</vt:lpwstr>
  </property>
  <property fmtid="{D5CDD505-2E9C-101B-9397-08002B2CF9AE}" pid="6" name="EMAIL_OWNER_ADDRESS">
    <vt:lpwstr>sAAAE34RQVAK31nIzvCOI36a0Zkd5r3jPXggmkQkzHGtZnE=</vt:lpwstr>
  </property>
</Properties>
</file>