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A1" w:rsidRPr="003C52A1" w:rsidRDefault="003C52A1" w:rsidP="003C52A1">
      <w:pPr>
        <w:keepNext/>
        <w:spacing w:after="0" w:line="240" w:lineRule="auto"/>
        <w:jc w:val="center"/>
        <w:outlineLvl w:val="0"/>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BEFORE THE</w:t>
      </w:r>
    </w:p>
    <w:p w:rsidR="003C52A1" w:rsidRPr="003C52A1" w:rsidRDefault="003C52A1" w:rsidP="003C52A1">
      <w:pPr>
        <w:spacing w:after="0" w:line="240" w:lineRule="auto"/>
        <w:rPr>
          <w:rFonts w:ascii="Times New Roman" w:eastAsia="Times New Roman" w:hAnsi="Times New Roman" w:cs="Times New Roman"/>
          <w:sz w:val="24"/>
          <w:szCs w:val="20"/>
        </w:rPr>
      </w:pPr>
    </w:p>
    <w:p w:rsidR="003C52A1" w:rsidRPr="003C52A1" w:rsidRDefault="003C52A1" w:rsidP="003C52A1">
      <w:pPr>
        <w:spacing w:after="0" w:line="240" w:lineRule="auto"/>
        <w:jc w:val="center"/>
        <w:rPr>
          <w:rFonts w:ascii="Times New Roman" w:eastAsia="Times New Roman" w:hAnsi="Times New Roman" w:cs="Times New Roman"/>
          <w:b/>
          <w:sz w:val="24"/>
          <w:szCs w:val="20"/>
        </w:rPr>
      </w:pPr>
      <w:smartTag w:uri="urn:schemas-microsoft-com:office:smarttags" w:element="place">
        <w:smartTag w:uri="urn:schemas-microsoft-com:office:smarttags" w:element="country-region">
          <w:r w:rsidRPr="003C52A1">
            <w:rPr>
              <w:rFonts w:ascii="Times New Roman" w:eastAsia="Times New Roman" w:hAnsi="Times New Roman" w:cs="Times New Roman"/>
              <w:b/>
              <w:sz w:val="24"/>
              <w:szCs w:val="20"/>
            </w:rPr>
            <w:t>GEORGIA</w:t>
          </w:r>
        </w:smartTag>
      </w:smartTag>
      <w:r w:rsidRPr="003C52A1">
        <w:rPr>
          <w:rFonts w:ascii="Times New Roman" w:eastAsia="Times New Roman" w:hAnsi="Times New Roman" w:cs="Times New Roman"/>
          <w:b/>
          <w:sz w:val="24"/>
          <w:szCs w:val="20"/>
        </w:rPr>
        <w:t xml:space="preserve"> PUBLIC SERVICE COMMISSION</w:t>
      </w:r>
    </w:p>
    <w:p w:rsidR="003C52A1" w:rsidRPr="003C52A1" w:rsidRDefault="003C52A1" w:rsidP="003C52A1">
      <w:pPr>
        <w:spacing w:after="0" w:line="240" w:lineRule="auto"/>
        <w:jc w:val="center"/>
        <w:rPr>
          <w:rFonts w:ascii="Times New Roman" w:eastAsia="Times New Roman" w:hAnsi="Times New Roman" w:cs="Times New Roman"/>
          <w:b/>
          <w:sz w:val="24"/>
          <w:szCs w:val="20"/>
        </w:rPr>
      </w:pPr>
    </w:p>
    <w:p w:rsidR="003C52A1" w:rsidRPr="003C52A1" w:rsidRDefault="003C52A1" w:rsidP="003C52A1">
      <w:pPr>
        <w:spacing w:after="0" w:line="240" w:lineRule="auto"/>
        <w:rPr>
          <w:rFonts w:ascii="Times New Roman" w:eastAsia="Times New Roman" w:hAnsi="Times New Roman" w:cs="Times New Roman"/>
          <w:b/>
          <w:sz w:val="24"/>
          <w:szCs w:val="20"/>
        </w:rPr>
      </w:pP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In Re:</w:t>
      </w:r>
      <w:r w:rsidRPr="003C52A1">
        <w:rPr>
          <w:rFonts w:ascii="Times New Roman" w:eastAsia="Times New Roman" w:hAnsi="Times New Roman" w:cs="Times New Roman"/>
          <w:b/>
          <w:sz w:val="24"/>
          <w:szCs w:val="20"/>
        </w:rPr>
        <w:tab/>
        <w:t>)</w:t>
      </w: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ab/>
        <w:t>)</w:t>
      </w:r>
      <w:r w:rsidRPr="003C52A1">
        <w:rPr>
          <w:rFonts w:ascii="Times New Roman" w:eastAsia="Times New Roman" w:hAnsi="Times New Roman" w:cs="Times New Roman"/>
          <w:b/>
          <w:sz w:val="24"/>
          <w:szCs w:val="20"/>
        </w:rPr>
        <w:tab/>
      </w:r>
      <w:r w:rsidRPr="003C52A1">
        <w:rPr>
          <w:rFonts w:ascii="Times New Roman" w:eastAsia="Times New Roman" w:hAnsi="Times New Roman" w:cs="Times New Roman"/>
          <w:b/>
          <w:sz w:val="24"/>
          <w:szCs w:val="20"/>
        </w:rPr>
        <w:tab/>
      </w: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Georgia Power Company’s</w:t>
      </w:r>
      <w:r w:rsidRPr="003C52A1">
        <w:rPr>
          <w:rFonts w:ascii="Times New Roman" w:eastAsia="Times New Roman" w:hAnsi="Times New Roman" w:cs="Times New Roman"/>
          <w:b/>
          <w:sz w:val="24"/>
          <w:szCs w:val="20"/>
        </w:rPr>
        <w:tab/>
        <w:t>)</w:t>
      </w:r>
      <w:r w:rsidRPr="003C52A1">
        <w:rPr>
          <w:rFonts w:ascii="Times New Roman" w:eastAsia="Times New Roman" w:hAnsi="Times New Roman" w:cs="Times New Roman"/>
          <w:b/>
          <w:sz w:val="24"/>
          <w:szCs w:val="20"/>
        </w:rPr>
        <w:tab/>
      </w:r>
      <w:r w:rsidRPr="003C52A1">
        <w:rPr>
          <w:rFonts w:ascii="Times New Roman" w:eastAsia="Times New Roman" w:hAnsi="Times New Roman" w:cs="Times New Roman"/>
          <w:b/>
          <w:sz w:val="24"/>
          <w:szCs w:val="20"/>
        </w:rPr>
        <w:tab/>
        <w:t>Docket No. 42516</w:t>
      </w: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2019 Rate Case</w:t>
      </w:r>
      <w:r w:rsidRPr="003C52A1">
        <w:rPr>
          <w:rFonts w:ascii="Times New Roman" w:eastAsia="Times New Roman" w:hAnsi="Times New Roman" w:cs="Times New Roman"/>
          <w:b/>
          <w:sz w:val="24"/>
          <w:szCs w:val="20"/>
        </w:rPr>
        <w:tab/>
        <w:t>)</w:t>
      </w:r>
      <w:r w:rsidRPr="003C52A1">
        <w:rPr>
          <w:rFonts w:ascii="Times New Roman" w:eastAsia="Times New Roman" w:hAnsi="Times New Roman" w:cs="Times New Roman"/>
          <w:b/>
          <w:sz w:val="24"/>
          <w:szCs w:val="20"/>
        </w:rPr>
        <w:tab/>
      </w: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r w:rsidRPr="003C52A1">
        <w:rPr>
          <w:rFonts w:ascii="Times New Roman" w:eastAsia="Times New Roman" w:hAnsi="Times New Roman" w:cs="Times New Roman"/>
          <w:b/>
          <w:sz w:val="24"/>
          <w:szCs w:val="20"/>
        </w:rPr>
        <w:tab/>
        <w:t>)</w:t>
      </w:r>
    </w:p>
    <w:p w:rsidR="003C52A1" w:rsidRPr="003C52A1" w:rsidRDefault="003C52A1" w:rsidP="003C52A1">
      <w:pPr>
        <w:tabs>
          <w:tab w:val="center" w:pos="4680"/>
        </w:tabs>
        <w:spacing w:after="0" w:line="240" w:lineRule="auto"/>
        <w:rPr>
          <w:rFonts w:ascii="Times New Roman" w:eastAsia="Times New Roman" w:hAnsi="Times New Roman" w:cs="Times New Roman"/>
          <w:b/>
          <w:sz w:val="24"/>
          <w:szCs w:val="20"/>
        </w:rPr>
      </w:pPr>
    </w:p>
    <w:p w:rsidR="00F3068D" w:rsidRDefault="00F3068D" w:rsidP="006701B3">
      <w:pPr>
        <w:spacing w:after="0" w:line="240" w:lineRule="auto"/>
        <w:jc w:val="center"/>
        <w:rPr>
          <w:rFonts w:ascii="Times New Roman" w:hAnsi="Times New Roman" w:cs="Times New Roman"/>
          <w:b/>
          <w:sz w:val="24"/>
          <w:szCs w:val="24"/>
        </w:rPr>
      </w:pPr>
    </w:p>
    <w:p w:rsidR="006701B3" w:rsidRDefault="00B25C45" w:rsidP="006701B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POST-HEARING BRIEF</w:t>
      </w:r>
    </w:p>
    <w:p w:rsidR="003C52A1" w:rsidRDefault="006701B3" w:rsidP="006701B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OF THE UNITED STATES DEPARTMENT OF DEFENSE </w:t>
      </w:r>
    </w:p>
    <w:p w:rsidR="005D7CFB" w:rsidRDefault="006701B3" w:rsidP="005D7CFB">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AND ALL OTHER FEDERAL EXECUTIVE AGENCIES</w:t>
      </w:r>
    </w:p>
    <w:p w:rsidR="005D7CFB" w:rsidRDefault="005D7CFB" w:rsidP="005D7CFB">
      <w:pPr>
        <w:spacing w:after="0" w:line="240" w:lineRule="auto"/>
        <w:jc w:val="center"/>
        <w:rPr>
          <w:rFonts w:ascii="Times New Roman" w:hAnsi="Times New Roman" w:cs="Times New Roman"/>
          <w:sz w:val="24"/>
          <w:szCs w:val="24"/>
        </w:rPr>
      </w:pPr>
    </w:p>
    <w:p w:rsidR="005D7CFB" w:rsidRPr="005D7CFB" w:rsidRDefault="005D7CFB" w:rsidP="005D7C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Pursuant to Georgia Public Service Commission’s Procedural and Scheduling Order, the United States Department of Defense and all other Federal Executive Agencies (DOD/FEA) hereby submits its post-hearing brief.</w:t>
      </w:r>
      <w:r w:rsidR="0060150E">
        <w:rPr>
          <w:rFonts w:ascii="Times New Roman" w:hAnsi="Times New Roman" w:cs="Times New Roman"/>
          <w:sz w:val="24"/>
          <w:szCs w:val="24"/>
        </w:rPr>
        <w:t xml:space="preserve">  As discussed in this brief, the Georgia Public Service Commission (Commission) should order: (1) an authorized return on equity of 9.1 percent; (2) additional language in the Time of Use Revenue Neutral tariff if the Commission eliminates the Multiple Load Management tariff, (3) reduction of the earnings band from 200 basis points to 100 basis points, (4) no changes to the 12-month requirement </w:t>
      </w:r>
      <w:r w:rsidR="007B197F">
        <w:rPr>
          <w:rFonts w:ascii="Times New Roman" w:hAnsi="Times New Roman" w:cs="Times New Roman"/>
          <w:sz w:val="24"/>
          <w:szCs w:val="24"/>
        </w:rPr>
        <w:t>that a Real Time Pricing (RTP) customer come off RTP for twelve months if the customer wants to establish a lower Customer Baseline Load, (5) establishment of a Coal Combustion Residuals rider,  and (6) for storm damage cost</w:t>
      </w:r>
      <w:r w:rsidR="002B6830">
        <w:rPr>
          <w:rFonts w:ascii="Times New Roman" w:hAnsi="Times New Roman" w:cs="Times New Roman"/>
          <w:sz w:val="24"/>
          <w:szCs w:val="24"/>
        </w:rPr>
        <w:t>,</w:t>
      </w:r>
      <w:r w:rsidR="007B197F">
        <w:rPr>
          <w:rFonts w:ascii="Times New Roman" w:hAnsi="Times New Roman" w:cs="Times New Roman"/>
          <w:sz w:val="24"/>
          <w:szCs w:val="24"/>
        </w:rPr>
        <w:t xml:space="preserve"> an annual deferred cost recovery mechanism and storm damage recovery rider.</w:t>
      </w:r>
    </w:p>
    <w:p w:rsidR="00650779" w:rsidRPr="008357FC" w:rsidRDefault="005D7CFB" w:rsidP="005D7CFB">
      <w:pPr>
        <w:spacing w:after="0" w:line="480" w:lineRule="auto"/>
        <w:jc w:val="center"/>
        <w:rPr>
          <w:rFonts w:ascii="Times New Roman" w:hAnsi="Times New Roman" w:cs="Times New Roman"/>
          <w:sz w:val="24"/>
          <w:szCs w:val="24"/>
        </w:rPr>
      </w:pPr>
      <w:r w:rsidRPr="008357FC">
        <w:rPr>
          <w:rFonts w:ascii="Times New Roman" w:hAnsi="Times New Roman" w:cs="Times New Roman"/>
          <w:b/>
          <w:sz w:val="24"/>
          <w:szCs w:val="24"/>
        </w:rPr>
        <w:t>RETURN ON EQUITY</w:t>
      </w:r>
    </w:p>
    <w:p w:rsidR="00CE5369" w:rsidRDefault="00906951" w:rsidP="00F02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authorized return on equity (ROE) of 9.1 percent will permit </w:t>
      </w:r>
      <w:r w:rsidR="00177FB0" w:rsidRPr="00177FB0">
        <w:rPr>
          <w:rFonts w:ascii="Times New Roman" w:hAnsi="Times New Roman" w:cs="Times New Roman"/>
          <w:sz w:val="24"/>
          <w:szCs w:val="24"/>
        </w:rPr>
        <w:t xml:space="preserve">GPC the opportunity to earn a return </w:t>
      </w:r>
      <w:r w:rsidR="001C0E8B">
        <w:rPr>
          <w:rFonts w:ascii="Times New Roman" w:hAnsi="Times New Roman" w:cs="Times New Roman"/>
          <w:sz w:val="24"/>
          <w:szCs w:val="24"/>
        </w:rPr>
        <w:t>comparable to a return on investments in other enterprises having similar risks</w:t>
      </w:r>
      <w:r w:rsidR="00177FB0" w:rsidRPr="00177FB0">
        <w:rPr>
          <w:rFonts w:ascii="Times New Roman" w:hAnsi="Times New Roman" w:cs="Times New Roman"/>
          <w:sz w:val="24"/>
          <w:szCs w:val="24"/>
        </w:rPr>
        <w:t xml:space="preserve">, </w:t>
      </w:r>
      <w:r w:rsidR="005F7ED2">
        <w:rPr>
          <w:rFonts w:ascii="Times New Roman" w:hAnsi="Times New Roman" w:cs="Times New Roman"/>
          <w:sz w:val="24"/>
          <w:szCs w:val="24"/>
        </w:rPr>
        <w:t xml:space="preserve">which allow GPC under efficient and economical management, the opportunity to attract capital on reasonable terms, maintain a satisfactory credit rating, and </w:t>
      </w:r>
      <w:r w:rsidR="00177FB0" w:rsidRPr="00177FB0">
        <w:rPr>
          <w:rFonts w:ascii="Times New Roman" w:hAnsi="Times New Roman" w:cs="Times New Roman"/>
          <w:sz w:val="24"/>
          <w:szCs w:val="24"/>
        </w:rPr>
        <w:t xml:space="preserve">discharge its public duties.   </w:t>
      </w:r>
      <w:r w:rsidR="00F02991" w:rsidRPr="00F02991">
        <w:rPr>
          <w:rFonts w:ascii="Times New Roman" w:hAnsi="Times New Roman" w:cs="Times New Roman"/>
          <w:sz w:val="24"/>
          <w:szCs w:val="24"/>
        </w:rPr>
        <w:t>This</w:t>
      </w:r>
      <w:r w:rsidR="002B5064">
        <w:rPr>
          <w:rFonts w:ascii="Times New Roman" w:hAnsi="Times New Roman" w:cs="Times New Roman"/>
          <w:sz w:val="24"/>
          <w:szCs w:val="24"/>
        </w:rPr>
        <w:t xml:space="preserve"> </w:t>
      </w:r>
      <w:r w:rsidR="005F7ED2">
        <w:rPr>
          <w:rFonts w:ascii="Times New Roman" w:hAnsi="Times New Roman" w:cs="Times New Roman"/>
          <w:sz w:val="24"/>
          <w:szCs w:val="24"/>
        </w:rPr>
        <w:lastRenderedPageBreak/>
        <w:t xml:space="preserve">standard is </w:t>
      </w:r>
      <w:r w:rsidR="002B5064">
        <w:rPr>
          <w:rFonts w:ascii="Times New Roman" w:hAnsi="Times New Roman" w:cs="Times New Roman"/>
          <w:sz w:val="24"/>
          <w:szCs w:val="24"/>
        </w:rPr>
        <w:t>based upon</w:t>
      </w:r>
      <w:r w:rsidR="00F02991" w:rsidRPr="00F02991">
        <w:rPr>
          <w:rFonts w:ascii="Times New Roman" w:hAnsi="Times New Roman" w:cs="Times New Roman"/>
          <w:sz w:val="24"/>
          <w:szCs w:val="24"/>
        </w:rPr>
        <w:t xml:space="preserve"> </w:t>
      </w:r>
      <w:r w:rsidR="002B5064">
        <w:rPr>
          <w:rFonts w:ascii="Times New Roman" w:hAnsi="Times New Roman" w:cs="Times New Roman"/>
          <w:sz w:val="24"/>
          <w:szCs w:val="24"/>
        </w:rPr>
        <w:t xml:space="preserve">the </w:t>
      </w:r>
      <w:r w:rsidR="00F02991" w:rsidRPr="00F02991">
        <w:rPr>
          <w:rFonts w:ascii="Times New Roman" w:hAnsi="Times New Roman" w:cs="Times New Roman"/>
          <w:sz w:val="24"/>
          <w:szCs w:val="24"/>
        </w:rPr>
        <w:t xml:space="preserve">principle </w:t>
      </w:r>
      <w:r w:rsidR="002B5064">
        <w:rPr>
          <w:rFonts w:ascii="Times New Roman" w:hAnsi="Times New Roman" w:cs="Times New Roman"/>
          <w:sz w:val="24"/>
          <w:szCs w:val="24"/>
        </w:rPr>
        <w:t>set forth</w:t>
      </w:r>
      <w:r w:rsidR="00F02991" w:rsidRPr="00F02991">
        <w:rPr>
          <w:rFonts w:ascii="Times New Roman" w:hAnsi="Times New Roman" w:cs="Times New Roman"/>
          <w:sz w:val="24"/>
          <w:szCs w:val="24"/>
        </w:rPr>
        <w:t xml:space="preserve"> by </w:t>
      </w:r>
      <w:r w:rsidR="00F02991">
        <w:rPr>
          <w:rFonts w:ascii="Times New Roman" w:hAnsi="Times New Roman" w:cs="Times New Roman"/>
          <w:sz w:val="24"/>
          <w:szCs w:val="24"/>
        </w:rPr>
        <w:t>the United States Supreme Court</w:t>
      </w:r>
      <w:r w:rsidR="008765D8">
        <w:rPr>
          <w:rFonts w:ascii="Times New Roman" w:hAnsi="Times New Roman" w:cs="Times New Roman"/>
          <w:sz w:val="24"/>
          <w:szCs w:val="24"/>
        </w:rPr>
        <w:t xml:space="preserve"> </w:t>
      </w:r>
      <w:r w:rsidR="00F02991">
        <w:rPr>
          <w:rFonts w:ascii="Times New Roman" w:hAnsi="Times New Roman" w:cs="Times New Roman"/>
          <w:sz w:val="24"/>
          <w:szCs w:val="24"/>
        </w:rPr>
        <w:t>i</w:t>
      </w:r>
      <w:r w:rsidR="008765D8" w:rsidRPr="008765D8">
        <w:rPr>
          <w:rFonts w:ascii="Times New Roman" w:hAnsi="Times New Roman" w:cs="Times New Roman"/>
          <w:sz w:val="24"/>
          <w:szCs w:val="24"/>
        </w:rPr>
        <w:t xml:space="preserve">n </w:t>
      </w:r>
      <w:r w:rsidR="008765D8" w:rsidRPr="001C1961">
        <w:rPr>
          <w:rFonts w:ascii="Times New Roman" w:hAnsi="Times New Roman" w:cs="Times New Roman"/>
          <w:sz w:val="24"/>
          <w:szCs w:val="24"/>
          <w:u w:val="single"/>
        </w:rPr>
        <w:t>Bluefield</w:t>
      </w:r>
      <w:r w:rsidR="00D140D4" w:rsidRPr="001C1961">
        <w:rPr>
          <w:rFonts w:ascii="Times New Roman" w:hAnsi="Times New Roman" w:cs="Times New Roman"/>
          <w:sz w:val="24"/>
          <w:szCs w:val="24"/>
          <w:u w:val="single"/>
        </w:rPr>
        <w:t xml:space="preserve"> Waterworks &amp; Improvement Company v. Public Service Commission of West Virginia</w:t>
      </w:r>
      <w:r w:rsidR="00D140D4">
        <w:rPr>
          <w:rFonts w:ascii="Times New Roman" w:hAnsi="Times New Roman" w:cs="Times New Roman"/>
          <w:sz w:val="24"/>
          <w:szCs w:val="24"/>
        </w:rPr>
        <w:t xml:space="preserve">, 262 U.S. 679, 692-93 (1923) and </w:t>
      </w:r>
      <w:r w:rsidR="00D140D4" w:rsidRPr="001C1961">
        <w:rPr>
          <w:rFonts w:ascii="Times New Roman" w:hAnsi="Times New Roman" w:cs="Times New Roman"/>
          <w:sz w:val="24"/>
          <w:szCs w:val="24"/>
          <w:u w:val="single"/>
        </w:rPr>
        <w:t xml:space="preserve">Federal Power Commission v. </w:t>
      </w:r>
      <w:r w:rsidR="008765D8" w:rsidRPr="001C1961">
        <w:rPr>
          <w:rFonts w:ascii="Times New Roman" w:hAnsi="Times New Roman" w:cs="Times New Roman"/>
          <w:sz w:val="24"/>
          <w:szCs w:val="24"/>
          <w:u w:val="single"/>
        </w:rPr>
        <w:t>Hope</w:t>
      </w:r>
      <w:r w:rsidR="00D140D4" w:rsidRPr="001C1961">
        <w:rPr>
          <w:rFonts w:ascii="Times New Roman" w:hAnsi="Times New Roman" w:cs="Times New Roman"/>
          <w:sz w:val="24"/>
          <w:szCs w:val="24"/>
          <w:u w:val="single"/>
        </w:rPr>
        <w:t xml:space="preserve"> Natural Gas Company</w:t>
      </w:r>
      <w:r w:rsidR="00F02991">
        <w:rPr>
          <w:rFonts w:ascii="Times New Roman" w:hAnsi="Times New Roman" w:cs="Times New Roman"/>
          <w:sz w:val="24"/>
          <w:szCs w:val="24"/>
        </w:rPr>
        <w:t xml:space="preserve">, 3320 U.S. 591, 605 (1944).  </w:t>
      </w:r>
      <w:r w:rsidR="00CE5369">
        <w:rPr>
          <w:rFonts w:ascii="Times New Roman" w:hAnsi="Times New Roman" w:cs="Times New Roman"/>
          <w:sz w:val="24"/>
          <w:szCs w:val="24"/>
        </w:rPr>
        <w:t>Georgia Power Company’s witness</w:t>
      </w:r>
      <w:r w:rsidR="00F02991">
        <w:rPr>
          <w:rFonts w:ascii="Times New Roman" w:hAnsi="Times New Roman" w:cs="Times New Roman"/>
          <w:sz w:val="24"/>
          <w:szCs w:val="24"/>
        </w:rPr>
        <w:t>, Dr. James Vander Weide;</w:t>
      </w:r>
      <w:r w:rsidR="00CE5369">
        <w:rPr>
          <w:rFonts w:ascii="Times New Roman" w:hAnsi="Times New Roman" w:cs="Times New Roman"/>
          <w:sz w:val="24"/>
          <w:szCs w:val="24"/>
        </w:rPr>
        <w:t xml:space="preserve"> Public Interest Advisory Staff’s witness</w:t>
      </w:r>
      <w:r w:rsidR="00F02991">
        <w:rPr>
          <w:rFonts w:ascii="Times New Roman" w:hAnsi="Times New Roman" w:cs="Times New Roman"/>
          <w:sz w:val="24"/>
          <w:szCs w:val="24"/>
        </w:rPr>
        <w:t>, Mr. Michael Gorman;</w:t>
      </w:r>
      <w:r w:rsidR="00CE5369">
        <w:rPr>
          <w:rFonts w:ascii="Times New Roman" w:hAnsi="Times New Roman" w:cs="Times New Roman"/>
          <w:sz w:val="24"/>
          <w:szCs w:val="24"/>
        </w:rPr>
        <w:t xml:space="preserve"> and </w:t>
      </w:r>
      <w:r w:rsidR="00DB73DE">
        <w:rPr>
          <w:rFonts w:ascii="Times New Roman" w:hAnsi="Times New Roman" w:cs="Times New Roman"/>
          <w:sz w:val="24"/>
          <w:szCs w:val="24"/>
        </w:rPr>
        <w:t>DOD/FEA witness</w:t>
      </w:r>
      <w:r w:rsidR="00F02991">
        <w:rPr>
          <w:rFonts w:ascii="Times New Roman" w:hAnsi="Times New Roman" w:cs="Times New Roman"/>
          <w:sz w:val="24"/>
          <w:szCs w:val="24"/>
        </w:rPr>
        <w:t>, Ms.</w:t>
      </w:r>
      <w:r w:rsidR="00DB73DE">
        <w:rPr>
          <w:rFonts w:ascii="Times New Roman" w:hAnsi="Times New Roman" w:cs="Times New Roman"/>
          <w:sz w:val="24"/>
          <w:szCs w:val="24"/>
        </w:rPr>
        <w:t xml:space="preserve"> Maureen Reno all recognize</w:t>
      </w:r>
      <w:r w:rsidR="002B5064">
        <w:rPr>
          <w:rFonts w:ascii="Times New Roman" w:hAnsi="Times New Roman" w:cs="Times New Roman"/>
          <w:sz w:val="24"/>
          <w:szCs w:val="24"/>
        </w:rPr>
        <w:t xml:space="preserve"> the importance of</w:t>
      </w:r>
      <w:r w:rsidR="00DB73DE">
        <w:rPr>
          <w:rFonts w:ascii="Times New Roman" w:hAnsi="Times New Roman" w:cs="Times New Roman"/>
          <w:sz w:val="24"/>
          <w:szCs w:val="24"/>
        </w:rPr>
        <w:t xml:space="preserve"> </w:t>
      </w:r>
      <w:r w:rsidR="00DB73DE" w:rsidRPr="00F02991">
        <w:rPr>
          <w:rFonts w:ascii="Times New Roman" w:hAnsi="Times New Roman" w:cs="Times New Roman"/>
          <w:sz w:val="24"/>
          <w:szCs w:val="24"/>
          <w:u w:val="single"/>
        </w:rPr>
        <w:t>Bluefield</w:t>
      </w:r>
      <w:r w:rsidR="00DB73DE">
        <w:rPr>
          <w:rFonts w:ascii="Times New Roman" w:hAnsi="Times New Roman" w:cs="Times New Roman"/>
          <w:sz w:val="24"/>
          <w:szCs w:val="24"/>
        </w:rPr>
        <w:t xml:space="preserve"> and </w:t>
      </w:r>
      <w:r w:rsidR="00DB73DE" w:rsidRPr="00F02991">
        <w:rPr>
          <w:rFonts w:ascii="Times New Roman" w:hAnsi="Times New Roman" w:cs="Times New Roman"/>
          <w:sz w:val="24"/>
          <w:szCs w:val="24"/>
          <w:u w:val="single"/>
        </w:rPr>
        <w:t>Hope</w:t>
      </w:r>
      <w:r w:rsidR="00DB73DE">
        <w:rPr>
          <w:rFonts w:ascii="Times New Roman" w:hAnsi="Times New Roman" w:cs="Times New Roman"/>
          <w:sz w:val="24"/>
          <w:szCs w:val="24"/>
        </w:rPr>
        <w:t xml:space="preserve"> in determining a utility’s return on equity.</w:t>
      </w:r>
      <w:r w:rsidR="00DB73DE">
        <w:rPr>
          <w:rStyle w:val="FootnoteReference"/>
          <w:rFonts w:ascii="Times New Roman" w:hAnsi="Times New Roman" w:cs="Times New Roman"/>
          <w:sz w:val="24"/>
          <w:szCs w:val="24"/>
        </w:rPr>
        <w:footnoteReference w:id="1"/>
      </w:r>
    </w:p>
    <w:p w:rsidR="00113678" w:rsidRPr="00113678" w:rsidRDefault="00113678" w:rsidP="008765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B5064">
        <w:rPr>
          <w:rFonts w:ascii="Times New Roman" w:hAnsi="Times New Roman" w:cs="Times New Roman"/>
          <w:sz w:val="24"/>
          <w:szCs w:val="24"/>
        </w:rPr>
        <w:t>In</w:t>
      </w:r>
      <w:r>
        <w:rPr>
          <w:rFonts w:ascii="Times New Roman" w:hAnsi="Times New Roman" w:cs="Times New Roman"/>
          <w:sz w:val="24"/>
          <w:szCs w:val="24"/>
        </w:rPr>
        <w:t xml:space="preserve"> determining the appropriate return on equity, </w:t>
      </w:r>
      <w:r>
        <w:rPr>
          <w:rFonts w:ascii="Times New Roman" w:hAnsi="Times New Roman" w:cs="Times New Roman"/>
          <w:sz w:val="24"/>
          <w:szCs w:val="24"/>
          <w:u w:val="single"/>
        </w:rPr>
        <w:t>Bluefield</w:t>
      </w:r>
      <w:r>
        <w:rPr>
          <w:rFonts w:ascii="Times New Roman" w:hAnsi="Times New Roman" w:cs="Times New Roman"/>
          <w:sz w:val="24"/>
          <w:szCs w:val="24"/>
        </w:rPr>
        <w:t xml:space="preserve"> and </w:t>
      </w:r>
      <w:r>
        <w:rPr>
          <w:rFonts w:ascii="Times New Roman" w:hAnsi="Times New Roman" w:cs="Times New Roman"/>
          <w:sz w:val="24"/>
          <w:szCs w:val="24"/>
          <w:u w:val="single"/>
        </w:rPr>
        <w:t xml:space="preserve">Hope </w:t>
      </w:r>
      <w:r>
        <w:rPr>
          <w:rFonts w:ascii="Times New Roman" w:hAnsi="Times New Roman" w:cs="Times New Roman"/>
          <w:sz w:val="24"/>
          <w:szCs w:val="24"/>
        </w:rPr>
        <w:t xml:space="preserve">do not allow adjustments based on </w:t>
      </w:r>
      <w:r w:rsidR="0079526D">
        <w:rPr>
          <w:rFonts w:ascii="Times New Roman" w:hAnsi="Times New Roman" w:cs="Times New Roman"/>
          <w:sz w:val="24"/>
          <w:szCs w:val="24"/>
        </w:rPr>
        <w:t>theories of gradualism</w:t>
      </w:r>
      <w:r>
        <w:rPr>
          <w:rFonts w:ascii="Times New Roman" w:hAnsi="Times New Roman" w:cs="Times New Roman"/>
          <w:sz w:val="24"/>
          <w:szCs w:val="24"/>
        </w:rPr>
        <w:t xml:space="preserve"> or reward </w:t>
      </w:r>
      <w:r w:rsidR="0079526D">
        <w:rPr>
          <w:rFonts w:ascii="Times New Roman" w:hAnsi="Times New Roman" w:cs="Times New Roman"/>
          <w:sz w:val="24"/>
          <w:szCs w:val="24"/>
        </w:rPr>
        <w:t xml:space="preserve">for a utility’s past performance </w:t>
      </w:r>
      <w:r>
        <w:rPr>
          <w:rFonts w:ascii="Times New Roman" w:hAnsi="Times New Roman" w:cs="Times New Roman"/>
          <w:sz w:val="24"/>
          <w:szCs w:val="24"/>
        </w:rPr>
        <w:t>as Georgia Power has suggested in this proceeding.</w:t>
      </w:r>
      <w:r w:rsidR="007B0776">
        <w:rPr>
          <w:rFonts w:ascii="Times New Roman" w:hAnsi="Times New Roman" w:cs="Times New Roman"/>
          <w:sz w:val="24"/>
          <w:szCs w:val="24"/>
        </w:rPr>
        <w:t xml:space="preserve">  GPC’s last rate case was in 2013 and in that case, the Commission approved an ROE of 10.95 percent.  </w:t>
      </w:r>
      <w:r w:rsidR="007B0776" w:rsidRPr="007B0776">
        <w:rPr>
          <w:rFonts w:ascii="Times New Roman" w:hAnsi="Times New Roman" w:cs="Times New Roman"/>
          <w:sz w:val="24"/>
          <w:szCs w:val="24"/>
        </w:rPr>
        <w:t>In 2013, investors were expecting higher inflation and economic growth</w:t>
      </w:r>
      <w:r w:rsidR="007B0776">
        <w:rPr>
          <w:rFonts w:ascii="Times New Roman" w:hAnsi="Times New Roman" w:cs="Times New Roman"/>
          <w:sz w:val="24"/>
          <w:szCs w:val="24"/>
        </w:rPr>
        <w:t>.</w:t>
      </w:r>
      <w:r w:rsidR="007B0776">
        <w:rPr>
          <w:rStyle w:val="FootnoteReference"/>
          <w:rFonts w:ascii="Times New Roman" w:hAnsi="Times New Roman" w:cs="Times New Roman"/>
          <w:sz w:val="24"/>
          <w:szCs w:val="24"/>
        </w:rPr>
        <w:footnoteReference w:id="2"/>
      </w:r>
      <w:r w:rsidR="007B0776">
        <w:rPr>
          <w:rFonts w:ascii="Times New Roman" w:hAnsi="Times New Roman" w:cs="Times New Roman"/>
          <w:sz w:val="24"/>
          <w:szCs w:val="24"/>
        </w:rPr>
        <w:t xml:space="preserve">  </w:t>
      </w:r>
      <w:r w:rsidR="007B0776" w:rsidRPr="007B0776">
        <w:rPr>
          <w:rFonts w:ascii="Times New Roman" w:hAnsi="Times New Roman" w:cs="Times New Roman"/>
          <w:sz w:val="24"/>
          <w:szCs w:val="24"/>
        </w:rPr>
        <w:t xml:space="preserve"> Currently, investors are anticipating low inflation and are concerned about an economic downturn in the near future.</w:t>
      </w:r>
      <w:r w:rsidR="00906951">
        <w:rPr>
          <w:rStyle w:val="FootnoteReference"/>
          <w:rFonts w:ascii="Times New Roman" w:hAnsi="Times New Roman" w:cs="Times New Roman"/>
          <w:sz w:val="24"/>
          <w:szCs w:val="24"/>
        </w:rPr>
        <w:footnoteReference w:id="3"/>
      </w:r>
      <w:r w:rsidR="007B0776" w:rsidRPr="007B0776">
        <w:rPr>
          <w:rFonts w:ascii="Times New Roman" w:hAnsi="Times New Roman" w:cs="Times New Roman"/>
          <w:sz w:val="24"/>
          <w:szCs w:val="24"/>
        </w:rPr>
        <w:t xml:space="preserve"> </w:t>
      </w:r>
      <w:r w:rsidR="00BE0CF2">
        <w:rPr>
          <w:rFonts w:ascii="Times New Roman" w:hAnsi="Times New Roman" w:cs="Times New Roman"/>
          <w:sz w:val="24"/>
          <w:szCs w:val="24"/>
        </w:rPr>
        <w:t xml:space="preserve"> </w:t>
      </w:r>
      <w:r w:rsidR="00BE0CF2" w:rsidRPr="00BE0CF2">
        <w:rPr>
          <w:rFonts w:ascii="Times New Roman" w:hAnsi="Times New Roman" w:cs="Times New Roman"/>
          <w:sz w:val="24"/>
          <w:szCs w:val="24"/>
        </w:rPr>
        <w:t xml:space="preserve">Falling interest rates and economic uncertainty have driven down long-term bond rates and expected market returns on equity investment. </w:t>
      </w:r>
      <w:r w:rsidR="00BE0CF2">
        <w:rPr>
          <w:rFonts w:ascii="Times New Roman" w:hAnsi="Times New Roman" w:cs="Times New Roman"/>
          <w:sz w:val="24"/>
          <w:szCs w:val="24"/>
        </w:rPr>
        <w:t xml:space="preserve"> </w:t>
      </w:r>
      <w:r w:rsidR="00BE0CF2" w:rsidRPr="00BE0CF2">
        <w:rPr>
          <w:rFonts w:ascii="Times New Roman" w:hAnsi="Times New Roman" w:cs="Times New Roman"/>
          <w:sz w:val="24"/>
          <w:szCs w:val="24"/>
        </w:rPr>
        <w:t>In response, investors are seeking a safe haven in utility stocks.</w:t>
      </w:r>
      <w:r w:rsidR="00AF0E75">
        <w:rPr>
          <w:rStyle w:val="FootnoteReference"/>
          <w:rFonts w:ascii="Times New Roman" w:hAnsi="Times New Roman" w:cs="Times New Roman"/>
          <w:sz w:val="24"/>
          <w:szCs w:val="24"/>
        </w:rPr>
        <w:footnoteReference w:id="4"/>
      </w:r>
      <w:r w:rsidR="00BE0CF2" w:rsidRPr="00BE0CF2">
        <w:rPr>
          <w:rFonts w:ascii="Times New Roman" w:hAnsi="Times New Roman" w:cs="Times New Roman"/>
          <w:sz w:val="24"/>
          <w:szCs w:val="24"/>
        </w:rPr>
        <w:t xml:space="preserve"> </w:t>
      </w:r>
      <w:r w:rsidR="00AF0E75">
        <w:rPr>
          <w:rFonts w:ascii="Times New Roman" w:hAnsi="Times New Roman" w:cs="Times New Roman"/>
          <w:sz w:val="24"/>
          <w:szCs w:val="24"/>
        </w:rPr>
        <w:t xml:space="preserve"> </w:t>
      </w:r>
      <w:r w:rsidR="007B0776" w:rsidRPr="007B0776">
        <w:rPr>
          <w:rFonts w:ascii="Times New Roman" w:hAnsi="Times New Roman" w:cs="Times New Roman"/>
          <w:sz w:val="24"/>
          <w:szCs w:val="24"/>
        </w:rPr>
        <w:t xml:space="preserve">Such investor sentiment is the opposite of expectations during the 2013 rate case. </w:t>
      </w:r>
      <w:r w:rsidR="007B0776">
        <w:rPr>
          <w:rFonts w:ascii="Times New Roman" w:hAnsi="Times New Roman" w:cs="Times New Roman"/>
          <w:sz w:val="24"/>
          <w:szCs w:val="24"/>
        </w:rPr>
        <w:t xml:space="preserve"> </w:t>
      </w:r>
      <w:r w:rsidR="007B0776" w:rsidRPr="007B0776">
        <w:rPr>
          <w:rFonts w:ascii="Times New Roman" w:hAnsi="Times New Roman" w:cs="Times New Roman"/>
          <w:sz w:val="24"/>
          <w:szCs w:val="24"/>
        </w:rPr>
        <w:t>A</w:t>
      </w:r>
      <w:r w:rsidR="00AF0E75">
        <w:rPr>
          <w:rFonts w:ascii="Times New Roman" w:hAnsi="Times New Roman" w:cs="Times New Roman"/>
          <w:sz w:val="24"/>
          <w:szCs w:val="24"/>
        </w:rPr>
        <w:t>n</w:t>
      </w:r>
      <w:r w:rsidR="007B0776" w:rsidRPr="007B0776">
        <w:rPr>
          <w:rFonts w:ascii="Times New Roman" w:hAnsi="Times New Roman" w:cs="Times New Roman"/>
          <w:sz w:val="24"/>
          <w:szCs w:val="24"/>
        </w:rPr>
        <w:t xml:space="preserve"> ROE of 9.1 </w:t>
      </w:r>
      <w:r w:rsidR="00F43F0E">
        <w:rPr>
          <w:rFonts w:ascii="Times New Roman" w:hAnsi="Times New Roman" w:cs="Times New Roman"/>
          <w:sz w:val="24"/>
          <w:szCs w:val="24"/>
        </w:rPr>
        <w:t>percent is more in line with this year’s</w:t>
      </w:r>
      <w:r w:rsidR="007B0776" w:rsidRPr="007B0776">
        <w:rPr>
          <w:rFonts w:ascii="Times New Roman" w:hAnsi="Times New Roman" w:cs="Times New Roman"/>
          <w:sz w:val="24"/>
          <w:szCs w:val="24"/>
        </w:rPr>
        <w:t xml:space="preserve"> </w:t>
      </w:r>
      <w:r w:rsidR="002B175F">
        <w:rPr>
          <w:rFonts w:ascii="Times New Roman" w:hAnsi="Times New Roman" w:cs="Times New Roman"/>
          <w:sz w:val="24"/>
          <w:szCs w:val="24"/>
        </w:rPr>
        <w:t xml:space="preserve">national </w:t>
      </w:r>
      <w:r w:rsidR="007B0776" w:rsidRPr="007B0776">
        <w:rPr>
          <w:rFonts w:ascii="Times New Roman" w:hAnsi="Times New Roman" w:cs="Times New Roman"/>
          <w:sz w:val="24"/>
          <w:szCs w:val="24"/>
        </w:rPr>
        <w:t xml:space="preserve">average of allowed equity returns of 9.61 percent for vertically integrated electric utilities </w:t>
      </w:r>
      <w:r w:rsidR="002B175F">
        <w:rPr>
          <w:rFonts w:ascii="Times New Roman" w:hAnsi="Times New Roman" w:cs="Times New Roman"/>
          <w:sz w:val="24"/>
          <w:szCs w:val="24"/>
        </w:rPr>
        <w:t>through the third quarter</w:t>
      </w:r>
      <w:r w:rsidR="007B0776" w:rsidRPr="007B0776">
        <w:rPr>
          <w:rFonts w:ascii="Times New Roman" w:hAnsi="Times New Roman" w:cs="Times New Roman"/>
          <w:sz w:val="24"/>
          <w:szCs w:val="24"/>
        </w:rPr>
        <w:t xml:space="preserve"> of 2019.</w:t>
      </w:r>
      <w:r w:rsidR="00AF0E75">
        <w:rPr>
          <w:rStyle w:val="FootnoteReference"/>
          <w:rFonts w:ascii="Times New Roman" w:hAnsi="Times New Roman" w:cs="Times New Roman"/>
          <w:sz w:val="24"/>
          <w:szCs w:val="24"/>
        </w:rPr>
        <w:footnoteReference w:id="5"/>
      </w:r>
      <w:r w:rsidR="007B0776" w:rsidRPr="007B0776">
        <w:rPr>
          <w:rFonts w:ascii="Times New Roman" w:hAnsi="Times New Roman" w:cs="Times New Roman"/>
          <w:sz w:val="24"/>
          <w:szCs w:val="24"/>
        </w:rPr>
        <w:t xml:space="preserve"> </w:t>
      </w:r>
      <w:r w:rsidR="00AF0E75">
        <w:rPr>
          <w:rFonts w:ascii="Times New Roman" w:hAnsi="Times New Roman" w:cs="Times New Roman"/>
          <w:sz w:val="24"/>
          <w:szCs w:val="24"/>
        </w:rPr>
        <w:t xml:space="preserve"> </w:t>
      </w:r>
      <w:r w:rsidR="007B0776" w:rsidRPr="007B0776">
        <w:rPr>
          <w:rFonts w:ascii="Times New Roman" w:hAnsi="Times New Roman" w:cs="Times New Roman"/>
          <w:sz w:val="24"/>
          <w:szCs w:val="24"/>
        </w:rPr>
        <w:t xml:space="preserve">In contrast, Dr. Vander Weide’s requested </w:t>
      </w:r>
      <w:r w:rsidR="00AF0E75">
        <w:rPr>
          <w:rFonts w:ascii="Times New Roman" w:hAnsi="Times New Roman" w:cs="Times New Roman"/>
          <w:sz w:val="24"/>
          <w:szCs w:val="24"/>
        </w:rPr>
        <w:t>ROE</w:t>
      </w:r>
      <w:r w:rsidR="007B0776" w:rsidRPr="007B0776">
        <w:rPr>
          <w:rFonts w:ascii="Times New Roman" w:hAnsi="Times New Roman" w:cs="Times New Roman"/>
          <w:sz w:val="24"/>
          <w:szCs w:val="24"/>
        </w:rPr>
        <w:t xml:space="preserve"> of 10.9 percent is 129 basis points higher than this average. </w:t>
      </w:r>
      <w:r w:rsidR="00AF0E75">
        <w:rPr>
          <w:rFonts w:ascii="Times New Roman" w:hAnsi="Times New Roman" w:cs="Times New Roman"/>
          <w:sz w:val="24"/>
          <w:szCs w:val="24"/>
        </w:rPr>
        <w:t xml:space="preserve"> </w:t>
      </w:r>
      <w:r w:rsidR="009D3AD2">
        <w:rPr>
          <w:rFonts w:ascii="Times New Roman" w:hAnsi="Times New Roman" w:cs="Times New Roman"/>
          <w:sz w:val="24"/>
          <w:szCs w:val="24"/>
        </w:rPr>
        <w:t xml:space="preserve">While this Commission is not bound by what other states are approving, the national ROE average for vertically integrated </w:t>
      </w:r>
      <w:r w:rsidR="009D3AD2">
        <w:rPr>
          <w:rFonts w:ascii="Times New Roman" w:hAnsi="Times New Roman" w:cs="Times New Roman"/>
          <w:sz w:val="24"/>
          <w:szCs w:val="24"/>
        </w:rPr>
        <w:lastRenderedPageBreak/>
        <w:t>companies does serve as a resource for this Commission when it determines an appropriate ROE for GPC.</w:t>
      </w:r>
    </w:p>
    <w:p w:rsidR="005D7CFB" w:rsidRDefault="005D7CFB" w:rsidP="005D7CFB">
      <w:pPr>
        <w:pStyle w:val="ListParagraph"/>
        <w:numPr>
          <w:ilvl w:val="0"/>
          <w:numId w:val="3"/>
        </w:num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Proxy Group</w:t>
      </w:r>
    </w:p>
    <w:p w:rsidR="008E7463" w:rsidRDefault="00090F68" w:rsidP="00090F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25440">
        <w:rPr>
          <w:rFonts w:ascii="Times New Roman" w:hAnsi="Times New Roman" w:cs="Times New Roman"/>
          <w:sz w:val="24"/>
          <w:szCs w:val="24"/>
        </w:rPr>
        <w:t xml:space="preserve">In order to calculate an estimate of </w:t>
      </w:r>
      <w:r w:rsidR="002B175F">
        <w:rPr>
          <w:rFonts w:ascii="Times New Roman" w:hAnsi="Times New Roman" w:cs="Times New Roman"/>
          <w:sz w:val="24"/>
          <w:szCs w:val="24"/>
        </w:rPr>
        <w:t>GPC</w:t>
      </w:r>
      <w:r w:rsidR="00F25440">
        <w:rPr>
          <w:rFonts w:ascii="Times New Roman" w:hAnsi="Times New Roman" w:cs="Times New Roman"/>
          <w:sz w:val="24"/>
          <w:szCs w:val="24"/>
        </w:rPr>
        <w:t xml:space="preserve">’s cost of equity, a proxy group of regulated electric companies with comparable risks to </w:t>
      </w:r>
      <w:r w:rsidR="002B175F">
        <w:rPr>
          <w:rFonts w:ascii="Times New Roman" w:hAnsi="Times New Roman" w:cs="Times New Roman"/>
          <w:sz w:val="24"/>
          <w:szCs w:val="24"/>
        </w:rPr>
        <w:t>GPC</w:t>
      </w:r>
      <w:r w:rsidR="00F25440">
        <w:rPr>
          <w:rFonts w:ascii="Times New Roman" w:hAnsi="Times New Roman" w:cs="Times New Roman"/>
          <w:sz w:val="24"/>
          <w:szCs w:val="24"/>
        </w:rPr>
        <w:t xml:space="preserve"> is utilized.  Because</w:t>
      </w:r>
      <w:r w:rsidR="008E7463" w:rsidRPr="008E7463">
        <w:rPr>
          <w:rFonts w:ascii="Times New Roman" w:hAnsi="Times New Roman" w:cs="Times New Roman"/>
          <w:sz w:val="24"/>
          <w:szCs w:val="24"/>
        </w:rPr>
        <w:t xml:space="preserve"> </w:t>
      </w:r>
      <w:r w:rsidR="002B175F">
        <w:rPr>
          <w:rFonts w:ascii="Times New Roman" w:hAnsi="Times New Roman" w:cs="Times New Roman"/>
          <w:sz w:val="24"/>
          <w:szCs w:val="24"/>
        </w:rPr>
        <w:t>GPC</w:t>
      </w:r>
      <w:r w:rsidR="008E7463" w:rsidRPr="008E7463">
        <w:rPr>
          <w:rFonts w:ascii="Times New Roman" w:hAnsi="Times New Roman" w:cs="Times New Roman"/>
          <w:sz w:val="24"/>
          <w:szCs w:val="24"/>
        </w:rPr>
        <w:t xml:space="preserve"> is a wholly owned subsidiary of Southern Company and is not a publicly traded company, it is </w:t>
      </w:r>
      <w:r w:rsidR="00F25440">
        <w:rPr>
          <w:rFonts w:ascii="Times New Roman" w:hAnsi="Times New Roman" w:cs="Times New Roman"/>
          <w:sz w:val="24"/>
          <w:szCs w:val="24"/>
        </w:rPr>
        <w:t>im</w:t>
      </w:r>
      <w:r w:rsidR="008E7463" w:rsidRPr="008E7463">
        <w:rPr>
          <w:rFonts w:ascii="Times New Roman" w:hAnsi="Times New Roman" w:cs="Times New Roman"/>
          <w:sz w:val="24"/>
          <w:szCs w:val="24"/>
        </w:rPr>
        <w:t xml:space="preserve">possible to directly apply cost of equity models to the </w:t>
      </w:r>
      <w:r w:rsidR="002B175F">
        <w:rPr>
          <w:rFonts w:ascii="Times New Roman" w:hAnsi="Times New Roman" w:cs="Times New Roman"/>
          <w:sz w:val="24"/>
          <w:szCs w:val="24"/>
        </w:rPr>
        <w:t>GPC</w:t>
      </w:r>
      <w:r w:rsidR="008E7463" w:rsidRPr="008E7463">
        <w:rPr>
          <w:rFonts w:ascii="Times New Roman" w:hAnsi="Times New Roman" w:cs="Times New Roman"/>
          <w:sz w:val="24"/>
          <w:szCs w:val="24"/>
        </w:rPr>
        <w:t>.</w:t>
      </w:r>
      <w:r w:rsidR="00F25440">
        <w:rPr>
          <w:rStyle w:val="FootnoteReference"/>
          <w:rFonts w:ascii="Times New Roman" w:hAnsi="Times New Roman" w:cs="Times New Roman"/>
          <w:sz w:val="24"/>
          <w:szCs w:val="24"/>
        </w:rPr>
        <w:footnoteReference w:id="6"/>
      </w:r>
      <w:r w:rsidR="008E7463" w:rsidRPr="008E7463">
        <w:rPr>
          <w:rFonts w:ascii="Times New Roman" w:hAnsi="Times New Roman" w:cs="Times New Roman"/>
          <w:sz w:val="24"/>
          <w:szCs w:val="24"/>
        </w:rPr>
        <w:t xml:space="preserve"> </w:t>
      </w:r>
    </w:p>
    <w:p w:rsidR="00090F68" w:rsidRDefault="00090F68" w:rsidP="00090F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923F9">
        <w:rPr>
          <w:rFonts w:ascii="Times New Roman" w:hAnsi="Times New Roman" w:cs="Times New Roman"/>
          <w:sz w:val="24"/>
          <w:szCs w:val="24"/>
        </w:rPr>
        <w:t>In order to determine companies that comprise the proxy group, a list of criteria is often employed, such as wha</w:t>
      </w:r>
      <w:r w:rsidR="007B0776">
        <w:rPr>
          <w:rFonts w:ascii="Times New Roman" w:hAnsi="Times New Roman" w:cs="Times New Roman"/>
          <w:sz w:val="24"/>
          <w:szCs w:val="24"/>
        </w:rPr>
        <w:t>t GPC witness Dr. Vander Weide utilized</w:t>
      </w:r>
      <w:r w:rsidR="003923F9">
        <w:rPr>
          <w:rFonts w:ascii="Times New Roman" w:hAnsi="Times New Roman" w:cs="Times New Roman"/>
          <w:sz w:val="24"/>
          <w:szCs w:val="24"/>
        </w:rPr>
        <w:t xml:space="preserve"> in this matter.  In determining his proxy group, Dr. Vander Weide set forth five criteria that a company needed to meet in order to be considered in his proxy group.</w:t>
      </w:r>
      <w:r w:rsidR="003923F9">
        <w:rPr>
          <w:rStyle w:val="FootnoteReference"/>
          <w:rFonts w:ascii="Times New Roman" w:hAnsi="Times New Roman" w:cs="Times New Roman"/>
          <w:sz w:val="24"/>
          <w:szCs w:val="24"/>
        </w:rPr>
        <w:footnoteReference w:id="7"/>
      </w:r>
      <w:r w:rsidR="003923F9">
        <w:rPr>
          <w:rFonts w:ascii="Times New Roman" w:hAnsi="Times New Roman" w:cs="Times New Roman"/>
          <w:sz w:val="24"/>
          <w:szCs w:val="24"/>
        </w:rPr>
        <w:t xml:space="preserve">  </w:t>
      </w:r>
      <w:r w:rsidR="00D619E1">
        <w:rPr>
          <w:rFonts w:ascii="Times New Roman" w:hAnsi="Times New Roman" w:cs="Times New Roman"/>
          <w:sz w:val="24"/>
          <w:szCs w:val="24"/>
        </w:rPr>
        <w:t xml:space="preserve">However, as DOD/FEA witness Maureen Reno </w:t>
      </w:r>
      <w:r w:rsidR="002B175F">
        <w:rPr>
          <w:rFonts w:ascii="Times New Roman" w:hAnsi="Times New Roman" w:cs="Times New Roman"/>
          <w:sz w:val="24"/>
          <w:szCs w:val="24"/>
        </w:rPr>
        <w:t>testified</w:t>
      </w:r>
      <w:r w:rsidR="00D619E1">
        <w:rPr>
          <w:rFonts w:ascii="Times New Roman" w:hAnsi="Times New Roman" w:cs="Times New Roman"/>
          <w:sz w:val="24"/>
          <w:szCs w:val="24"/>
        </w:rPr>
        <w:t>, two companies that Dr. Vander Weide included in his proxy group did not meet the criteria that Dr. Vander Weide had selected.</w:t>
      </w:r>
      <w:r w:rsidR="00B440D4">
        <w:rPr>
          <w:rStyle w:val="FootnoteReference"/>
          <w:rFonts w:ascii="Times New Roman" w:hAnsi="Times New Roman" w:cs="Times New Roman"/>
          <w:sz w:val="24"/>
          <w:szCs w:val="24"/>
        </w:rPr>
        <w:footnoteReference w:id="8"/>
      </w:r>
      <w:r w:rsidR="00D619E1">
        <w:rPr>
          <w:rFonts w:ascii="Times New Roman" w:hAnsi="Times New Roman" w:cs="Times New Roman"/>
          <w:sz w:val="24"/>
          <w:szCs w:val="24"/>
        </w:rPr>
        <w:t xml:space="preserve">  </w:t>
      </w:r>
      <w:r w:rsidR="00D300A4">
        <w:rPr>
          <w:rFonts w:ascii="Times New Roman" w:hAnsi="Times New Roman" w:cs="Times New Roman"/>
          <w:sz w:val="24"/>
          <w:szCs w:val="24"/>
        </w:rPr>
        <w:t xml:space="preserve">Specifically, </w:t>
      </w:r>
      <w:r w:rsidR="000A2A37">
        <w:rPr>
          <w:rFonts w:ascii="Times New Roman" w:hAnsi="Times New Roman" w:cs="Times New Roman"/>
          <w:sz w:val="24"/>
          <w:szCs w:val="24"/>
        </w:rPr>
        <w:t>Dr. Vander Weide incl</w:t>
      </w:r>
      <w:r w:rsidR="00B77106">
        <w:rPr>
          <w:rFonts w:ascii="Times New Roman" w:hAnsi="Times New Roman" w:cs="Times New Roman"/>
          <w:sz w:val="24"/>
          <w:szCs w:val="24"/>
        </w:rPr>
        <w:t>udes El Paso Electric Company and Evergy, Inc.</w:t>
      </w:r>
      <w:r w:rsidR="000A2A37">
        <w:rPr>
          <w:rFonts w:ascii="Times New Roman" w:hAnsi="Times New Roman" w:cs="Times New Roman"/>
          <w:sz w:val="24"/>
          <w:szCs w:val="24"/>
        </w:rPr>
        <w:t>, which</w:t>
      </w:r>
      <w:r w:rsidR="007B0776">
        <w:rPr>
          <w:rFonts w:ascii="Times New Roman" w:hAnsi="Times New Roman" w:cs="Times New Roman"/>
          <w:sz w:val="24"/>
          <w:szCs w:val="24"/>
        </w:rPr>
        <w:t xml:space="preserve"> fail</w:t>
      </w:r>
      <w:r w:rsidR="00B77106">
        <w:rPr>
          <w:rFonts w:ascii="Times New Roman" w:hAnsi="Times New Roman" w:cs="Times New Roman"/>
          <w:sz w:val="24"/>
          <w:szCs w:val="24"/>
        </w:rPr>
        <w:t xml:space="preserve"> to meet his own criteria.  Dr. Vander Weide agrees that El Paso Electric did not meet</w:t>
      </w:r>
      <w:r w:rsidR="008E1550">
        <w:rPr>
          <w:rFonts w:ascii="Times New Roman" w:hAnsi="Times New Roman" w:cs="Times New Roman"/>
          <w:sz w:val="24"/>
          <w:szCs w:val="24"/>
        </w:rPr>
        <w:t xml:space="preserve"> his criteria on the basis that it is</w:t>
      </w:r>
      <w:r w:rsidR="00B77106">
        <w:rPr>
          <w:rFonts w:ascii="Times New Roman" w:hAnsi="Times New Roman" w:cs="Times New Roman"/>
          <w:sz w:val="24"/>
          <w:szCs w:val="24"/>
        </w:rPr>
        <w:t xml:space="preserve"> “not the subject of a merger offer that has not been completed.”</w:t>
      </w:r>
      <w:r w:rsidR="00100620">
        <w:rPr>
          <w:rStyle w:val="FootnoteReference"/>
          <w:rFonts w:ascii="Times New Roman" w:hAnsi="Times New Roman" w:cs="Times New Roman"/>
          <w:sz w:val="24"/>
          <w:szCs w:val="24"/>
        </w:rPr>
        <w:footnoteReference w:id="9"/>
      </w:r>
      <w:r w:rsidR="00B77106">
        <w:rPr>
          <w:rFonts w:ascii="Times New Roman" w:hAnsi="Times New Roman" w:cs="Times New Roman"/>
          <w:sz w:val="24"/>
          <w:szCs w:val="24"/>
        </w:rPr>
        <w:t xml:space="preserve">  </w:t>
      </w:r>
      <w:r w:rsidR="008E1550">
        <w:rPr>
          <w:rFonts w:ascii="Times New Roman" w:hAnsi="Times New Roman" w:cs="Times New Roman"/>
          <w:sz w:val="24"/>
          <w:szCs w:val="24"/>
        </w:rPr>
        <w:t xml:space="preserve">Dr. Vander Weide agrees that </w:t>
      </w:r>
      <w:r>
        <w:rPr>
          <w:rFonts w:ascii="Times New Roman" w:hAnsi="Times New Roman" w:cs="Times New Roman"/>
          <w:sz w:val="24"/>
          <w:szCs w:val="24"/>
        </w:rPr>
        <w:t xml:space="preserve">DOD/FEA witness Maureen Reno </w:t>
      </w:r>
      <w:r w:rsidR="008E1550">
        <w:rPr>
          <w:rFonts w:ascii="Times New Roman" w:hAnsi="Times New Roman" w:cs="Times New Roman"/>
          <w:sz w:val="24"/>
          <w:szCs w:val="24"/>
        </w:rPr>
        <w:t>should have excluded EL Paso Electric.</w:t>
      </w:r>
      <w:r w:rsidR="00100620">
        <w:rPr>
          <w:rStyle w:val="FootnoteReference"/>
          <w:rFonts w:ascii="Times New Roman" w:hAnsi="Times New Roman" w:cs="Times New Roman"/>
          <w:sz w:val="24"/>
          <w:szCs w:val="24"/>
        </w:rPr>
        <w:footnoteReference w:id="10"/>
      </w:r>
      <w:r w:rsidR="008E1550">
        <w:rPr>
          <w:rFonts w:ascii="Times New Roman" w:hAnsi="Times New Roman" w:cs="Times New Roman"/>
          <w:sz w:val="24"/>
          <w:szCs w:val="24"/>
        </w:rPr>
        <w:t xml:space="preserve">  Dr. Vander Weide states that he included </w:t>
      </w:r>
      <w:r w:rsidR="002B175F">
        <w:rPr>
          <w:rFonts w:ascii="Times New Roman" w:hAnsi="Times New Roman" w:cs="Times New Roman"/>
          <w:sz w:val="24"/>
          <w:szCs w:val="24"/>
        </w:rPr>
        <w:t xml:space="preserve">El Paso Electric in his testimony because it was drafted </w:t>
      </w:r>
      <w:r w:rsidR="008E1550">
        <w:rPr>
          <w:rFonts w:ascii="Times New Roman" w:hAnsi="Times New Roman" w:cs="Times New Roman"/>
          <w:sz w:val="24"/>
          <w:szCs w:val="24"/>
        </w:rPr>
        <w:t>before the merger.  However, at the time of filing Dr. Vander Weide’s testimony on June 28, 2019, El Paso Electric was the subject of a merger, and Dr. Vander Weide did not amend his testimony</w:t>
      </w:r>
      <w:r w:rsidR="007B0776">
        <w:rPr>
          <w:rFonts w:ascii="Times New Roman" w:hAnsi="Times New Roman" w:cs="Times New Roman"/>
          <w:sz w:val="24"/>
          <w:szCs w:val="24"/>
        </w:rPr>
        <w:t xml:space="preserve"> to exclude El Paso Electric</w:t>
      </w:r>
      <w:r w:rsidR="008E1550">
        <w:rPr>
          <w:rFonts w:ascii="Times New Roman" w:hAnsi="Times New Roman" w:cs="Times New Roman"/>
          <w:sz w:val="24"/>
          <w:szCs w:val="24"/>
        </w:rPr>
        <w:t xml:space="preserve">.  </w:t>
      </w:r>
      <w:r w:rsidR="00D72FB8">
        <w:rPr>
          <w:rFonts w:ascii="Times New Roman" w:hAnsi="Times New Roman" w:cs="Times New Roman"/>
          <w:sz w:val="24"/>
          <w:szCs w:val="24"/>
        </w:rPr>
        <w:t xml:space="preserve">Additionally, </w:t>
      </w:r>
      <w:r w:rsidR="00D72FB8">
        <w:rPr>
          <w:rFonts w:ascii="Times New Roman" w:hAnsi="Times New Roman" w:cs="Times New Roman"/>
          <w:sz w:val="24"/>
          <w:szCs w:val="24"/>
        </w:rPr>
        <w:lastRenderedPageBreak/>
        <w:t>Evergy should have been excluded from Dr. Vander Weide’s proxy group because it is a newly formed company that was established in June 2018</w:t>
      </w:r>
      <w:r w:rsidR="00D72FB8">
        <w:rPr>
          <w:rStyle w:val="FootnoteReference"/>
          <w:rFonts w:ascii="Times New Roman" w:hAnsi="Times New Roman" w:cs="Times New Roman"/>
          <w:sz w:val="24"/>
          <w:szCs w:val="24"/>
        </w:rPr>
        <w:footnoteReference w:id="11"/>
      </w:r>
      <w:r w:rsidR="00D72FB8">
        <w:rPr>
          <w:rFonts w:ascii="Times New Roman" w:hAnsi="Times New Roman" w:cs="Times New Roman"/>
          <w:sz w:val="24"/>
          <w:szCs w:val="24"/>
        </w:rPr>
        <w:t xml:space="preserve"> </w:t>
      </w:r>
      <w:r w:rsidR="009956A5">
        <w:rPr>
          <w:rFonts w:ascii="Times New Roman" w:hAnsi="Times New Roman" w:cs="Times New Roman"/>
          <w:sz w:val="24"/>
          <w:szCs w:val="24"/>
        </w:rPr>
        <w:t>and therefore it was impossible for it to meet two of Dr. Vander Weide’s other criteria that it “paid dividends during every quarter of the last two years” and “did not decrease dividen</w:t>
      </w:r>
      <w:r w:rsidR="0057221A">
        <w:rPr>
          <w:rFonts w:ascii="Times New Roman" w:hAnsi="Times New Roman" w:cs="Times New Roman"/>
          <w:sz w:val="24"/>
          <w:szCs w:val="24"/>
        </w:rPr>
        <w:t>d</w:t>
      </w:r>
      <w:r w:rsidR="009956A5">
        <w:rPr>
          <w:rFonts w:ascii="Times New Roman" w:hAnsi="Times New Roman" w:cs="Times New Roman"/>
          <w:sz w:val="24"/>
          <w:szCs w:val="24"/>
        </w:rPr>
        <w:t xml:space="preserve">s during any quarter of the last two years.”  </w:t>
      </w:r>
    </w:p>
    <w:p w:rsidR="005D7CFB" w:rsidRDefault="005D7CFB" w:rsidP="005D7CFB">
      <w:pPr>
        <w:pStyle w:val="ListParagraph"/>
        <w:numPr>
          <w:ilvl w:val="0"/>
          <w:numId w:val="3"/>
        </w:num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Methodology</w:t>
      </w:r>
    </w:p>
    <w:p w:rsidR="006B5F17" w:rsidRDefault="00606DC8" w:rsidP="00606DC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7221A">
        <w:rPr>
          <w:rFonts w:ascii="Times New Roman" w:hAnsi="Times New Roman" w:cs="Times New Roman"/>
          <w:sz w:val="24"/>
          <w:szCs w:val="24"/>
        </w:rPr>
        <w:t>In determining her recommended ROE</w:t>
      </w:r>
      <w:r>
        <w:rPr>
          <w:rFonts w:ascii="Times New Roman" w:hAnsi="Times New Roman" w:cs="Times New Roman"/>
          <w:sz w:val="24"/>
          <w:szCs w:val="24"/>
        </w:rPr>
        <w:t xml:space="preserve"> of 9.1 percent</w:t>
      </w:r>
      <w:r w:rsidR="0057221A">
        <w:rPr>
          <w:rFonts w:ascii="Times New Roman" w:hAnsi="Times New Roman" w:cs="Times New Roman"/>
          <w:sz w:val="24"/>
          <w:szCs w:val="24"/>
        </w:rPr>
        <w:t xml:space="preserve">, DOD/FEA witness, Ms. Reno placed </w:t>
      </w:r>
      <w:r w:rsidR="0057221A" w:rsidRPr="0057221A">
        <w:rPr>
          <w:rFonts w:ascii="Times New Roman" w:hAnsi="Times New Roman" w:cs="Times New Roman"/>
          <w:sz w:val="24"/>
          <w:szCs w:val="24"/>
        </w:rPr>
        <w:t xml:space="preserve">more emphasis on </w:t>
      </w:r>
      <w:r w:rsidR="0057221A">
        <w:rPr>
          <w:rFonts w:ascii="Times New Roman" w:hAnsi="Times New Roman" w:cs="Times New Roman"/>
          <w:sz w:val="24"/>
          <w:szCs w:val="24"/>
        </w:rPr>
        <w:t>her</w:t>
      </w:r>
      <w:r w:rsidR="0057221A" w:rsidRPr="0057221A">
        <w:rPr>
          <w:rFonts w:ascii="Times New Roman" w:hAnsi="Times New Roman" w:cs="Times New Roman"/>
          <w:sz w:val="24"/>
          <w:szCs w:val="24"/>
        </w:rPr>
        <w:t xml:space="preserve"> DC</w:t>
      </w:r>
      <w:r w:rsidR="0057221A">
        <w:rPr>
          <w:rFonts w:ascii="Times New Roman" w:hAnsi="Times New Roman" w:cs="Times New Roman"/>
          <w:sz w:val="24"/>
          <w:szCs w:val="24"/>
        </w:rPr>
        <w:t xml:space="preserve">F-derived results because it is </w:t>
      </w:r>
      <w:r w:rsidR="0057221A" w:rsidRPr="0057221A">
        <w:rPr>
          <w:rFonts w:ascii="Times New Roman" w:hAnsi="Times New Roman" w:cs="Times New Roman"/>
          <w:sz w:val="24"/>
          <w:szCs w:val="24"/>
        </w:rPr>
        <w:t>widely used by both the finance community and public utility commissions and yields more reliable results.</w:t>
      </w:r>
      <w:r>
        <w:rPr>
          <w:rStyle w:val="FootnoteReference"/>
          <w:rFonts w:ascii="Times New Roman" w:hAnsi="Times New Roman" w:cs="Times New Roman"/>
          <w:sz w:val="24"/>
          <w:szCs w:val="24"/>
        </w:rPr>
        <w:footnoteReference w:id="12"/>
      </w:r>
      <w:r w:rsidR="0057221A" w:rsidRPr="0057221A">
        <w:rPr>
          <w:rFonts w:ascii="Times New Roman" w:hAnsi="Times New Roman" w:cs="Times New Roman"/>
          <w:sz w:val="24"/>
          <w:szCs w:val="24"/>
        </w:rPr>
        <w:t xml:space="preserve"> </w:t>
      </w:r>
      <w:r w:rsidR="0057221A">
        <w:rPr>
          <w:rFonts w:ascii="Times New Roman" w:hAnsi="Times New Roman" w:cs="Times New Roman"/>
          <w:sz w:val="24"/>
          <w:szCs w:val="24"/>
        </w:rPr>
        <w:t xml:space="preserve"> In fact, all the witnesses in this proceeding utilized the DCF method in determining a recommended ROE.  The DCF method is favored because it</w:t>
      </w:r>
      <w:r w:rsidR="0057221A" w:rsidRPr="0057221A">
        <w:rPr>
          <w:rFonts w:ascii="Times New Roman" w:hAnsi="Times New Roman" w:cs="Times New Roman"/>
          <w:sz w:val="24"/>
          <w:szCs w:val="24"/>
        </w:rPr>
        <w:t xml:space="preserve"> is a forward-looking model that directly incorporates investors’ expectations of company dividend income through market pricing signals, particularly in the case of utility stocks where stock valuations are telling a different story than the general market.</w:t>
      </w:r>
      <w:r w:rsidR="0057221A">
        <w:rPr>
          <w:rStyle w:val="FootnoteReference"/>
          <w:rFonts w:ascii="Times New Roman" w:hAnsi="Times New Roman" w:cs="Times New Roman"/>
          <w:sz w:val="24"/>
          <w:szCs w:val="24"/>
        </w:rPr>
        <w:footnoteReference w:id="13"/>
      </w:r>
      <w:r w:rsidR="0012537A">
        <w:rPr>
          <w:rFonts w:ascii="Times New Roman" w:hAnsi="Times New Roman" w:cs="Times New Roman"/>
          <w:sz w:val="24"/>
          <w:szCs w:val="24"/>
        </w:rPr>
        <w:t xml:space="preserve">  GPC witness Dr. Vander Weide does not adjust Ms</w:t>
      </w:r>
      <w:r w:rsidR="002862A9">
        <w:rPr>
          <w:rFonts w:ascii="Times New Roman" w:hAnsi="Times New Roman" w:cs="Times New Roman"/>
          <w:sz w:val="24"/>
          <w:szCs w:val="24"/>
        </w:rPr>
        <w:t>. Reno’s DCF-derived ROE of 9.1 percent</w:t>
      </w:r>
      <w:r w:rsidR="0012537A">
        <w:rPr>
          <w:rFonts w:ascii="Times New Roman" w:hAnsi="Times New Roman" w:cs="Times New Roman"/>
          <w:sz w:val="24"/>
          <w:szCs w:val="24"/>
        </w:rPr>
        <w:t xml:space="preserve"> despite taking </w:t>
      </w:r>
      <w:r w:rsidR="00F55D9E">
        <w:rPr>
          <w:rFonts w:ascii="Times New Roman" w:hAnsi="Times New Roman" w:cs="Times New Roman"/>
          <w:sz w:val="24"/>
          <w:szCs w:val="24"/>
        </w:rPr>
        <w:t>issue with her using annual dividends instead of quarterly dividends.</w:t>
      </w:r>
      <w:r w:rsidR="00F55D9E">
        <w:rPr>
          <w:rStyle w:val="FootnoteReference"/>
          <w:rFonts w:ascii="Times New Roman" w:hAnsi="Times New Roman" w:cs="Times New Roman"/>
          <w:sz w:val="24"/>
          <w:szCs w:val="24"/>
        </w:rPr>
        <w:footnoteReference w:id="14"/>
      </w:r>
      <w:r w:rsidR="000D64EF">
        <w:rPr>
          <w:rFonts w:ascii="Times New Roman" w:hAnsi="Times New Roman" w:cs="Times New Roman"/>
          <w:sz w:val="24"/>
          <w:szCs w:val="24"/>
        </w:rPr>
        <w:t xml:space="preserve">  </w:t>
      </w:r>
      <w:r w:rsidR="006B5F17">
        <w:rPr>
          <w:rFonts w:ascii="Times New Roman" w:hAnsi="Times New Roman" w:cs="Times New Roman"/>
          <w:sz w:val="24"/>
          <w:szCs w:val="24"/>
        </w:rPr>
        <w:t>Even though Ms. Reno placed more emphasis on her DCF-derived results, the avera</w:t>
      </w:r>
      <w:r w:rsidR="002862A9">
        <w:rPr>
          <w:rFonts w:ascii="Times New Roman" w:hAnsi="Times New Roman" w:cs="Times New Roman"/>
          <w:sz w:val="24"/>
          <w:szCs w:val="24"/>
        </w:rPr>
        <w:t>ge ROE of all her models is 9.1 percent</w:t>
      </w:r>
      <w:r w:rsidR="006B5F17">
        <w:rPr>
          <w:rFonts w:ascii="Times New Roman" w:hAnsi="Times New Roman" w:cs="Times New Roman"/>
          <w:sz w:val="24"/>
          <w:szCs w:val="24"/>
        </w:rPr>
        <w:t>.</w:t>
      </w:r>
      <w:r w:rsidR="006B5F17">
        <w:rPr>
          <w:rStyle w:val="FootnoteReference"/>
          <w:rFonts w:ascii="Times New Roman" w:hAnsi="Times New Roman" w:cs="Times New Roman"/>
          <w:sz w:val="24"/>
          <w:szCs w:val="24"/>
        </w:rPr>
        <w:footnoteReference w:id="15"/>
      </w:r>
      <w:r w:rsidR="000E3FB2">
        <w:rPr>
          <w:rFonts w:ascii="Times New Roman" w:hAnsi="Times New Roman" w:cs="Times New Roman"/>
          <w:sz w:val="24"/>
          <w:szCs w:val="24"/>
        </w:rPr>
        <w:t xml:space="preserve">  </w:t>
      </w:r>
      <w:r w:rsidR="00C33084">
        <w:rPr>
          <w:rFonts w:ascii="Times New Roman" w:hAnsi="Times New Roman" w:cs="Times New Roman"/>
          <w:sz w:val="24"/>
          <w:szCs w:val="24"/>
        </w:rPr>
        <w:t>Her average ROE</w:t>
      </w:r>
      <w:r w:rsidR="000E3FB2">
        <w:rPr>
          <w:rFonts w:ascii="Times New Roman" w:hAnsi="Times New Roman" w:cs="Times New Roman"/>
          <w:sz w:val="24"/>
          <w:szCs w:val="24"/>
        </w:rPr>
        <w:t>, therefore</w:t>
      </w:r>
      <w:r w:rsidR="00C3754E">
        <w:rPr>
          <w:rFonts w:ascii="Times New Roman" w:hAnsi="Times New Roman" w:cs="Times New Roman"/>
          <w:sz w:val="24"/>
          <w:szCs w:val="24"/>
        </w:rPr>
        <w:t>,</w:t>
      </w:r>
      <w:r w:rsidR="000E3FB2">
        <w:rPr>
          <w:rFonts w:ascii="Times New Roman" w:hAnsi="Times New Roman" w:cs="Times New Roman"/>
          <w:sz w:val="24"/>
          <w:szCs w:val="24"/>
        </w:rPr>
        <w:t xml:space="preserve"> further supports her DCF-derived recommendation.</w:t>
      </w:r>
    </w:p>
    <w:p w:rsidR="000D64EF" w:rsidRDefault="000D64EF" w:rsidP="000255A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62A9">
        <w:rPr>
          <w:rFonts w:ascii="Times New Roman" w:hAnsi="Times New Roman" w:cs="Times New Roman"/>
          <w:sz w:val="24"/>
          <w:szCs w:val="24"/>
        </w:rPr>
        <w:t>If the Commission were to consider other methodologies, Ms. Reno on behalf of DOD-FEA, as well as GPC witness and Staff witness</w:t>
      </w:r>
      <w:r>
        <w:rPr>
          <w:rFonts w:ascii="Times New Roman" w:hAnsi="Times New Roman" w:cs="Times New Roman"/>
          <w:sz w:val="24"/>
          <w:szCs w:val="24"/>
        </w:rPr>
        <w:t xml:space="preserve"> all employ the Capital Asset Pricing Model (CAPM)</w:t>
      </w:r>
      <w:r w:rsidR="002862A9">
        <w:rPr>
          <w:rFonts w:ascii="Times New Roman" w:hAnsi="Times New Roman" w:cs="Times New Roman"/>
          <w:sz w:val="24"/>
          <w:szCs w:val="24"/>
        </w:rPr>
        <w:t xml:space="preserve"> in their analyses</w:t>
      </w:r>
      <w:r>
        <w:rPr>
          <w:rFonts w:ascii="Times New Roman" w:hAnsi="Times New Roman" w:cs="Times New Roman"/>
          <w:sz w:val="24"/>
          <w:szCs w:val="24"/>
        </w:rPr>
        <w:t xml:space="preserve">.  Dr. Vander Weide’s CAPM results are significantly higher than both </w:t>
      </w:r>
      <w:r>
        <w:rPr>
          <w:rFonts w:ascii="Times New Roman" w:hAnsi="Times New Roman" w:cs="Times New Roman"/>
          <w:sz w:val="24"/>
          <w:szCs w:val="24"/>
        </w:rPr>
        <w:lastRenderedPageBreak/>
        <w:t>DOD/FEA’s and Staff’s witnesses because of Dr. Vander Weide’s erron</w:t>
      </w:r>
      <w:r w:rsidR="004C79CF">
        <w:rPr>
          <w:rFonts w:ascii="Times New Roman" w:hAnsi="Times New Roman" w:cs="Times New Roman"/>
          <w:sz w:val="24"/>
          <w:szCs w:val="24"/>
        </w:rPr>
        <w:t>eous T</w:t>
      </w:r>
      <w:r>
        <w:rPr>
          <w:rFonts w:ascii="Times New Roman" w:hAnsi="Times New Roman" w:cs="Times New Roman"/>
          <w:sz w:val="24"/>
          <w:szCs w:val="24"/>
        </w:rPr>
        <w:t xml:space="preserve">reasury bond and beta inputs.  </w:t>
      </w:r>
      <w:r w:rsidR="002862A9">
        <w:rPr>
          <w:rFonts w:ascii="Times New Roman" w:hAnsi="Times New Roman" w:cs="Times New Roman"/>
          <w:sz w:val="24"/>
          <w:szCs w:val="24"/>
        </w:rPr>
        <w:t>Ms. Reno, i</w:t>
      </w:r>
      <w:r w:rsidR="004C79CF">
        <w:rPr>
          <w:rFonts w:ascii="Times New Roman" w:hAnsi="Times New Roman" w:cs="Times New Roman"/>
          <w:sz w:val="24"/>
          <w:szCs w:val="24"/>
        </w:rPr>
        <w:t>n determining her Treasury bond input, utilizes 2.42 percent, which is the average yield from the 90-day period ended August 31, 2019.  This yield reflects current market levels.</w:t>
      </w:r>
      <w:r w:rsidR="004C79CF">
        <w:rPr>
          <w:rStyle w:val="FootnoteReference"/>
          <w:rFonts w:ascii="Times New Roman" w:hAnsi="Times New Roman" w:cs="Times New Roman"/>
          <w:sz w:val="24"/>
          <w:szCs w:val="24"/>
        </w:rPr>
        <w:footnoteReference w:id="16"/>
      </w:r>
      <w:r w:rsidR="004C79CF">
        <w:rPr>
          <w:rFonts w:ascii="Times New Roman" w:hAnsi="Times New Roman" w:cs="Times New Roman"/>
          <w:sz w:val="24"/>
          <w:szCs w:val="24"/>
        </w:rPr>
        <w:t xml:space="preserve">  In contrast, Dr. Vander Weide uses a high forecasted yield on the 20-year Treasury bond of 3.8 percent.  As Dr. Vander Weide admits, neither Staff</w:t>
      </w:r>
      <w:r w:rsidR="00C3754E">
        <w:rPr>
          <w:rFonts w:ascii="Times New Roman" w:hAnsi="Times New Roman" w:cs="Times New Roman"/>
          <w:sz w:val="24"/>
          <w:szCs w:val="24"/>
        </w:rPr>
        <w:t>’s</w:t>
      </w:r>
      <w:r w:rsidR="004C79CF">
        <w:rPr>
          <w:rFonts w:ascii="Times New Roman" w:hAnsi="Times New Roman" w:cs="Times New Roman"/>
          <w:sz w:val="24"/>
          <w:szCs w:val="24"/>
        </w:rPr>
        <w:t xml:space="preserve"> witness nor Ms. Reno used the forecasted yield on 20-year Treasury bonds.</w:t>
      </w:r>
      <w:r w:rsidR="001074DE">
        <w:rPr>
          <w:rStyle w:val="FootnoteReference"/>
          <w:rFonts w:ascii="Times New Roman" w:hAnsi="Times New Roman" w:cs="Times New Roman"/>
          <w:sz w:val="24"/>
          <w:szCs w:val="24"/>
        </w:rPr>
        <w:footnoteReference w:id="17"/>
      </w:r>
      <w:r w:rsidR="00CE67A5">
        <w:rPr>
          <w:rFonts w:ascii="Times New Roman" w:hAnsi="Times New Roman" w:cs="Times New Roman"/>
          <w:sz w:val="24"/>
          <w:szCs w:val="24"/>
        </w:rPr>
        <w:t xml:space="preserve">  Dr. Vander Weide further concedes</w:t>
      </w:r>
      <w:r w:rsidR="001074DE">
        <w:rPr>
          <w:rFonts w:ascii="Times New Roman" w:hAnsi="Times New Roman" w:cs="Times New Roman"/>
          <w:sz w:val="24"/>
          <w:szCs w:val="24"/>
        </w:rPr>
        <w:t xml:space="preserve"> that the current yield on 20-year Treasury bonds is around 2.08 percent.</w:t>
      </w:r>
      <w:r w:rsidR="001074DE">
        <w:rPr>
          <w:rStyle w:val="FootnoteReference"/>
          <w:rFonts w:ascii="Times New Roman" w:hAnsi="Times New Roman" w:cs="Times New Roman"/>
          <w:sz w:val="24"/>
          <w:szCs w:val="24"/>
        </w:rPr>
        <w:footnoteReference w:id="18"/>
      </w:r>
      <w:r w:rsidR="004C79CF">
        <w:rPr>
          <w:rFonts w:ascii="Times New Roman" w:hAnsi="Times New Roman" w:cs="Times New Roman"/>
          <w:sz w:val="24"/>
          <w:szCs w:val="24"/>
        </w:rPr>
        <w:t xml:space="preserve"> </w:t>
      </w:r>
      <w:r w:rsidR="001074DE">
        <w:rPr>
          <w:rFonts w:ascii="Times New Roman" w:hAnsi="Times New Roman" w:cs="Times New Roman"/>
          <w:sz w:val="24"/>
          <w:szCs w:val="24"/>
        </w:rPr>
        <w:t xml:space="preserve">It is unreasonable for Dr. Vander Weide to utilize </w:t>
      </w:r>
      <w:r w:rsidR="00673E86">
        <w:rPr>
          <w:rFonts w:ascii="Times New Roman" w:hAnsi="Times New Roman" w:cs="Times New Roman"/>
          <w:sz w:val="24"/>
          <w:szCs w:val="24"/>
        </w:rPr>
        <w:t>the forecasted yield on 20-year Treasury bonds because as Staff witness</w:t>
      </w:r>
      <w:r w:rsidR="00C3754E">
        <w:rPr>
          <w:rFonts w:ascii="Times New Roman" w:hAnsi="Times New Roman" w:cs="Times New Roman"/>
          <w:sz w:val="24"/>
          <w:szCs w:val="24"/>
        </w:rPr>
        <w:t>,</w:t>
      </w:r>
      <w:r w:rsidR="00673E86">
        <w:rPr>
          <w:rFonts w:ascii="Times New Roman" w:hAnsi="Times New Roman" w:cs="Times New Roman"/>
          <w:sz w:val="24"/>
          <w:szCs w:val="24"/>
        </w:rPr>
        <w:t xml:space="preserve"> Mr. Gorman </w:t>
      </w:r>
      <w:r w:rsidR="00514415">
        <w:rPr>
          <w:rFonts w:ascii="Times New Roman" w:hAnsi="Times New Roman" w:cs="Times New Roman"/>
          <w:sz w:val="24"/>
          <w:szCs w:val="24"/>
        </w:rPr>
        <w:t>remarks</w:t>
      </w:r>
      <w:r w:rsidR="00673E86">
        <w:rPr>
          <w:rFonts w:ascii="Times New Roman" w:hAnsi="Times New Roman" w:cs="Times New Roman"/>
          <w:sz w:val="24"/>
          <w:szCs w:val="24"/>
        </w:rPr>
        <w:t xml:space="preserve">, Dr. Vander Weide “has </w:t>
      </w:r>
      <w:r w:rsidR="00673E86" w:rsidRPr="00673E86">
        <w:rPr>
          <w:rFonts w:ascii="Times New Roman" w:hAnsi="Times New Roman" w:cs="Times New Roman"/>
          <w:sz w:val="24"/>
          <w:szCs w:val="24"/>
        </w:rPr>
        <w:t>not shown that his projected Treasury bond yields reflect current capital market participants’ outlooks, and therefore are not a general assessment of independent market analysts’ assessment of GPC’s market cost of capital.</w:t>
      </w:r>
      <w:r w:rsidR="00673E86">
        <w:rPr>
          <w:rFonts w:ascii="Times New Roman" w:hAnsi="Times New Roman" w:cs="Times New Roman"/>
          <w:sz w:val="24"/>
          <w:szCs w:val="24"/>
        </w:rPr>
        <w:t>”</w:t>
      </w:r>
      <w:r w:rsidR="00673E86">
        <w:rPr>
          <w:rStyle w:val="FootnoteReference"/>
          <w:rFonts w:ascii="Times New Roman" w:hAnsi="Times New Roman" w:cs="Times New Roman"/>
          <w:sz w:val="24"/>
          <w:szCs w:val="24"/>
        </w:rPr>
        <w:footnoteReference w:id="19"/>
      </w:r>
    </w:p>
    <w:p w:rsidR="00CC28E1" w:rsidRDefault="00CC28E1" w:rsidP="000255A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Dr. Vander Weide </w:t>
      </w:r>
      <w:r w:rsidR="00010D29">
        <w:rPr>
          <w:rFonts w:ascii="Times New Roman" w:hAnsi="Times New Roman" w:cs="Times New Roman"/>
          <w:sz w:val="24"/>
          <w:szCs w:val="24"/>
        </w:rPr>
        <w:t>recognized that the average utility beta at the time of his studies was approximately 0.60.</w:t>
      </w:r>
      <w:r w:rsidR="00010D29">
        <w:rPr>
          <w:rStyle w:val="FootnoteReference"/>
          <w:rFonts w:ascii="Times New Roman" w:hAnsi="Times New Roman" w:cs="Times New Roman"/>
          <w:sz w:val="24"/>
          <w:szCs w:val="24"/>
        </w:rPr>
        <w:footnoteReference w:id="20"/>
      </w:r>
      <w:r w:rsidR="00010D29">
        <w:rPr>
          <w:rFonts w:ascii="Times New Roman" w:hAnsi="Times New Roman" w:cs="Times New Roman"/>
          <w:sz w:val="24"/>
          <w:szCs w:val="24"/>
        </w:rPr>
        <w:t xml:space="preserve">  However, he also chose to utilize</w:t>
      </w:r>
      <w:r>
        <w:rPr>
          <w:rFonts w:ascii="Times New Roman" w:hAnsi="Times New Roman" w:cs="Times New Roman"/>
          <w:sz w:val="24"/>
          <w:szCs w:val="24"/>
        </w:rPr>
        <w:t xml:space="preserve"> an alternative sample average beta of 0.89.</w:t>
      </w:r>
      <w:r w:rsidR="00010D29">
        <w:rPr>
          <w:rStyle w:val="FootnoteReference"/>
          <w:rFonts w:ascii="Times New Roman" w:hAnsi="Times New Roman" w:cs="Times New Roman"/>
          <w:sz w:val="24"/>
          <w:szCs w:val="24"/>
        </w:rPr>
        <w:footnoteReference w:id="21"/>
      </w:r>
      <w:r w:rsidR="00010D29">
        <w:rPr>
          <w:rFonts w:ascii="Times New Roman" w:hAnsi="Times New Roman" w:cs="Times New Roman"/>
          <w:sz w:val="24"/>
          <w:szCs w:val="24"/>
        </w:rPr>
        <w:t xml:space="preserve">  Dr. Vander Weide’s </w:t>
      </w:r>
      <w:r w:rsidR="00F75315">
        <w:rPr>
          <w:rFonts w:ascii="Times New Roman" w:hAnsi="Times New Roman" w:cs="Times New Roman"/>
          <w:sz w:val="24"/>
          <w:szCs w:val="24"/>
        </w:rPr>
        <w:t xml:space="preserve">alternative </w:t>
      </w:r>
      <w:r w:rsidR="00010D29">
        <w:rPr>
          <w:rFonts w:ascii="Times New Roman" w:hAnsi="Times New Roman" w:cs="Times New Roman"/>
          <w:sz w:val="24"/>
          <w:szCs w:val="24"/>
        </w:rPr>
        <w:t>beta is of his own creation, and it has not been publicly vetted or endorsed by the finance community.</w:t>
      </w:r>
      <w:r w:rsidR="00010D29">
        <w:rPr>
          <w:rStyle w:val="FootnoteReference"/>
          <w:rFonts w:ascii="Times New Roman" w:hAnsi="Times New Roman" w:cs="Times New Roman"/>
          <w:sz w:val="24"/>
          <w:szCs w:val="24"/>
        </w:rPr>
        <w:footnoteReference w:id="22"/>
      </w:r>
      <w:r w:rsidR="00F75315">
        <w:rPr>
          <w:rFonts w:ascii="Times New Roman" w:hAnsi="Times New Roman" w:cs="Times New Roman"/>
          <w:sz w:val="24"/>
          <w:szCs w:val="24"/>
        </w:rPr>
        <w:t xml:space="preserve">  When Dr. Vander </w:t>
      </w:r>
      <w:r w:rsidR="00F75315" w:rsidRPr="00F75315">
        <w:rPr>
          <w:rFonts w:ascii="Times New Roman" w:hAnsi="Times New Roman" w:cs="Times New Roman"/>
          <w:sz w:val="24"/>
          <w:szCs w:val="24"/>
        </w:rPr>
        <w:t>Weide uses his proxy group’s average alternative beta of 0.89 in lieu of Value Line average of 0.60, he inflates his CAPM-derived ROE estimates.</w:t>
      </w:r>
      <w:r w:rsidR="00E867E1">
        <w:rPr>
          <w:rStyle w:val="FootnoteReference"/>
          <w:rFonts w:ascii="Times New Roman" w:hAnsi="Times New Roman" w:cs="Times New Roman"/>
          <w:sz w:val="24"/>
          <w:szCs w:val="24"/>
        </w:rPr>
        <w:footnoteReference w:id="23"/>
      </w:r>
      <w:r w:rsidR="00F75315" w:rsidRPr="00F75315">
        <w:rPr>
          <w:rFonts w:ascii="Times New Roman" w:hAnsi="Times New Roman" w:cs="Times New Roman"/>
          <w:sz w:val="24"/>
          <w:szCs w:val="24"/>
        </w:rPr>
        <w:t xml:space="preserve"> </w:t>
      </w:r>
      <w:r w:rsidR="00F75315">
        <w:rPr>
          <w:rFonts w:ascii="Times New Roman" w:hAnsi="Times New Roman" w:cs="Times New Roman"/>
          <w:sz w:val="24"/>
          <w:szCs w:val="24"/>
        </w:rPr>
        <w:t xml:space="preserve"> </w:t>
      </w:r>
      <w:r w:rsidR="00F75315" w:rsidRPr="00F75315">
        <w:rPr>
          <w:rFonts w:ascii="Times New Roman" w:hAnsi="Times New Roman" w:cs="Times New Roman"/>
          <w:sz w:val="24"/>
          <w:szCs w:val="24"/>
        </w:rPr>
        <w:t>For example, his historical CAPM result increases from 8.2 percent to 10.3 percent, and his DCF-based CAPM result increases from 10.2 percent to 13.3 percent.</w:t>
      </w:r>
      <w:r w:rsidR="00F75315">
        <w:rPr>
          <w:rStyle w:val="FootnoteReference"/>
          <w:rFonts w:ascii="Times New Roman" w:hAnsi="Times New Roman" w:cs="Times New Roman"/>
          <w:sz w:val="24"/>
          <w:szCs w:val="24"/>
        </w:rPr>
        <w:footnoteReference w:id="24"/>
      </w:r>
      <w:r w:rsidR="00F75315" w:rsidRPr="00F75315">
        <w:rPr>
          <w:rFonts w:ascii="Times New Roman" w:hAnsi="Times New Roman" w:cs="Times New Roman"/>
          <w:sz w:val="24"/>
          <w:szCs w:val="24"/>
        </w:rPr>
        <w:t xml:space="preserve"> </w:t>
      </w:r>
    </w:p>
    <w:p w:rsidR="00193EB3" w:rsidRDefault="004C4CE4" w:rsidP="00193EB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20F67">
        <w:rPr>
          <w:rFonts w:ascii="Times New Roman" w:hAnsi="Times New Roman" w:cs="Times New Roman"/>
          <w:sz w:val="24"/>
          <w:szCs w:val="24"/>
        </w:rPr>
        <w:t>Dr. Vander Weide’s recommended ROE is significantly higher than both the recommended ROE of both DOD/FEA and Staff</w:t>
      </w:r>
      <w:r w:rsidR="005E02D2">
        <w:rPr>
          <w:rFonts w:ascii="Times New Roman" w:hAnsi="Times New Roman" w:cs="Times New Roman"/>
          <w:sz w:val="24"/>
          <w:szCs w:val="24"/>
        </w:rPr>
        <w:t>,</w:t>
      </w:r>
      <w:r w:rsidR="00320F67">
        <w:rPr>
          <w:rFonts w:ascii="Times New Roman" w:hAnsi="Times New Roman" w:cs="Times New Roman"/>
          <w:sz w:val="24"/>
          <w:szCs w:val="24"/>
        </w:rPr>
        <w:t xml:space="preserve"> in part</w:t>
      </w:r>
      <w:r w:rsidR="005E02D2">
        <w:rPr>
          <w:rFonts w:ascii="Times New Roman" w:hAnsi="Times New Roman" w:cs="Times New Roman"/>
          <w:sz w:val="24"/>
          <w:szCs w:val="24"/>
        </w:rPr>
        <w:t>,</w:t>
      </w:r>
      <w:r w:rsidR="00320F67">
        <w:rPr>
          <w:rFonts w:ascii="Times New Roman" w:hAnsi="Times New Roman" w:cs="Times New Roman"/>
          <w:sz w:val="24"/>
          <w:szCs w:val="24"/>
        </w:rPr>
        <w:t xml:space="preserve"> because he adjust</w:t>
      </w:r>
      <w:r w:rsidR="00E867E1">
        <w:rPr>
          <w:rFonts w:ascii="Times New Roman" w:hAnsi="Times New Roman" w:cs="Times New Roman"/>
          <w:sz w:val="24"/>
          <w:szCs w:val="24"/>
        </w:rPr>
        <w:t>s</w:t>
      </w:r>
      <w:r w:rsidR="00320F67">
        <w:rPr>
          <w:rFonts w:ascii="Times New Roman" w:hAnsi="Times New Roman" w:cs="Times New Roman"/>
          <w:sz w:val="24"/>
          <w:szCs w:val="24"/>
        </w:rPr>
        <w:t xml:space="preserve"> his recommended ROE by 50 basis points to adjus</w:t>
      </w:r>
      <w:r w:rsidR="00E867E1">
        <w:rPr>
          <w:rFonts w:ascii="Times New Roman" w:hAnsi="Times New Roman" w:cs="Times New Roman"/>
          <w:sz w:val="24"/>
          <w:szCs w:val="24"/>
        </w:rPr>
        <w:t>t for the difference between GPC</w:t>
      </w:r>
      <w:r w:rsidR="00320F67">
        <w:rPr>
          <w:rFonts w:ascii="Times New Roman" w:hAnsi="Times New Roman" w:cs="Times New Roman"/>
          <w:sz w:val="24"/>
          <w:szCs w:val="24"/>
        </w:rPr>
        <w:t>’s book-value and capital structure and the proxy group’s market-value capital structure.</w:t>
      </w:r>
      <w:r w:rsidR="00320F67">
        <w:rPr>
          <w:rStyle w:val="FootnoteReference"/>
          <w:rFonts w:ascii="Times New Roman" w:hAnsi="Times New Roman" w:cs="Times New Roman"/>
          <w:sz w:val="24"/>
          <w:szCs w:val="24"/>
        </w:rPr>
        <w:footnoteReference w:id="25"/>
      </w:r>
      <w:r w:rsidR="00320F67">
        <w:rPr>
          <w:rFonts w:ascii="Times New Roman" w:hAnsi="Times New Roman" w:cs="Times New Roman"/>
          <w:sz w:val="24"/>
          <w:szCs w:val="24"/>
        </w:rPr>
        <w:t xml:space="preserve">  However,</w:t>
      </w:r>
      <w:r w:rsidR="0009241C">
        <w:rPr>
          <w:rFonts w:ascii="Times New Roman" w:hAnsi="Times New Roman" w:cs="Times New Roman"/>
          <w:sz w:val="24"/>
          <w:szCs w:val="24"/>
        </w:rPr>
        <w:t xml:space="preserve"> this adjustment is not needed as this difference is already captured in the various market-based ROE methodologies.</w:t>
      </w:r>
      <w:r w:rsidR="0009241C">
        <w:rPr>
          <w:rStyle w:val="FootnoteReference"/>
          <w:rFonts w:ascii="Times New Roman" w:hAnsi="Times New Roman" w:cs="Times New Roman"/>
          <w:sz w:val="24"/>
          <w:szCs w:val="24"/>
        </w:rPr>
        <w:footnoteReference w:id="26"/>
      </w:r>
      <w:r w:rsidR="0009241C">
        <w:rPr>
          <w:rFonts w:ascii="Times New Roman" w:hAnsi="Times New Roman" w:cs="Times New Roman"/>
          <w:sz w:val="24"/>
          <w:szCs w:val="24"/>
        </w:rPr>
        <w:t xml:space="preserve">  Furthermore, as Dr. Vander Weide concedes, this unorthodox approach has not been allowed by the Commission in prior cases.</w:t>
      </w:r>
      <w:r w:rsidR="0009241C">
        <w:rPr>
          <w:rStyle w:val="FootnoteReference"/>
          <w:rFonts w:ascii="Times New Roman" w:hAnsi="Times New Roman" w:cs="Times New Roman"/>
          <w:sz w:val="24"/>
          <w:szCs w:val="24"/>
        </w:rPr>
        <w:footnoteReference w:id="27"/>
      </w:r>
    </w:p>
    <w:p w:rsidR="00193EB3" w:rsidRDefault="003B3AF7" w:rsidP="0008268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ELIMINATION OF MULTIPLE LOAD MANAGEMENT TARIFF</w:t>
      </w:r>
    </w:p>
    <w:p w:rsidR="00C3754E" w:rsidRDefault="003B3AF7" w:rsidP="00C375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GPC is proposing to eliminate the </w:t>
      </w:r>
      <w:r w:rsidR="008357FC">
        <w:rPr>
          <w:rFonts w:ascii="Times New Roman" w:hAnsi="Times New Roman" w:cs="Times New Roman"/>
          <w:sz w:val="24"/>
          <w:szCs w:val="24"/>
        </w:rPr>
        <w:t>multiple</w:t>
      </w:r>
      <w:r>
        <w:rPr>
          <w:rFonts w:ascii="Times New Roman" w:hAnsi="Times New Roman" w:cs="Times New Roman"/>
          <w:sz w:val="24"/>
          <w:szCs w:val="24"/>
        </w:rPr>
        <w:t xml:space="preserve"> load management tariff and move those customers onto the Time of Use Revenue Neutral (TOU-RN) tariff.  </w:t>
      </w:r>
      <w:r w:rsidR="00D022CC">
        <w:rPr>
          <w:rFonts w:ascii="Times New Roman" w:hAnsi="Times New Roman" w:cs="Times New Roman"/>
          <w:sz w:val="24"/>
          <w:szCs w:val="24"/>
        </w:rPr>
        <w:t xml:space="preserve">If the Commission approves the elimination of MLM and movement of those customers onto TOU-RN, the Commission should order GPC to provide those customers with </w:t>
      </w:r>
      <w:r w:rsidR="00E84E79">
        <w:rPr>
          <w:rFonts w:ascii="Times New Roman" w:hAnsi="Times New Roman" w:cs="Times New Roman"/>
          <w:sz w:val="24"/>
          <w:szCs w:val="24"/>
        </w:rPr>
        <w:t>GPC’s</w:t>
      </w:r>
      <w:r w:rsidR="00D022CC">
        <w:rPr>
          <w:rFonts w:ascii="Times New Roman" w:hAnsi="Times New Roman" w:cs="Times New Roman"/>
          <w:sz w:val="24"/>
          <w:szCs w:val="24"/>
        </w:rPr>
        <w:t xml:space="preserve"> detailed </w:t>
      </w:r>
      <w:r w:rsidRPr="003B3AF7">
        <w:rPr>
          <w:rFonts w:ascii="Times New Roman" w:hAnsi="Times New Roman" w:cs="Times New Roman"/>
          <w:sz w:val="24"/>
          <w:szCs w:val="24"/>
        </w:rPr>
        <w:t>calculation</w:t>
      </w:r>
      <w:r w:rsidR="00D022CC">
        <w:rPr>
          <w:rFonts w:ascii="Times New Roman" w:hAnsi="Times New Roman" w:cs="Times New Roman"/>
          <w:sz w:val="24"/>
          <w:szCs w:val="24"/>
        </w:rPr>
        <w:t>s</w:t>
      </w:r>
      <w:r w:rsidRPr="003B3AF7">
        <w:rPr>
          <w:rFonts w:ascii="Times New Roman" w:hAnsi="Times New Roman" w:cs="Times New Roman"/>
          <w:sz w:val="24"/>
          <w:szCs w:val="24"/>
        </w:rPr>
        <w:t xml:space="preserve"> and assumptions </w:t>
      </w:r>
      <w:r w:rsidR="00D022CC">
        <w:rPr>
          <w:rFonts w:ascii="Times New Roman" w:hAnsi="Times New Roman" w:cs="Times New Roman"/>
          <w:sz w:val="24"/>
          <w:szCs w:val="24"/>
        </w:rPr>
        <w:t>that it will use</w:t>
      </w:r>
      <w:r w:rsidRPr="003B3AF7">
        <w:rPr>
          <w:rFonts w:ascii="Times New Roman" w:hAnsi="Times New Roman" w:cs="Times New Roman"/>
          <w:sz w:val="24"/>
          <w:szCs w:val="24"/>
        </w:rPr>
        <w:t xml:space="preserve"> to determine the Off-Peak rate component in the TOU-RN tariff</w:t>
      </w:r>
      <w:r w:rsidR="00D022CC">
        <w:rPr>
          <w:rFonts w:ascii="Times New Roman" w:hAnsi="Times New Roman" w:cs="Times New Roman"/>
          <w:sz w:val="24"/>
          <w:szCs w:val="24"/>
        </w:rPr>
        <w:t xml:space="preserve"> prior to new rates going into effect</w:t>
      </w:r>
      <w:r w:rsidR="00E84E79">
        <w:rPr>
          <w:rFonts w:ascii="Times New Roman" w:hAnsi="Times New Roman" w:cs="Times New Roman"/>
          <w:sz w:val="24"/>
          <w:szCs w:val="24"/>
        </w:rPr>
        <w:t>.  This will allow customer</w:t>
      </w:r>
      <w:r w:rsidR="0008268E">
        <w:rPr>
          <w:rFonts w:ascii="Times New Roman" w:hAnsi="Times New Roman" w:cs="Times New Roman"/>
          <w:sz w:val="24"/>
          <w:szCs w:val="24"/>
        </w:rPr>
        <w:t>s to</w:t>
      </w:r>
      <w:r w:rsidR="00E84E79">
        <w:rPr>
          <w:rFonts w:ascii="Times New Roman" w:hAnsi="Times New Roman" w:cs="Times New Roman"/>
          <w:sz w:val="24"/>
          <w:szCs w:val="24"/>
        </w:rPr>
        <w:t xml:space="preserve"> ensure those calculations and assumptions have been performed </w:t>
      </w:r>
      <w:r w:rsidR="0008268E">
        <w:rPr>
          <w:rFonts w:ascii="Times New Roman" w:hAnsi="Times New Roman" w:cs="Times New Roman"/>
          <w:sz w:val="24"/>
          <w:szCs w:val="24"/>
        </w:rPr>
        <w:t>correctly and will provide</w:t>
      </w:r>
      <w:r w:rsidR="00E84E79">
        <w:rPr>
          <w:rFonts w:ascii="Times New Roman" w:hAnsi="Times New Roman" w:cs="Times New Roman"/>
          <w:sz w:val="24"/>
          <w:szCs w:val="24"/>
        </w:rPr>
        <w:t xml:space="preserve"> transparency as th</w:t>
      </w:r>
      <w:r w:rsidR="00C3754E">
        <w:rPr>
          <w:rFonts w:ascii="Times New Roman" w:hAnsi="Times New Roman" w:cs="Times New Roman"/>
          <w:sz w:val="24"/>
          <w:szCs w:val="24"/>
        </w:rPr>
        <w:t>e customer is moved to TOU-RN.</w:t>
      </w:r>
    </w:p>
    <w:p w:rsidR="00193EB3" w:rsidRDefault="00E84E79" w:rsidP="00C375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 the Commission should ensure that specific language is added to the TOU-RN tariff.  This additional language should be uncontroversial because GPC confirmed</w:t>
      </w:r>
      <w:r w:rsidR="00273B8D">
        <w:rPr>
          <w:rFonts w:ascii="Times New Roman" w:hAnsi="Times New Roman" w:cs="Times New Roman"/>
          <w:sz w:val="24"/>
          <w:szCs w:val="24"/>
        </w:rPr>
        <w:t xml:space="preserve"> the majority of it at the hearing</w:t>
      </w:r>
      <w:r>
        <w:rPr>
          <w:rFonts w:ascii="Times New Roman" w:hAnsi="Times New Roman" w:cs="Times New Roman"/>
          <w:sz w:val="24"/>
          <w:szCs w:val="24"/>
        </w:rPr>
        <w:t>.</w:t>
      </w:r>
      <w:r w:rsidR="000135F4">
        <w:rPr>
          <w:rFonts w:ascii="Times New Roman" w:hAnsi="Times New Roman" w:cs="Times New Roman"/>
          <w:sz w:val="24"/>
          <w:szCs w:val="24"/>
        </w:rPr>
        <w:t xml:space="preserve">  </w:t>
      </w:r>
      <w:r w:rsidR="0008268E">
        <w:rPr>
          <w:rFonts w:ascii="Times New Roman" w:hAnsi="Times New Roman" w:cs="Times New Roman"/>
          <w:sz w:val="24"/>
          <w:szCs w:val="24"/>
        </w:rPr>
        <w:t>The</w:t>
      </w:r>
      <w:r w:rsidR="000135F4">
        <w:rPr>
          <w:rFonts w:ascii="Times New Roman" w:hAnsi="Times New Roman" w:cs="Times New Roman"/>
          <w:sz w:val="24"/>
          <w:szCs w:val="24"/>
        </w:rPr>
        <w:t xml:space="preserve"> </w:t>
      </w:r>
      <w:r w:rsidR="0008268E">
        <w:rPr>
          <w:rFonts w:ascii="Times New Roman" w:hAnsi="Times New Roman" w:cs="Times New Roman"/>
          <w:sz w:val="24"/>
          <w:szCs w:val="24"/>
        </w:rPr>
        <w:t xml:space="preserve">tariff </w:t>
      </w:r>
      <w:r w:rsidR="000135F4">
        <w:rPr>
          <w:rFonts w:ascii="Times New Roman" w:hAnsi="Times New Roman" w:cs="Times New Roman"/>
          <w:sz w:val="24"/>
          <w:szCs w:val="24"/>
        </w:rPr>
        <w:t>language that should be included in TOU-RN includes:</w:t>
      </w:r>
    </w:p>
    <w:p w:rsidR="003A4ABB" w:rsidRDefault="003B3AF7" w:rsidP="003A4ABB">
      <w:pPr>
        <w:spacing w:after="0" w:line="480" w:lineRule="auto"/>
        <w:rPr>
          <w:rFonts w:ascii="Times New Roman" w:hAnsi="Times New Roman" w:cs="Times New Roman"/>
          <w:sz w:val="24"/>
          <w:szCs w:val="24"/>
        </w:rPr>
      </w:pPr>
      <w:r w:rsidRPr="003B3AF7">
        <w:rPr>
          <w:rFonts w:ascii="Times New Roman" w:hAnsi="Times New Roman" w:cs="Times New Roman"/>
          <w:sz w:val="24"/>
          <w:szCs w:val="24"/>
        </w:rPr>
        <w:t>1.</w:t>
      </w:r>
      <w:r w:rsidRPr="003B3AF7">
        <w:rPr>
          <w:rFonts w:ascii="Times New Roman" w:hAnsi="Times New Roman" w:cs="Times New Roman"/>
          <w:sz w:val="24"/>
          <w:szCs w:val="24"/>
        </w:rPr>
        <w:tab/>
        <w:t>The TOU-RN tariff must clearly state that for those customers with an established Customer Baseline Load (“CBL”) that such established CBL is to be used to determine the on</w:t>
      </w:r>
      <w:r w:rsidR="003A4ABB">
        <w:rPr>
          <w:rFonts w:ascii="Times New Roman" w:hAnsi="Times New Roman" w:cs="Times New Roman"/>
          <w:sz w:val="24"/>
          <w:szCs w:val="24"/>
        </w:rPr>
        <w:t>-</w:t>
      </w:r>
      <w:r w:rsidRPr="003B3AF7">
        <w:rPr>
          <w:rFonts w:ascii="Times New Roman" w:hAnsi="Times New Roman" w:cs="Times New Roman"/>
          <w:sz w:val="24"/>
          <w:szCs w:val="24"/>
        </w:rPr>
        <w:lastRenderedPageBreak/>
        <w:t xml:space="preserve">peak and off-peak kilowatt-hours billing determinants within the TOU-RN tariff, as confirmed </w:t>
      </w:r>
      <w:r w:rsidR="000135F4">
        <w:rPr>
          <w:rFonts w:ascii="Times New Roman" w:hAnsi="Times New Roman" w:cs="Times New Roman"/>
          <w:sz w:val="24"/>
          <w:szCs w:val="24"/>
        </w:rPr>
        <w:t xml:space="preserve">at the hearing </w:t>
      </w:r>
      <w:r w:rsidRPr="003B3AF7">
        <w:rPr>
          <w:rFonts w:ascii="Times New Roman" w:hAnsi="Times New Roman" w:cs="Times New Roman"/>
          <w:sz w:val="24"/>
          <w:szCs w:val="24"/>
        </w:rPr>
        <w:t xml:space="preserve">by Mr. </w:t>
      </w:r>
      <w:r w:rsidR="000135F4">
        <w:rPr>
          <w:rFonts w:ascii="Times New Roman" w:hAnsi="Times New Roman" w:cs="Times New Roman"/>
          <w:sz w:val="24"/>
          <w:szCs w:val="24"/>
        </w:rPr>
        <w:t xml:space="preserve">Larry </w:t>
      </w:r>
      <w:r w:rsidRPr="003B3AF7">
        <w:rPr>
          <w:rFonts w:ascii="Times New Roman" w:hAnsi="Times New Roman" w:cs="Times New Roman"/>
          <w:sz w:val="24"/>
          <w:szCs w:val="24"/>
        </w:rPr>
        <w:t>Legg</w:t>
      </w:r>
      <w:r w:rsidR="000135F4">
        <w:rPr>
          <w:rFonts w:ascii="Times New Roman" w:hAnsi="Times New Roman" w:cs="Times New Roman"/>
          <w:sz w:val="24"/>
          <w:szCs w:val="24"/>
        </w:rPr>
        <w:t>, Director of Pricing and Rates for GPC</w:t>
      </w:r>
      <w:r w:rsidRPr="003B3AF7">
        <w:rPr>
          <w:rFonts w:ascii="Times New Roman" w:hAnsi="Times New Roman" w:cs="Times New Roman"/>
          <w:sz w:val="24"/>
          <w:szCs w:val="24"/>
        </w:rPr>
        <w:t>.</w:t>
      </w:r>
      <w:r w:rsidR="000135F4">
        <w:rPr>
          <w:rStyle w:val="FootnoteReference"/>
          <w:rFonts w:ascii="Times New Roman" w:hAnsi="Times New Roman" w:cs="Times New Roman"/>
          <w:sz w:val="24"/>
          <w:szCs w:val="24"/>
        </w:rPr>
        <w:footnoteReference w:id="28"/>
      </w:r>
      <w:r w:rsidRPr="003B3AF7">
        <w:rPr>
          <w:rFonts w:ascii="Times New Roman" w:hAnsi="Times New Roman" w:cs="Times New Roman"/>
          <w:sz w:val="24"/>
          <w:szCs w:val="24"/>
        </w:rPr>
        <w:t xml:space="preserve">  </w:t>
      </w:r>
    </w:p>
    <w:p w:rsidR="003A4ABB" w:rsidRDefault="003B3AF7" w:rsidP="003A4ABB">
      <w:pPr>
        <w:spacing w:after="0" w:line="480" w:lineRule="auto"/>
        <w:rPr>
          <w:rFonts w:ascii="Times New Roman" w:hAnsi="Times New Roman" w:cs="Times New Roman"/>
          <w:sz w:val="24"/>
          <w:szCs w:val="24"/>
        </w:rPr>
      </w:pPr>
      <w:r w:rsidRPr="003B3AF7">
        <w:rPr>
          <w:rFonts w:ascii="Times New Roman" w:hAnsi="Times New Roman" w:cs="Times New Roman"/>
          <w:sz w:val="24"/>
          <w:szCs w:val="24"/>
        </w:rPr>
        <w:t>2.</w:t>
      </w:r>
      <w:r w:rsidRPr="003B3AF7">
        <w:rPr>
          <w:rFonts w:ascii="Times New Roman" w:hAnsi="Times New Roman" w:cs="Times New Roman"/>
          <w:sz w:val="24"/>
          <w:szCs w:val="24"/>
        </w:rPr>
        <w:tab/>
        <w:t>The TOU-RN tariff must clearly state that TOU-RN customers continue to have access to the real time (“RTP”) pricing tariff options, including the provision allowing possible future revisions to the CBL, as confirmed by Mr. Legg at hearing.</w:t>
      </w:r>
      <w:r w:rsidR="000135F4">
        <w:rPr>
          <w:rStyle w:val="FootnoteReference"/>
          <w:rFonts w:ascii="Times New Roman" w:hAnsi="Times New Roman" w:cs="Times New Roman"/>
          <w:sz w:val="24"/>
          <w:szCs w:val="24"/>
        </w:rPr>
        <w:footnoteReference w:id="29"/>
      </w:r>
      <w:r w:rsidRPr="003B3AF7">
        <w:rPr>
          <w:rFonts w:ascii="Times New Roman" w:hAnsi="Times New Roman" w:cs="Times New Roman"/>
          <w:sz w:val="24"/>
          <w:szCs w:val="24"/>
        </w:rPr>
        <w:t xml:space="preserve"> </w:t>
      </w:r>
    </w:p>
    <w:p w:rsidR="003A4ABB" w:rsidRDefault="003B3AF7" w:rsidP="003A4ABB">
      <w:pPr>
        <w:spacing w:after="0" w:line="480" w:lineRule="auto"/>
        <w:rPr>
          <w:rFonts w:ascii="Times New Roman" w:hAnsi="Times New Roman" w:cs="Times New Roman"/>
          <w:sz w:val="24"/>
          <w:szCs w:val="24"/>
        </w:rPr>
      </w:pPr>
      <w:r w:rsidRPr="003B3AF7">
        <w:rPr>
          <w:rFonts w:ascii="Times New Roman" w:hAnsi="Times New Roman" w:cs="Times New Roman"/>
          <w:sz w:val="24"/>
          <w:szCs w:val="24"/>
        </w:rPr>
        <w:t>3.</w:t>
      </w:r>
      <w:r w:rsidRPr="003B3AF7">
        <w:rPr>
          <w:rFonts w:ascii="Times New Roman" w:hAnsi="Times New Roman" w:cs="Times New Roman"/>
          <w:sz w:val="24"/>
          <w:szCs w:val="24"/>
        </w:rPr>
        <w:tab/>
        <w:t>The TOU-RN tariff must clearly state that TOU-RN customers can continue to be enrolled simultaneously in the Demand Plus Energy Credit Rider (“DPEC-4”) tariff, as indicated by Mr. Legg at hearing.</w:t>
      </w:r>
      <w:r w:rsidR="00273B8D">
        <w:rPr>
          <w:rStyle w:val="FootnoteReference"/>
          <w:rFonts w:ascii="Times New Roman" w:hAnsi="Times New Roman" w:cs="Times New Roman"/>
          <w:sz w:val="24"/>
          <w:szCs w:val="24"/>
        </w:rPr>
        <w:footnoteReference w:id="30"/>
      </w:r>
      <w:r w:rsidRPr="003B3AF7">
        <w:rPr>
          <w:rFonts w:ascii="Times New Roman" w:hAnsi="Times New Roman" w:cs="Times New Roman"/>
          <w:sz w:val="24"/>
          <w:szCs w:val="24"/>
        </w:rPr>
        <w:t xml:space="preserve"> </w:t>
      </w:r>
    </w:p>
    <w:p w:rsidR="003A4ABB" w:rsidRDefault="003B3AF7" w:rsidP="003A4ABB">
      <w:pPr>
        <w:spacing w:after="0" w:line="480" w:lineRule="auto"/>
        <w:rPr>
          <w:rFonts w:ascii="Times New Roman" w:hAnsi="Times New Roman" w:cs="Times New Roman"/>
          <w:sz w:val="24"/>
          <w:szCs w:val="24"/>
        </w:rPr>
      </w:pPr>
      <w:r w:rsidRPr="003B3AF7">
        <w:rPr>
          <w:rFonts w:ascii="Times New Roman" w:hAnsi="Times New Roman" w:cs="Times New Roman"/>
          <w:sz w:val="24"/>
          <w:szCs w:val="24"/>
        </w:rPr>
        <w:t>4.</w:t>
      </w:r>
      <w:r w:rsidRPr="003B3AF7">
        <w:rPr>
          <w:rFonts w:ascii="Times New Roman" w:hAnsi="Times New Roman" w:cs="Times New Roman"/>
          <w:sz w:val="24"/>
          <w:szCs w:val="24"/>
        </w:rPr>
        <w:tab/>
        <w:t>The TOU-RN tariff must clearly state that TOU-RN customers can continue to be enrolled simultaneously in the Industrial Load Retention Rider (“ILR-4”) tariff.</w:t>
      </w:r>
    </w:p>
    <w:p w:rsidR="003A4ABB" w:rsidRDefault="00193EB3" w:rsidP="003A4ABB">
      <w:pPr>
        <w:spacing w:after="0" w:line="240" w:lineRule="auto"/>
        <w:jc w:val="center"/>
        <w:rPr>
          <w:rFonts w:ascii="Times New Roman Bold" w:hAnsi="Times New Roman Bold" w:cs="Times New Roman"/>
          <w:b/>
          <w:caps/>
          <w:sz w:val="24"/>
          <w:szCs w:val="24"/>
        </w:rPr>
      </w:pPr>
      <w:r>
        <w:rPr>
          <w:rFonts w:ascii="Times New Roman Bold" w:hAnsi="Times New Roman Bold" w:cs="Times New Roman"/>
          <w:b/>
          <w:caps/>
          <w:sz w:val="24"/>
          <w:szCs w:val="24"/>
        </w:rPr>
        <w:t>Modification to the Alternate rate plan</w:t>
      </w:r>
    </w:p>
    <w:p w:rsidR="003A4ABB" w:rsidRDefault="00193EB3" w:rsidP="003A4ABB">
      <w:pPr>
        <w:spacing w:after="0" w:line="240" w:lineRule="auto"/>
        <w:jc w:val="center"/>
        <w:rPr>
          <w:rFonts w:ascii="Times New Roman Bold" w:hAnsi="Times New Roman Bold" w:cs="Times New Roman"/>
          <w:b/>
          <w:caps/>
          <w:sz w:val="24"/>
          <w:szCs w:val="24"/>
        </w:rPr>
      </w:pPr>
      <w:r w:rsidRPr="00193EB3">
        <w:rPr>
          <w:rFonts w:ascii="Times New Roman Bold" w:hAnsi="Times New Roman Bold" w:cs="Times New Roman"/>
          <w:b/>
          <w:caps/>
          <w:sz w:val="24"/>
          <w:szCs w:val="24"/>
        </w:rPr>
        <w:t>Earnings Band for ROE</w:t>
      </w:r>
    </w:p>
    <w:p w:rsidR="003A4ABB" w:rsidRDefault="003A4ABB" w:rsidP="003A4ABB">
      <w:pPr>
        <w:spacing w:after="0" w:line="240" w:lineRule="auto"/>
        <w:jc w:val="center"/>
        <w:rPr>
          <w:rFonts w:ascii="Times New Roman Bold" w:hAnsi="Times New Roman Bold" w:cs="Times New Roman"/>
          <w:b/>
          <w:caps/>
          <w:sz w:val="24"/>
          <w:szCs w:val="24"/>
        </w:rPr>
      </w:pPr>
    </w:p>
    <w:p w:rsidR="003A4ABB" w:rsidRDefault="003A4ABB" w:rsidP="003A4AB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3EB3">
        <w:rPr>
          <w:rFonts w:ascii="Times New Roman" w:hAnsi="Times New Roman" w:cs="Times New Roman"/>
          <w:sz w:val="24"/>
          <w:szCs w:val="24"/>
        </w:rPr>
        <w:t>If the Commission approves an Alternate Rate Plan (ARP)</w:t>
      </w:r>
      <w:r w:rsidR="00193EB3" w:rsidRPr="00193EB3">
        <w:rPr>
          <w:rFonts w:ascii="Times New Roman" w:hAnsi="Times New Roman" w:cs="Times New Roman"/>
          <w:sz w:val="24"/>
          <w:szCs w:val="24"/>
        </w:rPr>
        <w:t xml:space="preserve"> in this proceeding, the shared earnings ROE band should be reduced from the current band of 200 basis points (or 2.0%) to 100 basis points (or 1.0%) of ROE.  </w:t>
      </w:r>
      <w:r w:rsidR="00193EB3">
        <w:rPr>
          <w:rFonts w:ascii="Times New Roman" w:hAnsi="Times New Roman" w:cs="Times New Roman"/>
          <w:sz w:val="24"/>
          <w:szCs w:val="24"/>
        </w:rPr>
        <w:t xml:space="preserve">That is 50 basis points above and below the approved ROE.  </w:t>
      </w:r>
      <w:r w:rsidR="00193EB3" w:rsidRPr="00193EB3">
        <w:rPr>
          <w:rFonts w:ascii="Times New Roman" w:hAnsi="Times New Roman" w:cs="Times New Roman"/>
          <w:sz w:val="24"/>
          <w:szCs w:val="24"/>
        </w:rPr>
        <w:t>This change will add pr</w:t>
      </w:r>
      <w:r w:rsidR="00193EB3">
        <w:rPr>
          <w:rFonts w:ascii="Times New Roman" w:hAnsi="Times New Roman" w:cs="Times New Roman"/>
          <w:sz w:val="24"/>
          <w:szCs w:val="24"/>
        </w:rPr>
        <w:t>otection</w:t>
      </w:r>
      <w:r w:rsidR="00193EB3" w:rsidRPr="00193EB3">
        <w:rPr>
          <w:rFonts w:ascii="Times New Roman" w:hAnsi="Times New Roman" w:cs="Times New Roman"/>
          <w:sz w:val="24"/>
          <w:szCs w:val="24"/>
        </w:rPr>
        <w:t xml:space="preserve"> and ef</w:t>
      </w:r>
      <w:r w:rsidR="0008268E">
        <w:rPr>
          <w:rFonts w:ascii="Times New Roman" w:hAnsi="Times New Roman" w:cs="Times New Roman"/>
          <w:sz w:val="24"/>
          <w:szCs w:val="24"/>
        </w:rPr>
        <w:t>ficiency for both ratepayers</w:t>
      </w:r>
      <w:r w:rsidR="00193EB3" w:rsidRPr="00193EB3">
        <w:rPr>
          <w:rFonts w:ascii="Times New Roman" w:hAnsi="Times New Roman" w:cs="Times New Roman"/>
          <w:sz w:val="24"/>
          <w:szCs w:val="24"/>
        </w:rPr>
        <w:t xml:space="preserve"> and </w:t>
      </w:r>
      <w:r w:rsidR="0008268E">
        <w:rPr>
          <w:rFonts w:ascii="Times New Roman" w:hAnsi="Times New Roman" w:cs="Times New Roman"/>
          <w:sz w:val="24"/>
          <w:szCs w:val="24"/>
        </w:rPr>
        <w:t>GPC</w:t>
      </w:r>
      <w:r w:rsidR="00193EB3">
        <w:rPr>
          <w:rFonts w:ascii="Times New Roman" w:hAnsi="Times New Roman" w:cs="Times New Roman"/>
          <w:sz w:val="24"/>
          <w:szCs w:val="24"/>
        </w:rPr>
        <w:t>.  To ensure symmetry, t</w:t>
      </w:r>
      <w:r w:rsidR="00193EB3" w:rsidRPr="00193EB3">
        <w:rPr>
          <w:rFonts w:ascii="Times New Roman" w:hAnsi="Times New Roman" w:cs="Times New Roman"/>
          <w:sz w:val="24"/>
          <w:szCs w:val="24"/>
        </w:rPr>
        <w:t>he Commission should approve continuation</w:t>
      </w:r>
      <w:r w:rsidR="00193EB3">
        <w:rPr>
          <w:rFonts w:ascii="Times New Roman" w:hAnsi="Times New Roman" w:cs="Times New Roman"/>
          <w:sz w:val="24"/>
          <w:szCs w:val="24"/>
        </w:rPr>
        <w:t xml:space="preserve"> of the Interim Cost Recovery (IRP</w:t>
      </w:r>
      <w:r w:rsidR="00193EB3" w:rsidRPr="00193EB3">
        <w:rPr>
          <w:rFonts w:ascii="Times New Roman" w:hAnsi="Times New Roman" w:cs="Times New Roman"/>
          <w:sz w:val="24"/>
          <w:szCs w:val="24"/>
        </w:rPr>
        <w:t xml:space="preserve">) mechanism, which allows </w:t>
      </w:r>
      <w:r w:rsidR="0008268E">
        <w:rPr>
          <w:rFonts w:ascii="Times New Roman" w:hAnsi="Times New Roman" w:cs="Times New Roman"/>
          <w:sz w:val="24"/>
          <w:szCs w:val="24"/>
        </w:rPr>
        <w:t>GPC</w:t>
      </w:r>
      <w:r w:rsidR="00193EB3" w:rsidRPr="00193EB3">
        <w:rPr>
          <w:rFonts w:ascii="Times New Roman" w:hAnsi="Times New Roman" w:cs="Times New Roman"/>
          <w:sz w:val="24"/>
          <w:szCs w:val="24"/>
        </w:rPr>
        <w:t xml:space="preserve"> expedited recovery when earnings fall below the lower end of the band.  </w:t>
      </w:r>
    </w:p>
    <w:p w:rsidR="0060150E" w:rsidRPr="0060150E" w:rsidRDefault="0060150E" w:rsidP="0060150E">
      <w:pPr>
        <w:spacing w:after="0" w:line="480" w:lineRule="auto"/>
        <w:jc w:val="center"/>
        <w:rPr>
          <w:rFonts w:ascii="Times New Roman" w:hAnsi="Times New Roman" w:cs="Times New Roman"/>
          <w:b/>
          <w:sz w:val="24"/>
          <w:szCs w:val="24"/>
        </w:rPr>
      </w:pPr>
      <w:r w:rsidRPr="0060150E">
        <w:rPr>
          <w:rFonts w:ascii="Times New Roman" w:hAnsi="Times New Roman" w:cs="Times New Roman"/>
          <w:b/>
          <w:sz w:val="24"/>
          <w:szCs w:val="24"/>
        </w:rPr>
        <w:t>CUSTOMER-REQUESTED LOWER CUSTOMER BASELINE LOAD</w:t>
      </w:r>
    </w:p>
    <w:p w:rsidR="0060150E" w:rsidRDefault="0060150E" w:rsidP="0088276D">
      <w:pPr>
        <w:spacing w:after="0" w:line="480" w:lineRule="auto"/>
        <w:ind w:firstLine="720"/>
        <w:rPr>
          <w:rFonts w:ascii="Times New Roman" w:hAnsi="Times New Roman" w:cs="Times New Roman"/>
          <w:sz w:val="24"/>
          <w:szCs w:val="24"/>
        </w:rPr>
      </w:pPr>
      <w:r w:rsidRPr="0060150E">
        <w:rPr>
          <w:rFonts w:ascii="Times New Roman" w:hAnsi="Times New Roman" w:cs="Times New Roman"/>
          <w:sz w:val="24"/>
          <w:szCs w:val="24"/>
        </w:rPr>
        <w:t xml:space="preserve">The Commission should deny Georgia Power’s request to lengthen the time period for an RTP customer to establish a lower </w:t>
      </w:r>
      <w:r w:rsidR="00514415">
        <w:rPr>
          <w:rFonts w:ascii="Times New Roman" w:hAnsi="Times New Roman" w:cs="Times New Roman"/>
          <w:sz w:val="24"/>
          <w:szCs w:val="24"/>
        </w:rPr>
        <w:t>Customer Baseline Load (</w:t>
      </w:r>
      <w:r w:rsidRPr="0060150E">
        <w:rPr>
          <w:rFonts w:ascii="Times New Roman" w:hAnsi="Times New Roman" w:cs="Times New Roman"/>
          <w:sz w:val="24"/>
          <w:szCs w:val="24"/>
        </w:rPr>
        <w:t>CBL</w:t>
      </w:r>
      <w:r w:rsidR="00514415">
        <w:rPr>
          <w:rFonts w:ascii="Times New Roman" w:hAnsi="Times New Roman" w:cs="Times New Roman"/>
          <w:sz w:val="24"/>
          <w:szCs w:val="24"/>
        </w:rPr>
        <w:t>)</w:t>
      </w:r>
      <w:r w:rsidRPr="0060150E">
        <w:rPr>
          <w:rFonts w:ascii="Times New Roman" w:hAnsi="Times New Roman" w:cs="Times New Roman"/>
          <w:sz w:val="24"/>
          <w:szCs w:val="24"/>
        </w:rPr>
        <w:t xml:space="preserve"> without approved load </w:t>
      </w:r>
      <w:r w:rsidRPr="0060150E">
        <w:rPr>
          <w:rFonts w:ascii="Times New Roman" w:hAnsi="Times New Roman" w:cs="Times New Roman"/>
          <w:sz w:val="24"/>
          <w:szCs w:val="24"/>
        </w:rPr>
        <w:lastRenderedPageBreak/>
        <w:t xml:space="preserve">removal.  Georgia Power has asked to increase this time period from 12 months to 24 months.  This increased time period requirement is unnecessary </w:t>
      </w:r>
      <w:r w:rsidR="0088276D">
        <w:rPr>
          <w:rFonts w:ascii="Times New Roman" w:hAnsi="Times New Roman" w:cs="Times New Roman"/>
          <w:sz w:val="24"/>
          <w:szCs w:val="24"/>
        </w:rPr>
        <w:t>because</w:t>
      </w:r>
      <w:r w:rsidRPr="0060150E">
        <w:rPr>
          <w:rFonts w:ascii="Times New Roman" w:hAnsi="Times New Roman" w:cs="Times New Roman"/>
          <w:sz w:val="24"/>
          <w:szCs w:val="24"/>
        </w:rPr>
        <w:t xml:space="preserve"> a customer must remove itself from the RTP for twelve months, which serves as sufficient credible commitment that it has achieved the reduced load.</w:t>
      </w:r>
    </w:p>
    <w:p w:rsidR="003A4ABB" w:rsidRDefault="00193EB3" w:rsidP="003A4ABB">
      <w:pPr>
        <w:spacing w:after="0" w:line="240" w:lineRule="auto"/>
        <w:jc w:val="center"/>
        <w:rPr>
          <w:rFonts w:ascii="Times New Roman Bold" w:hAnsi="Times New Roman Bold" w:cs="Times New Roman"/>
          <w:b/>
          <w:caps/>
          <w:sz w:val="24"/>
          <w:szCs w:val="24"/>
        </w:rPr>
      </w:pPr>
      <w:r w:rsidRPr="00193EB3">
        <w:rPr>
          <w:rFonts w:ascii="Times New Roman Bold" w:hAnsi="Times New Roman Bold" w:cs="Times New Roman"/>
          <w:b/>
          <w:caps/>
          <w:sz w:val="24"/>
          <w:szCs w:val="24"/>
        </w:rPr>
        <w:t xml:space="preserve">Coal Combustion Residuals </w:t>
      </w:r>
    </w:p>
    <w:p w:rsidR="003A4ABB" w:rsidRDefault="00193EB3" w:rsidP="003A4ABB">
      <w:pPr>
        <w:spacing w:after="0" w:line="240" w:lineRule="auto"/>
        <w:jc w:val="center"/>
        <w:rPr>
          <w:rFonts w:ascii="Times New Roman Bold" w:hAnsi="Times New Roman Bold" w:cs="Times New Roman"/>
          <w:b/>
          <w:caps/>
          <w:sz w:val="24"/>
          <w:szCs w:val="24"/>
        </w:rPr>
      </w:pPr>
      <w:r w:rsidRPr="00193EB3">
        <w:rPr>
          <w:rFonts w:ascii="Times New Roman Bold" w:hAnsi="Times New Roman Bold" w:cs="Times New Roman"/>
          <w:b/>
          <w:caps/>
          <w:sz w:val="24"/>
          <w:szCs w:val="24"/>
        </w:rPr>
        <w:t>3-year Amortization and Recovery</w:t>
      </w:r>
    </w:p>
    <w:p w:rsidR="003A4ABB" w:rsidRDefault="003A4ABB" w:rsidP="003A4ABB">
      <w:pPr>
        <w:spacing w:after="0" w:line="240" w:lineRule="auto"/>
        <w:jc w:val="center"/>
        <w:rPr>
          <w:rFonts w:ascii="Times New Roman Bold" w:hAnsi="Times New Roman Bold" w:cs="Times New Roman"/>
          <w:b/>
          <w:caps/>
          <w:sz w:val="24"/>
          <w:szCs w:val="24"/>
        </w:rPr>
      </w:pPr>
    </w:p>
    <w:p w:rsidR="003A4ABB" w:rsidRDefault="0088276D" w:rsidP="003A4A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GPC has </w:t>
      </w:r>
      <w:r w:rsidR="00193EB3" w:rsidRPr="00193EB3">
        <w:rPr>
          <w:rFonts w:ascii="Times New Roman" w:hAnsi="Times New Roman" w:cs="Times New Roman"/>
          <w:sz w:val="24"/>
          <w:szCs w:val="24"/>
        </w:rPr>
        <w:t xml:space="preserve">proposed </w:t>
      </w:r>
      <w:r>
        <w:rPr>
          <w:rFonts w:ascii="Times New Roman" w:hAnsi="Times New Roman" w:cs="Times New Roman"/>
          <w:sz w:val="24"/>
          <w:szCs w:val="24"/>
        </w:rPr>
        <w:t xml:space="preserve">a </w:t>
      </w:r>
      <w:r w:rsidR="00193EB3" w:rsidRPr="00193EB3">
        <w:rPr>
          <w:rFonts w:ascii="Times New Roman" w:hAnsi="Times New Roman" w:cs="Times New Roman"/>
          <w:sz w:val="24"/>
          <w:szCs w:val="24"/>
        </w:rPr>
        <w:t xml:space="preserve">rolling 3-year </w:t>
      </w:r>
      <w:r w:rsidR="003A4ABB">
        <w:rPr>
          <w:rFonts w:ascii="Times New Roman" w:hAnsi="Times New Roman" w:cs="Times New Roman"/>
          <w:sz w:val="24"/>
          <w:szCs w:val="24"/>
        </w:rPr>
        <w:t>amortization and recovery of Coal Combustion Residuals (CCR)</w:t>
      </w:r>
      <w:r w:rsidR="00193EB3" w:rsidRPr="00193EB3">
        <w:rPr>
          <w:rFonts w:ascii="Times New Roman" w:hAnsi="Times New Roman" w:cs="Times New Roman"/>
          <w:sz w:val="24"/>
          <w:szCs w:val="24"/>
        </w:rPr>
        <w:t xml:space="preserve"> as those costs are incurred as approved by the Commission. </w:t>
      </w:r>
      <w:r>
        <w:rPr>
          <w:rFonts w:ascii="Times New Roman" w:hAnsi="Times New Roman" w:cs="Times New Roman"/>
          <w:sz w:val="24"/>
          <w:szCs w:val="24"/>
        </w:rPr>
        <w:t xml:space="preserve"> </w:t>
      </w:r>
      <w:r w:rsidR="00193EB3" w:rsidRPr="00193EB3">
        <w:rPr>
          <w:rFonts w:ascii="Times New Roman" w:hAnsi="Times New Roman" w:cs="Times New Roman"/>
          <w:sz w:val="24"/>
          <w:szCs w:val="24"/>
        </w:rPr>
        <w:t>Given the substantial size and uncertainty of the amount of CCR costs to be recovered, the Com</w:t>
      </w:r>
      <w:r w:rsidR="003A4ABB">
        <w:rPr>
          <w:rFonts w:ascii="Times New Roman" w:hAnsi="Times New Roman" w:cs="Times New Roman"/>
          <w:sz w:val="24"/>
          <w:szCs w:val="24"/>
        </w:rPr>
        <w:t xml:space="preserve">mission should </w:t>
      </w:r>
      <w:r>
        <w:rPr>
          <w:rFonts w:ascii="Times New Roman" w:hAnsi="Times New Roman" w:cs="Times New Roman"/>
          <w:sz w:val="24"/>
          <w:szCs w:val="24"/>
        </w:rPr>
        <w:t>order</w:t>
      </w:r>
      <w:r w:rsidR="003A4ABB">
        <w:rPr>
          <w:rFonts w:ascii="Times New Roman" w:hAnsi="Times New Roman" w:cs="Times New Roman"/>
          <w:sz w:val="24"/>
          <w:szCs w:val="24"/>
        </w:rPr>
        <w:t xml:space="preserve"> that GPC </w:t>
      </w:r>
      <w:r w:rsidR="00193EB3" w:rsidRPr="00193EB3">
        <w:rPr>
          <w:rFonts w:ascii="Times New Roman" w:hAnsi="Times New Roman" w:cs="Times New Roman"/>
          <w:sz w:val="24"/>
          <w:szCs w:val="24"/>
        </w:rPr>
        <w:t xml:space="preserve">recovers these costs through an exact cost recovery rider designed as a percent of base revenue structured in a similar fashion as </w:t>
      </w:r>
      <w:r w:rsidR="003A4ABB">
        <w:rPr>
          <w:rFonts w:ascii="Times New Roman" w:hAnsi="Times New Roman" w:cs="Times New Roman"/>
          <w:sz w:val="24"/>
          <w:szCs w:val="24"/>
        </w:rPr>
        <w:t>GPC</w:t>
      </w:r>
      <w:r w:rsidR="00193EB3" w:rsidRPr="00193EB3">
        <w:rPr>
          <w:rFonts w:ascii="Times New Roman" w:hAnsi="Times New Roman" w:cs="Times New Roman"/>
          <w:sz w:val="24"/>
          <w:szCs w:val="24"/>
        </w:rPr>
        <w:t>’s current base-rate recovery riders tariffs (e.g., Nuclear Construction Cost Recovery tariff).</w:t>
      </w:r>
      <w:r w:rsidR="003A4ABB">
        <w:rPr>
          <w:rStyle w:val="FootnoteReference"/>
          <w:rFonts w:ascii="Times New Roman" w:hAnsi="Times New Roman" w:cs="Times New Roman"/>
          <w:sz w:val="24"/>
          <w:szCs w:val="24"/>
        </w:rPr>
        <w:footnoteReference w:id="31"/>
      </w:r>
      <w:r w:rsidR="00193EB3" w:rsidRPr="00193EB3">
        <w:rPr>
          <w:rFonts w:ascii="Times New Roman" w:hAnsi="Times New Roman" w:cs="Times New Roman"/>
          <w:sz w:val="24"/>
          <w:szCs w:val="24"/>
        </w:rPr>
        <w:t xml:space="preserve"> </w:t>
      </w:r>
      <w:r w:rsidR="003A4ABB">
        <w:rPr>
          <w:rFonts w:ascii="Times New Roman" w:hAnsi="Times New Roman" w:cs="Times New Roman"/>
          <w:sz w:val="24"/>
          <w:szCs w:val="24"/>
        </w:rPr>
        <w:t xml:space="preserve"> </w:t>
      </w:r>
      <w:r w:rsidR="002F23CD">
        <w:rPr>
          <w:rFonts w:ascii="Times New Roman" w:hAnsi="Times New Roman" w:cs="Times New Roman"/>
          <w:sz w:val="24"/>
          <w:szCs w:val="24"/>
        </w:rPr>
        <w:t>GPC</w:t>
      </w:r>
      <w:r w:rsidR="00193EB3" w:rsidRPr="00193EB3">
        <w:rPr>
          <w:rFonts w:ascii="Times New Roman" w:hAnsi="Times New Roman" w:cs="Times New Roman"/>
          <w:sz w:val="24"/>
          <w:szCs w:val="24"/>
        </w:rPr>
        <w:t xml:space="preserve"> is not </w:t>
      </w:r>
      <w:r>
        <w:rPr>
          <w:rFonts w:ascii="Times New Roman" w:hAnsi="Times New Roman" w:cs="Times New Roman"/>
          <w:sz w:val="24"/>
          <w:szCs w:val="24"/>
        </w:rPr>
        <w:t>disputing</w:t>
      </w:r>
      <w:r w:rsidR="00193EB3" w:rsidRPr="00193EB3">
        <w:rPr>
          <w:rFonts w:ascii="Times New Roman" w:hAnsi="Times New Roman" w:cs="Times New Roman"/>
          <w:sz w:val="24"/>
          <w:szCs w:val="24"/>
        </w:rPr>
        <w:t xml:space="preserve"> exact cost recovery of CCR. </w:t>
      </w:r>
      <w:r w:rsidR="002F23CD">
        <w:rPr>
          <w:rFonts w:ascii="Times New Roman" w:hAnsi="Times New Roman" w:cs="Times New Roman"/>
          <w:sz w:val="24"/>
          <w:szCs w:val="24"/>
        </w:rPr>
        <w:t xml:space="preserve"> </w:t>
      </w:r>
      <w:r>
        <w:rPr>
          <w:rFonts w:ascii="Times New Roman" w:hAnsi="Times New Roman" w:cs="Times New Roman"/>
          <w:sz w:val="24"/>
          <w:szCs w:val="24"/>
        </w:rPr>
        <w:t xml:space="preserve">GPC explained </w:t>
      </w:r>
      <w:r w:rsidR="00C3754E">
        <w:rPr>
          <w:rFonts w:ascii="Times New Roman" w:hAnsi="Times New Roman" w:cs="Times New Roman"/>
          <w:sz w:val="24"/>
          <w:szCs w:val="24"/>
        </w:rPr>
        <w:t>that “</w:t>
      </w:r>
      <w:r w:rsidR="00193EB3" w:rsidRPr="00193EB3">
        <w:rPr>
          <w:rFonts w:ascii="Times New Roman" w:hAnsi="Times New Roman" w:cs="Times New Roman"/>
          <w:sz w:val="24"/>
          <w:szCs w:val="24"/>
        </w:rPr>
        <w:t>under ARO accounting, any over- or under-recovery of actual cost incurred compared to the recovery included in rates will be deferred to the ARO regulatory asset or liability account for future consideration.”</w:t>
      </w:r>
      <w:r w:rsidR="002F23CD">
        <w:rPr>
          <w:rStyle w:val="FootnoteReference"/>
          <w:rFonts w:ascii="Times New Roman" w:hAnsi="Times New Roman" w:cs="Times New Roman"/>
          <w:sz w:val="24"/>
          <w:szCs w:val="24"/>
        </w:rPr>
        <w:footnoteReference w:id="32"/>
      </w:r>
      <w:r w:rsidR="00193EB3" w:rsidRPr="00193EB3">
        <w:rPr>
          <w:rFonts w:ascii="Times New Roman" w:hAnsi="Times New Roman" w:cs="Times New Roman"/>
          <w:sz w:val="24"/>
          <w:szCs w:val="24"/>
        </w:rPr>
        <w:t xml:space="preserve">   Given the public sensitivity regarding coal ash recovery,</w:t>
      </w:r>
      <w:r w:rsidR="003A4ABB">
        <w:rPr>
          <w:rFonts w:ascii="Times New Roman" w:hAnsi="Times New Roman" w:cs="Times New Roman"/>
          <w:sz w:val="24"/>
          <w:szCs w:val="24"/>
        </w:rPr>
        <w:t xml:space="preserve"> coupled with the fact that GPC </w:t>
      </w:r>
      <w:r w:rsidR="00193EB3" w:rsidRPr="00193EB3">
        <w:rPr>
          <w:rFonts w:ascii="Times New Roman" w:hAnsi="Times New Roman" w:cs="Times New Roman"/>
          <w:sz w:val="24"/>
          <w:szCs w:val="24"/>
        </w:rPr>
        <w:t>does not oppose exact cost recovery, a rider line item on the bill would make the cost recovery more transparent to customers and therefore should be mandated by the Commission</w:t>
      </w:r>
      <w:r w:rsidR="002F23CD">
        <w:rPr>
          <w:rFonts w:ascii="Times New Roman" w:hAnsi="Times New Roman" w:cs="Times New Roman"/>
          <w:sz w:val="24"/>
          <w:szCs w:val="24"/>
        </w:rPr>
        <w:t xml:space="preserve">. </w:t>
      </w:r>
      <w:r w:rsidR="00193EB3" w:rsidRPr="00193EB3">
        <w:rPr>
          <w:rFonts w:ascii="Times New Roman" w:hAnsi="Times New Roman" w:cs="Times New Roman"/>
          <w:sz w:val="24"/>
          <w:szCs w:val="24"/>
        </w:rPr>
        <w:t xml:space="preserve"> If the Commission does not think that transparency is necessary in relation to billing of CCR costs, and hence that cost recovery through a new rider is </w:t>
      </w:r>
      <w:r w:rsidR="002F23CD">
        <w:rPr>
          <w:rFonts w:ascii="Times New Roman" w:hAnsi="Times New Roman" w:cs="Times New Roman"/>
          <w:sz w:val="24"/>
          <w:szCs w:val="24"/>
        </w:rPr>
        <w:t>un</w:t>
      </w:r>
      <w:r w:rsidR="00193EB3" w:rsidRPr="00193EB3">
        <w:rPr>
          <w:rFonts w:ascii="Times New Roman" w:hAnsi="Times New Roman" w:cs="Times New Roman"/>
          <w:sz w:val="24"/>
          <w:szCs w:val="24"/>
        </w:rPr>
        <w:t>warranted, the Commission should order CCR costs to be recovered though the Environmental Compliance Cost Recovery (ECCR) tariff.</w:t>
      </w:r>
      <w:r w:rsidR="002F23CD">
        <w:rPr>
          <w:rStyle w:val="FootnoteReference"/>
          <w:rFonts w:ascii="Times New Roman" w:hAnsi="Times New Roman" w:cs="Times New Roman"/>
          <w:sz w:val="24"/>
          <w:szCs w:val="24"/>
        </w:rPr>
        <w:footnoteReference w:id="33"/>
      </w:r>
      <w:r w:rsidR="00193EB3" w:rsidRPr="00193EB3">
        <w:rPr>
          <w:rFonts w:ascii="Times New Roman" w:hAnsi="Times New Roman" w:cs="Times New Roman"/>
          <w:sz w:val="24"/>
          <w:szCs w:val="24"/>
        </w:rPr>
        <w:t xml:space="preserve"> </w:t>
      </w:r>
    </w:p>
    <w:p w:rsidR="003A4ABB" w:rsidRDefault="00193EB3" w:rsidP="008357FC">
      <w:pPr>
        <w:keepNext/>
        <w:spacing w:after="0" w:line="480" w:lineRule="auto"/>
        <w:jc w:val="center"/>
        <w:rPr>
          <w:rFonts w:ascii="Times New Roman Bold" w:hAnsi="Times New Roman Bold" w:cs="Times New Roman"/>
          <w:b/>
          <w:caps/>
          <w:sz w:val="24"/>
          <w:szCs w:val="24"/>
        </w:rPr>
      </w:pPr>
      <w:r w:rsidRPr="003A4ABB">
        <w:rPr>
          <w:rFonts w:ascii="Times New Roman Bold" w:hAnsi="Times New Roman Bold" w:cs="Times New Roman"/>
          <w:b/>
          <w:caps/>
          <w:sz w:val="24"/>
          <w:szCs w:val="24"/>
        </w:rPr>
        <w:lastRenderedPageBreak/>
        <w:t>Storm Damage Costs</w:t>
      </w:r>
    </w:p>
    <w:p w:rsidR="00193EB3" w:rsidRDefault="00423ED4" w:rsidP="008357FC">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3EB3" w:rsidRPr="00193EB3">
        <w:rPr>
          <w:rFonts w:ascii="Times New Roman" w:hAnsi="Times New Roman" w:cs="Times New Roman"/>
          <w:sz w:val="24"/>
          <w:szCs w:val="24"/>
        </w:rPr>
        <w:t>The Commission should approve an annual deferred cost recovery me</w:t>
      </w:r>
      <w:r w:rsidR="00514415">
        <w:rPr>
          <w:rFonts w:ascii="Times New Roman" w:hAnsi="Times New Roman" w:cs="Times New Roman"/>
          <w:sz w:val="24"/>
          <w:szCs w:val="24"/>
        </w:rPr>
        <w:t>chanism and recovery rider for storm damage c</w:t>
      </w:r>
      <w:r w:rsidR="00193EB3" w:rsidRPr="00193EB3">
        <w:rPr>
          <w:rFonts w:ascii="Times New Roman" w:hAnsi="Times New Roman" w:cs="Times New Roman"/>
          <w:sz w:val="24"/>
          <w:szCs w:val="24"/>
        </w:rPr>
        <w:t>osts, rather than the past and proposed Geor</w:t>
      </w:r>
      <w:r w:rsidR="0015285C">
        <w:rPr>
          <w:rFonts w:ascii="Times New Roman" w:hAnsi="Times New Roman" w:cs="Times New Roman"/>
          <w:sz w:val="24"/>
          <w:szCs w:val="24"/>
        </w:rPr>
        <w:t xml:space="preserve">gia Power practice in which GPC </w:t>
      </w:r>
      <w:r w:rsidR="00193EB3" w:rsidRPr="00193EB3">
        <w:rPr>
          <w:rFonts w:ascii="Times New Roman" w:hAnsi="Times New Roman" w:cs="Times New Roman"/>
          <w:sz w:val="24"/>
          <w:szCs w:val="24"/>
        </w:rPr>
        <w:t>incorporates storm damage recovery directly in base rates.  This treatment will avoid the possibility of future excessive buildup of excessive storm damage balances similar to what has happened since 2013</w:t>
      </w:r>
      <w:r w:rsidR="0015285C">
        <w:rPr>
          <w:rStyle w:val="FootnoteReference"/>
          <w:rFonts w:ascii="Times New Roman" w:hAnsi="Times New Roman" w:cs="Times New Roman"/>
          <w:sz w:val="24"/>
          <w:szCs w:val="24"/>
        </w:rPr>
        <w:footnoteReference w:id="34"/>
      </w:r>
      <w:r w:rsidR="00193EB3" w:rsidRPr="00193EB3">
        <w:rPr>
          <w:rFonts w:ascii="Times New Roman" w:hAnsi="Times New Roman" w:cs="Times New Roman"/>
          <w:sz w:val="24"/>
          <w:szCs w:val="24"/>
        </w:rPr>
        <w:t>, and eliminate the need for an additional $40.8 million increase in base rates for the storm damage reser</w:t>
      </w:r>
      <w:r>
        <w:rPr>
          <w:rFonts w:ascii="Times New Roman" w:hAnsi="Times New Roman" w:cs="Times New Roman"/>
          <w:sz w:val="24"/>
          <w:szCs w:val="24"/>
        </w:rPr>
        <w:t>ve</w:t>
      </w:r>
      <w:r w:rsidR="00193EB3" w:rsidRPr="00193EB3">
        <w:rPr>
          <w:rFonts w:ascii="Times New Roman" w:hAnsi="Times New Roman" w:cs="Times New Roman"/>
          <w:sz w:val="24"/>
          <w:szCs w:val="24"/>
        </w:rPr>
        <w:t>.</w:t>
      </w:r>
      <w:r>
        <w:rPr>
          <w:rStyle w:val="FootnoteReference"/>
          <w:rFonts w:ascii="Times New Roman" w:hAnsi="Times New Roman" w:cs="Times New Roman"/>
          <w:sz w:val="24"/>
          <w:szCs w:val="24"/>
        </w:rPr>
        <w:footnoteReference w:id="35"/>
      </w:r>
      <w:r w:rsidR="00193EB3" w:rsidRPr="00193EB3">
        <w:rPr>
          <w:rFonts w:ascii="Times New Roman" w:hAnsi="Times New Roman" w:cs="Times New Roman"/>
          <w:sz w:val="24"/>
          <w:szCs w:val="24"/>
        </w:rPr>
        <w:t xml:space="preserve"> </w:t>
      </w:r>
      <w:r>
        <w:rPr>
          <w:rFonts w:ascii="Times New Roman" w:hAnsi="Times New Roman" w:cs="Times New Roman"/>
          <w:sz w:val="24"/>
          <w:szCs w:val="24"/>
        </w:rPr>
        <w:t xml:space="preserve"> </w:t>
      </w:r>
      <w:r w:rsidR="008F098E">
        <w:rPr>
          <w:rFonts w:ascii="Times New Roman" w:hAnsi="Times New Roman" w:cs="Times New Roman"/>
          <w:sz w:val="24"/>
          <w:szCs w:val="24"/>
        </w:rPr>
        <w:t>Similar</w:t>
      </w:r>
      <w:r w:rsidR="00193EB3" w:rsidRPr="00193EB3">
        <w:rPr>
          <w:rFonts w:ascii="Times New Roman" w:hAnsi="Times New Roman" w:cs="Times New Roman"/>
          <w:sz w:val="24"/>
          <w:szCs w:val="24"/>
        </w:rPr>
        <w:t xml:space="preserve"> to the case for CCR costs, </w:t>
      </w:r>
      <w:r w:rsidR="002C5E8F">
        <w:rPr>
          <w:rFonts w:ascii="Times New Roman" w:hAnsi="Times New Roman" w:cs="Times New Roman"/>
          <w:sz w:val="24"/>
          <w:szCs w:val="24"/>
        </w:rPr>
        <w:t>GPC</w:t>
      </w:r>
      <w:r w:rsidR="00193EB3" w:rsidRPr="00193EB3">
        <w:rPr>
          <w:rFonts w:ascii="Times New Roman" w:hAnsi="Times New Roman" w:cs="Times New Roman"/>
          <w:sz w:val="24"/>
          <w:szCs w:val="24"/>
        </w:rPr>
        <w:t xml:space="preserve"> is not </w:t>
      </w:r>
      <w:r w:rsidR="00514415">
        <w:rPr>
          <w:rFonts w:ascii="Times New Roman" w:hAnsi="Times New Roman" w:cs="Times New Roman"/>
          <w:sz w:val="24"/>
          <w:szCs w:val="24"/>
        </w:rPr>
        <w:t>disputing</w:t>
      </w:r>
      <w:r w:rsidR="00193EB3" w:rsidRPr="00193EB3">
        <w:rPr>
          <w:rFonts w:ascii="Times New Roman" w:hAnsi="Times New Roman" w:cs="Times New Roman"/>
          <w:sz w:val="24"/>
          <w:szCs w:val="24"/>
        </w:rPr>
        <w:t xml:space="preserve"> exact cost recovery of </w:t>
      </w:r>
      <w:r w:rsidR="00514415">
        <w:rPr>
          <w:rFonts w:ascii="Times New Roman" w:hAnsi="Times New Roman" w:cs="Times New Roman"/>
          <w:sz w:val="24"/>
          <w:szCs w:val="24"/>
        </w:rPr>
        <w:t>storm damage c</w:t>
      </w:r>
      <w:r w:rsidR="00193EB3" w:rsidRPr="00193EB3">
        <w:rPr>
          <w:rFonts w:ascii="Times New Roman" w:hAnsi="Times New Roman" w:cs="Times New Roman"/>
          <w:sz w:val="24"/>
          <w:szCs w:val="24"/>
        </w:rPr>
        <w:t>osts.</w:t>
      </w:r>
      <w:r w:rsidR="002C5E8F">
        <w:rPr>
          <w:rStyle w:val="FootnoteReference"/>
          <w:rFonts w:ascii="Times New Roman" w:hAnsi="Times New Roman" w:cs="Times New Roman"/>
          <w:sz w:val="24"/>
          <w:szCs w:val="24"/>
        </w:rPr>
        <w:footnoteReference w:id="36"/>
      </w:r>
      <w:r w:rsidR="00193EB3" w:rsidRPr="00193EB3">
        <w:rPr>
          <w:rFonts w:ascii="Times New Roman" w:hAnsi="Times New Roman" w:cs="Times New Roman"/>
          <w:sz w:val="24"/>
          <w:szCs w:val="24"/>
        </w:rPr>
        <w:t xml:space="preserve"> </w:t>
      </w:r>
      <w:r w:rsidR="008F098E">
        <w:rPr>
          <w:rFonts w:ascii="Times New Roman" w:hAnsi="Times New Roman" w:cs="Times New Roman"/>
          <w:sz w:val="24"/>
          <w:szCs w:val="24"/>
        </w:rPr>
        <w:t xml:space="preserve"> </w:t>
      </w:r>
      <w:r w:rsidR="00193EB3" w:rsidRPr="00193EB3">
        <w:rPr>
          <w:rFonts w:ascii="Times New Roman" w:hAnsi="Times New Roman" w:cs="Times New Roman"/>
          <w:sz w:val="24"/>
          <w:szCs w:val="24"/>
        </w:rPr>
        <w:t xml:space="preserve">The Commission should order </w:t>
      </w:r>
      <w:r w:rsidR="008F098E">
        <w:rPr>
          <w:rFonts w:ascii="Times New Roman" w:hAnsi="Times New Roman" w:cs="Times New Roman"/>
          <w:sz w:val="24"/>
          <w:szCs w:val="24"/>
        </w:rPr>
        <w:t>GPC to</w:t>
      </w:r>
      <w:r w:rsidR="00193EB3" w:rsidRPr="00193EB3">
        <w:rPr>
          <w:rFonts w:ascii="Times New Roman" w:hAnsi="Times New Roman" w:cs="Times New Roman"/>
          <w:sz w:val="24"/>
          <w:szCs w:val="24"/>
        </w:rPr>
        <w:t xml:space="preserve"> establ</w:t>
      </w:r>
      <w:r w:rsidR="00514415">
        <w:rPr>
          <w:rFonts w:ascii="Times New Roman" w:hAnsi="Times New Roman" w:cs="Times New Roman"/>
          <w:sz w:val="24"/>
          <w:szCs w:val="24"/>
        </w:rPr>
        <w:t>ish a new rider to account for storm damage c</w:t>
      </w:r>
      <w:r w:rsidR="00193EB3" w:rsidRPr="00193EB3">
        <w:rPr>
          <w:rFonts w:ascii="Times New Roman" w:hAnsi="Times New Roman" w:cs="Times New Roman"/>
          <w:sz w:val="24"/>
          <w:szCs w:val="24"/>
        </w:rPr>
        <w:t>osts recovery.</w:t>
      </w:r>
    </w:p>
    <w:p w:rsidR="002B5064" w:rsidRDefault="002B5064" w:rsidP="002B506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C567EC" w:rsidRDefault="00C567EC" w:rsidP="00C567EC">
      <w:pPr>
        <w:spacing w:after="0" w:line="480" w:lineRule="auto"/>
        <w:rPr>
          <w:rFonts w:ascii="Times New Roman" w:hAnsi="Times New Roman" w:cs="Times New Roman"/>
          <w:sz w:val="24"/>
          <w:szCs w:val="24"/>
        </w:rPr>
      </w:pPr>
      <w:r>
        <w:rPr>
          <w:rFonts w:ascii="Times New Roman" w:hAnsi="Times New Roman" w:cs="Times New Roman"/>
          <w:sz w:val="24"/>
          <w:szCs w:val="24"/>
        </w:rPr>
        <w:tab/>
        <w:t>As set forth in this brief, the Commission</w:t>
      </w:r>
      <w:r w:rsidRPr="00C567EC">
        <w:rPr>
          <w:rFonts w:ascii="Times New Roman" w:hAnsi="Times New Roman" w:cs="Times New Roman"/>
          <w:sz w:val="24"/>
          <w:szCs w:val="24"/>
        </w:rPr>
        <w:t xml:space="preserve"> should order: (1) an authorized return on equity of 9.1 percent; (2) additional language in the Time of Use Revenue Neutral tariff if the Commission eliminates the Multiple Load Management tariff, (3) reduction of the earnings band from 200 basis points to 100 basis points, (4) no changes to the 12-month requir</w:t>
      </w:r>
      <w:r w:rsidR="00514415">
        <w:rPr>
          <w:rFonts w:ascii="Times New Roman" w:hAnsi="Times New Roman" w:cs="Times New Roman"/>
          <w:sz w:val="24"/>
          <w:szCs w:val="24"/>
        </w:rPr>
        <w:t>ement that a RTP</w:t>
      </w:r>
      <w:r w:rsidRPr="00C567EC">
        <w:rPr>
          <w:rFonts w:ascii="Times New Roman" w:hAnsi="Times New Roman" w:cs="Times New Roman"/>
          <w:sz w:val="24"/>
          <w:szCs w:val="24"/>
        </w:rPr>
        <w:t xml:space="preserve"> customer come off RTP for twelve months if the customer wants to establish a lower </w:t>
      </w:r>
      <w:r w:rsidR="00514415">
        <w:rPr>
          <w:rFonts w:ascii="Times New Roman" w:hAnsi="Times New Roman" w:cs="Times New Roman"/>
          <w:sz w:val="24"/>
          <w:szCs w:val="24"/>
        </w:rPr>
        <w:t>CBL</w:t>
      </w:r>
      <w:r w:rsidRPr="00C567EC">
        <w:rPr>
          <w:rFonts w:ascii="Times New Roman" w:hAnsi="Times New Roman" w:cs="Times New Roman"/>
          <w:sz w:val="24"/>
          <w:szCs w:val="24"/>
        </w:rPr>
        <w:t xml:space="preserve">, (5) establishment of a </w:t>
      </w:r>
      <w:r w:rsidR="00514415">
        <w:rPr>
          <w:rFonts w:ascii="Times New Roman" w:hAnsi="Times New Roman" w:cs="Times New Roman"/>
          <w:sz w:val="24"/>
          <w:szCs w:val="24"/>
        </w:rPr>
        <w:t>CCR</w:t>
      </w:r>
      <w:r w:rsidRPr="00C567EC">
        <w:rPr>
          <w:rFonts w:ascii="Times New Roman" w:hAnsi="Times New Roman" w:cs="Times New Roman"/>
          <w:sz w:val="24"/>
          <w:szCs w:val="24"/>
        </w:rPr>
        <w:t xml:space="preserve"> rider,  and (6) for storm damage cost, an annual deferred cost recovery mechanism and storm damage recovery rider.</w:t>
      </w:r>
    </w:p>
    <w:p w:rsidR="008357FC" w:rsidRPr="00C567EC" w:rsidRDefault="008357FC" w:rsidP="00C567EC">
      <w:pPr>
        <w:spacing w:after="0" w:line="480" w:lineRule="auto"/>
        <w:rPr>
          <w:rFonts w:ascii="Times New Roman" w:hAnsi="Times New Roman" w:cs="Times New Roman"/>
          <w:sz w:val="24"/>
          <w:szCs w:val="24"/>
        </w:rPr>
      </w:pPr>
    </w:p>
    <w:p w:rsidR="009E6082" w:rsidRDefault="00650779" w:rsidP="00F3068D">
      <w:pPr>
        <w:keepNext/>
        <w:keepLine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B32A7">
        <w:rPr>
          <w:rFonts w:ascii="Times New Roman" w:hAnsi="Times New Roman" w:cs="Times New Roman"/>
          <w:sz w:val="24"/>
          <w:szCs w:val="24"/>
        </w:rPr>
        <w:tab/>
      </w:r>
      <w:r w:rsidR="000B32A7">
        <w:rPr>
          <w:rFonts w:ascii="Times New Roman" w:hAnsi="Times New Roman" w:cs="Times New Roman"/>
          <w:sz w:val="24"/>
          <w:szCs w:val="24"/>
        </w:rPr>
        <w:tab/>
      </w:r>
      <w:r w:rsidR="009E6082">
        <w:rPr>
          <w:rFonts w:ascii="Times New Roman" w:hAnsi="Times New Roman" w:cs="Times New Roman"/>
          <w:sz w:val="24"/>
          <w:szCs w:val="24"/>
        </w:rPr>
        <w:t>Respectfully submitted,</w:t>
      </w:r>
    </w:p>
    <w:p w:rsidR="009E6082" w:rsidRDefault="009E6082" w:rsidP="00F3068D">
      <w:pPr>
        <w:keepNext/>
        <w:keepLines/>
        <w:spacing w:after="0" w:line="480" w:lineRule="auto"/>
        <w:ind w:firstLine="720"/>
        <w:jc w:val="both"/>
        <w:rPr>
          <w:rFonts w:ascii="Times New Roman" w:hAnsi="Times New Roman" w:cs="Times New Roman"/>
          <w:sz w:val="24"/>
          <w:szCs w:val="24"/>
        </w:rPr>
      </w:pPr>
    </w:p>
    <w:p w:rsidR="009E6082" w:rsidRDefault="009E6082" w:rsidP="00F3068D">
      <w:pPr>
        <w:keepNext/>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865D94" w:rsidRPr="00865D94" w:rsidRDefault="009E6082" w:rsidP="00F3068D">
      <w:pPr>
        <w:keepNext/>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5D94" w:rsidRPr="00865D94">
        <w:rPr>
          <w:rFonts w:ascii="Times New Roman" w:hAnsi="Times New Roman" w:cs="Times New Roman"/>
          <w:sz w:val="24"/>
          <w:szCs w:val="24"/>
        </w:rPr>
        <w:t>Emily W. Medlyn</w:t>
      </w:r>
    </w:p>
    <w:p w:rsidR="00865D94" w:rsidRPr="00865D94" w:rsidRDefault="00865D94" w:rsidP="00F3068D">
      <w:pPr>
        <w:keepNext/>
        <w:keepLines/>
        <w:spacing w:after="0" w:line="240" w:lineRule="auto"/>
        <w:ind w:left="4320" w:firstLine="720"/>
        <w:jc w:val="both"/>
        <w:rPr>
          <w:rFonts w:ascii="Times New Roman" w:hAnsi="Times New Roman" w:cs="Times New Roman"/>
          <w:sz w:val="24"/>
          <w:szCs w:val="24"/>
        </w:rPr>
      </w:pPr>
      <w:r w:rsidRPr="00865D94">
        <w:rPr>
          <w:rFonts w:ascii="Times New Roman" w:hAnsi="Times New Roman" w:cs="Times New Roman"/>
          <w:sz w:val="24"/>
          <w:szCs w:val="24"/>
        </w:rPr>
        <w:t>General Attorney</w:t>
      </w:r>
    </w:p>
    <w:p w:rsidR="00865D94" w:rsidRPr="00865D94" w:rsidRDefault="00865D94" w:rsidP="00865D94">
      <w:pPr>
        <w:spacing w:after="0" w:line="240" w:lineRule="auto"/>
        <w:ind w:left="4320" w:firstLine="720"/>
        <w:jc w:val="both"/>
        <w:rPr>
          <w:rFonts w:ascii="Times New Roman" w:hAnsi="Times New Roman" w:cs="Times New Roman"/>
          <w:sz w:val="24"/>
          <w:szCs w:val="24"/>
        </w:rPr>
      </w:pPr>
      <w:r w:rsidRPr="00865D94">
        <w:rPr>
          <w:rFonts w:ascii="Times New Roman" w:hAnsi="Times New Roman" w:cs="Times New Roman"/>
          <w:sz w:val="24"/>
          <w:szCs w:val="24"/>
        </w:rPr>
        <w:t>U.S. Army Legal Services Agency</w:t>
      </w:r>
    </w:p>
    <w:p w:rsidR="00865D94" w:rsidRPr="00865D94" w:rsidRDefault="00865D94" w:rsidP="00865D94">
      <w:pPr>
        <w:spacing w:after="0" w:line="240" w:lineRule="auto"/>
        <w:ind w:left="4320" w:firstLine="720"/>
        <w:jc w:val="both"/>
        <w:rPr>
          <w:rFonts w:ascii="Times New Roman" w:hAnsi="Times New Roman" w:cs="Times New Roman"/>
          <w:sz w:val="24"/>
          <w:szCs w:val="24"/>
        </w:rPr>
      </w:pPr>
      <w:r w:rsidRPr="00865D94">
        <w:rPr>
          <w:rFonts w:ascii="Times New Roman" w:hAnsi="Times New Roman" w:cs="Times New Roman"/>
          <w:sz w:val="24"/>
          <w:szCs w:val="24"/>
        </w:rPr>
        <w:t>Regulatory Law Office (JALS-RL/IP)</w:t>
      </w:r>
    </w:p>
    <w:p w:rsidR="00865D94" w:rsidRPr="00865D94" w:rsidRDefault="00865D94" w:rsidP="00865D94">
      <w:pPr>
        <w:spacing w:after="0" w:line="240" w:lineRule="auto"/>
        <w:ind w:left="4320" w:firstLine="720"/>
        <w:jc w:val="both"/>
        <w:rPr>
          <w:rFonts w:ascii="Times New Roman" w:hAnsi="Times New Roman" w:cs="Times New Roman"/>
          <w:sz w:val="24"/>
          <w:szCs w:val="24"/>
        </w:rPr>
      </w:pPr>
      <w:r w:rsidRPr="00865D94">
        <w:rPr>
          <w:rFonts w:ascii="Times New Roman" w:hAnsi="Times New Roman" w:cs="Times New Roman"/>
          <w:sz w:val="24"/>
          <w:szCs w:val="24"/>
        </w:rPr>
        <w:t>9275 Gunston Road</w:t>
      </w:r>
    </w:p>
    <w:p w:rsidR="00865D94" w:rsidRPr="00865D94" w:rsidRDefault="00353FE0" w:rsidP="00865D94">
      <w:pPr>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Fort Belvoir, Virginia</w:t>
      </w:r>
      <w:r w:rsidR="00865D94" w:rsidRPr="00865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865D94" w:rsidRPr="00865D94">
        <w:rPr>
          <w:rFonts w:ascii="Times New Roman" w:hAnsi="Times New Roman" w:cs="Times New Roman"/>
          <w:sz w:val="24"/>
          <w:szCs w:val="24"/>
        </w:rPr>
        <w:t>22060-4446</w:t>
      </w:r>
    </w:p>
    <w:p w:rsidR="00865D94" w:rsidRPr="00865D94" w:rsidRDefault="00353FE0" w:rsidP="00865D94">
      <w:pPr>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Telephone: (703) 614-</w:t>
      </w:r>
      <w:r w:rsidR="00865D94" w:rsidRPr="00865D94">
        <w:rPr>
          <w:rFonts w:ascii="Times New Roman" w:hAnsi="Times New Roman" w:cs="Times New Roman"/>
          <w:sz w:val="24"/>
          <w:szCs w:val="24"/>
        </w:rPr>
        <w:t>3918</w:t>
      </w:r>
    </w:p>
    <w:p w:rsidR="00865D94" w:rsidRPr="00865D94" w:rsidRDefault="00353FE0" w:rsidP="00865D94">
      <w:pPr>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Facsimile: (703) 806-</w:t>
      </w:r>
      <w:r w:rsidR="00865D94" w:rsidRPr="00865D94">
        <w:rPr>
          <w:rFonts w:ascii="Times New Roman" w:hAnsi="Times New Roman" w:cs="Times New Roman"/>
          <w:sz w:val="24"/>
          <w:szCs w:val="24"/>
        </w:rPr>
        <w:t>0123</w:t>
      </w:r>
    </w:p>
    <w:p w:rsidR="00365576" w:rsidRDefault="00283013" w:rsidP="00D746B4">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December</w:t>
      </w:r>
      <w:r w:rsidR="00E41E47">
        <w:rPr>
          <w:rFonts w:ascii="Times New Roman" w:hAnsi="Times New Roman" w:cs="Times New Roman"/>
          <w:sz w:val="24"/>
          <w:szCs w:val="24"/>
        </w:rPr>
        <w:t xml:space="preserve"> </w:t>
      </w:r>
      <w:r w:rsidR="00061A90">
        <w:rPr>
          <w:rFonts w:ascii="Times New Roman" w:hAnsi="Times New Roman" w:cs="Times New Roman"/>
          <w:sz w:val="24"/>
          <w:szCs w:val="24"/>
        </w:rPr>
        <w:t>4</w:t>
      </w:r>
      <w:r w:rsidR="00E41E47">
        <w:rPr>
          <w:rFonts w:ascii="Times New Roman" w:hAnsi="Times New Roman" w:cs="Times New Roman"/>
          <w:sz w:val="24"/>
          <w:szCs w:val="24"/>
        </w:rPr>
        <w:t>, 2019</w:t>
      </w:r>
      <w:r w:rsidR="00E41E47">
        <w:rPr>
          <w:rFonts w:ascii="Times New Roman" w:hAnsi="Times New Roman" w:cs="Times New Roman"/>
          <w:sz w:val="24"/>
          <w:szCs w:val="24"/>
        </w:rPr>
        <w:tab/>
      </w:r>
      <w:r w:rsidR="00D746B4">
        <w:rPr>
          <w:rFonts w:ascii="Times New Roman" w:hAnsi="Times New Roman" w:cs="Times New Roman"/>
          <w:sz w:val="24"/>
          <w:szCs w:val="24"/>
        </w:rPr>
        <w:tab/>
      </w:r>
      <w:r w:rsidR="00D746B4">
        <w:rPr>
          <w:rFonts w:ascii="Times New Roman" w:hAnsi="Times New Roman" w:cs="Times New Roman"/>
          <w:sz w:val="24"/>
          <w:szCs w:val="24"/>
        </w:rPr>
        <w:tab/>
      </w:r>
      <w:r w:rsidR="00D746B4">
        <w:rPr>
          <w:rFonts w:ascii="Times New Roman" w:hAnsi="Times New Roman" w:cs="Times New Roman"/>
          <w:sz w:val="24"/>
          <w:szCs w:val="24"/>
        </w:rPr>
        <w:tab/>
      </w:r>
      <w:r w:rsidR="00D746B4">
        <w:rPr>
          <w:rFonts w:ascii="Times New Roman" w:hAnsi="Times New Roman" w:cs="Times New Roman"/>
          <w:sz w:val="24"/>
          <w:szCs w:val="24"/>
        </w:rPr>
        <w:tab/>
      </w:r>
      <w:r w:rsidR="00865D94" w:rsidRPr="00865D94">
        <w:rPr>
          <w:rFonts w:ascii="Times New Roman" w:hAnsi="Times New Roman" w:cs="Times New Roman"/>
          <w:sz w:val="24"/>
          <w:szCs w:val="24"/>
        </w:rPr>
        <w:t xml:space="preserve">Email: </w:t>
      </w:r>
      <w:hyperlink r:id="rId8" w:history="1">
        <w:r w:rsidR="00D746B4" w:rsidRPr="00ED60F5">
          <w:rPr>
            <w:rStyle w:val="Hyperlink"/>
            <w:rFonts w:ascii="Times New Roman" w:hAnsi="Times New Roman" w:cs="Times New Roman"/>
            <w:sz w:val="24"/>
            <w:szCs w:val="24"/>
          </w:rPr>
          <w:t>emily.w.medlyn.civ@mail.mil</w:t>
        </w:r>
      </w:hyperlink>
    </w:p>
    <w:p w:rsidR="00E41E47" w:rsidRDefault="00E41E47">
      <w:pPr>
        <w:rPr>
          <w:rStyle w:val="Hyperlink"/>
          <w:rFonts w:ascii="Times New Roman" w:hAnsi="Times New Roman" w:cs="Times New Roman"/>
          <w:sz w:val="24"/>
          <w:szCs w:val="24"/>
        </w:rPr>
      </w:pPr>
    </w:p>
    <w:sectPr w:rsidR="00E41E47" w:rsidSect="007C3A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DE" w:rsidRDefault="00DB73DE" w:rsidP="00DB73DE">
      <w:pPr>
        <w:spacing w:after="0" w:line="240" w:lineRule="auto"/>
      </w:pPr>
      <w:r>
        <w:separator/>
      </w:r>
    </w:p>
  </w:endnote>
  <w:endnote w:type="continuationSeparator" w:id="0">
    <w:p w:rsidR="00DB73DE" w:rsidRDefault="00DB73DE" w:rsidP="00DB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D2" w:rsidRDefault="005F7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86710"/>
      <w:docPartObj>
        <w:docPartGallery w:val="Page Numbers (Bottom of Page)"/>
        <w:docPartUnique/>
      </w:docPartObj>
    </w:sdtPr>
    <w:sdtContent>
      <w:sdt>
        <w:sdtPr>
          <w:id w:val="1728636285"/>
          <w:docPartObj>
            <w:docPartGallery w:val="Page Numbers (Top of Page)"/>
            <w:docPartUnique/>
          </w:docPartObj>
        </w:sdtPr>
        <w:sdtContent>
          <w:p w:rsidR="005F7ED2" w:rsidRDefault="005F7E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18A0">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18A0">
              <w:rPr>
                <w:b/>
                <w:bCs/>
                <w:noProof/>
              </w:rPr>
              <w:t>10</w:t>
            </w:r>
            <w:r>
              <w:rPr>
                <w:b/>
                <w:bCs/>
                <w:sz w:val="24"/>
                <w:szCs w:val="24"/>
              </w:rPr>
              <w:fldChar w:fldCharType="end"/>
            </w:r>
          </w:p>
        </w:sdtContent>
      </w:sdt>
    </w:sdtContent>
  </w:sdt>
  <w:p w:rsidR="005F7ED2" w:rsidRDefault="005F7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D2" w:rsidRDefault="005F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DE" w:rsidRDefault="00DB73DE" w:rsidP="00DB73DE">
      <w:pPr>
        <w:spacing w:after="0" w:line="240" w:lineRule="auto"/>
      </w:pPr>
      <w:r>
        <w:separator/>
      </w:r>
    </w:p>
  </w:footnote>
  <w:footnote w:type="continuationSeparator" w:id="0">
    <w:p w:rsidR="00DB73DE" w:rsidRDefault="00DB73DE" w:rsidP="00DB73DE">
      <w:pPr>
        <w:spacing w:after="0" w:line="240" w:lineRule="auto"/>
      </w:pPr>
      <w:r>
        <w:continuationSeparator/>
      </w:r>
    </w:p>
  </w:footnote>
  <w:footnote w:id="1">
    <w:p w:rsidR="00DB73DE" w:rsidRPr="00DB73DE" w:rsidRDefault="00DB73DE">
      <w:pPr>
        <w:pStyle w:val="FootnoteText"/>
        <w:rPr>
          <w:u w:val="single"/>
        </w:rPr>
      </w:pPr>
      <w:r>
        <w:rPr>
          <w:rStyle w:val="FootnoteReference"/>
        </w:rPr>
        <w:footnoteRef/>
      </w:r>
      <w:r>
        <w:t xml:space="preserve"> </w:t>
      </w:r>
      <w:r>
        <w:rPr>
          <w:u w:val="single"/>
        </w:rPr>
        <w:t>See</w:t>
      </w:r>
      <w:r>
        <w:t xml:space="preserve"> </w:t>
      </w:r>
      <w:r w:rsidRPr="00DB73DE">
        <w:t>Vander Weide Direct Testimony</w:t>
      </w:r>
      <w:r>
        <w:t xml:space="preserve">, p. 3, ln. 13-20, p. 9, ln 21—p. 11, ln 9; Gorman Direct Testimony, p. 31, ln 17—p. 32, ln 2; Reno Direct Testimony, </w:t>
      </w:r>
      <w:r w:rsidR="00113678">
        <w:t>p. 3, ln. 12-21.</w:t>
      </w:r>
    </w:p>
  </w:footnote>
  <w:footnote w:id="2">
    <w:p w:rsidR="007B0776" w:rsidRDefault="007B0776">
      <w:pPr>
        <w:pStyle w:val="FootnoteText"/>
      </w:pPr>
      <w:r>
        <w:rPr>
          <w:rStyle w:val="FootnoteReference"/>
        </w:rPr>
        <w:footnoteRef/>
      </w:r>
      <w:r>
        <w:t xml:space="preserve"> </w:t>
      </w:r>
      <w:r w:rsidRPr="007B0776">
        <w:t xml:space="preserve">Hearing Transcript </w:t>
      </w:r>
      <w:r>
        <w:t xml:space="preserve">p. 2470, ln. </w:t>
      </w:r>
      <w:r w:rsidRPr="007B0776">
        <w:t xml:space="preserve">2-17.  </w:t>
      </w:r>
    </w:p>
  </w:footnote>
  <w:footnote w:id="3">
    <w:p w:rsidR="00906951" w:rsidRDefault="00906951">
      <w:pPr>
        <w:pStyle w:val="FootnoteText"/>
      </w:pPr>
      <w:r>
        <w:rPr>
          <w:rStyle w:val="FootnoteReference"/>
        </w:rPr>
        <w:footnoteRef/>
      </w:r>
      <w:r>
        <w:t xml:space="preserve"> </w:t>
      </w:r>
      <w:r w:rsidRPr="00AF0E75">
        <w:rPr>
          <w:u w:val="single"/>
        </w:rPr>
        <w:t>See</w:t>
      </w:r>
      <w:r>
        <w:t xml:space="preserve"> Reno Direct Testimony, p. 4, ln. 15-17.</w:t>
      </w:r>
    </w:p>
  </w:footnote>
  <w:footnote w:id="4">
    <w:p w:rsidR="00AF0E75" w:rsidRDefault="00AF0E75">
      <w:pPr>
        <w:pStyle w:val="FootnoteText"/>
      </w:pPr>
      <w:r>
        <w:rPr>
          <w:rStyle w:val="FootnoteReference"/>
        </w:rPr>
        <w:footnoteRef/>
      </w:r>
      <w:r>
        <w:t xml:space="preserve"> </w:t>
      </w:r>
      <w:r w:rsidRPr="00AF0E75">
        <w:rPr>
          <w:u w:val="single"/>
        </w:rPr>
        <w:t>See</w:t>
      </w:r>
      <w:r>
        <w:t xml:space="preserve"> </w:t>
      </w:r>
      <w:r w:rsidR="005F0594" w:rsidRPr="005F0594">
        <w:rPr>
          <w:u w:val="single"/>
        </w:rPr>
        <w:t>Id.</w:t>
      </w:r>
      <w:r>
        <w:t>, p. 4, ln. 24-25—p. 5, ln. 1-2.</w:t>
      </w:r>
    </w:p>
  </w:footnote>
  <w:footnote w:id="5">
    <w:p w:rsidR="00AF0E75" w:rsidRDefault="00AF0E75">
      <w:pPr>
        <w:pStyle w:val="FootnoteText"/>
      </w:pPr>
      <w:r>
        <w:rPr>
          <w:rStyle w:val="FootnoteReference"/>
        </w:rPr>
        <w:footnoteRef/>
      </w:r>
      <w:r>
        <w:t xml:space="preserve"> </w:t>
      </w:r>
      <w:r w:rsidRPr="00AF0E75">
        <w:rPr>
          <w:u w:val="single"/>
        </w:rPr>
        <w:t>See</w:t>
      </w:r>
      <w:r>
        <w:t xml:space="preserve"> DOD/FEA Hearing Exhibit 30.</w:t>
      </w:r>
    </w:p>
  </w:footnote>
  <w:footnote w:id="6">
    <w:p w:rsidR="00F25440" w:rsidRPr="00F25440" w:rsidRDefault="00F25440">
      <w:pPr>
        <w:pStyle w:val="FootnoteText"/>
      </w:pPr>
      <w:r>
        <w:rPr>
          <w:rStyle w:val="FootnoteReference"/>
        </w:rPr>
        <w:footnoteRef/>
      </w:r>
      <w:r>
        <w:rPr>
          <w:rStyle w:val="FootnoteReference"/>
        </w:rPr>
        <w:footnoteRef/>
      </w:r>
      <w:r>
        <w:t xml:space="preserve"> </w:t>
      </w:r>
      <w:r>
        <w:rPr>
          <w:u w:val="single"/>
        </w:rPr>
        <w:t>See</w:t>
      </w:r>
      <w:r>
        <w:t xml:space="preserve"> Reno Direct Testimony, p. 18, ln. 7-11</w:t>
      </w:r>
    </w:p>
  </w:footnote>
  <w:footnote w:id="7">
    <w:p w:rsidR="003923F9" w:rsidRPr="003923F9" w:rsidRDefault="003923F9">
      <w:pPr>
        <w:pStyle w:val="FootnoteText"/>
      </w:pPr>
      <w:r>
        <w:rPr>
          <w:rStyle w:val="FootnoteReference"/>
        </w:rPr>
        <w:footnoteRef/>
      </w:r>
      <w:r>
        <w:t xml:space="preserve"> </w:t>
      </w:r>
      <w:r>
        <w:rPr>
          <w:u w:val="single"/>
        </w:rPr>
        <w:t>See</w:t>
      </w:r>
      <w:r>
        <w:t xml:space="preserve"> Vander Weide Direct Testimony, p. 29, ln. 21-28.</w:t>
      </w:r>
    </w:p>
  </w:footnote>
  <w:footnote w:id="8">
    <w:p w:rsidR="00B440D4" w:rsidRPr="00B440D4" w:rsidRDefault="00B440D4">
      <w:pPr>
        <w:pStyle w:val="FootnoteText"/>
      </w:pPr>
      <w:r>
        <w:rPr>
          <w:rStyle w:val="FootnoteReference"/>
        </w:rPr>
        <w:footnoteRef/>
      </w:r>
      <w:r>
        <w:t xml:space="preserve"> </w:t>
      </w:r>
      <w:r>
        <w:rPr>
          <w:u w:val="single"/>
        </w:rPr>
        <w:t>See</w:t>
      </w:r>
      <w:r>
        <w:t xml:space="preserve"> Reno, p. 22, ln. 20-23—p. 23, ln. 1-15.</w:t>
      </w:r>
    </w:p>
  </w:footnote>
  <w:footnote w:id="9">
    <w:p w:rsidR="00100620" w:rsidRPr="00100620" w:rsidRDefault="00100620">
      <w:pPr>
        <w:pStyle w:val="FootnoteText"/>
      </w:pPr>
      <w:r>
        <w:rPr>
          <w:rStyle w:val="FootnoteReference"/>
        </w:rPr>
        <w:footnoteRef/>
      </w:r>
      <w:r>
        <w:t xml:space="preserve"> </w:t>
      </w:r>
      <w:r>
        <w:rPr>
          <w:u w:val="single"/>
        </w:rPr>
        <w:t>See</w:t>
      </w:r>
      <w:r>
        <w:t xml:space="preserve"> Hearing Transcript, p. 2600, ln. 21-25—p. 2601, ln. 1-11.</w:t>
      </w:r>
    </w:p>
  </w:footnote>
  <w:footnote w:id="10">
    <w:p w:rsidR="00100620" w:rsidRPr="00100620" w:rsidRDefault="00100620">
      <w:pPr>
        <w:pStyle w:val="FootnoteText"/>
      </w:pPr>
      <w:r>
        <w:rPr>
          <w:rStyle w:val="FootnoteReference"/>
        </w:rPr>
        <w:footnoteRef/>
      </w:r>
      <w:r>
        <w:t xml:space="preserve"> </w:t>
      </w:r>
      <w:r>
        <w:rPr>
          <w:u w:val="single"/>
        </w:rPr>
        <w:t>See</w:t>
      </w:r>
      <w:r>
        <w:t xml:space="preserve"> Vander Weide Rebuttal Testimony, p. 36, ln. 26-28—p. 37, ln. 1-2.</w:t>
      </w:r>
    </w:p>
  </w:footnote>
  <w:footnote w:id="11">
    <w:p w:rsidR="00D72FB8" w:rsidRPr="00D72FB8" w:rsidRDefault="00D72FB8">
      <w:pPr>
        <w:pStyle w:val="FootnoteText"/>
      </w:pPr>
      <w:r>
        <w:rPr>
          <w:rStyle w:val="FootnoteReference"/>
        </w:rPr>
        <w:footnoteRef/>
      </w:r>
      <w:r>
        <w:t xml:space="preserve"> </w:t>
      </w:r>
      <w:r>
        <w:rPr>
          <w:u w:val="single"/>
        </w:rPr>
        <w:t>See</w:t>
      </w:r>
      <w:r>
        <w:t xml:space="preserve"> Reno Direct Testimony, p. </w:t>
      </w:r>
      <w:r w:rsidR="00F936AE">
        <w:t>23, ln</w:t>
      </w:r>
      <w:r w:rsidR="0057221A">
        <w:t>.</w:t>
      </w:r>
      <w:r w:rsidR="00F936AE">
        <w:t xml:space="preserve"> 1-7</w:t>
      </w:r>
      <w:r w:rsidR="0057221A">
        <w:t>.</w:t>
      </w:r>
    </w:p>
  </w:footnote>
  <w:footnote w:id="12">
    <w:p w:rsidR="00606DC8" w:rsidRPr="00606DC8" w:rsidRDefault="00606DC8">
      <w:pPr>
        <w:pStyle w:val="FootnoteText"/>
      </w:pPr>
      <w:r>
        <w:rPr>
          <w:rStyle w:val="FootnoteReference"/>
        </w:rPr>
        <w:footnoteRef/>
      </w:r>
      <w:r>
        <w:t xml:space="preserve"> </w:t>
      </w:r>
      <w:r>
        <w:rPr>
          <w:u w:val="single"/>
        </w:rPr>
        <w:t>See</w:t>
      </w:r>
      <w:r>
        <w:t xml:space="preserve"> </w:t>
      </w:r>
      <w:r w:rsidR="005F0594">
        <w:rPr>
          <w:u w:val="single"/>
        </w:rPr>
        <w:t>Id.</w:t>
      </w:r>
      <w:r>
        <w:t>, p. 40, ln. 16-18.</w:t>
      </w:r>
    </w:p>
  </w:footnote>
  <w:footnote w:id="13">
    <w:p w:rsidR="0057221A" w:rsidRPr="0057221A" w:rsidRDefault="0057221A">
      <w:pPr>
        <w:pStyle w:val="FootnoteText"/>
      </w:pPr>
      <w:r>
        <w:rPr>
          <w:rStyle w:val="FootnoteReference"/>
        </w:rPr>
        <w:footnoteRef/>
      </w:r>
      <w:r>
        <w:t xml:space="preserve"> </w:t>
      </w:r>
      <w:r>
        <w:rPr>
          <w:u w:val="single"/>
        </w:rPr>
        <w:t>See</w:t>
      </w:r>
      <w:r>
        <w:t xml:space="preserve"> </w:t>
      </w:r>
      <w:r w:rsidR="005F0594">
        <w:rPr>
          <w:u w:val="single"/>
        </w:rPr>
        <w:t>Id.</w:t>
      </w:r>
      <w:r>
        <w:t>, p. 40, ln. 13-21.</w:t>
      </w:r>
    </w:p>
  </w:footnote>
  <w:footnote w:id="14">
    <w:p w:rsidR="00F55D9E" w:rsidRPr="00F55D9E" w:rsidRDefault="00F55D9E">
      <w:pPr>
        <w:pStyle w:val="FootnoteText"/>
      </w:pPr>
      <w:r>
        <w:rPr>
          <w:rStyle w:val="FootnoteReference"/>
        </w:rPr>
        <w:footnoteRef/>
      </w:r>
      <w:r>
        <w:t xml:space="preserve"> </w:t>
      </w:r>
      <w:r>
        <w:rPr>
          <w:u w:val="single"/>
        </w:rPr>
        <w:t>See</w:t>
      </w:r>
      <w:r>
        <w:t xml:space="preserve"> Vander Weide Rebuttal Testimony, p. 43, ln. 16-17; p. 38, ln. 1-6.</w:t>
      </w:r>
    </w:p>
  </w:footnote>
  <w:footnote w:id="15">
    <w:p w:rsidR="006B5F17" w:rsidRPr="006B5F17" w:rsidRDefault="006B5F17">
      <w:pPr>
        <w:pStyle w:val="FootnoteText"/>
      </w:pPr>
      <w:r>
        <w:rPr>
          <w:rStyle w:val="FootnoteReference"/>
        </w:rPr>
        <w:footnoteRef/>
      </w:r>
      <w:r>
        <w:t xml:space="preserve"> </w:t>
      </w:r>
      <w:r>
        <w:rPr>
          <w:u w:val="single"/>
        </w:rPr>
        <w:t>See</w:t>
      </w:r>
      <w:r>
        <w:t xml:space="preserve"> Reno Direct Testimony, p. 49, Table 6 “All Model ROE Average.”</w:t>
      </w:r>
    </w:p>
  </w:footnote>
  <w:footnote w:id="16">
    <w:p w:rsidR="004C79CF" w:rsidRPr="004C79CF" w:rsidRDefault="004C79CF">
      <w:pPr>
        <w:pStyle w:val="FootnoteText"/>
      </w:pPr>
      <w:r>
        <w:rPr>
          <w:rStyle w:val="FootnoteReference"/>
        </w:rPr>
        <w:footnoteRef/>
      </w:r>
      <w:r>
        <w:t xml:space="preserve"> </w:t>
      </w:r>
      <w:r>
        <w:rPr>
          <w:u w:val="single"/>
        </w:rPr>
        <w:t>See</w:t>
      </w:r>
      <w:r>
        <w:t xml:space="preserve"> Reno Direct Testimony, p. 39, ln. 1-3.</w:t>
      </w:r>
    </w:p>
  </w:footnote>
  <w:footnote w:id="17">
    <w:p w:rsidR="001074DE" w:rsidRPr="001074DE" w:rsidRDefault="001074DE">
      <w:pPr>
        <w:pStyle w:val="FootnoteText"/>
      </w:pPr>
      <w:r>
        <w:rPr>
          <w:rStyle w:val="FootnoteReference"/>
        </w:rPr>
        <w:footnoteRef/>
      </w:r>
      <w:r>
        <w:t xml:space="preserve"> </w:t>
      </w:r>
      <w:r>
        <w:rPr>
          <w:u w:val="single"/>
        </w:rPr>
        <w:t>See</w:t>
      </w:r>
      <w:r>
        <w:t xml:space="preserve"> Hearing Transcript, p. 2602, ln. 24-25—p. 2603, ln. 1-3.</w:t>
      </w:r>
    </w:p>
  </w:footnote>
  <w:footnote w:id="18">
    <w:p w:rsidR="001074DE" w:rsidRPr="001074DE" w:rsidRDefault="001074DE">
      <w:pPr>
        <w:pStyle w:val="FootnoteText"/>
      </w:pPr>
      <w:r>
        <w:rPr>
          <w:rStyle w:val="FootnoteReference"/>
        </w:rPr>
        <w:footnoteRef/>
      </w:r>
      <w:r>
        <w:t xml:space="preserve"> </w:t>
      </w:r>
      <w:r>
        <w:rPr>
          <w:u w:val="single"/>
        </w:rPr>
        <w:t>See</w:t>
      </w:r>
      <w:r>
        <w:t xml:space="preserve"> </w:t>
      </w:r>
      <w:r w:rsidR="005F0594">
        <w:rPr>
          <w:u w:val="single"/>
        </w:rPr>
        <w:t>Id.</w:t>
      </w:r>
      <w:r>
        <w:t>, p. 2603, ln. 3-5</w:t>
      </w:r>
    </w:p>
  </w:footnote>
  <w:footnote w:id="19">
    <w:p w:rsidR="00673E86" w:rsidRDefault="00673E86">
      <w:pPr>
        <w:pStyle w:val="FootnoteText"/>
      </w:pPr>
      <w:r>
        <w:rPr>
          <w:rStyle w:val="FootnoteReference"/>
        </w:rPr>
        <w:footnoteRef/>
      </w:r>
      <w:r>
        <w:t xml:space="preserve"> Gorman Direct Testimony, p. 76, ln. 11-14.</w:t>
      </w:r>
    </w:p>
  </w:footnote>
  <w:footnote w:id="20">
    <w:p w:rsidR="00010D29" w:rsidRPr="00010D29" w:rsidRDefault="00010D29">
      <w:pPr>
        <w:pStyle w:val="FootnoteText"/>
      </w:pPr>
      <w:r>
        <w:rPr>
          <w:rStyle w:val="FootnoteReference"/>
        </w:rPr>
        <w:footnoteRef/>
      </w:r>
      <w:r>
        <w:t xml:space="preserve"> </w:t>
      </w:r>
      <w:r>
        <w:rPr>
          <w:u w:val="single"/>
        </w:rPr>
        <w:t>See</w:t>
      </w:r>
      <w:r>
        <w:t xml:space="preserve"> Vander Weide Direct Testimony, p. 42, ln. 9</w:t>
      </w:r>
    </w:p>
  </w:footnote>
  <w:footnote w:id="21">
    <w:p w:rsidR="00010D29" w:rsidRPr="00010D29" w:rsidRDefault="00010D29">
      <w:pPr>
        <w:pStyle w:val="FootnoteText"/>
      </w:pPr>
      <w:r>
        <w:rPr>
          <w:rStyle w:val="FootnoteReference"/>
        </w:rPr>
        <w:footnoteRef/>
      </w:r>
      <w:r>
        <w:t xml:space="preserve"> </w:t>
      </w:r>
      <w:r>
        <w:rPr>
          <w:u w:val="single"/>
        </w:rPr>
        <w:t>See</w:t>
      </w:r>
      <w:r>
        <w:t xml:space="preserve"> </w:t>
      </w:r>
      <w:r w:rsidR="005F0594">
        <w:rPr>
          <w:u w:val="single"/>
        </w:rPr>
        <w:t>Id.</w:t>
      </w:r>
      <w:r>
        <w:t xml:space="preserve">, p. 42, ln. </w:t>
      </w:r>
    </w:p>
  </w:footnote>
  <w:footnote w:id="22">
    <w:p w:rsidR="00010D29" w:rsidRPr="00010D29" w:rsidRDefault="00010D29">
      <w:pPr>
        <w:pStyle w:val="FootnoteText"/>
      </w:pPr>
      <w:r>
        <w:rPr>
          <w:rStyle w:val="FootnoteReference"/>
        </w:rPr>
        <w:footnoteRef/>
      </w:r>
      <w:r>
        <w:t xml:space="preserve"> </w:t>
      </w:r>
      <w:r>
        <w:rPr>
          <w:u w:val="single"/>
        </w:rPr>
        <w:t>See</w:t>
      </w:r>
      <w:r>
        <w:t xml:space="preserve"> Hearing Transcript, p. 539, ln.7-22; Reno Direct Testimony, p. 38, ln 12-13.</w:t>
      </w:r>
    </w:p>
  </w:footnote>
  <w:footnote w:id="23">
    <w:p w:rsidR="00E867E1" w:rsidRPr="00E867E1" w:rsidRDefault="00E867E1">
      <w:pPr>
        <w:pStyle w:val="FootnoteText"/>
      </w:pPr>
      <w:r>
        <w:rPr>
          <w:rStyle w:val="FootnoteReference"/>
        </w:rPr>
        <w:footnoteRef/>
      </w:r>
      <w:r>
        <w:t xml:space="preserve"> </w:t>
      </w:r>
      <w:r>
        <w:rPr>
          <w:u w:val="single"/>
        </w:rPr>
        <w:t>See</w:t>
      </w:r>
      <w:r>
        <w:t xml:space="preserve"> Reno Direct Testimony, p. 38, ln. 14-15.</w:t>
      </w:r>
    </w:p>
  </w:footnote>
  <w:footnote w:id="24">
    <w:p w:rsidR="00F75315" w:rsidRDefault="00F75315">
      <w:pPr>
        <w:pStyle w:val="FootnoteText"/>
      </w:pPr>
      <w:r>
        <w:rPr>
          <w:rStyle w:val="FootnoteReference"/>
        </w:rPr>
        <w:footnoteRef/>
      </w:r>
      <w:r>
        <w:t xml:space="preserve"> </w:t>
      </w:r>
      <w:r w:rsidRPr="00F75315">
        <w:rPr>
          <w:u w:val="single"/>
        </w:rPr>
        <w:t>See</w:t>
      </w:r>
      <w:r w:rsidRPr="00F75315">
        <w:t xml:space="preserve"> </w:t>
      </w:r>
      <w:r w:rsidR="005F0594">
        <w:rPr>
          <w:u w:val="single"/>
        </w:rPr>
        <w:t>Id.</w:t>
      </w:r>
      <w:r>
        <w:t xml:space="preserve"> p. 38, ln. 14-17.</w:t>
      </w:r>
    </w:p>
  </w:footnote>
  <w:footnote w:id="25">
    <w:p w:rsidR="00320F67" w:rsidRDefault="00320F67">
      <w:pPr>
        <w:pStyle w:val="FootnoteText"/>
      </w:pPr>
      <w:r>
        <w:rPr>
          <w:rStyle w:val="FootnoteReference"/>
        </w:rPr>
        <w:footnoteRef/>
      </w:r>
      <w:r>
        <w:t xml:space="preserve"> </w:t>
      </w:r>
      <w:r w:rsidRPr="00320F67">
        <w:rPr>
          <w:u w:val="single"/>
        </w:rPr>
        <w:t>See</w:t>
      </w:r>
      <w:r>
        <w:t xml:space="preserve"> Vander Weide Direct Testimony, </w:t>
      </w:r>
      <w:r w:rsidRPr="00320F67">
        <w:t>p</w:t>
      </w:r>
      <w:r>
        <w:t>. 4, ln. 1-5.</w:t>
      </w:r>
    </w:p>
  </w:footnote>
  <w:footnote w:id="26">
    <w:p w:rsidR="0009241C" w:rsidRPr="0009241C" w:rsidRDefault="0009241C">
      <w:pPr>
        <w:pStyle w:val="FootnoteText"/>
      </w:pPr>
      <w:r>
        <w:rPr>
          <w:rStyle w:val="FootnoteReference"/>
        </w:rPr>
        <w:footnoteRef/>
      </w:r>
      <w:r>
        <w:t xml:space="preserve"> </w:t>
      </w:r>
      <w:r>
        <w:rPr>
          <w:u w:val="single"/>
        </w:rPr>
        <w:t>See</w:t>
      </w:r>
      <w:r>
        <w:t xml:space="preserve"> Reno Direct Testimony, p. 47, ln. 14-19.</w:t>
      </w:r>
    </w:p>
  </w:footnote>
  <w:footnote w:id="27">
    <w:p w:rsidR="0009241C" w:rsidRPr="0009241C" w:rsidRDefault="0009241C">
      <w:pPr>
        <w:pStyle w:val="FootnoteText"/>
      </w:pPr>
      <w:r>
        <w:rPr>
          <w:rStyle w:val="FootnoteReference"/>
        </w:rPr>
        <w:footnoteRef/>
      </w:r>
      <w:r>
        <w:t xml:space="preserve"> </w:t>
      </w:r>
      <w:r>
        <w:rPr>
          <w:u w:val="single"/>
        </w:rPr>
        <w:t>See</w:t>
      </w:r>
      <w:r>
        <w:t xml:space="preserve"> Hearing Transcript, p. 511, ln. 14-18</w:t>
      </w:r>
    </w:p>
  </w:footnote>
  <w:footnote w:id="28">
    <w:p w:rsidR="000135F4" w:rsidRDefault="000135F4">
      <w:pPr>
        <w:pStyle w:val="FootnoteText"/>
      </w:pPr>
      <w:r>
        <w:rPr>
          <w:rStyle w:val="FootnoteReference"/>
        </w:rPr>
        <w:footnoteRef/>
      </w:r>
      <w:r>
        <w:t xml:space="preserve"> Transcript, p. 941, ln. 1-14.</w:t>
      </w:r>
    </w:p>
  </w:footnote>
  <w:footnote w:id="29">
    <w:p w:rsidR="000135F4" w:rsidRDefault="000135F4">
      <w:pPr>
        <w:pStyle w:val="FootnoteText"/>
      </w:pPr>
      <w:r>
        <w:rPr>
          <w:rStyle w:val="FootnoteReference"/>
        </w:rPr>
        <w:footnoteRef/>
      </w:r>
      <w:r>
        <w:t xml:space="preserve"> </w:t>
      </w:r>
      <w:r w:rsidR="005F0594">
        <w:rPr>
          <w:u w:val="single"/>
        </w:rPr>
        <w:t>Id.</w:t>
      </w:r>
      <w:r>
        <w:t>, p. 939, ln. 13-23.</w:t>
      </w:r>
    </w:p>
  </w:footnote>
  <w:footnote w:id="30">
    <w:p w:rsidR="00273B8D" w:rsidRDefault="00273B8D">
      <w:pPr>
        <w:pStyle w:val="FootnoteText"/>
      </w:pPr>
      <w:r>
        <w:rPr>
          <w:rStyle w:val="FootnoteReference"/>
        </w:rPr>
        <w:footnoteRef/>
      </w:r>
      <w:r>
        <w:t xml:space="preserve"> </w:t>
      </w:r>
      <w:r w:rsidR="005F0594">
        <w:rPr>
          <w:u w:val="single"/>
        </w:rPr>
        <w:t>Id.</w:t>
      </w:r>
      <w:bookmarkStart w:id="0" w:name="_GoBack"/>
      <w:bookmarkEnd w:id="0"/>
      <w:r>
        <w:t>, p. 948, ln. 5-10.</w:t>
      </w:r>
    </w:p>
  </w:footnote>
  <w:footnote w:id="31">
    <w:p w:rsidR="003A4ABB" w:rsidRDefault="003A4ABB">
      <w:pPr>
        <w:pStyle w:val="FootnoteText"/>
      </w:pPr>
      <w:r>
        <w:rPr>
          <w:rStyle w:val="FootnoteReference"/>
        </w:rPr>
        <w:footnoteRef/>
      </w:r>
      <w:r>
        <w:t xml:space="preserve"> </w:t>
      </w:r>
      <w:r w:rsidRPr="003A4ABB">
        <w:rPr>
          <w:u w:val="single"/>
        </w:rPr>
        <w:t>See</w:t>
      </w:r>
      <w:r w:rsidRPr="003A4ABB">
        <w:t xml:space="preserve"> </w:t>
      </w:r>
      <w:r>
        <w:t xml:space="preserve">Blank Direct Testimony, p. 5, ln. </w:t>
      </w:r>
      <w:r w:rsidRPr="003A4ABB">
        <w:t>12-22</w:t>
      </w:r>
      <w:r>
        <w:t>.</w:t>
      </w:r>
    </w:p>
  </w:footnote>
  <w:footnote w:id="32">
    <w:p w:rsidR="002F23CD" w:rsidRPr="002F23CD" w:rsidRDefault="002F23CD">
      <w:pPr>
        <w:pStyle w:val="FootnoteText"/>
        <w:rPr>
          <w:u w:val="single"/>
        </w:rPr>
      </w:pPr>
      <w:r>
        <w:rPr>
          <w:rStyle w:val="FootnoteReference"/>
        </w:rPr>
        <w:footnoteRef/>
      </w:r>
      <w:r>
        <w:t xml:space="preserve"> </w:t>
      </w:r>
      <w:r w:rsidR="00423ED4">
        <w:t>Poroch and Adams Rebuttal Testimony, p. 29, ln. 13-15.</w:t>
      </w:r>
    </w:p>
  </w:footnote>
  <w:footnote w:id="33">
    <w:p w:rsidR="002F23CD" w:rsidRPr="002F23CD" w:rsidRDefault="002F23CD">
      <w:pPr>
        <w:pStyle w:val="FootnoteText"/>
      </w:pPr>
      <w:r>
        <w:rPr>
          <w:rStyle w:val="FootnoteReference"/>
        </w:rPr>
        <w:footnoteRef/>
      </w:r>
      <w:r>
        <w:t xml:space="preserve"> </w:t>
      </w:r>
      <w:r>
        <w:rPr>
          <w:u w:val="single"/>
        </w:rPr>
        <w:t xml:space="preserve">See </w:t>
      </w:r>
      <w:r>
        <w:t>Je</w:t>
      </w:r>
      <w:r w:rsidR="00423ED4">
        <w:t>ffry Pollock Direct Testimony, p. 7, ln. 20-22.</w:t>
      </w:r>
    </w:p>
  </w:footnote>
  <w:footnote w:id="34">
    <w:p w:rsidR="0015285C" w:rsidRPr="0015285C" w:rsidRDefault="0015285C">
      <w:pPr>
        <w:pStyle w:val="FootnoteText"/>
      </w:pPr>
      <w:r>
        <w:rPr>
          <w:rStyle w:val="FootnoteReference"/>
        </w:rPr>
        <w:footnoteRef/>
      </w:r>
      <w:r>
        <w:t xml:space="preserve"> </w:t>
      </w:r>
      <w:r>
        <w:rPr>
          <w:u w:val="single"/>
        </w:rPr>
        <w:t>See</w:t>
      </w:r>
      <w:r>
        <w:t xml:space="preserve"> Blank Direct Testimony, p. 6, ln. 13-15.</w:t>
      </w:r>
    </w:p>
  </w:footnote>
  <w:footnote w:id="35">
    <w:p w:rsidR="00423ED4" w:rsidRDefault="00423ED4">
      <w:pPr>
        <w:pStyle w:val="FootnoteText"/>
      </w:pPr>
      <w:r>
        <w:rPr>
          <w:rStyle w:val="FootnoteReference"/>
        </w:rPr>
        <w:footnoteRef/>
      </w:r>
      <w:r>
        <w:t xml:space="preserve"> </w:t>
      </w:r>
      <w:r w:rsidRPr="00423ED4">
        <w:t>Poroch, Adams, and Robinson</w:t>
      </w:r>
      <w:r>
        <w:t xml:space="preserve"> Direct Testimony</w:t>
      </w:r>
      <w:r w:rsidRPr="00423ED4">
        <w:t>, p. 39</w:t>
      </w:r>
      <w:r>
        <w:t>, ln.</w:t>
      </w:r>
      <w:r w:rsidRPr="00423ED4">
        <w:t xml:space="preserve"> 21-22</w:t>
      </w:r>
      <w:r>
        <w:t>.</w:t>
      </w:r>
    </w:p>
  </w:footnote>
  <w:footnote w:id="36">
    <w:p w:rsidR="002C5E8F" w:rsidRDefault="002C5E8F">
      <w:pPr>
        <w:pStyle w:val="FootnoteText"/>
      </w:pPr>
      <w:r>
        <w:rPr>
          <w:rStyle w:val="FootnoteReference"/>
        </w:rPr>
        <w:footnoteRef/>
      </w:r>
      <w:r>
        <w:t xml:space="preserve"> Poroch and </w:t>
      </w:r>
      <w:r w:rsidRPr="002C5E8F">
        <w:t>Adams Rebutta</w:t>
      </w:r>
      <w:r>
        <w:t xml:space="preserve">l Testimony, p. 42, ln. </w:t>
      </w:r>
      <w:r w:rsidRPr="002C5E8F">
        <w:t>22-30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D2" w:rsidRDefault="005F7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D2" w:rsidRDefault="005F7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D2" w:rsidRDefault="005F7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376"/>
    <w:multiLevelType w:val="hybridMultilevel"/>
    <w:tmpl w:val="1D6C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353D8"/>
    <w:multiLevelType w:val="hybridMultilevel"/>
    <w:tmpl w:val="EF94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C595A"/>
    <w:multiLevelType w:val="hybridMultilevel"/>
    <w:tmpl w:val="CE5C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B3"/>
    <w:rsid w:val="000013BB"/>
    <w:rsid w:val="00010D29"/>
    <w:rsid w:val="000135F4"/>
    <w:rsid w:val="000255A8"/>
    <w:rsid w:val="000354A1"/>
    <w:rsid w:val="00061A90"/>
    <w:rsid w:val="00071B60"/>
    <w:rsid w:val="0008268E"/>
    <w:rsid w:val="00090F68"/>
    <w:rsid w:val="0009241C"/>
    <w:rsid w:val="000A2A37"/>
    <w:rsid w:val="000B32A7"/>
    <w:rsid w:val="000D39B1"/>
    <w:rsid w:val="000D64EF"/>
    <w:rsid w:val="000E3FB2"/>
    <w:rsid w:val="000E4F8C"/>
    <w:rsid w:val="00100620"/>
    <w:rsid w:val="001074DE"/>
    <w:rsid w:val="00113678"/>
    <w:rsid w:val="0012537A"/>
    <w:rsid w:val="00132010"/>
    <w:rsid w:val="00144E23"/>
    <w:rsid w:val="0015285C"/>
    <w:rsid w:val="00177FB0"/>
    <w:rsid w:val="00190B85"/>
    <w:rsid w:val="00193EB3"/>
    <w:rsid w:val="001C0E8B"/>
    <w:rsid w:val="001C1961"/>
    <w:rsid w:val="001F7A99"/>
    <w:rsid w:val="00225FB3"/>
    <w:rsid w:val="002435CB"/>
    <w:rsid w:val="00256534"/>
    <w:rsid w:val="00273B8D"/>
    <w:rsid w:val="00283013"/>
    <w:rsid w:val="002862A9"/>
    <w:rsid w:val="0028648F"/>
    <w:rsid w:val="002B175F"/>
    <w:rsid w:val="002B5064"/>
    <w:rsid w:val="002B6830"/>
    <w:rsid w:val="002C5E8F"/>
    <w:rsid w:val="002F23CD"/>
    <w:rsid w:val="00320F67"/>
    <w:rsid w:val="00353FE0"/>
    <w:rsid w:val="00365576"/>
    <w:rsid w:val="003923F9"/>
    <w:rsid w:val="003A4ABB"/>
    <w:rsid w:val="003B3AF7"/>
    <w:rsid w:val="003C52A1"/>
    <w:rsid w:val="00423ED4"/>
    <w:rsid w:val="00462CE6"/>
    <w:rsid w:val="00470C13"/>
    <w:rsid w:val="004C0A97"/>
    <w:rsid w:val="004C4CE4"/>
    <w:rsid w:val="004C79CF"/>
    <w:rsid w:val="004F334D"/>
    <w:rsid w:val="004F6178"/>
    <w:rsid w:val="0051253F"/>
    <w:rsid w:val="00514415"/>
    <w:rsid w:val="005415C7"/>
    <w:rsid w:val="005529F5"/>
    <w:rsid w:val="0057221A"/>
    <w:rsid w:val="005818A0"/>
    <w:rsid w:val="005922B4"/>
    <w:rsid w:val="005D7CFB"/>
    <w:rsid w:val="005E02D2"/>
    <w:rsid w:val="005F0594"/>
    <w:rsid w:val="005F7ED2"/>
    <w:rsid w:val="0060150E"/>
    <w:rsid w:val="00606DC8"/>
    <w:rsid w:val="006318CA"/>
    <w:rsid w:val="00650779"/>
    <w:rsid w:val="0065377A"/>
    <w:rsid w:val="00655A43"/>
    <w:rsid w:val="0066465F"/>
    <w:rsid w:val="006701B3"/>
    <w:rsid w:val="00673E86"/>
    <w:rsid w:val="00685391"/>
    <w:rsid w:val="006B5F17"/>
    <w:rsid w:val="0078338F"/>
    <w:rsid w:val="00793B20"/>
    <w:rsid w:val="0079526D"/>
    <w:rsid w:val="00796806"/>
    <w:rsid w:val="007A3806"/>
    <w:rsid w:val="007B0776"/>
    <w:rsid w:val="007B197F"/>
    <w:rsid w:val="007B2676"/>
    <w:rsid w:val="007C3A22"/>
    <w:rsid w:val="007C4121"/>
    <w:rsid w:val="007D113D"/>
    <w:rsid w:val="0082278A"/>
    <w:rsid w:val="008357FC"/>
    <w:rsid w:val="00855701"/>
    <w:rsid w:val="008645A5"/>
    <w:rsid w:val="00865D94"/>
    <w:rsid w:val="00874E2A"/>
    <w:rsid w:val="008765D8"/>
    <w:rsid w:val="00877991"/>
    <w:rsid w:val="0088276D"/>
    <w:rsid w:val="00885F75"/>
    <w:rsid w:val="008A2D35"/>
    <w:rsid w:val="008A425F"/>
    <w:rsid w:val="008D4ECC"/>
    <w:rsid w:val="008E1550"/>
    <w:rsid w:val="008E7463"/>
    <w:rsid w:val="008F098E"/>
    <w:rsid w:val="00901E92"/>
    <w:rsid w:val="00906951"/>
    <w:rsid w:val="00912D3D"/>
    <w:rsid w:val="00917278"/>
    <w:rsid w:val="009956A5"/>
    <w:rsid w:val="009C792C"/>
    <w:rsid w:val="009D3AD2"/>
    <w:rsid w:val="009E6082"/>
    <w:rsid w:val="00A17A51"/>
    <w:rsid w:val="00A540BB"/>
    <w:rsid w:val="00AB330A"/>
    <w:rsid w:val="00AF0E75"/>
    <w:rsid w:val="00B25C45"/>
    <w:rsid w:val="00B440D4"/>
    <w:rsid w:val="00B77106"/>
    <w:rsid w:val="00BA69CA"/>
    <w:rsid w:val="00BD6EED"/>
    <w:rsid w:val="00BE09CD"/>
    <w:rsid w:val="00BE0CF2"/>
    <w:rsid w:val="00BF50A6"/>
    <w:rsid w:val="00C16F4E"/>
    <w:rsid w:val="00C33084"/>
    <w:rsid w:val="00C3754E"/>
    <w:rsid w:val="00C567EC"/>
    <w:rsid w:val="00C65D69"/>
    <w:rsid w:val="00CC28E1"/>
    <w:rsid w:val="00CC7C74"/>
    <w:rsid w:val="00CE2294"/>
    <w:rsid w:val="00CE5369"/>
    <w:rsid w:val="00CE67A5"/>
    <w:rsid w:val="00D022CC"/>
    <w:rsid w:val="00D110F8"/>
    <w:rsid w:val="00D140D4"/>
    <w:rsid w:val="00D300A4"/>
    <w:rsid w:val="00D51D3A"/>
    <w:rsid w:val="00D556E9"/>
    <w:rsid w:val="00D60B2F"/>
    <w:rsid w:val="00D619E1"/>
    <w:rsid w:val="00D72FB8"/>
    <w:rsid w:val="00D73612"/>
    <w:rsid w:val="00D746B4"/>
    <w:rsid w:val="00D869DD"/>
    <w:rsid w:val="00DA358E"/>
    <w:rsid w:val="00DB73DE"/>
    <w:rsid w:val="00E16178"/>
    <w:rsid w:val="00E41E47"/>
    <w:rsid w:val="00E84E79"/>
    <w:rsid w:val="00E867E1"/>
    <w:rsid w:val="00E900A2"/>
    <w:rsid w:val="00EC1437"/>
    <w:rsid w:val="00EC739B"/>
    <w:rsid w:val="00EE2081"/>
    <w:rsid w:val="00EE4C5A"/>
    <w:rsid w:val="00F02991"/>
    <w:rsid w:val="00F25440"/>
    <w:rsid w:val="00F3068D"/>
    <w:rsid w:val="00F43F0E"/>
    <w:rsid w:val="00F55D9E"/>
    <w:rsid w:val="00F75070"/>
    <w:rsid w:val="00F75315"/>
    <w:rsid w:val="00F92F26"/>
    <w:rsid w:val="00F936AE"/>
    <w:rsid w:val="00FB2B02"/>
    <w:rsid w:val="00FC5594"/>
    <w:rsid w:val="00FC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964E83"/>
  <w15:docId w15:val="{CFAF4078-F53F-4204-BE7E-D2A07F86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1B3"/>
    <w:pPr>
      <w:ind w:left="720"/>
      <w:contextualSpacing/>
    </w:pPr>
  </w:style>
  <w:style w:type="character" w:styleId="Hyperlink">
    <w:name w:val="Hyperlink"/>
    <w:basedOn w:val="DefaultParagraphFont"/>
    <w:uiPriority w:val="99"/>
    <w:unhideWhenUsed/>
    <w:rsid w:val="00DA358E"/>
    <w:rPr>
      <w:color w:val="0000FF" w:themeColor="hyperlink"/>
      <w:u w:val="single"/>
    </w:rPr>
  </w:style>
  <w:style w:type="paragraph" w:styleId="BalloonText">
    <w:name w:val="Balloon Text"/>
    <w:basedOn w:val="Normal"/>
    <w:link w:val="BalloonTextChar"/>
    <w:uiPriority w:val="99"/>
    <w:semiHidden/>
    <w:unhideWhenUsed/>
    <w:rsid w:val="00EE2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81"/>
    <w:rPr>
      <w:rFonts w:ascii="Segoe UI" w:hAnsi="Segoe UI" w:cs="Segoe UI"/>
      <w:sz w:val="18"/>
      <w:szCs w:val="18"/>
    </w:rPr>
  </w:style>
  <w:style w:type="paragraph" w:styleId="FootnoteText">
    <w:name w:val="footnote text"/>
    <w:basedOn w:val="Normal"/>
    <w:link w:val="FootnoteTextChar"/>
    <w:uiPriority w:val="99"/>
    <w:semiHidden/>
    <w:unhideWhenUsed/>
    <w:rsid w:val="00DB7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3DE"/>
    <w:rPr>
      <w:sz w:val="20"/>
      <w:szCs w:val="20"/>
    </w:rPr>
  </w:style>
  <w:style w:type="character" w:styleId="FootnoteReference">
    <w:name w:val="footnote reference"/>
    <w:basedOn w:val="DefaultParagraphFont"/>
    <w:uiPriority w:val="99"/>
    <w:semiHidden/>
    <w:unhideWhenUsed/>
    <w:rsid w:val="00DB73DE"/>
    <w:rPr>
      <w:vertAlign w:val="superscript"/>
    </w:rPr>
  </w:style>
  <w:style w:type="paragraph" w:styleId="Header">
    <w:name w:val="header"/>
    <w:basedOn w:val="Normal"/>
    <w:link w:val="HeaderChar"/>
    <w:uiPriority w:val="99"/>
    <w:unhideWhenUsed/>
    <w:rsid w:val="005F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D2"/>
  </w:style>
  <w:style w:type="paragraph" w:styleId="Footer">
    <w:name w:val="footer"/>
    <w:basedOn w:val="Normal"/>
    <w:link w:val="FooterChar"/>
    <w:uiPriority w:val="99"/>
    <w:unhideWhenUsed/>
    <w:rsid w:val="005F7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y.w.medlyn.civ@mail.m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08FB-6856-46FE-9CE9-3895443D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Medlyn, Emily W CIV USARMY HQDA OTJAG (US)</cp:lastModifiedBy>
  <cp:revision>3</cp:revision>
  <cp:lastPrinted>2019-12-03T15:46:00Z</cp:lastPrinted>
  <dcterms:created xsi:type="dcterms:W3CDTF">2019-12-03T15:47:00Z</dcterms:created>
  <dcterms:modified xsi:type="dcterms:W3CDTF">2019-12-03T15:47:00Z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