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E051" w14:textId="77777777" w:rsidR="00BC0A1E" w:rsidRPr="00EE4D0B" w:rsidRDefault="00BC0A1E" w:rsidP="00FB4618">
      <w:pPr>
        <w:jc w:val="center"/>
        <w:rPr>
          <w:sz w:val="28"/>
          <w:szCs w:val="28"/>
        </w:rPr>
      </w:pPr>
      <w:bookmarkStart w:id="0" w:name="_GoBack"/>
      <w:bookmarkEnd w:id="0"/>
    </w:p>
    <w:p w14:paraId="348E393A" w14:textId="77777777" w:rsidR="00BC0A1E" w:rsidRPr="00EE4D0B" w:rsidRDefault="00BC0A1E" w:rsidP="00FB4618">
      <w:pPr>
        <w:jc w:val="center"/>
        <w:rPr>
          <w:b/>
          <w:bCs/>
          <w:sz w:val="28"/>
          <w:szCs w:val="28"/>
        </w:rPr>
      </w:pPr>
      <w:r w:rsidRPr="00EE4D0B">
        <w:rPr>
          <w:b/>
          <w:bCs/>
          <w:sz w:val="28"/>
          <w:szCs w:val="28"/>
        </w:rPr>
        <w:t>BEFORE THE</w:t>
      </w:r>
    </w:p>
    <w:p w14:paraId="4F362995" w14:textId="77777777" w:rsidR="00BC0A1E" w:rsidRPr="00EE4D0B" w:rsidRDefault="00BC0A1E" w:rsidP="00FB4618">
      <w:pPr>
        <w:jc w:val="center"/>
        <w:rPr>
          <w:b/>
          <w:bCs/>
          <w:sz w:val="28"/>
          <w:szCs w:val="28"/>
        </w:rPr>
      </w:pPr>
      <w:r w:rsidRPr="00EE4D0B">
        <w:rPr>
          <w:b/>
          <w:bCs/>
          <w:sz w:val="28"/>
          <w:szCs w:val="28"/>
        </w:rPr>
        <w:t>GEORGIA PUBLIC SERVICE COMMISSION</w:t>
      </w:r>
    </w:p>
    <w:p w14:paraId="6BE605DA" w14:textId="77777777" w:rsidR="00BC0A1E" w:rsidRPr="00437279" w:rsidRDefault="00BC0A1E" w:rsidP="00FB4618">
      <w:pPr>
        <w:jc w:val="center"/>
        <w:rPr>
          <w:b/>
          <w:bCs/>
        </w:rPr>
      </w:pPr>
    </w:p>
    <w:p w14:paraId="727B7C65"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5148"/>
        <w:gridCol w:w="4428"/>
      </w:tblGrid>
      <w:tr w:rsidR="00BC0A1E" w:rsidRPr="00437279" w14:paraId="0784A212" w14:textId="77777777" w:rsidTr="006D5162">
        <w:tc>
          <w:tcPr>
            <w:tcW w:w="5148" w:type="dxa"/>
          </w:tcPr>
          <w:p w14:paraId="066026CE" w14:textId="77777777" w:rsidR="00BC0A1E" w:rsidRPr="00437279" w:rsidRDefault="00BC0A1E" w:rsidP="00790CB1">
            <w:pPr>
              <w:tabs>
                <w:tab w:val="left" w:pos="6930"/>
              </w:tabs>
              <w:jc w:val="left"/>
              <w:rPr>
                <w:b/>
                <w:bCs/>
              </w:rPr>
            </w:pPr>
            <w:r w:rsidRPr="00437279">
              <w:rPr>
                <w:b/>
                <w:bCs/>
              </w:rPr>
              <w:t xml:space="preserve">IN THE MATTER OF: GEORGIA POWER COMPANY’S </w:t>
            </w:r>
            <w:r w:rsidR="001372C2">
              <w:rPr>
                <w:b/>
                <w:bCs/>
              </w:rPr>
              <w:t xml:space="preserve">TWENTIETH/TWENTY-FIRST </w:t>
            </w:r>
            <w:r w:rsidRPr="00437279">
              <w:rPr>
                <w:b/>
                <w:bCs/>
              </w:rPr>
              <w:t>SEMI-ANNUAL VOGTLE CONSTRUCTION MONITORING REPORT</w:t>
            </w:r>
          </w:p>
        </w:tc>
        <w:tc>
          <w:tcPr>
            <w:tcW w:w="4428" w:type="dxa"/>
          </w:tcPr>
          <w:p w14:paraId="31BD66E8" w14:textId="77777777" w:rsidR="00BC0A1E" w:rsidRPr="00437279" w:rsidRDefault="00BC0A1E" w:rsidP="00FB4618">
            <w:pPr>
              <w:tabs>
                <w:tab w:val="left" w:pos="6930"/>
              </w:tabs>
              <w:jc w:val="center"/>
              <w:rPr>
                <w:b/>
                <w:bCs/>
              </w:rPr>
            </w:pPr>
          </w:p>
          <w:p w14:paraId="4A21A35A" w14:textId="77777777" w:rsidR="00BC0A1E" w:rsidRPr="00437279" w:rsidRDefault="00BC0A1E" w:rsidP="00FB4618">
            <w:pPr>
              <w:tabs>
                <w:tab w:val="left" w:pos="6930"/>
              </w:tabs>
              <w:jc w:val="center"/>
              <w:rPr>
                <w:b/>
                <w:bCs/>
              </w:rPr>
            </w:pPr>
            <w:r w:rsidRPr="00437279">
              <w:rPr>
                <w:b/>
                <w:bCs/>
              </w:rPr>
              <w:t>DOCKET NO. 29849</w:t>
            </w:r>
          </w:p>
        </w:tc>
      </w:tr>
      <w:tr w:rsidR="00BC0A1E" w:rsidRPr="00437279" w14:paraId="25EFDED6" w14:textId="77777777" w:rsidTr="006D5162">
        <w:trPr>
          <w:trHeight w:val="333"/>
        </w:trPr>
        <w:tc>
          <w:tcPr>
            <w:tcW w:w="5148" w:type="dxa"/>
          </w:tcPr>
          <w:p w14:paraId="064A2F03" w14:textId="77777777" w:rsidR="00BC0A1E" w:rsidRPr="00437279" w:rsidRDefault="00BC0A1E" w:rsidP="00FB4618">
            <w:pPr>
              <w:tabs>
                <w:tab w:val="left" w:pos="6930"/>
              </w:tabs>
              <w:jc w:val="center"/>
              <w:rPr>
                <w:b/>
                <w:bCs/>
              </w:rPr>
            </w:pPr>
          </w:p>
        </w:tc>
        <w:tc>
          <w:tcPr>
            <w:tcW w:w="4428" w:type="dxa"/>
          </w:tcPr>
          <w:p w14:paraId="66FA287B" w14:textId="77777777" w:rsidR="00BC0A1E" w:rsidRPr="00437279" w:rsidRDefault="00BC0A1E" w:rsidP="00FB4618">
            <w:pPr>
              <w:tabs>
                <w:tab w:val="left" w:pos="6930"/>
              </w:tabs>
              <w:jc w:val="center"/>
              <w:rPr>
                <w:b/>
                <w:bCs/>
              </w:rPr>
            </w:pPr>
          </w:p>
        </w:tc>
      </w:tr>
    </w:tbl>
    <w:p w14:paraId="7E447DA6" w14:textId="77777777" w:rsidR="00BC0A1E" w:rsidRDefault="00BC0A1E" w:rsidP="00FB4618">
      <w:pPr>
        <w:jc w:val="center"/>
      </w:pPr>
    </w:p>
    <w:p w14:paraId="24953534" w14:textId="77777777" w:rsidR="00BC0A1E" w:rsidRPr="005738C8" w:rsidRDefault="00BC0A1E" w:rsidP="00FB4618">
      <w:pPr>
        <w:jc w:val="center"/>
        <w:rPr>
          <w:b/>
          <w:bCs/>
          <w:color w:val="FF0000"/>
          <w:sz w:val="32"/>
          <w:szCs w:val="32"/>
        </w:rPr>
      </w:pPr>
    </w:p>
    <w:p w14:paraId="0B26D4F3" w14:textId="77777777" w:rsidR="00BC0A1E" w:rsidRPr="00437279" w:rsidRDefault="00BC0A1E" w:rsidP="00FB4618">
      <w:pPr>
        <w:jc w:val="center"/>
        <w:rPr>
          <w:b/>
          <w:bCs/>
        </w:rPr>
      </w:pPr>
    </w:p>
    <w:tbl>
      <w:tblPr>
        <w:tblW w:w="0" w:type="auto"/>
        <w:tblLayout w:type="fixed"/>
        <w:tblLook w:val="0000" w:firstRow="0" w:lastRow="0" w:firstColumn="0" w:lastColumn="0" w:noHBand="0" w:noVBand="0"/>
      </w:tblPr>
      <w:tblGrid>
        <w:gridCol w:w="2926"/>
        <w:gridCol w:w="4022"/>
        <w:gridCol w:w="2562"/>
      </w:tblGrid>
      <w:tr w:rsidR="00BC0A1E" w:rsidRPr="00437279" w14:paraId="31AA8695" w14:textId="77777777" w:rsidTr="006D5162">
        <w:tc>
          <w:tcPr>
            <w:tcW w:w="2926" w:type="dxa"/>
            <w:tcBorders>
              <w:right w:val="double" w:sz="4" w:space="0" w:color="auto"/>
            </w:tcBorders>
          </w:tcPr>
          <w:p w14:paraId="6BC42592" w14:textId="77777777" w:rsidR="00BC0A1E" w:rsidRPr="00437279" w:rsidRDefault="00BC0A1E" w:rsidP="00FB4618">
            <w:pPr>
              <w:jc w:val="center"/>
              <w:rPr>
                <w:b/>
                <w:bCs/>
              </w:rPr>
            </w:pPr>
          </w:p>
        </w:tc>
        <w:tc>
          <w:tcPr>
            <w:tcW w:w="4022" w:type="dxa"/>
            <w:tcBorders>
              <w:top w:val="double" w:sz="4" w:space="0" w:color="auto"/>
              <w:left w:val="double" w:sz="4" w:space="0" w:color="auto"/>
              <w:right w:val="double" w:sz="4" w:space="0" w:color="auto"/>
            </w:tcBorders>
          </w:tcPr>
          <w:p w14:paraId="5EE25430" w14:textId="77777777" w:rsidR="00E210C7" w:rsidRPr="00437279" w:rsidRDefault="00E210C7" w:rsidP="00FB4618">
            <w:pPr>
              <w:jc w:val="center"/>
              <w:rPr>
                <w:b/>
                <w:bCs/>
              </w:rPr>
            </w:pPr>
          </w:p>
        </w:tc>
        <w:tc>
          <w:tcPr>
            <w:tcW w:w="2562" w:type="dxa"/>
            <w:tcBorders>
              <w:left w:val="double" w:sz="4" w:space="0" w:color="auto"/>
            </w:tcBorders>
          </w:tcPr>
          <w:p w14:paraId="2BC4A2E9" w14:textId="77777777" w:rsidR="00BC0A1E" w:rsidRPr="00437279" w:rsidRDefault="00BC0A1E" w:rsidP="00FB4618">
            <w:pPr>
              <w:jc w:val="center"/>
              <w:rPr>
                <w:b/>
                <w:bCs/>
              </w:rPr>
            </w:pPr>
          </w:p>
        </w:tc>
      </w:tr>
      <w:tr w:rsidR="00BC0A1E" w:rsidRPr="00437279" w14:paraId="3D7CF6F7" w14:textId="77777777" w:rsidTr="006D5162">
        <w:trPr>
          <w:trHeight w:val="405"/>
        </w:trPr>
        <w:tc>
          <w:tcPr>
            <w:tcW w:w="2926" w:type="dxa"/>
            <w:tcBorders>
              <w:right w:val="double" w:sz="4" w:space="0" w:color="auto"/>
            </w:tcBorders>
          </w:tcPr>
          <w:p w14:paraId="75F9D5F8"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0C92951D" w14:textId="77777777" w:rsidR="00BC0A1E" w:rsidRPr="00EE4D0B" w:rsidRDefault="00BC0A1E" w:rsidP="00FB4618">
            <w:pPr>
              <w:jc w:val="center"/>
              <w:rPr>
                <w:b/>
                <w:bCs/>
                <w:sz w:val="28"/>
                <w:szCs w:val="28"/>
              </w:rPr>
            </w:pPr>
            <w:r w:rsidRPr="00EE4D0B">
              <w:rPr>
                <w:b/>
                <w:bCs/>
                <w:sz w:val="28"/>
                <w:szCs w:val="28"/>
              </w:rPr>
              <w:t>DIRECT TESTIMONY</w:t>
            </w:r>
          </w:p>
        </w:tc>
        <w:tc>
          <w:tcPr>
            <w:tcW w:w="2562" w:type="dxa"/>
            <w:tcBorders>
              <w:left w:val="double" w:sz="4" w:space="0" w:color="auto"/>
            </w:tcBorders>
          </w:tcPr>
          <w:p w14:paraId="6E6F437D" w14:textId="77777777" w:rsidR="00BC0A1E" w:rsidRPr="00437279" w:rsidRDefault="00BC0A1E" w:rsidP="00FB4618">
            <w:pPr>
              <w:jc w:val="center"/>
              <w:rPr>
                <w:b/>
                <w:bCs/>
              </w:rPr>
            </w:pPr>
          </w:p>
        </w:tc>
      </w:tr>
      <w:tr w:rsidR="00BC0A1E" w:rsidRPr="00437279" w14:paraId="78D59CEF" w14:textId="77777777" w:rsidTr="006D5162">
        <w:tc>
          <w:tcPr>
            <w:tcW w:w="2926" w:type="dxa"/>
            <w:tcBorders>
              <w:right w:val="double" w:sz="4" w:space="0" w:color="auto"/>
            </w:tcBorders>
          </w:tcPr>
          <w:p w14:paraId="7E1B3293"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7470313A" w14:textId="77777777" w:rsidR="00BC0A1E" w:rsidRPr="00EE4D0B" w:rsidRDefault="00BC0A1E" w:rsidP="00FB4618">
            <w:pPr>
              <w:jc w:val="center"/>
              <w:rPr>
                <w:b/>
                <w:bCs/>
                <w:sz w:val="28"/>
                <w:szCs w:val="28"/>
              </w:rPr>
            </w:pPr>
          </w:p>
        </w:tc>
        <w:tc>
          <w:tcPr>
            <w:tcW w:w="2562" w:type="dxa"/>
            <w:tcBorders>
              <w:left w:val="double" w:sz="4" w:space="0" w:color="auto"/>
            </w:tcBorders>
          </w:tcPr>
          <w:p w14:paraId="0F1D79C8" w14:textId="77777777" w:rsidR="00BC0A1E" w:rsidRPr="00437279" w:rsidRDefault="00BC0A1E" w:rsidP="00FB4618">
            <w:pPr>
              <w:jc w:val="center"/>
              <w:rPr>
                <w:b/>
                <w:bCs/>
              </w:rPr>
            </w:pPr>
          </w:p>
        </w:tc>
      </w:tr>
      <w:tr w:rsidR="00BC0A1E" w:rsidRPr="00437279" w14:paraId="092F4094" w14:textId="77777777" w:rsidTr="006D5162">
        <w:tc>
          <w:tcPr>
            <w:tcW w:w="2926" w:type="dxa"/>
            <w:tcBorders>
              <w:right w:val="double" w:sz="4" w:space="0" w:color="auto"/>
            </w:tcBorders>
          </w:tcPr>
          <w:p w14:paraId="35F26E44"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307D00D8" w14:textId="77777777" w:rsidR="00BC0A1E" w:rsidRPr="00EE4D0B" w:rsidRDefault="00BC0A1E" w:rsidP="00FB4618">
            <w:pPr>
              <w:jc w:val="center"/>
              <w:rPr>
                <w:b/>
                <w:bCs/>
                <w:sz w:val="28"/>
                <w:szCs w:val="28"/>
              </w:rPr>
            </w:pPr>
            <w:r w:rsidRPr="00EE4D0B">
              <w:rPr>
                <w:b/>
                <w:bCs/>
                <w:sz w:val="28"/>
                <w:szCs w:val="28"/>
              </w:rPr>
              <w:t>AND EXHIBITS</w:t>
            </w:r>
          </w:p>
        </w:tc>
        <w:tc>
          <w:tcPr>
            <w:tcW w:w="2562" w:type="dxa"/>
            <w:tcBorders>
              <w:left w:val="double" w:sz="4" w:space="0" w:color="auto"/>
            </w:tcBorders>
          </w:tcPr>
          <w:p w14:paraId="469625A7" w14:textId="77777777" w:rsidR="00BC0A1E" w:rsidRPr="00437279" w:rsidRDefault="00BC0A1E" w:rsidP="00FB4618">
            <w:pPr>
              <w:jc w:val="center"/>
              <w:rPr>
                <w:b/>
                <w:bCs/>
              </w:rPr>
            </w:pPr>
          </w:p>
        </w:tc>
      </w:tr>
      <w:tr w:rsidR="00BC0A1E" w:rsidRPr="00437279" w14:paraId="7105E661" w14:textId="77777777" w:rsidTr="006D5162">
        <w:tc>
          <w:tcPr>
            <w:tcW w:w="2926" w:type="dxa"/>
            <w:tcBorders>
              <w:right w:val="double" w:sz="4" w:space="0" w:color="auto"/>
            </w:tcBorders>
          </w:tcPr>
          <w:p w14:paraId="74CD1720"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7AFD0AA7" w14:textId="77777777" w:rsidR="00BC0A1E" w:rsidRPr="00EE4D0B" w:rsidRDefault="00BC0A1E" w:rsidP="00FB4618">
            <w:pPr>
              <w:jc w:val="center"/>
              <w:rPr>
                <w:b/>
                <w:bCs/>
                <w:sz w:val="28"/>
                <w:szCs w:val="28"/>
              </w:rPr>
            </w:pPr>
          </w:p>
        </w:tc>
        <w:tc>
          <w:tcPr>
            <w:tcW w:w="2562" w:type="dxa"/>
            <w:tcBorders>
              <w:left w:val="double" w:sz="4" w:space="0" w:color="auto"/>
            </w:tcBorders>
          </w:tcPr>
          <w:p w14:paraId="588E9563" w14:textId="77777777" w:rsidR="00BC0A1E" w:rsidRPr="00437279" w:rsidRDefault="00BC0A1E" w:rsidP="00FB4618">
            <w:pPr>
              <w:jc w:val="center"/>
              <w:rPr>
                <w:b/>
                <w:bCs/>
              </w:rPr>
            </w:pPr>
          </w:p>
        </w:tc>
      </w:tr>
      <w:tr w:rsidR="00BC0A1E" w:rsidRPr="00437279" w14:paraId="5F55C6EE" w14:textId="77777777" w:rsidTr="006D5162">
        <w:tc>
          <w:tcPr>
            <w:tcW w:w="2926" w:type="dxa"/>
            <w:tcBorders>
              <w:right w:val="double" w:sz="4" w:space="0" w:color="auto"/>
            </w:tcBorders>
          </w:tcPr>
          <w:p w14:paraId="0A641B44"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3D76B547" w14:textId="77777777" w:rsidR="00BC0A1E" w:rsidRPr="00EE4D0B" w:rsidRDefault="00BC0A1E" w:rsidP="00FB4618">
            <w:pPr>
              <w:jc w:val="center"/>
              <w:rPr>
                <w:b/>
                <w:bCs/>
                <w:sz w:val="28"/>
                <w:szCs w:val="28"/>
              </w:rPr>
            </w:pPr>
            <w:r w:rsidRPr="00EE4D0B">
              <w:rPr>
                <w:b/>
                <w:bCs/>
                <w:sz w:val="28"/>
                <w:szCs w:val="28"/>
              </w:rPr>
              <w:t>OF</w:t>
            </w:r>
          </w:p>
        </w:tc>
        <w:tc>
          <w:tcPr>
            <w:tcW w:w="2562" w:type="dxa"/>
            <w:tcBorders>
              <w:left w:val="double" w:sz="4" w:space="0" w:color="auto"/>
            </w:tcBorders>
          </w:tcPr>
          <w:p w14:paraId="0E1539C4" w14:textId="77777777" w:rsidR="00BC0A1E" w:rsidRPr="00437279" w:rsidRDefault="00BC0A1E" w:rsidP="00FB4618">
            <w:pPr>
              <w:jc w:val="center"/>
              <w:rPr>
                <w:b/>
                <w:bCs/>
              </w:rPr>
            </w:pPr>
          </w:p>
        </w:tc>
      </w:tr>
      <w:tr w:rsidR="00BC0A1E" w:rsidRPr="00437279" w14:paraId="532DCBEF" w14:textId="77777777" w:rsidTr="006D5162">
        <w:tc>
          <w:tcPr>
            <w:tcW w:w="2926" w:type="dxa"/>
            <w:tcBorders>
              <w:right w:val="double" w:sz="4" w:space="0" w:color="auto"/>
            </w:tcBorders>
          </w:tcPr>
          <w:p w14:paraId="78BD712C"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16ABA796" w14:textId="77777777" w:rsidR="00BC0A1E" w:rsidRPr="00EE4D0B" w:rsidRDefault="00BC0A1E" w:rsidP="00FB4618">
            <w:pPr>
              <w:jc w:val="center"/>
              <w:rPr>
                <w:b/>
                <w:bCs/>
                <w:sz w:val="28"/>
                <w:szCs w:val="28"/>
              </w:rPr>
            </w:pPr>
          </w:p>
        </w:tc>
        <w:tc>
          <w:tcPr>
            <w:tcW w:w="2562" w:type="dxa"/>
            <w:tcBorders>
              <w:left w:val="double" w:sz="4" w:space="0" w:color="auto"/>
            </w:tcBorders>
          </w:tcPr>
          <w:p w14:paraId="5248F00C" w14:textId="77777777" w:rsidR="00BC0A1E" w:rsidRPr="00437279" w:rsidRDefault="00BC0A1E" w:rsidP="00FB4618">
            <w:pPr>
              <w:jc w:val="center"/>
              <w:rPr>
                <w:b/>
                <w:bCs/>
              </w:rPr>
            </w:pPr>
          </w:p>
        </w:tc>
      </w:tr>
      <w:tr w:rsidR="00BC0A1E" w:rsidRPr="00437279" w14:paraId="17C04DCF" w14:textId="77777777" w:rsidTr="006D5162">
        <w:tc>
          <w:tcPr>
            <w:tcW w:w="2926" w:type="dxa"/>
            <w:tcBorders>
              <w:right w:val="double" w:sz="4" w:space="0" w:color="auto"/>
            </w:tcBorders>
          </w:tcPr>
          <w:p w14:paraId="1EF565EB" w14:textId="77777777" w:rsidR="00BC0A1E" w:rsidRPr="00437279" w:rsidRDefault="00BC0A1E" w:rsidP="00FB4618">
            <w:pPr>
              <w:jc w:val="center"/>
              <w:rPr>
                <w:b/>
                <w:bCs/>
              </w:rPr>
            </w:pPr>
          </w:p>
        </w:tc>
        <w:tc>
          <w:tcPr>
            <w:tcW w:w="4022" w:type="dxa"/>
            <w:tcBorders>
              <w:left w:val="double" w:sz="4" w:space="0" w:color="auto"/>
              <w:right w:val="double" w:sz="4" w:space="0" w:color="auto"/>
            </w:tcBorders>
          </w:tcPr>
          <w:p w14:paraId="4753B6E5" w14:textId="77777777" w:rsidR="002070A7" w:rsidRDefault="002070A7" w:rsidP="00FB4618">
            <w:pPr>
              <w:jc w:val="center"/>
              <w:rPr>
                <w:b/>
                <w:bCs/>
                <w:sz w:val="28"/>
                <w:szCs w:val="28"/>
              </w:rPr>
            </w:pPr>
            <w:r>
              <w:rPr>
                <w:b/>
                <w:bCs/>
                <w:sz w:val="28"/>
                <w:szCs w:val="28"/>
              </w:rPr>
              <w:t>TOM NEWSOME, PE, CFA</w:t>
            </w:r>
            <w:r w:rsidRPr="00EE4D0B">
              <w:rPr>
                <w:b/>
                <w:bCs/>
                <w:sz w:val="28"/>
                <w:szCs w:val="28"/>
              </w:rPr>
              <w:t xml:space="preserve"> </w:t>
            </w:r>
          </w:p>
          <w:p w14:paraId="719C56D1" w14:textId="77777777" w:rsidR="002070A7" w:rsidRDefault="002070A7" w:rsidP="00FB4618">
            <w:pPr>
              <w:jc w:val="center"/>
              <w:rPr>
                <w:b/>
                <w:bCs/>
                <w:sz w:val="28"/>
                <w:szCs w:val="28"/>
              </w:rPr>
            </w:pPr>
          </w:p>
          <w:p w14:paraId="15BB71C9" w14:textId="77777777" w:rsidR="00613F3F" w:rsidRPr="00EE4D0B" w:rsidRDefault="00BC0A1E" w:rsidP="001372C2">
            <w:pPr>
              <w:jc w:val="center"/>
              <w:rPr>
                <w:b/>
                <w:bCs/>
                <w:sz w:val="28"/>
                <w:szCs w:val="28"/>
              </w:rPr>
            </w:pPr>
            <w:r w:rsidRPr="00EE4D0B">
              <w:rPr>
                <w:b/>
                <w:bCs/>
                <w:sz w:val="28"/>
                <w:szCs w:val="28"/>
              </w:rPr>
              <w:t>PHILIP HAYET</w:t>
            </w:r>
          </w:p>
        </w:tc>
        <w:tc>
          <w:tcPr>
            <w:tcW w:w="2562" w:type="dxa"/>
            <w:tcBorders>
              <w:left w:val="double" w:sz="4" w:space="0" w:color="auto"/>
            </w:tcBorders>
          </w:tcPr>
          <w:p w14:paraId="5308E830" w14:textId="77777777" w:rsidR="00BC0A1E" w:rsidRPr="00437279" w:rsidRDefault="00BC0A1E" w:rsidP="00FB4618">
            <w:pPr>
              <w:jc w:val="center"/>
              <w:rPr>
                <w:b/>
                <w:bCs/>
              </w:rPr>
            </w:pPr>
          </w:p>
        </w:tc>
      </w:tr>
      <w:tr w:rsidR="00BC0A1E" w:rsidRPr="00437279" w14:paraId="365C72BA" w14:textId="77777777" w:rsidTr="006D5162">
        <w:tc>
          <w:tcPr>
            <w:tcW w:w="2926" w:type="dxa"/>
            <w:tcBorders>
              <w:right w:val="double" w:sz="4" w:space="0" w:color="auto"/>
            </w:tcBorders>
          </w:tcPr>
          <w:p w14:paraId="4775C5E8" w14:textId="77777777" w:rsidR="00BC0A1E" w:rsidRPr="00437279" w:rsidRDefault="00BC0A1E" w:rsidP="00FB4618">
            <w:pPr>
              <w:jc w:val="center"/>
              <w:rPr>
                <w:b/>
                <w:bCs/>
              </w:rPr>
            </w:pPr>
          </w:p>
        </w:tc>
        <w:tc>
          <w:tcPr>
            <w:tcW w:w="4022" w:type="dxa"/>
            <w:tcBorders>
              <w:left w:val="double" w:sz="4" w:space="0" w:color="auto"/>
              <w:bottom w:val="double" w:sz="4" w:space="0" w:color="auto"/>
              <w:right w:val="double" w:sz="4" w:space="0" w:color="auto"/>
            </w:tcBorders>
          </w:tcPr>
          <w:p w14:paraId="0C36289B" w14:textId="77777777" w:rsidR="00BC0A1E" w:rsidRPr="00437279" w:rsidRDefault="00BC0A1E" w:rsidP="00FB4618">
            <w:pPr>
              <w:jc w:val="center"/>
              <w:rPr>
                <w:b/>
                <w:bCs/>
              </w:rPr>
            </w:pPr>
          </w:p>
        </w:tc>
        <w:tc>
          <w:tcPr>
            <w:tcW w:w="2562" w:type="dxa"/>
            <w:tcBorders>
              <w:left w:val="double" w:sz="4" w:space="0" w:color="auto"/>
            </w:tcBorders>
          </w:tcPr>
          <w:p w14:paraId="14C07530" w14:textId="77777777" w:rsidR="00BC0A1E" w:rsidRPr="00437279" w:rsidRDefault="00BC0A1E" w:rsidP="00FB4618">
            <w:pPr>
              <w:jc w:val="center"/>
              <w:rPr>
                <w:b/>
                <w:bCs/>
              </w:rPr>
            </w:pPr>
          </w:p>
        </w:tc>
      </w:tr>
    </w:tbl>
    <w:p w14:paraId="13AA1D91" w14:textId="77777777" w:rsidR="00BC0A1E" w:rsidRPr="00437279" w:rsidRDefault="00BC0A1E" w:rsidP="00FB4618">
      <w:pPr>
        <w:jc w:val="center"/>
        <w:rPr>
          <w:b/>
          <w:bCs/>
        </w:rPr>
      </w:pPr>
    </w:p>
    <w:p w14:paraId="003D0EE8" w14:textId="77777777" w:rsidR="00BC0A1E" w:rsidRPr="00437279" w:rsidRDefault="00BC0A1E" w:rsidP="00FB4618">
      <w:pPr>
        <w:jc w:val="center"/>
        <w:rPr>
          <w:b/>
          <w:bCs/>
        </w:rPr>
      </w:pPr>
    </w:p>
    <w:tbl>
      <w:tblPr>
        <w:tblW w:w="9510" w:type="dxa"/>
        <w:tblLayout w:type="fixed"/>
        <w:tblLook w:val="0000" w:firstRow="0" w:lastRow="0" w:firstColumn="0" w:lastColumn="0" w:noHBand="0" w:noVBand="0"/>
      </w:tblPr>
      <w:tblGrid>
        <w:gridCol w:w="2926"/>
        <w:gridCol w:w="3658"/>
        <w:gridCol w:w="2926"/>
      </w:tblGrid>
      <w:tr w:rsidR="00BC0A1E" w:rsidRPr="00437279" w14:paraId="17C7F2F3" w14:textId="77777777" w:rsidTr="006D5162">
        <w:tc>
          <w:tcPr>
            <w:tcW w:w="2926" w:type="dxa"/>
          </w:tcPr>
          <w:p w14:paraId="41719BD8" w14:textId="77777777" w:rsidR="00BC0A1E" w:rsidRPr="00437279" w:rsidRDefault="00BC0A1E" w:rsidP="00FB4618">
            <w:pPr>
              <w:jc w:val="center"/>
              <w:rPr>
                <w:b/>
                <w:bCs/>
              </w:rPr>
            </w:pPr>
          </w:p>
        </w:tc>
        <w:tc>
          <w:tcPr>
            <w:tcW w:w="3658" w:type="dxa"/>
          </w:tcPr>
          <w:p w14:paraId="3E7484D6" w14:textId="77777777" w:rsidR="003460D1" w:rsidRDefault="003460D1" w:rsidP="00FB4618">
            <w:pPr>
              <w:jc w:val="center"/>
              <w:rPr>
                <w:b/>
                <w:bCs/>
                <w:sz w:val="28"/>
                <w:szCs w:val="28"/>
              </w:rPr>
            </w:pPr>
          </w:p>
          <w:p w14:paraId="1718E607" w14:textId="77777777" w:rsidR="003460D1" w:rsidRDefault="003460D1" w:rsidP="00FB4618">
            <w:pPr>
              <w:jc w:val="center"/>
              <w:rPr>
                <w:b/>
                <w:bCs/>
                <w:sz w:val="28"/>
                <w:szCs w:val="28"/>
              </w:rPr>
            </w:pPr>
          </w:p>
          <w:p w14:paraId="313D5DAE" w14:textId="77777777" w:rsidR="00BC0A1E" w:rsidRPr="00EE4D0B" w:rsidRDefault="00BC0A1E" w:rsidP="00FB4618">
            <w:pPr>
              <w:jc w:val="center"/>
              <w:rPr>
                <w:b/>
                <w:bCs/>
                <w:sz w:val="28"/>
                <w:szCs w:val="28"/>
              </w:rPr>
            </w:pPr>
            <w:r w:rsidRPr="00EE4D0B">
              <w:rPr>
                <w:b/>
                <w:bCs/>
                <w:sz w:val="28"/>
                <w:szCs w:val="28"/>
              </w:rPr>
              <w:t>ON BEHALF OF THE</w:t>
            </w:r>
          </w:p>
        </w:tc>
        <w:tc>
          <w:tcPr>
            <w:tcW w:w="2926" w:type="dxa"/>
          </w:tcPr>
          <w:p w14:paraId="1A3FAC76" w14:textId="77777777" w:rsidR="00BC0A1E" w:rsidRPr="00437279" w:rsidRDefault="00BC0A1E" w:rsidP="00FB4618">
            <w:pPr>
              <w:jc w:val="center"/>
              <w:rPr>
                <w:b/>
                <w:bCs/>
              </w:rPr>
            </w:pPr>
          </w:p>
        </w:tc>
      </w:tr>
    </w:tbl>
    <w:p w14:paraId="6CC02413" w14:textId="77777777" w:rsidR="00BC0A1E" w:rsidRPr="00437279" w:rsidRDefault="00BC0A1E" w:rsidP="00FB4618">
      <w:pPr>
        <w:jc w:val="center"/>
        <w:rPr>
          <w:b/>
          <w:bCs/>
        </w:rPr>
      </w:pPr>
    </w:p>
    <w:tbl>
      <w:tblPr>
        <w:tblW w:w="10144" w:type="dxa"/>
        <w:tblLayout w:type="fixed"/>
        <w:tblLook w:val="0000" w:firstRow="0" w:lastRow="0" w:firstColumn="0" w:lastColumn="0" w:noHBand="0" w:noVBand="0"/>
      </w:tblPr>
      <w:tblGrid>
        <w:gridCol w:w="1548"/>
        <w:gridCol w:w="6570"/>
        <w:gridCol w:w="2026"/>
      </w:tblGrid>
      <w:tr w:rsidR="00BC0A1E" w:rsidRPr="00437279" w14:paraId="66574BBE" w14:textId="77777777" w:rsidTr="006D5162">
        <w:tc>
          <w:tcPr>
            <w:tcW w:w="1548" w:type="dxa"/>
          </w:tcPr>
          <w:p w14:paraId="2234D7E7" w14:textId="77777777" w:rsidR="00BC0A1E" w:rsidRPr="00437279" w:rsidRDefault="00BC0A1E" w:rsidP="00FB4618">
            <w:pPr>
              <w:jc w:val="center"/>
              <w:rPr>
                <w:b/>
                <w:bCs/>
              </w:rPr>
            </w:pPr>
          </w:p>
        </w:tc>
        <w:tc>
          <w:tcPr>
            <w:tcW w:w="6570" w:type="dxa"/>
          </w:tcPr>
          <w:p w14:paraId="604B7B14" w14:textId="77777777" w:rsidR="00BC0A1E" w:rsidRPr="00EE4D0B" w:rsidRDefault="00BC0A1E" w:rsidP="00FB4618">
            <w:pPr>
              <w:ind w:left="-46"/>
              <w:jc w:val="center"/>
              <w:rPr>
                <w:b/>
                <w:bCs/>
                <w:sz w:val="28"/>
                <w:szCs w:val="28"/>
              </w:rPr>
            </w:pPr>
            <w:r w:rsidRPr="00EE4D0B">
              <w:rPr>
                <w:b/>
                <w:bCs/>
                <w:sz w:val="28"/>
                <w:szCs w:val="28"/>
              </w:rPr>
              <w:t>GEORGIA PUBLIC SERVICE COMMISSION</w:t>
            </w:r>
          </w:p>
        </w:tc>
        <w:tc>
          <w:tcPr>
            <w:tcW w:w="2026" w:type="dxa"/>
          </w:tcPr>
          <w:p w14:paraId="4ABD9704" w14:textId="77777777" w:rsidR="00BC0A1E" w:rsidRPr="00437279" w:rsidRDefault="00BC0A1E" w:rsidP="00FB4618">
            <w:pPr>
              <w:jc w:val="center"/>
              <w:rPr>
                <w:b/>
                <w:bCs/>
              </w:rPr>
            </w:pPr>
          </w:p>
        </w:tc>
      </w:tr>
      <w:tr w:rsidR="00BC0A1E" w:rsidRPr="00437279" w14:paraId="5E13A19E" w14:textId="77777777" w:rsidTr="006D5162">
        <w:tc>
          <w:tcPr>
            <w:tcW w:w="1548" w:type="dxa"/>
          </w:tcPr>
          <w:p w14:paraId="3E01A951" w14:textId="77777777" w:rsidR="00BC0A1E" w:rsidRPr="00437279" w:rsidRDefault="00BC0A1E" w:rsidP="00FB4618">
            <w:pPr>
              <w:jc w:val="center"/>
              <w:rPr>
                <w:b/>
                <w:bCs/>
              </w:rPr>
            </w:pPr>
          </w:p>
          <w:p w14:paraId="60C9547A" w14:textId="77777777" w:rsidR="00BC0A1E" w:rsidRPr="00437279" w:rsidRDefault="00BC0A1E" w:rsidP="00FB4618">
            <w:pPr>
              <w:jc w:val="center"/>
              <w:rPr>
                <w:b/>
                <w:bCs/>
              </w:rPr>
            </w:pPr>
          </w:p>
        </w:tc>
        <w:tc>
          <w:tcPr>
            <w:tcW w:w="6570" w:type="dxa"/>
          </w:tcPr>
          <w:p w14:paraId="26BAB42C" w14:textId="77777777" w:rsidR="00BC0A1E" w:rsidRPr="00EE4D0B" w:rsidRDefault="00BC0A1E" w:rsidP="00FB4618">
            <w:pPr>
              <w:ind w:left="-46"/>
              <w:jc w:val="center"/>
              <w:rPr>
                <w:b/>
                <w:bCs/>
                <w:sz w:val="28"/>
                <w:szCs w:val="28"/>
              </w:rPr>
            </w:pPr>
            <w:r w:rsidRPr="00EE4D0B">
              <w:rPr>
                <w:b/>
                <w:bCs/>
                <w:sz w:val="28"/>
                <w:szCs w:val="28"/>
              </w:rPr>
              <w:t>PUBLIC INTEREST ADVOCACY STAFF</w:t>
            </w:r>
          </w:p>
        </w:tc>
        <w:tc>
          <w:tcPr>
            <w:tcW w:w="2026" w:type="dxa"/>
          </w:tcPr>
          <w:p w14:paraId="639ECC61" w14:textId="77777777" w:rsidR="00BC0A1E" w:rsidRPr="00437279" w:rsidRDefault="00BC0A1E" w:rsidP="00FB4618">
            <w:pPr>
              <w:jc w:val="center"/>
              <w:rPr>
                <w:b/>
                <w:bCs/>
              </w:rPr>
            </w:pPr>
          </w:p>
        </w:tc>
      </w:tr>
    </w:tbl>
    <w:p w14:paraId="322C1852" w14:textId="77777777" w:rsidR="00BC0A1E" w:rsidRDefault="00BC0A1E" w:rsidP="00FB4618">
      <w:pPr>
        <w:jc w:val="center"/>
      </w:pPr>
    </w:p>
    <w:p w14:paraId="60ADC72C" w14:textId="77777777" w:rsidR="003E32BE" w:rsidRPr="00437279" w:rsidRDefault="003E32BE" w:rsidP="00FB4618">
      <w:pPr>
        <w:jc w:val="center"/>
      </w:pPr>
    </w:p>
    <w:tbl>
      <w:tblPr>
        <w:tblW w:w="10144" w:type="dxa"/>
        <w:tblLayout w:type="fixed"/>
        <w:tblLook w:val="0000" w:firstRow="0" w:lastRow="0" w:firstColumn="0" w:lastColumn="0" w:noHBand="0" w:noVBand="0"/>
      </w:tblPr>
      <w:tblGrid>
        <w:gridCol w:w="2066"/>
        <w:gridCol w:w="5075"/>
        <w:gridCol w:w="2896"/>
        <w:gridCol w:w="107"/>
      </w:tblGrid>
      <w:tr w:rsidR="00BC0A1E" w:rsidRPr="00CC12E2" w14:paraId="7EFB4299" w14:textId="77777777" w:rsidTr="006D5162">
        <w:trPr>
          <w:gridAfter w:val="1"/>
          <w:wAfter w:w="108" w:type="dxa"/>
        </w:trPr>
        <w:tc>
          <w:tcPr>
            <w:tcW w:w="2088" w:type="dxa"/>
          </w:tcPr>
          <w:p w14:paraId="05BEC478" w14:textId="77777777" w:rsidR="00BC0A1E" w:rsidRPr="00CC12E2" w:rsidRDefault="00BC0A1E" w:rsidP="00FB4618">
            <w:pPr>
              <w:jc w:val="center"/>
              <w:rPr>
                <w:b/>
                <w:bCs/>
                <w:sz w:val="28"/>
                <w:szCs w:val="28"/>
              </w:rPr>
            </w:pPr>
          </w:p>
        </w:tc>
        <w:tc>
          <w:tcPr>
            <w:tcW w:w="5130" w:type="dxa"/>
          </w:tcPr>
          <w:p w14:paraId="0283EF23" w14:textId="77777777" w:rsidR="00BC0A1E" w:rsidRPr="00CC12E2" w:rsidRDefault="00BC0A1E" w:rsidP="00FB4618">
            <w:pPr>
              <w:ind w:left="-46"/>
              <w:jc w:val="center"/>
              <w:rPr>
                <w:b/>
                <w:bCs/>
                <w:sz w:val="28"/>
                <w:szCs w:val="28"/>
              </w:rPr>
            </w:pPr>
          </w:p>
          <w:p w14:paraId="1A79C664" w14:textId="77777777" w:rsidR="00BC0A1E" w:rsidRPr="00EE4D0B" w:rsidRDefault="00790CB1" w:rsidP="00FB4618">
            <w:pPr>
              <w:ind w:left="-46"/>
              <w:jc w:val="center"/>
              <w:rPr>
                <w:b/>
                <w:bCs/>
                <w:sz w:val="28"/>
                <w:szCs w:val="28"/>
              </w:rPr>
            </w:pPr>
            <w:r>
              <w:rPr>
                <w:b/>
                <w:bCs/>
                <w:sz w:val="28"/>
                <w:szCs w:val="28"/>
              </w:rPr>
              <w:t xml:space="preserve">NOVEMBER </w:t>
            </w:r>
            <w:r w:rsidR="001372C2">
              <w:rPr>
                <w:b/>
                <w:bCs/>
                <w:sz w:val="28"/>
                <w:szCs w:val="28"/>
              </w:rPr>
              <w:t>22</w:t>
            </w:r>
            <w:r w:rsidR="00131C2C">
              <w:rPr>
                <w:b/>
                <w:bCs/>
                <w:sz w:val="28"/>
                <w:szCs w:val="28"/>
              </w:rPr>
              <w:t>, 201</w:t>
            </w:r>
            <w:r w:rsidR="001372C2">
              <w:rPr>
                <w:b/>
                <w:bCs/>
                <w:sz w:val="28"/>
                <w:szCs w:val="28"/>
              </w:rPr>
              <w:t>9</w:t>
            </w:r>
          </w:p>
        </w:tc>
        <w:tc>
          <w:tcPr>
            <w:tcW w:w="2926" w:type="dxa"/>
          </w:tcPr>
          <w:p w14:paraId="4CBCB868" w14:textId="77777777" w:rsidR="00BC0A1E" w:rsidRPr="00CC12E2" w:rsidRDefault="00BC0A1E" w:rsidP="00FB4618">
            <w:pPr>
              <w:jc w:val="center"/>
              <w:rPr>
                <w:b/>
                <w:bCs/>
                <w:sz w:val="28"/>
                <w:szCs w:val="28"/>
              </w:rPr>
            </w:pPr>
          </w:p>
        </w:tc>
      </w:tr>
      <w:tr w:rsidR="00BC0A1E" w:rsidRPr="00437279" w14:paraId="1230D4AE" w14:textId="77777777" w:rsidTr="006D5162">
        <w:tc>
          <w:tcPr>
            <w:tcW w:w="2088" w:type="dxa"/>
          </w:tcPr>
          <w:p w14:paraId="0836D91A" w14:textId="77777777" w:rsidR="00BC0A1E" w:rsidRPr="00437279" w:rsidRDefault="00BC0A1E" w:rsidP="006E7C92">
            <w:pPr>
              <w:rPr>
                <w:b/>
                <w:bCs/>
              </w:rPr>
            </w:pPr>
          </w:p>
        </w:tc>
        <w:tc>
          <w:tcPr>
            <w:tcW w:w="5130" w:type="dxa"/>
          </w:tcPr>
          <w:p w14:paraId="3B33751D" w14:textId="77777777" w:rsidR="00BC0A1E" w:rsidRPr="00437279" w:rsidRDefault="00BC0A1E" w:rsidP="006E7C92">
            <w:pPr>
              <w:ind w:left="-46"/>
              <w:rPr>
                <w:b/>
                <w:bCs/>
              </w:rPr>
            </w:pPr>
          </w:p>
          <w:p w14:paraId="4020BBFE" w14:textId="77777777" w:rsidR="00BC0A1E" w:rsidRPr="00437279" w:rsidRDefault="00BC0A1E" w:rsidP="006E7C92">
            <w:pPr>
              <w:ind w:left="-46"/>
              <w:rPr>
                <w:b/>
                <w:bCs/>
              </w:rPr>
            </w:pPr>
          </w:p>
        </w:tc>
        <w:tc>
          <w:tcPr>
            <w:tcW w:w="2926" w:type="dxa"/>
            <w:gridSpan w:val="2"/>
          </w:tcPr>
          <w:p w14:paraId="42D8CCAD" w14:textId="77777777" w:rsidR="00BC0A1E" w:rsidRPr="00437279" w:rsidRDefault="00BC0A1E" w:rsidP="006E7C92">
            <w:pPr>
              <w:tabs>
                <w:tab w:val="left" w:pos="1995"/>
              </w:tabs>
              <w:rPr>
                <w:b/>
                <w:bCs/>
              </w:rPr>
            </w:pPr>
            <w:r>
              <w:rPr>
                <w:b/>
                <w:bCs/>
              </w:rPr>
              <w:tab/>
            </w:r>
          </w:p>
        </w:tc>
      </w:tr>
    </w:tbl>
    <w:p w14:paraId="765BC3CA" w14:textId="77777777" w:rsidR="00BC0A1E" w:rsidRPr="00437279" w:rsidRDefault="00BC0A1E" w:rsidP="006E7C92">
      <w:pPr>
        <w:ind w:right="-630"/>
        <w:rPr>
          <w:b/>
          <w:bCs/>
        </w:rPr>
      </w:pPr>
    </w:p>
    <w:p w14:paraId="39731F82" w14:textId="77777777" w:rsidR="00BC0A1E" w:rsidRPr="00437279" w:rsidRDefault="00BC0A1E" w:rsidP="006E7C92">
      <w:pPr>
        <w:ind w:right="-630"/>
        <w:rPr>
          <w:b/>
          <w:bCs/>
        </w:rPr>
        <w:sectPr w:rsidR="00BC0A1E" w:rsidRPr="00437279" w:rsidSect="00DC2B21">
          <w:headerReference w:type="default" r:id="rId8"/>
          <w:footerReference w:type="default" r:id="rId9"/>
          <w:pgSz w:w="12240" w:h="15840" w:code="1"/>
          <w:pgMar w:top="1440" w:right="1440" w:bottom="1440" w:left="1440" w:header="720" w:footer="720" w:gutter="0"/>
          <w:cols w:space="720"/>
          <w:titlePg/>
          <w:docGrid w:linePitch="360"/>
        </w:sectPr>
      </w:pPr>
    </w:p>
    <w:p w14:paraId="108C9346" w14:textId="77777777" w:rsidR="00BC0A1E" w:rsidRDefault="00BC0A1E" w:rsidP="00952863">
      <w:pPr>
        <w:spacing w:before="360" w:line="480" w:lineRule="auto"/>
        <w:ind w:left="720" w:hanging="720"/>
        <w:jc w:val="center"/>
        <w:rPr>
          <w:b/>
          <w:bCs/>
          <w:u w:val="single"/>
        </w:rPr>
      </w:pPr>
      <w:r w:rsidRPr="00FF4097">
        <w:rPr>
          <w:b/>
          <w:bCs/>
          <w:u w:val="single"/>
        </w:rPr>
        <w:lastRenderedPageBreak/>
        <w:t>TABLE OF CONTENTS</w:t>
      </w:r>
    </w:p>
    <w:p w14:paraId="5B1B0462" w14:textId="150367F6" w:rsidR="00417A6E" w:rsidRPr="006D5162" w:rsidRDefault="00FB2E76">
      <w:pPr>
        <w:pStyle w:val="TOC1"/>
        <w:rPr>
          <w:rFonts w:ascii="Calibri" w:hAnsi="Calibri"/>
          <w:sz w:val="22"/>
        </w:rPr>
      </w:pPr>
      <w:r w:rsidRPr="00250136">
        <w:fldChar w:fldCharType="begin"/>
      </w:r>
      <w:r w:rsidR="00BC0A1E" w:rsidRPr="00250136">
        <w:instrText xml:space="preserve"> TOC \o "1-3" \h \z \u </w:instrText>
      </w:r>
      <w:r w:rsidRPr="00250136">
        <w:fldChar w:fldCharType="separate"/>
      </w:r>
      <w:hyperlink w:anchor="_Toc24967258" w:history="1">
        <w:r w:rsidR="00417A6E" w:rsidRPr="00127C89">
          <w:rPr>
            <w:rStyle w:val="Hyperlink"/>
            <w:noProof/>
          </w:rPr>
          <w:t>I.</w:t>
        </w:r>
        <w:r w:rsidR="00417A6E" w:rsidRPr="006D5162">
          <w:rPr>
            <w:rFonts w:ascii="Calibri" w:hAnsi="Calibri"/>
            <w:sz w:val="22"/>
          </w:rPr>
          <w:tab/>
        </w:r>
        <w:r w:rsidR="00417A6E" w:rsidRPr="00127C89">
          <w:rPr>
            <w:rStyle w:val="Hyperlink"/>
            <w:noProof/>
          </w:rPr>
          <w:t>INTRODUCTION</w:t>
        </w:r>
        <w:r w:rsidR="00417A6E">
          <w:rPr>
            <w:noProof/>
            <w:webHidden/>
          </w:rPr>
          <w:tab/>
        </w:r>
        <w:r w:rsidR="00417A6E">
          <w:rPr>
            <w:noProof/>
            <w:webHidden/>
          </w:rPr>
          <w:fldChar w:fldCharType="begin"/>
        </w:r>
        <w:r w:rsidR="00417A6E">
          <w:rPr>
            <w:noProof/>
            <w:webHidden/>
          </w:rPr>
          <w:instrText xml:space="preserve"> PAGEREF _Toc24967258 \h </w:instrText>
        </w:r>
        <w:r w:rsidR="00417A6E">
          <w:rPr>
            <w:noProof/>
            <w:webHidden/>
          </w:rPr>
        </w:r>
        <w:r w:rsidR="00417A6E">
          <w:rPr>
            <w:noProof/>
            <w:webHidden/>
          </w:rPr>
          <w:fldChar w:fldCharType="separate"/>
        </w:r>
        <w:r w:rsidR="00E74C20">
          <w:rPr>
            <w:noProof/>
            <w:webHidden/>
          </w:rPr>
          <w:t>2</w:t>
        </w:r>
        <w:r w:rsidR="00417A6E">
          <w:rPr>
            <w:noProof/>
            <w:webHidden/>
          </w:rPr>
          <w:fldChar w:fldCharType="end"/>
        </w:r>
      </w:hyperlink>
    </w:p>
    <w:p w14:paraId="3683FD37" w14:textId="7485A12C" w:rsidR="00417A6E" w:rsidRPr="006D5162" w:rsidRDefault="005F1675">
      <w:pPr>
        <w:pStyle w:val="TOC1"/>
        <w:rPr>
          <w:rFonts w:ascii="Calibri" w:hAnsi="Calibri"/>
          <w:sz w:val="22"/>
        </w:rPr>
      </w:pPr>
      <w:hyperlink w:anchor="_Toc24967259" w:history="1">
        <w:r w:rsidR="00417A6E" w:rsidRPr="00127C89">
          <w:rPr>
            <w:rStyle w:val="Hyperlink"/>
            <w:noProof/>
          </w:rPr>
          <w:t>II.</w:t>
        </w:r>
        <w:r w:rsidR="00417A6E" w:rsidRPr="006D5162">
          <w:rPr>
            <w:rFonts w:ascii="Calibri" w:hAnsi="Calibri"/>
            <w:sz w:val="22"/>
          </w:rPr>
          <w:tab/>
        </w:r>
        <w:r w:rsidR="00417A6E" w:rsidRPr="00127C89">
          <w:rPr>
            <w:rStyle w:val="Hyperlink"/>
            <w:noProof/>
          </w:rPr>
          <w:t>COMPANY’S VCM 20/21 FILING</w:t>
        </w:r>
        <w:r w:rsidR="00417A6E">
          <w:rPr>
            <w:noProof/>
            <w:webHidden/>
          </w:rPr>
          <w:tab/>
        </w:r>
        <w:r w:rsidR="00417A6E">
          <w:rPr>
            <w:noProof/>
            <w:webHidden/>
          </w:rPr>
          <w:fldChar w:fldCharType="begin"/>
        </w:r>
        <w:r w:rsidR="00417A6E">
          <w:rPr>
            <w:noProof/>
            <w:webHidden/>
          </w:rPr>
          <w:instrText xml:space="preserve"> PAGEREF _Toc24967259 \h </w:instrText>
        </w:r>
        <w:r w:rsidR="00417A6E">
          <w:rPr>
            <w:noProof/>
            <w:webHidden/>
          </w:rPr>
        </w:r>
        <w:r w:rsidR="00417A6E">
          <w:rPr>
            <w:noProof/>
            <w:webHidden/>
          </w:rPr>
          <w:fldChar w:fldCharType="separate"/>
        </w:r>
        <w:r w:rsidR="00E74C20">
          <w:rPr>
            <w:noProof/>
            <w:webHidden/>
          </w:rPr>
          <w:t>5</w:t>
        </w:r>
        <w:r w:rsidR="00417A6E">
          <w:rPr>
            <w:noProof/>
            <w:webHidden/>
          </w:rPr>
          <w:fldChar w:fldCharType="end"/>
        </w:r>
      </w:hyperlink>
    </w:p>
    <w:p w14:paraId="00960A1D" w14:textId="1D169579" w:rsidR="00417A6E" w:rsidRPr="006D5162" w:rsidRDefault="005F1675">
      <w:pPr>
        <w:pStyle w:val="TOC1"/>
        <w:rPr>
          <w:rFonts w:ascii="Calibri" w:hAnsi="Calibri"/>
          <w:sz w:val="22"/>
        </w:rPr>
      </w:pPr>
      <w:hyperlink w:anchor="_Toc24967260" w:history="1">
        <w:r w:rsidR="00417A6E" w:rsidRPr="00127C89">
          <w:rPr>
            <w:rStyle w:val="Hyperlink"/>
            <w:noProof/>
          </w:rPr>
          <w:t>III.</w:t>
        </w:r>
        <w:r w:rsidR="00417A6E" w:rsidRPr="006D5162">
          <w:rPr>
            <w:rFonts w:ascii="Calibri" w:hAnsi="Calibri"/>
            <w:sz w:val="22"/>
          </w:rPr>
          <w:tab/>
        </w:r>
        <w:r w:rsidR="00417A6E" w:rsidRPr="00127C89">
          <w:rPr>
            <w:rStyle w:val="Hyperlink"/>
            <w:noProof/>
          </w:rPr>
          <w:t>STAFF’S ECONOMIC EVALUATION</w:t>
        </w:r>
        <w:r w:rsidR="00417A6E">
          <w:rPr>
            <w:noProof/>
            <w:webHidden/>
          </w:rPr>
          <w:tab/>
        </w:r>
        <w:r w:rsidR="00417A6E">
          <w:rPr>
            <w:noProof/>
            <w:webHidden/>
          </w:rPr>
          <w:fldChar w:fldCharType="begin"/>
        </w:r>
        <w:r w:rsidR="00417A6E">
          <w:rPr>
            <w:noProof/>
            <w:webHidden/>
          </w:rPr>
          <w:instrText xml:space="preserve"> PAGEREF _Toc24967260 \h </w:instrText>
        </w:r>
        <w:r w:rsidR="00417A6E">
          <w:rPr>
            <w:noProof/>
            <w:webHidden/>
          </w:rPr>
        </w:r>
        <w:r w:rsidR="00417A6E">
          <w:rPr>
            <w:noProof/>
            <w:webHidden/>
          </w:rPr>
          <w:fldChar w:fldCharType="separate"/>
        </w:r>
        <w:r w:rsidR="00E74C20">
          <w:rPr>
            <w:noProof/>
            <w:webHidden/>
          </w:rPr>
          <w:t>9</w:t>
        </w:r>
        <w:r w:rsidR="00417A6E">
          <w:rPr>
            <w:noProof/>
            <w:webHidden/>
          </w:rPr>
          <w:fldChar w:fldCharType="end"/>
        </w:r>
      </w:hyperlink>
    </w:p>
    <w:p w14:paraId="170EB9ED" w14:textId="3A7F05E6" w:rsidR="00417A6E" w:rsidRPr="006D5162" w:rsidRDefault="005F1675">
      <w:pPr>
        <w:pStyle w:val="TOC2"/>
        <w:rPr>
          <w:rFonts w:ascii="Calibri" w:hAnsi="Calibri"/>
          <w:sz w:val="22"/>
        </w:rPr>
      </w:pPr>
      <w:hyperlink w:anchor="_Toc24967261" w:history="1">
        <w:r w:rsidR="00417A6E" w:rsidRPr="00127C89">
          <w:rPr>
            <w:rStyle w:val="Hyperlink"/>
          </w:rPr>
          <w:t>Staff’s Assumptions</w:t>
        </w:r>
        <w:r w:rsidR="00417A6E">
          <w:rPr>
            <w:webHidden/>
          </w:rPr>
          <w:tab/>
        </w:r>
        <w:r w:rsidR="00417A6E">
          <w:rPr>
            <w:webHidden/>
          </w:rPr>
          <w:fldChar w:fldCharType="begin"/>
        </w:r>
        <w:r w:rsidR="00417A6E">
          <w:rPr>
            <w:webHidden/>
          </w:rPr>
          <w:instrText xml:space="preserve"> PAGEREF _Toc24967261 \h </w:instrText>
        </w:r>
        <w:r w:rsidR="00417A6E">
          <w:rPr>
            <w:webHidden/>
          </w:rPr>
        </w:r>
        <w:r w:rsidR="00417A6E">
          <w:rPr>
            <w:webHidden/>
          </w:rPr>
          <w:fldChar w:fldCharType="separate"/>
        </w:r>
        <w:r w:rsidR="00E74C20">
          <w:rPr>
            <w:webHidden/>
          </w:rPr>
          <w:t>9</w:t>
        </w:r>
        <w:r w:rsidR="00417A6E">
          <w:rPr>
            <w:webHidden/>
          </w:rPr>
          <w:fldChar w:fldCharType="end"/>
        </w:r>
      </w:hyperlink>
    </w:p>
    <w:p w14:paraId="2AFF8634" w14:textId="6D0C98E9" w:rsidR="00417A6E" w:rsidRPr="006D5162" w:rsidRDefault="005F1675">
      <w:pPr>
        <w:pStyle w:val="TOC2"/>
        <w:rPr>
          <w:rFonts w:ascii="Calibri" w:hAnsi="Calibri"/>
          <w:sz w:val="22"/>
        </w:rPr>
      </w:pPr>
      <w:hyperlink w:anchor="_Toc24967262" w:history="1">
        <w:r w:rsidR="00417A6E" w:rsidRPr="00127C89">
          <w:rPr>
            <w:rStyle w:val="Hyperlink"/>
          </w:rPr>
          <w:t>Staff’s Economic Evaluation Results</w:t>
        </w:r>
        <w:r w:rsidR="00417A6E">
          <w:rPr>
            <w:webHidden/>
          </w:rPr>
          <w:tab/>
        </w:r>
        <w:r w:rsidR="00417A6E">
          <w:rPr>
            <w:webHidden/>
          </w:rPr>
          <w:fldChar w:fldCharType="begin"/>
        </w:r>
        <w:r w:rsidR="00417A6E">
          <w:rPr>
            <w:webHidden/>
          </w:rPr>
          <w:instrText xml:space="preserve"> PAGEREF _Toc24967262 \h </w:instrText>
        </w:r>
        <w:r w:rsidR="00417A6E">
          <w:rPr>
            <w:webHidden/>
          </w:rPr>
        </w:r>
        <w:r w:rsidR="00417A6E">
          <w:rPr>
            <w:webHidden/>
          </w:rPr>
          <w:fldChar w:fldCharType="separate"/>
        </w:r>
        <w:r w:rsidR="00E74C20">
          <w:rPr>
            <w:webHidden/>
          </w:rPr>
          <w:t>18</w:t>
        </w:r>
        <w:r w:rsidR="00417A6E">
          <w:rPr>
            <w:webHidden/>
          </w:rPr>
          <w:fldChar w:fldCharType="end"/>
        </w:r>
      </w:hyperlink>
    </w:p>
    <w:p w14:paraId="500CF839" w14:textId="27CC3459" w:rsidR="00BC0A1E" w:rsidRPr="00250136" w:rsidRDefault="00FB2E76" w:rsidP="00694B7A">
      <w:pPr>
        <w:pStyle w:val="TOC2"/>
        <w:spacing w:before="240"/>
      </w:pPr>
      <w:r w:rsidRPr="00250136">
        <w:fldChar w:fldCharType="end"/>
      </w:r>
    </w:p>
    <w:p w14:paraId="1C9B823E" w14:textId="77777777" w:rsidR="00BC0A1E" w:rsidRPr="00250136" w:rsidRDefault="00BC0A1E" w:rsidP="006E7C92">
      <w:pPr>
        <w:spacing w:after="240" w:line="240" w:lineRule="atLeast"/>
        <w:ind w:left="720" w:hanging="720"/>
        <w:rPr>
          <w:b/>
          <w:bCs/>
          <w:noProof/>
        </w:rPr>
        <w:sectPr w:rsidR="00BC0A1E" w:rsidRPr="00250136" w:rsidSect="00F56A05">
          <w:headerReference w:type="first" r:id="rId10"/>
          <w:footerReference w:type="first" r:id="rId11"/>
          <w:endnotePr>
            <w:numFmt w:val="decimal"/>
          </w:endnotePr>
          <w:pgSz w:w="12240" w:h="15840" w:code="1"/>
          <w:pgMar w:top="1440" w:right="1890" w:bottom="1728" w:left="1440" w:header="1440" w:footer="720" w:gutter="0"/>
          <w:pgNumType w:start="1"/>
          <w:cols w:space="720"/>
          <w:noEndnote/>
          <w:titlePg/>
          <w:docGrid w:linePitch="326"/>
        </w:sectPr>
      </w:pPr>
    </w:p>
    <w:p w14:paraId="14E04EB5" w14:textId="77777777" w:rsidR="00AF248F" w:rsidRPr="00250136" w:rsidRDefault="001D4E37" w:rsidP="00E5271A">
      <w:pPr>
        <w:pStyle w:val="Heading1"/>
        <w:numPr>
          <w:ilvl w:val="0"/>
          <w:numId w:val="20"/>
        </w:numPr>
        <w:rPr>
          <w:sz w:val="24"/>
          <w:szCs w:val="24"/>
        </w:rPr>
      </w:pPr>
      <w:bookmarkStart w:id="1" w:name="_Toc434845175"/>
      <w:bookmarkStart w:id="2" w:name="_Toc434413366"/>
      <w:r>
        <w:rPr>
          <w:sz w:val="24"/>
          <w:szCs w:val="24"/>
        </w:rPr>
        <w:lastRenderedPageBreak/>
        <w:t xml:space="preserve"> </w:t>
      </w:r>
      <w:bookmarkStart w:id="3" w:name="_Toc499136445"/>
      <w:bookmarkStart w:id="4" w:name="_Toc24967258"/>
      <w:r w:rsidR="00AF248F" w:rsidRPr="00250136">
        <w:rPr>
          <w:sz w:val="24"/>
          <w:szCs w:val="24"/>
        </w:rPr>
        <w:t>INTRODUCTION</w:t>
      </w:r>
      <w:bookmarkEnd w:id="1"/>
      <w:bookmarkEnd w:id="3"/>
      <w:bookmarkEnd w:id="4"/>
    </w:p>
    <w:bookmarkEnd w:id="2"/>
    <w:p w14:paraId="7C38227C" w14:textId="77777777" w:rsidR="00C66CDC" w:rsidRPr="00250136" w:rsidRDefault="00BC0A1E" w:rsidP="00E5271A">
      <w:pPr>
        <w:spacing w:after="240" w:line="360" w:lineRule="auto"/>
        <w:ind w:left="720" w:hanging="720"/>
        <w:rPr>
          <w:b/>
          <w:bCs/>
          <w:spacing w:val="-3"/>
        </w:rPr>
      </w:pPr>
      <w:r w:rsidRPr="00250136">
        <w:rPr>
          <w:b/>
          <w:bCs/>
        </w:rPr>
        <w:t>Q.</w:t>
      </w:r>
      <w:r w:rsidRPr="00250136">
        <w:rPr>
          <w:b/>
          <w:bCs/>
        </w:rPr>
        <w:tab/>
      </w:r>
      <w:r w:rsidR="00BB1CB9" w:rsidRPr="00250136">
        <w:rPr>
          <w:b/>
          <w:bCs/>
          <w:spacing w:val="-3"/>
        </w:rPr>
        <w:t xml:space="preserve">PLEASE STATE YOUR NAMES, TITLES, </w:t>
      </w:r>
      <w:r w:rsidRPr="00250136">
        <w:rPr>
          <w:b/>
          <w:bCs/>
          <w:spacing w:val="-3"/>
        </w:rPr>
        <w:t>AND BUSINESS ADDRESS</w:t>
      </w:r>
      <w:r w:rsidR="00BB1CB9" w:rsidRPr="00250136">
        <w:rPr>
          <w:b/>
          <w:bCs/>
          <w:spacing w:val="-3"/>
        </w:rPr>
        <w:t>ES</w:t>
      </w:r>
      <w:r w:rsidRPr="00250136">
        <w:rPr>
          <w:b/>
          <w:bCs/>
          <w:spacing w:val="-3"/>
        </w:rPr>
        <w:t>.</w:t>
      </w:r>
    </w:p>
    <w:p w14:paraId="108FD9BF" w14:textId="77777777" w:rsidR="00C66CDC" w:rsidRPr="00250136" w:rsidRDefault="00BC0A1E" w:rsidP="00E5271A">
      <w:pPr>
        <w:spacing w:after="240" w:line="360" w:lineRule="auto"/>
        <w:ind w:left="720" w:hanging="720"/>
      </w:pPr>
      <w:r w:rsidRPr="00250136">
        <w:rPr>
          <w:bCs/>
        </w:rPr>
        <w:t>A</w:t>
      </w:r>
      <w:r w:rsidRPr="00250136">
        <w:t>.</w:t>
      </w:r>
      <w:r w:rsidRPr="00250136">
        <w:tab/>
      </w:r>
      <w:r w:rsidR="00C66CDC" w:rsidRPr="00250136">
        <w:rPr>
          <w:color w:val="000000"/>
        </w:rPr>
        <w:t>My name is Tom J. Newsome. I am the Director of Utility Finance with the Georgia Public Service Commission (“Commission”). My business address is 244 Washington St., Atlanta, Georgia</w:t>
      </w:r>
      <w:r w:rsidR="00856F5B">
        <w:rPr>
          <w:color w:val="000000"/>
        </w:rPr>
        <w:t>,</w:t>
      </w:r>
      <w:r w:rsidR="00C66CDC" w:rsidRPr="00250136">
        <w:rPr>
          <w:color w:val="000000"/>
        </w:rPr>
        <w:t xml:space="preserve"> 30334.</w:t>
      </w:r>
    </w:p>
    <w:p w14:paraId="79A14109" w14:textId="77777777" w:rsidR="00B32C3A" w:rsidRPr="00250136" w:rsidRDefault="00BB1CB9" w:rsidP="00E5271A">
      <w:pPr>
        <w:spacing w:after="240" w:line="360" w:lineRule="auto"/>
        <w:ind w:left="720"/>
        <w:rPr>
          <w:spacing w:val="-3"/>
        </w:rPr>
      </w:pPr>
      <w:r w:rsidRPr="00250136">
        <w:t xml:space="preserve">My name is </w:t>
      </w:r>
      <w:r w:rsidR="00BC0A1E" w:rsidRPr="00250136">
        <w:rPr>
          <w:spacing w:val="-3"/>
        </w:rPr>
        <w:t>Philip Hayet</w:t>
      </w:r>
      <w:r w:rsidR="00461FD2" w:rsidRPr="00250136">
        <w:rPr>
          <w:spacing w:val="-3"/>
        </w:rPr>
        <w:t>.</w:t>
      </w:r>
      <w:r w:rsidR="00B32C3A" w:rsidRPr="00250136">
        <w:rPr>
          <w:spacing w:val="-3"/>
        </w:rPr>
        <w:t xml:space="preserve">  </w:t>
      </w:r>
      <w:r w:rsidR="00461FD2" w:rsidRPr="00250136">
        <w:rPr>
          <w:spacing w:val="-3"/>
        </w:rPr>
        <w:t>I am a V</w:t>
      </w:r>
      <w:r w:rsidRPr="00250136">
        <w:rPr>
          <w:spacing w:val="-3"/>
        </w:rPr>
        <w:t>ice</w:t>
      </w:r>
      <w:r w:rsidR="00461FD2" w:rsidRPr="00250136">
        <w:rPr>
          <w:spacing w:val="-3"/>
        </w:rPr>
        <w:t xml:space="preserve"> P</w:t>
      </w:r>
      <w:r w:rsidRPr="00250136">
        <w:rPr>
          <w:spacing w:val="-3"/>
        </w:rPr>
        <w:t>resident</w:t>
      </w:r>
      <w:r w:rsidR="00B32C3A" w:rsidRPr="00250136">
        <w:rPr>
          <w:spacing w:val="-3"/>
        </w:rPr>
        <w:t xml:space="preserve"> and Principal</w:t>
      </w:r>
      <w:r w:rsidRPr="00250136">
        <w:rPr>
          <w:spacing w:val="-3"/>
        </w:rPr>
        <w:t xml:space="preserve"> of J. Kennedy and Associates, Inc.</w:t>
      </w:r>
      <w:r w:rsidR="00AB0381" w:rsidRPr="00250136">
        <w:rPr>
          <w:spacing w:val="-3"/>
        </w:rPr>
        <w:t xml:space="preserve"> (“Kennedy and Associates”).</w:t>
      </w:r>
      <w:r w:rsidRPr="00250136">
        <w:rPr>
          <w:spacing w:val="-3"/>
        </w:rPr>
        <w:t xml:space="preserve">  My business address is 570 Colonial Park Drive, Suite 305, Roswell, G</w:t>
      </w:r>
      <w:r w:rsidR="00110C25" w:rsidRPr="00250136">
        <w:rPr>
          <w:spacing w:val="-3"/>
        </w:rPr>
        <w:t>eorgia,</w:t>
      </w:r>
      <w:r w:rsidRPr="00250136">
        <w:rPr>
          <w:spacing w:val="-3"/>
        </w:rPr>
        <w:t xml:space="preserve"> 300</w:t>
      </w:r>
      <w:r w:rsidR="009E4EF6" w:rsidRPr="00250136">
        <w:rPr>
          <w:spacing w:val="-3"/>
        </w:rPr>
        <w:t>7</w:t>
      </w:r>
      <w:r w:rsidRPr="00250136">
        <w:rPr>
          <w:spacing w:val="-3"/>
        </w:rPr>
        <w:t xml:space="preserve">5. </w:t>
      </w:r>
    </w:p>
    <w:p w14:paraId="3A48EF81" w14:textId="77777777" w:rsidR="00613F3F" w:rsidRPr="00250136" w:rsidRDefault="00613F3F" w:rsidP="00E5271A">
      <w:pPr>
        <w:spacing w:after="240" w:line="360" w:lineRule="auto"/>
        <w:ind w:left="720" w:hanging="720"/>
        <w:rPr>
          <w:b/>
          <w:bCs/>
        </w:rPr>
      </w:pPr>
      <w:r w:rsidRPr="00250136">
        <w:rPr>
          <w:b/>
          <w:bCs/>
        </w:rPr>
        <w:t xml:space="preserve">Q. </w:t>
      </w:r>
      <w:r w:rsidRPr="00250136">
        <w:rPr>
          <w:b/>
          <w:bCs/>
        </w:rPr>
        <w:tab/>
      </w:r>
      <w:r w:rsidRPr="00250136">
        <w:rPr>
          <w:b/>
          <w:bCs/>
          <w:spacing w:val="-3"/>
        </w:rPr>
        <w:t xml:space="preserve">MR. NEWSOME, WHAT ARE YOUR </w:t>
      </w:r>
      <w:r w:rsidR="00E5271A" w:rsidRPr="00250136">
        <w:rPr>
          <w:b/>
          <w:bCs/>
          <w:spacing w:val="-3"/>
        </w:rPr>
        <w:t xml:space="preserve">PRIMARY </w:t>
      </w:r>
      <w:r w:rsidRPr="00250136">
        <w:rPr>
          <w:b/>
          <w:bCs/>
          <w:spacing w:val="-3"/>
        </w:rPr>
        <w:t>RESPONSIBILITIES WITH THE COMMISSION STAFF?</w:t>
      </w:r>
    </w:p>
    <w:p w14:paraId="1B18FDCF" w14:textId="77777777" w:rsidR="00613F3F" w:rsidRPr="00250136" w:rsidRDefault="00613F3F" w:rsidP="00E5271A">
      <w:pPr>
        <w:spacing w:after="240" w:line="360" w:lineRule="auto"/>
        <w:ind w:left="720" w:hanging="720"/>
      </w:pPr>
      <w:r w:rsidRPr="00250136">
        <w:t xml:space="preserve">A. </w:t>
      </w:r>
      <w:r w:rsidRPr="00250136">
        <w:tab/>
      </w:r>
      <w:r w:rsidR="00D776FC">
        <w:t>I am responsible for economic, financial</w:t>
      </w:r>
      <w:r w:rsidR="00257074">
        <w:t>,</w:t>
      </w:r>
      <w:r w:rsidR="00D776FC">
        <w:t xml:space="preserve"> and cost of equity analysis and evaluations at the Commission.</w:t>
      </w:r>
    </w:p>
    <w:p w14:paraId="28CDAECA" w14:textId="77777777" w:rsidR="00150F1F" w:rsidRPr="00250136" w:rsidRDefault="00150F1F" w:rsidP="00E5271A">
      <w:pPr>
        <w:spacing w:after="240" w:line="360" w:lineRule="auto"/>
        <w:ind w:left="720" w:hanging="720"/>
        <w:rPr>
          <w:b/>
          <w:bCs/>
        </w:rPr>
      </w:pPr>
      <w:r w:rsidRPr="00250136">
        <w:rPr>
          <w:b/>
          <w:bCs/>
        </w:rPr>
        <w:t xml:space="preserve">Q. </w:t>
      </w:r>
      <w:r w:rsidRPr="00250136">
        <w:rPr>
          <w:b/>
          <w:bCs/>
        </w:rPr>
        <w:tab/>
      </w:r>
      <w:r w:rsidRPr="00250136">
        <w:rPr>
          <w:b/>
          <w:bCs/>
          <w:spacing w:val="-3"/>
        </w:rPr>
        <w:t>WHAT CONSULTING SERVICES DOES KENNEDY AND ASSOCIATES PROVIDE?</w:t>
      </w:r>
    </w:p>
    <w:p w14:paraId="75B744E2" w14:textId="77777777" w:rsidR="00CD2A95" w:rsidRDefault="00150F1F" w:rsidP="00E5271A">
      <w:pPr>
        <w:spacing w:after="240" w:line="360" w:lineRule="auto"/>
        <w:ind w:left="720" w:hanging="720"/>
      </w:pPr>
      <w:r w:rsidRPr="00250136">
        <w:t xml:space="preserve">A. </w:t>
      </w:r>
      <w:r w:rsidRPr="00250136">
        <w:tab/>
        <w:t>Kennedy and Associates provides consulting services related to electric utility system planning, resource analysis, production cost modeling, ratemaking, finance, accounting, and industry policy issues.</w:t>
      </w:r>
    </w:p>
    <w:p w14:paraId="12DA9993" w14:textId="77777777" w:rsidR="00BC0A1E" w:rsidRPr="00250136" w:rsidRDefault="00BC0A1E" w:rsidP="00E5271A">
      <w:pPr>
        <w:tabs>
          <w:tab w:val="left" w:pos="-720"/>
          <w:tab w:val="left" w:pos="720"/>
        </w:tabs>
        <w:suppressAutoHyphens/>
        <w:spacing w:after="240" w:line="360" w:lineRule="auto"/>
        <w:ind w:left="720" w:hanging="720"/>
        <w:rPr>
          <w:b/>
          <w:bCs/>
          <w:spacing w:val="-3"/>
        </w:rPr>
      </w:pPr>
      <w:r w:rsidRPr="00250136">
        <w:rPr>
          <w:b/>
          <w:bCs/>
          <w:spacing w:val="-3"/>
        </w:rPr>
        <w:t>Q.</w:t>
      </w:r>
      <w:r w:rsidRPr="00250136">
        <w:rPr>
          <w:b/>
          <w:bCs/>
          <w:spacing w:val="-3"/>
        </w:rPr>
        <w:tab/>
      </w:r>
      <w:r w:rsidR="00E5271A" w:rsidRPr="00250136">
        <w:rPr>
          <w:b/>
          <w:bCs/>
          <w:spacing w:val="-3"/>
        </w:rPr>
        <w:t xml:space="preserve">PLEASE PROVIDE </w:t>
      </w:r>
      <w:r w:rsidR="00613F3F" w:rsidRPr="00250136">
        <w:rPr>
          <w:b/>
          <w:bCs/>
          <w:spacing w:val="-3"/>
        </w:rPr>
        <w:t>SUMMARIES OF Y</w:t>
      </w:r>
      <w:r w:rsidR="00BB1CB9" w:rsidRPr="00250136">
        <w:rPr>
          <w:b/>
          <w:bCs/>
          <w:color w:val="000000"/>
        </w:rPr>
        <w:t>OUR EDUCATIONAL BACKGROUND AND EXPERIENCE.</w:t>
      </w:r>
    </w:p>
    <w:p w14:paraId="67425F76" w14:textId="77777777" w:rsidR="00BC0A1E" w:rsidRPr="00250136" w:rsidRDefault="00BC0A1E" w:rsidP="00E5271A">
      <w:pPr>
        <w:tabs>
          <w:tab w:val="left" w:pos="-720"/>
          <w:tab w:val="left" w:pos="0"/>
        </w:tabs>
        <w:suppressAutoHyphens/>
        <w:spacing w:after="240" w:line="360" w:lineRule="auto"/>
        <w:ind w:left="720" w:hanging="720"/>
        <w:rPr>
          <w:color w:val="000000"/>
        </w:rPr>
      </w:pPr>
      <w:r w:rsidRPr="00250136">
        <w:rPr>
          <w:snapToGrid w:val="0"/>
        </w:rPr>
        <w:t>A.</w:t>
      </w:r>
      <w:r w:rsidRPr="00250136">
        <w:rPr>
          <w:b/>
          <w:bCs/>
          <w:snapToGrid w:val="0"/>
        </w:rPr>
        <w:tab/>
      </w:r>
      <w:r w:rsidR="00D365BB" w:rsidRPr="00B054F2">
        <w:rPr>
          <w:bCs/>
          <w:snapToGrid w:val="0"/>
        </w:rPr>
        <w:t>S</w:t>
      </w:r>
      <w:r w:rsidR="00613F3F" w:rsidRPr="00250136">
        <w:rPr>
          <w:color w:val="000000"/>
        </w:rPr>
        <w:t>ummar</w:t>
      </w:r>
      <w:r w:rsidR="00D365BB">
        <w:rPr>
          <w:color w:val="000000"/>
        </w:rPr>
        <w:t>ies</w:t>
      </w:r>
      <w:r w:rsidR="00613F3F" w:rsidRPr="00250136">
        <w:rPr>
          <w:color w:val="000000"/>
        </w:rPr>
        <w:t xml:space="preserve"> of our education</w:t>
      </w:r>
      <w:r w:rsidR="00D365BB">
        <w:rPr>
          <w:color w:val="000000"/>
        </w:rPr>
        <w:t>,</w:t>
      </w:r>
      <w:r w:rsidR="00613F3F" w:rsidRPr="00250136">
        <w:rPr>
          <w:color w:val="000000"/>
        </w:rPr>
        <w:t xml:space="preserve"> experience</w:t>
      </w:r>
      <w:r w:rsidR="00D365BB">
        <w:rPr>
          <w:color w:val="000000"/>
        </w:rPr>
        <w:t>, professional certification</w:t>
      </w:r>
      <w:r w:rsidR="00F4592A">
        <w:rPr>
          <w:color w:val="000000"/>
        </w:rPr>
        <w:t>s, and testimony appearances</w:t>
      </w:r>
      <w:r w:rsidR="00613F3F" w:rsidRPr="00250136">
        <w:rPr>
          <w:color w:val="000000"/>
        </w:rPr>
        <w:t xml:space="preserve"> </w:t>
      </w:r>
      <w:r w:rsidR="00D365BB">
        <w:rPr>
          <w:color w:val="000000"/>
        </w:rPr>
        <w:t>are provided</w:t>
      </w:r>
      <w:r w:rsidR="00613F3F" w:rsidRPr="00250136">
        <w:rPr>
          <w:color w:val="000000"/>
        </w:rPr>
        <w:t xml:space="preserve"> in Exhibits STF-</w:t>
      </w:r>
      <w:r w:rsidR="002070A7">
        <w:rPr>
          <w:color w:val="000000"/>
        </w:rPr>
        <w:t>NH</w:t>
      </w:r>
      <w:r w:rsidR="00613F3F" w:rsidRPr="00250136">
        <w:rPr>
          <w:color w:val="000000"/>
        </w:rPr>
        <w:t>-1</w:t>
      </w:r>
      <w:r w:rsidR="001372C2">
        <w:rPr>
          <w:color w:val="000000"/>
        </w:rPr>
        <w:t xml:space="preserve"> and </w:t>
      </w:r>
      <w:r w:rsidR="00613F3F" w:rsidRPr="00250136">
        <w:rPr>
          <w:color w:val="000000"/>
        </w:rPr>
        <w:t>STF-</w:t>
      </w:r>
      <w:r w:rsidR="002070A7">
        <w:rPr>
          <w:color w:val="000000"/>
        </w:rPr>
        <w:t>NH</w:t>
      </w:r>
      <w:r w:rsidR="00613F3F" w:rsidRPr="00250136">
        <w:rPr>
          <w:color w:val="000000"/>
        </w:rPr>
        <w:t>-2</w:t>
      </w:r>
      <w:r w:rsidR="001372C2">
        <w:rPr>
          <w:color w:val="000000"/>
        </w:rPr>
        <w:t>,</w:t>
      </w:r>
      <w:r w:rsidR="00613F3F" w:rsidRPr="00250136">
        <w:rPr>
          <w:color w:val="000000"/>
        </w:rPr>
        <w:t xml:space="preserve"> for </w:t>
      </w:r>
      <w:r w:rsidR="00D365BB">
        <w:rPr>
          <w:color w:val="000000"/>
        </w:rPr>
        <w:t>Mr. Newsome</w:t>
      </w:r>
      <w:r w:rsidR="001372C2">
        <w:rPr>
          <w:color w:val="000000"/>
        </w:rPr>
        <w:t xml:space="preserve"> and </w:t>
      </w:r>
      <w:r w:rsidR="00613F3F" w:rsidRPr="00250136">
        <w:rPr>
          <w:color w:val="000000"/>
        </w:rPr>
        <w:t xml:space="preserve">Mr. Hayet, respectively.    </w:t>
      </w:r>
    </w:p>
    <w:p w14:paraId="78552182" w14:textId="77777777" w:rsidR="00B00B18" w:rsidRPr="00250136" w:rsidRDefault="00B00B18" w:rsidP="00B00B18">
      <w:pPr>
        <w:spacing w:after="240" w:line="360" w:lineRule="auto"/>
        <w:rPr>
          <w:b/>
        </w:rPr>
      </w:pPr>
      <w:bookmarkStart w:id="5" w:name="_Hlk498508000"/>
      <w:r w:rsidRPr="00250136">
        <w:rPr>
          <w:b/>
        </w:rPr>
        <w:lastRenderedPageBreak/>
        <w:t>Q.</w:t>
      </w:r>
      <w:r w:rsidRPr="00250136">
        <w:rPr>
          <w:b/>
        </w:rPr>
        <w:tab/>
      </w:r>
      <w:r w:rsidR="002D1CE8">
        <w:rPr>
          <w:b/>
        </w:rPr>
        <w:t>PLEASE PROVIDE AN OVERVIEW OF THE PROJECT.</w:t>
      </w:r>
    </w:p>
    <w:p w14:paraId="74F36ACA" w14:textId="77777777" w:rsidR="00F6020D" w:rsidRDefault="00B00B18" w:rsidP="00537C46">
      <w:pPr>
        <w:spacing w:after="240" w:line="360" w:lineRule="auto"/>
        <w:ind w:left="720" w:hanging="720"/>
      </w:pPr>
      <w:r w:rsidRPr="00250136">
        <w:t>A.</w:t>
      </w:r>
      <w:r w:rsidRPr="00250136">
        <w:tab/>
      </w:r>
      <w:r w:rsidR="00D70AB8">
        <w:t xml:space="preserve">Georgia Power </w:t>
      </w:r>
      <w:r w:rsidR="00B66576">
        <w:t xml:space="preserve">Company’s </w:t>
      </w:r>
      <w:r w:rsidR="00D70AB8">
        <w:t xml:space="preserve">(“the Company” or “Georgia Power”) </w:t>
      </w:r>
      <w:r w:rsidR="001372C2">
        <w:t>Twentieth/Twenty-First</w:t>
      </w:r>
      <w:r w:rsidR="00B66576">
        <w:t xml:space="preserve"> V</w:t>
      </w:r>
      <w:r w:rsidR="005E3E9A">
        <w:t xml:space="preserve">ogtle Construction </w:t>
      </w:r>
      <w:r w:rsidR="00B66576">
        <w:t>M</w:t>
      </w:r>
      <w:r w:rsidR="005E3E9A">
        <w:t>onitoring (“VCM</w:t>
      </w:r>
      <w:r w:rsidR="00946D07">
        <w:t xml:space="preserve"> 20/21</w:t>
      </w:r>
      <w:r w:rsidR="005E3E9A">
        <w:t>”)</w:t>
      </w:r>
      <w:r w:rsidR="00B66576">
        <w:t xml:space="preserve"> Report covers the </w:t>
      </w:r>
      <w:r w:rsidR="00946D07">
        <w:t>twelve</w:t>
      </w:r>
      <w:r w:rsidR="00724A6A">
        <w:t>-</w:t>
      </w:r>
      <w:r w:rsidR="00F16E57">
        <w:t xml:space="preserve">month </w:t>
      </w:r>
      <w:r w:rsidR="00B66576">
        <w:t xml:space="preserve">period </w:t>
      </w:r>
      <w:r w:rsidR="00B054F2">
        <w:t xml:space="preserve">of </w:t>
      </w:r>
      <w:r w:rsidR="00946D07">
        <w:t>July 1, 2018 through</w:t>
      </w:r>
      <w:r w:rsidR="00B054F2">
        <w:t xml:space="preserve"> </w:t>
      </w:r>
      <w:r w:rsidR="00790CB1">
        <w:t>June 30, 201</w:t>
      </w:r>
      <w:r w:rsidR="00946D07">
        <w:t>9</w:t>
      </w:r>
      <w:r w:rsidR="002C05E0">
        <w:t>.</w:t>
      </w:r>
      <w:r w:rsidR="00B66576">
        <w:t xml:space="preserve"> </w:t>
      </w:r>
      <w:r w:rsidR="00663D28">
        <w:t xml:space="preserve"> </w:t>
      </w:r>
      <w:r w:rsidR="002C05E0">
        <w:t>C</w:t>
      </w:r>
      <w:r w:rsidR="00131C2C">
        <w:t>onsistent with its 17</w:t>
      </w:r>
      <w:r w:rsidR="00131C2C" w:rsidRPr="00131C2C">
        <w:rPr>
          <w:vertAlign w:val="superscript"/>
        </w:rPr>
        <w:t>th</w:t>
      </w:r>
      <w:r w:rsidR="00131C2C">
        <w:t xml:space="preserve"> </w:t>
      </w:r>
      <w:r w:rsidR="00946D07">
        <w:t xml:space="preserve">through </w:t>
      </w:r>
      <w:r w:rsidR="00790CB1">
        <w:t>1</w:t>
      </w:r>
      <w:r w:rsidR="00946D07">
        <w:t>9</w:t>
      </w:r>
      <w:r w:rsidR="00790CB1" w:rsidRPr="001F5120">
        <w:rPr>
          <w:vertAlign w:val="superscript"/>
        </w:rPr>
        <w:t>th</w:t>
      </w:r>
      <w:r w:rsidR="00790CB1">
        <w:t xml:space="preserve"> VCM</w:t>
      </w:r>
      <w:r w:rsidR="00131C2C">
        <w:t xml:space="preserve"> filing</w:t>
      </w:r>
      <w:r w:rsidR="00790CB1">
        <w:t>s</w:t>
      </w:r>
      <w:r w:rsidR="00B66576">
        <w:t>,</w:t>
      </w:r>
      <w:r w:rsidR="00131C2C">
        <w:t xml:space="preserve"> t</w:t>
      </w:r>
      <w:r w:rsidR="00D365BB">
        <w:t xml:space="preserve">he Company </w:t>
      </w:r>
      <w:r w:rsidR="00B66576">
        <w:t xml:space="preserve">continues to </w:t>
      </w:r>
      <w:r>
        <w:t>forecast a</w:t>
      </w:r>
      <w:r w:rsidRPr="00250136">
        <w:t xml:space="preserve"> schedule delay</w:t>
      </w:r>
      <w:r>
        <w:t xml:space="preserve"> of 68 months</w:t>
      </w:r>
      <w:r w:rsidR="00946D07">
        <w:t xml:space="preserve">, </w:t>
      </w:r>
      <w:r w:rsidR="00131C2C">
        <w:t>with commercial operation dates (</w:t>
      </w:r>
      <w:r w:rsidR="00282BC7">
        <w:t>“</w:t>
      </w:r>
      <w:r w:rsidR="00131C2C">
        <w:t>CODs</w:t>
      </w:r>
      <w:r w:rsidR="00282BC7">
        <w:t>”</w:t>
      </w:r>
      <w:r w:rsidR="00131C2C">
        <w:t xml:space="preserve">) </w:t>
      </w:r>
      <w:r w:rsidR="002C05E0">
        <w:t xml:space="preserve">for Units 3 and 4 </w:t>
      </w:r>
      <w:r w:rsidR="00B66576">
        <w:t xml:space="preserve">planned for </w:t>
      </w:r>
      <w:r w:rsidR="00131C2C">
        <w:t>November 2021</w:t>
      </w:r>
      <w:r w:rsidR="00CD2A95">
        <w:t xml:space="preserve"> and </w:t>
      </w:r>
      <w:r w:rsidR="00131C2C">
        <w:t>2022</w:t>
      </w:r>
      <w:r w:rsidR="002C05E0">
        <w:t>, respectively</w:t>
      </w:r>
      <w:r w:rsidR="00790CB1">
        <w:t xml:space="preserve">.  </w:t>
      </w:r>
      <w:r w:rsidR="00F6020D">
        <w:t xml:space="preserve">The </w:t>
      </w:r>
      <w:r w:rsidR="00663D28">
        <w:t xml:space="preserve">VCM </w:t>
      </w:r>
      <w:r w:rsidR="00946D07">
        <w:t xml:space="preserve">20/21 </w:t>
      </w:r>
      <w:r w:rsidR="00663D28">
        <w:t>filing</w:t>
      </w:r>
      <w:r w:rsidR="00F6020D">
        <w:t xml:space="preserve"> states that </w:t>
      </w:r>
      <w:r w:rsidR="00C67099">
        <w:t xml:space="preserve">the Company </w:t>
      </w:r>
      <w:r w:rsidR="00F6020D">
        <w:t xml:space="preserve">and </w:t>
      </w:r>
      <w:r w:rsidR="008519D0">
        <w:t xml:space="preserve">Southern Nuclear Operating Company (“SNC”) </w:t>
      </w:r>
      <w:r w:rsidR="00F6020D">
        <w:t xml:space="preserve">continue to project that Georgia Power’s share of </w:t>
      </w:r>
      <w:r w:rsidR="00FB3F09">
        <w:t xml:space="preserve">Vogtle Units 3 and 4 (“Project” or “Units”) </w:t>
      </w:r>
      <w:r w:rsidR="00B507FB">
        <w:t xml:space="preserve">construction and capital </w:t>
      </w:r>
      <w:r w:rsidR="00FB3F09">
        <w:t xml:space="preserve">cost </w:t>
      </w:r>
      <w:r w:rsidR="00294BE6">
        <w:t>will be</w:t>
      </w:r>
      <w:r w:rsidR="00F6020D">
        <w:t xml:space="preserve"> </w:t>
      </w:r>
      <w:r w:rsidR="0031714F">
        <w:t xml:space="preserve">$8.4 billion.  </w:t>
      </w:r>
      <w:r w:rsidR="00F6020D">
        <w:t xml:space="preserve">However, </w:t>
      </w:r>
      <w:r w:rsidR="00294BE6">
        <w:t xml:space="preserve">at this time, the </w:t>
      </w:r>
      <w:r w:rsidR="00F6020D">
        <w:t xml:space="preserve">Company has </w:t>
      </w:r>
      <w:r w:rsidR="00CD00FD">
        <w:t xml:space="preserve">only </w:t>
      </w:r>
      <w:r w:rsidR="00294BE6">
        <w:t xml:space="preserve">stated that it intends to seek </w:t>
      </w:r>
      <w:r w:rsidR="00F6020D">
        <w:t xml:space="preserve">approval of </w:t>
      </w:r>
      <w:r w:rsidR="00CD00FD">
        <w:t xml:space="preserve">$7.3 billion in </w:t>
      </w:r>
      <w:r w:rsidR="00FB3F09">
        <w:t xml:space="preserve">capital </w:t>
      </w:r>
      <w:r w:rsidR="00CD00FD">
        <w:t xml:space="preserve">costs.  Of the </w:t>
      </w:r>
      <w:r w:rsidR="00A337F8">
        <w:t xml:space="preserve">approximate </w:t>
      </w:r>
      <w:r w:rsidR="00CD00FD">
        <w:t>$1.1 billion difference, the Company</w:t>
      </w:r>
      <w:r w:rsidR="00294BE6">
        <w:t xml:space="preserve"> has </w:t>
      </w:r>
      <w:r w:rsidR="00CD00FD">
        <w:t>state</w:t>
      </w:r>
      <w:r w:rsidR="00294BE6">
        <w:t>d</w:t>
      </w:r>
      <w:r w:rsidR="00CD00FD">
        <w:t xml:space="preserve"> it will absorb $694 million</w:t>
      </w:r>
      <w:r w:rsidR="003529BE">
        <w:t xml:space="preserve"> and has not decided whether it will seek recovery of the remaining $366 million contingency from the Commission</w:t>
      </w:r>
      <w:r w:rsidR="001C3E30">
        <w:t>.</w:t>
      </w:r>
      <w:r w:rsidR="00AF4320">
        <w:rPr>
          <w:rStyle w:val="FootnoteReference"/>
        </w:rPr>
        <w:footnoteReference w:id="2"/>
      </w:r>
      <w:r w:rsidR="00AF4320">
        <w:t xml:space="preserve"> </w:t>
      </w:r>
      <w:r w:rsidR="00AC25D9">
        <w:t xml:space="preserve">  </w:t>
      </w:r>
      <w:r w:rsidR="00CD00FD">
        <w:t xml:space="preserve"> </w:t>
      </w:r>
    </w:p>
    <w:p w14:paraId="3954BD3F" w14:textId="24754CF4" w:rsidR="00B00B18" w:rsidRPr="00250136" w:rsidRDefault="00FB3F09" w:rsidP="00294BE6">
      <w:pPr>
        <w:spacing w:after="240" w:line="360" w:lineRule="auto"/>
        <w:ind w:left="720"/>
      </w:pPr>
      <w:r>
        <w:t>S</w:t>
      </w:r>
      <w:r w:rsidR="00442DCA">
        <w:t xml:space="preserve">taff included </w:t>
      </w:r>
      <w:r w:rsidR="004C4BF8">
        <w:t xml:space="preserve">the </w:t>
      </w:r>
      <w:r>
        <w:t xml:space="preserve">$366 million contingency </w:t>
      </w:r>
      <w:r w:rsidR="00F05EEB">
        <w:t xml:space="preserve">in </w:t>
      </w:r>
      <w:r w:rsidR="00AF7AA3">
        <w:t xml:space="preserve">its </w:t>
      </w:r>
      <w:r w:rsidR="00F05EEB">
        <w:t xml:space="preserve">cost to complete </w:t>
      </w:r>
      <w:r w:rsidR="00A72983">
        <w:t xml:space="preserve">economic </w:t>
      </w:r>
      <w:r w:rsidR="00F05EEB">
        <w:t>analysis</w:t>
      </w:r>
      <w:r w:rsidR="003529BE">
        <w:t xml:space="preserve"> since the Company expects to incur the cost and </w:t>
      </w:r>
      <w:r w:rsidR="001C3E30">
        <w:t xml:space="preserve">may </w:t>
      </w:r>
      <w:r w:rsidR="003529BE">
        <w:t xml:space="preserve">seek recovery </w:t>
      </w:r>
      <w:r w:rsidR="001C3E30">
        <w:t xml:space="preserve">of the costs </w:t>
      </w:r>
      <w:r w:rsidR="003529BE">
        <w:t xml:space="preserve">from </w:t>
      </w:r>
      <w:r w:rsidR="001C3E30">
        <w:t>ratepayers</w:t>
      </w:r>
      <w:r w:rsidR="00BD16ED">
        <w:t>.</w:t>
      </w:r>
      <w:r w:rsidR="003529BE">
        <w:rPr>
          <w:rStyle w:val="FootnoteReference"/>
        </w:rPr>
        <w:footnoteReference w:id="3"/>
      </w:r>
      <w:r w:rsidR="0030039D">
        <w:t xml:space="preserve"> </w:t>
      </w:r>
      <w:r w:rsidR="001C3E30">
        <w:t xml:space="preserve"> </w:t>
      </w:r>
      <w:r w:rsidR="003529BE">
        <w:t xml:space="preserve">Therefore, </w:t>
      </w:r>
      <w:r w:rsidR="00C13D3A">
        <w:t xml:space="preserve">Staff’s </w:t>
      </w:r>
      <w:r w:rsidR="0030039D">
        <w:t>revised capital cost</w:t>
      </w:r>
      <w:r w:rsidR="00912A79">
        <w:t xml:space="preserve"> estimate</w:t>
      </w:r>
      <w:r w:rsidR="0030039D">
        <w:t xml:space="preserve"> </w:t>
      </w:r>
      <w:r w:rsidR="00C13D3A">
        <w:t xml:space="preserve">is </w:t>
      </w:r>
      <w:r w:rsidR="0030039D">
        <w:t xml:space="preserve">$7.7 billion ($7.3 billion + </w:t>
      </w:r>
      <w:r w:rsidR="002928D6">
        <w:t>$</w:t>
      </w:r>
      <w:r w:rsidR="0030039D">
        <w:t>366 million</w:t>
      </w:r>
      <w:r w:rsidR="00C13D3A">
        <w:t>)</w:t>
      </w:r>
      <w:r w:rsidR="00F07711">
        <w:t xml:space="preserve"> with a</w:t>
      </w:r>
      <w:r w:rsidR="00A72983">
        <w:t xml:space="preserve"> financing </w:t>
      </w:r>
      <w:r w:rsidR="0030039D">
        <w:t>cost of</w:t>
      </w:r>
      <w:r w:rsidR="00A72983">
        <w:t xml:space="preserve"> </w:t>
      </w:r>
      <w:r w:rsidR="00A72983" w:rsidRPr="007341E9">
        <w:t>$3.</w:t>
      </w:r>
      <w:r w:rsidR="00B376C4" w:rsidRPr="007341E9">
        <w:t>1</w:t>
      </w:r>
      <w:r w:rsidR="00A72983" w:rsidRPr="007341E9">
        <w:t xml:space="preserve"> billion</w:t>
      </w:r>
      <w:r w:rsidR="00F07711" w:rsidRPr="007341E9">
        <w:t>,</w:t>
      </w:r>
      <w:r w:rsidR="00A72983" w:rsidRPr="007341E9">
        <w:t xml:space="preserve"> for a Total Project Cost of $10.</w:t>
      </w:r>
      <w:r w:rsidR="00DA6831" w:rsidRPr="007341E9">
        <w:t>8</w:t>
      </w:r>
      <w:r w:rsidR="00A72983" w:rsidRPr="007341E9">
        <w:t xml:space="preserve"> billion.</w:t>
      </w:r>
      <w:r w:rsidR="00135357" w:rsidRPr="007341E9">
        <w:rPr>
          <w:rStyle w:val="FootnoteReference"/>
        </w:rPr>
        <w:footnoteReference w:id="4"/>
      </w:r>
      <w:r w:rsidR="00B00B18">
        <w:t xml:space="preserve"> </w:t>
      </w:r>
      <w:r w:rsidR="00C04F8E">
        <w:t xml:space="preserve"> </w:t>
      </w:r>
    </w:p>
    <w:p w14:paraId="02ECE917" w14:textId="77777777" w:rsidR="00923FA7" w:rsidRDefault="009B4973" w:rsidP="00143672">
      <w:pPr>
        <w:spacing w:after="240" w:line="360" w:lineRule="auto"/>
        <w:ind w:left="720"/>
      </w:pPr>
      <w:r>
        <w:t xml:space="preserve">Staff </w:t>
      </w:r>
      <w:r w:rsidR="002D759F">
        <w:t>reviewed the Company</w:t>
      </w:r>
      <w:r w:rsidR="00C04F8E">
        <w:t>’s</w:t>
      </w:r>
      <w:r w:rsidR="002D759F">
        <w:t xml:space="preserve"> economic analysis and </w:t>
      </w:r>
      <w:r>
        <w:t xml:space="preserve">presents </w:t>
      </w:r>
      <w:r w:rsidR="002D759F">
        <w:t>its own</w:t>
      </w:r>
      <w:r w:rsidR="00C9670D" w:rsidRPr="00250136">
        <w:t xml:space="preserve"> </w:t>
      </w:r>
      <w:r w:rsidR="002D759F">
        <w:t xml:space="preserve">independent </w:t>
      </w:r>
      <w:r w:rsidR="00B00B18" w:rsidRPr="00250136">
        <w:lastRenderedPageBreak/>
        <w:t xml:space="preserve">economic evaluation of the </w:t>
      </w:r>
      <w:r w:rsidR="005821A9" w:rsidRPr="00250136">
        <w:t>Project</w:t>
      </w:r>
      <w:r w:rsidR="005821A9">
        <w:t xml:space="preserve"> in</w:t>
      </w:r>
      <w:r w:rsidR="00C04F8E">
        <w:t xml:space="preserve"> this testimony</w:t>
      </w:r>
      <w:r w:rsidR="002D759F">
        <w:t>.</w:t>
      </w:r>
      <w:r w:rsidR="00C04F8E">
        <w:t xml:space="preserve"> </w:t>
      </w:r>
      <w:r w:rsidR="002D759F">
        <w:t xml:space="preserve"> </w:t>
      </w:r>
      <w:r w:rsidR="00923FA7">
        <w:t>Similar to</w:t>
      </w:r>
      <w:r w:rsidR="00923FA7" w:rsidRPr="00250136">
        <w:t xml:space="preserve"> Staff</w:t>
      </w:r>
      <w:r w:rsidR="00923FA7">
        <w:t>’s</w:t>
      </w:r>
      <w:r w:rsidR="00923FA7" w:rsidRPr="00250136">
        <w:t xml:space="preserve"> analyses in prior VCM proceedings, </w:t>
      </w:r>
      <w:r w:rsidR="00923FA7">
        <w:t>Staff</w:t>
      </w:r>
      <w:r w:rsidR="00923FA7" w:rsidRPr="00250136">
        <w:t xml:space="preserve"> performed independent economic studies over a range of assumptions that </w:t>
      </w:r>
      <w:r w:rsidR="00923FA7">
        <w:t xml:space="preserve">in some cases </w:t>
      </w:r>
      <w:r w:rsidR="00923FA7" w:rsidRPr="00250136">
        <w:t>differ</w:t>
      </w:r>
      <w:r w:rsidR="00923FA7">
        <w:t xml:space="preserve"> </w:t>
      </w:r>
      <w:r w:rsidR="00923FA7" w:rsidRPr="00250136">
        <w:t>from the Company’s assumptions and methodologies.</w:t>
      </w:r>
    </w:p>
    <w:p w14:paraId="55B6CA9B" w14:textId="403C03E6" w:rsidR="00B00B18" w:rsidRDefault="00445BB9" w:rsidP="00A12FE0">
      <w:pPr>
        <w:spacing w:after="240" w:line="360" w:lineRule="auto"/>
        <w:ind w:left="720"/>
      </w:pPr>
      <w:r w:rsidRPr="00E202A7">
        <w:t xml:space="preserve">Staff’s </w:t>
      </w:r>
      <w:r w:rsidR="002D759F" w:rsidRPr="00E202A7">
        <w:t xml:space="preserve">cost to complete economic </w:t>
      </w:r>
      <w:r w:rsidRPr="00E202A7">
        <w:t>analysis</w:t>
      </w:r>
      <w:r w:rsidR="00C800BB" w:rsidRPr="00E202A7">
        <w:t xml:space="preserve"> </w:t>
      </w:r>
      <w:r w:rsidRPr="00E202A7">
        <w:t xml:space="preserve">indicates </w:t>
      </w:r>
      <w:r w:rsidR="002D759F" w:rsidRPr="00E202A7">
        <w:t xml:space="preserve">it </w:t>
      </w:r>
      <w:r w:rsidR="00013F5A" w:rsidRPr="00E202A7">
        <w:t>is</w:t>
      </w:r>
      <w:r w:rsidR="00F16E57" w:rsidRPr="00E202A7">
        <w:t xml:space="preserve"> </w:t>
      </w:r>
      <w:r w:rsidR="002D759F" w:rsidRPr="00E202A7">
        <w:rPr>
          <w:i/>
        </w:rPr>
        <w:t>economic to continue</w:t>
      </w:r>
      <w:r w:rsidR="002D759F" w:rsidRPr="00E202A7">
        <w:t xml:space="preserve"> </w:t>
      </w:r>
      <w:r w:rsidRPr="00E202A7">
        <w:t xml:space="preserve">the Project </w:t>
      </w:r>
      <w:r w:rsidR="002D759F" w:rsidRPr="00E202A7">
        <w:rPr>
          <w:i/>
        </w:rPr>
        <w:t>if</w:t>
      </w:r>
      <w:r w:rsidR="002D759F" w:rsidRPr="00E202A7">
        <w:t xml:space="preserve"> the Company meets its current cost and COD forecast</w:t>
      </w:r>
      <w:r w:rsidR="00724A6A" w:rsidRPr="00E202A7">
        <w:t>s</w:t>
      </w:r>
      <w:r w:rsidR="002D759F" w:rsidRPr="00E202A7">
        <w:t>.</w:t>
      </w:r>
      <w:r w:rsidR="00780FB1" w:rsidRPr="00E202A7">
        <w:t xml:space="preserve">  </w:t>
      </w:r>
      <w:r w:rsidR="002D759F" w:rsidRPr="00E202A7">
        <w:t xml:space="preserve">However, </w:t>
      </w:r>
      <w:r w:rsidR="00CC3026" w:rsidRPr="00E202A7">
        <w:t xml:space="preserve">Staff </w:t>
      </w:r>
      <w:r w:rsidR="00143672">
        <w:t>determined</w:t>
      </w:r>
      <w:r w:rsidR="00143672" w:rsidRPr="00E202A7">
        <w:t xml:space="preserve"> </w:t>
      </w:r>
      <w:r w:rsidR="00CC3026" w:rsidRPr="00E202A7">
        <w:t>that</w:t>
      </w:r>
      <w:r w:rsidR="00B94616" w:rsidRPr="00E202A7">
        <w:t xml:space="preserve"> </w:t>
      </w:r>
      <w:r w:rsidR="002D759F" w:rsidRPr="00E202A7">
        <w:t xml:space="preserve">a delay </w:t>
      </w:r>
      <w:r w:rsidR="003A7892" w:rsidRPr="00AF4320">
        <w:t>beyond</w:t>
      </w:r>
      <w:r w:rsidR="002D759F" w:rsidRPr="00AF4320">
        <w:t xml:space="preserve"> </w:t>
      </w:r>
      <w:r w:rsidR="00483A49">
        <w:t>1</w:t>
      </w:r>
      <w:r w:rsidR="00157FB2">
        <w:t>8</w:t>
      </w:r>
      <w:r w:rsidR="00AF4320" w:rsidRPr="00AF4320">
        <w:t xml:space="preserve"> </w:t>
      </w:r>
      <w:r w:rsidR="002D759F" w:rsidRPr="00AF4320">
        <w:t xml:space="preserve">months </w:t>
      </w:r>
      <w:r w:rsidR="00AC24CF">
        <w:t xml:space="preserve">from </w:t>
      </w:r>
      <w:r w:rsidR="006D5162">
        <w:t xml:space="preserve">the </w:t>
      </w:r>
      <w:r w:rsidR="00AC24CF">
        <w:t xml:space="preserve">current regulatory CODs of November 2021/2022 </w:t>
      </w:r>
      <w:r w:rsidR="00C04F8E" w:rsidRPr="00AF4320">
        <w:t>c</w:t>
      </w:r>
      <w:r w:rsidR="002D759F" w:rsidRPr="00AF4320">
        <w:t>ould</w:t>
      </w:r>
      <w:r w:rsidR="002D759F" w:rsidRPr="00E202A7">
        <w:t xml:space="preserve"> result in the Project becoming uneconomic to continue.</w:t>
      </w:r>
      <w:r w:rsidR="0094164A">
        <w:t xml:space="preserve"> </w:t>
      </w:r>
      <w:r w:rsidR="002D759F" w:rsidRPr="00E202A7">
        <w:t xml:space="preserve">This is the result of the high cost being incurred by the Company each month </w:t>
      </w:r>
      <w:r w:rsidR="00143672">
        <w:t>during construction</w:t>
      </w:r>
      <w:r w:rsidR="002D759F" w:rsidRPr="00E202A7">
        <w:t>.</w:t>
      </w:r>
      <w:r w:rsidR="002D759F" w:rsidRPr="00E202A7">
        <w:rPr>
          <w:rStyle w:val="FootnoteReference"/>
        </w:rPr>
        <w:footnoteReference w:id="5"/>
      </w:r>
      <w:r w:rsidR="00B00B18" w:rsidRPr="00250136">
        <w:t xml:space="preserve">  </w:t>
      </w:r>
      <w:r w:rsidR="00A12FE0">
        <w:t xml:space="preserve">This cost to complete economic analysis ignores the over $5 billion in capital costs already spent on the </w:t>
      </w:r>
      <w:r w:rsidR="00B76F06">
        <w:t>P</w:t>
      </w:r>
      <w:r w:rsidR="00A12FE0">
        <w:t xml:space="preserve">roject as well as the $2 billion in financing costs </w:t>
      </w:r>
      <w:r w:rsidR="002E6294">
        <w:t xml:space="preserve">already </w:t>
      </w:r>
      <w:r w:rsidR="00A12FE0">
        <w:t>recovered from ratepayers through the Nuclear Construction Cost Recovery (“NCCR”) tariff.</w:t>
      </w:r>
    </w:p>
    <w:p w14:paraId="60877F70" w14:textId="77777777" w:rsidR="00C800BB" w:rsidRPr="00250136" w:rsidRDefault="00C800BB" w:rsidP="00C800BB">
      <w:pPr>
        <w:spacing w:after="240" w:line="360" w:lineRule="auto"/>
        <w:ind w:left="720" w:hanging="720"/>
        <w:rPr>
          <w:b/>
        </w:rPr>
      </w:pPr>
      <w:r w:rsidRPr="00250136">
        <w:rPr>
          <w:b/>
        </w:rPr>
        <w:t>Q.</w:t>
      </w:r>
      <w:r w:rsidRPr="00250136">
        <w:rPr>
          <w:b/>
        </w:rPr>
        <w:tab/>
      </w:r>
      <w:r>
        <w:rPr>
          <w:b/>
        </w:rPr>
        <w:t xml:space="preserve">WHY DO YOU </w:t>
      </w:r>
      <w:r w:rsidR="00A12FE0">
        <w:rPr>
          <w:b/>
        </w:rPr>
        <w:t>EXCLUDE</w:t>
      </w:r>
      <w:r>
        <w:rPr>
          <w:b/>
        </w:rPr>
        <w:t xml:space="preserve"> THE $</w:t>
      </w:r>
      <w:r w:rsidR="00A12FE0">
        <w:rPr>
          <w:b/>
        </w:rPr>
        <w:t>7</w:t>
      </w:r>
      <w:r>
        <w:rPr>
          <w:b/>
        </w:rPr>
        <w:t xml:space="preserve"> BILLION THE COMPANY HAS ALREADY </w:t>
      </w:r>
      <w:r w:rsidR="00A12FE0">
        <w:rPr>
          <w:b/>
        </w:rPr>
        <w:t>INCURRED</w:t>
      </w:r>
      <w:r>
        <w:rPr>
          <w:b/>
        </w:rPr>
        <w:t xml:space="preserve"> IN YOUR COST TO COMPLETE ANALYSIS?</w:t>
      </w:r>
    </w:p>
    <w:p w14:paraId="4930E871" w14:textId="4B164E04" w:rsidR="00E82FCD" w:rsidRDefault="00C800BB" w:rsidP="00C800BB">
      <w:pPr>
        <w:spacing w:after="240" w:line="360" w:lineRule="auto"/>
        <w:ind w:left="720" w:hanging="720"/>
        <w:rPr>
          <w:bCs/>
        </w:rPr>
      </w:pPr>
      <w:r w:rsidRPr="00AE1CB6">
        <w:rPr>
          <w:bCs/>
        </w:rPr>
        <w:t>A.</w:t>
      </w:r>
      <w:r w:rsidRPr="00AE1CB6">
        <w:rPr>
          <w:bCs/>
        </w:rPr>
        <w:tab/>
      </w:r>
      <w:r>
        <w:rPr>
          <w:bCs/>
        </w:rPr>
        <w:t>The purpose of a cost to complete analysis is</w:t>
      </w:r>
      <w:r w:rsidR="00D17E9E">
        <w:rPr>
          <w:bCs/>
        </w:rPr>
        <w:t xml:space="preserve"> to</w:t>
      </w:r>
      <w:r>
        <w:rPr>
          <w:bCs/>
        </w:rPr>
        <w:t xml:space="preserve"> examine whether it is economic to finish </w:t>
      </w:r>
      <w:r w:rsidR="00B76F06">
        <w:rPr>
          <w:bCs/>
        </w:rPr>
        <w:t>the</w:t>
      </w:r>
      <w:r>
        <w:rPr>
          <w:bCs/>
        </w:rPr>
        <w:t xml:space="preserve"> </w:t>
      </w:r>
      <w:r w:rsidR="00B76F06">
        <w:rPr>
          <w:bCs/>
        </w:rPr>
        <w:t>P</w:t>
      </w:r>
      <w:r>
        <w:rPr>
          <w:bCs/>
        </w:rPr>
        <w:t xml:space="preserve">roject, not to evaluate whether the </w:t>
      </w:r>
      <w:r w:rsidR="00B76F06">
        <w:rPr>
          <w:bCs/>
        </w:rPr>
        <w:t>P</w:t>
      </w:r>
      <w:r>
        <w:rPr>
          <w:bCs/>
        </w:rPr>
        <w:t xml:space="preserve">roject </w:t>
      </w:r>
      <w:r w:rsidR="00A12FE0">
        <w:rPr>
          <w:bCs/>
        </w:rPr>
        <w:t>is economic for ratepayers over</w:t>
      </w:r>
      <w:r w:rsidR="00524697">
        <w:rPr>
          <w:bCs/>
        </w:rPr>
        <w:t xml:space="preserve"> the</w:t>
      </w:r>
      <w:r w:rsidR="00A12FE0">
        <w:rPr>
          <w:bCs/>
        </w:rPr>
        <w:t xml:space="preserve"> entire lifecycle (construction and operating periods). Therefore, only prospective cost</w:t>
      </w:r>
      <w:r w:rsidR="00524697">
        <w:rPr>
          <w:bCs/>
        </w:rPr>
        <w:t>s</w:t>
      </w:r>
      <w:r w:rsidR="00A12FE0">
        <w:rPr>
          <w:bCs/>
        </w:rPr>
        <w:t xml:space="preserve"> should be included in</w:t>
      </w:r>
      <w:r w:rsidR="00524697">
        <w:rPr>
          <w:bCs/>
        </w:rPr>
        <w:t xml:space="preserve"> the</w:t>
      </w:r>
      <w:r w:rsidR="00A12FE0">
        <w:rPr>
          <w:bCs/>
        </w:rPr>
        <w:t xml:space="preserve"> cost to complete economic analysis. However, Staff </w:t>
      </w:r>
      <w:r w:rsidR="00524697">
        <w:rPr>
          <w:bCs/>
        </w:rPr>
        <w:t xml:space="preserve">also </w:t>
      </w:r>
      <w:r w:rsidR="00A12FE0">
        <w:rPr>
          <w:bCs/>
        </w:rPr>
        <w:t>perform</w:t>
      </w:r>
      <w:r w:rsidR="00524697">
        <w:rPr>
          <w:bCs/>
        </w:rPr>
        <w:t>ed</w:t>
      </w:r>
      <w:r w:rsidR="00A12FE0">
        <w:rPr>
          <w:bCs/>
        </w:rPr>
        <w:t xml:space="preserve"> a lifecycle economic analysis which include</w:t>
      </w:r>
      <w:r w:rsidR="00524697">
        <w:rPr>
          <w:bCs/>
        </w:rPr>
        <w:t>d</w:t>
      </w:r>
      <w:r w:rsidR="00A12FE0">
        <w:rPr>
          <w:bCs/>
        </w:rPr>
        <w:t xml:space="preserve"> all costs </w:t>
      </w:r>
      <w:r w:rsidR="00524697">
        <w:rPr>
          <w:bCs/>
        </w:rPr>
        <w:t xml:space="preserve">that were excluded from the cost to </w:t>
      </w:r>
      <w:r w:rsidR="00A12FE0">
        <w:rPr>
          <w:bCs/>
        </w:rPr>
        <w:t xml:space="preserve">complete analysis. The results from lifecycle economic analysis are presented later in this testimony. </w:t>
      </w:r>
    </w:p>
    <w:p w14:paraId="74522172" w14:textId="77777777" w:rsidR="00C800BB" w:rsidRPr="00250136" w:rsidRDefault="00C800BB" w:rsidP="0011555E">
      <w:pPr>
        <w:spacing w:after="240" w:line="360" w:lineRule="auto"/>
        <w:ind w:left="720"/>
      </w:pPr>
    </w:p>
    <w:bookmarkEnd w:id="5"/>
    <w:p w14:paraId="0DDA0FEC" w14:textId="77777777" w:rsidR="00001911" w:rsidRPr="00250136" w:rsidRDefault="0013394D" w:rsidP="000841E6">
      <w:pPr>
        <w:pStyle w:val="Heading1"/>
        <w:numPr>
          <w:ilvl w:val="0"/>
          <w:numId w:val="20"/>
        </w:numPr>
        <w:spacing w:line="360" w:lineRule="auto"/>
        <w:rPr>
          <w:sz w:val="24"/>
          <w:szCs w:val="24"/>
        </w:rPr>
      </w:pPr>
      <w:r>
        <w:rPr>
          <w:sz w:val="24"/>
          <w:szCs w:val="24"/>
        </w:rPr>
        <w:lastRenderedPageBreak/>
        <w:t xml:space="preserve"> </w:t>
      </w:r>
      <w:bookmarkStart w:id="6" w:name="_Toc499136446"/>
      <w:bookmarkStart w:id="7" w:name="_Toc24967259"/>
      <w:r w:rsidR="00001911" w:rsidRPr="00250136">
        <w:rPr>
          <w:sz w:val="24"/>
          <w:szCs w:val="24"/>
        </w:rPr>
        <w:t>COMPANY</w:t>
      </w:r>
      <w:r w:rsidR="00161A9E">
        <w:rPr>
          <w:sz w:val="24"/>
          <w:szCs w:val="24"/>
        </w:rPr>
        <w:t>’S</w:t>
      </w:r>
      <w:r w:rsidR="00001911" w:rsidRPr="00250136">
        <w:rPr>
          <w:sz w:val="24"/>
          <w:szCs w:val="24"/>
        </w:rPr>
        <w:t xml:space="preserve"> </w:t>
      </w:r>
      <w:r w:rsidR="006F2961">
        <w:rPr>
          <w:sz w:val="24"/>
          <w:szCs w:val="24"/>
        </w:rPr>
        <w:t xml:space="preserve">VCM 20/21 </w:t>
      </w:r>
      <w:r w:rsidR="003146D0">
        <w:rPr>
          <w:sz w:val="24"/>
          <w:szCs w:val="24"/>
        </w:rPr>
        <w:t>F</w:t>
      </w:r>
      <w:r w:rsidR="00001911" w:rsidRPr="00250136">
        <w:rPr>
          <w:sz w:val="24"/>
          <w:szCs w:val="24"/>
        </w:rPr>
        <w:t>ILING</w:t>
      </w:r>
      <w:bookmarkEnd w:id="6"/>
      <w:bookmarkEnd w:id="7"/>
    </w:p>
    <w:p w14:paraId="01A18DCE" w14:textId="77777777" w:rsidR="00E14A0C" w:rsidRDefault="00E14A0C" w:rsidP="000841E6">
      <w:pPr>
        <w:spacing w:after="240" w:line="360" w:lineRule="auto"/>
        <w:ind w:left="720" w:hanging="720"/>
        <w:rPr>
          <w:b/>
          <w:bCs/>
        </w:rPr>
      </w:pPr>
      <w:r w:rsidRPr="00250136">
        <w:rPr>
          <w:b/>
          <w:bCs/>
        </w:rPr>
        <w:t>Q.</w:t>
      </w:r>
      <w:r w:rsidRPr="00250136">
        <w:rPr>
          <w:b/>
          <w:bCs/>
        </w:rPr>
        <w:tab/>
      </w:r>
      <w:r>
        <w:rPr>
          <w:b/>
          <w:bCs/>
        </w:rPr>
        <w:t>WHAT CONVENTION DO YOU USE TO REFER TO THE DIFFERENT CASES EVALUATED IN THIS PROCEEDING?</w:t>
      </w:r>
    </w:p>
    <w:p w14:paraId="2DC9CCBD" w14:textId="77777777" w:rsidR="00E14A0C" w:rsidRDefault="00E14A0C" w:rsidP="00E14A0C">
      <w:pPr>
        <w:spacing w:after="240" w:line="360" w:lineRule="auto"/>
        <w:ind w:left="720" w:hanging="720"/>
        <w:rPr>
          <w:bCs/>
        </w:rPr>
      </w:pPr>
      <w:r w:rsidRPr="00AE1CB6">
        <w:rPr>
          <w:bCs/>
        </w:rPr>
        <w:t>A.</w:t>
      </w:r>
      <w:r w:rsidRPr="00AE1CB6">
        <w:rPr>
          <w:bCs/>
        </w:rPr>
        <w:tab/>
      </w:r>
      <w:r w:rsidR="006F2961">
        <w:rPr>
          <w:bCs/>
        </w:rPr>
        <w:t xml:space="preserve">Our practice </w:t>
      </w:r>
      <w:r w:rsidR="001E26D3">
        <w:rPr>
          <w:bCs/>
        </w:rPr>
        <w:t xml:space="preserve">has been </w:t>
      </w:r>
      <w:r w:rsidR="006F2961">
        <w:rPr>
          <w:bCs/>
        </w:rPr>
        <w:t xml:space="preserve">to identify the delay cases </w:t>
      </w:r>
      <w:r>
        <w:rPr>
          <w:bCs/>
        </w:rPr>
        <w:t xml:space="preserve">based on the number of months of delay from the original certified in-service dates </w:t>
      </w:r>
      <w:r w:rsidR="002B2C0E">
        <w:rPr>
          <w:bCs/>
        </w:rPr>
        <w:t>for the Units</w:t>
      </w:r>
      <w:r w:rsidR="001E26D3">
        <w:rPr>
          <w:bCs/>
        </w:rPr>
        <w:t>, which were</w:t>
      </w:r>
      <w:r>
        <w:rPr>
          <w:bCs/>
        </w:rPr>
        <w:t xml:space="preserve"> April 2016/</w:t>
      </w:r>
      <w:r w:rsidR="00F16E57">
        <w:rPr>
          <w:bCs/>
        </w:rPr>
        <w:t>2017</w:t>
      </w:r>
      <w:r>
        <w:rPr>
          <w:bCs/>
        </w:rPr>
        <w:t xml:space="preserve">.  Since the Company’s latest </w:t>
      </w:r>
      <w:r w:rsidR="00465ADB">
        <w:rPr>
          <w:bCs/>
        </w:rPr>
        <w:t xml:space="preserve">in-service date </w:t>
      </w:r>
      <w:r>
        <w:rPr>
          <w:bCs/>
        </w:rPr>
        <w:t xml:space="preserve">estimate is November 2021/2022, Staff refers to this as the 68-month </w:t>
      </w:r>
      <w:r w:rsidR="00752520">
        <w:rPr>
          <w:bCs/>
        </w:rPr>
        <w:t xml:space="preserve">delay </w:t>
      </w:r>
      <w:r>
        <w:rPr>
          <w:bCs/>
        </w:rPr>
        <w:t xml:space="preserve">case.  </w:t>
      </w:r>
      <w:r w:rsidR="006F2961">
        <w:rPr>
          <w:bCs/>
        </w:rPr>
        <w:t>T</w:t>
      </w:r>
      <w:r>
        <w:rPr>
          <w:bCs/>
        </w:rPr>
        <w:t>he Company refers to the same case as its +29-month case</w:t>
      </w:r>
      <w:r w:rsidR="00752520">
        <w:rPr>
          <w:bCs/>
        </w:rPr>
        <w:t xml:space="preserve"> in reference to </w:t>
      </w:r>
      <w:r w:rsidR="00C479C1">
        <w:rPr>
          <w:bCs/>
        </w:rPr>
        <w:t>its</w:t>
      </w:r>
      <w:r w:rsidR="00752520">
        <w:rPr>
          <w:bCs/>
        </w:rPr>
        <w:t xml:space="preserve"> prior </w:t>
      </w:r>
      <w:r w:rsidR="00930B36">
        <w:rPr>
          <w:bCs/>
        </w:rPr>
        <w:t>CODs</w:t>
      </w:r>
      <w:r w:rsidR="00752520">
        <w:rPr>
          <w:bCs/>
        </w:rPr>
        <w:t xml:space="preserve"> of June 2019</w:t>
      </w:r>
      <w:r w:rsidR="0030039D">
        <w:rPr>
          <w:bCs/>
        </w:rPr>
        <w:t>/2020</w:t>
      </w:r>
      <w:r w:rsidR="00805A02">
        <w:rPr>
          <w:bCs/>
        </w:rPr>
        <w:t>, as</w:t>
      </w:r>
      <w:r w:rsidR="001F44F8">
        <w:rPr>
          <w:bCs/>
        </w:rPr>
        <w:t xml:space="preserve"> </w:t>
      </w:r>
      <w:r w:rsidR="00465ADB">
        <w:rPr>
          <w:bCs/>
        </w:rPr>
        <w:t xml:space="preserve">was </w:t>
      </w:r>
      <w:r w:rsidR="001F44F8">
        <w:rPr>
          <w:bCs/>
        </w:rPr>
        <w:t xml:space="preserve">reflected in the </w:t>
      </w:r>
      <w:r w:rsidR="00805A02">
        <w:rPr>
          <w:bCs/>
        </w:rPr>
        <w:t xml:space="preserve">Company’s </w:t>
      </w:r>
      <w:r w:rsidR="001F44F8">
        <w:rPr>
          <w:bCs/>
        </w:rPr>
        <w:t>15</w:t>
      </w:r>
      <w:r w:rsidR="001F44F8" w:rsidRPr="00805A02">
        <w:rPr>
          <w:bCs/>
          <w:vertAlign w:val="superscript"/>
        </w:rPr>
        <w:t>th</w:t>
      </w:r>
      <w:r w:rsidR="001F44F8">
        <w:rPr>
          <w:bCs/>
        </w:rPr>
        <w:t xml:space="preserve"> and 16</w:t>
      </w:r>
      <w:r w:rsidR="001F44F8" w:rsidRPr="00805A02">
        <w:rPr>
          <w:bCs/>
          <w:vertAlign w:val="superscript"/>
        </w:rPr>
        <w:t>th</w:t>
      </w:r>
      <w:r w:rsidR="001F44F8">
        <w:rPr>
          <w:bCs/>
        </w:rPr>
        <w:t xml:space="preserve"> VCM filings</w:t>
      </w:r>
      <w:r w:rsidR="00752520">
        <w:rPr>
          <w:bCs/>
        </w:rPr>
        <w:t>.</w:t>
      </w:r>
    </w:p>
    <w:p w14:paraId="31C02B48" w14:textId="77777777" w:rsidR="00A63282" w:rsidRPr="00250136" w:rsidRDefault="00A63282" w:rsidP="00A63282">
      <w:pPr>
        <w:spacing w:after="240" w:line="360" w:lineRule="auto"/>
        <w:ind w:left="720" w:hanging="720"/>
        <w:rPr>
          <w:b/>
          <w:bCs/>
        </w:rPr>
      </w:pPr>
      <w:r w:rsidRPr="00250136">
        <w:rPr>
          <w:b/>
          <w:bCs/>
        </w:rPr>
        <w:t>Q.</w:t>
      </w:r>
      <w:r w:rsidRPr="00250136">
        <w:rPr>
          <w:b/>
          <w:bCs/>
        </w:rPr>
        <w:tab/>
      </w:r>
      <w:r>
        <w:rPr>
          <w:b/>
          <w:bCs/>
        </w:rPr>
        <w:t xml:space="preserve">PLEASE EXPLAIN </w:t>
      </w:r>
      <w:r w:rsidR="009C69AB">
        <w:rPr>
          <w:b/>
          <w:bCs/>
        </w:rPr>
        <w:t>HOW</w:t>
      </w:r>
      <w:r>
        <w:rPr>
          <w:b/>
          <w:bCs/>
        </w:rPr>
        <w:t xml:space="preserve"> THE FINANCING COST INCURRED BY THE COMPANY DURING THE CONSTR</w:t>
      </w:r>
      <w:r w:rsidR="009C69AB">
        <w:rPr>
          <w:b/>
          <w:bCs/>
        </w:rPr>
        <w:t>UC</w:t>
      </w:r>
      <w:r>
        <w:rPr>
          <w:b/>
          <w:bCs/>
        </w:rPr>
        <w:t xml:space="preserve">TION OF THE UNITS </w:t>
      </w:r>
      <w:r w:rsidR="009C69AB">
        <w:rPr>
          <w:b/>
          <w:bCs/>
        </w:rPr>
        <w:t>IS RECOVERED</w:t>
      </w:r>
      <w:r>
        <w:rPr>
          <w:b/>
          <w:bCs/>
        </w:rPr>
        <w:t xml:space="preserve"> FROM RATEPAYERS</w:t>
      </w:r>
      <w:r w:rsidR="00727600">
        <w:rPr>
          <w:b/>
          <w:bCs/>
        </w:rPr>
        <w:t>.</w:t>
      </w:r>
      <w:r w:rsidRPr="00250136">
        <w:rPr>
          <w:b/>
          <w:bCs/>
        </w:rPr>
        <w:t xml:space="preserve">  </w:t>
      </w:r>
    </w:p>
    <w:p w14:paraId="3449261D" w14:textId="312093BE" w:rsidR="00A63282" w:rsidRDefault="00A63282" w:rsidP="00A63282">
      <w:pPr>
        <w:spacing w:after="240" w:line="360" w:lineRule="auto"/>
        <w:ind w:left="720" w:hanging="720"/>
        <w:rPr>
          <w:bCs/>
        </w:rPr>
      </w:pPr>
      <w:r w:rsidRPr="00250136">
        <w:rPr>
          <w:bCs/>
        </w:rPr>
        <w:t xml:space="preserve">A. </w:t>
      </w:r>
      <w:r w:rsidRPr="00250136">
        <w:rPr>
          <w:bCs/>
        </w:rPr>
        <w:tab/>
      </w:r>
      <w:r w:rsidR="00757889">
        <w:rPr>
          <w:bCs/>
        </w:rPr>
        <w:t xml:space="preserve">Of the </w:t>
      </w:r>
      <w:r w:rsidR="009C69AB">
        <w:rPr>
          <w:bCs/>
        </w:rPr>
        <w:t>Company’s</w:t>
      </w:r>
      <w:r w:rsidR="00FC4604">
        <w:rPr>
          <w:bCs/>
        </w:rPr>
        <w:t xml:space="preserve"> $3.1 billion</w:t>
      </w:r>
      <w:r w:rsidR="009C69AB">
        <w:rPr>
          <w:bCs/>
        </w:rPr>
        <w:t xml:space="preserve"> financing cost</w:t>
      </w:r>
      <w:r w:rsidR="003F54A7">
        <w:rPr>
          <w:bCs/>
        </w:rPr>
        <w:t xml:space="preserve">, </w:t>
      </w:r>
      <w:r w:rsidR="00757889">
        <w:rPr>
          <w:bCs/>
        </w:rPr>
        <w:t>$2.</w:t>
      </w:r>
      <w:r w:rsidR="00FB3F09">
        <w:rPr>
          <w:bCs/>
        </w:rPr>
        <w:t>8</w:t>
      </w:r>
      <w:r w:rsidR="00757889">
        <w:rPr>
          <w:bCs/>
        </w:rPr>
        <w:t xml:space="preserve"> billion </w:t>
      </w:r>
      <w:r w:rsidR="00727600">
        <w:rPr>
          <w:bCs/>
        </w:rPr>
        <w:t xml:space="preserve">is </w:t>
      </w:r>
      <w:r w:rsidR="00695C52">
        <w:rPr>
          <w:bCs/>
        </w:rPr>
        <w:t xml:space="preserve">being </w:t>
      </w:r>
      <w:r w:rsidR="00727600">
        <w:rPr>
          <w:bCs/>
        </w:rPr>
        <w:t xml:space="preserve">recovered during construction </w:t>
      </w:r>
      <w:r w:rsidR="009C69AB">
        <w:rPr>
          <w:bCs/>
        </w:rPr>
        <w:t>through the Nuclear Construction Cost Recovery (“NCCR”) tariff.</w:t>
      </w:r>
      <w:r w:rsidR="00C13D3A">
        <w:rPr>
          <w:bCs/>
        </w:rPr>
        <w:t xml:space="preserve"> </w:t>
      </w:r>
      <w:r w:rsidR="00FC4604">
        <w:rPr>
          <w:bCs/>
        </w:rPr>
        <w:t xml:space="preserve"> </w:t>
      </w:r>
      <w:r w:rsidR="00C13D3A">
        <w:rPr>
          <w:bCs/>
        </w:rPr>
        <w:t>The $2.</w:t>
      </w:r>
      <w:r w:rsidR="00FB3F09">
        <w:rPr>
          <w:bCs/>
        </w:rPr>
        <w:t>8</w:t>
      </w:r>
      <w:r w:rsidR="00C13D3A">
        <w:rPr>
          <w:bCs/>
        </w:rPr>
        <w:t xml:space="preserve"> billion </w:t>
      </w:r>
      <w:r w:rsidR="00852039">
        <w:rPr>
          <w:bCs/>
        </w:rPr>
        <w:t xml:space="preserve">amount </w:t>
      </w:r>
      <w:r w:rsidR="00C13D3A">
        <w:rPr>
          <w:bCs/>
        </w:rPr>
        <w:t>consist</w:t>
      </w:r>
      <w:r w:rsidR="004A27B7">
        <w:rPr>
          <w:bCs/>
        </w:rPr>
        <w:t>s</w:t>
      </w:r>
      <w:r w:rsidR="00C13D3A">
        <w:rPr>
          <w:bCs/>
        </w:rPr>
        <w:t xml:space="preserve"> of </w:t>
      </w:r>
      <w:r w:rsidR="00852039">
        <w:rPr>
          <w:bCs/>
        </w:rPr>
        <w:t>$</w:t>
      </w:r>
      <w:r w:rsidR="002E6294">
        <w:rPr>
          <w:bCs/>
        </w:rPr>
        <w:t>0.</w:t>
      </w:r>
      <w:r w:rsidR="00852039">
        <w:rPr>
          <w:bCs/>
        </w:rPr>
        <w:t xml:space="preserve">1 </w:t>
      </w:r>
      <w:r w:rsidR="002E6294">
        <w:rPr>
          <w:bCs/>
        </w:rPr>
        <w:t>b</w:t>
      </w:r>
      <w:r w:rsidR="00852039">
        <w:rPr>
          <w:bCs/>
        </w:rPr>
        <w:t>illion in financing cost that occurred prior to 2011 when the NCCR tariff began,</w:t>
      </w:r>
      <w:r w:rsidR="00107C19">
        <w:rPr>
          <w:rStyle w:val="FootnoteReference"/>
          <w:bCs/>
        </w:rPr>
        <w:footnoteReference w:id="6"/>
      </w:r>
      <w:r w:rsidR="00852039">
        <w:rPr>
          <w:bCs/>
        </w:rPr>
        <w:t xml:space="preserve"> and an additional </w:t>
      </w:r>
      <w:r w:rsidR="00C13D3A">
        <w:rPr>
          <w:bCs/>
        </w:rPr>
        <w:t>$2.</w:t>
      </w:r>
      <w:r w:rsidR="00FB3F09">
        <w:rPr>
          <w:bCs/>
        </w:rPr>
        <w:t>7</w:t>
      </w:r>
      <w:r w:rsidR="00C13D3A">
        <w:rPr>
          <w:bCs/>
        </w:rPr>
        <w:t xml:space="preserve"> billion of financing cost </w:t>
      </w:r>
      <w:r w:rsidR="00852039">
        <w:rPr>
          <w:bCs/>
        </w:rPr>
        <w:t xml:space="preserve">that will be </w:t>
      </w:r>
      <w:r w:rsidR="00C13D3A">
        <w:rPr>
          <w:bCs/>
        </w:rPr>
        <w:t>incur</w:t>
      </w:r>
      <w:r w:rsidR="00852039">
        <w:rPr>
          <w:bCs/>
        </w:rPr>
        <w:t>red</w:t>
      </w:r>
      <w:r w:rsidR="00C13D3A">
        <w:rPr>
          <w:bCs/>
        </w:rPr>
        <w:t xml:space="preserve"> from 2011 through the current CODs</w:t>
      </w:r>
      <w:r w:rsidR="00852039">
        <w:rPr>
          <w:bCs/>
        </w:rPr>
        <w:t xml:space="preserve">.  </w:t>
      </w:r>
      <w:r w:rsidR="009D2F59">
        <w:rPr>
          <w:bCs/>
        </w:rPr>
        <w:t>The $2.</w:t>
      </w:r>
      <w:r w:rsidR="00F21754">
        <w:rPr>
          <w:bCs/>
        </w:rPr>
        <w:t>7</w:t>
      </w:r>
      <w:r w:rsidR="009D2F59">
        <w:rPr>
          <w:bCs/>
        </w:rPr>
        <w:t xml:space="preserve"> billion </w:t>
      </w:r>
      <w:r w:rsidR="00852039">
        <w:rPr>
          <w:bCs/>
        </w:rPr>
        <w:t xml:space="preserve">amount </w:t>
      </w:r>
      <w:r w:rsidR="009D2F59">
        <w:rPr>
          <w:bCs/>
        </w:rPr>
        <w:t>consist</w:t>
      </w:r>
      <w:r w:rsidR="00852039">
        <w:rPr>
          <w:bCs/>
        </w:rPr>
        <w:t>s of</w:t>
      </w:r>
      <w:r w:rsidR="00F21754">
        <w:rPr>
          <w:bCs/>
        </w:rPr>
        <w:t xml:space="preserve"> </w:t>
      </w:r>
      <w:r w:rsidR="009D2F59">
        <w:rPr>
          <w:bCs/>
        </w:rPr>
        <w:t>$</w:t>
      </w:r>
      <w:r w:rsidR="002E6294">
        <w:rPr>
          <w:bCs/>
        </w:rPr>
        <w:t>0</w:t>
      </w:r>
      <w:r w:rsidR="00F21754">
        <w:rPr>
          <w:bCs/>
        </w:rPr>
        <w:t>.76 b</w:t>
      </w:r>
      <w:r w:rsidR="009D2F59">
        <w:rPr>
          <w:bCs/>
        </w:rPr>
        <w:t>illion of interest on debt and $</w:t>
      </w:r>
      <w:r w:rsidR="00F21754">
        <w:rPr>
          <w:bCs/>
        </w:rPr>
        <w:t>1.96</w:t>
      </w:r>
      <w:r w:rsidR="009D2F59">
        <w:rPr>
          <w:bCs/>
        </w:rPr>
        <w:t xml:space="preserve"> billion of return on equity (</w:t>
      </w:r>
      <w:r w:rsidR="00BC70CE">
        <w:rPr>
          <w:bCs/>
        </w:rPr>
        <w:t xml:space="preserve">“ROE” or </w:t>
      </w:r>
      <w:r w:rsidR="006114F5">
        <w:rPr>
          <w:bCs/>
        </w:rPr>
        <w:t>“</w:t>
      </w:r>
      <w:r w:rsidR="009D2F59">
        <w:rPr>
          <w:bCs/>
        </w:rPr>
        <w:t>profit</w:t>
      </w:r>
      <w:r w:rsidR="006114F5">
        <w:rPr>
          <w:bCs/>
        </w:rPr>
        <w:t>”</w:t>
      </w:r>
      <w:r w:rsidR="009D2F59">
        <w:rPr>
          <w:bCs/>
        </w:rPr>
        <w:t>).</w:t>
      </w:r>
      <w:r w:rsidR="009C69AB">
        <w:rPr>
          <w:bCs/>
        </w:rPr>
        <w:t xml:space="preserve"> </w:t>
      </w:r>
      <w:r w:rsidR="00735C68">
        <w:rPr>
          <w:bCs/>
        </w:rPr>
        <w:t xml:space="preserve"> </w:t>
      </w:r>
      <w:r w:rsidR="001C6BFF">
        <w:rPr>
          <w:bCs/>
        </w:rPr>
        <w:t xml:space="preserve">An additional </w:t>
      </w:r>
      <w:r w:rsidR="009C69AB">
        <w:rPr>
          <w:bCs/>
        </w:rPr>
        <w:t>financing cost</w:t>
      </w:r>
      <w:r w:rsidR="001C6BFF">
        <w:rPr>
          <w:bCs/>
        </w:rPr>
        <w:t xml:space="preserve"> of</w:t>
      </w:r>
      <w:r w:rsidR="003F54A7">
        <w:rPr>
          <w:bCs/>
        </w:rPr>
        <w:t xml:space="preserve"> $0.</w:t>
      </w:r>
      <w:r w:rsidR="0075319B">
        <w:rPr>
          <w:bCs/>
        </w:rPr>
        <w:t>3</w:t>
      </w:r>
      <w:r w:rsidR="00164459">
        <w:rPr>
          <w:bCs/>
        </w:rPr>
        <w:t xml:space="preserve"> </w:t>
      </w:r>
      <w:r w:rsidR="003F54A7">
        <w:rPr>
          <w:bCs/>
        </w:rPr>
        <w:t>billion</w:t>
      </w:r>
      <w:r w:rsidR="009C69AB">
        <w:rPr>
          <w:bCs/>
        </w:rPr>
        <w:t xml:space="preserve"> </w:t>
      </w:r>
      <w:r w:rsidR="00695C52">
        <w:rPr>
          <w:bCs/>
        </w:rPr>
        <w:t xml:space="preserve">will be </w:t>
      </w:r>
      <w:r w:rsidR="00164459">
        <w:rPr>
          <w:bCs/>
        </w:rPr>
        <w:t xml:space="preserve">deferred and </w:t>
      </w:r>
      <w:r w:rsidR="003F54A7">
        <w:rPr>
          <w:bCs/>
        </w:rPr>
        <w:t xml:space="preserve">recovered </w:t>
      </w:r>
      <w:r w:rsidR="00164459">
        <w:rPr>
          <w:bCs/>
        </w:rPr>
        <w:t xml:space="preserve">over the operating life of the Units </w:t>
      </w:r>
      <w:r w:rsidR="003F54A7">
        <w:rPr>
          <w:bCs/>
        </w:rPr>
        <w:t xml:space="preserve">through Allowance </w:t>
      </w:r>
      <w:r w:rsidR="002D16C5">
        <w:rPr>
          <w:bCs/>
        </w:rPr>
        <w:t>f</w:t>
      </w:r>
      <w:r w:rsidR="003F54A7">
        <w:rPr>
          <w:bCs/>
        </w:rPr>
        <w:t>or Funds Used During Construction (“AFUDC”) accounting</w:t>
      </w:r>
      <w:r w:rsidR="00972808">
        <w:rPr>
          <w:bCs/>
        </w:rPr>
        <w:t>.</w:t>
      </w:r>
    </w:p>
    <w:p w14:paraId="7547E429" w14:textId="77777777" w:rsidR="00752520" w:rsidRPr="00250136" w:rsidRDefault="00752520" w:rsidP="00752520">
      <w:pPr>
        <w:spacing w:after="240" w:line="360" w:lineRule="auto"/>
        <w:ind w:left="720" w:hanging="720"/>
        <w:rPr>
          <w:b/>
          <w:bCs/>
        </w:rPr>
      </w:pPr>
      <w:r w:rsidRPr="00250136">
        <w:rPr>
          <w:b/>
          <w:bCs/>
        </w:rPr>
        <w:t>Q.</w:t>
      </w:r>
      <w:r w:rsidRPr="00250136">
        <w:rPr>
          <w:b/>
          <w:bCs/>
        </w:rPr>
        <w:tab/>
      </w:r>
      <w:r w:rsidR="008846B8">
        <w:rPr>
          <w:b/>
          <w:bCs/>
        </w:rPr>
        <w:t xml:space="preserve">HOW MUCH </w:t>
      </w:r>
      <w:r w:rsidR="00E30DEC">
        <w:rPr>
          <w:b/>
          <w:bCs/>
        </w:rPr>
        <w:t>OF</w:t>
      </w:r>
      <w:r w:rsidR="002014E7">
        <w:rPr>
          <w:b/>
          <w:bCs/>
        </w:rPr>
        <w:t xml:space="preserve"> </w:t>
      </w:r>
      <w:r w:rsidR="00E30DEC">
        <w:rPr>
          <w:b/>
          <w:bCs/>
        </w:rPr>
        <w:t>THE</w:t>
      </w:r>
      <w:r w:rsidR="002014E7">
        <w:rPr>
          <w:b/>
          <w:bCs/>
        </w:rPr>
        <w:t xml:space="preserve"> </w:t>
      </w:r>
      <w:r w:rsidR="005E3E9A">
        <w:rPr>
          <w:b/>
          <w:bCs/>
        </w:rPr>
        <w:t xml:space="preserve">NCCR TARIFF REVENUE REQUIREMENT </w:t>
      </w:r>
      <w:r>
        <w:rPr>
          <w:b/>
          <w:bCs/>
        </w:rPr>
        <w:t xml:space="preserve">WILL BE </w:t>
      </w:r>
      <w:r>
        <w:rPr>
          <w:b/>
          <w:bCs/>
        </w:rPr>
        <w:lastRenderedPageBreak/>
        <w:t>COLLECTED FROM RATEPAYERS DURING THE CONSTRUCTION PERIOD?</w:t>
      </w:r>
      <w:r w:rsidRPr="00250136">
        <w:rPr>
          <w:b/>
          <w:bCs/>
        </w:rPr>
        <w:t xml:space="preserve">  </w:t>
      </w:r>
    </w:p>
    <w:p w14:paraId="6208F53C" w14:textId="77777777" w:rsidR="00752520" w:rsidRPr="00D63ECB" w:rsidRDefault="00752520" w:rsidP="00D63ECB">
      <w:pPr>
        <w:spacing w:after="240" w:line="360" w:lineRule="auto"/>
        <w:ind w:left="720" w:hanging="720"/>
      </w:pPr>
      <w:r w:rsidRPr="00250136">
        <w:rPr>
          <w:bCs/>
        </w:rPr>
        <w:t xml:space="preserve">A. </w:t>
      </w:r>
      <w:r w:rsidRPr="00250136">
        <w:rPr>
          <w:bCs/>
        </w:rPr>
        <w:tab/>
      </w:r>
      <w:r w:rsidR="009D5F02">
        <w:rPr>
          <w:bCs/>
        </w:rPr>
        <w:t>Staff estimates t</w:t>
      </w:r>
      <w:r w:rsidR="00B73ED1">
        <w:rPr>
          <w:bCs/>
        </w:rPr>
        <w:t xml:space="preserve">he Company </w:t>
      </w:r>
      <w:r w:rsidR="009D2F59">
        <w:rPr>
          <w:bCs/>
        </w:rPr>
        <w:t>will collect approximately $</w:t>
      </w:r>
      <w:r w:rsidR="00581045">
        <w:rPr>
          <w:bCs/>
        </w:rPr>
        <w:t>3.9</w:t>
      </w:r>
      <w:r w:rsidR="009D2F59">
        <w:rPr>
          <w:bCs/>
        </w:rPr>
        <w:t xml:space="preserve"> billion from ratepayers through the NCCR tariff. The $</w:t>
      </w:r>
      <w:r w:rsidR="00581045">
        <w:rPr>
          <w:bCs/>
        </w:rPr>
        <w:t>3.9</w:t>
      </w:r>
      <w:r w:rsidR="009D2F59">
        <w:rPr>
          <w:bCs/>
        </w:rPr>
        <w:t xml:space="preserve"> billion is com</w:t>
      </w:r>
      <w:r w:rsidR="00ED0911">
        <w:rPr>
          <w:bCs/>
        </w:rPr>
        <w:t>posed of $2.</w:t>
      </w:r>
      <w:r w:rsidR="00581045">
        <w:rPr>
          <w:bCs/>
        </w:rPr>
        <w:t>8</w:t>
      </w:r>
      <w:r w:rsidR="00ED0911">
        <w:rPr>
          <w:bCs/>
        </w:rPr>
        <w:t xml:space="preserve"> billion in financing cost and $1.1 billion in income tax expense.</w:t>
      </w:r>
      <w:r w:rsidR="00B73ED1">
        <w:rPr>
          <w:rStyle w:val="FootnoteReference"/>
          <w:bCs/>
        </w:rPr>
        <w:footnoteReference w:id="7"/>
      </w:r>
      <w:r w:rsidR="00B73ED1">
        <w:rPr>
          <w:bCs/>
        </w:rPr>
        <w:t xml:space="preserve">  </w:t>
      </w:r>
    </w:p>
    <w:p w14:paraId="0CB4FC74" w14:textId="77777777" w:rsidR="00E14A0C" w:rsidRPr="00250136" w:rsidRDefault="00E14A0C" w:rsidP="00E14A0C">
      <w:pPr>
        <w:spacing w:after="240" w:line="360" w:lineRule="auto"/>
        <w:ind w:left="720" w:hanging="720"/>
        <w:rPr>
          <w:b/>
          <w:bCs/>
        </w:rPr>
      </w:pPr>
      <w:r w:rsidRPr="00250136">
        <w:rPr>
          <w:b/>
          <w:bCs/>
        </w:rPr>
        <w:t>Q.</w:t>
      </w:r>
      <w:r w:rsidRPr="00250136">
        <w:rPr>
          <w:b/>
          <w:bCs/>
        </w:rPr>
        <w:tab/>
      </w:r>
      <w:r w:rsidRPr="00C867DC">
        <w:rPr>
          <w:b/>
          <w:bCs/>
        </w:rPr>
        <w:t xml:space="preserve">HOW MUCH </w:t>
      </w:r>
      <w:r w:rsidR="00D63ECB" w:rsidRPr="00C867DC">
        <w:rPr>
          <w:b/>
          <w:bCs/>
        </w:rPr>
        <w:t>HAS</w:t>
      </w:r>
      <w:r w:rsidR="008B6671" w:rsidRPr="00C867DC">
        <w:rPr>
          <w:b/>
          <w:bCs/>
        </w:rPr>
        <w:t xml:space="preserve"> ALREADY</w:t>
      </w:r>
      <w:r w:rsidR="00D63ECB" w:rsidRPr="00C867DC">
        <w:rPr>
          <w:b/>
          <w:bCs/>
        </w:rPr>
        <w:t xml:space="preserve"> BEEN</w:t>
      </w:r>
      <w:r w:rsidRPr="00C867DC">
        <w:rPr>
          <w:b/>
          <w:bCs/>
        </w:rPr>
        <w:t xml:space="preserve"> SPENT ON THE PROJECT </w:t>
      </w:r>
      <w:r w:rsidR="00966EFF" w:rsidRPr="00C867DC">
        <w:rPr>
          <w:b/>
          <w:bCs/>
        </w:rPr>
        <w:t>THROUGH</w:t>
      </w:r>
      <w:r w:rsidRPr="00C867DC">
        <w:rPr>
          <w:b/>
          <w:bCs/>
        </w:rPr>
        <w:t xml:space="preserve"> THE END OF THE VCM </w:t>
      </w:r>
      <w:r w:rsidR="003146D0" w:rsidRPr="00C867DC">
        <w:rPr>
          <w:b/>
          <w:bCs/>
        </w:rPr>
        <w:t xml:space="preserve">20/21 </w:t>
      </w:r>
      <w:r w:rsidRPr="00C867DC">
        <w:rPr>
          <w:b/>
          <w:bCs/>
        </w:rPr>
        <w:t>PERIOD?</w:t>
      </w:r>
    </w:p>
    <w:p w14:paraId="1645B912" w14:textId="77777777" w:rsidR="00C479C1" w:rsidRDefault="00E14A0C" w:rsidP="00E14A0C">
      <w:pPr>
        <w:spacing w:after="240" w:line="360" w:lineRule="auto"/>
        <w:ind w:left="720" w:hanging="720"/>
        <w:rPr>
          <w:bCs/>
        </w:rPr>
      </w:pPr>
      <w:r>
        <w:rPr>
          <w:bCs/>
        </w:rPr>
        <w:t>A.</w:t>
      </w:r>
      <w:r>
        <w:rPr>
          <w:bCs/>
        </w:rPr>
        <w:tab/>
      </w:r>
      <w:r w:rsidR="009D5F02">
        <w:rPr>
          <w:bCs/>
        </w:rPr>
        <w:t>As of June 30, 201</w:t>
      </w:r>
      <w:r w:rsidR="003146D0">
        <w:rPr>
          <w:bCs/>
        </w:rPr>
        <w:t>9</w:t>
      </w:r>
      <w:r w:rsidR="009D5F02">
        <w:rPr>
          <w:bCs/>
        </w:rPr>
        <w:t>, t</w:t>
      </w:r>
      <w:r w:rsidR="00197A08">
        <w:rPr>
          <w:bCs/>
        </w:rPr>
        <w:t xml:space="preserve">he Company </w:t>
      </w:r>
      <w:r w:rsidR="0052157E">
        <w:rPr>
          <w:bCs/>
        </w:rPr>
        <w:t xml:space="preserve">has </w:t>
      </w:r>
      <w:r w:rsidR="00197A08">
        <w:rPr>
          <w:bCs/>
        </w:rPr>
        <w:t>incurred $</w:t>
      </w:r>
      <w:r w:rsidR="003146D0">
        <w:rPr>
          <w:bCs/>
        </w:rPr>
        <w:t xml:space="preserve">5.19 </w:t>
      </w:r>
      <w:r w:rsidR="00197A08">
        <w:rPr>
          <w:bCs/>
        </w:rPr>
        <w:t>billion of capital and construction cost and $</w:t>
      </w:r>
      <w:r w:rsidR="003146D0">
        <w:rPr>
          <w:bCs/>
        </w:rPr>
        <w:t>2.03</w:t>
      </w:r>
      <w:r w:rsidR="00F16E57">
        <w:rPr>
          <w:bCs/>
        </w:rPr>
        <w:t xml:space="preserve"> </w:t>
      </w:r>
      <w:r w:rsidR="00197A08">
        <w:rPr>
          <w:bCs/>
        </w:rPr>
        <w:t>billion of financing cost</w:t>
      </w:r>
      <w:r w:rsidR="002928D6">
        <w:rPr>
          <w:bCs/>
        </w:rPr>
        <w:t xml:space="preserve"> </w:t>
      </w:r>
      <w:r w:rsidR="00197A08">
        <w:rPr>
          <w:bCs/>
        </w:rPr>
        <w:t xml:space="preserve">for </w:t>
      </w:r>
      <w:r w:rsidR="00C479C1">
        <w:rPr>
          <w:bCs/>
        </w:rPr>
        <w:t xml:space="preserve">a </w:t>
      </w:r>
      <w:r w:rsidR="00B529C8">
        <w:rPr>
          <w:bCs/>
        </w:rPr>
        <w:t>total</w:t>
      </w:r>
      <w:r w:rsidR="00197A08">
        <w:rPr>
          <w:bCs/>
        </w:rPr>
        <w:t xml:space="preserve"> </w:t>
      </w:r>
      <w:r w:rsidR="009D5F02">
        <w:rPr>
          <w:bCs/>
        </w:rPr>
        <w:t xml:space="preserve">cost </w:t>
      </w:r>
      <w:r w:rsidR="00197A08">
        <w:rPr>
          <w:bCs/>
        </w:rPr>
        <w:t>of $</w:t>
      </w:r>
      <w:r w:rsidR="003146D0">
        <w:rPr>
          <w:bCs/>
        </w:rPr>
        <w:t>7.22</w:t>
      </w:r>
      <w:r w:rsidR="00197A08">
        <w:rPr>
          <w:bCs/>
        </w:rPr>
        <w:t xml:space="preserve"> billion</w:t>
      </w:r>
      <w:r w:rsidR="00AA5896">
        <w:rPr>
          <w:bCs/>
        </w:rPr>
        <w:t>.</w:t>
      </w:r>
      <w:r w:rsidR="006E292D">
        <w:rPr>
          <w:rStyle w:val="FootnoteReference"/>
          <w:bCs/>
        </w:rPr>
        <w:footnoteReference w:id="8"/>
      </w:r>
    </w:p>
    <w:p w14:paraId="0BD9B398" w14:textId="77777777" w:rsidR="0075258F" w:rsidRPr="00250136" w:rsidRDefault="0075258F" w:rsidP="0075258F">
      <w:pPr>
        <w:spacing w:after="240" w:line="360" w:lineRule="auto"/>
        <w:ind w:left="720" w:hanging="720"/>
        <w:rPr>
          <w:b/>
          <w:bCs/>
        </w:rPr>
      </w:pPr>
      <w:r w:rsidRPr="00250136">
        <w:rPr>
          <w:b/>
          <w:bCs/>
        </w:rPr>
        <w:t>Q.</w:t>
      </w:r>
      <w:r w:rsidRPr="00250136">
        <w:rPr>
          <w:b/>
          <w:bCs/>
        </w:rPr>
        <w:tab/>
      </w:r>
      <w:r>
        <w:rPr>
          <w:b/>
          <w:bCs/>
        </w:rPr>
        <w:t xml:space="preserve">HOW MUCH REMAINS TO BE SPENT </w:t>
      </w:r>
      <w:r w:rsidR="002178EA">
        <w:rPr>
          <w:b/>
          <w:bCs/>
        </w:rPr>
        <w:t xml:space="preserve">BY THE COMPANY </w:t>
      </w:r>
      <w:r>
        <w:rPr>
          <w:b/>
          <w:bCs/>
        </w:rPr>
        <w:t>ON THE PROJECT THROUGH THE END OF CONSTRUCTION?</w:t>
      </w:r>
    </w:p>
    <w:p w14:paraId="39CB8FB5" w14:textId="77777777" w:rsidR="000F5180" w:rsidRDefault="0075258F" w:rsidP="0075258F">
      <w:pPr>
        <w:spacing w:after="240" w:line="360" w:lineRule="auto"/>
        <w:ind w:left="720" w:hanging="720"/>
        <w:rPr>
          <w:bCs/>
        </w:rPr>
      </w:pPr>
      <w:r>
        <w:rPr>
          <w:bCs/>
        </w:rPr>
        <w:t>A.</w:t>
      </w:r>
      <w:r>
        <w:rPr>
          <w:bCs/>
        </w:rPr>
        <w:tab/>
      </w:r>
      <w:r w:rsidR="005E3E9A">
        <w:rPr>
          <w:bCs/>
        </w:rPr>
        <w:t>Over the remainder of the construction period</w:t>
      </w:r>
      <w:r w:rsidR="004B5559">
        <w:rPr>
          <w:bCs/>
        </w:rPr>
        <w:t>,</w:t>
      </w:r>
      <w:r w:rsidR="005E3E9A">
        <w:rPr>
          <w:bCs/>
        </w:rPr>
        <w:t xml:space="preserve"> t</w:t>
      </w:r>
      <w:r w:rsidR="00197A08">
        <w:rPr>
          <w:bCs/>
        </w:rPr>
        <w:t xml:space="preserve">he Company estimates it will incur </w:t>
      </w:r>
      <w:r w:rsidR="00294736">
        <w:rPr>
          <w:bCs/>
        </w:rPr>
        <w:t xml:space="preserve">an additional </w:t>
      </w:r>
      <w:r w:rsidR="00197A08">
        <w:rPr>
          <w:bCs/>
        </w:rPr>
        <w:t>$</w:t>
      </w:r>
      <w:r w:rsidR="003146D0">
        <w:rPr>
          <w:bCs/>
        </w:rPr>
        <w:t>2.11</w:t>
      </w:r>
      <w:r w:rsidR="00741B45">
        <w:rPr>
          <w:bCs/>
        </w:rPr>
        <w:t xml:space="preserve"> </w:t>
      </w:r>
      <w:r w:rsidR="00197A08">
        <w:rPr>
          <w:bCs/>
        </w:rPr>
        <w:t>billion of construction and capital cost</w:t>
      </w:r>
      <w:r w:rsidR="00B34B4B">
        <w:rPr>
          <w:bCs/>
        </w:rPr>
        <w:t>s</w:t>
      </w:r>
      <w:r w:rsidR="00197A08">
        <w:rPr>
          <w:bCs/>
        </w:rPr>
        <w:t xml:space="preserve"> and </w:t>
      </w:r>
      <w:r w:rsidR="00294736">
        <w:rPr>
          <w:bCs/>
        </w:rPr>
        <w:t xml:space="preserve">an additional </w:t>
      </w:r>
      <w:r w:rsidR="00197A08">
        <w:rPr>
          <w:bCs/>
        </w:rPr>
        <w:t>$</w:t>
      </w:r>
      <w:r w:rsidR="002178EA">
        <w:rPr>
          <w:bCs/>
        </w:rPr>
        <w:t>1.</w:t>
      </w:r>
      <w:r w:rsidR="003146D0">
        <w:rPr>
          <w:bCs/>
        </w:rPr>
        <w:t>10</w:t>
      </w:r>
      <w:r w:rsidR="00741B45">
        <w:rPr>
          <w:bCs/>
        </w:rPr>
        <w:t xml:space="preserve"> </w:t>
      </w:r>
      <w:r w:rsidR="00197A08">
        <w:rPr>
          <w:bCs/>
        </w:rPr>
        <w:t xml:space="preserve">billion of financing </w:t>
      </w:r>
      <w:r w:rsidR="002124C7">
        <w:rPr>
          <w:bCs/>
        </w:rPr>
        <w:t>cost f</w:t>
      </w:r>
      <w:r w:rsidR="00197A08">
        <w:rPr>
          <w:bCs/>
        </w:rPr>
        <w:t>or</w:t>
      </w:r>
      <w:r w:rsidR="002124C7">
        <w:rPr>
          <w:bCs/>
        </w:rPr>
        <w:t xml:space="preserve"> </w:t>
      </w:r>
      <w:r w:rsidR="009D5F02">
        <w:rPr>
          <w:bCs/>
        </w:rPr>
        <w:t>total cost</w:t>
      </w:r>
      <w:r w:rsidR="00197A08">
        <w:rPr>
          <w:bCs/>
        </w:rPr>
        <w:t xml:space="preserve"> </w:t>
      </w:r>
      <w:r w:rsidR="002124C7">
        <w:rPr>
          <w:bCs/>
        </w:rPr>
        <w:t>of $</w:t>
      </w:r>
      <w:r w:rsidR="003146D0">
        <w:rPr>
          <w:bCs/>
        </w:rPr>
        <w:t>3.21</w:t>
      </w:r>
      <w:r w:rsidR="002124C7">
        <w:rPr>
          <w:bCs/>
        </w:rPr>
        <w:t xml:space="preserve"> billion</w:t>
      </w:r>
      <w:r w:rsidR="00197A08">
        <w:rPr>
          <w:bCs/>
        </w:rPr>
        <w:t>.</w:t>
      </w:r>
      <w:r w:rsidR="001E77D1">
        <w:rPr>
          <w:rStyle w:val="FootnoteReference"/>
          <w:bCs/>
        </w:rPr>
        <w:footnoteReference w:id="9"/>
      </w:r>
      <w:r w:rsidR="001F44F8">
        <w:rPr>
          <w:bCs/>
        </w:rPr>
        <w:t xml:space="preserve">  </w:t>
      </w:r>
    </w:p>
    <w:p w14:paraId="5154E327" w14:textId="77777777" w:rsidR="008E30A0" w:rsidRDefault="008E30A0" w:rsidP="008E30A0">
      <w:pPr>
        <w:spacing w:after="240" w:line="360" w:lineRule="auto"/>
        <w:ind w:left="720" w:hanging="720"/>
        <w:rPr>
          <w:b/>
          <w:bCs/>
        </w:rPr>
      </w:pPr>
      <w:bookmarkStart w:id="8" w:name="_Hlk23515292"/>
      <w:r w:rsidRPr="00250136">
        <w:rPr>
          <w:b/>
          <w:bCs/>
        </w:rPr>
        <w:t>Q.</w:t>
      </w:r>
      <w:r w:rsidRPr="00250136">
        <w:rPr>
          <w:b/>
          <w:bCs/>
        </w:rPr>
        <w:tab/>
      </w:r>
      <w:r w:rsidR="004F2C73">
        <w:rPr>
          <w:b/>
          <w:bCs/>
        </w:rPr>
        <w:t>DID THE COMPANY CHANGE</w:t>
      </w:r>
      <w:r w:rsidR="00566F57">
        <w:rPr>
          <w:b/>
          <w:bCs/>
        </w:rPr>
        <w:t xml:space="preserve"> ANY</w:t>
      </w:r>
      <w:r w:rsidR="00C54DC1">
        <w:rPr>
          <w:b/>
          <w:bCs/>
        </w:rPr>
        <w:t xml:space="preserve"> </w:t>
      </w:r>
      <w:r w:rsidR="00566F57">
        <w:rPr>
          <w:b/>
          <w:bCs/>
        </w:rPr>
        <w:t xml:space="preserve">MODELING ASSUMPTIONS </w:t>
      </w:r>
      <w:r w:rsidR="004F2C73">
        <w:rPr>
          <w:b/>
          <w:bCs/>
        </w:rPr>
        <w:t xml:space="preserve">FROM </w:t>
      </w:r>
      <w:r w:rsidR="00566F57">
        <w:rPr>
          <w:b/>
          <w:bCs/>
        </w:rPr>
        <w:t>ITS</w:t>
      </w:r>
      <w:r w:rsidR="00630AB4">
        <w:rPr>
          <w:b/>
          <w:bCs/>
        </w:rPr>
        <w:t xml:space="preserve"> </w:t>
      </w:r>
      <w:r w:rsidR="004F2C73">
        <w:rPr>
          <w:b/>
          <w:bCs/>
        </w:rPr>
        <w:t xml:space="preserve">VCM </w:t>
      </w:r>
      <w:r w:rsidR="00630AB4">
        <w:rPr>
          <w:b/>
          <w:bCs/>
        </w:rPr>
        <w:t xml:space="preserve">19 </w:t>
      </w:r>
      <w:r w:rsidR="004F2C73">
        <w:rPr>
          <w:b/>
          <w:bCs/>
        </w:rPr>
        <w:t>FILING</w:t>
      </w:r>
      <w:r w:rsidR="00953BE8">
        <w:rPr>
          <w:b/>
          <w:bCs/>
        </w:rPr>
        <w:t>?</w:t>
      </w:r>
    </w:p>
    <w:p w14:paraId="409B2530" w14:textId="4B656FD5" w:rsidR="001C3D0A" w:rsidRPr="0098637D" w:rsidRDefault="005F3564" w:rsidP="00F5749F">
      <w:pPr>
        <w:spacing w:after="240" w:line="360" w:lineRule="auto"/>
        <w:ind w:left="720" w:hanging="720"/>
        <w:rPr>
          <w:highlight w:val="yellow"/>
        </w:rPr>
      </w:pPr>
      <w:r w:rsidRPr="005F3564">
        <w:rPr>
          <w:bCs/>
        </w:rPr>
        <w:t>A.</w:t>
      </w:r>
      <w:r>
        <w:rPr>
          <w:bCs/>
        </w:rPr>
        <w:tab/>
      </w:r>
      <w:r w:rsidR="00566F57">
        <w:rPr>
          <w:bCs/>
        </w:rPr>
        <w:t>Yes</w:t>
      </w:r>
      <w:r w:rsidR="004E45F2">
        <w:rPr>
          <w:bCs/>
        </w:rPr>
        <w:t>, and the</w:t>
      </w:r>
      <w:r w:rsidR="00433E95">
        <w:rPr>
          <w:bCs/>
        </w:rPr>
        <w:t xml:space="preserve"> changes</w:t>
      </w:r>
      <w:r w:rsidR="004E45F2">
        <w:rPr>
          <w:bCs/>
        </w:rPr>
        <w:t xml:space="preserve"> are </w:t>
      </w:r>
      <w:r w:rsidR="00433E95">
        <w:rPr>
          <w:bCs/>
        </w:rPr>
        <w:t xml:space="preserve">discussed on </w:t>
      </w:r>
      <w:r w:rsidR="004E45F2">
        <w:rPr>
          <w:bCs/>
        </w:rPr>
        <w:t xml:space="preserve">page </w:t>
      </w:r>
      <w:r w:rsidR="00630AB4">
        <w:rPr>
          <w:bCs/>
        </w:rPr>
        <w:t>40</w:t>
      </w:r>
      <w:r w:rsidR="004E45F2">
        <w:rPr>
          <w:bCs/>
        </w:rPr>
        <w:t xml:space="preserve"> of the VCM </w:t>
      </w:r>
      <w:r w:rsidR="00630AB4">
        <w:rPr>
          <w:bCs/>
        </w:rPr>
        <w:t xml:space="preserve">20/21 </w:t>
      </w:r>
      <w:r w:rsidR="004E45F2">
        <w:rPr>
          <w:bCs/>
        </w:rPr>
        <w:t xml:space="preserve">Report. </w:t>
      </w:r>
      <w:r w:rsidR="00630AB4">
        <w:rPr>
          <w:bCs/>
        </w:rPr>
        <w:t xml:space="preserve"> The Company notes that it updated </w:t>
      </w:r>
      <w:r w:rsidR="00630AB4">
        <w:t xml:space="preserve">all of its major underlying planning assumptions, including fuel forecasts, load forecasts, and new generation technology costs.  The changes the Company made are the same as what was included in the recent 2019 </w:t>
      </w:r>
      <w:r w:rsidR="00316A6C">
        <w:t>Integrated Resource Plan (“</w:t>
      </w:r>
      <w:r w:rsidR="00630AB4">
        <w:t>IRP</w:t>
      </w:r>
      <w:r w:rsidR="00316A6C">
        <w:t>”) (Docket</w:t>
      </w:r>
      <w:r w:rsidR="00F51FF2">
        <w:t xml:space="preserve"> No.</w:t>
      </w:r>
      <w:r w:rsidR="00316A6C">
        <w:t xml:space="preserve"> 4</w:t>
      </w:r>
      <w:r w:rsidR="00F51FF2">
        <w:t>2310</w:t>
      </w:r>
      <w:r w:rsidR="00316A6C">
        <w:t>)</w:t>
      </w:r>
      <w:r w:rsidR="00630AB4">
        <w:t xml:space="preserve">.  </w:t>
      </w:r>
      <w:r w:rsidR="00ED0CC7">
        <w:t>However, one</w:t>
      </w:r>
      <w:r w:rsidR="00630AB4">
        <w:t xml:space="preserve"> difference compared to the </w:t>
      </w:r>
      <w:r w:rsidR="00630AB4" w:rsidRPr="000257BE">
        <w:t xml:space="preserve">IRP is that the </w:t>
      </w:r>
      <w:r w:rsidR="00630AB4" w:rsidRPr="000257BE">
        <w:lastRenderedPageBreak/>
        <w:t xml:space="preserve">Company included Gulf Power loads and resources in its IRP databases, but it removed the Gulf Power loads and resources from its VCM 20/21 databases.  </w:t>
      </w:r>
      <w:r w:rsidR="00F5749F" w:rsidRPr="000257BE">
        <w:t xml:space="preserve">In addition, the Company made changes to </w:t>
      </w:r>
      <w:r w:rsidR="00630AB4" w:rsidRPr="000257BE">
        <w:t>Pre-in-service O&amp;M,</w:t>
      </w:r>
      <w:r w:rsidR="006564BE" w:rsidRPr="000257BE">
        <w:t xml:space="preserve"> </w:t>
      </w:r>
      <w:r w:rsidR="00630AB4" w:rsidRPr="000257BE">
        <w:t xml:space="preserve">post-in-service O&amp;M, post-in-service ongoing capital, Ad Valorem taxes, </w:t>
      </w:r>
      <w:r w:rsidR="00F5749F" w:rsidRPr="000257BE">
        <w:t xml:space="preserve">its </w:t>
      </w:r>
      <w:r w:rsidR="00630AB4" w:rsidRPr="000257BE">
        <w:t>marginal cost of</w:t>
      </w:r>
      <w:r w:rsidR="006564BE" w:rsidRPr="000257BE">
        <w:t xml:space="preserve"> </w:t>
      </w:r>
      <w:r w:rsidR="00630AB4" w:rsidRPr="000257BE">
        <w:t xml:space="preserve">capital, nuclear fuel </w:t>
      </w:r>
      <w:r w:rsidR="00F5749F" w:rsidRPr="000257BE">
        <w:t>costs</w:t>
      </w:r>
      <w:r w:rsidR="00433808">
        <w:t xml:space="preserve">, and it </w:t>
      </w:r>
      <w:r w:rsidR="00157FB2">
        <w:t>ignored</w:t>
      </w:r>
      <w:r w:rsidR="00433808">
        <w:t xml:space="preserve"> cancellation costs in its analysis</w:t>
      </w:r>
      <w:r w:rsidR="00F5749F" w:rsidRPr="000257BE">
        <w:t xml:space="preserve">.  </w:t>
      </w:r>
      <w:r w:rsidR="00B855B2">
        <w:t>Overall, t</w:t>
      </w:r>
      <w:r w:rsidR="001C3D0A" w:rsidRPr="000257BE">
        <w:t xml:space="preserve">he changes had a </w:t>
      </w:r>
      <w:r w:rsidR="00433808">
        <w:t>small</w:t>
      </w:r>
      <w:r w:rsidR="00433808" w:rsidRPr="000257BE">
        <w:t xml:space="preserve"> </w:t>
      </w:r>
      <w:r w:rsidR="001C3D0A" w:rsidRPr="000257BE">
        <w:t>impact on the cost-to-complete economic analysis results.</w:t>
      </w:r>
    </w:p>
    <w:p w14:paraId="1AEE69FF" w14:textId="77777777" w:rsidR="00630AB4" w:rsidRDefault="001C3D0A" w:rsidP="001C3D0A">
      <w:pPr>
        <w:spacing w:after="240" w:line="360" w:lineRule="auto"/>
        <w:ind w:left="720"/>
      </w:pPr>
      <w:r w:rsidRPr="000257BE">
        <w:t xml:space="preserve">In addition, </w:t>
      </w:r>
      <w:r w:rsidR="00F5749F" w:rsidRPr="000257BE">
        <w:t xml:space="preserve">with regard to the new Vogtle Units, the Company noted at page 40 of its VCM 20/21 Report that “The </w:t>
      </w:r>
      <w:r w:rsidR="00630AB4" w:rsidRPr="000257BE">
        <w:t>average summer net output has been updated based</w:t>
      </w:r>
      <w:r w:rsidR="006564BE" w:rsidRPr="000257BE">
        <w:t xml:space="preserve"> </w:t>
      </w:r>
      <w:r w:rsidR="00630AB4" w:rsidRPr="000257BE">
        <w:t>on the results of the Vogtle 3 &amp; 4 Power Output Assessment, which was filed as an update to</w:t>
      </w:r>
      <w:r w:rsidR="006564BE" w:rsidRPr="000257BE">
        <w:t xml:space="preserve"> </w:t>
      </w:r>
      <w:r w:rsidR="00630AB4" w:rsidRPr="000257BE">
        <w:t>STF-132-19 in the Company’s May 2019 Monthly Status Report.</w:t>
      </w:r>
      <w:r w:rsidR="00352166" w:rsidRPr="000257BE">
        <w:t>”  This amount</w:t>
      </w:r>
      <w:r w:rsidR="007F148F" w:rsidRPr="000257BE">
        <w:t>s</w:t>
      </w:r>
      <w:r w:rsidR="00352166" w:rsidRPr="000257BE">
        <w:t xml:space="preserve"> to about an 11 MW increase in</w:t>
      </w:r>
      <w:r w:rsidR="007F148F" w:rsidRPr="000257BE">
        <w:t xml:space="preserve"> Georgia Power’s share of</w:t>
      </w:r>
      <w:r w:rsidR="00352166" w:rsidRPr="000257BE">
        <w:t xml:space="preserve"> the capacity of the two </w:t>
      </w:r>
      <w:r w:rsidR="00B855B2">
        <w:t xml:space="preserve">new </w:t>
      </w:r>
      <w:r w:rsidR="007F148F" w:rsidRPr="000257BE">
        <w:t xml:space="preserve">Vogtle </w:t>
      </w:r>
      <w:r w:rsidR="00352166" w:rsidRPr="000257BE">
        <w:t>Units.</w:t>
      </w:r>
    </w:p>
    <w:bookmarkEnd w:id="8"/>
    <w:p w14:paraId="47652105" w14:textId="77777777" w:rsidR="002E7767" w:rsidRPr="00250136" w:rsidRDefault="002E7767" w:rsidP="002E7767">
      <w:pPr>
        <w:spacing w:after="240" w:line="360" w:lineRule="auto"/>
        <w:ind w:left="720" w:hanging="720"/>
        <w:rPr>
          <w:b/>
          <w:bCs/>
        </w:rPr>
      </w:pPr>
      <w:r w:rsidRPr="00250136">
        <w:rPr>
          <w:b/>
          <w:bCs/>
        </w:rPr>
        <w:t>Q.</w:t>
      </w:r>
      <w:r w:rsidRPr="00250136">
        <w:rPr>
          <w:b/>
          <w:bCs/>
        </w:rPr>
        <w:tab/>
        <w:t>WHAT ECONOMIC EVALUATION DID THE COMPANY PERFORM IN TH</w:t>
      </w:r>
      <w:r w:rsidR="00352166">
        <w:rPr>
          <w:b/>
          <w:bCs/>
        </w:rPr>
        <w:t xml:space="preserve">IS </w:t>
      </w:r>
      <w:r w:rsidRPr="00250136">
        <w:rPr>
          <w:b/>
          <w:bCs/>
        </w:rPr>
        <w:t>PROCEEDING?</w:t>
      </w:r>
    </w:p>
    <w:p w14:paraId="0DB09E4D" w14:textId="4AD3E99A" w:rsidR="0015189F" w:rsidRDefault="002E7767" w:rsidP="0015189F">
      <w:pPr>
        <w:spacing w:after="240" w:line="360" w:lineRule="auto"/>
        <w:ind w:left="720" w:hanging="720"/>
        <w:rPr>
          <w:bCs/>
        </w:rPr>
      </w:pPr>
      <w:r w:rsidRPr="00250136">
        <w:rPr>
          <w:bCs/>
        </w:rPr>
        <w:t>A.</w:t>
      </w:r>
      <w:r w:rsidRPr="00250136">
        <w:rPr>
          <w:bCs/>
        </w:rPr>
        <w:tab/>
      </w:r>
      <w:r w:rsidR="003D5144">
        <w:rPr>
          <w:bCs/>
        </w:rPr>
        <w:t xml:space="preserve">The </w:t>
      </w:r>
      <w:r>
        <w:rPr>
          <w:bCs/>
        </w:rPr>
        <w:t>Company</w:t>
      </w:r>
      <w:r w:rsidR="004F2C73">
        <w:rPr>
          <w:bCs/>
        </w:rPr>
        <w:t xml:space="preserve"> performed </w:t>
      </w:r>
      <w:r w:rsidR="000E46B7">
        <w:rPr>
          <w:bCs/>
        </w:rPr>
        <w:t xml:space="preserve">a single </w:t>
      </w:r>
      <w:r w:rsidR="004F2C73">
        <w:rPr>
          <w:bCs/>
        </w:rPr>
        <w:t xml:space="preserve">cost-to-complete </w:t>
      </w:r>
      <w:r w:rsidR="0015189F">
        <w:rPr>
          <w:bCs/>
        </w:rPr>
        <w:t xml:space="preserve">economic </w:t>
      </w:r>
      <w:r w:rsidR="004F2C73">
        <w:rPr>
          <w:bCs/>
        </w:rPr>
        <w:t>analysis</w:t>
      </w:r>
      <w:r w:rsidR="00692489">
        <w:rPr>
          <w:bCs/>
        </w:rPr>
        <w:t xml:space="preserve"> study</w:t>
      </w:r>
      <w:r w:rsidR="004F2C73">
        <w:rPr>
          <w:bCs/>
        </w:rPr>
        <w:t xml:space="preserve">, </w:t>
      </w:r>
      <w:r w:rsidR="008B6C02">
        <w:rPr>
          <w:bCs/>
        </w:rPr>
        <w:t>which</w:t>
      </w:r>
      <w:r w:rsidR="0015189F">
        <w:rPr>
          <w:bCs/>
        </w:rPr>
        <w:t xml:space="preserve"> it presented in </w:t>
      </w:r>
      <w:r w:rsidR="004F2C73">
        <w:rPr>
          <w:bCs/>
        </w:rPr>
        <w:t xml:space="preserve">Table 4.1 of </w:t>
      </w:r>
      <w:r w:rsidR="00692489">
        <w:rPr>
          <w:bCs/>
        </w:rPr>
        <w:t xml:space="preserve">its </w:t>
      </w:r>
      <w:r w:rsidR="00FB70BD">
        <w:rPr>
          <w:bCs/>
        </w:rPr>
        <w:t xml:space="preserve">VCM </w:t>
      </w:r>
      <w:r w:rsidR="00692489">
        <w:rPr>
          <w:bCs/>
        </w:rPr>
        <w:t xml:space="preserve">20/21 </w:t>
      </w:r>
      <w:r w:rsidR="00FB70BD">
        <w:rPr>
          <w:bCs/>
        </w:rPr>
        <w:t>report</w:t>
      </w:r>
      <w:r w:rsidR="0015189F">
        <w:rPr>
          <w:bCs/>
        </w:rPr>
        <w:t xml:space="preserve">.  The Company’s analysis compared the remaining cost to complete the Vogtle Project, referred to as the “Completion Case”, to the cost to cancel Vogtle and construct an equivalent amount of combined cycle capacity, referred to as the “Cancellation Case”.  </w:t>
      </w:r>
      <w:r w:rsidR="00494CBF">
        <w:rPr>
          <w:bCs/>
        </w:rPr>
        <w:t xml:space="preserve">The Company’s analysis </w:t>
      </w:r>
      <w:r w:rsidR="00AC24CF">
        <w:rPr>
          <w:bCs/>
        </w:rPr>
        <w:t xml:space="preserve">forecasts </w:t>
      </w:r>
      <w:r w:rsidR="00740BB1">
        <w:rPr>
          <w:bCs/>
        </w:rPr>
        <w:t xml:space="preserve">that </w:t>
      </w:r>
      <w:r w:rsidR="00745F96">
        <w:rPr>
          <w:bCs/>
        </w:rPr>
        <w:t xml:space="preserve">there will be </w:t>
      </w:r>
      <w:r w:rsidR="00494CBF">
        <w:rPr>
          <w:bCs/>
        </w:rPr>
        <w:t>a</w:t>
      </w:r>
      <w:r w:rsidR="00745F96">
        <w:rPr>
          <w:bCs/>
        </w:rPr>
        <w:t xml:space="preserve"> </w:t>
      </w:r>
      <w:r w:rsidR="00494CBF">
        <w:rPr>
          <w:bCs/>
        </w:rPr>
        <w:t>$2.</w:t>
      </w:r>
      <w:r w:rsidR="00745F96">
        <w:rPr>
          <w:bCs/>
        </w:rPr>
        <w:t>8</w:t>
      </w:r>
      <w:r w:rsidR="00494CBF">
        <w:rPr>
          <w:bCs/>
        </w:rPr>
        <w:t xml:space="preserve"> billion benefit </w:t>
      </w:r>
      <w:r w:rsidR="00745F96">
        <w:rPr>
          <w:bCs/>
        </w:rPr>
        <w:t xml:space="preserve">on an expected value basis </w:t>
      </w:r>
      <w:r w:rsidR="00494CBF">
        <w:rPr>
          <w:bCs/>
        </w:rPr>
        <w:t>to continue construction</w:t>
      </w:r>
      <w:r w:rsidR="00745F96">
        <w:rPr>
          <w:bCs/>
        </w:rPr>
        <w:t xml:space="preserve"> (20</w:t>
      </w:r>
      <w:r w:rsidR="00FB3F09">
        <w:rPr>
          <w:bCs/>
        </w:rPr>
        <w:t>21</w:t>
      </w:r>
      <w:r w:rsidR="00745F96">
        <w:rPr>
          <w:bCs/>
        </w:rPr>
        <w:t xml:space="preserve"> NPV dollars)</w:t>
      </w:r>
      <w:r w:rsidR="007C58C6">
        <w:rPr>
          <w:bCs/>
        </w:rPr>
        <w:t>.</w:t>
      </w:r>
      <w:r w:rsidR="000D3A52">
        <w:rPr>
          <w:rStyle w:val="FootnoteReference"/>
          <w:bCs/>
        </w:rPr>
        <w:footnoteReference w:id="10"/>
      </w:r>
      <w:r w:rsidR="00494CBF">
        <w:rPr>
          <w:bCs/>
        </w:rPr>
        <w:t xml:space="preserve"> </w:t>
      </w:r>
      <w:r w:rsidR="001D16B6">
        <w:rPr>
          <w:bCs/>
        </w:rPr>
        <w:t xml:space="preserve">  </w:t>
      </w:r>
    </w:p>
    <w:p w14:paraId="4BB5AF83" w14:textId="77777777" w:rsidR="007B694E" w:rsidRPr="00AA7378" w:rsidRDefault="007B694E" w:rsidP="007B694E">
      <w:pPr>
        <w:spacing w:after="240" w:line="360" w:lineRule="auto"/>
        <w:ind w:left="720" w:hanging="720"/>
        <w:rPr>
          <w:rFonts w:ascii="Times New Roman Bold" w:hAnsi="Times New Roman Bold"/>
          <w:b/>
          <w:bCs/>
          <w:caps/>
        </w:rPr>
      </w:pPr>
      <w:r w:rsidRPr="00AA7378">
        <w:rPr>
          <w:rFonts w:ascii="Times New Roman Bold" w:hAnsi="Times New Roman Bold"/>
          <w:b/>
          <w:bCs/>
          <w:caps/>
        </w:rPr>
        <w:t>Q.</w:t>
      </w:r>
      <w:r w:rsidRPr="00AA7378">
        <w:rPr>
          <w:rFonts w:ascii="Times New Roman Bold" w:hAnsi="Times New Roman Bold"/>
          <w:b/>
          <w:bCs/>
          <w:caps/>
        </w:rPr>
        <w:tab/>
        <w:t xml:space="preserve">Does Staff </w:t>
      </w:r>
      <w:r w:rsidR="0015189F">
        <w:rPr>
          <w:rFonts w:ascii="Times New Roman Bold" w:hAnsi="Times New Roman Bold"/>
          <w:b/>
          <w:bCs/>
          <w:caps/>
        </w:rPr>
        <w:t>have any concerns with the compan</w:t>
      </w:r>
      <w:r w:rsidR="001D16B6">
        <w:rPr>
          <w:rFonts w:ascii="Times New Roman Bold" w:hAnsi="Times New Roman Bold"/>
          <w:b/>
          <w:bCs/>
          <w:caps/>
        </w:rPr>
        <w:t>y’s economic evaluation</w:t>
      </w:r>
      <w:r w:rsidRPr="00AA7378">
        <w:rPr>
          <w:rFonts w:ascii="Times New Roman Bold" w:hAnsi="Times New Roman Bold"/>
          <w:b/>
          <w:bCs/>
          <w:caps/>
        </w:rPr>
        <w:t>?</w:t>
      </w:r>
    </w:p>
    <w:p w14:paraId="141B0FA1" w14:textId="399C61F4" w:rsidR="00F43A2B" w:rsidRDefault="007B694E" w:rsidP="00740BB1">
      <w:pPr>
        <w:spacing w:after="240" w:line="360" w:lineRule="auto"/>
        <w:ind w:left="720" w:hanging="720"/>
        <w:rPr>
          <w:bCs/>
        </w:rPr>
      </w:pPr>
      <w:r>
        <w:rPr>
          <w:bCs/>
        </w:rPr>
        <w:t>A.</w:t>
      </w:r>
      <w:r>
        <w:rPr>
          <w:bCs/>
        </w:rPr>
        <w:tab/>
      </w:r>
      <w:r w:rsidR="001D16B6">
        <w:rPr>
          <w:bCs/>
        </w:rPr>
        <w:t xml:space="preserve">Yes.  Staff </w:t>
      </w:r>
      <w:r w:rsidR="00967D20">
        <w:rPr>
          <w:bCs/>
        </w:rPr>
        <w:t xml:space="preserve">continues to have concerns </w:t>
      </w:r>
      <w:r w:rsidR="001D16B6">
        <w:rPr>
          <w:bCs/>
        </w:rPr>
        <w:t>with the Company’s analysis</w:t>
      </w:r>
      <w:r w:rsidR="00342EF3">
        <w:rPr>
          <w:bCs/>
        </w:rPr>
        <w:t xml:space="preserve">.  </w:t>
      </w:r>
      <w:r w:rsidR="001D16B6">
        <w:rPr>
          <w:bCs/>
        </w:rPr>
        <w:t xml:space="preserve">First, as </w:t>
      </w:r>
      <w:r w:rsidR="00745F96">
        <w:rPr>
          <w:bCs/>
        </w:rPr>
        <w:t xml:space="preserve">Staff </w:t>
      </w:r>
      <w:r w:rsidR="00745F96">
        <w:rPr>
          <w:bCs/>
        </w:rPr>
        <w:lastRenderedPageBreak/>
        <w:t xml:space="preserve">discussed in prior proceedings, </w:t>
      </w:r>
      <w:r w:rsidR="005E3E9A">
        <w:rPr>
          <w:bCs/>
        </w:rPr>
        <w:t xml:space="preserve">a correct and accurate economic analysis should include all </w:t>
      </w:r>
      <w:r w:rsidR="00E97D3E">
        <w:rPr>
          <w:bCs/>
        </w:rPr>
        <w:t xml:space="preserve">differences between cancelling and continuing </w:t>
      </w:r>
      <w:r w:rsidR="005E3E9A">
        <w:rPr>
          <w:bCs/>
        </w:rPr>
        <w:t>the Project</w:t>
      </w:r>
      <w:r w:rsidR="007A1D7F">
        <w:rPr>
          <w:bCs/>
        </w:rPr>
        <w:t>,</w:t>
      </w:r>
      <w:r w:rsidR="001D16B6">
        <w:rPr>
          <w:bCs/>
        </w:rPr>
        <w:t xml:space="preserve"> </w:t>
      </w:r>
      <w:r w:rsidR="005E3E9A">
        <w:rPr>
          <w:bCs/>
        </w:rPr>
        <w:t>including</w:t>
      </w:r>
      <w:r w:rsidR="00D332AE">
        <w:rPr>
          <w:bCs/>
        </w:rPr>
        <w:t>, among others,</w:t>
      </w:r>
      <w:r w:rsidR="00F4694D">
        <w:rPr>
          <w:bCs/>
        </w:rPr>
        <w:t xml:space="preserve"> </w:t>
      </w:r>
      <w:r w:rsidR="00433E95">
        <w:rPr>
          <w:bCs/>
        </w:rPr>
        <w:t xml:space="preserve">accounting for </w:t>
      </w:r>
      <w:r w:rsidR="00D332AE">
        <w:rPr>
          <w:bCs/>
        </w:rPr>
        <w:t>prospective</w:t>
      </w:r>
      <w:r w:rsidR="00D332AE" w:rsidRPr="00A4735A">
        <w:rPr>
          <w:bCs/>
        </w:rPr>
        <w:t xml:space="preserve"> </w:t>
      </w:r>
      <w:r w:rsidR="00E71355">
        <w:rPr>
          <w:bCs/>
        </w:rPr>
        <w:t xml:space="preserve">incremental </w:t>
      </w:r>
      <w:r w:rsidR="00C9670D">
        <w:rPr>
          <w:bCs/>
        </w:rPr>
        <w:t>income tax</w:t>
      </w:r>
      <w:r w:rsidR="00A4735A" w:rsidRPr="00A4735A">
        <w:rPr>
          <w:bCs/>
        </w:rPr>
        <w:t xml:space="preserve"> </w:t>
      </w:r>
      <w:r w:rsidR="00F4694D">
        <w:rPr>
          <w:bCs/>
        </w:rPr>
        <w:t>impacts</w:t>
      </w:r>
      <w:r w:rsidR="00E97D3E">
        <w:rPr>
          <w:bCs/>
        </w:rPr>
        <w:t xml:space="preserve">.  </w:t>
      </w:r>
      <w:r w:rsidR="00740BB1">
        <w:rPr>
          <w:bCs/>
        </w:rPr>
        <w:t xml:space="preserve">  </w:t>
      </w:r>
    </w:p>
    <w:p w14:paraId="1F291638" w14:textId="3CE9F365" w:rsidR="00B55E27" w:rsidRDefault="00F43A2B" w:rsidP="00F43A2B">
      <w:pPr>
        <w:spacing w:after="240" w:line="360" w:lineRule="auto"/>
        <w:ind w:left="720"/>
        <w:rPr>
          <w:bCs/>
        </w:rPr>
      </w:pPr>
      <w:r>
        <w:rPr>
          <w:bCs/>
        </w:rPr>
        <w:t>Second</w:t>
      </w:r>
      <w:r w:rsidR="001C0AFD">
        <w:rPr>
          <w:bCs/>
        </w:rPr>
        <w:t xml:space="preserve">, </w:t>
      </w:r>
      <w:r w:rsidR="0011555E">
        <w:rPr>
          <w:bCs/>
        </w:rPr>
        <w:t xml:space="preserve">the Company omitted the </w:t>
      </w:r>
      <w:r w:rsidR="00D30910">
        <w:rPr>
          <w:bCs/>
        </w:rPr>
        <w:t xml:space="preserve">$366 million contingency </w:t>
      </w:r>
      <w:r w:rsidR="0011555E">
        <w:rPr>
          <w:bCs/>
        </w:rPr>
        <w:t>in its analysis without agreeing to absorb the cost.</w:t>
      </w:r>
      <w:r w:rsidR="00D30910">
        <w:rPr>
          <w:bCs/>
        </w:rPr>
        <w:t xml:space="preserve"> </w:t>
      </w:r>
      <w:r w:rsidR="00F66B47">
        <w:rPr>
          <w:bCs/>
        </w:rPr>
        <w:t xml:space="preserve">The following table summarizes the capital costs included in the Company’s </w:t>
      </w:r>
      <w:r w:rsidR="00A87406">
        <w:rPr>
          <w:bCs/>
        </w:rPr>
        <w:t>T</w:t>
      </w:r>
      <w:r w:rsidR="00F66B47">
        <w:rPr>
          <w:bCs/>
        </w:rPr>
        <w:t xml:space="preserve">able 1.1 </w:t>
      </w:r>
      <w:r w:rsidR="00A87406">
        <w:rPr>
          <w:bCs/>
        </w:rPr>
        <w:t xml:space="preserve">and its </w:t>
      </w:r>
      <w:r w:rsidR="00F66B47">
        <w:rPr>
          <w:bCs/>
        </w:rPr>
        <w:t xml:space="preserve">economic analysis and </w:t>
      </w:r>
      <w:r w:rsidR="00A87406">
        <w:rPr>
          <w:bCs/>
        </w:rPr>
        <w:t>compares this to Staff’s capital cost assumption.</w:t>
      </w:r>
    </w:p>
    <w:p w14:paraId="6732B57D" w14:textId="0BDEDD92" w:rsidR="00784690" w:rsidRPr="0084004B" w:rsidRDefault="0084004B" w:rsidP="00BA26F2">
      <w:pPr>
        <w:jc w:val="center"/>
        <w:rPr>
          <w:b/>
        </w:rPr>
      </w:pPr>
      <w:r w:rsidRPr="0084004B">
        <w:rPr>
          <w:b/>
        </w:rPr>
        <w:t xml:space="preserve">Table </w:t>
      </w:r>
      <w:r w:rsidR="00A87406">
        <w:rPr>
          <w:b/>
        </w:rPr>
        <w:t>1</w:t>
      </w:r>
    </w:p>
    <w:p w14:paraId="1F697712" w14:textId="77777777" w:rsidR="00A87406" w:rsidRDefault="00A87406" w:rsidP="00BA26F2">
      <w:pPr>
        <w:jc w:val="center"/>
        <w:rPr>
          <w:b/>
        </w:rPr>
      </w:pPr>
      <w:r>
        <w:rPr>
          <w:b/>
        </w:rPr>
        <w:t xml:space="preserve">Comparison of the Company’s and </w:t>
      </w:r>
      <w:r w:rsidR="001B49B5">
        <w:rPr>
          <w:b/>
        </w:rPr>
        <w:t>Staff’s</w:t>
      </w:r>
    </w:p>
    <w:p w14:paraId="2C09AE47" w14:textId="53D5D0C7" w:rsidR="00784690" w:rsidRDefault="00A87406" w:rsidP="00BA26F2">
      <w:pPr>
        <w:jc w:val="center"/>
        <w:rPr>
          <w:b/>
        </w:rPr>
      </w:pPr>
      <w:r>
        <w:rPr>
          <w:b/>
        </w:rPr>
        <w:t xml:space="preserve">Capital Cost Assumption </w:t>
      </w:r>
      <w:r w:rsidR="00784690" w:rsidRPr="00784690">
        <w:rPr>
          <w:b/>
        </w:rPr>
        <w:t xml:space="preserve">in </w:t>
      </w:r>
      <w:r w:rsidR="00D45FFF">
        <w:rPr>
          <w:b/>
        </w:rPr>
        <w:t xml:space="preserve">VCM </w:t>
      </w:r>
      <w:r w:rsidR="00FB3F09">
        <w:rPr>
          <w:b/>
        </w:rPr>
        <w:t>20/21</w:t>
      </w:r>
      <w:r w:rsidR="00784690" w:rsidRPr="00784690">
        <w:rPr>
          <w:b/>
        </w:rPr>
        <w:t>($ Millions)</w:t>
      </w:r>
    </w:p>
    <w:p w14:paraId="0A6FB13D" w14:textId="77777777" w:rsidR="00784690" w:rsidRPr="00784690" w:rsidRDefault="00784690" w:rsidP="00784690">
      <w:pPr>
        <w:ind w:left="72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160"/>
      </w:tblGrid>
      <w:tr w:rsidR="00DB48CE" w14:paraId="0BAE475B" w14:textId="77777777" w:rsidTr="006D5162">
        <w:trPr>
          <w:trHeight w:val="440"/>
          <w:jc w:val="center"/>
        </w:trPr>
        <w:tc>
          <w:tcPr>
            <w:tcW w:w="3775" w:type="dxa"/>
            <w:shd w:val="clear" w:color="auto" w:fill="auto"/>
            <w:vAlign w:val="center"/>
          </w:tcPr>
          <w:p w14:paraId="79EF23A9" w14:textId="77777777" w:rsidR="00DB48CE" w:rsidRPr="00526EFF" w:rsidRDefault="00DB48CE" w:rsidP="00CB441B">
            <w:pPr>
              <w:rPr>
                <w:b/>
                <w:bCs/>
              </w:rPr>
            </w:pPr>
          </w:p>
        </w:tc>
        <w:tc>
          <w:tcPr>
            <w:tcW w:w="2160" w:type="dxa"/>
            <w:tcBorders>
              <w:bottom w:val="single" w:sz="4" w:space="0" w:color="auto"/>
            </w:tcBorders>
            <w:shd w:val="clear" w:color="auto" w:fill="auto"/>
            <w:vAlign w:val="center"/>
          </w:tcPr>
          <w:p w14:paraId="6637F491" w14:textId="77777777" w:rsidR="00DB48CE" w:rsidRPr="00526EFF" w:rsidRDefault="00DB48CE" w:rsidP="00526EFF">
            <w:pPr>
              <w:jc w:val="center"/>
              <w:rPr>
                <w:b/>
                <w:bCs/>
              </w:rPr>
            </w:pPr>
            <w:r w:rsidRPr="00526EFF">
              <w:rPr>
                <w:b/>
                <w:bCs/>
              </w:rPr>
              <w:t>Capital Cost</w:t>
            </w:r>
          </w:p>
        </w:tc>
      </w:tr>
      <w:tr w:rsidR="00DB48CE" w14:paraId="7E8D7E53" w14:textId="77777777" w:rsidTr="006D5162">
        <w:trPr>
          <w:trHeight w:val="322"/>
          <w:jc w:val="center"/>
        </w:trPr>
        <w:tc>
          <w:tcPr>
            <w:tcW w:w="3775" w:type="dxa"/>
            <w:shd w:val="clear" w:color="auto" w:fill="auto"/>
            <w:vAlign w:val="center"/>
          </w:tcPr>
          <w:p w14:paraId="37F41805" w14:textId="77777777" w:rsidR="00DB48CE" w:rsidRPr="00526EFF" w:rsidRDefault="00DB48CE" w:rsidP="00526EFF">
            <w:pPr>
              <w:jc w:val="center"/>
              <w:rPr>
                <w:bCs/>
              </w:rPr>
            </w:pPr>
            <w:r w:rsidRPr="00526EFF">
              <w:rPr>
                <w:bCs/>
              </w:rPr>
              <w:t>Capital Cost</w:t>
            </w:r>
          </w:p>
        </w:tc>
        <w:tc>
          <w:tcPr>
            <w:tcW w:w="2160" w:type="dxa"/>
            <w:tcBorders>
              <w:bottom w:val="single" w:sz="4" w:space="0" w:color="auto"/>
            </w:tcBorders>
            <w:shd w:val="clear" w:color="auto" w:fill="auto"/>
            <w:vAlign w:val="center"/>
          </w:tcPr>
          <w:p w14:paraId="2A4A46DE" w14:textId="77777777" w:rsidR="00DB48CE" w:rsidRPr="00526EFF" w:rsidRDefault="00DB48CE" w:rsidP="00526EFF">
            <w:pPr>
              <w:jc w:val="center"/>
              <w:rPr>
                <w:bCs/>
              </w:rPr>
            </w:pPr>
            <w:r w:rsidRPr="00526EFF">
              <w:rPr>
                <w:bCs/>
              </w:rPr>
              <w:t>9,48</w:t>
            </w:r>
            <w:r w:rsidR="00DE632D">
              <w:rPr>
                <w:bCs/>
              </w:rPr>
              <w:t>6</w:t>
            </w:r>
          </w:p>
        </w:tc>
      </w:tr>
      <w:tr w:rsidR="00DB48CE" w14:paraId="1C654B98" w14:textId="77777777" w:rsidTr="006D5162">
        <w:trPr>
          <w:trHeight w:val="305"/>
          <w:jc w:val="center"/>
        </w:trPr>
        <w:tc>
          <w:tcPr>
            <w:tcW w:w="3775" w:type="dxa"/>
            <w:shd w:val="clear" w:color="auto" w:fill="auto"/>
            <w:vAlign w:val="center"/>
          </w:tcPr>
          <w:p w14:paraId="15342187" w14:textId="77777777" w:rsidR="00DB48CE" w:rsidRPr="00526EFF" w:rsidRDefault="00DB48CE" w:rsidP="00526EFF">
            <w:pPr>
              <w:jc w:val="center"/>
              <w:rPr>
                <w:bCs/>
              </w:rPr>
            </w:pPr>
            <w:r w:rsidRPr="00526EFF">
              <w:rPr>
                <w:bCs/>
              </w:rPr>
              <w:t>Toshiba P</w:t>
            </w:r>
            <w:r w:rsidR="00E30DEC">
              <w:rPr>
                <w:bCs/>
              </w:rPr>
              <w:t xml:space="preserve">arental </w:t>
            </w:r>
            <w:r w:rsidR="00E30DEC" w:rsidRPr="00526EFF">
              <w:rPr>
                <w:bCs/>
              </w:rPr>
              <w:t>G</w:t>
            </w:r>
            <w:r w:rsidR="00E30DEC" w:rsidRPr="00E30DEC">
              <w:rPr>
                <w:rStyle w:val="CommentReference"/>
                <w:sz w:val="24"/>
                <w:szCs w:val="24"/>
              </w:rPr>
              <w:t>u</w:t>
            </w:r>
            <w:r w:rsidR="00E30DEC">
              <w:rPr>
                <w:bCs/>
              </w:rPr>
              <w:t>arantee</w:t>
            </w:r>
          </w:p>
        </w:tc>
        <w:tc>
          <w:tcPr>
            <w:tcW w:w="2160" w:type="dxa"/>
            <w:tcBorders>
              <w:top w:val="single" w:sz="4" w:space="0" w:color="auto"/>
            </w:tcBorders>
            <w:shd w:val="clear" w:color="auto" w:fill="auto"/>
            <w:vAlign w:val="center"/>
          </w:tcPr>
          <w:p w14:paraId="0BF6F6C3" w14:textId="77777777" w:rsidR="00DB48CE" w:rsidRPr="00526EFF" w:rsidRDefault="00DB48CE" w:rsidP="00526EFF">
            <w:pPr>
              <w:jc w:val="center"/>
              <w:rPr>
                <w:bCs/>
              </w:rPr>
            </w:pPr>
            <w:r w:rsidRPr="00526EFF">
              <w:rPr>
                <w:bCs/>
              </w:rPr>
              <w:t>(1,49</w:t>
            </w:r>
            <w:r w:rsidR="00DE632D">
              <w:rPr>
                <w:bCs/>
              </w:rPr>
              <w:t>2</w:t>
            </w:r>
            <w:r w:rsidRPr="00526EFF">
              <w:rPr>
                <w:bCs/>
              </w:rPr>
              <w:t>)</w:t>
            </w:r>
          </w:p>
        </w:tc>
      </w:tr>
      <w:tr w:rsidR="00DB48CE" w14:paraId="4B0B4AC7" w14:textId="77777777" w:rsidTr="006D5162">
        <w:trPr>
          <w:trHeight w:val="305"/>
          <w:jc w:val="center"/>
        </w:trPr>
        <w:tc>
          <w:tcPr>
            <w:tcW w:w="3775" w:type="dxa"/>
            <w:tcBorders>
              <w:bottom w:val="double" w:sz="4" w:space="0" w:color="auto"/>
            </w:tcBorders>
            <w:shd w:val="clear" w:color="auto" w:fill="auto"/>
            <w:vAlign w:val="center"/>
          </w:tcPr>
          <w:p w14:paraId="7511B4E5" w14:textId="77777777" w:rsidR="00DB48CE" w:rsidRPr="00526EFF" w:rsidRDefault="00D7587C" w:rsidP="00D7587C">
            <w:pPr>
              <w:jc w:val="center"/>
              <w:rPr>
                <w:bCs/>
              </w:rPr>
            </w:pPr>
            <w:r>
              <w:rPr>
                <w:bCs/>
              </w:rPr>
              <w:t>Georgia Power</w:t>
            </w:r>
            <w:r w:rsidRPr="00526EFF">
              <w:rPr>
                <w:bCs/>
              </w:rPr>
              <w:t xml:space="preserve"> </w:t>
            </w:r>
            <w:r w:rsidR="00DB48CE" w:rsidRPr="00526EFF">
              <w:rPr>
                <w:bCs/>
              </w:rPr>
              <w:t>to Absorb</w:t>
            </w:r>
          </w:p>
        </w:tc>
        <w:tc>
          <w:tcPr>
            <w:tcW w:w="2160" w:type="dxa"/>
            <w:tcBorders>
              <w:bottom w:val="double" w:sz="4" w:space="0" w:color="auto"/>
            </w:tcBorders>
            <w:shd w:val="clear" w:color="auto" w:fill="auto"/>
            <w:vAlign w:val="center"/>
          </w:tcPr>
          <w:p w14:paraId="4355BB9D" w14:textId="77777777" w:rsidR="00DB48CE" w:rsidRPr="00526EFF" w:rsidRDefault="00DB48CE" w:rsidP="00526EFF">
            <w:pPr>
              <w:jc w:val="center"/>
              <w:rPr>
                <w:bCs/>
              </w:rPr>
            </w:pPr>
            <w:r w:rsidRPr="00526EFF">
              <w:rPr>
                <w:bCs/>
              </w:rPr>
              <w:t>(694)</w:t>
            </w:r>
          </w:p>
        </w:tc>
      </w:tr>
      <w:tr w:rsidR="00DB48CE" w14:paraId="19277D31" w14:textId="77777777" w:rsidTr="006D5162">
        <w:trPr>
          <w:trHeight w:val="288"/>
          <w:jc w:val="center"/>
        </w:trPr>
        <w:tc>
          <w:tcPr>
            <w:tcW w:w="3775" w:type="dxa"/>
            <w:tcBorders>
              <w:top w:val="double" w:sz="4" w:space="0" w:color="auto"/>
            </w:tcBorders>
            <w:shd w:val="clear" w:color="auto" w:fill="auto"/>
            <w:vAlign w:val="center"/>
          </w:tcPr>
          <w:p w14:paraId="0B409ED8" w14:textId="77777777" w:rsidR="00DB48CE" w:rsidRPr="00526EFF" w:rsidRDefault="00A87406" w:rsidP="00526EFF">
            <w:pPr>
              <w:jc w:val="center"/>
              <w:rPr>
                <w:bCs/>
              </w:rPr>
            </w:pPr>
            <w:r w:rsidRPr="00526EFF">
              <w:rPr>
                <w:bCs/>
              </w:rPr>
              <w:t>Company’s Capital Cost</w:t>
            </w:r>
          </w:p>
        </w:tc>
        <w:tc>
          <w:tcPr>
            <w:tcW w:w="2160" w:type="dxa"/>
            <w:tcBorders>
              <w:top w:val="double" w:sz="4" w:space="0" w:color="auto"/>
            </w:tcBorders>
            <w:shd w:val="clear" w:color="auto" w:fill="auto"/>
            <w:vAlign w:val="center"/>
          </w:tcPr>
          <w:p w14:paraId="491A832F" w14:textId="77777777" w:rsidR="00DB48CE" w:rsidRPr="00526EFF" w:rsidRDefault="00DB48CE" w:rsidP="00526EFF">
            <w:pPr>
              <w:jc w:val="center"/>
              <w:rPr>
                <w:bCs/>
              </w:rPr>
            </w:pPr>
            <w:r w:rsidRPr="00526EFF">
              <w:rPr>
                <w:bCs/>
              </w:rPr>
              <w:t>7,30</w:t>
            </w:r>
            <w:r w:rsidR="00DE632D">
              <w:rPr>
                <w:bCs/>
              </w:rPr>
              <w:t>0</w:t>
            </w:r>
          </w:p>
        </w:tc>
      </w:tr>
      <w:tr w:rsidR="00DB48CE" w14:paraId="7EB0CA9D" w14:textId="77777777" w:rsidTr="006D5162">
        <w:trPr>
          <w:trHeight w:val="305"/>
          <w:jc w:val="center"/>
        </w:trPr>
        <w:tc>
          <w:tcPr>
            <w:tcW w:w="3775" w:type="dxa"/>
            <w:shd w:val="clear" w:color="auto" w:fill="auto"/>
            <w:vAlign w:val="center"/>
          </w:tcPr>
          <w:p w14:paraId="1AFA6F7C" w14:textId="77777777" w:rsidR="00DB48CE" w:rsidRPr="00526EFF" w:rsidRDefault="00DB48CE" w:rsidP="00526EFF">
            <w:pPr>
              <w:jc w:val="center"/>
              <w:rPr>
                <w:bCs/>
              </w:rPr>
            </w:pPr>
            <w:r w:rsidRPr="00526EFF">
              <w:rPr>
                <w:bCs/>
              </w:rPr>
              <w:t>Contingency</w:t>
            </w:r>
          </w:p>
        </w:tc>
        <w:tc>
          <w:tcPr>
            <w:tcW w:w="2160" w:type="dxa"/>
            <w:shd w:val="clear" w:color="auto" w:fill="auto"/>
            <w:vAlign w:val="center"/>
          </w:tcPr>
          <w:p w14:paraId="1493A1BF" w14:textId="77777777" w:rsidR="00DB48CE" w:rsidRPr="00526EFF" w:rsidRDefault="00DB48CE" w:rsidP="00526EFF">
            <w:pPr>
              <w:jc w:val="center"/>
              <w:rPr>
                <w:bCs/>
              </w:rPr>
            </w:pPr>
            <w:r w:rsidRPr="00526EFF">
              <w:rPr>
                <w:bCs/>
              </w:rPr>
              <w:t>3</w:t>
            </w:r>
            <w:r w:rsidR="00A87406" w:rsidRPr="00526EFF">
              <w:rPr>
                <w:bCs/>
              </w:rPr>
              <w:t>66</w:t>
            </w:r>
          </w:p>
        </w:tc>
      </w:tr>
      <w:tr w:rsidR="00DB48CE" w14:paraId="3A4F04B9" w14:textId="77777777" w:rsidTr="006D5162">
        <w:trPr>
          <w:trHeight w:val="305"/>
          <w:jc w:val="center"/>
        </w:trPr>
        <w:tc>
          <w:tcPr>
            <w:tcW w:w="3775" w:type="dxa"/>
            <w:shd w:val="clear" w:color="auto" w:fill="auto"/>
            <w:vAlign w:val="center"/>
          </w:tcPr>
          <w:p w14:paraId="5F59EC02" w14:textId="77777777" w:rsidR="00DB48CE" w:rsidRPr="00526EFF" w:rsidRDefault="00DB48CE" w:rsidP="00526EFF">
            <w:pPr>
              <w:jc w:val="center"/>
              <w:rPr>
                <w:bCs/>
              </w:rPr>
            </w:pPr>
            <w:r w:rsidRPr="00526EFF">
              <w:rPr>
                <w:bCs/>
              </w:rPr>
              <w:t xml:space="preserve">Staff’s Capital </w:t>
            </w:r>
            <w:r w:rsidR="00A87406" w:rsidRPr="00526EFF">
              <w:rPr>
                <w:bCs/>
              </w:rPr>
              <w:t>Cost</w:t>
            </w:r>
          </w:p>
        </w:tc>
        <w:tc>
          <w:tcPr>
            <w:tcW w:w="2160" w:type="dxa"/>
            <w:shd w:val="clear" w:color="auto" w:fill="auto"/>
            <w:vAlign w:val="center"/>
          </w:tcPr>
          <w:p w14:paraId="17BFF60D" w14:textId="77777777" w:rsidR="00DB48CE" w:rsidRPr="00526EFF" w:rsidRDefault="00DB48CE" w:rsidP="00526EFF">
            <w:pPr>
              <w:jc w:val="center"/>
              <w:rPr>
                <w:bCs/>
              </w:rPr>
            </w:pPr>
            <w:r w:rsidRPr="00526EFF">
              <w:rPr>
                <w:bCs/>
              </w:rPr>
              <w:t>7,667</w:t>
            </w:r>
          </w:p>
        </w:tc>
      </w:tr>
    </w:tbl>
    <w:p w14:paraId="0475094C" w14:textId="77777777" w:rsidR="0084004B" w:rsidRDefault="0084004B" w:rsidP="00F511C7">
      <w:pPr>
        <w:spacing w:after="240" w:line="360" w:lineRule="auto"/>
        <w:ind w:left="720"/>
        <w:rPr>
          <w:bCs/>
        </w:rPr>
      </w:pPr>
    </w:p>
    <w:p w14:paraId="18F26527" w14:textId="61584733" w:rsidR="002124C7" w:rsidRDefault="00F43A2B" w:rsidP="00F511C7">
      <w:pPr>
        <w:spacing w:after="240" w:line="360" w:lineRule="auto"/>
        <w:ind w:left="720"/>
        <w:rPr>
          <w:bCs/>
        </w:rPr>
      </w:pPr>
      <w:r>
        <w:rPr>
          <w:bCs/>
        </w:rPr>
        <w:t>Third</w:t>
      </w:r>
      <w:r w:rsidR="001D16B6">
        <w:rPr>
          <w:bCs/>
        </w:rPr>
        <w:t xml:space="preserve">, Staff disagrees with </w:t>
      </w:r>
      <w:r w:rsidR="006B1E61">
        <w:rPr>
          <w:bCs/>
        </w:rPr>
        <w:t xml:space="preserve">the </w:t>
      </w:r>
      <w:r w:rsidR="004F2C73">
        <w:rPr>
          <w:bCs/>
        </w:rPr>
        <w:t>Company’s</w:t>
      </w:r>
      <w:r w:rsidR="001D16B6">
        <w:rPr>
          <w:bCs/>
        </w:rPr>
        <w:t xml:space="preserve"> </w:t>
      </w:r>
      <w:r w:rsidR="006B1E61">
        <w:rPr>
          <w:bCs/>
        </w:rPr>
        <w:t xml:space="preserve">interpretation of the VCM </w:t>
      </w:r>
      <w:r w:rsidR="00642143">
        <w:rPr>
          <w:bCs/>
        </w:rPr>
        <w:t xml:space="preserve">17 </w:t>
      </w:r>
      <w:r w:rsidR="006B1E61">
        <w:rPr>
          <w:bCs/>
        </w:rPr>
        <w:t xml:space="preserve">Order, and </w:t>
      </w:r>
      <w:r w:rsidR="00FD1AD7">
        <w:rPr>
          <w:bCs/>
        </w:rPr>
        <w:t xml:space="preserve">some of </w:t>
      </w:r>
      <w:r w:rsidR="006B1E61">
        <w:rPr>
          <w:bCs/>
        </w:rPr>
        <w:t>the modeling assumptions that the Company incorporated in its VCM</w:t>
      </w:r>
      <w:r w:rsidR="004F2C73">
        <w:rPr>
          <w:bCs/>
        </w:rPr>
        <w:t xml:space="preserve"> </w:t>
      </w:r>
      <w:r w:rsidR="00642143">
        <w:rPr>
          <w:bCs/>
        </w:rPr>
        <w:t xml:space="preserve">20/21 </w:t>
      </w:r>
      <w:r w:rsidR="006B1E61">
        <w:rPr>
          <w:bCs/>
        </w:rPr>
        <w:t>analysis</w:t>
      </w:r>
      <w:r w:rsidR="006B1E61" w:rsidRPr="00BB080D">
        <w:rPr>
          <w:bCs/>
        </w:rPr>
        <w:t>.</w:t>
      </w:r>
      <w:r w:rsidR="00A4735A" w:rsidRPr="00BB080D">
        <w:rPr>
          <w:bCs/>
        </w:rPr>
        <w:t xml:space="preserve"> </w:t>
      </w:r>
      <w:r w:rsidR="00C05E8F">
        <w:rPr>
          <w:bCs/>
        </w:rPr>
        <w:t xml:space="preserve"> </w:t>
      </w:r>
      <w:r w:rsidR="00F66B47">
        <w:rPr>
          <w:bCs/>
        </w:rPr>
        <w:t>Specifically</w:t>
      </w:r>
      <w:r w:rsidR="00A87406">
        <w:rPr>
          <w:bCs/>
        </w:rPr>
        <w:t>, Staff disagrees with the Company’s interpretation of</w:t>
      </w:r>
      <w:r w:rsidR="00F66B47">
        <w:rPr>
          <w:bCs/>
        </w:rPr>
        <w:t xml:space="preserve"> the amount of capital investment to be placed into </w:t>
      </w:r>
      <w:r w:rsidR="00A87406">
        <w:rPr>
          <w:bCs/>
        </w:rPr>
        <w:t xml:space="preserve">the </w:t>
      </w:r>
      <w:r w:rsidR="00F66B47">
        <w:rPr>
          <w:bCs/>
        </w:rPr>
        <w:t>rate</w:t>
      </w:r>
      <w:r w:rsidR="006D6F41">
        <w:rPr>
          <w:bCs/>
        </w:rPr>
        <w:t xml:space="preserve"> </w:t>
      </w:r>
      <w:r w:rsidR="00F66B47">
        <w:rPr>
          <w:bCs/>
        </w:rPr>
        <w:t xml:space="preserve">base </w:t>
      </w:r>
      <w:r w:rsidR="00A87406">
        <w:rPr>
          <w:bCs/>
        </w:rPr>
        <w:t xml:space="preserve">when </w:t>
      </w:r>
      <w:r w:rsidR="00F66B47">
        <w:rPr>
          <w:bCs/>
        </w:rPr>
        <w:t>Unit 3</w:t>
      </w:r>
      <w:r w:rsidR="00A87406">
        <w:rPr>
          <w:bCs/>
        </w:rPr>
        <w:t xml:space="preserve"> goes into service, </w:t>
      </w:r>
      <w:r w:rsidR="00F66B47">
        <w:rPr>
          <w:bCs/>
        </w:rPr>
        <w:t xml:space="preserve">and the </w:t>
      </w:r>
      <w:r w:rsidR="00A87406">
        <w:rPr>
          <w:bCs/>
        </w:rPr>
        <w:t xml:space="preserve">recovery </w:t>
      </w:r>
      <w:r w:rsidR="00F66B47">
        <w:rPr>
          <w:bCs/>
        </w:rPr>
        <w:t>of</w:t>
      </w:r>
      <w:r w:rsidR="00A87406">
        <w:rPr>
          <w:bCs/>
        </w:rPr>
        <w:t xml:space="preserve"> </w:t>
      </w:r>
      <w:r w:rsidR="00F66B47">
        <w:rPr>
          <w:bCs/>
        </w:rPr>
        <w:t>the remaining investment and ope</w:t>
      </w:r>
      <w:r w:rsidR="00A87406">
        <w:rPr>
          <w:bCs/>
        </w:rPr>
        <w:t>rations</w:t>
      </w:r>
      <w:r w:rsidR="00F66B47">
        <w:rPr>
          <w:bCs/>
        </w:rPr>
        <w:t xml:space="preserve"> costs until Unit 4 is complete.</w:t>
      </w:r>
      <w:r w:rsidR="004F2C73" w:rsidRPr="00BB080D">
        <w:rPr>
          <w:bCs/>
        </w:rPr>
        <w:t xml:space="preserve"> </w:t>
      </w:r>
    </w:p>
    <w:p w14:paraId="261F5A04" w14:textId="77777777" w:rsidR="001C0AFD" w:rsidRDefault="00F43A2B" w:rsidP="001C0AFD">
      <w:pPr>
        <w:spacing w:after="240" w:line="360" w:lineRule="auto"/>
        <w:ind w:left="720"/>
        <w:rPr>
          <w:bCs/>
        </w:rPr>
      </w:pPr>
      <w:r>
        <w:rPr>
          <w:bCs/>
        </w:rPr>
        <w:t>Fourth</w:t>
      </w:r>
      <w:r w:rsidR="001C0AFD">
        <w:rPr>
          <w:bCs/>
        </w:rPr>
        <w:t xml:space="preserve">, </w:t>
      </w:r>
      <w:r w:rsidR="00E53606">
        <w:rPr>
          <w:bCs/>
        </w:rPr>
        <w:t xml:space="preserve">although </w:t>
      </w:r>
      <w:r w:rsidR="001C0AFD">
        <w:rPr>
          <w:bCs/>
        </w:rPr>
        <w:t xml:space="preserve">Staff </w:t>
      </w:r>
      <w:r w:rsidR="00E53606">
        <w:rPr>
          <w:bCs/>
        </w:rPr>
        <w:t>determined that the Company lowered its natural gas price forecasts considerably in this VCM proceeding compared to VCM</w:t>
      </w:r>
      <w:r w:rsidR="00524697">
        <w:rPr>
          <w:bCs/>
        </w:rPr>
        <w:t xml:space="preserve"> 19</w:t>
      </w:r>
      <w:r w:rsidR="00E53606">
        <w:rPr>
          <w:bCs/>
        </w:rPr>
        <w:t xml:space="preserve">, Staff </w:t>
      </w:r>
      <w:r w:rsidR="001C0AFD">
        <w:rPr>
          <w:bCs/>
        </w:rPr>
        <w:t>continues to disagree with the Company’s approach of deriving its forecast</w:t>
      </w:r>
      <w:r w:rsidR="00E53606">
        <w:rPr>
          <w:bCs/>
        </w:rPr>
        <w:t>s</w:t>
      </w:r>
      <w:r w:rsidR="001C0AFD">
        <w:rPr>
          <w:bCs/>
        </w:rPr>
        <w:t xml:space="preserve"> </w:t>
      </w:r>
      <w:r w:rsidR="00E53606">
        <w:rPr>
          <w:bCs/>
        </w:rPr>
        <w:t xml:space="preserve">using only </w:t>
      </w:r>
      <w:r w:rsidR="001C0AFD">
        <w:rPr>
          <w:bCs/>
        </w:rPr>
        <w:t>a single source rather than multiple sources</w:t>
      </w:r>
      <w:r w:rsidR="00E53606">
        <w:rPr>
          <w:bCs/>
        </w:rPr>
        <w:t xml:space="preserve"> of information</w:t>
      </w:r>
      <w:r w:rsidR="001C0AFD">
        <w:rPr>
          <w:bCs/>
        </w:rPr>
        <w:t xml:space="preserve">. </w:t>
      </w:r>
    </w:p>
    <w:p w14:paraId="1BCD24EC" w14:textId="77777777" w:rsidR="002E2309" w:rsidRDefault="000E46B7" w:rsidP="001C0AFD">
      <w:pPr>
        <w:spacing w:after="240" w:line="360" w:lineRule="auto"/>
        <w:ind w:left="720"/>
        <w:rPr>
          <w:bCs/>
        </w:rPr>
      </w:pPr>
      <w:r>
        <w:rPr>
          <w:bCs/>
        </w:rPr>
        <w:lastRenderedPageBreak/>
        <w:t>Finally</w:t>
      </w:r>
      <w:r w:rsidR="002E2309">
        <w:rPr>
          <w:bCs/>
        </w:rPr>
        <w:t xml:space="preserve">, Staff </w:t>
      </w:r>
      <w:r w:rsidR="001C263B">
        <w:rPr>
          <w:bCs/>
        </w:rPr>
        <w:t xml:space="preserve">has concerns with </w:t>
      </w:r>
      <w:r w:rsidR="002E2309">
        <w:rPr>
          <w:bCs/>
        </w:rPr>
        <w:t>the Company</w:t>
      </w:r>
      <w:r w:rsidR="005762A8">
        <w:rPr>
          <w:bCs/>
        </w:rPr>
        <w:t xml:space="preserve">’s </w:t>
      </w:r>
      <w:r w:rsidR="002163D9">
        <w:rPr>
          <w:bCs/>
        </w:rPr>
        <w:t xml:space="preserve">carbon </w:t>
      </w:r>
      <w:r w:rsidR="00DE632D">
        <w:rPr>
          <w:bCs/>
        </w:rPr>
        <w:t xml:space="preserve">modeling assumptions.  One concern is that the Company has not updated its carbon </w:t>
      </w:r>
      <w:r w:rsidR="002163D9">
        <w:rPr>
          <w:bCs/>
        </w:rPr>
        <w:t xml:space="preserve">dioxide emission </w:t>
      </w:r>
      <w:r w:rsidR="002E2309">
        <w:rPr>
          <w:bCs/>
        </w:rPr>
        <w:t xml:space="preserve">price forecast </w:t>
      </w:r>
      <w:r w:rsidR="00DE632D">
        <w:rPr>
          <w:bCs/>
        </w:rPr>
        <w:t xml:space="preserve">even though the Clean Power Plan has been repealed.  The second concern, </w:t>
      </w:r>
      <w:r w:rsidR="001C263B">
        <w:rPr>
          <w:bCs/>
        </w:rPr>
        <w:t>as</w:t>
      </w:r>
      <w:r w:rsidR="00DE632D">
        <w:rPr>
          <w:bCs/>
        </w:rPr>
        <w:t xml:space="preserve"> discussed in </w:t>
      </w:r>
      <w:r w:rsidR="001C263B">
        <w:rPr>
          <w:bCs/>
        </w:rPr>
        <w:t xml:space="preserve">Staff’s </w:t>
      </w:r>
      <w:r w:rsidR="00DE632D">
        <w:rPr>
          <w:bCs/>
        </w:rPr>
        <w:t xml:space="preserve">IRP testimony, is that in some scenarios the only type of </w:t>
      </w:r>
      <w:r w:rsidR="00F43A2B">
        <w:rPr>
          <w:bCs/>
        </w:rPr>
        <w:t xml:space="preserve">combined cycle </w:t>
      </w:r>
      <w:r w:rsidR="00DE632D">
        <w:rPr>
          <w:bCs/>
        </w:rPr>
        <w:t xml:space="preserve">unit the Company allows to be added as new resource additions are </w:t>
      </w:r>
      <w:r w:rsidR="00F43A2B">
        <w:rPr>
          <w:bCs/>
        </w:rPr>
        <w:t>combined cycle</w:t>
      </w:r>
      <w:r w:rsidR="00F43A2B" w:rsidDel="00F43A2B">
        <w:rPr>
          <w:bCs/>
        </w:rPr>
        <w:t xml:space="preserve"> </w:t>
      </w:r>
      <w:r w:rsidR="00DE632D">
        <w:rPr>
          <w:bCs/>
        </w:rPr>
        <w:t xml:space="preserve">units with carbon sequestration capability.  </w:t>
      </w:r>
      <w:r w:rsidR="00E53606">
        <w:rPr>
          <w:bCs/>
        </w:rPr>
        <w:t xml:space="preserve">These units are extremely expensive, not commercially available, and unlikely to ever be added as the Company has modeled them.  </w:t>
      </w:r>
    </w:p>
    <w:p w14:paraId="280E2091" w14:textId="77777777" w:rsidR="00400BD8" w:rsidRDefault="00400BD8" w:rsidP="00400BD8">
      <w:pPr>
        <w:spacing w:after="240" w:line="360" w:lineRule="auto"/>
        <w:ind w:left="720" w:hanging="720"/>
        <w:rPr>
          <w:b/>
          <w:bCs/>
        </w:rPr>
      </w:pPr>
      <w:bookmarkStart w:id="9" w:name="_Hlk498701894"/>
      <w:r w:rsidRPr="00250136">
        <w:rPr>
          <w:b/>
          <w:bCs/>
        </w:rPr>
        <w:t>Q.</w:t>
      </w:r>
      <w:r w:rsidRPr="00250136">
        <w:rPr>
          <w:b/>
          <w:bCs/>
        </w:rPr>
        <w:tab/>
        <w:t xml:space="preserve">WHAT </w:t>
      </w:r>
      <w:r>
        <w:rPr>
          <w:b/>
          <w:bCs/>
        </w:rPr>
        <w:t>SCENARIO</w:t>
      </w:r>
      <w:r w:rsidRPr="00250136">
        <w:rPr>
          <w:b/>
          <w:bCs/>
        </w:rPr>
        <w:t xml:space="preserve"> </w:t>
      </w:r>
      <w:r w:rsidR="006B1E61">
        <w:rPr>
          <w:b/>
          <w:bCs/>
        </w:rPr>
        <w:t>DID THE COMPANY EVALUATE THAT LED TO THE RESULTS IT PRESENTED IN TABLE 4.1</w:t>
      </w:r>
      <w:r w:rsidRPr="00250136">
        <w:rPr>
          <w:b/>
          <w:bCs/>
        </w:rPr>
        <w:t>?</w:t>
      </w:r>
    </w:p>
    <w:p w14:paraId="4104224F" w14:textId="77777777" w:rsidR="002D6DE8" w:rsidRDefault="00400BD8" w:rsidP="004F2C73">
      <w:pPr>
        <w:spacing w:after="240" w:line="360" w:lineRule="auto"/>
        <w:ind w:left="720" w:hanging="720"/>
        <w:rPr>
          <w:bCs/>
        </w:rPr>
      </w:pPr>
      <w:r w:rsidRPr="00400BD8">
        <w:rPr>
          <w:bCs/>
        </w:rPr>
        <w:t>A</w:t>
      </w:r>
      <w:r>
        <w:rPr>
          <w:bCs/>
        </w:rPr>
        <w:t>.</w:t>
      </w:r>
      <w:r>
        <w:rPr>
          <w:bCs/>
        </w:rPr>
        <w:tab/>
      </w:r>
      <w:r w:rsidRPr="00E335D0">
        <w:t xml:space="preserve">The </w:t>
      </w:r>
      <w:r>
        <w:t xml:space="preserve">Company </w:t>
      </w:r>
      <w:r w:rsidR="006B1E61">
        <w:t xml:space="preserve">evaluated </w:t>
      </w:r>
      <w:r w:rsidR="00953BE8">
        <w:t xml:space="preserve">its </w:t>
      </w:r>
      <w:r w:rsidR="006B1E61">
        <w:t xml:space="preserve">current </w:t>
      </w:r>
      <w:r w:rsidR="009B2BFF">
        <w:t>base case</w:t>
      </w:r>
      <w:r w:rsidR="006B1E61">
        <w:t xml:space="preserve"> in-service date assumptions</w:t>
      </w:r>
      <w:r w:rsidR="0040537A">
        <w:t xml:space="preserve"> </w:t>
      </w:r>
      <w:r w:rsidR="00A862DF">
        <w:t>based on</w:t>
      </w:r>
      <w:r w:rsidR="007C7C46">
        <w:t xml:space="preserve"> the </w:t>
      </w:r>
      <w:r w:rsidR="00953BE8">
        <w:t>68-month delay</w:t>
      </w:r>
      <w:r w:rsidR="00A230EE">
        <w:t xml:space="preserve"> case</w:t>
      </w:r>
      <w:r w:rsidR="00953BE8">
        <w:t xml:space="preserve">. </w:t>
      </w:r>
      <w:r w:rsidR="00A230EE">
        <w:t xml:space="preserve"> </w:t>
      </w:r>
      <w:r w:rsidR="006B1E61">
        <w:t xml:space="preserve">The Company performed </w:t>
      </w:r>
      <w:r w:rsidR="00CF7051">
        <w:t xml:space="preserve">its usual set of nine analyses evaluating </w:t>
      </w:r>
      <w:r w:rsidR="00C6749B">
        <w:t xml:space="preserve">all </w:t>
      </w:r>
      <w:r w:rsidR="001810A3">
        <w:t>combination</w:t>
      </w:r>
      <w:r w:rsidR="00C6749B">
        <w:t>s</w:t>
      </w:r>
      <w:r w:rsidR="001810A3">
        <w:t xml:space="preserve"> of </w:t>
      </w:r>
      <w:r w:rsidR="00CF7051">
        <w:t xml:space="preserve">three fuel price cases (Low, Mod, High) and three </w:t>
      </w:r>
      <w:r w:rsidR="00C51116">
        <w:t xml:space="preserve">carbon dioxide emission </w:t>
      </w:r>
      <w:r w:rsidR="005E7473">
        <w:t xml:space="preserve">price </w:t>
      </w:r>
      <w:r w:rsidR="00CF7051">
        <w:t>cases (</w:t>
      </w:r>
      <w:r w:rsidR="007F148F">
        <w:t>$0/Ton</w:t>
      </w:r>
      <w:r w:rsidR="00CF7051">
        <w:t xml:space="preserve">, </w:t>
      </w:r>
      <w:r w:rsidR="007F148F">
        <w:t>$10/Ton, $20/Ton</w:t>
      </w:r>
      <w:r w:rsidR="00CF7051">
        <w:t>).</w:t>
      </w:r>
    </w:p>
    <w:bookmarkEnd w:id="9"/>
    <w:p w14:paraId="56A4FD0D" w14:textId="77777777" w:rsidR="005D1D2C" w:rsidRDefault="00491AEB" w:rsidP="00483A49">
      <w:pPr>
        <w:tabs>
          <w:tab w:val="left" w:pos="0"/>
          <w:tab w:val="left" w:pos="5400"/>
        </w:tabs>
        <w:spacing w:before="240" w:after="240" w:line="360" w:lineRule="auto"/>
        <w:ind w:left="720" w:hanging="720"/>
      </w:pPr>
      <w:r>
        <w:t xml:space="preserve"> </w:t>
      </w:r>
    </w:p>
    <w:p w14:paraId="128CB916" w14:textId="77777777" w:rsidR="008C73FE" w:rsidRPr="00250136" w:rsidRDefault="003371E1" w:rsidP="00CA19DB">
      <w:pPr>
        <w:pStyle w:val="Heading1"/>
        <w:numPr>
          <w:ilvl w:val="0"/>
          <w:numId w:val="20"/>
        </w:numPr>
        <w:spacing w:line="360" w:lineRule="auto"/>
        <w:rPr>
          <w:sz w:val="24"/>
          <w:szCs w:val="24"/>
        </w:rPr>
      </w:pPr>
      <w:bookmarkStart w:id="10" w:name="_Toc499136447"/>
      <w:r>
        <w:rPr>
          <w:sz w:val="24"/>
          <w:szCs w:val="24"/>
        </w:rPr>
        <w:t xml:space="preserve"> </w:t>
      </w:r>
      <w:bookmarkStart w:id="11" w:name="_Toc24967260"/>
      <w:r w:rsidR="00001911" w:rsidRPr="00250136">
        <w:rPr>
          <w:sz w:val="24"/>
          <w:szCs w:val="24"/>
        </w:rPr>
        <w:t>STAFF</w:t>
      </w:r>
      <w:r w:rsidR="00916115">
        <w:rPr>
          <w:sz w:val="24"/>
          <w:szCs w:val="24"/>
        </w:rPr>
        <w:t>’S</w:t>
      </w:r>
      <w:r w:rsidR="00001911" w:rsidRPr="00250136">
        <w:rPr>
          <w:sz w:val="24"/>
          <w:szCs w:val="24"/>
        </w:rPr>
        <w:t xml:space="preserve"> ECONOMIC EVALUATION</w:t>
      </w:r>
      <w:bookmarkEnd w:id="10"/>
      <w:bookmarkEnd w:id="11"/>
    </w:p>
    <w:p w14:paraId="3BA540E8" w14:textId="77777777" w:rsidR="00BD38CD" w:rsidRPr="00250136" w:rsidRDefault="00CD2A95" w:rsidP="00CF5472">
      <w:pPr>
        <w:pStyle w:val="Heading2"/>
        <w:numPr>
          <w:ilvl w:val="0"/>
          <w:numId w:val="0"/>
        </w:numPr>
        <w:spacing w:before="0" w:after="240" w:line="360" w:lineRule="auto"/>
        <w:ind w:left="720" w:hanging="720"/>
      </w:pPr>
      <w:bookmarkStart w:id="12" w:name="_Toc499136448"/>
      <w:bookmarkStart w:id="13" w:name="_Toc24967261"/>
      <w:r>
        <w:t>Staff</w:t>
      </w:r>
      <w:r w:rsidR="00CF5472">
        <w:t>’s A</w:t>
      </w:r>
      <w:r w:rsidR="00C479C1">
        <w:t>ssumptions</w:t>
      </w:r>
      <w:bookmarkEnd w:id="12"/>
      <w:bookmarkEnd w:id="13"/>
    </w:p>
    <w:p w14:paraId="4DB7DBCC" w14:textId="77777777" w:rsidR="00AE5541" w:rsidRPr="00BB6163" w:rsidRDefault="00AE5541" w:rsidP="007F148F">
      <w:pPr>
        <w:spacing w:after="240" w:line="360" w:lineRule="auto"/>
        <w:ind w:left="720" w:hanging="720"/>
        <w:rPr>
          <w:b/>
        </w:rPr>
      </w:pPr>
      <w:bookmarkStart w:id="14" w:name="_Hlk498266572"/>
      <w:r w:rsidRPr="00BB6163">
        <w:rPr>
          <w:b/>
        </w:rPr>
        <w:t>Q.</w:t>
      </w:r>
      <w:r w:rsidRPr="00BB6163">
        <w:rPr>
          <w:b/>
        </w:rPr>
        <w:tab/>
        <w:t xml:space="preserve">WHAT </w:t>
      </w:r>
      <w:r w:rsidR="004C5606">
        <w:rPr>
          <w:b/>
        </w:rPr>
        <w:t>ANALYSES</w:t>
      </w:r>
      <w:r w:rsidR="004C5606" w:rsidRPr="00BB6163">
        <w:rPr>
          <w:b/>
        </w:rPr>
        <w:t xml:space="preserve"> </w:t>
      </w:r>
      <w:r w:rsidRPr="00BB6163">
        <w:rPr>
          <w:b/>
        </w:rPr>
        <w:t>DID STAFF</w:t>
      </w:r>
      <w:r>
        <w:rPr>
          <w:b/>
        </w:rPr>
        <w:t xml:space="preserve"> PERFORM</w:t>
      </w:r>
      <w:r w:rsidRPr="00BB6163">
        <w:rPr>
          <w:b/>
        </w:rPr>
        <w:t xml:space="preserve"> IN ITS VCM </w:t>
      </w:r>
      <w:r w:rsidR="001C263B">
        <w:rPr>
          <w:b/>
        </w:rPr>
        <w:t xml:space="preserve">20/21 </w:t>
      </w:r>
      <w:r w:rsidRPr="00BB6163">
        <w:rPr>
          <w:b/>
        </w:rPr>
        <w:t>EVALUATION?</w:t>
      </w:r>
    </w:p>
    <w:p w14:paraId="217800F2" w14:textId="77777777" w:rsidR="006607F4" w:rsidRDefault="00AE5541" w:rsidP="00FE1C41">
      <w:pPr>
        <w:spacing w:after="240" w:line="360" w:lineRule="auto"/>
        <w:ind w:left="720" w:hanging="720"/>
      </w:pPr>
      <w:r w:rsidRPr="00BB6163">
        <w:t>A.</w:t>
      </w:r>
      <w:r w:rsidRPr="00BB6163">
        <w:tab/>
      </w:r>
      <w:r>
        <w:t xml:space="preserve">Staff conducted </w:t>
      </w:r>
      <w:r w:rsidR="00277F7C">
        <w:t>c</w:t>
      </w:r>
      <w:r>
        <w:t>ost-to-complete analyses to evaluate the reasonableness of the Company’s results</w:t>
      </w:r>
      <w:r w:rsidR="00535A4A">
        <w:t xml:space="preserve"> using </w:t>
      </w:r>
      <w:r w:rsidR="0071262E">
        <w:t xml:space="preserve">alternative </w:t>
      </w:r>
      <w:r w:rsidR="00535A4A">
        <w:t xml:space="preserve">modeling assumptions.  </w:t>
      </w:r>
      <w:r w:rsidR="00D9392A">
        <w:t>Staff performed an evaluation of the Company’s 68-month delay scenario</w:t>
      </w:r>
      <w:r w:rsidR="00002B10">
        <w:t xml:space="preserve"> with alternative assumptions</w:t>
      </w:r>
      <w:r w:rsidR="00D9392A">
        <w:t xml:space="preserve"> </w:t>
      </w:r>
      <w:r w:rsidR="00D9392A" w:rsidRPr="008167C4">
        <w:t xml:space="preserve">and </w:t>
      </w:r>
      <w:r w:rsidR="007551B1">
        <w:t xml:space="preserve">conducted a sensitivity case assuming a </w:t>
      </w:r>
      <w:r w:rsidR="00002B10">
        <w:t>24</w:t>
      </w:r>
      <w:r w:rsidR="00D9392A" w:rsidRPr="008167C4">
        <w:t xml:space="preserve">-month delay beyond the </w:t>
      </w:r>
      <w:r w:rsidR="00D9392A">
        <w:t xml:space="preserve">Company’s current November </w:t>
      </w:r>
      <w:r w:rsidR="00D9392A" w:rsidRPr="008167C4">
        <w:t xml:space="preserve">2021/2022 </w:t>
      </w:r>
      <w:r w:rsidR="00930B36">
        <w:t>CODs</w:t>
      </w:r>
      <w:r w:rsidR="00D9392A">
        <w:t xml:space="preserve"> (for a total delay of </w:t>
      </w:r>
      <w:r w:rsidR="00002B10">
        <w:t>92</w:t>
      </w:r>
      <w:r w:rsidR="00D9392A">
        <w:t xml:space="preserve"> months)</w:t>
      </w:r>
      <w:r w:rsidR="00D9392A" w:rsidRPr="008167C4">
        <w:t>.</w:t>
      </w:r>
      <w:r w:rsidR="00D9392A">
        <w:t xml:space="preserve">  </w:t>
      </w:r>
    </w:p>
    <w:p w14:paraId="219C13EC" w14:textId="77777777" w:rsidR="00AE5541" w:rsidRDefault="00AE5541" w:rsidP="00AE5541">
      <w:pPr>
        <w:spacing w:after="240" w:line="360" w:lineRule="auto"/>
        <w:ind w:left="720" w:hanging="720"/>
        <w:rPr>
          <w:b/>
        </w:rPr>
      </w:pPr>
      <w:r w:rsidRPr="00BB6163">
        <w:rPr>
          <w:b/>
        </w:rPr>
        <w:t>Q.</w:t>
      </w:r>
      <w:r w:rsidRPr="00BB6163">
        <w:rPr>
          <w:b/>
        </w:rPr>
        <w:tab/>
      </w:r>
      <w:r w:rsidR="00864418">
        <w:rPr>
          <w:b/>
        </w:rPr>
        <w:t xml:space="preserve">WHAT </w:t>
      </w:r>
      <w:r w:rsidR="00002B10">
        <w:rPr>
          <w:b/>
        </w:rPr>
        <w:t>CHANGES TO ASSUMPTIONS D</w:t>
      </w:r>
      <w:r w:rsidR="00AD25B9">
        <w:rPr>
          <w:b/>
        </w:rPr>
        <w:t xml:space="preserve">ID </w:t>
      </w:r>
      <w:r w:rsidR="008167C4">
        <w:rPr>
          <w:b/>
        </w:rPr>
        <w:t xml:space="preserve">STAFF </w:t>
      </w:r>
      <w:r w:rsidR="00D7587C">
        <w:rPr>
          <w:b/>
        </w:rPr>
        <w:t xml:space="preserve">MAKE TO </w:t>
      </w:r>
      <w:r w:rsidR="00002B10">
        <w:rPr>
          <w:b/>
        </w:rPr>
        <w:t xml:space="preserve">CREATE </w:t>
      </w:r>
      <w:r w:rsidR="00002B10">
        <w:rPr>
          <w:b/>
        </w:rPr>
        <w:lastRenderedPageBreak/>
        <w:t>STAFF’S CASES</w:t>
      </w:r>
      <w:r w:rsidR="00AD25B9">
        <w:rPr>
          <w:b/>
        </w:rPr>
        <w:t>?</w:t>
      </w:r>
      <w:r w:rsidR="008167C4">
        <w:rPr>
          <w:b/>
        </w:rPr>
        <w:t xml:space="preserve"> </w:t>
      </w:r>
    </w:p>
    <w:p w14:paraId="7BB50A90" w14:textId="77777777" w:rsidR="001C0AFD" w:rsidRDefault="00AE5541" w:rsidP="00063332">
      <w:pPr>
        <w:spacing w:line="360" w:lineRule="auto"/>
        <w:ind w:left="720" w:hanging="720"/>
        <w:rPr>
          <w:bCs/>
        </w:rPr>
      </w:pPr>
      <w:r w:rsidRPr="00A56D0F">
        <w:t>A</w:t>
      </w:r>
      <w:r>
        <w:rPr>
          <w:bCs/>
        </w:rPr>
        <w:t>.</w:t>
      </w:r>
      <w:r>
        <w:rPr>
          <w:bCs/>
        </w:rPr>
        <w:tab/>
      </w:r>
      <w:r w:rsidR="006149F8">
        <w:rPr>
          <w:bCs/>
        </w:rPr>
        <w:t xml:space="preserve">Staff </w:t>
      </w:r>
      <w:r w:rsidR="002C00AE">
        <w:rPr>
          <w:bCs/>
        </w:rPr>
        <w:t xml:space="preserve">made </w:t>
      </w:r>
      <w:r w:rsidR="00063332">
        <w:rPr>
          <w:bCs/>
        </w:rPr>
        <w:t xml:space="preserve">the following </w:t>
      </w:r>
      <w:r w:rsidR="00FE09A9">
        <w:rPr>
          <w:bCs/>
        </w:rPr>
        <w:t xml:space="preserve">adjustments </w:t>
      </w:r>
      <w:r w:rsidR="00063332">
        <w:rPr>
          <w:bCs/>
        </w:rPr>
        <w:t xml:space="preserve">in its </w:t>
      </w:r>
      <w:r w:rsidR="00002B10">
        <w:rPr>
          <w:bCs/>
        </w:rPr>
        <w:t>cases:</w:t>
      </w:r>
    </w:p>
    <w:p w14:paraId="6B63419A" w14:textId="77777777" w:rsidR="00F5690B" w:rsidRDefault="00F5690B" w:rsidP="00F5690B">
      <w:pPr>
        <w:pStyle w:val="ListParagraph"/>
        <w:numPr>
          <w:ilvl w:val="0"/>
          <w:numId w:val="45"/>
        </w:numPr>
        <w:spacing w:line="360" w:lineRule="auto"/>
        <w:rPr>
          <w:bCs/>
        </w:rPr>
      </w:pPr>
      <w:r>
        <w:rPr>
          <w:bCs/>
        </w:rPr>
        <w:t>S</w:t>
      </w:r>
      <w:r w:rsidRPr="001C0AFD">
        <w:rPr>
          <w:bCs/>
        </w:rPr>
        <w:t xml:space="preserve">et </w:t>
      </w:r>
      <w:r>
        <w:rPr>
          <w:bCs/>
        </w:rPr>
        <w:t>the net present value date</w:t>
      </w:r>
      <w:r w:rsidR="00864418">
        <w:rPr>
          <w:bCs/>
        </w:rPr>
        <w:t xml:space="preserve"> to 2018</w:t>
      </w:r>
      <w:r w:rsidR="00C400D4">
        <w:rPr>
          <w:bCs/>
        </w:rPr>
        <w:t>,</w:t>
      </w:r>
    </w:p>
    <w:p w14:paraId="59D8A48F" w14:textId="77777777" w:rsidR="00F5690B" w:rsidRDefault="00F5690B" w:rsidP="00F5690B">
      <w:pPr>
        <w:pStyle w:val="ListParagraph"/>
        <w:numPr>
          <w:ilvl w:val="0"/>
          <w:numId w:val="45"/>
        </w:numPr>
        <w:spacing w:line="360" w:lineRule="auto"/>
        <w:rPr>
          <w:bCs/>
        </w:rPr>
      </w:pPr>
      <w:r>
        <w:rPr>
          <w:bCs/>
        </w:rPr>
        <w:t xml:space="preserve">Included the </w:t>
      </w:r>
      <w:r w:rsidRPr="001C0AFD">
        <w:rPr>
          <w:bCs/>
        </w:rPr>
        <w:t>$366 million contingency</w:t>
      </w:r>
      <w:r>
        <w:rPr>
          <w:bCs/>
        </w:rPr>
        <w:t xml:space="preserve"> cost</w:t>
      </w:r>
      <w:r w:rsidR="00C400D4">
        <w:rPr>
          <w:bCs/>
        </w:rPr>
        <w:t>,</w:t>
      </w:r>
    </w:p>
    <w:p w14:paraId="672DE647" w14:textId="228B9467" w:rsidR="008F4286" w:rsidRDefault="008F4286" w:rsidP="008F4286">
      <w:pPr>
        <w:pStyle w:val="ListParagraph"/>
        <w:numPr>
          <w:ilvl w:val="0"/>
          <w:numId w:val="45"/>
        </w:numPr>
        <w:spacing w:line="360" w:lineRule="auto"/>
        <w:rPr>
          <w:bCs/>
        </w:rPr>
      </w:pPr>
      <w:r>
        <w:rPr>
          <w:bCs/>
        </w:rPr>
        <w:t>A</w:t>
      </w:r>
      <w:r w:rsidRPr="001C0AFD">
        <w:rPr>
          <w:bCs/>
        </w:rPr>
        <w:t>ccount</w:t>
      </w:r>
      <w:r w:rsidR="00063332">
        <w:rPr>
          <w:bCs/>
        </w:rPr>
        <w:t>ed</w:t>
      </w:r>
      <w:r w:rsidRPr="001C0AFD">
        <w:rPr>
          <w:bCs/>
        </w:rPr>
        <w:t xml:space="preserve"> for </w:t>
      </w:r>
      <w:r w:rsidR="00E97D3E">
        <w:rPr>
          <w:bCs/>
        </w:rPr>
        <w:t xml:space="preserve">certain prospective </w:t>
      </w:r>
      <w:r w:rsidRPr="001C0AFD">
        <w:rPr>
          <w:bCs/>
        </w:rPr>
        <w:t>i</w:t>
      </w:r>
      <w:r>
        <w:rPr>
          <w:bCs/>
        </w:rPr>
        <w:t>ncremental impacts of sunk cost</w:t>
      </w:r>
      <w:r w:rsidR="00E97D3E">
        <w:rPr>
          <w:bCs/>
        </w:rPr>
        <w:t>s</w:t>
      </w:r>
      <w:r>
        <w:rPr>
          <w:bCs/>
        </w:rPr>
        <w:t xml:space="preserve">, </w:t>
      </w:r>
      <w:r w:rsidR="00063332">
        <w:rPr>
          <w:bCs/>
        </w:rPr>
        <w:t>p</w:t>
      </w:r>
      <w:r w:rsidRPr="001C0AFD">
        <w:rPr>
          <w:bCs/>
        </w:rPr>
        <w:t xml:space="preserve">rimarily </w:t>
      </w:r>
      <w:r>
        <w:rPr>
          <w:bCs/>
        </w:rPr>
        <w:t xml:space="preserve">the </w:t>
      </w:r>
      <w:r w:rsidRPr="001C0AFD">
        <w:rPr>
          <w:bCs/>
        </w:rPr>
        <w:t>inc</w:t>
      </w:r>
      <w:r>
        <w:rPr>
          <w:bCs/>
        </w:rPr>
        <w:t xml:space="preserve">ome tax benefit </w:t>
      </w:r>
      <w:r w:rsidR="00454844">
        <w:rPr>
          <w:bCs/>
        </w:rPr>
        <w:t>of approximately $1</w:t>
      </w:r>
      <w:r w:rsidR="005C4178">
        <w:rPr>
          <w:bCs/>
        </w:rPr>
        <w:t>.2</w:t>
      </w:r>
      <w:r w:rsidR="00454844">
        <w:rPr>
          <w:bCs/>
        </w:rPr>
        <w:t xml:space="preserve"> billion </w:t>
      </w:r>
      <w:r w:rsidR="004B3755">
        <w:rPr>
          <w:bCs/>
        </w:rPr>
        <w:t>if Vogtle 3 &amp; 4 w</w:t>
      </w:r>
      <w:r w:rsidR="00A24AAA">
        <w:rPr>
          <w:bCs/>
        </w:rPr>
        <w:t>ere</w:t>
      </w:r>
      <w:r w:rsidR="004B3755">
        <w:rPr>
          <w:bCs/>
        </w:rPr>
        <w:t xml:space="preserve"> cancelled</w:t>
      </w:r>
      <w:r w:rsidR="004C4BF8">
        <w:rPr>
          <w:bCs/>
        </w:rPr>
        <w:t>,</w:t>
      </w:r>
      <w:r w:rsidR="005C4178">
        <w:rPr>
          <w:rStyle w:val="FootnoteReference"/>
          <w:bCs/>
        </w:rPr>
        <w:footnoteReference w:id="11"/>
      </w:r>
    </w:p>
    <w:p w14:paraId="66E813F2" w14:textId="77777777" w:rsidR="008F4286" w:rsidRPr="005F0ECA" w:rsidRDefault="008F4286" w:rsidP="008F4286">
      <w:pPr>
        <w:pStyle w:val="ListParagraph"/>
        <w:numPr>
          <w:ilvl w:val="0"/>
          <w:numId w:val="45"/>
        </w:numPr>
        <w:spacing w:line="360" w:lineRule="auto"/>
        <w:rPr>
          <w:bCs/>
        </w:rPr>
      </w:pPr>
      <w:r>
        <w:rPr>
          <w:bCs/>
        </w:rPr>
        <w:t>R</w:t>
      </w:r>
      <w:r w:rsidRPr="001C0AFD">
        <w:rPr>
          <w:bCs/>
        </w:rPr>
        <w:t>el</w:t>
      </w:r>
      <w:r w:rsidR="00063332">
        <w:rPr>
          <w:bCs/>
        </w:rPr>
        <w:t>ied</w:t>
      </w:r>
      <w:r w:rsidRPr="001C0AFD">
        <w:rPr>
          <w:bCs/>
        </w:rPr>
        <w:t xml:space="preserve"> on a different interpretation of VCM Order</w:t>
      </w:r>
      <w:r w:rsidR="0079741D">
        <w:rPr>
          <w:bCs/>
        </w:rPr>
        <w:t xml:space="preserve"> 17 and the Supplemental Information Report (“SIR”) </w:t>
      </w:r>
      <w:r w:rsidR="0079741D" w:rsidRPr="007509D4">
        <w:rPr>
          <w:bCs/>
        </w:rPr>
        <w:t>Stipulation</w:t>
      </w:r>
      <w:r w:rsidRPr="001C0AFD">
        <w:rPr>
          <w:bCs/>
        </w:rPr>
        <w:t xml:space="preserve"> </w:t>
      </w:r>
      <w:r w:rsidRPr="005F0ECA">
        <w:rPr>
          <w:bCs/>
        </w:rPr>
        <w:t>that does not force ratepayers to pay costs that have not been determined to be pruden</w:t>
      </w:r>
      <w:r w:rsidR="00C400D4">
        <w:rPr>
          <w:bCs/>
        </w:rPr>
        <w:t>t,</w:t>
      </w:r>
    </w:p>
    <w:p w14:paraId="7052292A" w14:textId="77777777" w:rsidR="005F0ECA" w:rsidRPr="007B4195" w:rsidRDefault="005F0ECA" w:rsidP="008F4286">
      <w:pPr>
        <w:pStyle w:val="ListParagraph"/>
        <w:numPr>
          <w:ilvl w:val="0"/>
          <w:numId w:val="45"/>
        </w:numPr>
        <w:spacing w:line="360" w:lineRule="auto"/>
        <w:rPr>
          <w:bCs/>
        </w:rPr>
      </w:pPr>
      <w:r w:rsidRPr="007B4195">
        <w:rPr>
          <w:bCs/>
        </w:rPr>
        <w:t xml:space="preserve">Used a </w:t>
      </w:r>
      <w:r w:rsidR="002E744F" w:rsidRPr="007B4195">
        <w:rPr>
          <w:bCs/>
        </w:rPr>
        <w:t xml:space="preserve">revised set of </w:t>
      </w:r>
      <w:r w:rsidRPr="007B4195">
        <w:rPr>
          <w:bCs/>
        </w:rPr>
        <w:t>natural gas price forecast</w:t>
      </w:r>
      <w:r w:rsidR="002E744F" w:rsidRPr="007B4195">
        <w:rPr>
          <w:bCs/>
        </w:rPr>
        <w:t>s</w:t>
      </w:r>
      <w:r w:rsidR="00C400D4" w:rsidRPr="007B4195">
        <w:rPr>
          <w:bCs/>
        </w:rPr>
        <w:t>,</w:t>
      </w:r>
    </w:p>
    <w:p w14:paraId="1B0232EF" w14:textId="77777777" w:rsidR="002E744F" w:rsidRDefault="008F4286" w:rsidP="008F4286">
      <w:pPr>
        <w:pStyle w:val="ListParagraph"/>
        <w:numPr>
          <w:ilvl w:val="0"/>
          <w:numId w:val="45"/>
        </w:numPr>
        <w:spacing w:line="360" w:lineRule="auto"/>
        <w:rPr>
          <w:bCs/>
        </w:rPr>
      </w:pPr>
      <w:r>
        <w:rPr>
          <w:bCs/>
        </w:rPr>
        <w:t>U</w:t>
      </w:r>
      <w:r w:rsidRPr="001C0AFD">
        <w:rPr>
          <w:bCs/>
        </w:rPr>
        <w:t>s</w:t>
      </w:r>
      <w:r w:rsidR="00063332">
        <w:rPr>
          <w:bCs/>
        </w:rPr>
        <w:t>ed</w:t>
      </w:r>
      <w:r w:rsidRPr="001C0AFD">
        <w:rPr>
          <w:bCs/>
        </w:rPr>
        <w:t xml:space="preserve"> a </w:t>
      </w:r>
      <w:r w:rsidR="00864418">
        <w:rPr>
          <w:bCs/>
        </w:rPr>
        <w:t>revised</w:t>
      </w:r>
      <w:r w:rsidRPr="001C0AFD">
        <w:rPr>
          <w:bCs/>
        </w:rPr>
        <w:t xml:space="preserve"> </w:t>
      </w:r>
      <w:r w:rsidR="002E744F">
        <w:rPr>
          <w:bCs/>
        </w:rPr>
        <w:t xml:space="preserve">set of </w:t>
      </w:r>
      <w:r w:rsidR="005F0ECA">
        <w:rPr>
          <w:bCs/>
        </w:rPr>
        <w:t>Carbon Dioxide (“</w:t>
      </w:r>
      <w:r w:rsidR="00002B10">
        <w:rPr>
          <w:bCs/>
        </w:rPr>
        <w:t>C</w:t>
      </w:r>
      <w:r w:rsidR="00C400D4">
        <w:rPr>
          <w:bCs/>
        </w:rPr>
        <w:t>O</w:t>
      </w:r>
      <w:r w:rsidR="00C400D4" w:rsidRPr="00C400D4">
        <w:rPr>
          <w:bCs/>
          <w:vertAlign w:val="subscript"/>
        </w:rPr>
        <w:t>2</w:t>
      </w:r>
      <w:r w:rsidR="00C400D4">
        <w:rPr>
          <w:bCs/>
        </w:rPr>
        <w:t xml:space="preserve">”) </w:t>
      </w:r>
      <w:r w:rsidR="005F0ECA">
        <w:rPr>
          <w:bCs/>
        </w:rPr>
        <w:t>emission p</w:t>
      </w:r>
      <w:r w:rsidRPr="001C0AFD">
        <w:rPr>
          <w:bCs/>
        </w:rPr>
        <w:t xml:space="preserve">rice </w:t>
      </w:r>
      <w:r>
        <w:rPr>
          <w:bCs/>
        </w:rPr>
        <w:t>forecast</w:t>
      </w:r>
      <w:r w:rsidR="002E744F">
        <w:rPr>
          <w:bCs/>
        </w:rPr>
        <w:t>s</w:t>
      </w:r>
      <w:r w:rsidR="00C400D4">
        <w:rPr>
          <w:bCs/>
        </w:rPr>
        <w:t>, and;</w:t>
      </w:r>
    </w:p>
    <w:p w14:paraId="3E68CC46" w14:textId="50F5398E" w:rsidR="00C400D4" w:rsidRDefault="007F294C" w:rsidP="008F4286">
      <w:pPr>
        <w:pStyle w:val="ListParagraph"/>
        <w:numPr>
          <w:ilvl w:val="0"/>
          <w:numId w:val="45"/>
        </w:numPr>
        <w:spacing w:line="360" w:lineRule="auto"/>
        <w:rPr>
          <w:bCs/>
        </w:rPr>
      </w:pPr>
      <w:r>
        <w:rPr>
          <w:bCs/>
        </w:rPr>
        <w:t xml:space="preserve">Staff allowed Strategist the option of choosing </w:t>
      </w:r>
      <w:r w:rsidR="00454844">
        <w:rPr>
          <w:bCs/>
        </w:rPr>
        <w:t xml:space="preserve">the most economic </w:t>
      </w:r>
      <w:r w:rsidR="00C76D7C">
        <w:rPr>
          <w:bCs/>
        </w:rPr>
        <w:t>combined cycle</w:t>
      </w:r>
      <w:r w:rsidR="00454844">
        <w:rPr>
          <w:bCs/>
        </w:rPr>
        <w:t xml:space="preserve"> resource with or without carbon dioxide sequestration. Under certain circumstances, the Company required that any combined cycle resource added after a certain date </w:t>
      </w:r>
      <w:r w:rsidR="00F51FF2">
        <w:rPr>
          <w:bCs/>
        </w:rPr>
        <w:t xml:space="preserve">would need </w:t>
      </w:r>
      <w:r w:rsidR="00454844">
        <w:rPr>
          <w:bCs/>
        </w:rPr>
        <w:t xml:space="preserve">to </w:t>
      </w:r>
      <w:r w:rsidR="00F51FF2">
        <w:rPr>
          <w:bCs/>
        </w:rPr>
        <w:t>include c</w:t>
      </w:r>
      <w:r w:rsidR="00454844">
        <w:rPr>
          <w:bCs/>
        </w:rPr>
        <w:t>arbon sequestration capability</w:t>
      </w:r>
      <w:r>
        <w:rPr>
          <w:bCs/>
        </w:rPr>
        <w:t>.</w:t>
      </w:r>
    </w:p>
    <w:p w14:paraId="55715DEA" w14:textId="77777777" w:rsidR="001C0AFD" w:rsidRPr="001C0AFD" w:rsidRDefault="001C0AFD" w:rsidP="001C0AFD">
      <w:pPr>
        <w:pStyle w:val="ListParagraph"/>
        <w:spacing w:line="360" w:lineRule="auto"/>
        <w:ind w:left="1800"/>
        <w:rPr>
          <w:bCs/>
        </w:rPr>
      </w:pPr>
    </w:p>
    <w:p w14:paraId="792CB498" w14:textId="77777777" w:rsidR="00864418" w:rsidRDefault="00864418" w:rsidP="00864418">
      <w:pPr>
        <w:spacing w:after="240" w:line="360" w:lineRule="auto"/>
        <w:ind w:left="720" w:hanging="720"/>
        <w:rPr>
          <w:b/>
        </w:rPr>
      </w:pPr>
      <w:r w:rsidRPr="00BB6163">
        <w:rPr>
          <w:b/>
        </w:rPr>
        <w:t>Q.</w:t>
      </w:r>
      <w:r w:rsidRPr="00BB6163">
        <w:rPr>
          <w:b/>
        </w:rPr>
        <w:tab/>
      </w:r>
      <w:r>
        <w:rPr>
          <w:b/>
        </w:rPr>
        <w:t xml:space="preserve">DISCUSS THE CHANGE STAFF MADE TO THE COMPANY’S PRESENT VALUE DATE. </w:t>
      </w:r>
    </w:p>
    <w:p w14:paraId="43191C36" w14:textId="77777777" w:rsidR="00864418" w:rsidRDefault="00864418" w:rsidP="00864418">
      <w:pPr>
        <w:spacing w:after="240" w:line="360" w:lineRule="auto"/>
        <w:ind w:left="720" w:hanging="720"/>
        <w:rPr>
          <w:bCs/>
        </w:rPr>
      </w:pPr>
      <w:r>
        <w:rPr>
          <w:bCs/>
        </w:rPr>
        <w:t>A.</w:t>
      </w:r>
      <w:r>
        <w:rPr>
          <w:bCs/>
        </w:rPr>
        <w:tab/>
        <w:t xml:space="preserve">Staff used 2018 as the measurement date for present value calculations, rather than 2021.  As mentioned earlier, </w:t>
      </w:r>
      <w:r w:rsidR="002150A0">
        <w:rPr>
          <w:bCs/>
        </w:rPr>
        <w:t xml:space="preserve">using a common present value year </w:t>
      </w:r>
      <w:r>
        <w:rPr>
          <w:bCs/>
        </w:rPr>
        <w:t>allow</w:t>
      </w:r>
      <w:r w:rsidR="002150A0">
        <w:rPr>
          <w:bCs/>
        </w:rPr>
        <w:t>s</w:t>
      </w:r>
      <w:r>
        <w:rPr>
          <w:bCs/>
        </w:rPr>
        <w:t xml:space="preserve"> for consistency in evaluating past</w:t>
      </w:r>
      <w:r w:rsidR="00C05E8F">
        <w:rPr>
          <w:bCs/>
        </w:rPr>
        <w:t>, current,</w:t>
      </w:r>
      <w:r>
        <w:rPr>
          <w:bCs/>
        </w:rPr>
        <w:t xml:space="preserve"> and future economic evaluations</w:t>
      </w:r>
      <w:r w:rsidR="002150A0">
        <w:rPr>
          <w:bCs/>
        </w:rPr>
        <w:t xml:space="preserve">.  </w:t>
      </w:r>
    </w:p>
    <w:p w14:paraId="355C1A29" w14:textId="77777777" w:rsidR="00781CBA" w:rsidRPr="00BB080D" w:rsidRDefault="00781CBA" w:rsidP="00781CBA">
      <w:pPr>
        <w:spacing w:after="240" w:line="360" w:lineRule="auto"/>
        <w:ind w:left="720" w:hanging="720"/>
        <w:rPr>
          <w:b/>
        </w:rPr>
      </w:pPr>
      <w:r w:rsidRPr="00BB080D">
        <w:rPr>
          <w:b/>
        </w:rPr>
        <w:t>Q.</w:t>
      </w:r>
      <w:r w:rsidRPr="00BB080D">
        <w:rPr>
          <w:b/>
        </w:rPr>
        <w:tab/>
        <w:t xml:space="preserve">PLEASE EXPLAIN STAFF’S </w:t>
      </w:r>
      <w:r>
        <w:rPr>
          <w:b/>
        </w:rPr>
        <w:t xml:space="preserve">CONSIDERATION OF THE $366 MILLION IN </w:t>
      </w:r>
      <w:r>
        <w:rPr>
          <w:b/>
        </w:rPr>
        <w:lastRenderedPageBreak/>
        <w:t>CONTINGENCY AND HOW IT IS MODELED</w:t>
      </w:r>
      <w:r w:rsidRPr="00BB080D">
        <w:rPr>
          <w:b/>
        </w:rPr>
        <w:t>.</w:t>
      </w:r>
    </w:p>
    <w:p w14:paraId="296468DE" w14:textId="77777777" w:rsidR="00781CBA" w:rsidRDefault="00781CBA" w:rsidP="00781CBA">
      <w:pPr>
        <w:spacing w:after="240" w:line="360" w:lineRule="auto"/>
        <w:ind w:left="720" w:hanging="720"/>
        <w:rPr>
          <w:bCs/>
        </w:rPr>
      </w:pPr>
      <w:r>
        <w:rPr>
          <w:bCs/>
        </w:rPr>
        <w:t>A.</w:t>
      </w:r>
      <w:r>
        <w:rPr>
          <w:bCs/>
        </w:rPr>
        <w:tab/>
      </w:r>
      <w:r w:rsidR="00A24AAA">
        <w:rPr>
          <w:bCs/>
        </w:rPr>
        <w:t xml:space="preserve">As </w:t>
      </w:r>
      <w:r w:rsidR="002150A0">
        <w:rPr>
          <w:bCs/>
        </w:rPr>
        <w:t>discussed</w:t>
      </w:r>
      <w:r w:rsidR="00A24AAA">
        <w:rPr>
          <w:bCs/>
        </w:rPr>
        <w:t xml:space="preserve"> above,</w:t>
      </w:r>
      <w:r>
        <w:rPr>
          <w:bCs/>
        </w:rPr>
        <w:t xml:space="preserve"> Staff believes the </w:t>
      </w:r>
      <w:r w:rsidR="00A24AAA">
        <w:rPr>
          <w:bCs/>
        </w:rPr>
        <w:t xml:space="preserve">$366 million </w:t>
      </w:r>
      <w:r>
        <w:rPr>
          <w:bCs/>
        </w:rPr>
        <w:t>contingency</w:t>
      </w:r>
      <w:r w:rsidR="00A24AAA">
        <w:rPr>
          <w:bCs/>
        </w:rPr>
        <w:t xml:space="preserve"> amount</w:t>
      </w:r>
      <w:r>
        <w:rPr>
          <w:bCs/>
        </w:rPr>
        <w:t xml:space="preserve"> should be included in the economic evaluation</w:t>
      </w:r>
      <w:r w:rsidR="00A24AAA">
        <w:rPr>
          <w:bCs/>
        </w:rPr>
        <w:t xml:space="preserve">.  </w:t>
      </w:r>
      <w:r>
        <w:rPr>
          <w:bCs/>
        </w:rPr>
        <w:t xml:space="preserve">While Staff includes the contingency cost in its economic analysis, this should not be interpreted to mean that Staff believes customers </w:t>
      </w:r>
      <w:r w:rsidRPr="004352DB">
        <w:rPr>
          <w:bCs/>
        </w:rPr>
        <w:t xml:space="preserve">should be responsible for these costs.  </w:t>
      </w:r>
    </w:p>
    <w:p w14:paraId="0C17DB8D" w14:textId="77777777" w:rsidR="00226D98" w:rsidRDefault="00226D98" w:rsidP="00226D98">
      <w:pPr>
        <w:spacing w:after="240" w:line="360" w:lineRule="auto"/>
        <w:ind w:left="720" w:hanging="720"/>
        <w:rPr>
          <w:b/>
        </w:rPr>
      </w:pPr>
      <w:bookmarkStart w:id="15" w:name="_Hlk23943033"/>
      <w:r w:rsidRPr="00BB6163">
        <w:rPr>
          <w:b/>
        </w:rPr>
        <w:t>Q.</w:t>
      </w:r>
      <w:r w:rsidRPr="00BB6163">
        <w:rPr>
          <w:b/>
        </w:rPr>
        <w:tab/>
      </w:r>
      <w:r>
        <w:rPr>
          <w:b/>
        </w:rPr>
        <w:t xml:space="preserve">EXPLAIN THE CHANGES STAFF MADE TO ACCOUNT FOR THE </w:t>
      </w:r>
      <w:r w:rsidR="00E71355">
        <w:rPr>
          <w:b/>
        </w:rPr>
        <w:t xml:space="preserve">PROSPECTIVE </w:t>
      </w:r>
      <w:r>
        <w:rPr>
          <w:b/>
        </w:rPr>
        <w:t xml:space="preserve">INCREMENTAL </w:t>
      </w:r>
      <w:r w:rsidR="00E71355">
        <w:rPr>
          <w:b/>
        </w:rPr>
        <w:t xml:space="preserve">INCOME TAX </w:t>
      </w:r>
      <w:r>
        <w:rPr>
          <w:b/>
        </w:rPr>
        <w:t>IMPACTS OF SUNK COSTS.</w:t>
      </w:r>
    </w:p>
    <w:p w14:paraId="0A4E6DF8" w14:textId="77777777" w:rsidR="00C65D0B" w:rsidRDefault="00226D98" w:rsidP="00F955FB">
      <w:pPr>
        <w:spacing w:after="240" w:line="360" w:lineRule="auto"/>
        <w:ind w:left="720" w:hanging="720"/>
        <w:rPr>
          <w:bCs/>
        </w:rPr>
      </w:pPr>
      <w:r>
        <w:rPr>
          <w:bCs/>
        </w:rPr>
        <w:t>A.</w:t>
      </w:r>
      <w:r>
        <w:rPr>
          <w:bCs/>
        </w:rPr>
        <w:tab/>
        <w:t xml:space="preserve">Staff accounted for </w:t>
      </w:r>
      <w:r w:rsidR="001E15DC">
        <w:t xml:space="preserve">two important incremental impacts of sunk costs in </w:t>
      </w:r>
      <w:r>
        <w:t xml:space="preserve">its </w:t>
      </w:r>
      <w:r w:rsidR="001E15DC">
        <w:t xml:space="preserve">cost to complete </w:t>
      </w:r>
      <w:r w:rsidR="00864418">
        <w:t>analysis</w:t>
      </w:r>
      <w:r w:rsidR="001E15DC">
        <w:t xml:space="preserve">.  </w:t>
      </w:r>
      <w:r w:rsidR="00AE5541">
        <w:rPr>
          <w:bCs/>
        </w:rPr>
        <w:t xml:space="preserve">Staff </w:t>
      </w:r>
      <w:r w:rsidR="00776E9C">
        <w:rPr>
          <w:bCs/>
        </w:rPr>
        <w:t xml:space="preserve">properly captured </w:t>
      </w:r>
      <w:r w:rsidR="00221A26">
        <w:rPr>
          <w:bCs/>
        </w:rPr>
        <w:t xml:space="preserve">the impact of </w:t>
      </w:r>
      <w:r w:rsidR="00776E9C">
        <w:rPr>
          <w:bCs/>
        </w:rPr>
        <w:t>prospective income tax</w:t>
      </w:r>
      <w:r w:rsidR="00221A26">
        <w:rPr>
          <w:bCs/>
        </w:rPr>
        <w:t>es</w:t>
      </w:r>
      <w:r w:rsidR="00776E9C">
        <w:rPr>
          <w:bCs/>
        </w:rPr>
        <w:t xml:space="preserve"> stemming from</w:t>
      </w:r>
      <w:r w:rsidR="003C7E24">
        <w:rPr>
          <w:bCs/>
        </w:rPr>
        <w:t xml:space="preserve"> </w:t>
      </w:r>
      <w:r w:rsidR="00776E9C">
        <w:rPr>
          <w:bCs/>
        </w:rPr>
        <w:t xml:space="preserve">sunk </w:t>
      </w:r>
      <w:r w:rsidR="00221A26">
        <w:rPr>
          <w:bCs/>
        </w:rPr>
        <w:t>costs and</w:t>
      </w:r>
      <w:r w:rsidR="00776E9C">
        <w:rPr>
          <w:bCs/>
        </w:rPr>
        <w:t xml:space="preserve"> </w:t>
      </w:r>
      <w:r w:rsidR="005A7FA3">
        <w:rPr>
          <w:bCs/>
        </w:rPr>
        <w:t xml:space="preserve">modeled </w:t>
      </w:r>
      <w:r w:rsidR="00C65D0B">
        <w:rPr>
          <w:bCs/>
        </w:rPr>
        <w:t xml:space="preserve">the </w:t>
      </w:r>
      <w:r>
        <w:rPr>
          <w:bCs/>
        </w:rPr>
        <w:t>income tax write-off (savings) that Georgia Power would be entitled to</w:t>
      </w:r>
      <w:r w:rsidR="0044049C">
        <w:rPr>
          <w:bCs/>
        </w:rPr>
        <w:t xml:space="preserve"> </w:t>
      </w:r>
      <w:r w:rsidR="00221A26">
        <w:rPr>
          <w:bCs/>
        </w:rPr>
        <w:t>if the Project w</w:t>
      </w:r>
      <w:r w:rsidR="005627F1">
        <w:rPr>
          <w:bCs/>
        </w:rPr>
        <w:t>ere</w:t>
      </w:r>
      <w:r w:rsidR="00221A26">
        <w:rPr>
          <w:bCs/>
        </w:rPr>
        <w:t xml:space="preserve"> cancelled</w:t>
      </w:r>
      <w:r w:rsidR="005A7FA3">
        <w:rPr>
          <w:bCs/>
        </w:rPr>
        <w:t xml:space="preserve">.  </w:t>
      </w:r>
      <w:r w:rsidR="00F955FB">
        <w:rPr>
          <w:bCs/>
        </w:rPr>
        <w:t xml:space="preserve">Georgia Power on the other hand incorrectly assumes that this tax </w:t>
      </w:r>
      <w:r w:rsidR="002928D6">
        <w:rPr>
          <w:bCs/>
        </w:rPr>
        <w:t>benefit</w:t>
      </w:r>
      <w:r w:rsidR="00F955FB">
        <w:rPr>
          <w:bCs/>
        </w:rPr>
        <w:t xml:space="preserve"> </w:t>
      </w:r>
      <w:r w:rsidR="00553C94">
        <w:rPr>
          <w:bCs/>
        </w:rPr>
        <w:t>c</w:t>
      </w:r>
      <w:r w:rsidR="00F955FB">
        <w:rPr>
          <w:bCs/>
        </w:rPr>
        <w:t>an be ignored.</w:t>
      </w:r>
      <w:r w:rsidR="00405862">
        <w:rPr>
          <w:rStyle w:val="FootnoteReference"/>
        </w:rPr>
        <w:footnoteReference w:id="12"/>
      </w:r>
      <w:r w:rsidR="00405862">
        <w:t xml:space="preserve">  </w:t>
      </w:r>
    </w:p>
    <w:p w14:paraId="7DDD69FA" w14:textId="14985629" w:rsidR="007737CB" w:rsidRPr="00BB080D" w:rsidRDefault="007737CB" w:rsidP="007737CB">
      <w:pPr>
        <w:spacing w:after="240" w:line="360" w:lineRule="auto"/>
        <w:ind w:left="720" w:hanging="720"/>
        <w:rPr>
          <w:b/>
        </w:rPr>
      </w:pPr>
      <w:r w:rsidRPr="00BB080D">
        <w:rPr>
          <w:b/>
        </w:rPr>
        <w:t>Q.</w:t>
      </w:r>
      <w:r w:rsidRPr="00BB080D">
        <w:rPr>
          <w:b/>
        </w:rPr>
        <w:tab/>
      </w:r>
      <w:r w:rsidR="009E1E43">
        <w:rPr>
          <w:b/>
        </w:rPr>
        <w:t xml:space="preserve">DOES </w:t>
      </w:r>
      <w:r>
        <w:rPr>
          <w:b/>
        </w:rPr>
        <w:t>STAFF AND THE COMPANY DIFFER ON THE INITIAL RATEMAKING TREATMENT FOR UNIT 3 ONCE UNIT 3 IS PLACED INTO COMMERCIAL OPERATION?</w:t>
      </w:r>
    </w:p>
    <w:p w14:paraId="3237A670" w14:textId="7A08EC7A" w:rsidR="007737CB" w:rsidRDefault="007737CB" w:rsidP="007737CB">
      <w:pPr>
        <w:spacing w:after="240" w:line="360" w:lineRule="auto"/>
        <w:ind w:left="720" w:hanging="720"/>
        <w:rPr>
          <w:b/>
        </w:rPr>
      </w:pPr>
      <w:r>
        <w:rPr>
          <w:bCs/>
        </w:rPr>
        <w:t>A.</w:t>
      </w:r>
      <w:r>
        <w:rPr>
          <w:bCs/>
        </w:rPr>
        <w:tab/>
      </w:r>
      <w:r w:rsidR="00AC24CF">
        <w:rPr>
          <w:bCs/>
        </w:rPr>
        <w:t xml:space="preserve">Yes. </w:t>
      </w:r>
      <w:r>
        <w:rPr>
          <w:bCs/>
        </w:rPr>
        <w:t>Staff and the Company have differen</w:t>
      </w:r>
      <w:r w:rsidR="001C263B">
        <w:rPr>
          <w:bCs/>
        </w:rPr>
        <w:t>t</w:t>
      </w:r>
      <w:r>
        <w:rPr>
          <w:bCs/>
        </w:rPr>
        <w:t xml:space="preserve"> interpretations of the </w:t>
      </w:r>
      <w:r w:rsidR="00A33442">
        <w:rPr>
          <w:bCs/>
        </w:rPr>
        <w:t>17</w:t>
      </w:r>
      <w:r w:rsidR="00A33442" w:rsidRPr="00A33442">
        <w:rPr>
          <w:bCs/>
          <w:vertAlign w:val="superscript"/>
        </w:rPr>
        <w:t>th</w:t>
      </w:r>
      <w:r w:rsidR="00A33442">
        <w:rPr>
          <w:bCs/>
        </w:rPr>
        <w:t xml:space="preserve"> VCM Order and Supplemental Information Report (“SIR”) </w:t>
      </w:r>
      <w:r w:rsidR="00A33442" w:rsidRPr="007509D4">
        <w:rPr>
          <w:bCs/>
        </w:rPr>
        <w:t>Stipulation</w:t>
      </w:r>
      <w:r w:rsidR="00A33442">
        <w:rPr>
          <w:bCs/>
        </w:rPr>
        <w:t>.</w:t>
      </w:r>
    </w:p>
    <w:p w14:paraId="3869BA21" w14:textId="77777777" w:rsidR="00BB080D" w:rsidRPr="00BB080D" w:rsidRDefault="00BB080D" w:rsidP="00BB080D">
      <w:pPr>
        <w:spacing w:after="240" w:line="360" w:lineRule="auto"/>
        <w:ind w:left="720" w:hanging="720"/>
        <w:rPr>
          <w:b/>
        </w:rPr>
      </w:pPr>
      <w:r w:rsidRPr="00BB080D">
        <w:rPr>
          <w:b/>
        </w:rPr>
        <w:t>Q.</w:t>
      </w:r>
      <w:r w:rsidRPr="00BB080D">
        <w:rPr>
          <w:b/>
        </w:rPr>
        <w:tab/>
        <w:t>PLEASE EXPLAIN STAFF’S INTERPRETATION OF THE 17</w:t>
      </w:r>
      <w:r w:rsidRPr="00BB080D">
        <w:rPr>
          <w:b/>
          <w:vertAlign w:val="superscript"/>
        </w:rPr>
        <w:t>th</w:t>
      </w:r>
      <w:r w:rsidRPr="00BB080D">
        <w:rPr>
          <w:b/>
        </w:rPr>
        <w:t xml:space="preserve"> VCM ORDER.</w:t>
      </w:r>
    </w:p>
    <w:p w14:paraId="4B1657AF" w14:textId="77777777" w:rsidR="001C0A87" w:rsidRDefault="007509D4" w:rsidP="007509D4">
      <w:pPr>
        <w:spacing w:after="240" w:line="360" w:lineRule="auto"/>
        <w:ind w:left="720" w:hanging="720"/>
        <w:rPr>
          <w:bCs/>
        </w:rPr>
      </w:pPr>
      <w:r>
        <w:rPr>
          <w:bCs/>
        </w:rPr>
        <w:t>A.</w:t>
      </w:r>
      <w:r>
        <w:rPr>
          <w:bCs/>
        </w:rPr>
        <w:tab/>
      </w:r>
      <w:r w:rsidR="00D50F73">
        <w:rPr>
          <w:bCs/>
        </w:rPr>
        <w:t xml:space="preserve">Both Staff’s and the Company’s economic analyses assume </w:t>
      </w:r>
      <w:r w:rsidR="007A1F92">
        <w:rPr>
          <w:bCs/>
        </w:rPr>
        <w:t>a portion</w:t>
      </w:r>
      <w:r w:rsidR="00D50F73">
        <w:rPr>
          <w:bCs/>
        </w:rPr>
        <w:t xml:space="preserve"> of Unit 3 </w:t>
      </w:r>
      <w:r w:rsidR="007A1F92">
        <w:rPr>
          <w:bCs/>
        </w:rPr>
        <w:t xml:space="preserve">and common </w:t>
      </w:r>
      <w:r w:rsidR="00C3245D">
        <w:rPr>
          <w:bCs/>
        </w:rPr>
        <w:t xml:space="preserve">capital </w:t>
      </w:r>
      <w:r w:rsidR="007A1F92">
        <w:rPr>
          <w:bCs/>
        </w:rPr>
        <w:t>cost</w:t>
      </w:r>
      <w:r w:rsidR="00893256">
        <w:rPr>
          <w:bCs/>
        </w:rPr>
        <w:t>s</w:t>
      </w:r>
      <w:r w:rsidR="007A1F92">
        <w:rPr>
          <w:bCs/>
        </w:rPr>
        <w:t xml:space="preserve"> should be</w:t>
      </w:r>
      <w:r w:rsidR="00C3245D">
        <w:rPr>
          <w:bCs/>
        </w:rPr>
        <w:t xml:space="preserve"> </w:t>
      </w:r>
      <w:r w:rsidR="007A1F92">
        <w:rPr>
          <w:bCs/>
        </w:rPr>
        <w:t xml:space="preserve">placed in rate base </w:t>
      </w:r>
      <w:r w:rsidR="00C3245D">
        <w:rPr>
          <w:bCs/>
        </w:rPr>
        <w:t xml:space="preserve">and reflected in rates in the first month </w:t>
      </w:r>
      <w:r w:rsidR="00C3245D">
        <w:rPr>
          <w:bCs/>
        </w:rPr>
        <w:lastRenderedPageBreak/>
        <w:t xml:space="preserve">after </w:t>
      </w:r>
      <w:r w:rsidR="00930B36">
        <w:rPr>
          <w:bCs/>
        </w:rPr>
        <w:t xml:space="preserve">the </w:t>
      </w:r>
      <w:r w:rsidR="00C3245D">
        <w:rPr>
          <w:bCs/>
        </w:rPr>
        <w:t>Unit 3 COD.</w:t>
      </w:r>
      <w:r w:rsidR="00D50F73">
        <w:rPr>
          <w:bCs/>
        </w:rPr>
        <w:t xml:space="preserve">  But, they differ on the </w:t>
      </w:r>
      <w:r w:rsidR="00196B33">
        <w:rPr>
          <w:bCs/>
        </w:rPr>
        <w:t xml:space="preserve">exact </w:t>
      </w:r>
      <w:r w:rsidR="00D50F73">
        <w:rPr>
          <w:bCs/>
        </w:rPr>
        <w:t>amount</w:t>
      </w:r>
      <w:r w:rsidR="00196B33">
        <w:rPr>
          <w:bCs/>
        </w:rPr>
        <w:t>s</w:t>
      </w:r>
      <w:r w:rsidR="00D50F73">
        <w:rPr>
          <w:bCs/>
        </w:rPr>
        <w:t xml:space="preserve">.  </w:t>
      </w:r>
      <w:r w:rsidR="00533DCD">
        <w:rPr>
          <w:bCs/>
        </w:rPr>
        <w:t xml:space="preserve">As Staff described in </w:t>
      </w:r>
      <w:r w:rsidR="002B187F">
        <w:rPr>
          <w:bCs/>
        </w:rPr>
        <w:t xml:space="preserve">its </w:t>
      </w:r>
      <w:r w:rsidR="00533DCD">
        <w:rPr>
          <w:bCs/>
        </w:rPr>
        <w:t>VCM</w:t>
      </w:r>
      <w:r w:rsidR="002B187F">
        <w:rPr>
          <w:bCs/>
        </w:rPr>
        <w:t xml:space="preserve"> 18 and 19 testimon</w:t>
      </w:r>
      <w:r w:rsidR="001C263B">
        <w:rPr>
          <w:bCs/>
        </w:rPr>
        <w:t>ies</w:t>
      </w:r>
      <w:r w:rsidR="00533DCD">
        <w:rPr>
          <w:bCs/>
        </w:rPr>
        <w:t>, t</w:t>
      </w:r>
      <w:r w:rsidRPr="007509D4">
        <w:rPr>
          <w:bCs/>
        </w:rPr>
        <w:t xml:space="preserve">he </w:t>
      </w:r>
      <w:r w:rsidR="00D2072A">
        <w:rPr>
          <w:bCs/>
        </w:rPr>
        <w:t xml:space="preserve">SIR </w:t>
      </w:r>
      <w:r w:rsidRPr="007509D4">
        <w:rPr>
          <w:bCs/>
        </w:rPr>
        <w:t xml:space="preserve">Stipulation </w:t>
      </w:r>
      <w:r w:rsidR="001C0A87">
        <w:rPr>
          <w:bCs/>
        </w:rPr>
        <w:t xml:space="preserve">provided that </w:t>
      </w:r>
      <w:r w:rsidR="004C5B3E">
        <w:rPr>
          <w:bCs/>
        </w:rPr>
        <w:t xml:space="preserve">capital </w:t>
      </w:r>
      <w:r w:rsidRPr="007509D4">
        <w:rPr>
          <w:bCs/>
        </w:rPr>
        <w:t xml:space="preserve">costs </w:t>
      </w:r>
      <w:r w:rsidR="001C0A87">
        <w:rPr>
          <w:bCs/>
        </w:rPr>
        <w:t xml:space="preserve">verified and approved </w:t>
      </w:r>
      <w:r w:rsidRPr="007509D4">
        <w:rPr>
          <w:bCs/>
        </w:rPr>
        <w:t>through December 2015</w:t>
      </w:r>
      <w:r w:rsidR="001C0A87" w:rsidRPr="001C0A87">
        <w:rPr>
          <w:bCs/>
        </w:rPr>
        <w:t xml:space="preserve"> </w:t>
      </w:r>
      <w:r w:rsidR="001C0A87">
        <w:rPr>
          <w:bCs/>
        </w:rPr>
        <w:t>would be deemed prudent</w:t>
      </w:r>
      <w:r w:rsidR="005967BC">
        <w:rPr>
          <w:bCs/>
        </w:rPr>
        <w:t xml:space="preserve"> except under special circumstances</w:t>
      </w:r>
      <w:r w:rsidR="001C0A87">
        <w:rPr>
          <w:bCs/>
        </w:rPr>
        <w:t>.  The SIR Stipulation also</w:t>
      </w:r>
      <w:r w:rsidR="007940EE">
        <w:rPr>
          <w:bCs/>
        </w:rPr>
        <w:t xml:space="preserve"> </w:t>
      </w:r>
      <w:r w:rsidR="005967BC">
        <w:rPr>
          <w:bCs/>
        </w:rPr>
        <w:t>provided</w:t>
      </w:r>
      <w:r w:rsidRPr="007509D4">
        <w:rPr>
          <w:bCs/>
        </w:rPr>
        <w:t xml:space="preserve"> that the</w:t>
      </w:r>
      <w:r w:rsidR="002B187F">
        <w:rPr>
          <w:bCs/>
        </w:rPr>
        <w:t xml:space="preserve"> Vogtle Units </w:t>
      </w:r>
      <w:r w:rsidRPr="007509D4">
        <w:rPr>
          <w:bCs/>
        </w:rPr>
        <w:t>3 and 4</w:t>
      </w:r>
      <w:r w:rsidR="002B187F">
        <w:rPr>
          <w:bCs/>
        </w:rPr>
        <w:t xml:space="preserve"> costs</w:t>
      </w:r>
      <w:r w:rsidRPr="007509D4">
        <w:rPr>
          <w:bCs/>
        </w:rPr>
        <w:t xml:space="preserve"> </w:t>
      </w:r>
      <w:r w:rsidR="004C5B3E">
        <w:rPr>
          <w:bCs/>
        </w:rPr>
        <w:t>would be placed in retail rate base</w:t>
      </w:r>
      <w:r w:rsidR="00466C69">
        <w:rPr>
          <w:bCs/>
        </w:rPr>
        <w:t xml:space="preserve"> </w:t>
      </w:r>
      <w:r w:rsidR="0079741D">
        <w:rPr>
          <w:bCs/>
        </w:rPr>
        <w:t>on</w:t>
      </w:r>
      <w:r w:rsidR="00466C69">
        <w:rPr>
          <w:bCs/>
        </w:rPr>
        <w:t xml:space="preserve"> the la</w:t>
      </w:r>
      <w:r w:rsidR="0079741D">
        <w:rPr>
          <w:bCs/>
        </w:rPr>
        <w:t>t</w:t>
      </w:r>
      <w:r w:rsidR="00466C69">
        <w:rPr>
          <w:bCs/>
        </w:rPr>
        <w:t xml:space="preserve">ter of either </w:t>
      </w:r>
      <w:r w:rsidR="005967BC">
        <w:rPr>
          <w:bCs/>
        </w:rPr>
        <w:t xml:space="preserve">December 31, 2020, or </w:t>
      </w:r>
      <w:r w:rsidR="00466C69">
        <w:rPr>
          <w:bCs/>
        </w:rPr>
        <w:t xml:space="preserve">Unit 4 </w:t>
      </w:r>
      <w:r w:rsidR="005967BC">
        <w:rPr>
          <w:bCs/>
        </w:rPr>
        <w:t>reaching commercial operation</w:t>
      </w:r>
      <w:r w:rsidR="00466C69">
        <w:rPr>
          <w:bCs/>
        </w:rPr>
        <w:t xml:space="preserve">.  </w:t>
      </w:r>
    </w:p>
    <w:p w14:paraId="332EAA4B" w14:textId="77777777" w:rsidR="007509D4" w:rsidRPr="007509D4" w:rsidRDefault="007509D4" w:rsidP="00E30DEC">
      <w:pPr>
        <w:spacing w:after="240" w:line="360" w:lineRule="auto"/>
        <w:ind w:left="720"/>
        <w:rPr>
          <w:bCs/>
        </w:rPr>
      </w:pPr>
      <w:r w:rsidRPr="007509D4">
        <w:rPr>
          <w:bCs/>
        </w:rPr>
        <w:t>The Commission’s 17</w:t>
      </w:r>
      <w:r w:rsidRPr="007509D4">
        <w:rPr>
          <w:bCs/>
          <w:vertAlign w:val="superscript"/>
        </w:rPr>
        <w:t>th</w:t>
      </w:r>
      <w:r w:rsidRPr="007509D4">
        <w:rPr>
          <w:bCs/>
        </w:rPr>
        <w:t xml:space="preserve"> VCM </w:t>
      </w:r>
      <w:r w:rsidR="00CD2A95">
        <w:rPr>
          <w:bCs/>
        </w:rPr>
        <w:t>Order</w:t>
      </w:r>
      <w:r w:rsidRPr="007509D4">
        <w:rPr>
          <w:bCs/>
        </w:rPr>
        <w:t xml:space="preserve"> </w:t>
      </w:r>
      <w:r w:rsidR="004C5B3E">
        <w:rPr>
          <w:bCs/>
        </w:rPr>
        <w:t>modified</w:t>
      </w:r>
      <w:r w:rsidR="004C5B3E" w:rsidRPr="007509D4">
        <w:rPr>
          <w:bCs/>
        </w:rPr>
        <w:t xml:space="preserve"> </w:t>
      </w:r>
      <w:r w:rsidRPr="007509D4">
        <w:rPr>
          <w:bCs/>
        </w:rPr>
        <w:t xml:space="preserve">the treatment of </w:t>
      </w:r>
      <w:r w:rsidR="00882D2A">
        <w:rPr>
          <w:bCs/>
        </w:rPr>
        <w:t>a</w:t>
      </w:r>
      <w:r w:rsidR="005967BC">
        <w:rPr>
          <w:bCs/>
        </w:rPr>
        <w:t xml:space="preserve"> portion of the </w:t>
      </w:r>
      <w:r w:rsidR="001C0A87">
        <w:rPr>
          <w:bCs/>
        </w:rPr>
        <w:t>Unit 3 and common costs</w:t>
      </w:r>
      <w:r w:rsidR="00A302E8">
        <w:rPr>
          <w:bCs/>
        </w:rPr>
        <w:t>. Unit 3 and common costs</w:t>
      </w:r>
      <w:r w:rsidR="00882D2A">
        <w:rPr>
          <w:bCs/>
        </w:rPr>
        <w:t xml:space="preserve"> that had been verified and approved</w:t>
      </w:r>
      <w:r w:rsidRPr="007509D4">
        <w:rPr>
          <w:bCs/>
        </w:rPr>
        <w:t xml:space="preserve"> </w:t>
      </w:r>
      <w:r w:rsidR="00A302E8">
        <w:rPr>
          <w:bCs/>
        </w:rPr>
        <w:t xml:space="preserve">through </w:t>
      </w:r>
      <w:r w:rsidRPr="007509D4">
        <w:rPr>
          <w:bCs/>
        </w:rPr>
        <w:t>December 2015</w:t>
      </w:r>
      <w:r w:rsidR="00882D2A">
        <w:rPr>
          <w:bCs/>
        </w:rPr>
        <w:t xml:space="preserve"> could now go into base rates </w:t>
      </w:r>
      <w:r w:rsidR="00FD4C4E">
        <w:rPr>
          <w:bCs/>
        </w:rPr>
        <w:t>after Unit 3 goes into commercial operation</w:t>
      </w:r>
      <w:r w:rsidR="00882D2A">
        <w:rPr>
          <w:bCs/>
        </w:rPr>
        <w:t>.</w:t>
      </w:r>
      <w:r w:rsidRPr="007509D4">
        <w:rPr>
          <w:bCs/>
        </w:rPr>
        <w:t xml:space="preserve"> </w:t>
      </w:r>
      <w:r w:rsidR="001C0A87">
        <w:rPr>
          <w:bCs/>
        </w:rPr>
        <w:t>O</w:t>
      </w:r>
      <w:r w:rsidR="00501D63">
        <w:rPr>
          <w:bCs/>
        </w:rPr>
        <w:t>n page 18</w:t>
      </w:r>
      <w:r w:rsidR="001C0A87">
        <w:rPr>
          <w:bCs/>
        </w:rPr>
        <w:t>, the 17</w:t>
      </w:r>
      <w:r w:rsidR="001C0A87" w:rsidRPr="00E30DEC">
        <w:rPr>
          <w:bCs/>
          <w:vertAlign w:val="superscript"/>
        </w:rPr>
        <w:t>th</w:t>
      </w:r>
      <w:r w:rsidR="001C0A87">
        <w:rPr>
          <w:bCs/>
        </w:rPr>
        <w:t xml:space="preserve"> VCM Order</w:t>
      </w:r>
      <w:r w:rsidR="00B445BC">
        <w:rPr>
          <w:bCs/>
        </w:rPr>
        <w:t xml:space="preserve"> state</w:t>
      </w:r>
      <w:r w:rsidR="00501D63">
        <w:rPr>
          <w:bCs/>
        </w:rPr>
        <w:t>s</w:t>
      </w:r>
      <w:r w:rsidRPr="007509D4">
        <w:rPr>
          <w:bCs/>
        </w:rPr>
        <w:t>:</w:t>
      </w:r>
    </w:p>
    <w:p w14:paraId="2047D14B" w14:textId="77777777" w:rsidR="007509D4" w:rsidRDefault="007509D4" w:rsidP="007509D4">
      <w:pPr>
        <w:spacing w:after="240"/>
        <w:ind w:left="1440"/>
        <w:rPr>
          <w:bCs/>
        </w:rPr>
      </w:pPr>
      <w:r w:rsidRPr="007509D4">
        <w:rPr>
          <w:b/>
          <w:bCs/>
        </w:rPr>
        <w:t>ORDERED FURTHER</w:t>
      </w:r>
      <w:r w:rsidRPr="007509D4">
        <w:rPr>
          <w:bCs/>
        </w:rPr>
        <w:t>, that effective the first month after Unit 3 is in Commercial Operation, which is expected to be in November 2021, retail base rates shall be adjusted to include the costs related to Unit 3 and common facilities deemed prudent in the January 3, 2017 Stipulation.  This rate adjustment will be effective the first month after Unit 3 is in commercial operation.</w:t>
      </w:r>
    </w:p>
    <w:p w14:paraId="7E35001C" w14:textId="5EA39018" w:rsidR="00882D2A" w:rsidRDefault="00FD4C4E" w:rsidP="00221A26">
      <w:pPr>
        <w:spacing w:after="240" w:line="360" w:lineRule="auto"/>
        <w:ind w:left="720"/>
        <w:rPr>
          <w:bCs/>
        </w:rPr>
      </w:pPr>
      <w:r>
        <w:rPr>
          <w:bCs/>
        </w:rPr>
        <w:t>All the remaining Unit 3 costs</w:t>
      </w:r>
      <w:r w:rsidR="00A302E8">
        <w:rPr>
          <w:bCs/>
        </w:rPr>
        <w:t xml:space="preserve"> (as well as all the Unit 4 costs)</w:t>
      </w:r>
      <w:r>
        <w:rPr>
          <w:bCs/>
        </w:rPr>
        <w:t xml:space="preserve"> would continue to stay out of base rates</w:t>
      </w:r>
      <w:r w:rsidR="00A302E8">
        <w:rPr>
          <w:bCs/>
        </w:rPr>
        <w:t xml:space="preserve"> until after Unit 4 </w:t>
      </w:r>
      <w:r w:rsidR="009E1E43">
        <w:rPr>
          <w:bCs/>
        </w:rPr>
        <w:t xml:space="preserve">is </w:t>
      </w:r>
      <w:r>
        <w:rPr>
          <w:bCs/>
        </w:rPr>
        <w:t>in commercial operation.  Again</w:t>
      </w:r>
      <w:r w:rsidR="002C00AE">
        <w:rPr>
          <w:bCs/>
        </w:rPr>
        <w:t>,</w:t>
      </w:r>
      <w:r>
        <w:rPr>
          <w:bCs/>
        </w:rPr>
        <w:t xml:space="preserve"> from</w:t>
      </w:r>
      <w:r w:rsidR="00882D2A">
        <w:rPr>
          <w:bCs/>
        </w:rPr>
        <w:t xml:space="preserve"> page 18</w:t>
      </w:r>
      <w:r>
        <w:rPr>
          <w:bCs/>
        </w:rPr>
        <w:t xml:space="preserve"> of</w:t>
      </w:r>
      <w:r w:rsidR="00882D2A">
        <w:rPr>
          <w:bCs/>
        </w:rPr>
        <w:t xml:space="preserve"> the 17</w:t>
      </w:r>
      <w:r w:rsidR="00882D2A" w:rsidRPr="00575596">
        <w:rPr>
          <w:bCs/>
          <w:vertAlign w:val="superscript"/>
        </w:rPr>
        <w:t>th</w:t>
      </w:r>
      <w:r w:rsidR="00882D2A">
        <w:rPr>
          <w:bCs/>
        </w:rPr>
        <w:t xml:space="preserve"> VCM Order</w:t>
      </w:r>
      <w:r w:rsidR="00882D2A" w:rsidRPr="007509D4">
        <w:rPr>
          <w:bCs/>
        </w:rPr>
        <w:t>:</w:t>
      </w:r>
    </w:p>
    <w:p w14:paraId="52523884" w14:textId="77777777" w:rsidR="00E061D6" w:rsidRDefault="00E061D6" w:rsidP="00E30DEC">
      <w:pPr>
        <w:ind w:left="1440"/>
      </w:pPr>
      <w:r>
        <w:rPr>
          <w:b/>
        </w:rPr>
        <w:t xml:space="preserve">ORDERED FURTHER, </w:t>
      </w:r>
      <w:r>
        <w:t xml:space="preserve">that once the </w:t>
      </w:r>
      <w:r w:rsidRPr="0053472C">
        <w:t>fuel load of Unit 4</w:t>
      </w:r>
      <w:r>
        <w:t xml:space="preserve"> is reached</w:t>
      </w:r>
      <w:r w:rsidRPr="0053472C">
        <w:t xml:space="preserve">, the Company may make a filing with the Commission to determine the adjustment to retail base rates necessary to include </w:t>
      </w:r>
      <w:r w:rsidRPr="00E30DEC">
        <w:rPr>
          <w:u w:val="single"/>
        </w:rPr>
        <w:t xml:space="preserve">the remaining amounts of Units 3 </w:t>
      </w:r>
      <w:r w:rsidRPr="0053472C">
        <w:t xml:space="preserve">and 4 into retail base rates.  </w:t>
      </w:r>
      <w:r w:rsidRPr="00E30DEC">
        <w:rPr>
          <w:u w:val="single"/>
        </w:rPr>
        <w:t>During this review, the Commission will determine the remaining issues pertaining to prudence of Unit 3</w:t>
      </w:r>
      <w:r w:rsidRPr="0053472C">
        <w:t xml:space="preserve"> and 4 costs.  Such rate adjustment will be effective the first month after Unit 4 is Commercially Operational.</w:t>
      </w:r>
    </w:p>
    <w:p w14:paraId="374F1405" w14:textId="77777777" w:rsidR="00FD4C4E" w:rsidRDefault="00FD4C4E" w:rsidP="007F148F">
      <w:pPr>
        <w:spacing w:after="240" w:line="360" w:lineRule="auto"/>
        <w:ind w:left="720" w:firstLine="720"/>
        <w:rPr>
          <w:bCs/>
        </w:rPr>
      </w:pPr>
      <w:r>
        <w:rPr>
          <w:bCs/>
        </w:rPr>
        <w:t>(Emphasis added).</w:t>
      </w:r>
    </w:p>
    <w:p w14:paraId="6FBFC527" w14:textId="77777777" w:rsidR="0099770E" w:rsidRDefault="001C0A87" w:rsidP="00533DCD">
      <w:pPr>
        <w:spacing w:after="240" w:line="360" w:lineRule="auto"/>
        <w:ind w:left="720"/>
        <w:rPr>
          <w:bCs/>
        </w:rPr>
      </w:pPr>
      <w:r w:rsidRPr="001C0A87">
        <w:rPr>
          <w:bCs/>
        </w:rPr>
        <w:t>The 17</w:t>
      </w:r>
      <w:r w:rsidRPr="001C0A87">
        <w:rPr>
          <w:bCs/>
          <w:vertAlign w:val="superscript"/>
        </w:rPr>
        <w:t>th</w:t>
      </w:r>
      <w:r w:rsidRPr="001C0A87">
        <w:rPr>
          <w:bCs/>
        </w:rPr>
        <w:t xml:space="preserve"> VCM Order </w:t>
      </w:r>
      <w:r>
        <w:rPr>
          <w:bCs/>
        </w:rPr>
        <w:t>further</w:t>
      </w:r>
      <w:r w:rsidRPr="001C0A87">
        <w:rPr>
          <w:bCs/>
        </w:rPr>
        <w:t xml:space="preserve"> states that </w:t>
      </w:r>
      <w:bookmarkStart w:id="17" w:name="_Hlk23945197"/>
      <w:r w:rsidRPr="001C0A87">
        <w:rPr>
          <w:bCs/>
        </w:rPr>
        <w:t xml:space="preserve">“[t]he balance of the proceeds received from Toshiba, net of the Company’s costs to obtain that payment and net of the costs of providing … customer credits, will be applied to the CWIP balance.” </w:t>
      </w:r>
      <w:r w:rsidR="00942C7B">
        <w:rPr>
          <w:bCs/>
        </w:rPr>
        <w:t xml:space="preserve"> </w:t>
      </w:r>
      <w:bookmarkEnd w:id="17"/>
      <w:r w:rsidRPr="001C0A87">
        <w:rPr>
          <w:bCs/>
        </w:rPr>
        <w:t xml:space="preserve">The CWIP balance </w:t>
      </w:r>
      <w:r w:rsidRPr="001C0A87">
        <w:rPr>
          <w:bCs/>
        </w:rPr>
        <w:lastRenderedPageBreak/>
        <w:t xml:space="preserve">contains </w:t>
      </w:r>
      <w:r w:rsidR="00A302E8">
        <w:rPr>
          <w:bCs/>
        </w:rPr>
        <w:t>only</w:t>
      </w:r>
      <w:r w:rsidRPr="001C0A87">
        <w:rPr>
          <w:bCs/>
        </w:rPr>
        <w:t xml:space="preserve"> costs</w:t>
      </w:r>
      <w:r w:rsidR="00A302E8">
        <w:rPr>
          <w:bCs/>
        </w:rPr>
        <w:t xml:space="preserve"> already incurred by the Company. </w:t>
      </w:r>
      <w:r w:rsidR="002C00AE">
        <w:rPr>
          <w:bCs/>
        </w:rPr>
        <w:t xml:space="preserve"> </w:t>
      </w:r>
      <w:r w:rsidR="00A302E8">
        <w:rPr>
          <w:bCs/>
        </w:rPr>
        <w:t>It does not contain</w:t>
      </w:r>
      <w:r w:rsidR="00A06C22">
        <w:rPr>
          <w:bCs/>
        </w:rPr>
        <w:t xml:space="preserve"> any</w:t>
      </w:r>
      <w:r w:rsidRPr="001C0A87">
        <w:rPr>
          <w:bCs/>
        </w:rPr>
        <w:t xml:space="preserve"> future costs</w:t>
      </w:r>
      <w:r>
        <w:rPr>
          <w:bCs/>
        </w:rPr>
        <w:t xml:space="preserve">.  </w:t>
      </w:r>
      <w:r w:rsidR="00200D2A">
        <w:rPr>
          <w:bCs/>
        </w:rPr>
        <w:t>And o</w:t>
      </w:r>
      <w:r w:rsidR="00A06C22">
        <w:rPr>
          <w:bCs/>
        </w:rPr>
        <w:t xml:space="preserve">nly some </w:t>
      </w:r>
      <w:r>
        <w:rPr>
          <w:bCs/>
        </w:rPr>
        <w:t xml:space="preserve">of </w:t>
      </w:r>
      <w:r w:rsidR="00A06C22">
        <w:rPr>
          <w:bCs/>
        </w:rPr>
        <w:t>the</w:t>
      </w:r>
      <w:r>
        <w:rPr>
          <w:bCs/>
        </w:rPr>
        <w:t xml:space="preserve"> costs</w:t>
      </w:r>
      <w:r w:rsidR="00A06C22">
        <w:rPr>
          <w:bCs/>
        </w:rPr>
        <w:t xml:space="preserve"> in CWIP</w:t>
      </w:r>
      <w:r>
        <w:rPr>
          <w:bCs/>
        </w:rPr>
        <w:t xml:space="preserve"> have</w:t>
      </w:r>
      <w:r w:rsidRPr="001C0A87">
        <w:rPr>
          <w:bCs/>
        </w:rPr>
        <w:t xml:space="preserve"> been </w:t>
      </w:r>
      <w:r w:rsidRPr="007218A5">
        <w:rPr>
          <w:bCs/>
        </w:rPr>
        <w:t>deemed prudent.</w:t>
      </w:r>
      <w:r w:rsidRPr="007218A5">
        <w:rPr>
          <w:bCs/>
          <w:vertAlign w:val="superscript"/>
        </w:rPr>
        <w:footnoteReference w:id="13"/>
      </w:r>
      <w:r w:rsidRPr="007218A5">
        <w:rPr>
          <w:bCs/>
        </w:rPr>
        <w:t xml:space="preserve">  </w:t>
      </w:r>
      <w:r w:rsidR="00C3245D" w:rsidRPr="007218A5">
        <w:rPr>
          <w:bCs/>
        </w:rPr>
        <w:t xml:space="preserve">It is Staff’s position </w:t>
      </w:r>
      <w:r w:rsidR="009A1CC3" w:rsidRPr="007218A5">
        <w:rPr>
          <w:bCs/>
        </w:rPr>
        <w:t xml:space="preserve">that </w:t>
      </w:r>
      <w:r w:rsidR="00C3245D" w:rsidRPr="007218A5">
        <w:rPr>
          <w:bCs/>
        </w:rPr>
        <w:t xml:space="preserve">the Toshiba Parental Guarantee </w:t>
      </w:r>
      <w:r w:rsidR="009A1CC3" w:rsidRPr="007218A5">
        <w:rPr>
          <w:bCs/>
        </w:rPr>
        <w:t xml:space="preserve">(“TPG”) </w:t>
      </w:r>
      <w:r w:rsidR="00C3245D" w:rsidRPr="007218A5">
        <w:rPr>
          <w:bCs/>
        </w:rPr>
        <w:t>funds can only be applied to offset costs that have been deemed prudent by the Commission.</w:t>
      </w:r>
      <w:r w:rsidRPr="007218A5">
        <w:rPr>
          <w:bCs/>
          <w:vertAlign w:val="superscript"/>
        </w:rPr>
        <w:t xml:space="preserve"> </w:t>
      </w:r>
      <w:r w:rsidRPr="007218A5">
        <w:rPr>
          <w:bCs/>
          <w:vertAlign w:val="superscript"/>
        </w:rPr>
        <w:footnoteReference w:id="14"/>
      </w:r>
      <w:r w:rsidR="00501D63" w:rsidRPr="007218A5">
        <w:rPr>
          <w:bCs/>
        </w:rPr>
        <w:t xml:space="preserve"> </w:t>
      </w:r>
      <w:r w:rsidR="00C3245D" w:rsidRPr="007218A5">
        <w:rPr>
          <w:bCs/>
        </w:rPr>
        <w:t xml:space="preserve"> </w:t>
      </w:r>
      <w:r w:rsidRPr="007218A5">
        <w:rPr>
          <w:bCs/>
        </w:rPr>
        <w:t>Otherwise, ratepayers</w:t>
      </w:r>
      <w:r>
        <w:rPr>
          <w:bCs/>
        </w:rPr>
        <w:t xml:space="preserve"> may be paying costs which the Commission has not yet, and may never, find to be prudent. </w:t>
      </w:r>
      <w:r w:rsidR="00C3245D">
        <w:rPr>
          <w:bCs/>
        </w:rPr>
        <w:t>Therefore, the</w:t>
      </w:r>
      <w:r w:rsidR="009A1CC3">
        <w:rPr>
          <w:bCs/>
        </w:rPr>
        <w:t xml:space="preserve"> TPG </w:t>
      </w:r>
      <w:r w:rsidR="00C3245D">
        <w:rPr>
          <w:bCs/>
        </w:rPr>
        <w:t>funds can only be applied to the $3.5 billion deemed prudent in the SIR stipulation.</w:t>
      </w:r>
    </w:p>
    <w:p w14:paraId="2AFB51FF" w14:textId="77777777" w:rsidR="00446312" w:rsidRPr="00BB080D" w:rsidRDefault="00446312" w:rsidP="00446312">
      <w:pPr>
        <w:spacing w:after="240" w:line="360" w:lineRule="auto"/>
        <w:ind w:left="720" w:hanging="720"/>
        <w:rPr>
          <w:b/>
        </w:rPr>
      </w:pPr>
      <w:r w:rsidRPr="00BB080D">
        <w:rPr>
          <w:b/>
        </w:rPr>
        <w:t>Q.</w:t>
      </w:r>
      <w:r w:rsidRPr="00BB080D">
        <w:rPr>
          <w:b/>
        </w:rPr>
        <w:tab/>
      </w:r>
      <w:r>
        <w:rPr>
          <w:b/>
        </w:rPr>
        <w:t>HOW DOES THIS DIFFERENCE IN INTERPRETATION IMPACT THE AMOUNT OF UNIT 3 AND COMMON COSTS THAT GO INTO BASE RATES WHEN UNIT 3 IS COMPLETED?</w:t>
      </w:r>
    </w:p>
    <w:p w14:paraId="06855B9D" w14:textId="77777777" w:rsidR="00FD0F09" w:rsidRDefault="00446312" w:rsidP="000171FF">
      <w:pPr>
        <w:spacing w:after="240" w:line="360" w:lineRule="auto"/>
        <w:ind w:left="720" w:hanging="720"/>
        <w:rPr>
          <w:bCs/>
        </w:rPr>
      </w:pPr>
      <w:r w:rsidRPr="00F90655">
        <w:rPr>
          <w:bCs/>
        </w:rPr>
        <w:t>A.</w:t>
      </w:r>
      <w:r w:rsidRPr="00F90655">
        <w:rPr>
          <w:bCs/>
        </w:rPr>
        <w:tab/>
      </w:r>
      <w:bookmarkStart w:id="21" w:name="_Hlk23955055"/>
      <w:r w:rsidR="00C3245D" w:rsidRPr="00F90655">
        <w:rPr>
          <w:bCs/>
        </w:rPr>
        <w:t xml:space="preserve">Based on this interpretation of the SIR stipulation and </w:t>
      </w:r>
      <w:r w:rsidR="00235701">
        <w:rPr>
          <w:bCs/>
        </w:rPr>
        <w:t xml:space="preserve">the </w:t>
      </w:r>
      <w:r w:rsidR="00C3245D" w:rsidRPr="00F90655">
        <w:rPr>
          <w:bCs/>
        </w:rPr>
        <w:t xml:space="preserve">VCM </w:t>
      </w:r>
      <w:r w:rsidR="00235701">
        <w:rPr>
          <w:bCs/>
        </w:rPr>
        <w:t xml:space="preserve">17 </w:t>
      </w:r>
      <w:r w:rsidR="00C3245D" w:rsidRPr="00F90655">
        <w:rPr>
          <w:bCs/>
        </w:rPr>
        <w:t>Order</w:t>
      </w:r>
      <w:r w:rsidR="00A32E71" w:rsidRPr="00F90655">
        <w:rPr>
          <w:bCs/>
        </w:rPr>
        <w:t xml:space="preserve"> </w:t>
      </w:r>
      <w:r w:rsidR="007509D4" w:rsidRPr="00F90655">
        <w:rPr>
          <w:bCs/>
        </w:rPr>
        <w:t xml:space="preserve">Staff </w:t>
      </w:r>
      <w:r w:rsidR="00BD06A5" w:rsidRPr="00F90655">
        <w:rPr>
          <w:bCs/>
        </w:rPr>
        <w:t xml:space="preserve">determined </w:t>
      </w:r>
      <w:r w:rsidR="007509D4" w:rsidRPr="00F90655">
        <w:rPr>
          <w:bCs/>
        </w:rPr>
        <w:t>that the Company should be allowed to place $1.</w:t>
      </w:r>
      <w:r w:rsidR="0041152C" w:rsidRPr="00F90655">
        <w:rPr>
          <w:bCs/>
        </w:rPr>
        <w:t>1</w:t>
      </w:r>
      <w:r w:rsidR="00D70AB8" w:rsidRPr="00F90655">
        <w:rPr>
          <w:bCs/>
        </w:rPr>
        <w:t>3</w:t>
      </w:r>
      <w:r w:rsidR="007509D4" w:rsidRPr="00F90655">
        <w:rPr>
          <w:bCs/>
        </w:rPr>
        <w:t xml:space="preserve"> billion of U</w:t>
      </w:r>
      <w:r w:rsidR="004C5B3E" w:rsidRPr="00F90655">
        <w:rPr>
          <w:bCs/>
        </w:rPr>
        <w:t xml:space="preserve">nit </w:t>
      </w:r>
      <w:r w:rsidR="007509D4" w:rsidRPr="00F90655">
        <w:rPr>
          <w:bCs/>
        </w:rPr>
        <w:t xml:space="preserve">3 </w:t>
      </w:r>
      <w:r w:rsidR="006627A6" w:rsidRPr="00F90655">
        <w:rPr>
          <w:bCs/>
        </w:rPr>
        <w:t xml:space="preserve">Capital </w:t>
      </w:r>
      <w:r w:rsidR="007509D4" w:rsidRPr="00F90655">
        <w:rPr>
          <w:bCs/>
        </w:rPr>
        <w:t xml:space="preserve">and Common </w:t>
      </w:r>
      <w:r w:rsidR="00A32E71" w:rsidRPr="00F90655">
        <w:rPr>
          <w:bCs/>
        </w:rPr>
        <w:t xml:space="preserve">capital cost </w:t>
      </w:r>
      <w:r w:rsidR="007509D4" w:rsidRPr="00F90655">
        <w:rPr>
          <w:bCs/>
        </w:rPr>
        <w:t xml:space="preserve">into rate base the month following commercial operation, whereas the Company </w:t>
      </w:r>
      <w:r w:rsidR="00BD06A5" w:rsidRPr="00F90655">
        <w:rPr>
          <w:bCs/>
        </w:rPr>
        <w:t xml:space="preserve">determined </w:t>
      </w:r>
      <w:r w:rsidR="006627A6" w:rsidRPr="00F90655">
        <w:rPr>
          <w:bCs/>
        </w:rPr>
        <w:t>that it should be allowed to place</w:t>
      </w:r>
      <w:r w:rsidR="00F8558C" w:rsidRPr="00F90655">
        <w:rPr>
          <w:bCs/>
        </w:rPr>
        <w:t xml:space="preserve"> </w:t>
      </w:r>
      <w:r w:rsidR="007509D4" w:rsidRPr="00F90655">
        <w:rPr>
          <w:bCs/>
        </w:rPr>
        <w:t>$2.</w:t>
      </w:r>
      <w:r w:rsidR="007D672E" w:rsidRPr="00F90655">
        <w:rPr>
          <w:bCs/>
        </w:rPr>
        <w:t>3</w:t>
      </w:r>
      <w:r w:rsidR="004C5B3E" w:rsidRPr="00F90655">
        <w:rPr>
          <w:bCs/>
        </w:rPr>
        <w:t xml:space="preserve">4 </w:t>
      </w:r>
      <w:r w:rsidR="007509D4" w:rsidRPr="00F90655">
        <w:rPr>
          <w:bCs/>
        </w:rPr>
        <w:t>billion</w:t>
      </w:r>
      <w:r w:rsidR="006627A6" w:rsidRPr="00F90655">
        <w:rPr>
          <w:bCs/>
        </w:rPr>
        <w:t xml:space="preserve"> into rate base at that time</w:t>
      </w:r>
      <w:r w:rsidR="007509D4" w:rsidRPr="00F90655">
        <w:rPr>
          <w:bCs/>
        </w:rPr>
        <w:t>.</w:t>
      </w:r>
      <w:r w:rsidR="007509D4" w:rsidRPr="00F90655">
        <w:rPr>
          <w:rStyle w:val="FootnoteReference"/>
          <w:bCs/>
        </w:rPr>
        <w:footnoteReference w:id="15"/>
      </w:r>
      <w:r w:rsidR="007509D4" w:rsidRPr="00F90655">
        <w:rPr>
          <w:bCs/>
        </w:rPr>
        <w:t xml:space="preserve">  </w:t>
      </w:r>
      <w:r w:rsidR="00A32E71" w:rsidRPr="00F90655">
        <w:rPr>
          <w:bCs/>
        </w:rPr>
        <w:t>Additional</w:t>
      </w:r>
      <w:r w:rsidR="007252C2" w:rsidRPr="00F90655">
        <w:rPr>
          <w:bCs/>
        </w:rPr>
        <w:t>ly,</w:t>
      </w:r>
      <w:r w:rsidR="00A32E71" w:rsidRPr="00F90655">
        <w:rPr>
          <w:bCs/>
        </w:rPr>
        <w:t xml:space="preserve"> </w:t>
      </w:r>
      <w:r w:rsidR="00FD0F09" w:rsidRPr="00F90655">
        <w:rPr>
          <w:bCs/>
        </w:rPr>
        <w:t xml:space="preserve">Staff assumed that </w:t>
      </w:r>
      <w:r w:rsidR="00A32E71" w:rsidRPr="00F90655">
        <w:rPr>
          <w:bCs/>
        </w:rPr>
        <w:t xml:space="preserve">capital </w:t>
      </w:r>
      <w:r w:rsidR="00FD0F09" w:rsidRPr="00F90655">
        <w:rPr>
          <w:bCs/>
        </w:rPr>
        <w:t xml:space="preserve">costs placed into rate base the month after Unit 3 is completed should be taken </w:t>
      </w:r>
      <w:r w:rsidR="008E66CA" w:rsidRPr="00F90655">
        <w:rPr>
          <w:bCs/>
        </w:rPr>
        <w:t xml:space="preserve">entirely </w:t>
      </w:r>
      <w:r w:rsidR="00FD0F09" w:rsidRPr="00F90655">
        <w:rPr>
          <w:bCs/>
        </w:rPr>
        <w:t xml:space="preserve">from the capital costs underlying the NCCR tariff to match how these capital costs are financed.  </w:t>
      </w:r>
      <w:r w:rsidR="000171FF" w:rsidRPr="00F90655">
        <w:rPr>
          <w:bCs/>
        </w:rPr>
        <w:t>This contrasts to the Company’s interpretation that assumes Unit 3 costs put into rate base would be partly</w:t>
      </w:r>
      <w:r w:rsidR="000171FF" w:rsidRPr="001B49B5">
        <w:rPr>
          <w:bCs/>
        </w:rPr>
        <w:t xml:space="preserve"> taken from </w:t>
      </w:r>
      <w:bookmarkStart w:id="23" w:name="_Hlk23955702"/>
      <w:bookmarkEnd w:id="21"/>
      <w:r w:rsidR="000171FF" w:rsidRPr="001B49B5">
        <w:rPr>
          <w:bCs/>
        </w:rPr>
        <w:lastRenderedPageBreak/>
        <w:t xml:space="preserve">AFUDC </w:t>
      </w:r>
      <w:r w:rsidR="000171FF">
        <w:rPr>
          <w:bCs/>
        </w:rPr>
        <w:t>instead of exclusively</w:t>
      </w:r>
      <w:r w:rsidR="000171FF" w:rsidRPr="001B49B5">
        <w:rPr>
          <w:bCs/>
        </w:rPr>
        <w:t xml:space="preserve"> from NCCR, which results in more costs remaining to be recovered through the NCCR Tariff at the same time that base</w:t>
      </w:r>
      <w:r w:rsidR="00ED6BB2">
        <w:rPr>
          <w:bCs/>
        </w:rPr>
        <w:t xml:space="preserve"> rates</w:t>
      </w:r>
      <w:r w:rsidR="000171FF" w:rsidRPr="001B49B5">
        <w:rPr>
          <w:bCs/>
        </w:rPr>
        <w:t xml:space="preserve"> </w:t>
      </w:r>
      <w:r w:rsidR="00ED6BB2">
        <w:rPr>
          <w:bCs/>
        </w:rPr>
        <w:t xml:space="preserve">are </w:t>
      </w:r>
      <w:r w:rsidR="000171FF" w:rsidRPr="001B49B5">
        <w:rPr>
          <w:bCs/>
        </w:rPr>
        <w:t>adjusted.</w:t>
      </w:r>
      <w:r w:rsidR="007169F9">
        <w:rPr>
          <w:bCs/>
        </w:rPr>
        <w:t xml:space="preserve"> </w:t>
      </w:r>
      <w:r w:rsidR="00A8286E">
        <w:rPr>
          <w:bCs/>
        </w:rPr>
        <w:t xml:space="preserve">  </w:t>
      </w:r>
    </w:p>
    <w:bookmarkEnd w:id="23"/>
    <w:p w14:paraId="45183D73" w14:textId="77777777" w:rsidR="00446312" w:rsidRPr="00BB080D" w:rsidRDefault="00446312" w:rsidP="00446312">
      <w:pPr>
        <w:spacing w:after="240" w:line="360" w:lineRule="auto"/>
        <w:ind w:left="720" w:hanging="720"/>
        <w:rPr>
          <w:b/>
        </w:rPr>
      </w:pPr>
      <w:r w:rsidRPr="00BB080D">
        <w:rPr>
          <w:b/>
        </w:rPr>
        <w:t>Q.</w:t>
      </w:r>
      <w:r w:rsidRPr="00BB080D">
        <w:rPr>
          <w:b/>
        </w:rPr>
        <w:tab/>
      </w:r>
      <w:r>
        <w:rPr>
          <w:b/>
        </w:rPr>
        <w:t>ARE THERE ANY OTHER DIFFERENCES</w:t>
      </w:r>
      <w:r w:rsidR="00A8130C">
        <w:rPr>
          <w:b/>
        </w:rPr>
        <w:t xml:space="preserve"> IN HOW STAFF AND THE COMPANY TREAT COSTS RELATING TO UNIT 3</w:t>
      </w:r>
      <w:r>
        <w:rPr>
          <w:b/>
        </w:rPr>
        <w:t>?</w:t>
      </w:r>
    </w:p>
    <w:p w14:paraId="4DFA2D15" w14:textId="77777777" w:rsidR="00A566E9" w:rsidRDefault="00446312" w:rsidP="00926A0E">
      <w:pPr>
        <w:spacing w:after="240" w:line="360" w:lineRule="auto"/>
        <w:ind w:left="720" w:hanging="720"/>
        <w:rPr>
          <w:bCs/>
        </w:rPr>
      </w:pPr>
      <w:r>
        <w:rPr>
          <w:bCs/>
        </w:rPr>
        <w:t>A.</w:t>
      </w:r>
      <w:r>
        <w:rPr>
          <w:bCs/>
        </w:rPr>
        <w:tab/>
      </w:r>
      <w:bookmarkStart w:id="24" w:name="_Hlk23955905"/>
      <w:r w:rsidR="00A566E9" w:rsidRPr="007509D4">
        <w:rPr>
          <w:bCs/>
        </w:rPr>
        <w:t xml:space="preserve">Staff has also determined that depreciation on the Unit 3 </w:t>
      </w:r>
      <w:r w:rsidR="00A566E9">
        <w:rPr>
          <w:bCs/>
        </w:rPr>
        <w:t xml:space="preserve">and Common </w:t>
      </w:r>
      <w:r w:rsidR="00A566E9" w:rsidRPr="007509D4">
        <w:rPr>
          <w:bCs/>
        </w:rPr>
        <w:t xml:space="preserve">amounts not placed into </w:t>
      </w:r>
      <w:r w:rsidR="00A566E9">
        <w:rPr>
          <w:bCs/>
        </w:rPr>
        <w:t>rate base upon Unit 3 completion should</w:t>
      </w:r>
      <w:r w:rsidR="00A566E9" w:rsidRPr="007509D4">
        <w:rPr>
          <w:bCs/>
        </w:rPr>
        <w:t xml:space="preserve"> be assigned to the Company</w:t>
      </w:r>
      <w:r w:rsidR="002A5C0C">
        <w:rPr>
          <w:bCs/>
        </w:rPr>
        <w:t xml:space="preserve">.  Likewise, </w:t>
      </w:r>
      <w:r w:rsidR="00A566E9">
        <w:rPr>
          <w:bCs/>
        </w:rPr>
        <w:t>O&amp;M</w:t>
      </w:r>
      <w:r w:rsidR="00A566E9" w:rsidRPr="007509D4">
        <w:rPr>
          <w:bCs/>
        </w:rPr>
        <w:t xml:space="preserve"> and </w:t>
      </w:r>
      <w:r w:rsidR="00A566E9">
        <w:rPr>
          <w:bCs/>
        </w:rPr>
        <w:t>d</w:t>
      </w:r>
      <w:r w:rsidR="00A566E9" w:rsidRPr="007509D4">
        <w:rPr>
          <w:bCs/>
        </w:rPr>
        <w:t>ecommissioning expenses</w:t>
      </w:r>
      <w:r w:rsidR="002A5C0C">
        <w:rPr>
          <w:bCs/>
        </w:rPr>
        <w:t xml:space="preserve"> should not be charged to customers </w:t>
      </w:r>
      <w:r w:rsidR="00A566E9">
        <w:rPr>
          <w:bCs/>
        </w:rPr>
        <w:t xml:space="preserve">until Unit 4 is complete and the Project </w:t>
      </w:r>
      <w:r w:rsidR="00476B77">
        <w:rPr>
          <w:bCs/>
        </w:rPr>
        <w:t>has been</w:t>
      </w:r>
      <w:r w:rsidR="00A566E9">
        <w:rPr>
          <w:bCs/>
        </w:rPr>
        <w:t xml:space="preserve"> reviewed</w:t>
      </w:r>
      <w:r w:rsidR="00A566E9" w:rsidRPr="007509D4">
        <w:rPr>
          <w:bCs/>
        </w:rPr>
        <w:t>.</w:t>
      </w:r>
      <w:r w:rsidR="00A566E9" w:rsidRPr="00A441A6">
        <w:rPr>
          <w:bCs/>
          <w:vertAlign w:val="superscript"/>
        </w:rPr>
        <w:footnoteReference w:id="16"/>
      </w:r>
      <w:r w:rsidR="00A566E9" w:rsidRPr="007509D4">
        <w:rPr>
          <w:bCs/>
        </w:rPr>
        <w:t xml:space="preserve">  </w:t>
      </w:r>
      <w:bookmarkStart w:id="26" w:name="_Hlk23956196"/>
      <w:bookmarkEnd w:id="24"/>
      <w:r w:rsidR="00A566E9" w:rsidRPr="007509D4">
        <w:rPr>
          <w:bCs/>
        </w:rPr>
        <w:t xml:space="preserve">Financing costs on the Unit 3 </w:t>
      </w:r>
      <w:r w:rsidR="00A566E9">
        <w:rPr>
          <w:bCs/>
        </w:rPr>
        <w:t xml:space="preserve">capital </w:t>
      </w:r>
      <w:r w:rsidR="00A566E9" w:rsidRPr="007509D4">
        <w:rPr>
          <w:bCs/>
        </w:rPr>
        <w:t xml:space="preserve">balance not put into </w:t>
      </w:r>
      <w:r w:rsidR="00A566E9">
        <w:rPr>
          <w:bCs/>
        </w:rPr>
        <w:t>rate base</w:t>
      </w:r>
      <w:r w:rsidR="00A566E9" w:rsidRPr="007509D4">
        <w:rPr>
          <w:bCs/>
        </w:rPr>
        <w:t xml:space="preserve"> would </w:t>
      </w:r>
      <w:r w:rsidR="00A566E9">
        <w:rPr>
          <w:bCs/>
        </w:rPr>
        <w:t xml:space="preserve">continue </w:t>
      </w:r>
      <w:r w:rsidR="00A566E9" w:rsidRPr="007509D4">
        <w:rPr>
          <w:bCs/>
        </w:rPr>
        <w:t xml:space="preserve">to be recovered, through </w:t>
      </w:r>
      <w:r w:rsidR="00A566E9">
        <w:rPr>
          <w:bCs/>
        </w:rPr>
        <w:t xml:space="preserve">either the </w:t>
      </w:r>
      <w:r w:rsidR="00A566E9" w:rsidRPr="007509D4">
        <w:rPr>
          <w:bCs/>
        </w:rPr>
        <w:t>NCCR</w:t>
      </w:r>
      <w:r w:rsidR="00A566E9">
        <w:rPr>
          <w:bCs/>
        </w:rPr>
        <w:t xml:space="preserve"> tariff or capitalized through AFUDC accounting, at the reduced ROE rates</w:t>
      </w:r>
      <w:r w:rsidR="00A566E9" w:rsidRPr="008A7D5C">
        <w:rPr>
          <w:bCs/>
        </w:rPr>
        <w:t xml:space="preserve"> </w:t>
      </w:r>
      <w:r w:rsidR="00A566E9">
        <w:rPr>
          <w:bCs/>
        </w:rPr>
        <w:t xml:space="preserve">consistent with </w:t>
      </w:r>
      <w:r w:rsidR="00B11F2F">
        <w:rPr>
          <w:bCs/>
        </w:rPr>
        <w:t xml:space="preserve">the </w:t>
      </w:r>
      <w:r w:rsidR="00A566E9">
        <w:rPr>
          <w:bCs/>
        </w:rPr>
        <w:t xml:space="preserve">SIR stipulation and </w:t>
      </w:r>
      <w:r w:rsidR="00B11F2F">
        <w:rPr>
          <w:bCs/>
        </w:rPr>
        <w:t xml:space="preserve">the </w:t>
      </w:r>
      <w:r w:rsidR="00A566E9">
        <w:rPr>
          <w:bCs/>
        </w:rPr>
        <w:t>17</w:t>
      </w:r>
      <w:r w:rsidR="00A566E9" w:rsidRPr="00D554FC">
        <w:rPr>
          <w:bCs/>
          <w:vertAlign w:val="superscript"/>
        </w:rPr>
        <w:t>th</w:t>
      </w:r>
      <w:r w:rsidR="00A566E9">
        <w:rPr>
          <w:bCs/>
        </w:rPr>
        <w:t xml:space="preserve"> VCM Order.  </w:t>
      </w:r>
    </w:p>
    <w:p w14:paraId="11A06356" w14:textId="77777777" w:rsidR="00FD0F09" w:rsidRDefault="00A8583C" w:rsidP="00FD0F09">
      <w:pPr>
        <w:spacing w:after="240" w:line="360" w:lineRule="auto"/>
        <w:ind w:left="720"/>
        <w:rPr>
          <w:bCs/>
        </w:rPr>
      </w:pPr>
      <w:r>
        <w:rPr>
          <w:bCs/>
        </w:rPr>
        <w:t xml:space="preserve">It is important to note that Staff’s interpretation reduces the </w:t>
      </w:r>
      <w:r w:rsidR="009C1C31">
        <w:rPr>
          <w:bCs/>
        </w:rPr>
        <w:t xml:space="preserve">Project’s </w:t>
      </w:r>
      <w:r>
        <w:rPr>
          <w:bCs/>
        </w:rPr>
        <w:t>revenue requirement</w:t>
      </w:r>
      <w:r w:rsidR="009C1C31">
        <w:rPr>
          <w:bCs/>
        </w:rPr>
        <w:t>s</w:t>
      </w:r>
      <w:r>
        <w:rPr>
          <w:bCs/>
        </w:rPr>
        <w:t xml:space="preserve"> and therefore, increases the economic value of the Project</w:t>
      </w:r>
      <w:r w:rsidR="009C1C31">
        <w:rPr>
          <w:bCs/>
        </w:rPr>
        <w:t xml:space="preserve"> to customers.  </w:t>
      </w:r>
    </w:p>
    <w:bookmarkEnd w:id="26"/>
    <w:p w14:paraId="510F9283" w14:textId="349A2F27" w:rsidR="00A33442" w:rsidRDefault="00A33442" w:rsidP="00A33442">
      <w:pPr>
        <w:spacing w:after="240" w:line="360" w:lineRule="auto"/>
        <w:ind w:left="720" w:hanging="720"/>
        <w:rPr>
          <w:b/>
        </w:rPr>
      </w:pPr>
      <w:r w:rsidRPr="00BB6163">
        <w:rPr>
          <w:b/>
        </w:rPr>
        <w:t>Q.</w:t>
      </w:r>
      <w:r w:rsidRPr="00BB6163">
        <w:rPr>
          <w:b/>
        </w:rPr>
        <w:tab/>
      </w:r>
      <w:r>
        <w:rPr>
          <w:b/>
        </w:rPr>
        <w:t>WHAT IS THE FINA</w:t>
      </w:r>
      <w:r w:rsidR="007B21D6">
        <w:rPr>
          <w:b/>
        </w:rPr>
        <w:t>N</w:t>
      </w:r>
      <w:r>
        <w:rPr>
          <w:b/>
        </w:rPr>
        <w:t xml:space="preserve">CIAL IMPACT ON RATEPAYERS OF STAFF’S AND THE COMPANY’S </w:t>
      </w:r>
      <w:r w:rsidR="00055669">
        <w:rPr>
          <w:b/>
        </w:rPr>
        <w:t>DIFFEREN</w:t>
      </w:r>
      <w:r w:rsidR="00396FCC">
        <w:rPr>
          <w:b/>
        </w:rPr>
        <w:t>T</w:t>
      </w:r>
      <w:r w:rsidR="00055669">
        <w:rPr>
          <w:b/>
        </w:rPr>
        <w:t xml:space="preserve"> </w:t>
      </w:r>
      <w:r>
        <w:rPr>
          <w:b/>
        </w:rPr>
        <w:t>INTERPRETATION</w:t>
      </w:r>
      <w:r w:rsidR="00055669">
        <w:rPr>
          <w:b/>
        </w:rPr>
        <w:t>S</w:t>
      </w:r>
      <w:r>
        <w:rPr>
          <w:b/>
        </w:rPr>
        <w:t xml:space="preserve"> OF THE 17</w:t>
      </w:r>
      <w:r w:rsidRPr="00055669">
        <w:rPr>
          <w:b/>
          <w:vertAlign w:val="superscript"/>
        </w:rPr>
        <w:t>th</w:t>
      </w:r>
      <w:r>
        <w:rPr>
          <w:b/>
        </w:rPr>
        <w:t xml:space="preserve"> VCM AND SIR STIPULATION</w:t>
      </w:r>
      <w:r w:rsidR="00055669">
        <w:rPr>
          <w:b/>
        </w:rPr>
        <w:t>?</w:t>
      </w:r>
    </w:p>
    <w:p w14:paraId="5D74953D" w14:textId="77777777" w:rsidR="00A33442" w:rsidRDefault="00A33442" w:rsidP="00A33442">
      <w:pPr>
        <w:spacing w:after="240" w:line="360" w:lineRule="auto"/>
        <w:ind w:left="720" w:hanging="720"/>
        <w:rPr>
          <w:b/>
        </w:rPr>
      </w:pPr>
      <w:r>
        <w:rPr>
          <w:bCs/>
        </w:rPr>
        <w:t>A.</w:t>
      </w:r>
      <w:r>
        <w:rPr>
          <w:bCs/>
        </w:rPr>
        <w:tab/>
      </w:r>
      <w:r w:rsidR="00055669">
        <w:rPr>
          <w:bCs/>
        </w:rPr>
        <w:t xml:space="preserve">The revenue requirement collected from ratepayers under base rates during the first year </w:t>
      </w:r>
      <w:r w:rsidR="00055669">
        <w:rPr>
          <w:bCs/>
        </w:rPr>
        <w:lastRenderedPageBreak/>
        <w:t xml:space="preserve">of Unit 3 commercial operation would be materially different. Under Staff’s </w:t>
      </w:r>
      <w:r w:rsidR="00055669" w:rsidRPr="00226804">
        <w:rPr>
          <w:bCs/>
        </w:rPr>
        <w:t xml:space="preserve">interpretation the base rate revenue requirement would be </w:t>
      </w:r>
      <w:r w:rsidR="00942C7B" w:rsidRPr="00226804">
        <w:rPr>
          <w:bCs/>
        </w:rPr>
        <w:t xml:space="preserve">approximately </w:t>
      </w:r>
      <w:r w:rsidR="00055669" w:rsidRPr="00226804">
        <w:rPr>
          <w:bCs/>
        </w:rPr>
        <w:t>$</w:t>
      </w:r>
      <w:r w:rsidR="0037154C" w:rsidRPr="00226804">
        <w:rPr>
          <w:bCs/>
        </w:rPr>
        <w:t>45</w:t>
      </w:r>
      <w:r w:rsidR="00942C7B" w:rsidRPr="00226804">
        <w:rPr>
          <w:bCs/>
        </w:rPr>
        <w:t>0</w:t>
      </w:r>
      <w:r w:rsidR="00055669" w:rsidRPr="00226804">
        <w:rPr>
          <w:bCs/>
        </w:rPr>
        <w:t xml:space="preserve"> million. Under the Company’s interpretation the base rate revenue requirement would be </w:t>
      </w:r>
      <w:r w:rsidR="00942C7B" w:rsidRPr="00226804">
        <w:rPr>
          <w:bCs/>
        </w:rPr>
        <w:t xml:space="preserve">approximately </w:t>
      </w:r>
      <w:r w:rsidR="00055669" w:rsidRPr="00226804">
        <w:rPr>
          <w:bCs/>
        </w:rPr>
        <w:t>$</w:t>
      </w:r>
      <w:r w:rsidR="00942C7B" w:rsidRPr="00226804">
        <w:rPr>
          <w:bCs/>
        </w:rPr>
        <w:t>700</w:t>
      </w:r>
      <w:r w:rsidR="00055669" w:rsidRPr="00226804">
        <w:rPr>
          <w:bCs/>
        </w:rPr>
        <w:t xml:space="preserve"> million.</w:t>
      </w:r>
      <w:r w:rsidR="00942C7B" w:rsidRPr="00226804">
        <w:rPr>
          <w:rStyle w:val="FootnoteReference"/>
          <w:bCs/>
        </w:rPr>
        <w:footnoteReference w:id="17"/>
      </w:r>
      <w:r w:rsidR="00942C7B" w:rsidRPr="00226804">
        <w:rPr>
          <w:bCs/>
        </w:rPr>
        <w:t xml:space="preserve"> </w:t>
      </w:r>
      <w:r w:rsidR="00055669" w:rsidRPr="00226804">
        <w:rPr>
          <w:bCs/>
        </w:rPr>
        <w:t xml:space="preserve"> Ratepayer bills would be lower by </w:t>
      </w:r>
      <w:r w:rsidR="00942C7B" w:rsidRPr="00226804">
        <w:rPr>
          <w:bCs/>
        </w:rPr>
        <w:t>approximately $2</w:t>
      </w:r>
      <w:r w:rsidR="0037154C" w:rsidRPr="00226804">
        <w:rPr>
          <w:bCs/>
        </w:rPr>
        <w:t>5</w:t>
      </w:r>
      <w:r w:rsidR="00942C7B" w:rsidRPr="00226804">
        <w:rPr>
          <w:bCs/>
        </w:rPr>
        <w:t xml:space="preserve">0 </w:t>
      </w:r>
      <w:r w:rsidR="00055669" w:rsidRPr="00226804">
        <w:rPr>
          <w:bCs/>
        </w:rPr>
        <w:t>million under Staff’s interpretation</w:t>
      </w:r>
      <w:r w:rsidR="00942C7B" w:rsidRPr="00226804">
        <w:rPr>
          <w:bCs/>
        </w:rPr>
        <w:t xml:space="preserve"> during the year between the Unit 3 and Unit 4 COD dates</w:t>
      </w:r>
      <w:r w:rsidR="00055669" w:rsidRPr="00226804">
        <w:rPr>
          <w:bCs/>
        </w:rPr>
        <w:t xml:space="preserve">. </w:t>
      </w:r>
      <w:r w:rsidR="00942C7B" w:rsidRPr="00226804">
        <w:rPr>
          <w:bCs/>
        </w:rPr>
        <w:t xml:space="preserve"> </w:t>
      </w:r>
      <w:r w:rsidR="00055669" w:rsidRPr="00226804">
        <w:rPr>
          <w:bCs/>
        </w:rPr>
        <w:t>This reduction of ratepayer bills would increase if Unit 4 COD was extended beyond the planned one year from Unit 3 COD.</w:t>
      </w:r>
      <w:r w:rsidR="00055669">
        <w:rPr>
          <w:bCs/>
        </w:rPr>
        <w:t xml:space="preserve"> </w:t>
      </w:r>
    </w:p>
    <w:bookmarkEnd w:id="15"/>
    <w:p w14:paraId="5C8E2358" w14:textId="77777777" w:rsidR="000F4E92" w:rsidRDefault="000F4E92" w:rsidP="000F4E92">
      <w:pPr>
        <w:spacing w:after="240" w:line="360" w:lineRule="auto"/>
        <w:ind w:left="720" w:hanging="720"/>
        <w:rPr>
          <w:b/>
          <w:bCs/>
        </w:rPr>
      </w:pPr>
      <w:r>
        <w:rPr>
          <w:b/>
          <w:bCs/>
        </w:rPr>
        <w:t>Q.</w:t>
      </w:r>
      <w:r>
        <w:rPr>
          <w:b/>
          <w:bCs/>
        </w:rPr>
        <w:tab/>
        <w:t>PLEASE DISCUSS YOUR REVIEW OF THE COMPANY’S NATURAL GAS PRICE FORECASTS.</w:t>
      </w:r>
    </w:p>
    <w:p w14:paraId="53EECD2C" w14:textId="77777777" w:rsidR="000F4E92" w:rsidRDefault="000F4E92" w:rsidP="005B2C37">
      <w:pPr>
        <w:spacing w:after="240" w:line="360" w:lineRule="auto"/>
        <w:ind w:left="720" w:hanging="720"/>
      </w:pPr>
      <w:r w:rsidRPr="00C51E4B">
        <w:rPr>
          <w:bCs/>
        </w:rPr>
        <w:t>A.</w:t>
      </w:r>
      <w:r>
        <w:rPr>
          <w:bCs/>
        </w:rPr>
        <w:tab/>
        <w:t xml:space="preserve">As Staff noted </w:t>
      </w:r>
      <w:r w:rsidR="008E66CA">
        <w:rPr>
          <w:bCs/>
        </w:rPr>
        <w:t xml:space="preserve">in prior VCM proceedings and the </w:t>
      </w:r>
      <w:r>
        <w:rPr>
          <w:bCs/>
        </w:rPr>
        <w:t xml:space="preserve">recent 2019 IRP proceeding, </w:t>
      </w:r>
      <w:r w:rsidR="005B2C37">
        <w:rPr>
          <w:bCs/>
        </w:rPr>
        <w:t xml:space="preserve">Staff has been and continues to be concerned about </w:t>
      </w:r>
      <w:r>
        <w:rPr>
          <w:bCs/>
        </w:rPr>
        <w:t>t</w:t>
      </w:r>
      <w:r>
        <w:t xml:space="preserve">he Company’s reliance on a single source, Charles River Associates (“CRA”), for developing its natural gas price forecasts.  The Company continued this practice </w:t>
      </w:r>
      <w:r w:rsidR="005B2C37">
        <w:t>in VCM 20/21</w:t>
      </w:r>
      <w:r>
        <w:t xml:space="preserve">.  Staff’s concern has been that without </w:t>
      </w:r>
      <w:r w:rsidR="005B2C37">
        <w:t xml:space="preserve">adjusting its forecasts based on </w:t>
      </w:r>
      <w:r>
        <w:t>other</w:t>
      </w:r>
      <w:r w:rsidR="005B2C37">
        <w:t xml:space="preserve"> information </w:t>
      </w:r>
      <w:r>
        <w:t xml:space="preserve">that </w:t>
      </w:r>
      <w:r w:rsidR="005B2C37">
        <w:t xml:space="preserve">is </w:t>
      </w:r>
      <w:r>
        <w:t xml:space="preserve">available, the Company could end up with forecasts that are out of line with other </w:t>
      </w:r>
      <w:r w:rsidR="005B2C37">
        <w:t>industry trends.</w:t>
      </w:r>
      <w:r>
        <w:t xml:space="preserve">  In fact, Staff </w:t>
      </w:r>
      <w:r w:rsidR="009D7B39">
        <w:t xml:space="preserve">has </w:t>
      </w:r>
      <w:r>
        <w:t>noted on several occasions that the Company’s forecasts</w:t>
      </w:r>
      <w:r w:rsidR="009D7B39">
        <w:t xml:space="preserve"> have</w:t>
      </w:r>
      <w:r>
        <w:t xml:space="preserve"> appeared to be too high</w:t>
      </w:r>
      <w:r w:rsidR="005B2C37">
        <w:t xml:space="preserve">.  </w:t>
      </w:r>
    </w:p>
    <w:p w14:paraId="0B41E189" w14:textId="77777777" w:rsidR="005B2C37" w:rsidRDefault="005B2C37" w:rsidP="005B2C37">
      <w:pPr>
        <w:spacing w:after="240" w:line="360" w:lineRule="auto"/>
        <w:ind w:left="720" w:hanging="720"/>
        <w:rPr>
          <w:b/>
          <w:bCs/>
        </w:rPr>
      </w:pPr>
      <w:r>
        <w:rPr>
          <w:b/>
          <w:bCs/>
        </w:rPr>
        <w:t>Q.</w:t>
      </w:r>
      <w:r>
        <w:rPr>
          <w:b/>
          <w:bCs/>
        </w:rPr>
        <w:tab/>
        <w:t xml:space="preserve">DID STAFF </w:t>
      </w:r>
      <w:r w:rsidR="00A86CD5">
        <w:rPr>
          <w:b/>
          <w:bCs/>
        </w:rPr>
        <w:t>COMPARE</w:t>
      </w:r>
      <w:r w:rsidR="00AD7AC4">
        <w:rPr>
          <w:b/>
          <w:bCs/>
        </w:rPr>
        <w:t xml:space="preserve"> THE COMPANY’S </w:t>
      </w:r>
      <w:r w:rsidR="00A86CD5">
        <w:rPr>
          <w:b/>
          <w:bCs/>
        </w:rPr>
        <w:t xml:space="preserve">NATURAL GAS PRICE </w:t>
      </w:r>
      <w:r w:rsidR="00AD7AC4">
        <w:rPr>
          <w:b/>
          <w:bCs/>
        </w:rPr>
        <w:t xml:space="preserve">FORECAST </w:t>
      </w:r>
      <w:r>
        <w:rPr>
          <w:b/>
          <w:bCs/>
        </w:rPr>
        <w:t>TO OTHER RECENT PUBLICLY AVAILABLE FORECASTS IN THIS</w:t>
      </w:r>
      <w:r w:rsidR="00AD7AC4">
        <w:rPr>
          <w:b/>
          <w:bCs/>
        </w:rPr>
        <w:t xml:space="preserve"> VCM?</w:t>
      </w:r>
    </w:p>
    <w:p w14:paraId="7976025B" w14:textId="77777777" w:rsidR="00AD7AC4" w:rsidRPr="00740BB1" w:rsidRDefault="005B2C37" w:rsidP="00740BB1">
      <w:pPr>
        <w:spacing w:after="240" w:line="360" w:lineRule="auto"/>
        <w:ind w:left="720" w:hanging="720"/>
        <w:rPr>
          <w:bCs/>
        </w:rPr>
      </w:pPr>
      <w:r>
        <w:t>A.</w:t>
      </w:r>
      <w:r>
        <w:tab/>
        <w:t>Yes</w:t>
      </w:r>
      <w:r w:rsidR="00AD7AC4">
        <w:t xml:space="preserve">.  The Company’s natural gas price forecast in this VCM is essentially the same as what it used in its 2019 IRP.  In this VCM, </w:t>
      </w:r>
      <w:r>
        <w:rPr>
          <w:bCs/>
        </w:rPr>
        <w:t xml:space="preserve">Staff compared Georgia Power’s </w:t>
      </w:r>
      <w:r w:rsidR="00F51FF2">
        <w:rPr>
          <w:bCs/>
        </w:rPr>
        <w:t xml:space="preserve">underlying </w:t>
      </w:r>
      <w:r>
        <w:rPr>
          <w:bCs/>
        </w:rPr>
        <w:t xml:space="preserve">Henry Hub natural gas price forecast to projections that are publicly available from other utility </w:t>
      </w:r>
      <w:r>
        <w:rPr>
          <w:bCs/>
        </w:rPr>
        <w:lastRenderedPageBreak/>
        <w:t>companies including the Tennessee Valley Authority (“TVA”)</w:t>
      </w:r>
      <w:r>
        <w:rPr>
          <w:rStyle w:val="FootnoteReference"/>
          <w:bCs/>
        </w:rPr>
        <w:footnoteReference w:id="18"/>
      </w:r>
      <w:r>
        <w:rPr>
          <w:bCs/>
        </w:rPr>
        <w:t>, Southwestern Electric Power Company (“SWEPCO”)</w:t>
      </w:r>
      <w:r>
        <w:rPr>
          <w:rStyle w:val="FootnoteReference"/>
          <w:bCs/>
        </w:rPr>
        <w:footnoteReference w:id="19"/>
      </w:r>
      <w:r>
        <w:rPr>
          <w:bCs/>
        </w:rPr>
        <w:t>, Entergy Louisiana, LLC (“ELL”)</w:t>
      </w:r>
      <w:r>
        <w:rPr>
          <w:rStyle w:val="FootnoteReference"/>
          <w:bCs/>
        </w:rPr>
        <w:footnoteReference w:id="20"/>
      </w:r>
      <w:r>
        <w:rPr>
          <w:bCs/>
        </w:rPr>
        <w:t xml:space="preserve">, </w:t>
      </w:r>
      <w:r w:rsidR="001762ED">
        <w:rPr>
          <w:bCs/>
        </w:rPr>
        <w:t>Xcel Minnesota</w:t>
      </w:r>
      <w:r w:rsidR="00A86CD5">
        <w:rPr>
          <w:rStyle w:val="FootnoteReference"/>
          <w:bCs/>
        </w:rPr>
        <w:footnoteReference w:id="21"/>
      </w:r>
      <w:r w:rsidR="00AD7AC4">
        <w:rPr>
          <w:bCs/>
        </w:rPr>
        <w:t xml:space="preserve">, </w:t>
      </w:r>
      <w:r>
        <w:rPr>
          <w:bCs/>
        </w:rPr>
        <w:t>as well as the United States Energy Information Administration (“EIA”).</w:t>
      </w:r>
      <w:r>
        <w:rPr>
          <w:rStyle w:val="FootnoteReference"/>
          <w:bCs/>
        </w:rPr>
        <w:footnoteReference w:id="22"/>
      </w:r>
      <w:r>
        <w:rPr>
          <w:bCs/>
        </w:rPr>
        <w:t xml:space="preserve">  </w:t>
      </w:r>
      <w:r w:rsidR="00AD7AC4">
        <w:rPr>
          <w:bCs/>
        </w:rPr>
        <w:t>As in the IRP, Staff found that t</w:t>
      </w:r>
      <w:r w:rsidR="00AD7AC4">
        <w:t xml:space="preserve">he Company’s High Gas Price forecast appears to </w:t>
      </w:r>
      <w:r w:rsidR="00AD7AC4" w:rsidRPr="001B3D1F">
        <w:t xml:space="preserve">be </w:t>
      </w:r>
      <w:r w:rsidR="00C46DDA">
        <w:t xml:space="preserve">the highest of the High </w:t>
      </w:r>
      <w:r w:rsidR="00AD7AC4" w:rsidRPr="001B3D1F">
        <w:t>Gas Price Forecasts</w:t>
      </w:r>
      <w:r w:rsidR="00C46DDA">
        <w:t xml:space="preserve"> reviewed</w:t>
      </w:r>
      <w:r w:rsidR="00AD7AC4" w:rsidRPr="001B3D1F">
        <w:t xml:space="preserve">, </w:t>
      </w:r>
      <w:r w:rsidR="00C46DDA">
        <w:t xml:space="preserve">the Company’s </w:t>
      </w:r>
      <w:r w:rsidR="00AD7AC4" w:rsidRPr="001B3D1F">
        <w:t xml:space="preserve">moderate gas price forecast appears to be </w:t>
      </w:r>
      <w:r w:rsidR="001C263B">
        <w:t>slightly</w:t>
      </w:r>
      <w:r w:rsidR="00AD7AC4" w:rsidRPr="001B3D1F">
        <w:t xml:space="preserve"> above the average consensus forecast</w:t>
      </w:r>
      <w:r w:rsidR="00C46DDA">
        <w:t xml:space="preserve"> that Staff developed, and </w:t>
      </w:r>
      <w:r w:rsidR="00AD7AC4" w:rsidRPr="001B3D1F">
        <w:t>the Company’s low</w:t>
      </w:r>
      <w:r w:rsidR="00AD7AC4">
        <w:t xml:space="preserve"> gas </w:t>
      </w:r>
      <w:r w:rsidR="00AD7AC4" w:rsidRPr="001B3D1F">
        <w:t xml:space="preserve">price forecast appears to be </w:t>
      </w:r>
      <w:r w:rsidR="00AD7AC4" w:rsidRPr="00C46DDA">
        <w:t>below the average consensus forecast</w:t>
      </w:r>
      <w:r w:rsidR="007529C5">
        <w:t xml:space="preserve">.  </w:t>
      </w:r>
      <w:r w:rsidR="00C46DDA" w:rsidRPr="00740BB1">
        <w:t xml:space="preserve">Staff </w:t>
      </w:r>
      <w:r w:rsidR="00CB582B">
        <w:t>developed</w:t>
      </w:r>
      <w:r w:rsidR="00C46DDA" w:rsidRPr="00740BB1">
        <w:t xml:space="preserve"> consensus average Low, Mod, and High gas price forecast</w:t>
      </w:r>
      <w:r w:rsidR="00CB582B">
        <w:t>s</w:t>
      </w:r>
      <w:r w:rsidR="00C46DDA" w:rsidRPr="00740BB1">
        <w:t xml:space="preserve"> </w:t>
      </w:r>
      <w:r w:rsidR="00201780" w:rsidRPr="00740BB1">
        <w:t xml:space="preserve">for its analyses </w:t>
      </w:r>
      <w:r w:rsidR="00C46DDA" w:rsidRPr="00740BB1">
        <w:t>using the publicly available data it collected</w:t>
      </w:r>
      <w:r w:rsidR="00CB582B">
        <w:t xml:space="preserve"> as it had done in prior VCMs.</w:t>
      </w:r>
      <w:r w:rsidR="00C46DDA" w:rsidRPr="00740BB1">
        <w:t xml:space="preserve">  </w:t>
      </w:r>
    </w:p>
    <w:p w14:paraId="3F45691A" w14:textId="77777777" w:rsidR="00C5057A" w:rsidRPr="00BB080D" w:rsidRDefault="00C5057A" w:rsidP="00C5057A">
      <w:pPr>
        <w:spacing w:after="240" w:line="360" w:lineRule="auto"/>
        <w:ind w:left="720" w:hanging="720"/>
        <w:rPr>
          <w:b/>
        </w:rPr>
      </w:pPr>
      <w:r w:rsidRPr="00740BB1">
        <w:rPr>
          <w:b/>
        </w:rPr>
        <w:t>Q.</w:t>
      </w:r>
      <w:r w:rsidRPr="00740BB1">
        <w:rPr>
          <w:b/>
        </w:rPr>
        <w:tab/>
        <w:t>PLEASE</w:t>
      </w:r>
      <w:r w:rsidRPr="00BB080D">
        <w:rPr>
          <w:b/>
        </w:rPr>
        <w:t xml:space="preserve"> EXPLAIN STAFF’S </w:t>
      </w:r>
      <w:r w:rsidR="002F3F62">
        <w:rPr>
          <w:b/>
        </w:rPr>
        <w:t xml:space="preserve">CONCERN </w:t>
      </w:r>
      <w:r w:rsidR="005F0ECA">
        <w:rPr>
          <w:b/>
        </w:rPr>
        <w:t>REGARDING THE COMPANY’S CO</w:t>
      </w:r>
      <w:r w:rsidR="005F0ECA" w:rsidRPr="00235701">
        <w:rPr>
          <w:b/>
          <w:vertAlign w:val="subscript"/>
        </w:rPr>
        <w:t>2</w:t>
      </w:r>
      <w:r w:rsidR="005F0ECA">
        <w:rPr>
          <w:b/>
        </w:rPr>
        <w:t xml:space="preserve"> </w:t>
      </w:r>
      <w:r w:rsidR="00437259">
        <w:rPr>
          <w:b/>
        </w:rPr>
        <w:t xml:space="preserve">EMISSION </w:t>
      </w:r>
      <w:r w:rsidR="005F0ECA">
        <w:rPr>
          <w:b/>
        </w:rPr>
        <w:t>PRICE FORECAST</w:t>
      </w:r>
      <w:r>
        <w:rPr>
          <w:b/>
        </w:rPr>
        <w:t>.</w:t>
      </w:r>
    </w:p>
    <w:p w14:paraId="64DDD0A7" w14:textId="5244BA8E" w:rsidR="00EE769A" w:rsidRDefault="00C5057A" w:rsidP="00EE769A">
      <w:pPr>
        <w:spacing w:after="240" w:line="360" w:lineRule="auto"/>
        <w:ind w:left="720" w:hanging="720"/>
        <w:rPr>
          <w:bCs/>
        </w:rPr>
      </w:pPr>
      <w:r>
        <w:rPr>
          <w:bCs/>
        </w:rPr>
        <w:t>A.</w:t>
      </w:r>
      <w:r>
        <w:rPr>
          <w:bCs/>
        </w:rPr>
        <w:tab/>
      </w:r>
      <w:r w:rsidR="00A32E71">
        <w:rPr>
          <w:bCs/>
        </w:rPr>
        <w:t xml:space="preserve">Staff </w:t>
      </w:r>
      <w:r w:rsidR="00201780">
        <w:rPr>
          <w:bCs/>
        </w:rPr>
        <w:t>noted</w:t>
      </w:r>
      <w:r w:rsidR="00786C2C">
        <w:rPr>
          <w:bCs/>
        </w:rPr>
        <w:t xml:space="preserve"> in </w:t>
      </w:r>
      <w:r w:rsidR="00201780">
        <w:rPr>
          <w:bCs/>
        </w:rPr>
        <w:t xml:space="preserve">its </w:t>
      </w:r>
      <w:r w:rsidR="00786C2C">
        <w:rPr>
          <w:bCs/>
        </w:rPr>
        <w:t xml:space="preserve">VCM 19 and </w:t>
      </w:r>
      <w:r w:rsidR="00201780">
        <w:rPr>
          <w:bCs/>
        </w:rPr>
        <w:t>2</w:t>
      </w:r>
      <w:r w:rsidR="00872A9C">
        <w:rPr>
          <w:bCs/>
        </w:rPr>
        <w:t xml:space="preserve">019 IRP </w:t>
      </w:r>
      <w:r w:rsidR="00201780">
        <w:rPr>
          <w:bCs/>
        </w:rPr>
        <w:t xml:space="preserve">testimonies </w:t>
      </w:r>
      <w:r w:rsidR="00872A9C">
        <w:rPr>
          <w:bCs/>
        </w:rPr>
        <w:t xml:space="preserve">that </w:t>
      </w:r>
      <w:r w:rsidR="00A32E71" w:rsidRPr="00A12095">
        <w:rPr>
          <w:bCs/>
        </w:rPr>
        <w:t xml:space="preserve">it no longer </w:t>
      </w:r>
      <w:r w:rsidR="00A32E71">
        <w:rPr>
          <w:bCs/>
        </w:rPr>
        <w:t xml:space="preserve">seems reasonable </w:t>
      </w:r>
      <w:r w:rsidR="00201780">
        <w:rPr>
          <w:bCs/>
        </w:rPr>
        <w:t xml:space="preserve">for the Company to use a </w:t>
      </w:r>
      <w:r w:rsidR="006C6D7E">
        <w:rPr>
          <w:bCs/>
        </w:rPr>
        <w:t>CO</w:t>
      </w:r>
      <w:r w:rsidR="006C6D7E" w:rsidRPr="006C6D7E">
        <w:rPr>
          <w:bCs/>
          <w:vertAlign w:val="subscript"/>
        </w:rPr>
        <w:t>2</w:t>
      </w:r>
      <w:r w:rsidR="00A32E71" w:rsidRPr="00A12095">
        <w:rPr>
          <w:bCs/>
        </w:rPr>
        <w:t xml:space="preserve"> </w:t>
      </w:r>
      <w:r w:rsidR="00FB3F09">
        <w:rPr>
          <w:bCs/>
        </w:rPr>
        <w:t xml:space="preserve">emission </w:t>
      </w:r>
      <w:r w:rsidR="005567DC">
        <w:rPr>
          <w:bCs/>
        </w:rPr>
        <w:t xml:space="preserve">price forecast </w:t>
      </w:r>
      <w:r w:rsidR="00A32E71" w:rsidRPr="00A12095">
        <w:rPr>
          <w:bCs/>
        </w:rPr>
        <w:t xml:space="preserve">that </w:t>
      </w:r>
      <w:r w:rsidR="00201780">
        <w:rPr>
          <w:bCs/>
        </w:rPr>
        <w:t xml:space="preserve">was originally based on the </w:t>
      </w:r>
      <w:r w:rsidR="00201780" w:rsidRPr="00A12095">
        <w:rPr>
          <w:bCs/>
        </w:rPr>
        <w:t>E</w:t>
      </w:r>
      <w:r w:rsidR="00201780">
        <w:rPr>
          <w:bCs/>
        </w:rPr>
        <w:t xml:space="preserve">nvironmental </w:t>
      </w:r>
      <w:r w:rsidR="00201780" w:rsidRPr="00A12095">
        <w:rPr>
          <w:bCs/>
        </w:rPr>
        <w:t>P</w:t>
      </w:r>
      <w:r w:rsidR="00201780">
        <w:rPr>
          <w:bCs/>
        </w:rPr>
        <w:t xml:space="preserve">rotection </w:t>
      </w:r>
      <w:r w:rsidR="00201780" w:rsidRPr="00A12095">
        <w:rPr>
          <w:bCs/>
        </w:rPr>
        <w:t>A</w:t>
      </w:r>
      <w:r w:rsidR="00201780">
        <w:rPr>
          <w:bCs/>
        </w:rPr>
        <w:t>gency</w:t>
      </w:r>
      <w:r w:rsidR="00201780" w:rsidRPr="00A12095">
        <w:rPr>
          <w:bCs/>
        </w:rPr>
        <w:t>’s</w:t>
      </w:r>
      <w:r w:rsidR="00201780">
        <w:rPr>
          <w:bCs/>
        </w:rPr>
        <w:t xml:space="preserve"> (“EPA”)</w:t>
      </w:r>
      <w:r w:rsidR="00201780" w:rsidRPr="00A12095">
        <w:rPr>
          <w:bCs/>
        </w:rPr>
        <w:t xml:space="preserve"> </w:t>
      </w:r>
      <w:r w:rsidR="00A32E71" w:rsidRPr="00A12095">
        <w:rPr>
          <w:bCs/>
        </w:rPr>
        <w:t xml:space="preserve">Clean Power Plan </w:t>
      </w:r>
      <w:r w:rsidR="00201780">
        <w:rPr>
          <w:bCs/>
        </w:rPr>
        <w:t>rule</w:t>
      </w:r>
      <w:r w:rsidR="00847165">
        <w:rPr>
          <w:bCs/>
        </w:rPr>
        <w:t>,</w:t>
      </w:r>
      <w:r w:rsidR="00201780">
        <w:rPr>
          <w:bCs/>
        </w:rPr>
        <w:t xml:space="preserve"> </w:t>
      </w:r>
      <w:r w:rsidR="00F76C6D">
        <w:rPr>
          <w:bCs/>
        </w:rPr>
        <w:t xml:space="preserve">given that rule has </w:t>
      </w:r>
      <w:r w:rsidR="003527DC">
        <w:rPr>
          <w:bCs/>
        </w:rPr>
        <w:t xml:space="preserve">been </w:t>
      </w:r>
      <w:r w:rsidR="00F76C6D">
        <w:rPr>
          <w:bCs/>
        </w:rPr>
        <w:t xml:space="preserve">repealed </w:t>
      </w:r>
      <w:r w:rsidR="003527DC">
        <w:rPr>
          <w:bCs/>
        </w:rPr>
        <w:t xml:space="preserve">and replaced by the </w:t>
      </w:r>
      <w:r w:rsidR="00A32E71" w:rsidRPr="00A12095">
        <w:rPr>
          <w:bCs/>
        </w:rPr>
        <w:t xml:space="preserve">Affordable Clean Energy (“ACE”) </w:t>
      </w:r>
      <w:r w:rsidR="00A32E71">
        <w:rPr>
          <w:bCs/>
        </w:rPr>
        <w:t>rule</w:t>
      </w:r>
      <w:r w:rsidR="00A32E71" w:rsidRPr="00A12095">
        <w:rPr>
          <w:bCs/>
        </w:rPr>
        <w:t>.</w:t>
      </w:r>
      <w:r w:rsidR="00A32E71">
        <w:rPr>
          <w:bCs/>
        </w:rPr>
        <w:t xml:space="preserve"> </w:t>
      </w:r>
      <w:r w:rsidR="00B11F2F">
        <w:rPr>
          <w:bCs/>
        </w:rPr>
        <w:t xml:space="preserve"> </w:t>
      </w:r>
      <w:r w:rsidR="009144CF">
        <w:rPr>
          <w:bCs/>
        </w:rPr>
        <w:t>Staff believes that the Company</w:t>
      </w:r>
      <w:r w:rsidR="006C6D7E">
        <w:rPr>
          <w:bCs/>
        </w:rPr>
        <w:t>’s CO</w:t>
      </w:r>
      <w:r w:rsidR="006C6D7E" w:rsidRPr="008D066A">
        <w:rPr>
          <w:bCs/>
          <w:vertAlign w:val="subscript"/>
        </w:rPr>
        <w:t>2</w:t>
      </w:r>
      <w:r w:rsidR="006C6D7E">
        <w:rPr>
          <w:bCs/>
        </w:rPr>
        <w:t xml:space="preserve"> </w:t>
      </w:r>
      <w:r w:rsidR="00FB3F09">
        <w:rPr>
          <w:bCs/>
        </w:rPr>
        <w:t xml:space="preserve">emission </w:t>
      </w:r>
      <w:r w:rsidR="006C6D7E">
        <w:rPr>
          <w:bCs/>
        </w:rPr>
        <w:t>price forecast is o</w:t>
      </w:r>
      <w:r w:rsidR="009144CF">
        <w:rPr>
          <w:bCs/>
        </w:rPr>
        <w:t>verstated</w:t>
      </w:r>
      <w:r w:rsidR="008D066A">
        <w:rPr>
          <w:bCs/>
        </w:rPr>
        <w:t xml:space="preserve"> based on the high annual CO</w:t>
      </w:r>
      <w:r w:rsidR="008D066A" w:rsidRPr="008D066A">
        <w:rPr>
          <w:bCs/>
          <w:vertAlign w:val="subscript"/>
        </w:rPr>
        <w:t>2</w:t>
      </w:r>
      <w:r w:rsidR="008D066A">
        <w:rPr>
          <w:bCs/>
        </w:rPr>
        <w:t xml:space="preserve"> </w:t>
      </w:r>
      <w:r w:rsidR="00F43A2B">
        <w:rPr>
          <w:bCs/>
        </w:rPr>
        <w:t xml:space="preserve">emission </w:t>
      </w:r>
      <w:r w:rsidR="00CB582B">
        <w:rPr>
          <w:bCs/>
        </w:rPr>
        <w:t xml:space="preserve">price </w:t>
      </w:r>
      <w:r w:rsidR="009144CF">
        <w:rPr>
          <w:bCs/>
        </w:rPr>
        <w:t xml:space="preserve">escalation rate </w:t>
      </w:r>
      <w:r w:rsidR="008D066A">
        <w:rPr>
          <w:bCs/>
        </w:rPr>
        <w:t xml:space="preserve">that the </w:t>
      </w:r>
      <w:r w:rsidR="009144CF">
        <w:rPr>
          <w:bCs/>
        </w:rPr>
        <w:t>Company relie</w:t>
      </w:r>
      <w:r w:rsidR="005643CC">
        <w:rPr>
          <w:bCs/>
        </w:rPr>
        <w:t>s on</w:t>
      </w:r>
      <w:r w:rsidR="009144CF">
        <w:rPr>
          <w:bCs/>
        </w:rPr>
        <w:t xml:space="preserve"> </w:t>
      </w:r>
      <w:r w:rsidR="008D066A">
        <w:rPr>
          <w:bCs/>
        </w:rPr>
        <w:t>for every year of the study period covering the 60</w:t>
      </w:r>
      <w:r w:rsidR="00F145BB">
        <w:rPr>
          <w:bCs/>
        </w:rPr>
        <w:t>-</w:t>
      </w:r>
      <w:r w:rsidR="008D066A">
        <w:rPr>
          <w:bCs/>
        </w:rPr>
        <w:t xml:space="preserve">year life of the new Vogtle Units.  </w:t>
      </w:r>
      <w:r w:rsidR="00F33E3A">
        <w:rPr>
          <w:bCs/>
        </w:rPr>
        <w:t>Though Staff acknowledges there is tremendous uncertainty about what CO</w:t>
      </w:r>
      <w:r w:rsidR="00F33E3A" w:rsidRPr="00F33E3A">
        <w:rPr>
          <w:bCs/>
          <w:vertAlign w:val="subscript"/>
        </w:rPr>
        <w:t>2</w:t>
      </w:r>
      <w:r w:rsidR="00F33E3A">
        <w:rPr>
          <w:bCs/>
        </w:rPr>
        <w:t xml:space="preserve"> </w:t>
      </w:r>
      <w:r w:rsidR="00F43A2B">
        <w:rPr>
          <w:bCs/>
        </w:rPr>
        <w:t xml:space="preserve">emission </w:t>
      </w:r>
      <w:r w:rsidR="00F33E3A">
        <w:rPr>
          <w:bCs/>
        </w:rPr>
        <w:t xml:space="preserve">prices </w:t>
      </w:r>
      <w:r w:rsidR="0075319B">
        <w:rPr>
          <w:bCs/>
        </w:rPr>
        <w:t>may</w:t>
      </w:r>
      <w:r w:rsidR="00F33E3A">
        <w:rPr>
          <w:bCs/>
        </w:rPr>
        <w:t xml:space="preserve"> </w:t>
      </w:r>
      <w:r w:rsidR="007F0639">
        <w:rPr>
          <w:bCs/>
        </w:rPr>
        <w:t>be imposed in the future</w:t>
      </w:r>
      <w:r w:rsidR="00F33E3A">
        <w:rPr>
          <w:bCs/>
        </w:rPr>
        <w:t xml:space="preserve">, </w:t>
      </w:r>
      <w:r w:rsidR="00F33E3A">
        <w:rPr>
          <w:bCs/>
        </w:rPr>
        <w:lastRenderedPageBreak/>
        <w:t>Sta</w:t>
      </w:r>
      <w:r w:rsidR="00EE769A">
        <w:rPr>
          <w:bCs/>
        </w:rPr>
        <w:t xml:space="preserve">ff </w:t>
      </w:r>
      <w:r w:rsidR="002E744F">
        <w:rPr>
          <w:bCs/>
        </w:rPr>
        <w:t xml:space="preserve">believes it is appropriate to </w:t>
      </w:r>
      <w:r w:rsidR="00EE769A">
        <w:rPr>
          <w:bCs/>
        </w:rPr>
        <w:t xml:space="preserve">lower the Company’s </w:t>
      </w:r>
      <w:r w:rsidR="00F33E3A">
        <w:rPr>
          <w:bCs/>
        </w:rPr>
        <w:t>CO</w:t>
      </w:r>
      <w:r w:rsidR="00F33E3A" w:rsidRPr="00F33E3A">
        <w:rPr>
          <w:bCs/>
          <w:vertAlign w:val="subscript"/>
        </w:rPr>
        <w:t>2</w:t>
      </w:r>
      <w:r w:rsidR="00EE769A">
        <w:rPr>
          <w:bCs/>
        </w:rPr>
        <w:t xml:space="preserve"> </w:t>
      </w:r>
      <w:r w:rsidR="00F43A2B">
        <w:rPr>
          <w:bCs/>
        </w:rPr>
        <w:t xml:space="preserve">emission </w:t>
      </w:r>
      <w:r w:rsidR="00EE769A">
        <w:rPr>
          <w:bCs/>
        </w:rPr>
        <w:t>price forecast</w:t>
      </w:r>
      <w:r w:rsidR="002E744F">
        <w:rPr>
          <w:bCs/>
        </w:rPr>
        <w:t xml:space="preserve">.  Staff </w:t>
      </w:r>
      <w:r w:rsidR="00EE769A">
        <w:rPr>
          <w:bCs/>
        </w:rPr>
        <w:t>reduc</w:t>
      </w:r>
      <w:r w:rsidR="002E744F">
        <w:rPr>
          <w:bCs/>
        </w:rPr>
        <w:t>ed</w:t>
      </w:r>
      <w:r w:rsidR="00EE769A">
        <w:rPr>
          <w:bCs/>
        </w:rPr>
        <w:t xml:space="preserve"> the </w:t>
      </w:r>
      <w:r w:rsidR="002E744F">
        <w:rPr>
          <w:bCs/>
        </w:rPr>
        <w:t xml:space="preserve">Company’s </w:t>
      </w:r>
      <w:r w:rsidR="003527DC">
        <w:rPr>
          <w:bCs/>
        </w:rPr>
        <w:t xml:space="preserve">significant </w:t>
      </w:r>
      <w:r w:rsidR="002E744F">
        <w:rPr>
          <w:bCs/>
        </w:rPr>
        <w:t xml:space="preserve">nominal </w:t>
      </w:r>
      <w:r w:rsidR="00EE769A">
        <w:rPr>
          <w:bCs/>
        </w:rPr>
        <w:t>escalation rate</w:t>
      </w:r>
      <w:r w:rsidR="002E744F">
        <w:rPr>
          <w:bCs/>
        </w:rPr>
        <w:t xml:space="preserve"> </w:t>
      </w:r>
      <w:r w:rsidR="00EE769A">
        <w:rPr>
          <w:bCs/>
        </w:rPr>
        <w:t>to about 4.</w:t>
      </w:r>
      <w:r w:rsidR="002E744F">
        <w:rPr>
          <w:bCs/>
        </w:rPr>
        <w:t>5</w:t>
      </w:r>
      <w:r w:rsidR="00EE769A">
        <w:rPr>
          <w:bCs/>
        </w:rPr>
        <w:t xml:space="preserve"> percent</w:t>
      </w:r>
      <w:r w:rsidR="005643CC">
        <w:rPr>
          <w:bCs/>
        </w:rPr>
        <w:t xml:space="preserve"> per year</w:t>
      </w:r>
      <w:r w:rsidR="002E744F">
        <w:rPr>
          <w:bCs/>
        </w:rPr>
        <w:t xml:space="preserve">.  </w:t>
      </w:r>
    </w:p>
    <w:p w14:paraId="2C9A7814" w14:textId="77777777" w:rsidR="00226804" w:rsidRDefault="00EE769A" w:rsidP="00226804">
      <w:pPr>
        <w:spacing w:after="240" w:line="360" w:lineRule="auto"/>
        <w:ind w:left="720"/>
        <w:rPr>
          <w:bCs/>
        </w:rPr>
      </w:pPr>
      <w:r>
        <w:rPr>
          <w:bCs/>
        </w:rPr>
        <w:t xml:space="preserve">The following </w:t>
      </w:r>
      <w:r w:rsidR="00FE09A9">
        <w:rPr>
          <w:bCs/>
        </w:rPr>
        <w:t xml:space="preserve">graph </w:t>
      </w:r>
      <w:r>
        <w:rPr>
          <w:bCs/>
        </w:rPr>
        <w:t>provides a comparison of the Company</w:t>
      </w:r>
      <w:r w:rsidR="00483864">
        <w:rPr>
          <w:bCs/>
        </w:rPr>
        <w:t>’s</w:t>
      </w:r>
      <w:r>
        <w:rPr>
          <w:bCs/>
        </w:rPr>
        <w:t xml:space="preserve"> and Staff</w:t>
      </w:r>
      <w:r w:rsidR="00483864">
        <w:rPr>
          <w:bCs/>
        </w:rPr>
        <w:t>’s</w:t>
      </w:r>
      <w:r>
        <w:rPr>
          <w:bCs/>
        </w:rPr>
        <w:t xml:space="preserve"> </w:t>
      </w:r>
      <w:r w:rsidR="005643CC">
        <w:rPr>
          <w:bCs/>
        </w:rPr>
        <w:t>CO</w:t>
      </w:r>
      <w:r w:rsidR="005643CC" w:rsidRPr="005643CC">
        <w:rPr>
          <w:bCs/>
          <w:vertAlign w:val="subscript"/>
        </w:rPr>
        <w:t>2</w:t>
      </w:r>
      <w:r w:rsidR="005643CC">
        <w:rPr>
          <w:bCs/>
        </w:rPr>
        <w:t xml:space="preserve"> </w:t>
      </w:r>
      <w:r>
        <w:rPr>
          <w:bCs/>
        </w:rPr>
        <w:t xml:space="preserve">price forecasts for the $10/Ton and the $20/Ton cases.  The </w:t>
      </w:r>
      <w:r w:rsidR="00FE09A9">
        <w:rPr>
          <w:bCs/>
        </w:rPr>
        <w:t xml:space="preserve">graph </w:t>
      </w:r>
      <w:r>
        <w:rPr>
          <w:bCs/>
        </w:rPr>
        <w:t xml:space="preserve">demonstrates how dramatically the Company’s </w:t>
      </w:r>
      <w:r w:rsidR="005643CC">
        <w:rPr>
          <w:bCs/>
        </w:rPr>
        <w:t>CO</w:t>
      </w:r>
      <w:r w:rsidR="005643CC" w:rsidRPr="005643CC">
        <w:rPr>
          <w:bCs/>
          <w:vertAlign w:val="subscript"/>
        </w:rPr>
        <w:t>2</w:t>
      </w:r>
      <w:r>
        <w:rPr>
          <w:bCs/>
        </w:rPr>
        <w:t xml:space="preserve"> prices increase under its Clean Power Plan modeling approach.  </w:t>
      </w:r>
    </w:p>
    <w:p w14:paraId="3CFD4FD6" w14:textId="77777777" w:rsidR="00EE769A" w:rsidRPr="00AB6C18" w:rsidRDefault="00EE769A" w:rsidP="00524697">
      <w:pPr>
        <w:ind w:left="720"/>
        <w:jc w:val="center"/>
        <w:rPr>
          <w:b/>
          <w:bCs/>
        </w:rPr>
      </w:pPr>
      <w:r w:rsidRPr="00AB6C18">
        <w:rPr>
          <w:b/>
          <w:bCs/>
        </w:rPr>
        <w:t xml:space="preserve">Figure </w:t>
      </w:r>
      <w:r>
        <w:rPr>
          <w:b/>
          <w:bCs/>
        </w:rPr>
        <w:t>1</w:t>
      </w:r>
    </w:p>
    <w:p w14:paraId="5CECA3E6" w14:textId="77777777" w:rsidR="00EE769A" w:rsidRDefault="00EE769A" w:rsidP="00524697">
      <w:pPr>
        <w:ind w:left="720" w:hanging="720"/>
        <w:jc w:val="center"/>
        <w:rPr>
          <w:b/>
        </w:rPr>
      </w:pPr>
      <w:r w:rsidRPr="00AB6C18">
        <w:rPr>
          <w:b/>
          <w:bCs/>
        </w:rPr>
        <w:t xml:space="preserve">Nominal </w:t>
      </w:r>
      <w:r w:rsidR="005643CC">
        <w:rPr>
          <w:b/>
          <w:bCs/>
        </w:rPr>
        <w:t>CO</w:t>
      </w:r>
      <w:r w:rsidR="005643CC" w:rsidRPr="005643CC">
        <w:rPr>
          <w:b/>
          <w:bCs/>
          <w:vertAlign w:val="subscript"/>
        </w:rPr>
        <w:t>2</w:t>
      </w:r>
      <w:r w:rsidRPr="00AB6C18">
        <w:rPr>
          <w:b/>
          <w:bCs/>
        </w:rPr>
        <w:t xml:space="preserve"> price per </w:t>
      </w:r>
      <w:r>
        <w:rPr>
          <w:b/>
          <w:bCs/>
        </w:rPr>
        <w:t>S</w:t>
      </w:r>
      <w:r w:rsidRPr="00AB6C18">
        <w:rPr>
          <w:b/>
          <w:bCs/>
        </w:rPr>
        <w:t xml:space="preserve">hort </w:t>
      </w:r>
      <w:r>
        <w:rPr>
          <w:b/>
          <w:bCs/>
        </w:rPr>
        <w:t>T</w:t>
      </w:r>
      <w:r>
        <w:rPr>
          <w:b/>
        </w:rPr>
        <w:t>on</w:t>
      </w:r>
    </w:p>
    <w:p w14:paraId="7D58A29D" w14:textId="77777777" w:rsidR="00524697" w:rsidRDefault="00524697" w:rsidP="00524697">
      <w:pPr>
        <w:ind w:left="720" w:hanging="720"/>
        <w:jc w:val="center"/>
        <w:rPr>
          <w:b/>
        </w:rPr>
      </w:pPr>
    </w:p>
    <w:p w14:paraId="4C636F19" w14:textId="67D0BF77" w:rsidR="002928D6" w:rsidRDefault="00EC4D21" w:rsidP="00EE769A">
      <w:pPr>
        <w:ind w:left="720" w:hanging="720"/>
        <w:jc w:val="center"/>
        <w:rPr>
          <w:bCs/>
        </w:rPr>
      </w:pPr>
      <w:r>
        <w:rPr>
          <w:noProof/>
        </w:rPr>
        <w:drawing>
          <wp:inline distT="0" distB="0" distL="0" distR="0" wp14:anchorId="76F52692" wp14:editId="4C485A8E">
            <wp:extent cx="4010025" cy="22574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A9FAE9" w14:textId="77777777" w:rsidR="00D50B4A" w:rsidRDefault="00D50B4A" w:rsidP="00EF150F">
      <w:pPr>
        <w:spacing w:after="240" w:line="360" w:lineRule="auto"/>
        <w:ind w:left="720" w:firstLine="720"/>
        <w:rPr>
          <w:bCs/>
        </w:rPr>
      </w:pPr>
    </w:p>
    <w:p w14:paraId="1D0B748B" w14:textId="33D5F178" w:rsidR="003527DC" w:rsidRPr="00F1529F" w:rsidRDefault="003527DC" w:rsidP="003527DC">
      <w:pPr>
        <w:spacing w:after="240" w:line="360" w:lineRule="auto"/>
        <w:ind w:left="720" w:hanging="720"/>
        <w:rPr>
          <w:b/>
        </w:rPr>
      </w:pPr>
      <w:r w:rsidRPr="00F1529F">
        <w:rPr>
          <w:b/>
        </w:rPr>
        <w:t>Q.</w:t>
      </w:r>
      <w:r w:rsidRPr="00F1529F">
        <w:rPr>
          <w:b/>
        </w:rPr>
        <w:tab/>
        <w:t xml:space="preserve">PLEASE EXPLAIN STAFF’S CONCERN REGARDING THE COMPANY’S REQUIREMENT THAT UNDER CERTAIN CIRCUMSTANCES ANY </w:t>
      </w:r>
      <w:r w:rsidR="000B3E3A">
        <w:rPr>
          <w:b/>
        </w:rPr>
        <w:t xml:space="preserve">ADDED </w:t>
      </w:r>
      <w:r w:rsidRPr="00F1529F">
        <w:rPr>
          <w:b/>
        </w:rPr>
        <w:t>C</w:t>
      </w:r>
      <w:r w:rsidR="00A82C27">
        <w:rPr>
          <w:b/>
        </w:rPr>
        <w:t xml:space="preserve">OMBINED </w:t>
      </w:r>
      <w:r w:rsidRPr="00F1529F">
        <w:rPr>
          <w:b/>
        </w:rPr>
        <w:t>C</w:t>
      </w:r>
      <w:r w:rsidR="00A82C27">
        <w:rPr>
          <w:b/>
        </w:rPr>
        <w:t>YCLE</w:t>
      </w:r>
      <w:r w:rsidRPr="00F1529F">
        <w:rPr>
          <w:b/>
        </w:rPr>
        <w:t xml:space="preserve"> RESOURCE HAD TO HAVE CARBON SEQUESTRATION CAPABILITY.  </w:t>
      </w:r>
    </w:p>
    <w:p w14:paraId="5B82BF4D" w14:textId="06461863" w:rsidR="007F294C" w:rsidRDefault="007F294C" w:rsidP="007F294C">
      <w:pPr>
        <w:spacing w:after="240" w:line="360" w:lineRule="auto"/>
        <w:ind w:left="720" w:hanging="720"/>
        <w:rPr>
          <w:bCs/>
        </w:rPr>
      </w:pPr>
      <w:r w:rsidRPr="00F1529F">
        <w:rPr>
          <w:bCs/>
        </w:rPr>
        <w:t>A.</w:t>
      </w:r>
      <w:r w:rsidRPr="00F1529F">
        <w:rPr>
          <w:bCs/>
        </w:rPr>
        <w:tab/>
      </w:r>
      <w:r w:rsidR="00BB1B1F">
        <w:rPr>
          <w:bCs/>
        </w:rPr>
        <w:t xml:space="preserve">Staff disagrees with this </w:t>
      </w:r>
      <w:r w:rsidR="007B21D6">
        <w:rPr>
          <w:bCs/>
        </w:rPr>
        <w:t>assumption</w:t>
      </w:r>
      <w:r w:rsidR="00BB1B1F">
        <w:rPr>
          <w:bCs/>
        </w:rPr>
        <w:t>.  I</w:t>
      </w:r>
      <w:r w:rsidR="00F1529F">
        <w:rPr>
          <w:bCs/>
        </w:rPr>
        <w:t xml:space="preserve">t has been the Company’s practice under certain circumstances to only permit </w:t>
      </w:r>
      <w:r w:rsidR="00C76D7C">
        <w:rPr>
          <w:bCs/>
        </w:rPr>
        <w:t>combined cycle</w:t>
      </w:r>
      <w:r w:rsidR="00F1529F">
        <w:rPr>
          <w:bCs/>
        </w:rPr>
        <w:t xml:space="preserve"> resources with carbon sequestration capability to be added</w:t>
      </w:r>
      <w:r w:rsidR="00DF15B3">
        <w:rPr>
          <w:bCs/>
        </w:rPr>
        <w:t xml:space="preserve"> </w:t>
      </w:r>
      <w:r w:rsidR="00BB1B1F">
        <w:rPr>
          <w:bCs/>
        </w:rPr>
        <w:t xml:space="preserve">in resource planning analyses </w:t>
      </w:r>
      <w:r w:rsidR="00F1529F">
        <w:rPr>
          <w:bCs/>
        </w:rPr>
        <w:t xml:space="preserve">when </w:t>
      </w:r>
      <w:r w:rsidR="00C76D7C">
        <w:rPr>
          <w:bCs/>
        </w:rPr>
        <w:t>combined cycle</w:t>
      </w:r>
      <w:r w:rsidR="00F1529F">
        <w:rPr>
          <w:bCs/>
        </w:rPr>
        <w:t xml:space="preserve"> resources </w:t>
      </w:r>
      <w:r w:rsidR="00DF15B3">
        <w:rPr>
          <w:bCs/>
        </w:rPr>
        <w:t>are</w:t>
      </w:r>
      <w:r w:rsidR="00F1529F">
        <w:rPr>
          <w:bCs/>
        </w:rPr>
        <w:t xml:space="preserve"> selected as resource additions.  This</w:t>
      </w:r>
      <w:r w:rsidR="00C76D7C">
        <w:rPr>
          <w:bCs/>
        </w:rPr>
        <w:t xml:space="preserve"> combined cycle</w:t>
      </w:r>
      <w:r w:rsidR="00DF15B3">
        <w:rPr>
          <w:bCs/>
        </w:rPr>
        <w:t xml:space="preserve"> </w:t>
      </w:r>
      <w:r w:rsidR="00F1529F">
        <w:rPr>
          <w:bCs/>
        </w:rPr>
        <w:t xml:space="preserve">selection requirement </w:t>
      </w:r>
      <w:r w:rsidR="00DF15B3">
        <w:rPr>
          <w:bCs/>
        </w:rPr>
        <w:t>is</w:t>
      </w:r>
      <w:r w:rsidR="00F1529F">
        <w:rPr>
          <w:bCs/>
        </w:rPr>
        <w:t xml:space="preserve"> only modeled </w:t>
      </w:r>
      <w:r w:rsidR="00F1529F">
        <w:rPr>
          <w:bCs/>
        </w:rPr>
        <w:lastRenderedPageBreak/>
        <w:t>in cases with $10/Ton and $20/Ton CO</w:t>
      </w:r>
      <w:r w:rsidR="00F1529F" w:rsidRPr="00F1529F">
        <w:rPr>
          <w:bCs/>
          <w:vertAlign w:val="subscript"/>
        </w:rPr>
        <w:t>2</w:t>
      </w:r>
      <w:r w:rsidR="00F1529F">
        <w:rPr>
          <w:bCs/>
        </w:rPr>
        <w:t xml:space="preserve"> costs</w:t>
      </w:r>
      <w:r w:rsidR="00DF15B3">
        <w:rPr>
          <w:bCs/>
        </w:rPr>
        <w:t>, and is only required after a certain date, which is different in the two CO</w:t>
      </w:r>
      <w:r w:rsidR="00DF15B3" w:rsidRPr="00DF15B3">
        <w:rPr>
          <w:bCs/>
          <w:vertAlign w:val="subscript"/>
        </w:rPr>
        <w:t>2</w:t>
      </w:r>
      <w:r w:rsidR="00DF15B3">
        <w:rPr>
          <w:bCs/>
        </w:rPr>
        <w:t xml:space="preserve"> cases.  Before those dates, the Company permits Strategist to add </w:t>
      </w:r>
      <w:r w:rsidR="00C76D7C">
        <w:rPr>
          <w:bCs/>
        </w:rPr>
        <w:t>combined cycle</w:t>
      </w:r>
      <w:r w:rsidR="00DF15B3">
        <w:rPr>
          <w:bCs/>
        </w:rPr>
        <w:t xml:space="preserve"> resources without carbon sequestration technology.  </w:t>
      </w:r>
      <w:r w:rsidR="00BB1B1F">
        <w:rPr>
          <w:bCs/>
        </w:rPr>
        <w:t xml:space="preserve">Similarly, </w:t>
      </w:r>
      <w:r w:rsidR="00DF15B3">
        <w:rPr>
          <w:bCs/>
        </w:rPr>
        <w:t>i</w:t>
      </w:r>
      <w:r w:rsidR="00F1529F">
        <w:rPr>
          <w:bCs/>
        </w:rPr>
        <w:t xml:space="preserve">n </w:t>
      </w:r>
      <w:r w:rsidR="00DF15B3">
        <w:rPr>
          <w:bCs/>
        </w:rPr>
        <w:t>$</w:t>
      </w:r>
      <w:r w:rsidR="00F1529F">
        <w:rPr>
          <w:bCs/>
        </w:rPr>
        <w:t>0/Ton CO2 c</w:t>
      </w:r>
      <w:r w:rsidR="00DF15B3">
        <w:rPr>
          <w:bCs/>
        </w:rPr>
        <w:t>ases</w:t>
      </w:r>
      <w:r w:rsidR="00F1529F">
        <w:rPr>
          <w:bCs/>
        </w:rPr>
        <w:t>,</w:t>
      </w:r>
      <w:r w:rsidR="00C76D7C">
        <w:rPr>
          <w:bCs/>
        </w:rPr>
        <w:t xml:space="preserve"> combined cycle</w:t>
      </w:r>
      <w:r w:rsidR="00F1529F">
        <w:rPr>
          <w:bCs/>
        </w:rPr>
        <w:t xml:space="preserve"> resource options are not required to include carbon sequestration</w:t>
      </w:r>
      <w:r w:rsidR="00BB1B1F">
        <w:rPr>
          <w:bCs/>
        </w:rPr>
        <w:t xml:space="preserve"> technology either.  C</w:t>
      </w:r>
      <w:r w:rsidR="00C76D7C">
        <w:rPr>
          <w:bCs/>
        </w:rPr>
        <w:t>ombined cycle</w:t>
      </w:r>
      <w:r w:rsidR="00BB1B1F">
        <w:rPr>
          <w:bCs/>
        </w:rPr>
        <w:t xml:space="preserve"> units modeled with carbon sequestration technology are substantially more expensive than </w:t>
      </w:r>
      <w:r w:rsidR="00C76D7C">
        <w:rPr>
          <w:bCs/>
        </w:rPr>
        <w:t>combined cycle</w:t>
      </w:r>
      <w:r w:rsidR="00BB1B1F">
        <w:rPr>
          <w:bCs/>
        </w:rPr>
        <w:t xml:space="preserve"> units without that technology.  </w:t>
      </w:r>
    </w:p>
    <w:p w14:paraId="41F1DFC3" w14:textId="77777777" w:rsidR="00BB1B1F" w:rsidRDefault="00BB1B1F" w:rsidP="00BB1B1F">
      <w:pPr>
        <w:spacing w:after="240" w:line="360" w:lineRule="auto"/>
        <w:ind w:left="720" w:hanging="720"/>
        <w:rPr>
          <w:b/>
        </w:rPr>
      </w:pPr>
      <w:r w:rsidRPr="00BB080D">
        <w:rPr>
          <w:b/>
        </w:rPr>
        <w:t>Q.</w:t>
      </w:r>
      <w:r w:rsidRPr="00BB080D">
        <w:rPr>
          <w:b/>
        </w:rPr>
        <w:tab/>
      </w:r>
      <w:r>
        <w:rPr>
          <w:b/>
        </w:rPr>
        <w:t>WHY DOES STAFF DISAGREE WITH THIS PRACTICE?</w:t>
      </w:r>
    </w:p>
    <w:p w14:paraId="7722202A" w14:textId="6B66D4ED" w:rsidR="00BB1B1F" w:rsidRPr="00BB080D" w:rsidRDefault="00BB1B1F" w:rsidP="00BB1B1F">
      <w:pPr>
        <w:spacing w:after="240" w:line="360" w:lineRule="auto"/>
        <w:ind w:left="720" w:hanging="720"/>
        <w:rPr>
          <w:b/>
        </w:rPr>
      </w:pPr>
      <w:r w:rsidRPr="00F1529F">
        <w:rPr>
          <w:bCs/>
        </w:rPr>
        <w:t>A.</w:t>
      </w:r>
      <w:r w:rsidRPr="00F1529F">
        <w:rPr>
          <w:bCs/>
        </w:rPr>
        <w:tab/>
      </w:r>
      <w:r>
        <w:rPr>
          <w:bCs/>
        </w:rPr>
        <w:t xml:space="preserve">As Staff mentioned in its 2019 IRP testimony, this technology is extremely expensive and not </w:t>
      </w:r>
      <w:r w:rsidR="00F12A60">
        <w:rPr>
          <w:bCs/>
        </w:rPr>
        <w:t xml:space="preserve">yet </w:t>
      </w:r>
      <w:r>
        <w:rPr>
          <w:bCs/>
        </w:rPr>
        <w:t xml:space="preserve">commercially available, and Staff is not aware of when it could even become commercially available for use in Georgia.  Given that the Company has modeled this technology for </w:t>
      </w:r>
      <w:r w:rsidR="00F12A60">
        <w:rPr>
          <w:bCs/>
        </w:rPr>
        <w:t xml:space="preserve">many years, and it still appears no closer to being commercially available, Staff decided to remove this constraint.  Staff still left </w:t>
      </w:r>
      <w:r w:rsidR="00C76D7C">
        <w:rPr>
          <w:bCs/>
        </w:rPr>
        <w:t xml:space="preserve">combined cycle </w:t>
      </w:r>
      <w:r w:rsidR="00F12A60">
        <w:rPr>
          <w:bCs/>
        </w:rPr>
        <w:t xml:space="preserve">options with sequestration in the model, however, Staff allowed the model to </w:t>
      </w:r>
      <w:r w:rsidR="00AF2BD8">
        <w:rPr>
          <w:bCs/>
        </w:rPr>
        <w:t xml:space="preserve">determine based on economics whether </w:t>
      </w:r>
      <w:r w:rsidR="00C76D7C">
        <w:rPr>
          <w:bCs/>
        </w:rPr>
        <w:t>combined cycle</w:t>
      </w:r>
      <w:r w:rsidR="00F12A60">
        <w:rPr>
          <w:bCs/>
        </w:rPr>
        <w:t xml:space="preserve"> resources with </w:t>
      </w:r>
      <w:r w:rsidR="00AF2BD8">
        <w:rPr>
          <w:bCs/>
        </w:rPr>
        <w:t xml:space="preserve">or </w:t>
      </w:r>
      <w:r w:rsidR="00F12A60">
        <w:rPr>
          <w:bCs/>
        </w:rPr>
        <w:t>without this technology</w:t>
      </w:r>
      <w:r w:rsidR="00AF2BD8">
        <w:rPr>
          <w:bCs/>
        </w:rPr>
        <w:t xml:space="preserve"> should be added</w:t>
      </w:r>
      <w:r w:rsidR="00F12A60">
        <w:rPr>
          <w:bCs/>
        </w:rPr>
        <w:t xml:space="preserve">.  </w:t>
      </w:r>
    </w:p>
    <w:p w14:paraId="7338F3C6" w14:textId="77777777" w:rsidR="0011705A" w:rsidRDefault="000407C0" w:rsidP="005643CC">
      <w:pPr>
        <w:spacing w:after="240" w:line="360" w:lineRule="auto"/>
        <w:ind w:left="720" w:hanging="720"/>
        <w:rPr>
          <w:bCs/>
        </w:rPr>
      </w:pPr>
      <w:r>
        <w:rPr>
          <w:bCs/>
        </w:rPr>
        <w:t xml:space="preserve">  </w:t>
      </w:r>
      <w:r w:rsidR="00EB3AEE">
        <w:rPr>
          <w:bCs/>
        </w:rPr>
        <w:t xml:space="preserve">  </w:t>
      </w:r>
    </w:p>
    <w:p w14:paraId="6AECF155" w14:textId="77777777" w:rsidR="00AE5541" w:rsidRDefault="005F7C8A" w:rsidP="009144CF">
      <w:pPr>
        <w:pStyle w:val="Heading2"/>
        <w:numPr>
          <w:ilvl w:val="0"/>
          <w:numId w:val="0"/>
        </w:numPr>
        <w:spacing w:before="0" w:after="240" w:line="360" w:lineRule="auto"/>
        <w:ind w:left="720" w:hanging="720"/>
        <w:rPr>
          <w:szCs w:val="28"/>
        </w:rPr>
      </w:pPr>
      <w:bookmarkStart w:id="27" w:name="_Toc499136449"/>
      <w:bookmarkStart w:id="28" w:name="_Toc24967262"/>
      <w:r>
        <w:rPr>
          <w:szCs w:val="28"/>
        </w:rPr>
        <w:t>Staff</w:t>
      </w:r>
      <w:r w:rsidR="009144CF">
        <w:rPr>
          <w:szCs w:val="28"/>
        </w:rPr>
        <w:t>’s</w:t>
      </w:r>
      <w:r w:rsidR="00AE5541" w:rsidRPr="00BE4548">
        <w:rPr>
          <w:szCs w:val="28"/>
        </w:rPr>
        <w:t xml:space="preserve"> Economic Evaluation Results</w:t>
      </w:r>
      <w:bookmarkEnd w:id="27"/>
      <w:bookmarkEnd w:id="28"/>
      <w:r w:rsidR="00AE5541" w:rsidRPr="00BE4548">
        <w:rPr>
          <w:szCs w:val="28"/>
        </w:rPr>
        <w:t xml:space="preserve"> </w:t>
      </w:r>
    </w:p>
    <w:p w14:paraId="1EF33434" w14:textId="77777777" w:rsidR="001178CA" w:rsidRDefault="001178CA" w:rsidP="001178CA">
      <w:pPr>
        <w:spacing w:line="360" w:lineRule="auto"/>
      </w:pPr>
    </w:p>
    <w:p w14:paraId="73267F23" w14:textId="77777777" w:rsidR="00D61DDF" w:rsidRDefault="00D61DDF" w:rsidP="00D61DDF">
      <w:pPr>
        <w:spacing w:after="240" w:line="360" w:lineRule="auto"/>
        <w:ind w:left="720" w:hanging="720"/>
        <w:rPr>
          <w:b/>
        </w:rPr>
      </w:pPr>
      <w:r w:rsidRPr="00BB6163">
        <w:rPr>
          <w:b/>
        </w:rPr>
        <w:t>Q.</w:t>
      </w:r>
      <w:r w:rsidRPr="00BB6163">
        <w:rPr>
          <w:b/>
        </w:rPr>
        <w:tab/>
      </w:r>
      <w:r w:rsidR="006B551F">
        <w:rPr>
          <w:b/>
        </w:rPr>
        <w:t xml:space="preserve">PLEASE </w:t>
      </w:r>
      <w:r>
        <w:rPr>
          <w:b/>
        </w:rPr>
        <w:t xml:space="preserve">PROVIDE A TABLE SIMILAR TO TABLE 4.1 </w:t>
      </w:r>
      <w:r w:rsidR="002C00AE">
        <w:rPr>
          <w:b/>
        </w:rPr>
        <w:t xml:space="preserve">IN THE COMPANY’S VCM </w:t>
      </w:r>
      <w:r w:rsidR="007529C5">
        <w:rPr>
          <w:b/>
        </w:rPr>
        <w:t xml:space="preserve">20/21 </w:t>
      </w:r>
      <w:r w:rsidR="002C00AE">
        <w:rPr>
          <w:b/>
        </w:rPr>
        <w:t xml:space="preserve">REPORT, </w:t>
      </w:r>
      <w:r>
        <w:rPr>
          <w:b/>
        </w:rPr>
        <w:t xml:space="preserve">BASED ON STAFF’S PREFERRED ASSUMPTIONS.  </w:t>
      </w:r>
    </w:p>
    <w:p w14:paraId="26E85029" w14:textId="47AEFE56" w:rsidR="00D61DDF" w:rsidRDefault="00D61DDF" w:rsidP="00D61DDF">
      <w:pPr>
        <w:spacing w:after="240" w:line="360" w:lineRule="auto"/>
        <w:ind w:left="720" w:hanging="720"/>
      </w:pPr>
      <w:r w:rsidRPr="00BB6163">
        <w:t>A.</w:t>
      </w:r>
      <w:r w:rsidRPr="00BB6163">
        <w:tab/>
      </w:r>
      <w:r>
        <w:t>The following table contain</w:t>
      </w:r>
      <w:r w:rsidR="00694EB7">
        <w:t>s</w:t>
      </w:r>
      <w:r>
        <w:t xml:space="preserve"> the results based on Staff’s assumptions.</w:t>
      </w:r>
    </w:p>
    <w:p w14:paraId="4426DA30" w14:textId="77777777" w:rsidR="006D5162" w:rsidRDefault="006D5162">
      <w:r>
        <w:br w:type="page"/>
      </w:r>
    </w:p>
    <w:tbl>
      <w:tblPr>
        <w:tblW w:w="7155" w:type="dxa"/>
        <w:jc w:val="center"/>
        <w:tblLayout w:type="fixed"/>
        <w:tblLook w:val="04A0" w:firstRow="1" w:lastRow="0" w:firstColumn="1" w:lastColumn="0" w:noHBand="0" w:noVBand="1"/>
      </w:tblPr>
      <w:tblGrid>
        <w:gridCol w:w="1418"/>
        <w:gridCol w:w="1101"/>
        <w:gridCol w:w="249"/>
        <w:gridCol w:w="1102"/>
        <w:gridCol w:w="387"/>
        <w:gridCol w:w="1458"/>
        <w:gridCol w:w="1440"/>
      </w:tblGrid>
      <w:tr w:rsidR="00D61DDF" w:rsidRPr="00934A74" w14:paraId="2CCE50EB" w14:textId="77777777" w:rsidTr="006D5162">
        <w:trPr>
          <w:trHeight w:val="297"/>
          <w:jc w:val="center"/>
        </w:trPr>
        <w:tc>
          <w:tcPr>
            <w:tcW w:w="7155" w:type="dxa"/>
            <w:gridSpan w:val="7"/>
            <w:tcBorders>
              <w:top w:val="nil"/>
              <w:left w:val="nil"/>
              <w:bottom w:val="nil"/>
              <w:right w:val="nil"/>
            </w:tcBorders>
            <w:shd w:val="clear" w:color="auto" w:fill="auto"/>
            <w:noWrap/>
            <w:vAlign w:val="bottom"/>
            <w:hideMark/>
          </w:tcPr>
          <w:p w14:paraId="395804D8" w14:textId="5944EC37" w:rsidR="00226804" w:rsidRDefault="00226804" w:rsidP="000D3207">
            <w:pPr>
              <w:ind w:left="720" w:hanging="720"/>
              <w:jc w:val="center"/>
              <w:rPr>
                <w:rFonts w:eastAsia="Times New Roman"/>
                <w:b/>
                <w:bCs/>
                <w:color w:val="000000"/>
              </w:rPr>
            </w:pPr>
          </w:p>
          <w:p w14:paraId="00BEA50B" w14:textId="77777777" w:rsidR="00D61DDF" w:rsidRPr="00934A74" w:rsidRDefault="00D61DDF" w:rsidP="000D3207">
            <w:pPr>
              <w:ind w:left="720" w:hanging="720"/>
              <w:jc w:val="center"/>
              <w:rPr>
                <w:rFonts w:eastAsia="Times New Roman"/>
                <w:b/>
                <w:bCs/>
                <w:color w:val="000000"/>
              </w:rPr>
            </w:pPr>
            <w:r w:rsidRPr="00934A74">
              <w:rPr>
                <w:rFonts w:eastAsia="Times New Roman"/>
                <w:b/>
                <w:bCs/>
                <w:color w:val="000000"/>
              </w:rPr>
              <w:t>T</w:t>
            </w:r>
            <w:r>
              <w:rPr>
                <w:rFonts w:eastAsia="Times New Roman"/>
                <w:b/>
                <w:bCs/>
                <w:color w:val="000000"/>
              </w:rPr>
              <w:t>able 3</w:t>
            </w:r>
          </w:p>
        </w:tc>
      </w:tr>
      <w:tr w:rsidR="00D61DDF" w:rsidRPr="00934A74" w14:paraId="0B7A658E" w14:textId="77777777" w:rsidTr="006D5162">
        <w:trPr>
          <w:trHeight w:val="297"/>
          <w:jc w:val="center"/>
        </w:trPr>
        <w:tc>
          <w:tcPr>
            <w:tcW w:w="7155" w:type="dxa"/>
            <w:gridSpan w:val="7"/>
            <w:tcBorders>
              <w:top w:val="nil"/>
              <w:left w:val="nil"/>
              <w:bottom w:val="nil"/>
              <w:right w:val="nil"/>
            </w:tcBorders>
            <w:shd w:val="clear" w:color="auto" w:fill="auto"/>
            <w:noWrap/>
            <w:vAlign w:val="bottom"/>
          </w:tcPr>
          <w:p w14:paraId="02030A83" w14:textId="77777777" w:rsidR="00D61DDF" w:rsidRDefault="00D61DDF" w:rsidP="000D3207">
            <w:pPr>
              <w:jc w:val="center"/>
              <w:rPr>
                <w:rFonts w:eastAsia="Times New Roman"/>
                <w:b/>
                <w:bCs/>
                <w:color w:val="000000"/>
              </w:rPr>
            </w:pPr>
            <w:bookmarkStart w:id="29" w:name="_Hlk23874157"/>
            <w:r w:rsidRPr="00934A74">
              <w:rPr>
                <w:rFonts w:eastAsia="Times New Roman"/>
                <w:b/>
                <w:bCs/>
                <w:color w:val="000000"/>
              </w:rPr>
              <w:t>Staff</w:t>
            </w:r>
            <w:r w:rsidR="00291E00">
              <w:rPr>
                <w:rFonts w:eastAsia="Times New Roman"/>
                <w:b/>
                <w:bCs/>
                <w:color w:val="000000"/>
              </w:rPr>
              <w:t>’s VCM 20/21</w:t>
            </w:r>
            <w:r w:rsidRPr="00934A74">
              <w:rPr>
                <w:rFonts w:eastAsia="Times New Roman"/>
                <w:b/>
                <w:bCs/>
                <w:color w:val="000000"/>
              </w:rPr>
              <w:t xml:space="preserve"> </w:t>
            </w:r>
            <w:r>
              <w:rPr>
                <w:rFonts w:eastAsia="Times New Roman"/>
                <w:b/>
                <w:bCs/>
                <w:color w:val="000000"/>
              </w:rPr>
              <w:t xml:space="preserve">Cost To Complete </w:t>
            </w:r>
            <w:r w:rsidRPr="00934A74">
              <w:rPr>
                <w:rFonts w:eastAsia="Times New Roman"/>
                <w:b/>
                <w:bCs/>
                <w:color w:val="000000"/>
              </w:rPr>
              <w:t>Economic Evaluation</w:t>
            </w:r>
          </w:p>
          <w:p w14:paraId="49B6F8FA" w14:textId="77777777" w:rsidR="00D61DDF" w:rsidRPr="00934A74" w:rsidRDefault="00D61DDF" w:rsidP="000D3207">
            <w:pPr>
              <w:jc w:val="center"/>
              <w:rPr>
                <w:rFonts w:eastAsia="Times New Roman"/>
                <w:b/>
                <w:bCs/>
                <w:color w:val="000000"/>
              </w:rPr>
            </w:pPr>
            <w:r w:rsidRPr="00934A74">
              <w:rPr>
                <w:rFonts w:eastAsia="Times New Roman"/>
                <w:b/>
                <w:bCs/>
                <w:color w:val="000000"/>
              </w:rPr>
              <w:t xml:space="preserve">68-Month </w:t>
            </w:r>
            <w:r>
              <w:rPr>
                <w:rFonts w:eastAsia="Times New Roman"/>
                <w:b/>
                <w:bCs/>
                <w:color w:val="000000"/>
              </w:rPr>
              <w:t>Delay Case</w:t>
            </w:r>
          </w:p>
        </w:tc>
      </w:tr>
      <w:tr w:rsidR="00D61DDF" w:rsidRPr="00934A74" w14:paraId="3E535C77" w14:textId="77777777" w:rsidTr="006D5162">
        <w:trPr>
          <w:trHeight w:val="300"/>
          <w:jc w:val="center"/>
        </w:trPr>
        <w:tc>
          <w:tcPr>
            <w:tcW w:w="7155" w:type="dxa"/>
            <w:gridSpan w:val="7"/>
            <w:tcBorders>
              <w:top w:val="nil"/>
              <w:left w:val="nil"/>
              <w:bottom w:val="nil"/>
              <w:right w:val="nil"/>
            </w:tcBorders>
            <w:shd w:val="clear" w:color="auto" w:fill="auto"/>
            <w:noWrap/>
            <w:vAlign w:val="bottom"/>
            <w:hideMark/>
          </w:tcPr>
          <w:p w14:paraId="7196B965" w14:textId="77777777" w:rsidR="00D61DDF" w:rsidRPr="00934A74" w:rsidRDefault="00D61DDF" w:rsidP="000D3207">
            <w:pPr>
              <w:jc w:val="center"/>
              <w:rPr>
                <w:rFonts w:eastAsia="Times New Roman"/>
                <w:b/>
                <w:bCs/>
                <w:color w:val="000000"/>
              </w:rPr>
            </w:pPr>
            <w:r>
              <w:rPr>
                <w:rFonts w:eastAsia="Times New Roman"/>
                <w:b/>
                <w:bCs/>
                <w:color w:val="000000"/>
              </w:rPr>
              <w:t>Economic Benefit</w:t>
            </w:r>
            <w:r w:rsidRPr="00934A74">
              <w:rPr>
                <w:rFonts w:eastAsia="Times New Roman"/>
                <w:b/>
                <w:bCs/>
                <w:color w:val="000000"/>
              </w:rPr>
              <w:t xml:space="preserve"> of the Project Versus CC</w:t>
            </w:r>
          </w:p>
        </w:tc>
      </w:tr>
      <w:tr w:rsidR="00D61DDF" w:rsidRPr="00934A74" w14:paraId="20CADC02" w14:textId="77777777" w:rsidTr="006D5162">
        <w:trPr>
          <w:trHeight w:val="300"/>
          <w:jc w:val="center"/>
        </w:trPr>
        <w:tc>
          <w:tcPr>
            <w:tcW w:w="7155" w:type="dxa"/>
            <w:gridSpan w:val="7"/>
            <w:tcBorders>
              <w:top w:val="nil"/>
              <w:left w:val="nil"/>
              <w:bottom w:val="nil"/>
              <w:right w:val="nil"/>
            </w:tcBorders>
            <w:shd w:val="clear" w:color="auto" w:fill="auto"/>
            <w:noWrap/>
            <w:vAlign w:val="bottom"/>
            <w:hideMark/>
          </w:tcPr>
          <w:p w14:paraId="1F0F15FA" w14:textId="77777777" w:rsidR="00D61DDF" w:rsidRPr="00934A74" w:rsidRDefault="00D61DDF" w:rsidP="000D3207">
            <w:pPr>
              <w:jc w:val="center"/>
              <w:rPr>
                <w:rFonts w:eastAsia="Times New Roman"/>
                <w:b/>
                <w:bCs/>
                <w:color w:val="000000"/>
              </w:rPr>
            </w:pPr>
            <w:r w:rsidRPr="00934A74">
              <w:rPr>
                <w:rFonts w:eastAsia="Times New Roman"/>
                <w:b/>
                <w:bCs/>
                <w:color w:val="000000"/>
              </w:rPr>
              <w:t>2018 Net Present Value</w:t>
            </w:r>
            <w:r>
              <w:rPr>
                <w:rFonts w:eastAsia="Times New Roman"/>
                <w:b/>
                <w:bCs/>
                <w:color w:val="000000"/>
              </w:rPr>
              <w:t xml:space="preserve"> Date</w:t>
            </w:r>
          </w:p>
        </w:tc>
      </w:tr>
      <w:tr w:rsidR="00D61DDF" w:rsidRPr="00934A74" w14:paraId="062F852B" w14:textId="77777777" w:rsidTr="006D5162">
        <w:trPr>
          <w:trHeight w:val="300"/>
          <w:jc w:val="center"/>
        </w:trPr>
        <w:tc>
          <w:tcPr>
            <w:tcW w:w="7155" w:type="dxa"/>
            <w:gridSpan w:val="7"/>
            <w:tcBorders>
              <w:top w:val="nil"/>
              <w:left w:val="nil"/>
              <w:bottom w:val="nil"/>
              <w:right w:val="nil"/>
            </w:tcBorders>
            <w:shd w:val="clear" w:color="auto" w:fill="auto"/>
            <w:noWrap/>
            <w:vAlign w:val="bottom"/>
            <w:hideMark/>
          </w:tcPr>
          <w:p w14:paraId="2166F772" w14:textId="77777777" w:rsidR="00D61DDF" w:rsidRPr="00934A74" w:rsidRDefault="00D61DDF" w:rsidP="000D3207">
            <w:pPr>
              <w:jc w:val="center"/>
              <w:rPr>
                <w:rFonts w:eastAsia="Times New Roman"/>
                <w:b/>
                <w:bCs/>
                <w:color w:val="000000"/>
              </w:rPr>
            </w:pPr>
            <w:r w:rsidRPr="00934A74">
              <w:rPr>
                <w:rFonts w:eastAsia="Times New Roman"/>
                <w:b/>
                <w:bCs/>
                <w:color w:val="000000"/>
              </w:rPr>
              <w:t>(Billions of dollars, Negative Means Uneconomic)</w:t>
            </w:r>
          </w:p>
        </w:tc>
      </w:tr>
      <w:tr w:rsidR="00D61DDF" w:rsidRPr="00934A74" w14:paraId="31BB5607" w14:textId="77777777" w:rsidTr="006D5162">
        <w:trPr>
          <w:trHeight w:val="300"/>
          <w:jc w:val="center"/>
        </w:trPr>
        <w:tc>
          <w:tcPr>
            <w:tcW w:w="1418" w:type="dxa"/>
            <w:tcBorders>
              <w:top w:val="nil"/>
              <w:left w:val="nil"/>
              <w:bottom w:val="nil"/>
              <w:right w:val="nil"/>
            </w:tcBorders>
            <w:shd w:val="clear" w:color="auto" w:fill="auto"/>
            <w:noWrap/>
            <w:vAlign w:val="bottom"/>
            <w:hideMark/>
          </w:tcPr>
          <w:p w14:paraId="6814714D" w14:textId="77777777" w:rsidR="00D61DDF" w:rsidRPr="00934A74" w:rsidRDefault="00D61DDF" w:rsidP="000D3207">
            <w:pPr>
              <w:jc w:val="center"/>
              <w:rPr>
                <w:rFonts w:eastAsia="Times New Roman"/>
                <w:sz w:val="20"/>
                <w:szCs w:val="20"/>
              </w:rPr>
            </w:pPr>
          </w:p>
        </w:tc>
        <w:tc>
          <w:tcPr>
            <w:tcW w:w="1101" w:type="dxa"/>
            <w:tcBorders>
              <w:top w:val="nil"/>
              <w:left w:val="nil"/>
              <w:bottom w:val="nil"/>
              <w:right w:val="nil"/>
            </w:tcBorders>
            <w:shd w:val="clear" w:color="auto" w:fill="auto"/>
            <w:noWrap/>
            <w:vAlign w:val="bottom"/>
            <w:hideMark/>
          </w:tcPr>
          <w:p w14:paraId="734B7707" w14:textId="77777777" w:rsidR="00D61DDF" w:rsidRPr="00934A74" w:rsidRDefault="00D61DDF" w:rsidP="000D3207">
            <w:pPr>
              <w:jc w:val="center"/>
              <w:rPr>
                <w:rFonts w:eastAsia="Times New Roman"/>
                <w:sz w:val="20"/>
                <w:szCs w:val="20"/>
              </w:rPr>
            </w:pPr>
          </w:p>
        </w:tc>
        <w:tc>
          <w:tcPr>
            <w:tcW w:w="1351" w:type="dxa"/>
            <w:gridSpan w:val="2"/>
            <w:tcBorders>
              <w:top w:val="nil"/>
              <w:left w:val="nil"/>
              <w:bottom w:val="nil"/>
              <w:right w:val="nil"/>
            </w:tcBorders>
            <w:shd w:val="clear" w:color="auto" w:fill="auto"/>
            <w:noWrap/>
            <w:vAlign w:val="bottom"/>
            <w:hideMark/>
          </w:tcPr>
          <w:p w14:paraId="31224280" w14:textId="77777777" w:rsidR="00D61DDF" w:rsidRPr="00934A74" w:rsidRDefault="00D61DDF" w:rsidP="000D3207">
            <w:pPr>
              <w:jc w:val="center"/>
              <w:rPr>
                <w:rFonts w:eastAsia="Times New Roman"/>
                <w:sz w:val="20"/>
                <w:szCs w:val="20"/>
              </w:rPr>
            </w:pPr>
          </w:p>
        </w:tc>
        <w:tc>
          <w:tcPr>
            <w:tcW w:w="1845" w:type="dxa"/>
            <w:gridSpan w:val="2"/>
            <w:tcBorders>
              <w:top w:val="nil"/>
              <w:left w:val="nil"/>
              <w:bottom w:val="nil"/>
              <w:right w:val="nil"/>
            </w:tcBorders>
            <w:shd w:val="clear" w:color="auto" w:fill="auto"/>
            <w:noWrap/>
            <w:vAlign w:val="bottom"/>
            <w:hideMark/>
          </w:tcPr>
          <w:p w14:paraId="0A5E0531" w14:textId="77777777" w:rsidR="00D61DDF" w:rsidRPr="00934A74" w:rsidRDefault="00D61DDF" w:rsidP="000D3207">
            <w:pPr>
              <w:jc w:val="center"/>
              <w:rPr>
                <w:rFonts w:eastAsia="Times New Roman"/>
                <w:sz w:val="20"/>
                <w:szCs w:val="20"/>
              </w:rPr>
            </w:pPr>
          </w:p>
        </w:tc>
        <w:tc>
          <w:tcPr>
            <w:tcW w:w="1440" w:type="dxa"/>
            <w:tcBorders>
              <w:top w:val="nil"/>
              <w:left w:val="nil"/>
              <w:bottom w:val="nil"/>
              <w:right w:val="nil"/>
            </w:tcBorders>
            <w:shd w:val="clear" w:color="auto" w:fill="auto"/>
            <w:noWrap/>
            <w:vAlign w:val="bottom"/>
            <w:hideMark/>
          </w:tcPr>
          <w:p w14:paraId="53F9D05D" w14:textId="77777777" w:rsidR="00D61DDF" w:rsidRPr="00934A74" w:rsidRDefault="00D61DDF" w:rsidP="000D3207">
            <w:pPr>
              <w:jc w:val="center"/>
              <w:rPr>
                <w:rFonts w:eastAsia="Times New Roman"/>
                <w:sz w:val="20"/>
                <w:szCs w:val="20"/>
              </w:rPr>
            </w:pPr>
          </w:p>
        </w:tc>
      </w:tr>
      <w:tr w:rsidR="007529C5" w:rsidRPr="00934A74" w14:paraId="3F7911A9" w14:textId="77777777" w:rsidTr="006D5162">
        <w:trPr>
          <w:trHeight w:val="522"/>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2700" w14:textId="77777777" w:rsidR="007529C5" w:rsidRPr="00934A74" w:rsidRDefault="007529C5" w:rsidP="007529C5">
            <w:pPr>
              <w:contextualSpacing/>
              <w:jc w:val="center"/>
              <w:rPr>
                <w:rFonts w:eastAsia="Times New Roman"/>
                <w:b/>
                <w:bCs/>
                <w:color w:val="000000"/>
              </w:rPr>
            </w:pPr>
            <w:r w:rsidRPr="00934A74">
              <w:rPr>
                <w:rFonts w:eastAsia="Times New Roman"/>
                <w:b/>
                <w:bCs/>
                <w:color w:val="000000"/>
              </w:rPr>
              <w:t>Fuel</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4530C0" w14:textId="77777777" w:rsidR="007529C5" w:rsidRPr="00934A74" w:rsidRDefault="007529C5" w:rsidP="007529C5">
            <w:pPr>
              <w:contextualSpacing/>
              <w:jc w:val="center"/>
              <w:rPr>
                <w:rFonts w:eastAsia="Times New Roman"/>
                <w:b/>
                <w:bCs/>
                <w:color w:val="000000"/>
              </w:rPr>
            </w:pPr>
            <w:r w:rsidRPr="00934A74">
              <w:rPr>
                <w:rFonts w:eastAsia="Times New Roman"/>
                <w:b/>
                <w:bCs/>
                <w:color w:val="000000"/>
              </w:rPr>
              <w:t>$0</w:t>
            </w:r>
            <w:r>
              <w:rPr>
                <w:rFonts w:eastAsia="Times New Roman"/>
                <w:b/>
                <w:bCs/>
                <w:color w:val="000000"/>
              </w:rPr>
              <w:t>/Ton CO</w:t>
            </w:r>
            <w:r w:rsidRPr="00F12505">
              <w:rPr>
                <w:rFonts w:eastAsia="Times New Roman"/>
                <w:b/>
                <w:bCs/>
                <w:color w:val="000000"/>
                <w:vertAlign w:val="subscript"/>
              </w:rPr>
              <w:t>2</w:t>
            </w:r>
          </w:p>
        </w:tc>
        <w:tc>
          <w:tcPr>
            <w:tcW w:w="14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6BF211" w14:textId="77777777" w:rsidR="007529C5" w:rsidRPr="00934A74" w:rsidRDefault="007529C5" w:rsidP="007529C5">
            <w:pPr>
              <w:contextualSpacing/>
              <w:jc w:val="center"/>
              <w:rPr>
                <w:rFonts w:eastAsia="Times New Roman"/>
                <w:b/>
                <w:bCs/>
                <w:color w:val="000000"/>
              </w:rPr>
            </w:pPr>
            <w:r w:rsidRPr="00934A74">
              <w:rPr>
                <w:rFonts w:eastAsia="Times New Roman"/>
                <w:b/>
                <w:bCs/>
                <w:color w:val="000000"/>
              </w:rPr>
              <w:t>$10</w:t>
            </w:r>
            <w:r>
              <w:rPr>
                <w:rFonts w:eastAsia="Times New Roman"/>
                <w:b/>
                <w:bCs/>
                <w:color w:val="000000"/>
              </w:rPr>
              <w:t>/Ton CO</w:t>
            </w:r>
            <w:r w:rsidRPr="00F12505">
              <w:rPr>
                <w:rFonts w:eastAsia="Times New Roman"/>
                <w:b/>
                <w:bCs/>
                <w:color w:val="000000"/>
                <w:vertAlign w:val="subscript"/>
              </w:rPr>
              <w:t>2</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6132587B" w14:textId="77777777" w:rsidR="007529C5" w:rsidRPr="00934A74" w:rsidRDefault="007529C5" w:rsidP="007529C5">
            <w:pPr>
              <w:contextualSpacing/>
              <w:jc w:val="center"/>
              <w:rPr>
                <w:rFonts w:eastAsia="Times New Roman"/>
                <w:b/>
                <w:bCs/>
                <w:color w:val="000000"/>
              </w:rPr>
            </w:pPr>
            <w:r w:rsidRPr="00934A74">
              <w:rPr>
                <w:rFonts w:eastAsia="Times New Roman"/>
                <w:b/>
                <w:bCs/>
                <w:color w:val="000000"/>
              </w:rPr>
              <w:t>$20</w:t>
            </w:r>
            <w:r>
              <w:rPr>
                <w:rFonts w:eastAsia="Times New Roman"/>
                <w:b/>
                <w:bCs/>
                <w:color w:val="000000"/>
              </w:rPr>
              <w:t>/Ton CO</w:t>
            </w:r>
            <w:r w:rsidRPr="00F12505">
              <w:rPr>
                <w:rFonts w:eastAsia="Times New Roman"/>
                <w:b/>
                <w:bCs/>
                <w:color w:val="000000"/>
                <w:vertAlign w:val="subscript"/>
              </w:rPr>
              <w:t>2</w:t>
            </w:r>
          </w:p>
        </w:tc>
        <w:tc>
          <w:tcPr>
            <w:tcW w:w="1440" w:type="dxa"/>
            <w:tcBorders>
              <w:top w:val="nil"/>
              <w:left w:val="nil"/>
              <w:bottom w:val="nil"/>
              <w:right w:val="nil"/>
            </w:tcBorders>
            <w:shd w:val="clear" w:color="auto" w:fill="auto"/>
            <w:noWrap/>
            <w:vAlign w:val="bottom"/>
            <w:hideMark/>
          </w:tcPr>
          <w:p w14:paraId="63794C82" w14:textId="77777777" w:rsidR="007529C5" w:rsidRPr="00934A74" w:rsidRDefault="007529C5" w:rsidP="007529C5">
            <w:pPr>
              <w:contextualSpacing/>
              <w:jc w:val="center"/>
              <w:rPr>
                <w:rFonts w:eastAsia="Times New Roman"/>
                <w:b/>
                <w:bCs/>
                <w:color w:val="000000"/>
              </w:rPr>
            </w:pPr>
            <w:r w:rsidRPr="00934A74">
              <w:rPr>
                <w:rFonts w:eastAsia="Times New Roman"/>
                <w:color w:val="000000"/>
              </w:rPr>
              <w:t>Expected</w:t>
            </w:r>
          </w:p>
        </w:tc>
      </w:tr>
      <w:tr w:rsidR="00277F7C" w:rsidRPr="00934A74" w14:paraId="1097E619" w14:textId="77777777" w:rsidTr="006D5162">
        <w:trPr>
          <w:trHeight w:val="305"/>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2A75298" w14:textId="77777777" w:rsidR="00277F7C" w:rsidRPr="00934A74" w:rsidRDefault="00277F7C" w:rsidP="00277F7C">
            <w:pPr>
              <w:contextualSpacing/>
              <w:jc w:val="center"/>
              <w:rPr>
                <w:rFonts w:eastAsia="Times New Roman"/>
                <w:color w:val="000000"/>
              </w:rPr>
            </w:pPr>
            <w:r w:rsidRPr="00934A74">
              <w:rPr>
                <w:rFonts w:eastAsia="Times New Roman"/>
                <w:color w:val="000000"/>
              </w:rPr>
              <w:t>High</w:t>
            </w:r>
          </w:p>
        </w:tc>
        <w:tc>
          <w:tcPr>
            <w:tcW w:w="1350" w:type="dxa"/>
            <w:gridSpan w:val="2"/>
            <w:tcBorders>
              <w:top w:val="nil"/>
              <w:left w:val="nil"/>
              <w:bottom w:val="single" w:sz="4" w:space="0" w:color="auto"/>
              <w:right w:val="single" w:sz="4" w:space="0" w:color="auto"/>
            </w:tcBorders>
            <w:shd w:val="clear" w:color="auto" w:fill="auto"/>
            <w:noWrap/>
            <w:vAlign w:val="bottom"/>
          </w:tcPr>
          <w:p w14:paraId="08184EAA" w14:textId="04A97F9C" w:rsidR="00277F7C" w:rsidRPr="00277F7C" w:rsidRDefault="00277F7C" w:rsidP="00277F7C">
            <w:pPr>
              <w:contextualSpacing/>
              <w:jc w:val="center"/>
              <w:rPr>
                <w:rFonts w:eastAsia="Times New Roman"/>
                <w:color w:val="000000"/>
              </w:rPr>
            </w:pPr>
            <w:r w:rsidRPr="00277F7C">
              <w:t xml:space="preserve">        1.</w:t>
            </w:r>
            <w:r w:rsidR="00AB2E34">
              <w:t>5</w:t>
            </w:r>
          </w:p>
        </w:tc>
        <w:tc>
          <w:tcPr>
            <w:tcW w:w="1489" w:type="dxa"/>
            <w:gridSpan w:val="2"/>
            <w:tcBorders>
              <w:top w:val="nil"/>
              <w:left w:val="nil"/>
              <w:bottom w:val="single" w:sz="4" w:space="0" w:color="auto"/>
              <w:right w:val="single" w:sz="4" w:space="0" w:color="auto"/>
            </w:tcBorders>
            <w:shd w:val="clear" w:color="auto" w:fill="auto"/>
            <w:noWrap/>
            <w:vAlign w:val="bottom"/>
          </w:tcPr>
          <w:p w14:paraId="278E8123" w14:textId="5F9017E1" w:rsidR="00277F7C" w:rsidRPr="00277F7C" w:rsidRDefault="00277F7C" w:rsidP="00277F7C">
            <w:pPr>
              <w:contextualSpacing/>
              <w:jc w:val="center"/>
              <w:rPr>
                <w:rFonts w:eastAsia="Times New Roman"/>
                <w:color w:val="000000"/>
              </w:rPr>
            </w:pPr>
            <w:r w:rsidRPr="00277F7C">
              <w:t xml:space="preserve">        </w:t>
            </w:r>
            <w:r w:rsidR="00AB2E34">
              <w:t>2.0</w:t>
            </w:r>
            <w:r w:rsidRPr="00277F7C">
              <w:t xml:space="preserve"> </w:t>
            </w:r>
          </w:p>
        </w:tc>
        <w:tc>
          <w:tcPr>
            <w:tcW w:w="1458" w:type="dxa"/>
            <w:tcBorders>
              <w:top w:val="nil"/>
              <w:left w:val="nil"/>
              <w:bottom w:val="single" w:sz="4" w:space="0" w:color="auto"/>
              <w:right w:val="single" w:sz="4" w:space="0" w:color="auto"/>
            </w:tcBorders>
            <w:shd w:val="clear" w:color="auto" w:fill="auto"/>
            <w:noWrap/>
            <w:vAlign w:val="bottom"/>
          </w:tcPr>
          <w:p w14:paraId="20FCEA18" w14:textId="6ACB8FB0" w:rsidR="00277F7C" w:rsidRPr="00277F7C" w:rsidRDefault="00277F7C" w:rsidP="00277F7C">
            <w:pPr>
              <w:contextualSpacing/>
              <w:jc w:val="center"/>
              <w:rPr>
                <w:rFonts w:eastAsia="Times New Roman"/>
                <w:color w:val="000000"/>
              </w:rPr>
            </w:pPr>
            <w:r w:rsidRPr="00277F7C">
              <w:t xml:space="preserve">        2.</w:t>
            </w:r>
            <w:r w:rsidR="00AB2E34">
              <w:t>6</w:t>
            </w:r>
          </w:p>
        </w:tc>
        <w:tc>
          <w:tcPr>
            <w:tcW w:w="1440" w:type="dxa"/>
            <w:tcBorders>
              <w:top w:val="nil"/>
              <w:left w:val="nil"/>
              <w:bottom w:val="nil"/>
              <w:right w:val="nil"/>
            </w:tcBorders>
            <w:shd w:val="clear" w:color="auto" w:fill="auto"/>
            <w:noWrap/>
            <w:vAlign w:val="bottom"/>
          </w:tcPr>
          <w:p w14:paraId="21AD4E0C" w14:textId="77777777" w:rsidR="00277F7C" w:rsidRPr="00877F02" w:rsidRDefault="00277F7C" w:rsidP="00277F7C">
            <w:pPr>
              <w:contextualSpacing/>
              <w:jc w:val="center"/>
              <w:rPr>
                <w:rFonts w:eastAsia="Times New Roman"/>
                <w:color w:val="000000"/>
              </w:rPr>
            </w:pPr>
            <w:r w:rsidRPr="00877F02">
              <w:rPr>
                <w:rFonts w:eastAsia="Times New Roman"/>
                <w:color w:val="000000"/>
              </w:rPr>
              <w:t>Value</w:t>
            </w:r>
          </w:p>
        </w:tc>
      </w:tr>
      <w:tr w:rsidR="00277F7C" w:rsidRPr="00934A74" w14:paraId="1D29ABAA" w14:textId="77777777" w:rsidTr="006D5162">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E63085A" w14:textId="77777777" w:rsidR="00277F7C" w:rsidRPr="00934A74" w:rsidRDefault="00277F7C" w:rsidP="00277F7C">
            <w:pPr>
              <w:contextualSpacing/>
              <w:jc w:val="center"/>
              <w:rPr>
                <w:rFonts w:eastAsia="Times New Roman"/>
                <w:color w:val="000000"/>
              </w:rPr>
            </w:pPr>
            <w:r w:rsidRPr="00934A74">
              <w:rPr>
                <w:rFonts w:eastAsia="Times New Roman"/>
                <w:color w:val="000000"/>
              </w:rPr>
              <w:t>Moderate</w:t>
            </w:r>
          </w:p>
        </w:tc>
        <w:tc>
          <w:tcPr>
            <w:tcW w:w="1350" w:type="dxa"/>
            <w:gridSpan w:val="2"/>
            <w:tcBorders>
              <w:top w:val="nil"/>
              <w:left w:val="nil"/>
              <w:bottom w:val="single" w:sz="4" w:space="0" w:color="auto"/>
              <w:right w:val="single" w:sz="4" w:space="0" w:color="auto"/>
            </w:tcBorders>
            <w:shd w:val="clear" w:color="auto" w:fill="auto"/>
            <w:noWrap/>
            <w:vAlign w:val="bottom"/>
          </w:tcPr>
          <w:p w14:paraId="2844322C" w14:textId="52EDE68D" w:rsidR="00277F7C" w:rsidRPr="00277F7C" w:rsidRDefault="00277F7C" w:rsidP="00277F7C">
            <w:pPr>
              <w:contextualSpacing/>
              <w:jc w:val="center"/>
              <w:rPr>
                <w:rFonts w:eastAsia="Times New Roman"/>
                <w:color w:val="000000"/>
              </w:rPr>
            </w:pPr>
            <w:r w:rsidRPr="00277F7C">
              <w:t xml:space="preserve">        0.</w:t>
            </w:r>
            <w:r w:rsidR="00AB2E34">
              <w:t>4</w:t>
            </w:r>
            <w:r w:rsidRPr="00277F7C">
              <w:t xml:space="preserve"> </w:t>
            </w:r>
          </w:p>
        </w:tc>
        <w:tc>
          <w:tcPr>
            <w:tcW w:w="1489" w:type="dxa"/>
            <w:gridSpan w:val="2"/>
            <w:tcBorders>
              <w:top w:val="nil"/>
              <w:left w:val="nil"/>
              <w:bottom w:val="single" w:sz="4" w:space="0" w:color="auto"/>
              <w:right w:val="single" w:sz="4" w:space="0" w:color="auto"/>
            </w:tcBorders>
            <w:shd w:val="clear" w:color="auto" w:fill="auto"/>
            <w:noWrap/>
            <w:vAlign w:val="bottom"/>
          </w:tcPr>
          <w:p w14:paraId="5B4594C7" w14:textId="2E43DFF9" w:rsidR="00277F7C" w:rsidRPr="00277F7C" w:rsidRDefault="00277F7C" w:rsidP="00277F7C">
            <w:pPr>
              <w:contextualSpacing/>
              <w:jc w:val="center"/>
              <w:rPr>
                <w:rFonts w:eastAsia="Times New Roman"/>
                <w:color w:val="000000"/>
              </w:rPr>
            </w:pPr>
            <w:r w:rsidRPr="00277F7C">
              <w:t xml:space="preserve">        0.</w:t>
            </w:r>
            <w:r w:rsidR="00AB2E34">
              <w:t>9</w:t>
            </w:r>
          </w:p>
        </w:tc>
        <w:tc>
          <w:tcPr>
            <w:tcW w:w="1458" w:type="dxa"/>
            <w:tcBorders>
              <w:top w:val="nil"/>
              <w:left w:val="nil"/>
              <w:bottom w:val="single" w:sz="4" w:space="0" w:color="auto"/>
              <w:right w:val="single" w:sz="4" w:space="0" w:color="auto"/>
            </w:tcBorders>
            <w:shd w:val="clear" w:color="auto" w:fill="auto"/>
            <w:noWrap/>
            <w:vAlign w:val="bottom"/>
          </w:tcPr>
          <w:p w14:paraId="17698B7C" w14:textId="72A59660" w:rsidR="00277F7C" w:rsidRPr="00277F7C" w:rsidRDefault="00277F7C" w:rsidP="00277F7C">
            <w:pPr>
              <w:contextualSpacing/>
              <w:jc w:val="center"/>
              <w:rPr>
                <w:rFonts w:eastAsia="Times New Roman"/>
                <w:color w:val="000000"/>
              </w:rPr>
            </w:pPr>
            <w:r w:rsidRPr="00277F7C">
              <w:t xml:space="preserve">        1.</w:t>
            </w:r>
            <w:r w:rsidR="00AB2E34">
              <w:t>5</w:t>
            </w:r>
            <w:r w:rsidRPr="00277F7C">
              <w:t xml:space="preserve"> </w:t>
            </w:r>
          </w:p>
        </w:tc>
        <w:tc>
          <w:tcPr>
            <w:tcW w:w="1440" w:type="dxa"/>
            <w:tcBorders>
              <w:top w:val="nil"/>
              <w:left w:val="nil"/>
              <w:bottom w:val="nil"/>
              <w:right w:val="nil"/>
            </w:tcBorders>
            <w:shd w:val="clear" w:color="auto" w:fill="auto"/>
            <w:noWrap/>
            <w:vAlign w:val="center"/>
          </w:tcPr>
          <w:p w14:paraId="4718CAD2" w14:textId="77777777" w:rsidR="00277F7C" w:rsidRPr="00877F02" w:rsidRDefault="00277F7C" w:rsidP="00277F7C">
            <w:pPr>
              <w:widowControl/>
              <w:jc w:val="center"/>
            </w:pPr>
            <w:r>
              <w:t>1.0</w:t>
            </w:r>
          </w:p>
        </w:tc>
      </w:tr>
      <w:tr w:rsidR="00277F7C" w:rsidRPr="00934A74" w14:paraId="743C9E16" w14:textId="77777777" w:rsidTr="006D5162">
        <w:trPr>
          <w:trHeight w:val="300"/>
          <w:jc w:val="center"/>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2AB5646" w14:textId="77777777" w:rsidR="00277F7C" w:rsidRPr="00934A74" w:rsidRDefault="00277F7C" w:rsidP="00277F7C">
            <w:pPr>
              <w:contextualSpacing/>
              <w:jc w:val="center"/>
              <w:rPr>
                <w:rFonts w:eastAsia="Times New Roman"/>
                <w:color w:val="000000"/>
              </w:rPr>
            </w:pPr>
            <w:r w:rsidRPr="00934A74">
              <w:rPr>
                <w:rFonts w:eastAsia="Times New Roman"/>
                <w:color w:val="000000"/>
              </w:rPr>
              <w:t>Low</w:t>
            </w:r>
          </w:p>
        </w:tc>
        <w:tc>
          <w:tcPr>
            <w:tcW w:w="1350" w:type="dxa"/>
            <w:gridSpan w:val="2"/>
            <w:tcBorders>
              <w:top w:val="nil"/>
              <w:left w:val="nil"/>
              <w:bottom w:val="single" w:sz="4" w:space="0" w:color="auto"/>
              <w:right w:val="single" w:sz="4" w:space="0" w:color="auto"/>
            </w:tcBorders>
            <w:shd w:val="clear" w:color="auto" w:fill="auto"/>
            <w:noWrap/>
            <w:vAlign w:val="bottom"/>
          </w:tcPr>
          <w:p w14:paraId="62199A23" w14:textId="4496F777" w:rsidR="00277F7C" w:rsidRPr="00277F7C" w:rsidRDefault="00277F7C" w:rsidP="00277F7C">
            <w:pPr>
              <w:contextualSpacing/>
              <w:jc w:val="center"/>
              <w:rPr>
                <w:rFonts w:eastAsia="Times New Roman"/>
                <w:color w:val="000000"/>
              </w:rPr>
            </w:pPr>
            <w:r w:rsidRPr="00277F7C">
              <w:t xml:space="preserve">      (0.</w:t>
            </w:r>
            <w:r w:rsidR="00AB2E34">
              <w:t>4</w:t>
            </w:r>
            <w:r w:rsidRPr="00277F7C">
              <w:t>)</w:t>
            </w:r>
          </w:p>
        </w:tc>
        <w:tc>
          <w:tcPr>
            <w:tcW w:w="1489" w:type="dxa"/>
            <w:gridSpan w:val="2"/>
            <w:tcBorders>
              <w:top w:val="nil"/>
              <w:left w:val="nil"/>
              <w:bottom w:val="single" w:sz="4" w:space="0" w:color="auto"/>
              <w:right w:val="single" w:sz="4" w:space="0" w:color="auto"/>
            </w:tcBorders>
            <w:shd w:val="clear" w:color="auto" w:fill="auto"/>
            <w:noWrap/>
            <w:vAlign w:val="bottom"/>
          </w:tcPr>
          <w:p w14:paraId="0B3B2156" w14:textId="752B7DDE" w:rsidR="00277F7C" w:rsidRPr="00277F7C" w:rsidRDefault="00277F7C" w:rsidP="00277F7C">
            <w:pPr>
              <w:contextualSpacing/>
              <w:jc w:val="center"/>
              <w:rPr>
                <w:rFonts w:eastAsia="Times New Roman"/>
                <w:color w:val="000000"/>
              </w:rPr>
            </w:pPr>
            <w:r w:rsidRPr="00277F7C">
              <w:t xml:space="preserve">        0.</w:t>
            </w:r>
            <w:r w:rsidR="00AB2E34">
              <w:t>1</w:t>
            </w:r>
          </w:p>
        </w:tc>
        <w:tc>
          <w:tcPr>
            <w:tcW w:w="1458" w:type="dxa"/>
            <w:tcBorders>
              <w:top w:val="nil"/>
              <w:left w:val="nil"/>
              <w:bottom w:val="single" w:sz="4" w:space="0" w:color="auto"/>
              <w:right w:val="single" w:sz="4" w:space="0" w:color="auto"/>
            </w:tcBorders>
            <w:shd w:val="clear" w:color="auto" w:fill="auto"/>
            <w:noWrap/>
            <w:vAlign w:val="bottom"/>
          </w:tcPr>
          <w:p w14:paraId="767A93F1" w14:textId="1A13E794" w:rsidR="00277F7C" w:rsidRPr="00277F7C" w:rsidRDefault="00277F7C" w:rsidP="00277F7C">
            <w:pPr>
              <w:contextualSpacing/>
              <w:jc w:val="center"/>
              <w:rPr>
                <w:rFonts w:eastAsia="Times New Roman"/>
                <w:color w:val="000000"/>
              </w:rPr>
            </w:pPr>
            <w:r w:rsidRPr="00277F7C">
              <w:t xml:space="preserve">        0.</w:t>
            </w:r>
            <w:r w:rsidR="00AB2E34">
              <w:t>7</w:t>
            </w:r>
            <w:r w:rsidRPr="00277F7C">
              <w:t xml:space="preserve"> </w:t>
            </w:r>
          </w:p>
        </w:tc>
        <w:tc>
          <w:tcPr>
            <w:tcW w:w="1440" w:type="dxa"/>
            <w:tcBorders>
              <w:top w:val="nil"/>
              <w:left w:val="nil"/>
              <w:bottom w:val="nil"/>
              <w:right w:val="nil"/>
            </w:tcBorders>
            <w:shd w:val="clear" w:color="auto" w:fill="auto"/>
            <w:noWrap/>
            <w:vAlign w:val="center"/>
          </w:tcPr>
          <w:p w14:paraId="578A6B20" w14:textId="77777777" w:rsidR="00277F7C" w:rsidRPr="00877F02" w:rsidRDefault="00277F7C" w:rsidP="00277F7C">
            <w:pPr>
              <w:contextualSpacing/>
              <w:jc w:val="center"/>
              <w:rPr>
                <w:rFonts w:eastAsia="Times New Roman"/>
                <w:color w:val="000000"/>
              </w:rPr>
            </w:pPr>
          </w:p>
        </w:tc>
      </w:tr>
      <w:bookmarkEnd w:id="29"/>
    </w:tbl>
    <w:p w14:paraId="5489AEAC" w14:textId="77777777" w:rsidR="00D61DDF" w:rsidRDefault="00D61DDF" w:rsidP="00D61DDF">
      <w:pPr>
        <w:spacing w:line="360" w:lineRule="auto"/>
      </w:pPr>
    </w:p>
    <w:p w14:paraId="40FEDFEA" w14:textId="61E1FFF1" w:rsidR="00F2238F" w:rsidRDefault="00F2238F" w:rsidP="00F2238F">
      <w:pPr>
        <w:spacing w:after="240" w:line="360" w:lineRule="auto"/>
        <w:ind w:left="720"/>
      </w:pPr>
      <w:r>
        <w:t>This compares to the Company’s expected value result of $2.</w:t>
      </w:r>
      <w:r w:rsidR="003E34D6">
        <w:t>2</w:t>
      </w:r>
      <w:r>
        <w:t xml:space="preserve"> billion (computed as a 2018 NPV amount) </w:t>
      </w:r>
      <w:r w:rsidR="007529C5">
        <w:t>from</w:t>
      </w:r>
      <w:r>
        <w:t xml:space="preserve"> Table 4.1 of its VCM 20/21 Report.</w:t>
      </w:r>
      <w:r>
        <w:rPr>
          <w:rStyle w:val="FootnoteReference"/>
        </w:rPr>
        <w:footnoteReference w:id="23"/>
      </w:r>
      <w:r w:rsidR="00CB582B">
        <w:t xml:space="preserve"> Under current market conditions of low</w:t>
      </w:r>
      <w:r w:rsidR="007529C5">
        <w:t xml:space="preserve"> natural</w:t>
      </w:r>
      <w:r w:rsidR="00CB582B">
        <w:t xml:space="preserve"> gas prices and no CO</w:t>
      </w:r>
      <w:r w:rsidR="00CB582B" w:rsidRPr="007529C5">
        <w:rPr>
          <w:vertAlign w:val="subscript"/>
        </w:rPr>
        <w:t>2</w:t>
      </w:r>
      <w:r w:rsidR="00CB582B">
        <w:t xml:space="preserve"> </w:t>
      </w:r>
      <w:r w:rsidR="00940D07">
        <w:t>emission</w:t>
      </w:r>
      <w:r w:rsidR="00DA0F45">
        <w:t>s</w:t>
      </w:r>
      <w:r w:rsidR="00CB582B">
        <w:t xml:space="preserve"> cost</w:t>
      </w:r>
      <w:r w:rsidR="00DA0F45">
        <w:t>s</w:t>
      </w:r>
      <w:r w:rsidR="007529C5">
        <w:t>,</w:t>
      </w:r>
      <w:r w:rsidR="00CB582B">
        <w:t xml:space="preserve"> the analysis indicates it would be economic to </w:t>
      </w:r>
      <w:r w:rsidR="007529C5">
        <w:t xml:space="preserve">cancel </w:t>
      </w:r>
      <w:r w:rsidR="00CB582B">
        <w:t xml:space="preserve">Vogtle </w:t>
      </w:r>
      <w:r w:rsidR="007529C5">
        <w:t xml:space="preserve">Units 3 and 4 </w:t>
      </w:r>
      <w:r w:rsidR="00CB582B">
        <w:t xml:space="preserve">and build </w:t>
      </w:r>
      <w:r w:rsidR="00940D07">
        <w:t>combine</w:t>
      </w:r>
      <w:r w:rsidR="007529C5">
        <w:t>d</w:t>
      </w:r>
      <w:r w:rsidR="00940D07">
        <w:t xml:space="preserve"> cycle units. </w:t>
      </w:r>
      <w:r w:rsidR="007529C5">
        <w:t xml:space="preserve">The </w:t>
      </w:r>
      <w:r w:rsidR="00940D07">
        <w:t xml:space="preserve">Vogtle </w:t>
      </w:r>
      <w:r w:rsidR="007529C5">
        <w:t>U</w:t>
      </w:r>
      <w:r w:rsidR="00940D07">
        <w:t>nits are only marginally economic under moderate gas price and</w:t>
      </w:r>
      <w:r w:rsidR="00940D07" w:rsidRPr="00940D07">
        <w:t xml:space="preserve"> </w:t>
      </w:r>
      <w:r w:rsidR="00940D07">
        <w:t>no CO2 emission</w:t>
      </w:r>
      <w:r w:rsidR="00DA0F45">
        <w:t>s</w:t>
      </w:r>
      <w:r w:rsidR="00940D07">
        <w:t xml:space="preserve"> cost</w:t>
      </w:r>
      <w:r w:rsidR="00DA0F45">
        <w:t>s</w:t>
      </w:r>
      <w:r w:rsidR="00940D07">
        <w:t>; and low gas price and</w:t>
      </w:r>
      <w:r w:rsidR="00940D07" w:rsidRPr="00940D07">
        <w:t xml:space="preserve"> </w:t>
      </w:r>
      <w:r w:rsidR="00940D07">
        <w:t>low CO</w:t>
      </w:r>
      <w:r w:rsidR="00940D07" w:rsidRPr="00437259">
        <w:rPr>
          <w:vertAlign w:val="subscript"/>
        </w:rPr>
        <w:t>2</w:t>
      </w:r>
      <w:r w:rsidR="00940D07">
        <w:t xml:space="preserve"> emission</w:t>
      </w:r>
      <w:r w:rsidR="009B3934">
        <w:t>s</w:t>
      </w:r>
      <w:r w:rsidR="00940D07">
        <w:t xml:space="preserve"> cost</w:t>
      </w:r>
      <w:r w:rsidR="009B3934">
        <w:t>s</w:t>
      </w:r>
      <w:r w:rsidR="00940D07">
        <w:t>. These results are primarily driven by the relative</w:t>
      </w:r>
      <w:r w:rsidR="00DA0F45">
        <w:t>ly</w:t>
      </w:r>
      <w:r w:rsidR="00940D07">
        <w:t xml:space="preserve"> large amount of remaining capital expenditures</w:t>
      </w:r>
      <w:r w:rsidR="0075319B">
        <w:t xml:space="preserve"> and associated financing cost</w:t>
      </w:r>
      <w:r w:rsidR="00940D07">
        <w:t xml:space="preserve"> necessary to complete the Vogtle units.</w:t>
      </w:r>
    </w:p>
    <w:p w14:paraId="0CE0EF46" w14:textId="77777777" w:rsidR="00437259" w:rsidRPr="00BB6163" w:rsidRDefault="00437259" w:rsidP="00437259">
      <w:pPr>
        <w:spacing w:after="240" w:line="360" w:lineRule="auto"/>
        <w:ind w:left="720" w:hanging="720"/>
        <w:rPr>
          <w:b/>
        </w:rPr>
      </w:pPr>
      <w:r w:rsidRPr="00BB6163">
        <w:rPr>
          <w:b/>
        </w:rPr>
        <w:t>Q.</w:t>
      </w:r>
      <w:r w:rsidRPr="00BB6163">
        <w:rPr>
          <w:b/>
        </w:rPr>
        <w:tab/>
      </w:r>
      <w:r w:rsidR="007405B6">
        <w:rPr>
          <w:b/>
        </w:rPr>
        <w:t>STAFF’S RESULTS INDICATE IT WOULD BE ECONOMIC TO CONTINUE THE PROJECT. WHY WOULD ONE EXPECT THIS RESULT AT THIS STAGE OF THE PROJECT?</w:t>
      </w:r>
    </w:p>
    <w:p w14:paraId="2C480D0C" w14:textId="42D73AF8" w:rsidR="00437259" w:rsidRDefault="00437259" w:rsidP="00437259">
      <w:pPr>
        <w:spacing w:after="240" w:line="360" w:lineRule="auto"/>
        <w:ind w:left="720" w:hanging="720"/>
        <w:rPr>
          <w:b/>
        </w:rPr>
      </w:pPr>
      <w:r w:rsidRPr="00BB6163">
        <w:t>A.</w:t>
      </w:r>
      <w:r w:rsidRPr="00BB6163">
        <w:tab/>
      </w:r>
      <w:r>
        <w:rPr>
          <w:bCs/>
        </w:rPr>
        <w:t>Normally, the closer a project is to completion, the more economic it is on a cost-to-complete basis because more and more of the total project costs are ignored in the analysis</w:t>
      </w:r>
      <w:r w:rsidR="007405B6">
        <w:rPr>
          <w:bCs/>
        </w:rPr>
        <w:t xml:space="preserve"> and presumably there is less remaining cost to be incurred</w:t>
      </w:r>
      <w:r>
        <w:rPr>
          <w:bCs/>
        </w:rPr>
        <w:t>.  In this case, where we ar</w:t>
      </w:r>
      <w:r w:rsidR="007405B6">
        <w:rPr>
          <w:bCs/>
        </w:rPr>
        <w:t xml:space="preserve">e ten </w:t>
      </w:r>
      <w:r w:rsidR="007405B6">
        <w:rPr>
          <w:bCs/>
        </w:rPr>
        <w:lastRenderedPageBreak/>
        <w:t>years into the P</w:t>
      </w:r>
      <w:r>
        <w:rPr>
          <w:bCs/>
        </w:rPr>
        <w:t xml:space="preserve">roject, it should not be surprising that it appears to be more economic on a cost to complete basis to finish the </w:t>
      </w:r>
      <w:r w:rsidR="008850C7">
        <w:rPr>
          <w:bCs/>
        </w:rPr>
        <w:t xml:space="preserve">Project </w:t>
      </w:r>
      <w:r>
        <w:rPr>
          <w:bCs/>
        </w:rPr>
        <w:t xml:space="preserve">than it </w:t>
      </w:r>
      <w:r w:rsidR="00524697">
        <w:rPr>
          <w:bCs/>
        </w:rPr>
        <w:t xml:space="preserve">would be </w:t>
      </w:r>
      <w:r>
        <w:rPr>
          <w:bCs/>
        </w:rPr>
        <w:t xml:space="preserve">to abandon the </w:t>
      </w:r>
      <w:r w:rsidR="008850C7">
        <w:rPr>
          <w:bCs/>
        </w:rPr>
        <w:t xml:space="preserve">Project </w:t>
      </w:r>
      <w:r>
        <w:rPr>
          <w:bCs/>
        </w:rPr>
        <w:t xml:space="preserve">and </w:t>
      </w:r>
      <w:r w:rsidR="007405B6">
        <w:rPr>
          <w:bCs/>
        </w:rPr>
        <w:t xml:space="preserve">construct </w:t>
      </w:r>
      <w:r w:rsidR="00524697">
        <w:rPr>
          <w:bCs/>
        </w:rPr>
        <w:t xml:space="preserve">a </w:t>
      </w:r>
      <w:r w:rsidR="007405B6">
        <w:rPr>
          <w:bCs/>
        </w:rPr>
        <w:t>combined cycle unit</w:t>
      </w:r>
      <w:r>
        <w:rPr>
          <w:bCs/>
        </w:rPr>
        <w:t xml:space="preserve">.  What </w:t>
      </w:r>
      <w:r w:rsidR="00235701">
        <w:rPr>
          <w:bCs/>
        </w:rPr>
        <w:t>should be noted</w:t>
      </w:r>
      <w:r>
        <w:rPr>
          <w:bCs/>
        </w:rPr>
        <w:t xml:space="preserve"> is how small the benefit of completing the </w:t>
      </w:r>
      <w:r w:rsidR="008850C7">
        <w:rPr>
          <w:bCs/>
        </w:rPr>
        <w:t xml:space="preserve">Project </w:t>
      </w:r>
      <w:r>
        <w:rPr>
          <w:bCs/>
        </w:rPr>
        <w:t xml:space="preserve">is compared to the large amount of sunk costs that </w:t>
      </w:r>
      <w:r w:rsidR="00524697">
        <w:rPr>
          <w:bCs/>
        </w:rPr>
        <w:t>are</w:t>
      </w:r>
      <w:r w:rsidR="007405B6">
        <w:rPr>
          <w:bCs/>
        </w:rPr>
        <w:t xml:space="preserve"> being</w:t>
      </w:r>
      <w:r>
        <w:rPr>
          <w:bCs/>
        </w:rPr>
        <w:t xml:space="preserve"> ignor</w:t>
      </w:r>
      <w:r w:rsidR="00524697">
        <w:rPr>
          <w:bCs/>
        </w:rPr>
        <w:t>ed.</w:t>
      </w:r>
    </w:p>
    <w:p w14:paraId="63295D2C" w14:textId="77777777" w:rsidR="00BF727B" w:rsidRPr="00BB6163" w:rsidRDefault="00BF727B" w:rsidP="00BF727B">
      <w:pPr>
        <w:spacing w:after="240" w:line="360" w:lineRule="auto"/>
        <w:ind w:left="720" w:hanging="720"/>
        <w:rPr>
          <w:b/>
        </w:rPr>
      </w:pPr>
      <w:r w:rsidRPr="00BB6163">
        <w:rPr>
          <w:b/>
        </w:rPr>
        <w:t>Q.</w:t>
      </w:r>
      <w:r w:rsidRPr="00BB6163">
        <w:rPr>
          <w:b/>
        </w:rPr>
        <w:tab/>
      </w:r>
      <w:r>
        <w:rPr>
          <w:b/>
        </w:rPr>
        <w:t>WHAT ARE THE RESULTS OF STAFF’S DELAY SENSITIVITY ANALYSIS?</w:t>
      </w:r>
    </w:p>
    <w:p w14:paraId="44E85CB1" w14:textId="4750B5C6" w:rsidR="006E52CC" w:rsidRPr="00396FCC" w:rsidRDefault="00BF727B" w:rsidP="0064215D">
      <w:pPr>
        <w:spacing w:after="240" w:line="360" w:lineRule="auto"/>
        <w:ind w:left="720" w:hanging="720"/>
      </w:pPr>
      <w:r w:rsidRPr="00BB6163">
        <w:t>A.</w:t>
      </w:r>
      <w:r w:rsidRPr="00BB6163">
        <w:tab/>
      </w:r>
      <w:r>
        <w:t xml:space="preserve">If the Project </w:t>
      </w:r>
      <w:r w:rsidR="00214E7B">
        <w:t xml:space="preserve">is </w:t>
      </w:r>
      <w:r>
        <w:t xml:space="preserve">delayed by </w:t>
      </w:r>
      <w:r w:rsidR="00277F7C">
        <w:t>24</w:t>
      </w:r>
      <w:r>
        <w:t xml:space="preserve"> months </w:t>
      </w:r>
      <w:r w:rsidR="003136AC">
        <w:t>beyond the current forecast</w:t>
      </w:r>
      <w:r w:rsidR="009B3934">
        <w:t>ed</w:t>
      </w:r>
      <w:r w:rsidR="003136AC">
        <w:t xml:space="preserve"> in-service dates</w:t>
      </w:r>
      <w:r w:rsidR="009B3934">
        <w:t>,</w:t>
      </w:r>
      <w:r w:rsidR="003136AC">
        <w:t xml:space="preserve"> </w:t>
      </w:r>
      <w:r>
        <w:t>the Project would be uneconomic by about $</w:t>
      </w:r>
      <w:r w:rsidR="00277F7C">
        <w:t>0.</w:t>
      </w:r>
      <w:r w:rsidR="00B76F06">
        <w:t>3</w:t>
      </w:r>
      <w:r w:rsidR="00277F7C">
        <w:t xml:space="preserve"> </w:t>
      </w:r>
      <w:r>
        <w:t>billion.</w:t>
      </w:r>
      <w:r w:rsidR="00942C45">
        <w:t xml:space="preserve">  The following table </w:t>
      </w:r>
      <w:r w:rsidR="00303D0B">
        <w:t xml:space="preserve">contains the </w:t>
      </w:r>
      <w:r w:rsidR="00303D0B" w:rsidRPr="00396FCC">
        <w:t xml:space="preserve">matrix of results for all </w:t>
      </w:r>
      <w:r w:rsidR="00D61DDF" w:rsidRPr="00396FCC">
        <w:t>nine</w:t>
      </w:r>
      <w:r w:rsidR="00303D0B" w:rsidRPr="00396FCC">
        <w:t xml:space="preserve"> combinations of fuel and </w:t>
      </w:r>
      <w:r w:rsidR="00D61DDF" w:rsidRPr="00396FCC">
        <w:t>carbon dioxide</w:t>
      </w:r>
      <w:r w:rsidR="00303D0B" w:rsidRPr="00396FCC">
        <w:t xml:space="preserve"> cases.</w:t>
      </w:r>
    </w:p>
    <w:tbl>
      <w:tblPr>
        <w:tblW w:w="7155" w:type="dxa"/>
        <w:jc w:val="center"/>
        <w:tblLayout w:type="fixed"/>
        <w:tblLook w:val="04A0" w:firstRow="1" w:lastRow="0" w:firstColumn="1" w:lastColumn="0" w:noHBand="0" w:noVBand="1"/>
      </w:tblPr>
      <w:tblGrid>
        <w:gridCol w:w="1342"/>
        <w:gridCol w:w="1426"/>
        <w:gridCol w:w="1489"/>
        <w:gridCol w:w="1458"/>
        <w:gridCol w:w="1440"/>
      </w:tblGrid>
      <w:tr w:rsidR="00BF727B" w:rsidRPr="005C5126" w14:paraId="11737CC0" w14:textId="77777777" w:rsidTr="006D5162">
        <w:trPr>
          <w:trHeight w:val="300"/>
          <w:jc w:val="center"/>
        </w:trPr>
        <w:tc>
          <w:tcPr>
            <w:tcW w:w="7155" w:type="dxa"/>
            <w:gridSpan w:val="5"/>
            <w:tcBorders>
              <w:top w:val="nil"/>
              <w:left w:val="nil"/>
              <w:bottom w:val="nil"/>
              <w:right w:val="nil"/>
            </w:tcBorders>
            <w:shd w:val="clear" w:color="auto" w:fill="auto"/>
            <w:noWrap/>
            <w:vAlign w:val="bottom"/>
            <w:hideMark/>
          </w:tcPr>
          <w:p w14:paraId="2138C7DF" w14:textId="77777777" w:rsidR="00277F7C" w:rsidRDefault="00BF727B" w:rsidP="00DA0F45">
            <w:pPr>
              <w:ind w:right="360"/>
              <w:jc w:val="center"/>
            </w:pPr>
            <w:r>
              <w:t xml:space="preserve"> </w:t>
            </w:r>
          </w:p>
          <w:p w14:paraId="1A587A20" w14:textId="77777777" w:rsidR="00277F7C" w:rsidRDefault="00277F7C" w:rsidP="00DA0F45">
            <w:pPr>
              <w:ind w:right="360"/>
              <w:jc w:val="center"/>
            </w:pPr>
          </w:p>
          <w:p w14:paraId="4F51D55F" w14:textId="77777777" w:rsidR="00BF727B" w:rsidRPr="005C5126" w:rsidRDefault="00BF727B" w:rsidP="00DA0F45">
            <w:pPr>
              <w:ind w:right="360"/>
              <w:jc w:val="center"/>
              <w:rPr>
                <w:b/>
              </w:rPr>
            </w:pPr>
            <w:r w:rsidRPr="00B932EC">
              <w:rPr>
                <w:b/>
              </w:rPr>
              <w:t xml:space="preserve">Table </w:t>
            </w:r>
            <w:r w:rsidR="001B49B5">
              <w:rPr>
                <w:b/>
              </w:rPr>
              <w:t>4</w:t>
            </w:r>
          </w:p>
        </w:tc>
      </w:tr>
      <w:tr w:rsidR="00BF727B" w:rsidRPr="00934A74" w14:paraId="67516EF4" w14:textId="77777777" w:rsidTr="006D5162">
        <w:trPr>
          <w:trHeight w:val="300"/>
          <w:jc w:val="center"/>
        </w:trPr>
        <w:tc>
          <w:tcPr>
            <w:tcW w:w="7155" w:type="dxa"/>
            <w:gridSpan w:val="5"/>
            <w:tcBorders>
              <w:top w:val="nil"/>
              <w:left w:val="nil"/>
              <w:bottom w:val="nil"/>
              <w:right w:val="nil"/>
            </w:tcBorders>
            <w:shd w:val="clear" w:color="auto" w:fill="auto"/>
            <w:noWrap/>
            <w:vAlign w:val="bottom"/>
          </w:tcPr>
          <w:p w14:paraId="1685800F" w14:textId="77777777" w:rsidR="00BF727B" w:rsidRDefault="00BF727B" w:rsidP="007B2D16">
            <w:pPr>
              <w:jc w:val="center"/>
              <w:rPr>
                <w:b/>
              </w:rPr>
            </w:pPr>
            <w:r w:rsidRPr="00B932EC">
              <w:rPr>
                <w:b/>
              </w:rPr>
              <w:t xml:space="preserve">Staff </w:t>
            </w:r>
            <w:r>
              <w:rPr>
                <w:b/>
              </w:rPr>
              <w:t>Cost To Complete</w:t>
            </w:r>
            <w:r w:rsidRPr="00B932EC">
              <w:rPr>
                <w:b/>
              </w:rPr>
              <w:t xml:space="preserve"> Economic Evaluation</w:t>
            </w:r>
          </w:p>
          <w:p w14:paraId="1A8E7CAB" w14:textId="320A86F0" w:rsidR="00BF727B" w:rsidRPr="00934A74" w:rsidRDefault="00E74C20" w:rsidP="007B2D16">
            <w:pPr>
              <w:jc w:val="center"/>
              <w:rPr>
                <w:rFonts w:eastAsia="Times New Roman"/>
                <w:b/>
                <w:bCs/>
                <w:color w:val="000000"/>
              </w:rPr>
            </w:pPr>
            <w:r>
              <w:rPr>
                <w:b/>
              </w:rPr>
              <w:t>92</w:t>
            </w:r>
            <w:r w:rsidR="00BF727B">
              <w:rPr>
                <w:b/>
              </w:rPr>
              <w:t>-Month</w:t>
            </w:r>
            <w:r w:rsidR="00BF727B" w:rsidRPr="00B932EC">
              <w:rPr>
                <w:b/>
              </w:rPr>
              <w:t xml:space="preserve"> Delay</w:t>
            </w:r>
            <w:r w:rsidR="00BF727B">
              <w:rPr>
                <w:b/>
              </w:rPr>
              <w:t xml:space="preserve"> Case</w:t>
            </w:r>
          </w:p>
        </w:tc>
      </w:tr>
      <w:tr w:rsidR="00BF727B" w:rsidRPr="00934A74" w14:paraId="26D65C97" w14:textId="77777777" w:rsidTr="006D5162">
        <w:trPr>
          <w:trHeight w:val="300"/>
          <w:jc w:val="center"/>
        </w:trPr>
        <w:tc>
          <w:tcPr>
            <w:tcW w:w="7155" w:type="dxa"/>
            <w:gridSpan w:val="5"/>
            <w:tcBorders>
              <w:top w:val="nil"/>
              <w:left w:val="nil"/>
              <w:bottom w:val="nil"/>
              <w:right w:val="nil"/>
            </w:tcBorders>
            <w:shd w:val="clear" w:color="auto" w:fill="auto"/>
            <w:noWrap/>
            <w:vAlign w:val="bottom"/>
          </w:tcPr>
          <w:p w14:paraId="3A1A87BE" w14:textId="77777777" w:rsidR="00BF727B" w:rsidRPr="00934A74" w:rsidRDefault="00BF727B" w:rsidP="007B2D16">
            <w:pPr>
              <w:jc w:val="center"/>
              <w:rPr>
                <w:rFonts w:eastAsia="Times New Roman"/>
                <w:b/>
                <w:bCs/>
                <w:color w:val="000000"/>
              </w:rPr>
            </w:pPr>
            <w:r>
              <w:rPr>
                <w:rFonts w:eastAsia="Times New Roman"/>
                <w:b/>
                <w:bCs/>
                <w:color w:val="000000"/>
              </w:rPr>
              <w:t>Economic Benefit</w:t>
            </w:r>
            <w:r w:rsidRPr="00934A74">
              <w:rPr>
                <w:rFonts w:eastAsia="Times New Roman"/>
                <w:b/>
                <w:bCs/>
                <w:color w:val="000000"/>
              </w:rPr>
              <w:t xml:space="preserve"> of the Project Versus CC</w:t>
            </w:r>
          </w:p>
        </w:tc>
      </w:tr>
      <w:tr w:rsidR="00BF727B" w:rsidRPr="00934A74" w14:paraId="1DA66041" w14:textId="77777777" w:rsidTr="006D5162">
        <w:trPr>
          <w:trHeight w:val="300"/>
          <w:jc w:val="center"/>
        </w:trPr>
        <w:tc>
          <w:tcPr>
            <w:tcW w:w="7155" w:type="dxa"/>
            <w:gridSpan w:val="5"/>
            <w:tcBorders>
              <w:top w:val="nil"/>
              <w:left w:val="nil"/>
              <w:bottom w:val="nil"/>
              <w:right w:val="nil"/>
            </w:tcBorders>
            <w:shd w:val="clear" w:color="auto" w:fill="auto"/>
            <w:noWrap/>
            <w:vAlign w:val="bottom"/>
            <w:hideMark/>
          </w:tcPr>
          <w:p w14:paraId="08AADB29" w14:textId="77777777" w:rsidR="00BF727B" w:rsidRPr="00934A74" w:rsidRDefault="00BF727B" w:rsidP="007B2D16">
            <w:pPr>
              <w:jc w:val="center"/>
              <w:rPr>
                <w:rFonts w:eastAsia="Times New Roman"/>
                <w:b/>
                <w:bCs/>
                <w:color w:val="000000"/>
              </w:rPr>
            </w:pPr>
            <w:r>
              <w:rPr>
                <w:rFonts w:eastAsia="Times New Roman"/>
                <w:b/>
                <w:bCs/>
                <w:color w:val="000000"/>
              </w:rPr>
              <w:t>August</w:t>
            </w:r>
            <w:r w:rsidRPr="00934A74">
              <w:rPr>
                <w:rFonts w:eastAsia="Times New Roman"/>
                <w:b/>
                <w:bCs/>
                <w:color w:val="000000"/>
              </w:rPr>
              <w:t xml:space="preserve"> 2018 Net Present Value</w:t>
            </w:r>
            <w:r>
              <w:rPr>
                <w:rFonts w:eastAsia="Times New Roman"/>
                <w:b/>
                <w:bCs/>
                <w:color w:val="000000"/>
              </w:rPr>
              <w:t xml:space="preserve"> Date</w:t>
            </w:r>
          </w:p>
        </w:tc>
      </w:tr>
      <w:tr w:rsidR="00BF727B" w:rsidRPr="00934A74" w14:paraId="56760033" w14:textId="77777777" w:rsidTr="006D5162">
        <w:trPr>
          <w:trHeight w:val="300"/>
          <w:jc w:val="center"/>
        </w:trPr>
        <w:tc>
          <w:tcPr>
            <w:tcW w:w="7155" w:type="dxa"/>
            <w:gridSpan w:val="5"/>
            <w:tcBorders>
              <w:top w:val="nil"/>
              <w:left w:val="nil"/>
              <w:bottom w:val="nil"/>
              <w:right w:val="nil"/>
            </w:tcBorders>
            <w:shd w:val="clear" w:color="auto" w:fill="auto"/>
            <w:noWrap/>
            <w:vAlign w:val="bottom"/>
            <w:hideMark/>
          </w:tcPr>
          <w:p w14:paraId="12C76579" w14:textId="77777777" w:rsidR="00BF727B" w:rsidRDefault="00BF727B" w:rsidP="007B2D16">
            <w:pPr>
              <w:jc w:val="center"/>
              <w:rPr>
                <w:b/>
              </w:rPr>
            </w:pPr>
            <w:r w:rsidRPr="00B932EC">
              <w:rPr>
                <w:b/>
              </w:rPr>
              <w:t>(Billions of dollars, Negative Means Uneconomic)</w:t>
            </w:r>
          </w:p>
          <w:p w14:paraId="068C8DDB" w14:textId="77777777" w:rsidR="002C00AE" w:rsidRDefault="002C00AE" w:rsidP="007B2D16">
            <w:pPr>
              <w:jc w:val="center"/>
              <w:rPr>
                <w:b/>
              </w:rPr>
            </w:pPr>
          </w:p>
          <w:p w14:paraId="592AB531" w14:textId="77777777" w:rsidR="00B8092A" w:rsidRPr="00934A74" w:rsidRDefault="00B8092A" w:rsidP="007B2D16">
            <w:pPr>
              <w:jc w:val="center"/>
              <w:rPr>
                <w:rFonts w:eastAsia="Times New Roman"/>
                <w:sz w:val="20"/>
                <w:szCs w:val="20"/>
              </w:rPr>
            </w:pPr>
          </w:p>
        </w:tc>
      </w:tr>
      <w:tr w:rsidR="00BF727B" w:rsidRPr="00934A74" w14:paraId="39161268" w14:textId="77777777" w:rsidTr="006D5162">
        <w:trPr>
          <w:trHeight w:val="522"/>
          <w:jc w:val="center"/>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97D9" w14:textId="77777777" w:rsidR="00BF727B" w:rsidRPr="00934A74" w:rsidRDefault="00BF727B" w:rsidP="007B2D16">
            <w:pPr>
              <w:contextualSpacing/>
              <w:jc w:val="center"/>
              <w:rPr>
                <w:rFonts w:eastAsia="Times New Roman"/>
                <w:b/>
                <w:bCs/>
                <w:color w:val="000000"/>
              </w:rPr>
            </w:pPr>
            <w:r w:rsidRPr="00934A74">
              <w:rPr>
                <w:rFonts w:eastAsia="Times New Roman"/>
                <w:b/>
                <w:bCs/>
                <w:color w:val="000000"/>
              </w:rPr>
              <w:t>Fuel</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00B801DB" w14:textId="77777777" w:rsidR="00BF727B" w:rsidRPr="00934A74" w:rsidRDefault="00BF727B" w:rsidP="007B2D16">
            <w:pPr>
              <w:contextualSpacing/>
              <w:jc w:val="center"/>
              <w:rPr>
                <w:rFonts w:eastAsia="Times New Roman"/>
                <w:b/>
                <w:bCs/>
                <w:color w:val="000000"/>
              </w:rPr>
            </w:pPr>
            <w:r w:rsidRPr="00934A74">
              <w:rPr>
                <w:rFonts w:eastAsia="Times New Roman"/>
                <w:b/>
                <w:bCs/>
                <w:color w:val="000000"/>
              </w:rPr>
              <w:t>$0</w:t>
            </w:r>
            <w:r w:rsidR="00F12505">
              <w:rPr>
                <w:rFonts w:eastAsia="Times New Roman"/>
                <w:b/>
                <w:bCs/>
                <w:color w:val="000000"/>
              </w:rPr>
              <w:t>/Ton</w:t>
            </w:r>
            <w:r w:rsidR="00286702">
              <w:rPr>
                <w:rFonts w:eastAsia="Times New Roman"/>
                <w:b/>
                <w:bCs/>
                <w:color w:val="000000"/>
              </w:rPr>
              <w:t xml:space="preserve"> </w:t>
            </w:r>
            <w:r w:rsidR="00F12505">
              <w:rPr>
                <w:rFonts w:eastAsia="Times New Roman"/>
                <w:b/>
                <w:bCs/>
                <w:color w:val="000000"/>
              </w:rPr>
              <w:t>CO</w:t>
            </w:r>
            <w:r w:rsidR="00F12505" w:rsidRPr="00F12505">
              <w:rPr>
                <w:rFonts w:eastAsia="Times New Roman"/>
                <w:b/>
                <w:bCs/>
                <w:color w:val="000000"/>
                <w:vertAlign w:val="subscript"/>
              </w:rPr>
              <w:t>2</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2E2BCD81" w14:textId="77777777" w:rsidR="00BF727B" w:rsidRPr="00934A74" w:rsidRDefault="00BF727B" w:rsidP="007B2D16">
            <w:pPr>
              <w:contextualSpacing/>
              <w:jc w:val="center"/>
              <w:rPr>
                <w:rFonts w:eastAsia="Times New Roman"/>
                <w:b/>
                <w:bCs/>
                <w:color w:val="000000"/>
              </w:rPr>
            </w:pPr>
            <w:r w:rsidRPr="00934A74">
              <w:rPr>
                <w:rFonts w:eastAsia="Times New Roman"/>
                <w:b/>
                <w:bCs/>
                <w:color w:val="000000"/>
              </w:rPr>
              <w:t>$10</w:t>
            </w:r>
            <w:r w:rsidR="00F12505">
              <w:rPr>
                <w:rFonts w:eastAsia="Times New Roman"/>
                <w:b/>
                <w:bCs/>
                <w:color w:val="000000"/>
              </w:rPr>
              <w:t>/Ton CO</w:t>
            </w:r>
            <w:r w:rsidR="00F12505" w:rsidRPr="00F12505">
              <w:rPr>
                <w:rFonts w:eastAsia="Times New Roman"/>
                <w:b/>
                <w:bCs/>
                <w:color w:val="000000"/>
                <w:vertAlign w:val="subscript"/>
              </w:rPr>
              <w:t>2</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6177A860" w14:textId="77777777" w:rsidR="00BF727B" w:rsidRPr="00934A74" w:rsidRDefault="00BF727B" w:rsidP="007B2D16">
            <w:pPr>
              <w:contextualSpacing/>
              <w:jc w:val="center"/>
              <w:rPr>
                <w:rFonts w:eastAsia="Times New Roman"/>
                <w:b/>
                <w:bCs/>
                <w:color w:val="000000"/>
              </w:rPr>
            </w:pPr>
            <w:r w:rsidRPr="00934A74">
              <w:rPr>
                <w:rFonts w:eastAsia="Times New Roman"/>
                <w:b/>
                <w:bCs/>
                <w:color w:val="000000"/>
              </w:rPr>
              <w:t>$20</w:t>
            </w:r>
            <w:r w:rsidR="00F12505">
              <w:rPr>
                <w:rFonts w:eastAsia="Times New Roman"/>
                <w:b/>
                <w:bCs/>
                <w:color w:val="000000"/>
              </w:rPr>
              <w:t>/Ton CO</w:t>
            </w:r>
            <w:r w:rsidR="00F12505" w:rsidRPr="00F12505">
              <w:rPr>
                <w:rFonts w:eastAsia="Times New Roman"/>
                <w:b/>
                <w:bCs/>
                <w:color w:val="000000"/>
                <w:vertAlign w:val="subscript"/>
              </w:rPr>
              <w:t>2</w:t>
            </w:r>
          </w:p>
        </w:tc>
        <w:tc>
          <w:tcPr>
            <w:tcW w:w="1440" w:type="dxa"/>
            <w:tcBorders>
              <w:top w:val="nil"/>
              <w:left w:val="nil"/>
              <w:bottom w:val="nil"/>
              <w:right w:val="nil"/>
            </w:tcBorders>
            <w:shd w:val="clear" w:color="auto" w:fill="auto"/>
            <w:noWrap/>
            <w:vAlign w:val="bottom"/>
            <w:hideMark/>
          </w:tcPr>
          <w:p w14:paraId="46836066" w14:textId="77777777" w:rsidR="00BF727B" w:rsidRPr="00934A74" w:rsidRDefault="00BF727B" w:rsidP="007B2D16">
            <w:pPr>
              <w:contextualSpacing/>
              <w:jc w:val="center"/>
              <w:rPr>
                <w:rFonts w:eastAsia="Times New Roman"/>
                <w:b/>
                <w:bCs/>
                <w:color w:val="000000"/>
              </w:rPr>
            </w:pPr>
            <w:r w:rsidRPr="00934A74">
              <w:rPr>
                <w:rFonts w:eastAsia="Times New Roman"/>
                <w:color w:val="000000"/>
              </w:rPr>
              <w:t>Expected</w:t>
            </w:r>
          </w:p>
        </w:tc>
      </w:tr>
      <w:tr w:rsidR="00277F7C" w:rsidRPr="00934A74" w14:paraId="24198053" w14:textId="77777777" w:rsidTr="006D5162">
        <w:trPr>
          <w:trHeight w:val="305"/>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1ECCE218" w14:textId="77777777" w:rsidR="00277F7C" w:rsidRPr="00934A74" w:rsidRDefault="00277F7C" w:rsidP="00277F7C">
            <w:pPr>
              <w:contextualSpacing/>
              <w:jc w:val="center"/>
              <w:rPr>
                <w:rFonts w:eastAsia="Times New Roman"/>
                <w:color w:val="000000"/>
              </w:rPr>
            </w:pPr>
            <w:r w:rsidRPr="00934A74">
              <w:rPr>
                <w:rFonts w:eastAsia="Times New Roman"/>
                <w:color w:val="000000"/>
              </w:rPr>
              <w:t>High</w:t>
            </w:r>
          </w:p>
        </w:tc>
        <w:tc>
          <w:tcPr>
            <w:tcW w:w="1426" w:type="dxa"/>
            <w:tcBorders>
              <w:top w:val="nil"/>
              <w:left w:val="nil"/>
              <w:bottom w:val="single" w:sz="4" w:space="0" w:color="auto"/>
              <w:right w:val="single" w:sz="4" w:space="0" w:color="auto"/>
            </w:tcBorders>
            <w:shd w:val="clear" w:color="auto" w:fill="auto"/>
            <w:noWrap/>
            <w:vAlign w:val="bottom"/>
          </w:tcPr>
          <w:p w14:paraId="350A830B" w14:textId="2C2D4CBE" w:rsidR="00277F7C" w:rsidRPr="00277F7C" w:rsidRDefault="00277F7C" w:rsidP="00277F7C">
            <w:pPr>
              <w:jc w:val="center"/>
              <w:rPr>
                <w:rFonts w:eastAsia="Times New Roman"/>
                <w:color w:val="000000"/>
              </w:rPr>
            </w:pPr>
            <w:r w:rsidRPr="00277F7C">
              <w:t xml:space="preserve">      </w:t>
            </w:r>
            <w:r w:rsidR="00AB2E34">
              <w:t>0.1</w:t>
            </w:r>
          </w:p>
        </w:tc>
        <w:tc>
          <w:tcPr>
            <w:tcW w:w="1489" w:type="dxa"/>
            <w:tcBorders>
              <w:top w:val="nil"/>
              <w:left w:val="nil"/>
              <w:bottom w:val="single" w:sz="4" w:space="0" w:color="auto"/>
              <w:right w:val="single" w:sz="4" w:space="0" w:color="auto"/>
            </w:tcBorders>
            <w:shd w:val="clear" w:color="auto" w:fill="auto"/>
            <w:noWrap/>
            <w:vAlign w:val="bottom"/>
          </w:tcPr>
          <w:p w14:paraId="6F520C0B" w14:textId="56D8121A" w:rsidR="00277F7C" w:rsidRPr="00277F7C" w:rsidRDefault="00277F7C" w:rsidP="00277F7C">
            <w:pPr>
              <w:jc w:val="center"/>
              <w:rPr>
                <w:rFonts w:eastAsia="Times New Roman"/>
                <w:color w:val="000000"/>
              </w:rPr>
            </w:pPr>
            <w:r w:rsidRPr="00277F7C">
              <w:t xml:space="preserve">        0.</w:t>
            </w:r>
            <w:r w:rsidR="00AB2E34">
              <w:t>6</w:t>
            </w:r>
            <w:r w:rsidRPr="00277F7C">
              <w:t xml:space="preserve"> </w:t>
            </w:r>
          </w:p>
        </w:tc>
        <w:tc>
          <w:tcPr>
            <w:tcW w:w="1458" w:type="dxa"/>
            <w:tcBorders>
              <w:top w:val="nil"/>
              <w:left w:val="nil"/>
              <w:bottom w:val="single" w:sz="4" w:space="0" w:color="auto"/>
              <w:right w:val="single" w:sz="4" w:space="0" w:color="auto"/>
            </w:tcBorders>
            <w:shd w:val="clear" w:color="auto" w:fill="auto"/>
            <w:noWrap/>
            <w:vAlign w:val="bottom"/>
          </w:tcPr>
          <w:p w14:paraId="39A4F40A" w14:textId="77777777" w:rsidR="00277F7C" w:rsidRPr="00277F7C" w:rsidRDefault="00277F7C" w:rsidP="00277F7C">
            <w:pPr>
              <w:jc w:val="center"/>
              <w:rPr>
                <w:rFonts w:eastAsia="Times New Roman"/>
                <w:color w:val="000000"/>
              </w:rPr>
            </w:pPr>
            <w:r w:rsidRPr="00277F7C">
              <w:t xml:space="preserve">        1.</w:t>
            </w:r>
            <w:r>
              <w:t>2</w:t>
            </w:r>
            <w:r w:rsidRPr="00277F7C">
              <w:t xml:space="preserve"> </w:t>
            </w:r>
          </w:p>
        </w:tc>
        <w:tc>
          <w:tcPr>
            <w:tcW w:w="1440" w:type="dxa"/>
            <w:tcBorders>
              <w:top w:val="nil"/>
              <w:left w:val="nil"/>
              <w:bottom w:val="nil"/>
              <w:right w:val="nil"/>
            </w:tcBorders>
            <w:shd w:val="clear" w:color="auto" w:fill="auto"/>
            <w:noWrap/>
            <w:vAlign w:val="center"/>
            <w:hideMark/>
          </w:tcPr>
          <w:p w14:paraId="0832E8CC" w14:textId="77777777" w:rsidR="00277F7C" w:rsidRPr="00934A74" w:rsidRDefault="00277F7C" w:rsidP="00277F7C">
            <w:pPr>
              <w:jc w:val="center"/>
              <w:rPr>
                <w:rFonts w:eastAsia="Times New Roman"/>
                <w:color w:val="000000"/>
              </w:rPr>
            </w:pPr>
            <w:r w:rsidRPr="00934A74">
              <w:rPr>
                <w:rFonts w:eastAsia="Times New Roman"/>
                <w:color w:val="000000"/>
              </w:rPr>
              <w:t>Value</w:t>
            </w:r>
          </w:p>
        </w:tc>
      </w:tr>
      <w:tr w:rsidR="00277F7C" w:rsidRPr="00934A74" w14:paraId="5B0909B2" w14:textId="77777777" w:rsidTr="006D5162">
        <w:trPr>
          <w:trHeight w:val="300"/>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15CBC0F" w14:textId="77777777" w:rsidR="00277F7C" w:rsidRPr="00934A74" w:rsidRDefault="00277F7C" w:rsidP="00277F7C">
            <w:pPr>
              <w:contextualSpacing/>
              <w:jc w:val="center"/>
              <w:rPr>
                <w:rFonts w:eastAsia="Times New Roman"/>
                <w:color w:val="000000"/>
              </w:rPr>
            </w:pPr>
            <w:r w:rsidRPr="00934A74">
              <w:rPr>
                <w:rFonts w:eastAsia="Times New Roman"/>
                <w:color w:val="000000"/>
              </w:rPr>
              <w:t>Moderate</w:t>
            </w:r>
          </w:p>
        </w:tc>
        <w:tc>
          <w:tcPr>
            <w:tcW w:w="1426" w:type="dxa"/>
            <w:tcBorders>
              <w:top w:val="nil"/>
              <w:left w:val="nil"/>
              <w:bottom w:val="single" w:sz="4" w:space="0" w:color="auto"/>
              <w:right w:val="single" w:sz="4" w:space="0" w:color="auto"/>
            </w:tcBorders>
            <w:shd w:val="clear" w:color="auto" w:fill="auto"/>
            <w:noWrap/>
            <w:vAlign w:val="bottom"/>
          </w:tcPr>
          <w:p w14:paraId="5DA73F00" w14:textId="21690528" w:rsidR="00277F7C" w:rsidRPr="00277F7C" w:rsidRDefault="00277F7C" w:rsidP="00277F7C">
            <w:pPr>
              <w:jc w:val="center"/>
              <w:rPr>
                <w:rFonts w:eastAsia="Times New Roman"/>
                <w:color w:val="000000"/>
              </w:rPr>
            </w:pPr>
            <w:r w:rsidRPr="00277F7C">
              <w:t xml:space="preserve">      (1.</w:t>
            </w:r>
            <w:r w:rsidR="00AB2E34">
              <w:t>0</w:t>
            </w:r>
            <w:r w:rsidRPr="00277F7C">
              <w:t>)</w:t>
            </w:r>
          </w:p>
        </w:tc>
        <w:tc>
          <w:tcPr>
            <w:tcW w:w="1489" w:type="dxa"/>
            <w:tcBorders>
              <w:top w:val="nil"/>
              <w:left w:val="nil"/>
              <w:bottom w:val="single" w:sz="4" w:space="0" w:color="auto"/>
              <w:right w:val="single" w:sz="4" w:space="0" w:color="auto"/>
            </w:tcBorders>
            <w:shd w:val="clear" w:color="auto" w:fill="auto"/>
            <w:noWrap/>
            <w:vAlign w:val="bottom"/>
          </w:tcPr>
          <w:p w14:paraId="7428BBA3" w14:textId="791BDAAC" w:rsidR="00277F7C" w:rsidRPr="00277F7C" w:rsidRDefault="00277F7C" w:rsidP="00277F7C">
            <w:pPr>
              <w:jc w:val="center"/>
              <w:rPr>
                <w:rFonts w:eastAsia="Times New Roman"/>
                <w:color w:val="000000"/>
              </w:rPr>
            </w:pPr>
            <w:r w:rsidRPr="00277F7C">
              <w:t xml:space="preserve">      (0.</w:t>
            </w:r>
            <w:r w:rsidR="00AB2E34">
              <w:t>4</w:t>
            </w:r>
            <w:r w:rsidRPr="00277F7C">
              <w:t>)</w:t>
            </w:r>
          </w:p>
        </w:tc>
        <w:tc>
          <w:tcPr>
            <w:tcW w:w="1458" w:type="dxa"/>
            <w:tcBorders>
              <w:top w:val="nil"/>
              <w:left w:val="nil"/>
              <w:bottom w:val="single" w:sz="4" w:space="0" w:color="auto"/>
              <w:right w:val="single" w:sz="4" w:space="0" w:color="auto"/>
            </w:tcBorders>
            <w:shd w:val="clear" w:color="auto" w:fill="auto"/>
            <w:noWrap/>
            <w:vAlign w:val="bottom"/>
          </w:tcPr>
          <w:p w14:paraId="59B3634F" w14:textId="489EAE50" w:rsidR="00277F7C" w:rsidRPr="00277F7C" w:rsidRDefault="00277F7C" w:rsidP="00277F7C">
            <w:pPr>
              <w:jc w:val="center"/>
              <w:rPr>
                <w:rFonts w:eastAsia="Times New Roman"/>
                <w:color w:val="000000"/>
              </w:rPr>
            </w:pPr>
            <w:r w:rsidRPr="00277F7C">
              <w:t xml:space="preserve">        0.</w:t>
            </w:r>
            <w:r w:rsidR="00AB2E34">
              <w:t>1</w:t>
            </w:r>
            <w:r w:rsidRPr="00277F7C">
              <w:t xml:space="preserve"> </w:t>
            </w:r>
          </w:p>
        </w:tc>
        <w:tc>
          <w:tcPr>
            <w:tcW w:w="1440" w:type="dxa"/>
            <w:tcBorders>
              <w:top w:val="nil"/>
              <w:left w:val="nil"/>
              <w:bottom w:val="nil"/>
              <w:right w:val="nil"/>
            </w:tcBorders>
            <w:shd w:val="clear" w:color="auto" w:fill="auto"/>
            <w:noWrap/>
            <w:vAlign w:val="center"/>
            <w:hideMark/>
          </w:tcPr>
          <w:p w14:paraId="51F5BAB8" w14:textId="5D0238EC" w:rsidR="00277F7C" w:rsidRPr="00934A74" w:rsidRDefault="00277F7C" w:rsidP="00277F7C">
            <w:pPr>
              <w:jc w:val="center"/>
              <w:rPr>
                <w:rFonts w:eastAsia="Times New Roman"/>
                <w:color w:val="000000"/>
              </w:rPr>
            </w:pPr>
            <w:r>
              <w:rPr>
                <w:rFonts w:eastAsia="Times New Roman"/>
                <w:color w:val="000000"/>
              </w:rPr>
              <w:t>(0.</w:t>
            </w:r>
            <w:r w:rsidR="00AB2E34">
              <w:rPr>
                <w:rFonts w:eastAsia="Times New Roman"/>
                <w:color w:val="000000"/>
              </w:rPr>
              <w:t>3</w:t>
            </w:r>
            <w:r>
              <w:rPr>
                <w:rFonts w:eastAsia="Times New Roman"/>
                <w:color w:val="000000"/>
              </w:rPr>
              <w:t>)</w:t>
            </w:r>
          </w:p>
        </w:tc>
      </w:tr>
      <w:tr w:rsidR="00277F7C" w:rsidRPr="00934A74" w14:paraId="50776E1D" w14:textId="77777777" w:rsidTr="006D5162">
        <w:trPr>
          <w:trHeight w:val="300"/>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4C5DE3D" w14:textId="77777777" w:rsidR="00277F7C" w:rsidRPr="00934A74" w:rsidRDefault="00277F7C" w:rsidP="00277F7C">
            <w:pPr>
              <w:contextualSpacing/>
              <w:jc w:val="center"/>
              <w:rPr>
                <w:rFonts w:eastAsia="Times New Roman"/>
                <w:color w:val="000000"/>
              </w:rPr>
            </w:pPr>
            <w:r w:rsidRPr="00934A74">
              <w:rPr>
                <w:rFonts w:eastAsia="Times New Roman"/>
                <w:color w:val="000000"/>
              </w:rPr>
              <w:t>Low</w:t>
            </w:r>
          </w:p>
        </w:tc>
        <w:tc>
          <w:tcPr>
            <w:tcW w:w="1426" w:type="dxa"/>
            <w:tcBorders>
              <w:top w:val="nil"/>
              <w:left w:val="nil"/>
              <w:bottom w:val="single" w:sz="4" w:space="0" w:color="auto"/>
              <w:right w:val="single" w:sz="4" w:space="0" w:color="auto"/>
            </w:tcBorders>
            <w:shd w:val="clear" w:color="auto" w:fill="auto"/>
            <w:noWrap/>
            <w:vAlign w:val="bottom"/>
          </w:tcPr>
          <w:p w14:paraId="35EB8534" w14:textId="6926074E" w:rsidR="00277F7C" w:rsidRPr="00277F7C" w:rsidRDefault="00277F7C" w:rsidP="00277F7C">
            <w:pPr>
              <w:jc w:val="center"/>
              <w:rPr>
                <w:rFonts w:eastAsia="Times New Roman"/>
                <w:color w:val="000000"/>
              </w:rPr>
            </w:pPr>
            <w:r w:rsidRPr="00277F7C">
              <w:t xml:space="preserve">      (1.</w:t>
            </w:r>
            <w:r w:rsidR="00AB2E34">
              <w:t>7</w:t>
            </w:r>
            <w:r w:rsidRPr="00277F7C">
              <w:t>)</w:t>
            </w:r>
          </w:p>
        </w:tc>
        <w:tc>
          <w:tcPr>
            <w:tcW w:w="1489" w:type="dxa"/>
            <w:tcBorders>
              <w:top w:val="nil"/>
              <w:left w:val="nil"/>
              <w:bottom w:val="single" w:sz="4" w:space="0" w:color="auto"/>
              <w:right w:val="single" w:sz="4" w:space="0" w:color="auto"/>
            </w:tcBorders>
            <w:shd w:val="clear" w:color="auto" w:fill="auto"/>
            <w:noWrap/>
            <w:vAlign w:val="bottom"/>
          </w:tcPr>
          <w:p w14:paraId="2761FAD4" w14:textId="77777777" w:rsidR="00277F7C" w:rsidRPr="00277F7C" w:rsidRDefault="00277F7C" w:rsidP="00277F7C">
            <w:pPr>
              <w:jc w:val="center"/>
              <w:rPr>
                <w:rFonts w:eastAsia="Times New Roman"/>
                <w:color w:val="000000"/>
              </w:rPr>
            </w:pPr>
            <w:r w:rsidRPr="00277F7C">
              <w:t xml:space="preserve">      (1.</w:t>
            </w:r>
            <w:r w:rsidR="00F12505">
              <w:t>2</w:t>
            </w:r>
            <w:r w:rsidRPr="00277F7C">
              <w:t>)</w:t>
            </w:r>
          </w:p>
        </w:tc>
        <w:tc>
          <w:tcPr>
            <w:tcW w:w="1458" w:type="dxa"/>
            <w:tcBorders>
              <w:top w:val="nil"/>
              <w:left w:val="nil"/>
              <w:bottom w:val="single" w:sz="4" w:space="0" w:color="auto"/>
              <w:right w:val="single" w:sz="4" w:space="0" w:color="auto"/>
            </w:tcBorders>
            <w:shd w:val="clear" w:color="auto" w:fill="auto"/>
            <w:noWrap/>
            <w:vAlign w:val="bottom"/>
          </w:tcPr>
          <w:p w14:paraId="74E04FCF" w14:textId="0719D40C" w:rsidR="00277F7C" w:rsidRPr="00277F7C" w:rsidRDefault="00277F7C" w:rsidP="00277F7C">
            <w:pPr>
              <w:jc w:val="center"/>
              <w:rPr>
                <w:rFonts w:eastAsia="Times New Roman"/>
                <w:color w:val="000000"/>
              </w:rPr>
            </w:pPr>
            <w:r w:rsidRPr="00277F7C">
              <w:t xml:space="preserve">      (0.</w:t>
            </w:r>
            <w:r w:rsidR="00AB2E34">
              <w:t>6</w:t>
            </w:r>
            <w:r w:rsidRPr="00277F7C">
              <w:t>)</w:t>
            </w:r>
          </w:p>
        </w:tc>
        <w:tc>
          <w:tcPr>
            <w:tcW w:w="1440" w:type="dxa"/>
            <w:tcBorders>
              <w:top w:val="nil"/>
              <w:left w:val="nil"/>
              <w:bottom w:val="nil"/>
              <w:right w:val="nil"/>
            </w:tcBorders>
            <w:shd w:val="clear" w:color="auto" w:fill="auto"/>
            <w:noWrap/>
            <w:vAlign w:val="bottom"/>
            <w:hideMark/>
          </w:tcPr>
          <w:p w14:paraId="5C62AC43" w14:textId="77777777" w:rsidR="00277F7C" w:rsidRPr="00934A74" w:rsidRDefault="00277F7C" w:rsidP="00277F7C">
            <w:pPr>
              <w:jc w:val="center"/>
              <w:rPr>
                <w:rFonts w:eastAsia="Times New Roman"/>
                <w:color w:val="000000"/>
              </w:rPr>
            </w:pPr>
          </w:p>
        </w:tc>
      </w:tr>
    </w:tbl>
    <w:p w14:paraId="10C83E55" w14:textId="77777777" w:rsidR="001B49B5" w:rsidRDefault="001B49B5" w:rsidP="00277F7C">
      <w:pPr>
        <w:spacing w:line="360" w:lineRule="auto"/>
        <w:ind w:left="720" w:hanging="720"/>
        <w:rPr>
          <w:b/>
        </w:rPr>
      </w:pPr>
    </w:p>
    <w:p w14:paraId="6D0BF6A7" w14:textId="77777777" w:rsidR="00277F7C" w:rsidRPr="00BB6163" w:rsidRDefault="00277F7C" w:rsidP="00277F7C">
      <w:pPr>
        <w:spacing w:after="240" w:line="360" w:lineRule="auto"/>
        <w:ind w:left="720" w:hanging="720"/>
        <w:rPr>
          <w:b/>
        </w:rPr>
      </w:pPr>
      <w:r w:rsidRPr="00BB6163">
        <w:rPr>
          <w:b/>
        </w:rPr>
        <w:t>Q.</w:t>
      </w:r>
      <w:r w:rsidRPr="00BB6163">
        <w:rPr>
          <w:b/>
        </w:rPr>
        <w:tab/>
      </w:r>
      <w:r>
        <w:rPr>
          <w:b/>
        </w:rPr>
        <w:t>DID STAFF DETERMINE HOW LONG OF A DELAY IT WOULD TAKE FOR THE PROJECT TO BE UNECONOMIC ON AN EXPECTED VALUE BASIS?</w:t>
      </w:r>
    </w:p>
    <w:p w14:paraId="7F025236" w14:textId="0F08372C" w:rsidR="00277F7C" w:rsidRDefault="00277F7C" w:rsidP="00277F7C">
      <w:pPr>
        <w:spacing w:after="240" w:line="360" w:lineRule="auto"/>
        <w:ind w:left="720" w:hanging="720"/>
      </w:pPr>
      <w:r>
        <w:rPr>
          <w:bCs/>
        </w:rPr>
        <w:t>A.</w:t>
      </w:r>
      <w:r>
        <w:rPr>
          <w:bCs/>
        </w:rPr>
        <w:tab/>
        <w:t xml:space="preserve">Yes, </w:t>
      </w:r>
      <w:r>
        <w:t>Staff determined that if the Project were delayed by approximately 1</w:t>
      </w:r>
      <w:r w:rsidR="00157FB2">
        <w:t>8</w:t>
      </w:r>
      <w:r>
        <w:t xml:space="preserve"> months beyond the current forecast</w:t>
      </w:r>
      <w:r w:rsidR="009B3934">
        <w:t>ed</w:t>
      </w:r>
      <w:r>
        <w:t xml:space="preserve"> in-service dates, it would no longer be economic.  </w:t>
      </w:r>
    </w:p>
    <w:p w14:paraId="1718D10A" w14:textId="77777777" w:rsidR="00A67DA4" w:rsidRPr="00277F7C" w:rsidRDefault="00A67DA4" w:rsidP="00A67DA4">
      <w:pPr>
        <w:spacing w:after="240" w:line="360" w:lineRule="auto"/>
        <w:ind w:left="720" w:hanging="720"/>
        <w:rPr>
          <w:b/>
        </w:rPr>
      </w:pPr>
      <w:r w:rsidRPr="00277F7C">
        <w:rPr>
          <w:b/>
        </w:rPr>
        <w:t>Q.</w:t>
      </w:r>
      <w:r w:rsidRPr="00277F7C">
        <w:rPr>
          <w:b/>
        </w:rPr>
        <w:tab/>
        <w:t xml:space="preserve">WHAT WOULD BE THE IMPACT ON STAFF’S COST TO COMPLETE </w:t>
      </w:r>
      <w:r w:rsidRPr="00277F7C">
        <w:rPr>
          <w:b/>
        </w:rPr>
        <w:lastRenderedPageBreak/>
        <w:t>ECONOMIC ANALYSIS IF THE COMPANY’S RATHER THAN STAFF’S INTERPRETATION OF THE 17</w:t>
      </w:r>
      <w:r w:rsidRPr="00277F7C">
        <w:rPr>
          <w:b/>
          <w:vertAlign w:val="superscript"/>
        </w:rPr>
        <w:t>th</w:t>
      </w:r>
      <w:r w:rsidRPr="00277F7C">
        <w:rPr>
          <w:b/>
        </w:rPr>
        <w:t xml:space="preserve"> VCM ORDER AND SIR STIPULATION WAS ASSUMED?</w:t>
      </w:r>
    </w:p>
    <w:p w14:paraId="2E182402" w14:textId="77777777" w:rsidR="00A67DA4" w:rsidRDefault="00A67DA4" w:rsidP="00A67DA4">
      <w:pPr>
        <w:spacing w:after="240" w:line="360" w:lineRule="auto"/>
        <w:ind w:left="720" w:hanging="720"/>
      </w:pPr>
      <w:r w:rsidRPr="00277F7C">
        <w:t>A.</w:t>
      </w:r>
      <w:r w:rsidRPr="00277F7C">
        <w:tab/>
        <w:t xml:space="preserve">The economic benefit to complete the Project would </w:t>
      </w:r>
      <w:r w:rsidR="00FB3F09">
        <w:t>in</w:t>
      </w:r>
      <w:r w:rsidRPr="00277F7C">
        <w:t>crease from $</w:t>
      </w:r>
      <w:r w:rsidR="000C5280" w:rsidRPr="00277F7C">
        <w:t>1.0</w:t>
      </w:r>
      <w:r w:rsidRPr="00277F7C">
        <w:t xml:space="preserve"> billion to</w:t>
      </w:r>
      <w:r w:rsidR="00565AC6" w:rsidRPr="00277F7C">
        <w:t xml:space="preserve"> $</w:t>
      </w:r>
      <w:r w:rsidR="000C5280" w:rsidRPr="00277F7C">
        <w:t>1.1</w:t>
      </w:r>
      <w:r w:rsidR="00565AC6" w:rsidRPr="00277F7C">
        <w:t xml:space="preserve"> </w:t>
      </w:r>
      <w:r w:rsidRPr="00277F7C">
        <w:t>billion</w:t>
      </w:r>
      <w:r w:rsidR="00565AC6" w:rsidRPr="00277F7C">
        <w:t xml:space="preserve">, a change of approximately </w:t>
      </w:r>
      <w:r w:rsidR="00B02A68" w:rsidRPr="00277F7C">
        <w:t>$</w:t>
      </w:r>
      <w:r w:rsidR="000C5280" w:rsidRPr="00277F7C">
        <w:t xml:space="preserve">100 </w:t>
      </w:r>
      <w:r w:rsidR="00565AC6" w:rsidRPr="00277F7C">
        <w:t>million.</w:t>
      </w:r>
    </w:p>
    <w:p w14:paraId="6F2A1D1E" w14:textId="77777777" w:rsidR="00315F63" w:rsidRDefault="004F69C2" w:rsidP="00463ADA">
      <w:pPr>
        <w:spacing w:after="240" w:line="360" w:lineRule="auto"/>
        <w:ind w:left="720" w:hanging="720"/>
      </w:pPr>
      <w:r>
        <w:t xml:space="preserve"> </w:t>
      </w:r>
    </w:p>
    <w:p w14:paraId="3DABF12C" w14:textId="77777777" w:rsidR="006A1880" w:rsidRPr="008250D4" w:rsidRDefault="004F69C2" w:rsidP="00463ADA">
      <w:pPr>
        <w:spacing w:after="240" w:line="360" w:lineRule="auto"/>
        <w:ind w:left="720" w:hanging="720"/>
        <w:rPr>
          <w:b/>
          <w:u w:val="single"/>
        </w:rPr>
      </w:pPr>
      <w:r>
        <w:t xml:space="preserve"> </w:t>
      </w:r>
      <w:r w:rsidR="008250D4" w:rsidRPr="008250D4">
        <w:rPr>
          <w:b/>
          <w:u w:val="single"/>
        </w:rPr>
        <w:t>Other Issues</w:t>
      </w:r>
    </w:p>
    <w:p w14:paraId="085006C5" w14:textId="532EE058" w:rsidR="00463ADA" w:rsidRPr="00463ADA" w:rsidRDefault="00463ADA" w:rsidP="00463ADA">
      <w:pPr>
        <w:spacing w:after="240" w:line="360" w:lineRule="auto"/>
        <w:ind w:left="720" w:hanging="720"/>
        <w:rPr>
          <w:b/>
        </w:rPr>
      </w:pPr>
      <w:r w:rsidRPr="00463ADA">
        <w:rPr>
          <w:b/>
        </w:rPr>
        <w:t>Q.</w:t>
      </w:r>
      <w:r w:rsidRPr="00463ADA">
        <w:rPr>
          <w:b/>
        </w:rPr>
        <w:tab/>
      </w:r>
      <w:r w:rsidR="00D4553C">
        <w:rPr>
          <w:b/>
        </w:rPr>
        <w:t xml:space="preserve">DOES </w:t>
      </w:r>
      <w:r w:rsidR="008E43A9">
        <w:rPr>
          <w:b/>
        </w:rPr>
        <w:t>STAFF</w:t>
      </w:r>
      <w:r w:rsidRPr="00463ADA">
        <w:rPr>
          <w:b/>
        </w:rPr>
        <w:t xml:space="preserve"> </w:t>
      </w:r>
      <w:r w:rsidR="00D4553C">
        <w:rPr>
          <w:b/>
        </w:rPr>
        <w:t xml:space="preserve">HAVE ANY COMMENTS REGARDING THE COMPANY’S REPLACEMENT ENERGY COST AND DEFERRED OPERATING COST RESULTS IN </w:t>
      </w:r>
      <w:r w:rsidR="004D7CBB">
        <w:rPr>
          <w:b/>
        </w:rPr>
        <w:t xml:space="preserve">TABLE 1.2 OF THE COMPANY’S </w:t>
      </w:r>
      <w:r w:rsidR="00AC343E">
        <w:rPr>
          <w:b/>
        </w:rPr>
        <w:t xml:space="preserve">VCM </w:t>
      </w:r>
      <w:r w:rsidR="00F12505">
        <w:rPr>
          <w:b/>
        </w:rPr>
        <w:t xml:space="preserve">20/21 </w:t>
      </w:r>
      <w:r w:rsidR="00AC343E">
        <w:rPr>
          <w:b/>
        </w:rPr>
        <w:t>REPORT</w:t>
      </w:r>
      <w:r w:rsidRPr="00463ADA">
        <w:rPr>
          <w:b/>
        </w:rPr>
        <w:t>?</w:t>
      </w:r>
    </w:p>
    <w:p w14:paraId="0120689F" w14:textId="7D2FA8B1" w:rsidR="00B927F2" w:rsidRDefault="00463ADA" w:rsidP="003D414C">
      <w:pPr>
        <w:spacing w:after="240" w:line="360" w:lineRule="auto"/>
        <w:ind w:left="720" w:hanging="720"/>
      </w:pPr>
      <w:r w:rsidRPr="00463ADA">
        <w:t>A.</w:t>
      </w:r>
      <w:r w:rsidRPr="00463ADA">
        <w:tab/>
      </w:r>
      <w:r w:rsidR="00F12505">
        <w:t>Yes</w:t>
      </w:r>
      <w:r w:rsidR="008250D4">
        <w:t xml:space="preserve">.  </w:t>
      </w:r>
      <w:r w:rsidR="00FB3F09">
        <w:t xml:space="preserve">It appears </w:t>
      </w:r>
      <w:r w:rsidR="000C0D10">
        <w:t xml:space="preserve">the Company’s </w:t>
      </w:r>
      <w:r w:rsidR="003660AC">
        <w:t>Table 1.2</w:t>
      </w:r>
      <w:r w:rsidR="000C0D10">
        <w:t xml:space="preserve"> indicates that</w:t>
      </w:r>
      <w:r w:rsidR="003660AC">
        <w:t xml:space="preserve"> </w:t>
      </w:r>
      <w:r w:rsidR="000C0D10">
        <w:t>over the delay period through June 30, 2019, customers have been harmed by $10</w:t>
      </w:r>
      <w:r w:rsidR="007A0000">
        <w:t>3</w:t>
      </w:r>
      <w:r w:rsidR="000C0D10">
        <w:t xml:space="preserve"> million based on this calculation.   </w:t>
      </w:r>
    </w:p>
    <w:p w14:paraId="535A3FF4" w14:textId="0DC53546" w:rsidR="000C0D10" w:rsidRPr="00463ADA" w:rsidRDefault="000C0D10" w:rsidP="000C0D10">
      <w:pPr>
        <w:spacing w:after="240" w:line="360" w:lineRule="auto"/>
        <w:ind w:left="720" w:hanging="720"/>
        <w:rPr>
          <w:b/>
        </w:rPr>
      </w:pPr>
      <w:r w:rsidRPr="00463ADA">
        <w:rPr>
          <w:b/>
        </w:rPr>
        <w:t>Q.</w:t>
      </w:r>
      <w:r w:rsidRPr="00463ADA">
        <w:rPr>
          <w:b/>
        </w:rPr>
        <w:tab/>
      </w:r>
      <w:r w:rsidR="00662DA2">
        <w:rPr>
          <w:b/>
        </w:rPr>
        <w:t>DOES STAFF AGREE WITH THE COMPANY’S</w:t>
      </w:r>
      <w:r w:rsidR="004C4BF8">
        <w:rPr>
          <w:b/>
        </w:rPr>
        <w:t xml:space="preserve"> RESULTS</w:t>
      </w:r>
      <w:r w:rsidR="00662DA2">
        <w:rPr>
          <w:b/>
        </w:rPr>
        <w:t xml:space="preserve"> IN TABLE 1.2</w:t>
      </w:r>
      <w:r w:rsidR="00D44C08">
        <w:rPr>
          <w:b/>
        </w:rPr>
        <w:t>?</w:t>
      </w:r>
    </w:p>
    <w:p w14:paraId="48544337" w14:textId="47F36B57" w:rsidR="00463ADA" w:rsidRDefault="00D44C08" w:rsidP="003D414C">
      <w:pPr>
        <w:spacing w:after="240" w:line="360" w:lineRule="auto"/>
        <w:ind w:left="720" w:hanging="720"/>
      </w:pPr>
      <w:r>
        <w:t>A.</w:t>
      </w:r>
      <w:r>
        <w:tab/>
      </w:r>
      <w:r w:rsidR="00662DA2">
        <w:t>No.</w:t>
      </w:r>
      <w:r w:rsidR="00B607C0">
        <w:rPr>
          <w:b/>
        </w:rPr>
        <w:t xml:space="preserve"> </w:t>
      </w:r>
      <w:r w:rsidR="00177BC3">
        <w:t>The premise behind the table is fundamentally flawed</w:t>
      </w:r>
      <w:r w:rsidR="005B4066">
        <w:t xml:space="preserve"> as it</w:t>
      </w:r>
      <w:r w:rsidR="003D414C">
        <w:t xml:space="preserve"> ignores the significant add</w:t>
      </w:r>
      <w:r w:rsidR="00CC60E1">
        <w:t xml:space="preserve">itional </w:t>
      </w:r>
      <w:r w:rsidR="003D414C">
        <w:t xml:space="preserve">financing </w:t>
      </w:r>
      <w:r w:rsidR="00CC60E1">
        <w:t>revenue requirement</w:t>
      </w:r>
      <w:r w:rsidR="003D414C">
        <w:t>s</w:t>
      </w:r>
      <w:r w:rsidR="00CC60E1">
        <w:t xml:space="preserve"> being recovered from ratepayers during the 68-month </w:t>
      </w:r>
      <w:r w:rsidR="00940D07">
        <w:t xml:space="preserve">construction </w:t>
      </w:r>
      <w:r w:rsidR="00CC60E1">
        <w:t>delay</w:t>
      </w:r>
      <w:r w:rsidR="003D414C">
        <w:t xml:space="preserve"> period that otherwise would not have been incurred had the Project been completed on-time and on-budget.  </w:t>
      </w:r>
      <w:r w:rsidR="00662DA2">
        <w:t>For the entire delay period through November 2022 r</w:t>
      </w:r>
      <w:r w:rsidR="00177BC3">
        <w:t xml:space="preserve">atepayers will pay an additional </w:t>
      </w:r>
      <w:r w:rsidR="005B4066">
        <w:t>$</w:t>
      </w:r>
      <w:r w:rsidR="00C36B06">
        <w:t>1.</w:t>
      </w:r>
      <w:r w:rsidR="00EB4A11">
        <w:t>8</w:t>
      </w:r>
      <w:r w:rsidR="00C36B06">
        <w:t xml:space="preserve"> </w:t>
      </w:r>
      <w:r w:rsidR="005B4066">
        <w:t>billion in NCCR revenue requirement during the construction period due to the delays and cost overruns.</w:t>
      </w:r>
      <w:r w:rsidR="005B4066">
        <w:rPr>
          <w:rStyle w:val="FootnoteReference"/>
        </w:rPr>
        <w:footnoteReference w:id="24"/>
      </w:r>
      <w:r w:rsidR="005B4066">
        <w:t xml:space="preserve"> </w:t>
      </w:r>
      <w:r w:rsidR="00177BC3">
        <w:t xml:space="preserve"> </w:t>
      </w:r>
      <w:r w:rsidR="009743EF">
        <w:t xml:space="preserve">For a typical residential customer the additional amount collected through the NCCR tariff is </w:t>
      </w:r>
      <w:r w:rsidR="009743EF">
        <w:lastRenderedPageBreak/>
        <w:t>approximately $</w:t>
      </w:r>
      <w:r w:rsidR="007A0000">
        <w:t>385</w:t>
      </w:r>
      <w:r w:rsidR="0067748D">
        <w:t xml:space="preserve"> </w:t>
      </w:r>
      <w:r w:rsidR="009743EF">
        <w:t>during the construction period.</w:t>
      </w:r>
      <w:r w:rsidR="00D27BF4">
        <w:rPr>
          <w:rStyle w:val="FootnoteReference"/>
        </w:rPr>
        <w:footnoteReference w:id="25"/>
      </w:r>
      <w:r w:rsidR="009743EF">
        <w:t xml:space="preserve"> </w:t>
      </w:r>
      <w:r w:rsidR="005B4066">
        <w:t xml:space="preserve">The Company </w:t>
      </w:r>
      <w:r w:rsidR="001D65B1">
        <w:t>will also</w:t>
      </w:r>
      <w:r w:rsidR="005B4066">
        <w:t xml:space="preserve"> </w:t>
      </w:r>
      <w:r w:rsidR="00D525EE">
        <w:t>recover</w:t>
      </w:r>
      <w:r w:rsidR="005B4066">
        <w:t xml:space="preserve"> an additional $</w:t>
      </w:r>
      <w:r w:rsidR="00417978">
        <w:t>3</w:t>
      </w:r>
      <w:r w:rsidR="00662DA2">
        <w:t>09</w:t>
      </w:r>
      <w:r w:rsidR="00417978">
        <w:t xml:space="preserve"> </w:t>
      </w:r>
      <w:r w:rsidR="005B4066">
        <w:t>million</w:t>
      </w:r>
      <w:r w:rsidR="00940D07">
        <w:t xml:space="preserve"> of financing cost that will be deferred and collected </w:t>
      </w:r>
      <w:r w:rsidR="007A0000">
        <w:t xml:space="preserve">from customers </w:t>
      </w:r>
      <w:r w:rsidR="00940D07">
        <w:t xml:space="preserve">over the operating life of the </w:t>
      </w:r>
      <w:r w:rsidR="008850C7">
        <w:t xml:space="preserve">Units </w:t>
      </w:r>
      <w:r w:rsidR="001D65B1">
        <w:t>due to the delays and cost overruns</w:t>
      </w:r>
      <w:r w:rsidR="005B4066">
        <w:t>.</w:t>
      </w:r>
      <w:r w:rsidR="0055002A">
        <w:t xml:space="preserve"> Finally, </w:t>
      </w:r>
      <w:r w:rsidR="0064215D">
        <w:t xml:space="preserve">Staff estimates that </w:t>
      </w:r>
      <w:r w:rsidR="0010121A">
        <w:t>after</w:t>
      </w:r>
      <w:r w:rsidR="0055002A">
        <w:t xml:space="preserve"> the Units go into service, the peak base rate impact for a typical residential customer will be</w:t>
      </w:r>
      <w:r w:rsidR="0010121A">
        <w:t xml:space="preserve"> more than</w:t>
      </w:r>
      <w:r w:rsidR="0055002A">
        <w:t xml:space="preserve"> double what the Company told the Commission at certification.</w:t>
      </w:r>
      <w:r w:rsidR="00463ADA" w:rsidRPr="00463ADA">
        <w:t xml:space="preserve"> </w:t>
      </w:r>
      <w:r w:rsidR="001D65B1">
        <w:t xml:space="preserve">Clearly the delays and cost overruns </w:t>
      </w:r>
      <w:r>
        <w:t>add additional costs to ratepayers that are much greater than just the</w:t>
      </w:r>
      <w:r w:rsidR="007A0000">
        <w:t xml:space="preserve"> </w:t>
      </w:r>
      <w:r w:rsidR="001D65B1">
        <w:t>$</w:t>
      </w:r>
      <w:r>
        <w:t>10</w:t>
      </w:r>
      <w:r w:rsidR="007A0000">
        <w:t>3</w:t>
      </w:r>
      <w:r>
        <w:t xml:space="preserve"> </w:t>
      </w:r>
      <w:r w:rsidR="001D65B1">
        <w:t>million shown in Table 1.2</w:t>
      </w:r>
    </w:p>
    <w:p w14:paraId="63A37689" w14:textId="0A46ECBF" w:rsidR="005D60CD" w:rsidRPr="00277F7C" w:rsidRDefault="005D60CD" w:rsidP="005D60CD">
      <w:pPr>
        <w:spacing w:after="240" w:line="360" w:lineRule="auto"/>
        <w:ind w:left="720" w:hanging="720"/>
        <w:rPr>
          <w:b/>
        </w:rPr>
      </w:pPr>
      <w:r w:rsidRPr="00277F7C">
        <w:rPr>
          <w:b/>
        </w:rPr>
        <w:t>Q.</w:t>
      </w:r>
      <w:r w:rsidRPr="00277F7C">
        <w:rPr>
          <w:b/>
        </w:rPr>
        <w:tab/>
      </w:r>
      <w:r>
        <w:rPr>
          <w:b/>
        </w:rPr>
        <w:t xml:space="preserve">YOU MENTIONED ABOVE THAT THE PURPOSE OF A COST TO COMPLETE ANALYSIS IS TO EXAMINE WHETHER IT </w:t>
      </w:r>
      <w:r w:rsidR="006F0573">
        <w:rPr>
          <w:b/>
        </w:rPr>
        <w:t xml:space="preserve">WOULD BE </w:t>
      </w:r>
      <w:r>
        <w:rPr>
          <w:b/>
        </w:rPr>
        <w:t>ECONOMIC TO FINISH A PROJECT</w:t>
      </w:r>
      <w:r w:rsidR="006F0573">
        <w:rPr>
          <w:b/>
        </w:rPr>
        <w:t>, BUT DOES IT PROVIDE AN INDICATION OF THE TOTAL AMOUNT OF REVENUE REQUIREMENTS CUSTOMERS WILL HAVE TO PAY FOR A PROJECT?</w:t>
      </w:r>
    </w:p>
    <w:p w14:paraId="110752A5" w14:textId="53740558" w:rsidR="005D60CD" w:rsidRDefault="005D60CD" w:rsidP="005D60CD">
      <w:pPr>
        <w:spacing w:after="240" w:line="360" w:lineRule="auto"/>
        <w:ind w:left="720" w:hanging="720"/>
      </w:pPr>
      <w:r w:rsidRPr="00277F7C">
        <w:t>A.</w:t>
      </w:r>
      <w:r w:rsidRPr="00277F7C">
        <w:tab/>
      </w:r>
      <w:r w:rsidR="006F0573">
        <w:t xml:space="preserve">No, it does not.  </w:t>
      </w:r>
      <w:r w:rsidR="002772D1">
        <w:t>As Mr. Hayet</w:t>
      </w:r>
      <w:r w:rsidR="00051CCC">
        <w:t xml:space="preserve"> has</w:t>
      </w:r>
      <w:r w:rsidR="002772D1">
        <w:t xml:space="preserve"> </w:t>
      </w:r>
      <w:r w:rsidR="00051CCC">
        <w:t>testified in prior VCMs</w:t>
      </w:r>
      <w:r w:rsidR="002772D1">
        <w:t>,</w:t>
      </w:r>
      <w:r w:rsidR="00051CCC" w:rsidRPr="00051CCC">
        <w:rPr>
          <w:vertAlign w:val="superscript"/>
        </w:rPr>
        <w:footnoteReference w:id="26"/>
      </w:r>
      <w:r w:rsidR="002772D1">
        <w:t xml:space="preserve"> </w:t>
      </w:r>
      <w:r w:rsidR="006F0573">
        <w:t xml:space="preserve">a life-cycle analysis would provide additional useful information, including an indication of the total amount of revenue requirements customers would have to pay for the Vogtle Project.  </w:t>
      </w:r>
      <w:r w:rsidR="003349EC">
        <w:t xml:space="preserve">Essentially, </w:t>
      </w:r>
      <w:r w:rsidR="00D525EE">
        <w:t>the life</w:t>
      </w:r>
      <w:r w:rsidR="006F0573">
        <w:t>-cycle analysis wo</w:t>
      </w:r>
      <w:r w:rsidR="003349EC">
        <w:t xml:space="preserve">uld show what ratepayers would </w:t>
      </w:r>
      <w:r w:rsidR="006F0573">
        <w:t xml:space="preserve">have to </w:t>
      </w:r>
      <w:r w:rsidR="003349EC">
        <w:t xml:space="preserve">pay for Vogtle </w:t>
      </w:r>
      <w:r w:rsidR="00F43A2B">
        <w:t xml:space="preserve">Units 3 and 4 </w:t>
      </w:r>
      <w:r w:rsidR="003349EC">
        <w:t xml:space="preserve">over </w:t>
      </w:r>
      <w:r w:rsidR="00F43A2B">
        <w:t>the</w:t>
      </w:r>
      <w:r w:rsidR="003349EC">
        <w:t xml:space="preserve"> life </w:t>
      </w:r>
      <w:r w:rsidR="006F0573">
        <w:t xml:space="preserve">of the Units </w:t>
      </w:r>
      <w:r w:rsidR="003349EC">
        <w:t xml:space="preserve">versus what </w:t>
      </w:r>
      <w:r w:rsidR="006F0573">
        <w:t>ratepayers</w:t>
      </w:r>
      <w:r w:rsidR="003349EC">
        <w:t xml:space="preserve"> would have </w:t>
      </w:r>
      <w:r w:rsidR="006F0573">
        <w:t xml:space="preserve">to </w:t>
      </w:r>
      <w:r w:rsidR="003349EC">
        <w:t>pa</w:t>
      </w:r>
      <w:r w:rsidR="006F0573">
        <w:t>y</w:t>
      </w:r>
      <w:r w:rsidR="003349EC">
        <w:t xml:space="preserve"> for</w:t>
      </w:r>
      <w:r w:rsidR="00235701">
        <w:t xml:space="preserve"> a</w:t>
      </w:r>
      <w:r w:rsidR="003349EC">
        <w:t xml:space="preserve"> combined cycle</w:t>
      </w:r>
      <w:r w:rsidR="00235701">
        <w:t xml:space="preserve"> unit </w:t>
      </w:r>
      <w:r w:rsidR="003349EC">
        <w:t>under various scenarios.</w:t>
      </w:r>
    </w:p>
    <w:p w14:paraId="60FA347E" w14:textId="3B2AD93E" w:rsidR="002146A9" w:rsidRPr="00463ADA" w:rsidRDefault="002146A9" w:rsidP="002146A9">
      <w:pPr>
        <w:spacing w:after="240" w:line="360" w:lineRule="auto"/>
        <w:ind w:left="720" w:hanging="720"/>
        <w:rPr>
          <w:b/>
        </w:rPr>
      </w:pPr>
      <w:r w:rsidRPr="00463ADA">
        <w:rPr>
          <w:b/>
        </w:rPr>
        <w:t>Q.</w:t>
      </w:r>
      <w:r w:rsidRPr="00463ADA">
        <w:rPr>
          <w:b/>
        </w:rPr>
        <w:tab/>
      </w:r>
      <w:r>
        <w:rPr>
          <w:b/>
        </w:rPr>
        <w:t xml:space="preserve">HOW DO THE </w:t>
      </w:r>
      <w:r w:rsidR="006F7ADB">
        <w:rPr>
          <w:b/>
        </w:rPr>
        <w:t xml:space="preserve">LIFE CYCLE </w:t>
      </w:r>
      <w:r w:rsidR="00747CD5">
        <w:rPr>
          <w:b/>
        </w:rPr>
        <w:t xml:space="preserve">NOMINAL </w:t>
      </w:r>
      <w:r>
        <w:rPr>
          <w:b/>
        </w:rPr>
        <w:t xml:space="preserve">REVENUE REQUIREMENTS </w:t>
      </w:r>
      <w:r w:rsidR="00032348">
        <w:rPr>
          <w:b/>
        </w:rPr>
        <w:t xml:space="preserve">COLLECTED FROM RATEPAYERS </w:t>
      </w:r>
      <w:r w:rsidR="006F0573">
        <w:rPr>
          <w:b/>
        </w:rPr>
        <w:t xml:space="preserve">COMPARE BETWEEN </w:t>
      </w:r>
      <w:r w:rsidR="00920465">
        <w:rPr>
          <w:b/>
        </w:rPr>
        <w:t xml:space="preserve">THE </w:t>
      </w:r>
      <w:r w:rsidR="00B31438">
        <w:rPr>
          <w:b/>
        </w:rPr>
        <w:t xml:space="preserve">CASE WITH </w:t>
      </w:r>
      <w:r>
        <w:rPr>
          <w:b/>
        </w:rPr>
        <w:t xml:space="preserve">VOGTLE </w:t>
      </w:r>
      <w:r w:rsidR="00B31438">
        <w:rPr>
          <w:b/>
        </w:rPr>
        <w:t xml:space="preserve">UNITS </w:t>
      </w:r>
      <w:r>
        <w:rPr>
          <w:b/>
        </w:rPr>
        <w:t>3</w:t>
      </w:r>
      <w:r w:rsidR="00920465">
        <w:rPr>
          <w:b/>
        </w:rPr>
        <w:t xml:space="preserve"> AND </w:t>
      </w:r>
      <w:r>
        <w:rPr>
          <w:b/>
        </w:rPr>
        <w:t xml:space="preserve">4 </w:t>
      </w:r>
      <w:r w:rsidR="006F0573">
        <w:rPr>
          <w:b/>
        </w:rPr>
        <w:t>AND</w:t>
      </w:r>
      <w:r w:rsidR="004C4BF8">
        <w:rPr>
          <w:b/>
        </w:rPr>
        <w:t xml:space="preserve"> THE</w:t>
      </w:r>
      <w:r w:rsidR="00B31438">
        <w:rPr>
          <w:b/>
        </w:rPr>
        <w:t xml:space="preserve"> CASE WITH THE </w:t>
      </w:r>
      <w:r w:rsidR="00032348">
        <w:rPr>
          <w:b/>
        </w:rPr>
        <w:t>COMBINED CYCLE</w:t>
      </w:r>
      <w:r w:rsidR="00920465">
        <w:rPr>
          <w:b/>
        </w:rPr>
        <w:t xml:space="preserve"> </w:t>
      </w:r>
      <w:r>
        <w:rPr>
          <w:b/>
        </w:rPr>
        <w:t>UNIT?</w:t>
      </w:r>
    </w:p>
    <w:p w14:paraId="79BCBA95" w14:textId="3253C8FF" w:rsidR="002146A9" w:rsidRDefault="002146A9" w:rsidP="002146A9">
      <w:pPr>
        <w:spacing w:after="240" w:line="360" w:lineRule="auto"/>
        <w:ind w:left="720" w:hanging="720"/>
      </w:pPr>
      <w:r w:rsidRPr="00463ADA">
        <w:lastRenderedPageBreak/>
        <w:t>A.</w:t>
      </w:r>
      <w:r w:rsidRPr="00463ADA">
        <w:tab/>
      </w:r>
      <w:r>
        <w:t xml:space="preserve">Staff has created a comparison of the </w:t>
      </w:r>
      <w:r w:rsidR="004C4BF8">
        <w:t xml:space="preserve">projected </w:t>
      </w:r>
      <w:r>
        <w:t>cumulative nominal revenue requirements</w:t>
      </w:r>
      <w:r w:rsidR="004C4BF8">
        <w:t xml:space="preserve"> (fuel, O&amp;M, and capital costs)</w:t>
      </w:r>
      <w:r>
        <w:t xml:space="preserve"> </w:t>
      </w:r>
      <w:r w:rsidR="00662DA2">
        <w:t xml:space="preserve">of Vogtle Units 3 and 4 </w:t>
      </w:r>
      <w:r w:rsidR="004C4BF8">
        <w:t xml:space="preserve">that will be </w:t>
      </w:r>
      <w:r w:rsidR="00B10924">
        <w:t xml:space="preserve">collected from ratepayers </w:t>
      </w:r>
      <w:r>
        <w:t xml:space="preserve">to the replacement </w:t>
      </w:r>
      <w:r w:rsidR="00B06B5B">
        <w:t>combined cycle</w:t>
      </w:r>
      <w:r>
        <w:t xml:space="preserve"> </w:t>
      </w:r>
      <w:r w:rsidR="00920465">
        <w:t xml:space="preserve">unit </w:t>
      </w:r>
      <w:r>
        <w:t xml:space="preserve">for each of the three natural gas price forecast scenarios. </w:t>
      </w:r>
      <w:r w:rsidR="00920465">
        <w:t xml:space="preserve">In the case of the </w:t>
      </w:r>
      <w:r w:rsidR="00B06B5B">
        <w:t>combined cycle</w:t>
      </w:r>
      <w:r w:rsidR="004C4BF8">
        <w:t xml:space="preserve"> unit</w:t>
      </w:r>
      <w:r w:rsidR="00920465">
        <w:t xml:space="preserve">, Staff added all </w:t>
      </w:r>
      <w:r w:rsidR="004C4BF8">
        <w:t xml:space="preserve">of the System </w:t>
      </w:r>
      <w:r w:rsidR="00920465">
        <w:t xml:space="preserve">replacement fuel and O&amp;M costs to the capital revenue requirements of the replacement </w:t>
      </w:r>
      <w:r w:rsidR="00C76D7C">
        <w:t>combined cycle</w:t>
      </w:r>
      <w:r w:rsidR="00920465">
        <w:t xml:space="preserve"> </w:t>
      </w:r>
      <w:r w:rsidR="00216285">
        <w:t xml:space="preserve">unit. </w:t>
      </w:r>
      <w:r w:rsidR="00032348">
        <w:t>Nominal revenue requirement</w:t>
      </w:r>
      <w:r w:rsidR="00747CD5">
        <w:t>s</w:t>
      </w:r>
      <w:r w:rsidR="00032348">
        <w:t xml:space="preserve"> are used </w:t>
      </w:r>
      <w:r w:rsidR="00747CD5">
        <w:t xml:space="preserve">in this analysis </w:t>
      </w:r>
      <w:r w:rsidR="00032348">
        <w:t xml:space="preserve">to </w:t>
      </w:r>
      <w:r w:rsidR="00747CD5">
        <w:t>indicate</w:t>
      </w:r>
      <w:r w:rsidR="00032348">
        <w:t xml:space="preserve"> the impact on ratepayer bills</w:t>
      </w:r>
      <w:r w:rsidR="00747CD5">
        <w:t>.</w:t>
      </w:r>
    </w:p>
    <w:p w14:paraId="214C8A68" w14:textId="4EBFF11B" w:rsidR="007F148F" w:rsidRPr="00463ADA" w:rsidRDefault="007F148F" w:rsidP="007F148F">
      <w:pPr>
        <w:spacing w:after="240" w:line="360" w:lineRule="auto"/>
        <w:ind w:left="720" w:hanging="720"/>
        <w:rPr>
          <w:b/>
        </w:rPr>
      </w:pPr>
      <w:r w:rsidRPr="00463ADA">
        <w:rPr>
          <w:b/>
        </w:rPr>
        <w:t>Q.</w:t>
      </w:r>
      <w:r w:rsidRPr="00463ADA">
        <w:rPr>
          <w:b/>
        </w:rPr>
        <w:tab/>
      </w:r>
      <w:r w:rsidR="00B10924">
        <w:rPr>
          <w:b/>
        </w:rPr>
        <w:t xml:space="preserve">HOW DOES THE </w:t>
      </w:r>
      <w:r w:rsidR="00A2681C">
        <w:rPr>
          <w:b/>
        </w:rPr>
        <w:t xml:space="preserve">CUMULATIVE </w:t>
      </w:r>
      <w:r w:rsidR="00B10924">
        <w:rPr>
          <w:b/>
        </w:rPr>
        <w:t>NOMINAL REVENUE REQUIREMENT OF VOGTLE 3</w:t>
      </w:r>
      <w:r w:rsidR="00315F63">
        <w:rPr>
          <w:b/>
        </w:rPr>
        <w:t xml:space="preserve"> </w:t>
      </w:r>
      <w:r w:rsidR="00B10924">
        <w:rPr>
          <w:b/>
        </w:rPr>
        <w:t>&amp;</w:t>
      </w:r>
      <w:r w:rsidR="00315F63">
        <w:rPr>
          <w:b/>
        </w:rPr>
        <w:t xml:space="preserve"> </w:t>
      </w:r>
      <w:r w:rsidR="00B10924">
        <w:rPr>
          <w:b/>
        </w:rPr>
        <w:t xml:space="preserve">4 COMPARE TO </w:t>
      </w:r>
      <w:r w:rsidR="004C4BF8">
        <w:rPr>
          <w:b/>
        </w:rPr>
        <w:t xml:space="preserve">THE </w:t>
      </w:r>
      <w:r w:rsidR="00B10924">
        <w:rPr>
          <w:b/>
        </w:rPr>
        <w:t xml:space="preserve">COMBINED CYCLE UNIT ASSUMING </w:t>
      </w:r>
      <w:r w:rsidR="008850C7">
        <w:rPr>
          <w:b/>
        </w:rPr>
        <w:t xml:space="preserve">A </w:t>
      </w:r>
      <w:r w:rsidR="00B10924">
        <w:rPr>
          <w:b/>
        </w:rPr>
        <w:t>LOW NATURAL GAS PRICE FORECAST UNDER THE THREE CO</w:t>
      </w:r>
      <w:r w:rsidR="00B10924" w:rsidRPr="004C4BF8">
        <w:rPr>
          <w:b/>
          <w:vertAlign w:val="subscript"/>
        </w:rPr>
        <w:t>2</w:t>
      </w:r>
      <w:r w:rsidR="00B10924">
        <w:rPr>
          <w:b/>
        </w:rPr>
        <w:t xml:space="preserve"> EMISSION PRICE FORECAST</w:t>
      </w:r>
      <w:r w:rsidR="004C4BF8">
        <w:rPr>
          <w:b/>
        </w:rPr>
        <w:t xml:space="preserve"> CASE</w:t>
      </w:r>
      <w:r w:rsidR="00B10924">
        <w:rPr>
          <w:b/>
        </w:rPr>
        <w:t>S</w:t>
      </w:r>
      <w:r w:rsidR="004C4BF8">
        <w:rPr>
          <w:b/>
        </w:rPr>
        <w:t>?</w:t>
      </w:r>
    </w:p>
    <w:p w14:paraId="1066797F" w14:textId="282CF3A0" w:rsidR="007F148F" w:rsidRDefault="007F148F" w:rsidP="007F148F">
      <w:pPr>
        <w:spacing w:after="240" w:line="360" w:lineRule="auto"/>
        <w:ind w:left="720" w:hanging="720"/>
      </w:pPr>
      <w:r w:rsidRPr="00B10924">
        <w:t>A.</w:t>
      </w:r>
      <w:r w:rsidRPr="00B10924">
        <w:tab/>
      </w:r>
      <w:r w:rsidR="004C4BF8">
        <w:t>As indicated in the graph</w:t>
      </w:r>
      <w:r w:rsidR="0075319B">
        <w:t xml:space="preserve"> </w:t>
      </w:r>
      <w:r w:rsidR="008850C7">
        <w:t xml:space="preserve">below </w:t>
      </w:r>
      <w:r w:rsidR="0075319B">
        <w:t>for the Low Natural Gas price f</w:t>
      </w:r>
      <w:r w:rsidR="004C4BF8">
        <w:t xml:space="preserve">orecast, the </w:t>
      </w:r>
      <w:r w:rsidR="00B10924">
        <w:t xml:space="preserve">Vogtle </w:t>
      </w:r>
      <w:r w:rsidR="00315F63">
        <w:t xml:space="preserve">Units </w:t>
      </w:r>
      <w:r w:rsidR="00B10924">
        <w:t>3</w:t>
      </w:r>
      <w:r w:rsidR="00315F63">
        <w:t xml:space="preserve"> </w:t>
      </w:r>
      <w:r w:rsidR="00B10924">
        <w:t>&amp;</w:t>
      </w:r>
      <w:r w:rsidR="00315F63">
        <w:t xml:space="preserve"> </w:t>
      </w:r>
      <w:r w:rsidR="00B10924">
        <w:t xml:space="preserve">4 </w:t>
      </w:r>
      <w:r w:rsidR="00A2681C">
        <w:t xml:space="preserve">cumulative </w:t>
      </w:r>
      <w:r w:rsidR="00B10924">
        <w:t xml:space="preserve">nominal revenue requirement exceeds </w:t>
      </w:r>
      <w:r w:rsidR="004C4BF8">
        <w:t xml:space="preserve">the </w:t>
      </w:r>
      <w:r w:rsidR="00B10924">
        <w:t>combined cycle nominal revenue requirement under all three CO</w:t>
      </w:r>
      <w:r w:rsidR="00B10924" w:rsidRPr="004C4BF8">
        <w:rPr>
          <w:vertAlign w:val="subscript"/>
        </w:rPr>
        <w:t>2</w:t>
      </w:r>
      <w:r w:rsidR="00B10924">
        <w:t xml:space="preserve"> emission price forecasts.</w:t>
      </w:r>
    </w:p>
    <w:p w14:paraId="0A803C22" w14:textId="77777777" w:rsidR="000A67AA" w:rsidRDefault="000A67AA" w:rsidP="000A67AA">
      <w:pPr>
        <w:ind w:left="720"/>
      </w:pPr>
      <w:r>
        <w:rPr>
          <w:noProof/>
        </w:rPr>
        <w:lastRenderedPageBreak/>
        <w:drawing>
          <wp:inline distT="0" distB="0" distL="0" distR="0" wp14:anchorId="748F9F04" wp14:editId="6DB0C8FA">
            <wp:extent cx="5391150" cy="4067175"/>
            <wp:effectExtent l="0" t="0" r="0" b="9525"/>
            <wp:docPr id="5" name="Chart 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C2CAF1" w14:textId="77777777" w:rsidR="00B76F06" w:rsidRDefault="00B76F06" w:rsidP="00B10924">
      <w:pPr>
        <w:spacing w:after="240" w:line="360" w:lineRule="auto"/>
        <w:ind w:left="720" w:hanging="720"/>
        <w:rPr>
          <w:b/>
        </w:rPr>
      </w:pPr>
    </w:p>
    <w:p w14:paraId="27B92113" w14:textId="268FE14B" w:rsidR="00B10924" w:rsidRPr="00463ADA" w:rsidRDefault="00B10924" w:rsidP="00B10924">
      <w:pPr>
        <w:spacing w:after="240" w:line="360" w:lineRule="auto"/>
        <w:ind w:left="720" w:hanging="720"/>
        <w:rPr>
          <w:b/>
        </w:rPr>
      </w:pPr>
      <w:r w:rsidRPr="00463ADA">
        <w:rPr>
          <w:b/>
        </w:rPr>
        <w:t>Q.</w:t>
      </w:r>
      <w:r w:rsidRPr="00463ADA">
        <w:rPr>
          <w:b/>
        </w:rPr>
        <w:tab/>
      </w:r>
      <w:r>
        <w:rPr>
          <w:b/>
        </w:rPr>
        <w:t xml:space="preserve">HOW DOES THE </w:t>
      </w:r>
      <w:r w:rsidR="00A2681C">
        <w:rPr>
          <w:b/>
        </w:rPr>
        <w:t xml:space="preserve">CUMULATIVE </w:t>
      </w:r>
      <w:r>
        <w:rPr>
          <w:b/>
        </w:rPr>
        <w:t xml:space="preserve">NOMINAL REVENUE REQUIREMENT OF VOGTLE 3&amp;4 COMPARE TO </w:t>
      </w:r>
      <w:r w:rsidR="004C4BF8">
        <w:rPr>
          <w:b/>
        </w:rPr>
        <w:t>THE</w:t>
      </w:r>
      <w:r w:rsidR="00D83642">
        <w:rPr>
          <w:b/>
        </w:rPr>
        <w:t xml:space="preserve"> </w:t>
      </w:r>
      <w:r>
        <w:rPr>
          <w:b/>
        </w:rPr>
        <w:t xml:space="preserve">COMBINED CYCLE UNIT ASSUMING </w:t>
      </w:r>
      <w:r w:rsidR="008850C7">
        <w:rPr>
          <w:b/>
        </w:rPr>
        <w:t xml:space="preserve">A </w:t>
      </w:r>
      <w:r w:rsidR="00A2681C">
        <w:rPr>
          <w:b/>
        </w:rPr>
        <w:t>MODERATE</w:t>
      </w:r>
      <w:r>
        <w:rPr>
          <w:b/>
        </w:rPr>
        <w:t xml:space="preserve"> NATURAL GAS PRICE FORECAST UNDER THE THREE CO</w:t>
      </w:r>
      <w:r w:rsidRPr="004C4BF8">
        <w:rPr>
          <w:b/>
          <w:vertAlign w:val="subscript"/>
        </w:rPr>
        <w:t>2</w:t>
      </w:r>
      <w:r>
        <w:rPr>
          <w:b/>
        </w:rPr>
        <w:t xml:space="preserve"> EMISSION PRICE FORECAST</w:t>
      </w:r>
      <w:r w:rsidR="004C4BF8">
        <w:rPr>
          <w:b/>
        </w:rPr>
        <w:t xml:space="preserve"> CASE</w:t>
      </w:r>
      <w:r>
        <w:rPr>
          <w:b/>
        </w:rPr>
        <w:t>S</w:t>
      </w:r>
      <w:r w:rsidR="00D83642">
        <w:rPr>
          <w:b/>
        </w:rPr>
        <w:t>?</w:t>
      </w:r>
    </w:p>
    <w:p w14:paraId="043692D3" w14:textId="4D8BDD1C" w:rsidR="00B10924" w:rsidRDefault="00B10924" w:rsidP="004C4BF8">
      <w:pPr>
        <w:spacing w:after="240" w:line="360" w:lineRule="auto"/>
        <w:ind w:left="720" w:hanging="720"/>
      </w:pPr>
      <w:r w:rsidRPr="00B10924">
        <w:t>A.</w:t>
      </w:r>
      <w:r w:rsidRPr="00B10924">
        <w:tab/>
      </w:r>
      <w:r w:rsidR="004C4BF8">
        <w:t xml:space="preserve">The </w:t>
      </w:r>
      <w:r>
        <w:t xml:space="preserve">Vogtle 3&amp;4 </w:t>
      </w:r>
      <w:r w:rsidR="00A2681C">
        <w:t xml:space="preserve">cumulative </w:t>
      </w:r>
      <w:r>
        <w:t xml:space="preserve">nominal revenue requirement exceeds </w:t>
      </w:r>
      <w:r w:rsidR="004C4BF8">
        <w:t xml:space="preserve">the </w:t>
      </w:r>
      <w:r>
        <w:t>combined cycle nominal revenue requirement under all three CO2 emission price forecasts.</w:t>
      </w:r>
    </w:p>
    <w:p w14:paraId="70D27553" w14:textId="7ACD4C76" w:rsidR="000A67AA" w:rsidRDefault="000A67AA" w:rsidP="000A67AA">
      <w:pPr>
        <w:ind w:left="720"/>
      </w:pPr>
      <w:r>
        <w:rPr>
          <w:noProof/>
        </w:rPr>
        <w:lastRenderedPageBreak/>
        <w:drawing>
          <wp:inline distT="0" distB="0" distL="0" distR="0" wp14:anchorId="54EBDEB2" wp14:editId="5B0D4EFE">
            <wp:extent cx="5372100" cy="3590925"/>
            <wp:effectExtent l="0" t="0" r="0" b="9525"/>
            <wp:docPr id="6" name="Chart 6">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FB3C4F" w14:textId="77777777" w:rsidR="000A67AA" w:rsidRDefault="000A67AA" w:rsidP="000A67AA">
      <w:pPr>
        <w:ind w:left="720"/>
      </w:pPr>
    </w:p>
    <w:p w14:paraId="39EA7E62" w14:textId="0FA2A2E3" w:rsidR="00A2681C" w:rsidRPr="00463ADA" w:rsidRDefault="00A2681C" w:rsidP="00A2681C">
      <w:pPr>
        <w:spacing w:after="240" w:line="360" w:lineRule="auto"/>
        <w:ind w:left="720" w:hanging="720"/>
        <w:rPr>
          <w:b/>
        </w:rPr>
      </w:pPr>
      <w:r w:rsidRPr="00463ADA">
        <w:rPr>
          <w:b/>
        </w:rPr>
        <w:t>Q.</w:t>
      </w:r>
      <w:r w:rsidRPr="00463ADA">
        <w:rPr>
          <w:b/>
        </w:rPr>
        <w:tab/>
      </w:r>
      <w:r>
        <w:rPr>
          <w:b/>
        </w:rPr>
        <w:t xml:space="preserve">HOW DOES THE CUMULATIVE NOMINAL REVENUE REQUIREMENT OF VOGTLE 3&amp;4 COMPARE TO </w:t>
      </w:r>
      <w:r w:rsidR="004C4BF8">
        <w:rPr>
          <w:b/>
        </w:rPr>
        <w:t>THE</w:t>
      </w:r>
      <w:r w:rsidR="00D83642">
        <w:rPr>
          <w:b/>
        </w:rPr>
        <w:t xml:space="preserve"> </w:t>
      </w:r>
      <w:r>
        <w:rPr>
          <w:b/>
        </w:rPr>
        <w:t>COMBINED CYCLE UNIT ASSUMING</w:t>
      </w:r>
      <w:r w:rsidR="00D83642">
        <w:rPr>
          <w:b/>
        </w:rPr>
        <w:t xml:space="preserve"> </w:t>
      </w:r>
      <w:r w:rsidR="008850C7">
        <w:rPr>
          <w:b/>
        </w:rPr>
        <w:t xml:space="preserve">A </w:t>
      </w:r>
      <w:r>
        <w:rPr>
          <w:b/>
        </w:rPr>
        <w:t>HIGH NATURAL GAS PRICE FORECAST UNDER THE THREE CO</w:t>
      </w:r>
      <w:r w:rsidRPr="004C4BF8">
        <w:rPr>
          <w:b/>
          <w:vertAlign w:val="subscript"/>
        </w:rPr>
        <w:t>2</w:t>
      </w:r>
      <w:r>
        <w:rPr>
          <w:b/>
        </w:rPr>
        <w:t xml:space="preserve"> EMISSION PRICE FORECAST</w:t>
      </w:r>
      <w:r w:rsidR="004C4BF8">
        <w:rPr>
          <w:b/>
        </w:rPr>
        <w:t xml:space="preserve"> CASE</w:t>
      </w:r>
      <w:r>
        <w:rPr>
          <w:b/>
        </w:rPr>
        <w:t>S</w:t>
      </w:r>
      <w:r w:rsidR="00D83642">
        <w:rPr>
          <w:b/>
        </w:rPr>
        <w:t>?</w:t>
      </w:r>
    </w:p>
    <w:p w14:paraId="73FF4E17" w14:textId="54442013" w:rsidR="00A2681C" w:rsidRDefault="00A2681C" w:rsidP="00A2681C">
      <w:pPr>
        <w:spacing w:after="240" w:line="360" w:lineRule="auto"/>
        <w:ind w:left="720" w:hanging="720"/>
      </w:pPr>
      <w:r w:rsidRPr="00B10924">
        <w:t>A.</w:t>
      </w:r>
      <w:r w:rsidRPr="00B10924">
        <w:tab/>
      </w:r>
      <w:r w:rsidR="004C4BF8">
        <w:t xml:space="preserve">The </w:t>
      </w:r>
      <w:r>
        <w:t>Vogtle 3&amp;4 cumulative nominal revenue requirement exceeds</w:t>
      </w:r>
      <w:r w:rsidR="004C4BF8">
        <w:t xml:space="preserve"> the </w:t>
      </w:r>
      <w:r>
        <w:t>combined cycle nominal revenue requirement under</w:t>
      </w:r>
      <w:r w:rsidR="004C4BF8">
        <w:t xml:space="preserve"> the $0/Ton</w:t>
      </w:r>
      <w:r>
        <w:t xml:space="preserve"> </w:t>
      </w:r>
      <w:r w:rsidR="00C051F4">
        <w:t xml:space="preserve">case for the entire period, </w:t>
      </w:r>
      <w:r w:rsidR="004C4BF8">
        <w:t xml:space="preserve">and </w:t>
      </w:r>
      <w:r w:rsidR="00C051F4">
        <w:t xml:space="preserve">it exceeds </w:t>
      </w:r>
      <w:r w:rsidR="004C4BF8">
        <w:t xml:space="preserve">the $10/Ton </w:t>
      </w:r>
      <w:r>
        <w:t>CO</w:t>
      </w:r>
      <w:r w:rsidRPr="004C4BF8">
        <w:rPr>
          <w:vertAlign w:val="subscript"/>
        </w:rPr>
        <w:t>2</w:t>
      </w:r>
      <w:r>
        <w:t xml:space="preserve"> emission price forecast</w:t>
      </w:r>
      <w:r w:rsidR="000A67AA">
        <w:t xml:space="preserve"> </w:t>
      </w:r>
      <w:r w:rsidR="00C051F4">
        <w:t xml:space="preserve">case </w:t>
      </w:r>
      <w:r w:rsidR="000A67AA">
        <w:t>almost until the end of the period</w:t>
      </w:r>
      <w:r>
        <w:t xml:space="preserve">. Under </w:t>
      </w:r>
      <w:r w:rsidR="004C4BF8">
        <w:t xml:space="preserve">the $20/Ton </w:t>
      </w:r>
      <w:r>
        <w:t>CO</w:t>
      </w:r>
      <w:r w:rsidRPr="004C4BF8">
        <w:rPr>
          <w:vertAlign w:val="subscript"/>
        </w:rPr>
        <w:t>2</w:t>
      </w:r>
      <w:r>
        <w:t xml:space="preserve"> emission price forecast</w:t>
      </w:r>
      <w:r w:rsidR="003F354A">
        <w:t>,</w:t>
      </w:r>
      <w:r>
        <w:t xml:space="preserve"> the </w:t>
      </w:r>
      <w:r w:rsidR="000A67AA">
        <w:t xml:space="preserve">Vogtle 3&amp;4 </w:t>
      </w:r>
      <w:r>
        <w:t xml:space="preserve">cumulative nominal revenue requirement </w:t>
      </w:r>
      <w:r w:rsidR="000A67AA">
        <w:t xml:space="preserve">exceeds the combined cycle nominal revenue requirement </w:t>
      </w:r>
      <w:r>
        <w:t>until 207</w:t>
      </w:r>
      <w:r w:rsidR="00EB4A11">
        <w:t>2</w:t>
      </w:r>
      <w:r w:rsidR="00032348">
        <w:t>.</w:t>
      </w:r>
    </w:p>
    <w:p w14:paraId="0763904D" w14:textId="516AA212" w:rsidR="000A67AA" w:rsidRDefault="000A67AA" w:rsidP="000A67AA">
      <w:pPr>
        <w:ind w:left="720"/>
      </w:pPr>
      <w:r>
        <w:rPr>
          <w:noProof/>
        </w:rPr>
        <w:lastRenderedPageBreak/>
        <w:drawing>
          <wp:inline distT="0" distB="0" distL="0" distR="0" wp14:anchorId="11A38B6E" wp14:editId="161A7ECF">
            <wp:extent cx="5372100" cy="4048125"/>
            <wp:effectExtent l="0" t="0" r="0" b="9525"/>
            <wp:docPr id="7" name="Chart 7">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D86628" w14:textId="77777777" w:rsidR="000A67AA" w:rsidRDefault="000A67AA" w:rsidP="000A67AA"/>
    <w:p w14:paraId="204BE791" w14:textId="1EF53DE9" w:rsidR="00032348" w:rsidRPr="00463ADA" w:rsidRDefault="00032348" w:rsidP="00032348">
      <w:pPr>
        <w:spacing w:after="240" w:line="360" w:lineRule="auto"/>
        <w:ind w:left="720" w:hanging="720"/>
        <w:rPr>
          <w:b/>
        </w:rPr>
      </w:pPr>
      <w:r w:rsidRPr="00463ADA">
        <w:rPr>
          <w:b/>
        </w:rPr>
        <w:t>Q.</w:t>
      </w:r>
      <w:r w:rsidRPr="00463ADA">
        <w:rPr>
          <w:b/>
        </w:rPr>
        <w:tab/>
      </w:r>
      <w:r w:rsidR="004C4BF8">
        <w:rPr>
          <w:b/>
        </w:rPr>
        <w:t xml:space="preserve">WHAT WOULD THE RESULTS OF A </w:t>
      </w:r>
      <w:r w:rsidR="00747CD5">
        <w:rPr>
          <w:b/>
        </w:rPr>
        <w:t>TRADITIONAL ECONOMIC ANALYSIS USING PRESENT VALUE DOLLAR</w:t>
      </w:r>
      <w:r w:rsidR="004C4BF8">
        <w:rPr>
          <w:b/>
        </w:rPr>
        <w:t xml:space="preserve"> RESULTS</w:t>
      </w:r>
      <w:r w:rsidR="00747CD5">
        <w:rPr>
          <w:b/>
        </w:rPr>
        <w:t xml:space="preserve"> </w:t>
      </w:r>
      <w:r w:rsidR="004C4BF8">
        <w:rPr>
          <w:b/>
        </w:rPr>
        <w:t>INDICATE</w:t>
      </w:r>
      <w:r w:rsidR="00747CD5">
        <w:rPr>
          <w:b/>
        </w:rPr>
        <w:t>?</w:t>
      </w:r>
    </w:p>
    <w:p w14:paraId="1AFF6D29" w14:textId="1F0BB106" w:rsidR="0027722A" w:rsidRDefault="00032348" w:rsidP="00747CD5">
      <w:pPr>
        <w:spacing w:after="240" w:line="360" w:lineRule="auto"/>
        <w:ind w:left="720" w:hanging="720"/>
        <w:rPr>
          <w:highlight w:val="green"/>
        </w:rPr>
      </w:pPr>
      <w:r w:rsidRPr="00B10924">
        <w:t>A.</w:t>
      </w:r>
      <w:r w:rsidRPr="00B10924">
        <w:tab/>
      </w:r>
      <w:r w:rsidR="00747CD5">
        <w:t>W</w:t>
      </w:r>
      <w:r w:rsidR="0027722A">
        <w:t xml:space="preserve">hen the life-cycle revenue requirement results are compared on a cumulative present value basis, the Vogtle Units revenue requirements are </w:t>
      </w:r>
      <w:r w:rsidR="00E20D40">
        <w:t xml:space="preserve">greater </w:t>
      </w:r>
      <w:r w:rsidR="0027722A">
        <w:t xml:space="preserve">than the </w:t>
      </w:r>
      <w:r w:rsidR="00B06B5B">
        <w:t>combined cycle</w:t>
      </w:r>
      <w:r w:rsidR="0027722A">
        <w:t xml:space="preserve"> revenue requirements </w:t>
      </w:r>
      <w:r w:rsidR="00E20D40">
        <w:t xml:space="preserve">every year </w:t>
      </w:r>
      <w:r w:rsidR="0027722A">
        <w:t>in a</w:t>
      </w:r>
      <w:r w:rsidR="00E20D40">
        <w:t>ll</w:t>
      </w:r>
      <w:r w:rsidR="0027722A">
        <w:t xml:space="preserve"> </w:t>
      </w:r>
      <w:r w:rsidR="00747CD5">
        <w:t xml:space="preserve">nine </w:t>
      </w:r>
      <w:r w:rsidR="0027722A">
        <w:t>of the natural gas</w:t>
      </w:r>
      <w:r w:rsidR="00747CD5">
        <w:t xml:space="preserve"> price and </w:t>
      </w:r>
      <w:r w:rsidR="0027722A">
        <w:t>CO</w:t>
      </w:r>
      <w:r w:rsidR="0027722A" w:rsidRPr="0027722A">
        <w:rPr>
          <w:vertAlign w:val="subscript"/>
        </w:rPr>
        <w:t>2</w:t>
      </w:r>
      <w:r w:rsidR="0027722A">
        <w:t xml:space="preserve"> </w:t>
      </w:r>
      <w:r w:rsidR="00747CD5">
        <w:t xml:space="preserve">emission price </w:t>
      </w:r>
      <w:r w:rsidR="0027722A">
        <w:t>cases</w:t>
      </w:r>
      <w:r w:rsidR="00747CD5">
        <w:t>.</w:t>
      </w:r>
    </w:p>
    <w:p w14:paraId="540B7C4F" w14:textId="77777777" w:rsidR="00606680" w:rsidRPr="00250136" w:rsidRDefault="00606680" w:rsidP="00250136">
      <w:pPr>
        <w:widowControl/>
        <w:spacing w:after="240" w:line="360" w:lineRule="auto"/>
        <w:ind w:left="720" w:hanging="720"/>
        <w:rPr>
          <w:b/>
          <w:bCs/>
        </w:rPr>
      </w:pPr>
      <w:r w:rsidRPr="00250136">
        <w:rPr>
          <w:b/>
          <w:bCs/>
        </w:rPr>
        <w:t>Q.</w:t>
      </w:r>
      <w:r w:rsidRPr="00250136">
        <w:rPr>
          <w:b/>
          <w:bCs/>
        </w:rPr>
        <w:tab/>
        <w:t>DOES THIS CONCLUDE YOUR TESTIMONY?</w:t>
      </w:r>
    </w:p>
    <w:p w14:paraId="57ACC84D" w14:textId="77777777" w:rsidR="00400085" w:rsidRDefault="00606680" w:rsidP="00400085">
      <w:pPr>
        <w:spacing w:after="240" w:line="360" w:lineRule="auto"/>
        <w:ind w:left="720" w:hanging="720"/>
      </w:pPr>
      <w:r w:rsidRPr="00250136">
        <w:t>A.</w:t>
      </w:r>
      <w:r w:rsidRPr="00250136">
        <w:tab/>
        <w:t>Yes</w:t>
      </w:r>
      <w:r w:rsidR="00F24616" w:rsidRPr="00250136">
        <w:t>,</w:t>
      </w:r>
      <w:r w:rsidRPr="00250136">
        <w:t xml:space="preserve"> it does.</w:t>
      </w:r>
      <w:bookmarkEnd w:id="14"/>
      <w:r w:rsidR="00F5690B">
        <w:t xml:space="preserve"> </w:t>
      </w:r>
    </w:p>
    <w:p w14:paraId="1A8D1781" w14:textId="77777777" w:rsidR="00032348" w:rsidRDefault="00032348" w:rsidP="00032348">
      <w:pPr>
        <w:spacing w:after="240" w:line="360" w:lineRule="auto"/>
        <w:sectPr w:rsidR="00032348" w:rsidSect="002928D6">
          <w:headerReference w:type="default" r:id="rId16"/>
          <w:footerReference w:type="default" r:id="rId17"/>
          <w:endnotePr>
            <w:numFmt w:val="decimal"/>
          </w:endnotePr>
          <w:pgSz w:w="12240" w:h="15840" w:code="1"/>
          <w:pgMar w:top="1440" w:right="1440" w:bottom="1728" w:left="1440" w:header="1440" w:footer="720" w:gutter="0"/>
          <w:lnNumType w:countBy="1"/>
          <w:cols w:space="720"/>
          <w:noEndnote/>
          <w:docGrid w:linePitch="326"/>
        </w:sectPr>
      </w:pPr>
    </w:p>
    <w:p w14:paraId="31CB6810" w14:textId="77777777" w:rsidR="00083713" w:rsidRDefault="00083713" w:rsidP="00032348">
      <w:pPr>
        <w:spacing w:after="240" w:line="360" w:lineRule="auto"/>
      </w:pPr>
    </w:p>
    <w:p w14:paraId="0B19D64C" w14:textId="77777777" w:rsidR="00400085" w:rsidRPr="00437279" w:rsidRDefault="00400085" w:rsidP="00400085">
      <w:pPr>
        <w:suppressLineNumbers/>
        <w:jc w:val="center"/>
        <w:rPr>
          <w:b/>
          <w:bCs/>
        </w:rPr>
      </w:pPr>
      <w:r w:rsidRPr="00437279">
        <w:rPr>
          <w:b/>
          <w:bCs/>
        </w:rPr>
        <w:t>BEFORE THE</w:t>
      </w:r>
    </w:p>
    <w:p w14:paraId="793EE112" w14:textId="77777777" w:rsidR="00400085" w:rsidRPr="00437279" w:rsidRDefault="00400085" w:rsidP="00400085">
      <w:pPr>
        <w:suppressLineNumbers/>
        <w:jc w:val="center"/>
        <w:rPr>
          <w:b/>
          <w:bCs/>
        </w:rPr>
      </w:pPr>
      <w:r w:rsidRPr="00437279">
        <w:rPr>
          <w:b/>
          <w:bCs/>
        </w:rPr>
        <w:t>GEORGIA PUBLIC SERVICE COMMISSION</w:t>
      </w:r>
    </w:p>
    <w:p w14:paraId="7C4D69F8" w14:textId="77777777" w:rsidR="00400085" w:rsidRPr="00437279" w:rsidRDefault="00400085" w:rsidP="00400085">
      <w:pPr>
        <w:suppressLineNumbers/>
        <w:jc w:val="center"/>
        <w:rPr>
          <w:b/>
          <w:bCs/>
        </w:rPr>
      </w:pPr>
    </w:p>
    <w:p w14:paraId="40E747CE" w14:textId="77777777" w:rsidR="00400085" w:rsidRDefault="00400085" w:rsidP="00400085">
      <w:pPr>
        <w:suppressLineNumbers/>
        <w:jc w:val="center"/>
        <w:rPr>
          <w:b/>
          <w:bCs/>
        </w:rPr>
      </w:pPr>
    </w:p>
    <w:p w14:paraId="03BA754B"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4212E317" w14:textId="77777777" w:rsidTr="00EB5B3C">
        <w:tc>
          <w:tcPr>
            <w:tcW w:w="5148" w:type="dxa"/>
          </w:tcPr>
          <w:p w14:paraId="23326E5A" w14:textId="77777777" w:rsidR="00400085" w:rsidRPr="00437279" w:rsidRDefault="00400085" w:rsidP="00C81DD3">
            <w:pPr>
              <w:suppressLineNumbers/>
              <w:tabs>
                <w:tab w:val="left" w:pos="6930"/>
              </w:tabs>
              <w:jc w:val="left"/>
              <w:rPr>
                <w:b/>
                <w:bCs/>
              </w:rPr>
            </w:pPr>
            <w:r w:rsidRPr="00437279">
              <w:rPr>
                <w:b/>
                <w:bCs/>
              </w:rPr>
              <w:t xml:space="preserve">IN THE MATTER OF: GEORGIA POWER COMPANY’S </w:t>
            </w:r>
            <w:r w:rsidR="001372C2">
              <w:rPr>
                <w:b/>
                <w:bCs/>
              </w:rPr>
              <w:t>TWENTIETH/TWENTY-FIRST</w:t>
            </w:r>
            <w:r>
              <w:rPr>
                <w:b/>
                <w:bCs/>
              </w:rPr>
              <w:t xml:space="preserve"> </w:t>
            </w:r>
            <w:r w:rsidRPr="00437279">
              <w:rPr>
                <w:b/>
                <w:bCs/>
              </w:rPr>
              <w:t>SEMI</w:t>
            </w:r>
            <w:r>
              <w:rPr>
                <w:b/>
                <w:bCs/>
              </w:rPr>
              <w:t>-</w:t>
            </w:r>
            <w:r w:rsidRPr="00437279">
              <w:rPr>
                <w:b/>
                <w:bCs/>
              </w:rPr>
              <w:t>ANNUAL VOGTLE CONSTRUCTION MONITORING REPORT</w:t>
            </w:r>
          </w:p>
        </w:tc>
        <w:tc>
          <w:tcPr>
            <w:tcW w:w="4428" w:type="dxa"/>
          </w:tcPr>
          <w:p w14:paraId="60C03DB2" w14:textId="77777777" w:rsidR="00400085" w:rsidRPr="00437279" w:rsidRDefault="00400085" w:rsidP="00C81DD3">
            <w:pPr>
              <w:suppressLineNumbers/>
              <w:tabs>
                <w:tab w:val="left" w:pos="6930"/>
              </w:tabs>
              <w:jc w:val="center"/>
              <w:rPr>
                <w:b/>
                <w:bCs/>
              </w:rPr>
            </w:pPr>
          </w:p>
          <w:p w14:paraId="4A0BCF0C"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769DAC5C" w14:textId="77777777" w:rsidTr="00EB5B3C">
        <w:trPr>
          <w:trHeight w:val="333"/>
        </w:trPr>
        <w:tc>
          <w:tcPr>
            <w:tcW w:w="5148" w:type="dxa"/>
          </w:tcPr>
          <w:p w14:paraId="699EBA20" w14:textId="77777777" w:rsidR="00400085" w:rsidRPr="00437279" w:rsidRDefault="00400085" w:rsidP="00C81DD3">
            <w:pPr>
              <w:suppressLineNumbers/>
              <w:tabs>
                <w:tab w:val="left" w:pos="6930"/>
              </w:tabs>
              <w:jc w:val="center"/>
              <w:rPr>
                <w:b/>
                <w:bCs/>
              </w:rPr>
            </w:pPr>
          </w:p>
        </w:tc>
        <w:tc>
          <w:tcPr>
            <w:tcW w:w="4428" w:type="dxa"/>
          </w:tcPr>
          <w:p w14:paraId="0957567D" w14:textId="77777777" w:rsidR="00400085" w:rsidRPr="00437279" w:rsidRDefault="00400085" w:rsidP="00C81DD3">
            <w:pPr>
              <w:suppressLineNumbers/>
              <w:tabs>
                <w:tab w:val="left" w:pos="6930"/>
              </w:tabs>
              <w:jc w:val="center"/>
              <w:rPr>
                <w:b/>
                <w:bCs/>
              </w:rPr>
            </w:pPr>
          </w:p>
        </w:tc>
      </w:tr>
    </w:tbl>
    <w:p w14:paraId="19EA330B" w14:textId="77777777" w:rsidR="00400085" w:rsidRPr="00437279" w:rsidRDefault="00400085" w:rsidP="00400085">
      <w:pPr>
        <w:suppressLineNumbers/>
        <w:jc w:val="center"/>
      </w:pPr>
    </w:p>
    <w:p w14:paraId="48B4FCF2" w14:textId="77777777" w:rsidR="00400085" w:rsidRPr="00437279" w:rsidRDefault="00400085" w:rsidP="00400085">
      <w:pPr>
        <w:suppressLineNumbers/>
        <w:jc w:val="center"/>
        <w:rPr>
          <w:b/>
          <w:bCs/>
        </w:rPr>
      </w:pPr>
    </w:p>
    <w:p w14:paraId="6258A27C" w14:textId="77777777" w:rsidR="00400085" w:rsidRPr="00437279" w:rsidRDefault="00400085" w:rsidP="00400085">
      <w:pPr>
        <w:suppressLineNumbers/>
        <w:jc w:val="center"/>
        <w:rPr>
          <w:b/>
          <w:bCs/>
        </w:rPr>
      </w:pPr>
    </w:p>
    <w:p w14:paraId="7D5E4F54"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79897EC1" w14:textId="77777777" w:rsidTr="00EB5B3C">
        <w:tc>
          <w:tcPr>
            <w:tcW w:w="2628" w:type="dxa"/>
            <w:tcBorders>
              <w:right w:val="double" w:sz="4" w:space="0" w:color="auto"/>
            </w:tcBorders>
          </w:tcPr>
          <w:p w14:paraId="26163304"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3CAFF0B4" w14:textId="77777777" w:rsidR="00400085" w:rsidRPr="00437279" w:rsidRDefault="00400085" w:rsidP="00C81DD3">
            <w:pPr>
              <w:suppressLineNumbers/>
              <w:jc w:val="center"/>
              <w:rPr>
                <w:b/>
                <w:bCs/>
              </w:rPr>
            </w:pPr>
          </w:p>
        </w:tc>
        <w:tc>
          <w:tcPr>
            <w:tcW w:w="2742" w:type="dxa"/>
            <w:tcBorders>
              <w:left w:val="double" w:sz="4" w:space="0" w:color="auto"/>
            </w:tcBorders>
          </w:tcPr>
          <w:p w14:paraId="44B1F179" w14:textId="77777777" w:rsidR="00400085" w:rsidRPr="00437279" w:rsidRDefault="00400085" w:rsidP="00C81DD3">
            <w:pPr>
              <w:suppressLineNumbers/>
              <w:jc w:val="center"/>
              <w:rPr>
                <w:b/>
                <w:bCs/>
              </w:rPr>
            </w:pPr>
          </w:p>
        </w:tc>
      </w:tr>
      <w:tr w:rsidR="00400085" w:rsidRPr="00437279" w14:paraId="56F655CC" w14:textId="77777777" w:rsidTr="00EB5B3C">
        <w:tc>
          <w:tcPr>
            <w:tcW w:w="2628" w:type="dxa"/>
            <w:tcBorders>
              <w:right w:val="double" w:sz="4" w:space="0" w:color="auto"/>
            </w:tcBorders>
          </w:tcPr>
          <w:p w14:paraId="2AD09D1D"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02823B3" w14:textId="77777777" w:rsidR="00400085" w:rsidRPr="00437279" w:rsidRDefault="00400085" w:rsidP="00C81DD3">
            <w:pPr>
              <w:suppressLineNumbers/>
              <w:jc w:val="center"/>
              <w:rPr>
                <w:b/>
                <w:bCs/>
              </w:rPr>
            </w:pPr>
          </w:p>
        </w:tc>
        <w:tc>
          <w:tcPr>
            <w:tcW w:w="2742" w:type="dxa"/>
            <w:tcBorders>
              <w:left w:val="double" w:sz="4" w:space="0" w:color="auto"/>
            </w:tcBorders>
          </w:tcPr>
          <w:p w14:paraId="3EEE4C6A" w14:textId="77777777" w:rsidR="00400085" w:rsidRPr="00437279" w:rsidRDefault="00400085" w:rsidP="00C81DD3">
            <w:pPr>
              <w:suppressLineNumbers/>
              <w:jc w:val="center"/>
              <w:rPr>
                <w:b/>
                <w:bCs/>
              </w:rPr>
            </w:pPr>
          </w:p>
        </w:tc>
      </w:tr>
      <w:tr w:rsidR="00400085" w:rsidRPr="00437279" w14:paraId="6B41A3F6" w14:textId="77777777" w:rsidTr="00EB5B3C">
        <w:tc>
          <w:tcPr>
            <w:tcW w:w="2628" w:type="dxa"/>
            <w:tcBorders>
              <w:right w:val="double" w:sz="4" w:space="0" w:color="auto"/>
            </w:tcBorders>
          </w:tcPr>
          <w:p w14:paraId="43466467"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E868F77" w14:textId="77777777" w:rsidR="00400085" w:rsidRPr="00437279" w:rsidRDefault="00400085" w:rsidP="00C81DD3">
            <w:pPr>
              <w:suppressLineNumbers/>
              <w:jc w:val="center"/>
              <w:rPr>
                <w:b/>
                <w:bCs/>
              </w:rPr>
            </w:pPr>
          </w:p>
        </w:tc>
        <w:tc>
          <w:tcPr>
            <w:tcW w:w="2742" w:type="dxa"/>
            <w:tcBorders>
              <w:left w:val="double" w:sz="4" w:space="0" w:color="auto"/>
            </w:tcBorders>
          </w:tcPr>
          <w:p w14:paraId="0B3AD673" w14:textId="77777777" w:rsidR="00400085" w:rsidRPr="00437279" w:rsidRDefault="00400085" w:rsidP="00C81DD3">
            <w:pPr>
              <w:suppressLineNumbers/>
              <w:jc w:val="center"/>
              <w:rPr>
                <w:b/>
                <w:bCs/>
              </w:rPr>
            </w:pPr>
          </w:p>
        </w:tc>
      </w:tr>
      <w:tr w:rsidR="00400085" w:rsidRPr="00437279" w14:paraId="24EC69CB" w14:textId="77777777" w:rsidTr="00EB5B3C">
        <w:tc>
          <w:tcPr>
            <w:tcW w:w="2628" w:type="dxa"/>
            <w:tcBorders>
              <w:right w:val="double" w:sz="4" w:space="0" w:color="auto"/>
            </w:tcBorders>
          </w:tcPr>
          <w:p w14:paraId="503BF852"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7B2479E"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7D724C77" w14:textId="77777777" w:rsidR="00400085" w:rsidRPr="00437279" w:rsidRDefault="00400085" w:rsidP="00C81DD3">
            <w:pPr>
              <w:suppressLineNumbers/>
              <w:jc w:val="center"/>
              <w:rPr>
                <w:b/>
                <w:bCs/>
              </w:rPr>
            </w:pPr>
          </w:p>
        </w:tc>
      </w:tr>
      <w:tr w:rsidR="00400085" w:rsidRPr="00437279" w14:paraId="139713E3" w14:textId="77777777" w:rsidTr="00EB5B3C">
        <w:tc>
          <w:tcPr>
            <w:tcW w:w="2628" w:type="dxa"/>
            <w:tcBorders>
              <w:right w:val="double" w:sz="4" w:space="0" w:color="auto"/>
            </w:tcBorders>
          </w:tcPr>
          <w:p w14:paraId="1CA34E44"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FFE3F0D"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17C59FFB" w14:textId="77777777" w:rsidR="00400085" w:rsidRPr="00437279" w:rsidRDefault="00400085" w:rsidP="00C81DD3">
            <w:pPr>
              <w:suppressLineNumbers/>
              <w:jc w:val="center"/>
              <w:rPr>
                <w:b/>
                <w:bCs/>
              </w:rPr>
            </w:pPr>
          </w:p>
        </w:tc>
      </w:tr>
      <w:tr w:rsidR="00400085" w:rsidRPr="00437279" w14:paraId="1D16E0C8" w14:textId="77777777" w:rsidTr="00EB5B3C">
        <w:tc>
          <w:tcPr>
            <w:tcW w:w="2628" w:type="dxa"/>
            <w:tcBorders>
              <w:right w:val="double" w:sz="4" w:space="0" w:color="auto"/>
            </w:tcBorders>
          </w:tcPr>
          <w:p w14:paraId="25E2ABA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3E0FF3E" w14:textId="77777777" w:rsidR="00400085" w:rsidRPr="00624966" w:rsidRDefault="00400085" w:rsidP="00C81DD3">
            <w:pPr>
              <w:jc w:val="center"/>
              <w:rPr>
                <w:b/>
              </w:rPr>
            </w:pPr>
            <w:r w:rsidRPr="00624966">
              <w:rPr>
                <w:b/>
                <w:sz w:val="36"/>
              </w:rPr>
              <w:t>STF-</w:t>
            </w:r>
            <w:r>
              <w:rPr>
                <w:b/>
                <w:sz w:val="36"/>
              </w:rPr>
              <w:t>NH-1</w:t>
            </w:r>
          </w:p>
        </w:tc>
        <w:tc>
          <w:tcPr>
            <w:tcW w:w="2742" w:type="dxa"/>
            <w:tcBorders>
              <w:left w:val="double" w:sz="4" w:space="0" w:color="auto"/>
            </w:tcBorders>
          </w:tcPr>
          <w:p w14:paraId="69AC9682" w14:textId="77777777" w:rsidR="00400085" w:rsidRPr="00437279" w:rsidRDefault="00400085" w:rsidP="00C81DD3">
            <w:pPr>
              <w:suppressLineNumbers/>
              <w:jc w:val="center"/>
              <w:rPr>
                <w:b/>
                <w:bCs/>
              </w:rPr>
            </w:pPr>
          </w:p>
        </w:tc>
      </w:tr>
      <w:tr w:rsidR="00400085" w:rsidRPr="00437279" w14:paraId="4E7C6B1A" w14:textId="77777777" w:rsidTr="00EB5B3C">
        <w:tc>
          <w:tcPr>
            <w:tcW w:w="2628" w:type="dxa"/>
            <w:tcBorders>
              <w:right w:val="double" w:sz="4" w:space="0" w:color="auto"/>
            </w:tcBorders>
          </w:tcPr>
          <w:p w14:paraId="11BA0D2F"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9988437" w14:textId="77777777" w:rsidR="00400085" w:rsidRPr="00437279" w:rsidRDefault="00400085" w:rsidP="00C81DD3">
            <w:pPr>
              <w:suppressLineNumbers/>
              <w:jc w:val="center"/>
              <w:rPr>
                <w:b/>
                <w:bCs/>
              </w:rPr>
            </w:pPr>
          </w:p>
        </w:tc>
        <w:tc>
          <w:tcPr>
            <w:tcW w:w="2742" w:type="dxa"/>
            <w:tcBorders>
              <w:left w:val="double" w:sz="4" w:space="0" w:color="auto"/>
            </w:tcBorders>
          </w:tcPr>
          <w:p w14:paraId="5B14F809" w14:textId="77777777" w:rsidR="00400085" w:rsidRPr="00437279" w:rsidRDefault="00400085" w:rsidP="00C81DD3">
            <w:pPr>
              <w:suppressLineNumbers/>
              <w:jc w:val="center"/>
              <w:rPr>
                <w:b/>
                <w:bCs/>
              </w:rPr>
            </w:pPr>
          </w:p>
        </w:tc>
      </w:tr>
      <w:tr w:rsidR="00400085" w:rsidRPr="00437279" w14:paraId="55CD1F1E" w14:textId="77777777" w:rsidTr="00EB5B3C">
        <w:tc>
          <w:tcPr>
            <w:tcW w:w="2628" w:type="dxa"/>
            <w:tcBorders>
              <w:right w:val="double" w:sz="4" w:space="0" w:color="auto"/>
            </w:tcBorders>
          </w:tcPr>
          <w:p w14:paraId="1625ABA0"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E35D12C" w14:textId="77777777" w:rsidR="00400085" w:rsidRPr="00437279" w:rsidRDefault="00400085" w:rsidP="00C81DD3">
            <w:pPr>
              <w:suppressLineNumbers/>
              <w:jc w:val="center"/>
              <w:rPr>
                <w:b/>
                <w:bCs/>
              </w:rPr>
            </w:pPr>
          </w:p>
        </w:tc>
        <w:tc>
          <w:tcPr>
            <w:tcW w:w="2742" w:type="dxa"/>
            <w:tcBorders>
              <w:left w:val="double" w:sz="4" w:space="0" w:color="auto"/>
            </w:tcBorders>
          </w:tcPr>
          <w:p w14:paraId="31A659BB" w14:textId="77777777" w:rsidR="00400085" w:rsidRPr="00437279" w:rsidRDefault="00400085" w:rsidP="00C81DD3">
            <w:pPr>
              <w:suppressLineNumbers/>
              <w:jc w:val="center"/>
              <w:rPr>
                <w:b/>
                <w:bCs/>
              </w:rPr>
            </w:pPr>
          </w:p>
        </w:tc>
      </w:tr>
      <w:tr w:rsidR="00400085" w:rsidRPr="00437279" w14:paraId="4D44ECC8" w14:textId="77777777" w:rsidTr="00EB5B3C">
        <w:tc>
          <w:tcPr>
            <w:tcW w:w="2628" w:type="dxa"/>
            <w:tcBorders>
              <w:right w:val="double" w:sz="4" w:space="0" w:color="auto"/>
            </w:tcBorders>
          </w:tcPr>
          <w:p w14:paraId="392FA6FA"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74259FEE" w14:textId="77777777" w:rsidR="00400085" w:rsidRPr="00437279" w:rsidRDefault="00400085" w:rsidP="00C81DD3">
            <w:pPr>
              <w:suppressLineNumbers/>
              <w:jc w:val="center"/>
              <w:rPr>
                <w:b/>
                <w:bCs/>
              </w:rPr>
            </w:pPr>
          </w:p>
        </w:tc>
        <w:tc>
          <w:tcPr>
            <w:tcW w:w="2742" w:type="dxa"/>
            <w:tcBorders>
              <w:left w:val="double" w:sz="4" w:space="0" w:color="auto"/>
            </w:tcBorders>
          </w:tcPr>
          <w:p w14:paraId="627568DE" w14:textId="77777777" w:rsidR="00400085" w:rsidRPr="00437279" w:rsidRDefault="00400085" w:rsidP="00C81DD3">
            <w:pPr>
              <w:suppressLineNumbers/>
              <w:jc w:val="center"/>
              <w:rPr>
                <w:b/>
                <w:bCs/>
              </w:rPr>
            </w:pPr>
          </w:p>
        </w:tc>
      </w:tr>
    </w:tbl>
    <w:p w14:paraId="683C9037" w14:textId="77777777" w:rsidR="00400085" w:rsidRDefault="00400085" w:rsidP="00400085">
      <w:pPr>
        <w:suppressLineNumbers/>
        <w:jc w:val="center"/>
        <w:rPr>
          <w:b/>
          <w:bCs/>
        </w:rPr>
      </w:pPr>
    </w:p>
    <w:p w14:paraId="76758CD5" w14:textId="77777777" w:rsidR="00400085" w:rsidRPr="00437279" w:rsidRDefault="00400085" w:rsidP="00400085">
      <w:pPr>
        <w:jc w:val="center"/>
        <w:rPr>
          <w:b/>
          <w:bCs/>
        </w:rPr>
      </w:pPr>
    </w:p>
    <w:p w14:paraId="16A8B514"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585C6633" w14:textId="77777777" w:rsidTr="00EB5B3C">
        <w:tc>
          <w:tcPr>
            <w:tcW w:w="2926" w:type="dxa"/>
          </w:tcPr>
          <w:p w14:paraId="613770BE" w14:textId="77777777" w:rsidR="00400085" w:rsidRPr="00437279" w:rsidRDefault="00400085" w:rsidP="00C81DD3">
            <w:pPr>
              <w:jc w:val="center"/>
              <w:rPr>
                <w:b/>
                <w:bCs/>
              </w:rPr>
            </w:pPr>
          </w:p>
        </w:tc>
        <w:tc>
          <w:tcPr>
            <w:tcW w:w="3658" w:type="dxa"/>
          </w:tcPr>
          <w:p w14:paraId="26ED16DF" w14:textId="77777777" w:rsidR="00400085" w:rsidRPr="00437279" w:rsidRDefault="00400085" w:rsidP="00C81DD3">
            <w:pPr>
              <w:jc w:val="center"/>
              <w:rPr>
                <w:b/>
                <w:bCs/>
              </w:rPr>
            </w:pPr>
          </w:p>
        </w:tc>
        <w:tc>
          <w:tcPr>
            <w:tcW w:w="2926" w:type="dxa"/>
          </w:tcPr>
          <w:p w14:paraId="7093276D" w14:textId="77777777" w:rsidR="00400085" w:rsidRPr="00437279" w:rsidRDefault="00400085" w:rsidP="00C81DD3">
            <w:pPr>
              <w:jc w:val="center"/>
              <w:rPr>
                <w:b/>
                <w:bCs/>
              </w:rPr>
            </w:pPr>
          </w:p>
        </w:tc>
      </w:tr>
    </w:tbl>
    <w:p w14:paraId="6BC9980E" w14:textId="77777777" w:rsidR="00400085" w:rsidRPr="00437279" w:rsidRDefault="00400085" w:rsidP="00400085">
      <w:pPr>
        <w:jc w:val="center"/>
        <w:rPr>
          <w:b/>
          <w:bCs/>
        </w:rPr>
      </w:pPr>
    </w:p>
    <w:p w14:paraId="2FDB2FA6"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14D555D8" w14:textId="77777777" w:rsidTr="00EB5B3C">
        <w:tc>
          <w:tcPr>
            <w:tcW w:w="2088" w:type="dxa"/>
          </w:tcPr>
          <w:p w14:paraId="06BFAFC7" w14:textId="77777777" w:rsidR="00400085" w:rsidRPr="00437279" w:rsidRDefault="00400085" w:rsidP="00C81DD3">
            <w:pPr>
              <w:jc w:val="center"/>
              <w:rPr>
                <w:b/>
                <w:bCs/>
              </w:rPr>
            </w:pPr>
          </w:p>
        </w:tc>
        <w:tc>
          <w:tcPr>
            <w:tcW w:w="5130" w:type="dxa"/>
          </w:tcPr>
          <w:p w14:paraId="02C708D0" w14:textId="77777777" w:rsidR="00400085" w:rsidRPr="00437279" w:rsidRDefault="00400085" w:rsidP="00C81DD3">
            <w:pPr>
              <w:ind w:left="-46"/>
              <w:jc w:val="center"/>
              <w:rPr>
                <w:b/>
                <w:bCs/>
              </w:rPr>
            </w:pPr>
          </w:p>
        </w:tc>
        <w:tc>
          <w:tcPr>
            <w:tcW w:w="2926" w:type="dxa"/>
          </w:tcPr>
          <w:p w14:paraId="28A9CAC9" w14:textId="77777777" w:rsidR="00400085" w:rsidRPr="00437279" w:rsidRDefault="00400085" w:rsidP="00C81DD3">
            <w:pPr>
              <w:jc w:val="center"/>
              <w:rPr>
                <w:b/>
                <w:bCs/>
              </w:rPr>
            </w:pPr>
          </w:p>
        </w:tc>
      </w:tr>
      <w:tr w:rsidR="00400085" w:rsidRPr="00437279" w14:paraId="7341663A" w14:textId="77777777" w:rsidTr="00EB5B3C">
        <w:tc>
          <w:tcPr>
            <w:tcW w:w="2088" w:type="dxa"/>
          </w:tcPr>
          <w:p w14:paraId="574AFB43" w14:textId="77777777" w:rsidR="00400085" w:rsidRPr="00437279" w:rsidRDefault="00400085" w:rsidP="00C81DD3">
            <w:pPr>
              <w:jc w:val="center"/>
              <w:rPr>
                <w:b/>
                <w:bCs/>
              </w:rPr>
            </w:pPr>
          </w:p>
        </w:tc>
        <w:tc>
          <w:tcPr>
            <w:tcW w:w="5130" w:type="dxa"/>
          </w:tcPr>
          <w:p w14:paraId="7296113A" w14:textId="77777777" w:rsidR="00400085" w:rsidRPr="00437279" w:rsidRDefault="00400085" w:rsidP="00C81DD3">
            <w:pPr>
              <w:ind w:left="-46"/>
              <w:jc w:val="center"/>
              <w:rPr>
                <w:b/>
                <w:bCs/>
              </w:rPr>
            </w:pPr>
          </w:p>
          <w:p w14:paraId="021FE0C0" w14:textId="77777777" w:rsidR="00400085" w:rsidRPr="00437279" w:rsidRDefault="00400085" w:rsidP="00C81DD3">
            <w:pPr>
              <w:ind w:left="-46"/>
              <w:jc w:val="center"/>
              <w:rPr>
                <w:b/>
                <w:bCs/>
              </w:rPr>
            </w:pPr>
          </w:p>
        </w:tc>
        <w:tc>
          <w:tcPr>
            <w:tcW w:w="2926" w:type="dxa"/>
          </w:tcPr>
          <w:p w14:paraId="1BFDD0D6" w14:textId="77777777" w:rsidR="00400085" w:rsidRPr="00437279" w:rsidRDefault="00400085" w:rsidP="00C81DD3">
            <w:pPr>
              <w:tabs>
                <w:tab w:val="left" w:pos="1995"/>
              </w:tabs>
              <w:jc w:val="center"/>
              <w:rPr>
                <w:b/>
                <w:bCs/>
              </w:rPr>
            </w:pPr>
          </w:p>
        </w:tc>
      </w:tr>
    </w:tbl>
    <w:p w14:paraId="2EFBB0AA" w14:textId="77777777" w:rsidR="00400085" w:rsidRPr="00437279" w:rsidRDefault="00400085" w:rsidP="00400085">
      <w:pPr>
        <w:suppressLineNumbers/>
        <w:rPr>
          <w:b/>
          <w:bCs/>
        </w:rPr>
      </w:pPr>
    </w:p>
    <w:p w14:paraId="08B52B53" w14:textId="77777777" w:rsidR="00400085" w:rsidRPr="00437279" w:rsidRDefault="00400085" w:rsidP="00400085">
      <w:pPr>
        <w:suppressLineNumbers/>
        <w:rPr>
          <w:b/>
          <w:bCs/>
        </w:rPr>
      </w:pPr>
    </w:p>
    <w:p w14:paraId="294BC028" w14:textId="77777777" w:rsidR="00400085" w:rsidRDefault="00400085" w:rsidP="00400085">
      <w:pPr>
        <w:spacing w:after="240" w:line="360" w:lineRule="auto"/>
        <w:ind w:left="720" w:hanging="720"/>
        <w:sectPr w:rsidR="00400085" w:rsidSect="00DA56AC">
          <w:headerReference w:type="first" r:id="rId18"/>
          <w:footerReference w:type="first" r:id="rId19"/>
          <w:endnotePr>
            <w:numFmt w:val="decimal"/>
          </w:endnotePr>
          <w:pgSz w:w="12240" w:h="15840" w:code="1"/>
          <w:pgMar w:top="1440" w:right="1440" w:bottom="1728" w:left="1440" w:header="1440" w:footer="720" w:gutter="0"/>
          <w:cols w:space="720"/>
          <w:noEndnote/>
          <w:titlePg/>
          <w:docGrid w:linePitch="326"/>
        </w:sectPr>
      </w:pPr>
    </w:p>
    <w:p w14:paraId="5A17906D" w14:textId="77777777" w:rsidR="00400085" w:rsidRDefault="00400085" w:rsidP="00400085">
      <w:pPr>
        <w:jc w:val="center"/>
        <w:rPr>
          <w:u w:val="single"/>
        </w:rPr>
      </w:pPr>
      <w:r>
        <w:rPr>
          <w:u w:val="single"/>
        </w:rPr>
        <w:lastRenderedPageBreak/>
        <w:t>Summary of Educational and Professional Experience of Tom J. Newsome</w:t>
      </w:r>
    </w:p>
    <w:p w14:paraId="550C93E4" w14:textId="77777777" w:rsidR="00400085" w:rsidRDefault="00400085" w:rsidP="00400085">
      <w:pPr>
        <w:jc w:val="center"/>
      </w:pPr>
    </w:p>
    <w:p w14:paraId="5E927A0D" w14:textId="77777777" w:rsidR="00400085" w:rsidRDefault="00400085" w:rsidP="00400085">
      <w:r>
        <w:t>Mr. Newsome received a Bachelor of Chemical Engineering with certificates in Pulp &amp; Paper and Polymers from the Georgia Institute of Technology in June 1986.  In 1994, Mr. Newsome passed both required examinations and received a professional engineering license (PE) from the State of North Carolina. Mr. Newsome received a Master of Science in Business Economics and a Master of Science in Finance from Georgia State University in August 1996 and June 1997, respectively. Mr. Newsome is the recipient of the George J. Malanos Graduate Award for Academic Excellence for completing the finance program with a 4.0 grade-point average. In 2003, Mr. Newsome received Chartered Financial Analyst (CFA) designation from the CFA Institute after successfully completing three six-hour examinations on security analysis and portfolio management.</w:t>
      </w:r>
    </w:p>
    <w:p w14:paraId="346137F7" w14:textId="77777777" w:rsidR="00400085" w:rsidRDefault="00400085" w:rsidP="00400085">
      <w:pPr>
        <w:tabs>
          <w:tab w:val="left" w:pos="4896"/>
        </w:tabs>
      </w:pPr>
      <w:r>
        <w:tab/>
      </w:r>
    </w:p>
    <w:p w14:paraId="10ACC025" w14:textId="77777777" w:rsidR="00400085" w:rsidRDefault="00400085" w:rsidP="00400085">
      <w:r>
        <w:t>After graduation from Georgia Tech, Mr. Newsome worked as plant/process engineer for Shaw Industries, a carpet manufacturer. In April 1988, Mr. Newsome joined Weatherly, Inc., engineering and construction firm specializing in fertilizer plants, as a process engineer. Mr. Newsome’s primary responsibilities were process design and plant start-ups, including start-ups in Korea and India. Mr. Newsome joined Midrex Direction Reduction Corp., an applied research, engineering and construction firm with proprietary iron ore processing plant technology in March 1993 as a process engineer. Mr. Newsome duties were similar to those at Weatherly, including assisting in the start-up of the world’s largest Direct Reduction Iron plant in India.</w:t>
      </w:r>
    </w:p>
    <w:p w14:paraId="4E5414DF" w14:textId="77777777" w:rsidR="00400085" w:rsidRDefault="00400085" w:rsidP="00400085"/>
    <w:p w14:paraId="0AB18927" w14:textId="77777777" w:rsidR="00400085" w:rsidRDefault="00400085" w:rsidP="00400085">
      <w:r>
        <w:t>Following graduation from graduate school at Georgia State, Mr. Newsome joined Georgia Gulf Corporation in 1997 as a corporate development analyst. While at Georgia Gulf, Mr. Newsome performed financial analysis and modeling for natural gas purchasing/hedging program, developed a “make-or-buy” model for methanol business, performed financial modeling for an acquisition, and calculated and summarized the financial performance of prior capital investments. In 1999, Mr. Newsome joined FMV Opinions, Inc. as a business valuation analyst and valued private companies for gift and estate tax, transactional and management planning purposes.</w:t>
      </w:r>
    </w:p>
    <w:p w14:paraId="57E76459" w14:textId="77777777" w:rsidR="00400085" w:rsidRDefault="00400085" w:rsidP="00400085"/>
    <w:p w14:paraId="63019999" w14:textId="77777777" w:rsidR="00400085" w:rsidRDefault="00400085" w:rsidP="00400085">
      <w:r>
        <w:t>Mr. Newsome joined the Georgia Public Service Commission (“Commission”) in January 2005 as a Financial Analyst/Economist. Mr. Newsome was promoted to Director of Utility Finance in 2008.</w:t>
      </w:r>
    </w:p>
    <w:p w14:paraId="4F6E78AB" w14:textId="77777777" w:rsidR="00400085" w:rsidRDefault="00400085" w:rsidP="00400085"/>
    <w:p w14:paraId="5C181C26" w14:textId="77777777" w:rsidR="00400085" w:rsidRDefault="00400085" w:rsidP="00400085">
      <w:r>
        <w:t xml:space="preserve">Mr. Newsome </w:t>
      </w:r>
      <w:r>
        <w:rPr>
          <w:color w:val="000000"/>
        </w:rPr>
        <w:t xml:space="preserve">has testified in </w:t>
      </w:r>
      <w:r w:rsidR="009037DA">
        <w:rPr>
          <w:color w:val="000000"/>
        </w:rPr>
        <w:t>thirteen</w:t>
      </w:r>
      <w:r>
        <w:rPr>
          <w:color w:val="000000"/>
        </w:rPr>
        <w:t xml:space="preserve"> Georgia Power Company (“Company” or “Georgia Power”) proceedings before the Commission.  Mr. Newsome’s most recent testimony was in </w:t>
      </w:r>
      <w:r w:rsidR="0063786B">
        <w:rPr>
          <w:color w:val="000000"/>
        </w:rPr>
        <w:t xml:space="preserve">Docket 42310 Georgia Power Company’s 2019 </w:t>
      </w:r>
      <w:r w:rsidR="00DD1748">
        <w:rPr>
          <w:color w:val="000000"/>
        </w:rPr>
        <w:t>Integrated</w:t>
      </w:r>
      <w:r w:rsidR="0063786B">
        <w:rPr>
          <w:color w:val="000000"/>
        </w:rPr>
        <w:t xml:space="preserve"> </w:t>
      </w:r>
      <w:r w:rsidR="00DD1748">
        <w:rPr>
          <w:color w:val="000000"/>
        </w:rPr>
        <w:t>Resource</w:t>
      </w:r>
      <w:r w:rsidR="0063786B">
        <w:rPr>
          <w:color w:val="000000"/>
        </w:rPr>
        <w:t xml:space="preserve"> Plan on supply side and certain other issues. Prior to that testimony Mr. Newsome testified in Docket 29849 19</w:t>
      </w:r>
      <w:r w:rsidR="0063786B" w:rsidRPr="0063786B">
        <w:rPr>
          <w:color w:val="000000"/>
          <w:vertAlign w:val="superscript"/>
        </w:rPr>
        <w:t>th</w:t>
      </w:r>
      <w:r w:rsidR="0063786B">
        <w:rPr>
          <w:color w:val="000000"/>
        </w:rPr>
        <w:t xml:space="preserve"> </w:t>
      </w:r>
      <w:r w:rsidR="00DD1748">
        <w:rPr>
          <w:color w:val="000000"/>
        </w:rPr>
        <w:t>Vogtle Construction Monitoring (“VCM”)</w:t>
      </w:r>
      <w:r w:rsidR="00B06B5B">
        <w:rPr>
          <w:color w:val="000000"/>
        </w:rPr>
        <w:t>, 18</w:t>
      </w:r>
      <w:r w:rsidR="00B06B5B" w:rsidRPr="00B06B5B">
        <w:rPr>
          <w:color w:val="000000"/>
          <w:vertAlign w:val="superscript"/>
        </w:rPr>
        <w:t>th</w:t>
      </w:r>
      <w:r w:rsidR="00B06B5B">
        <w:rPr>
          <w:color w:val="000000"/>
        </w:rPr>
        <w:t xml:space="preserve"> VCM</w:t>
      </w:r>
      <w:r w:rsidR="00DD1748">
        <w:rPr>
          <w:color w:val="000000"/>
        </w:rPr>
        <w:t xml:space="preserve"> and </w:t>
      </w:r>
      <w:r>
        <w:rPr>
          <w:color w:val="000000"/>
        </w:rPr>
        <w:t>17</w:t>
      </w:r>
      <w:r w:rsidRPr="000A3494">
        <w:rPr>
          <w:color w:val="000000"/>
          <w:vertAlign w:val="superscript"/>
        </w:rPr>
        <w:t>th</w:t>
      </w:r>
      <w:r>
        <w:rPr>
          <w:color w:val="000000"/>
        </w:rPr>
        <w:t xml:space="preserve"> </w:t>
      </w:r>
      <w:r w:rsidR="00DD1748">
        <w:rPr>
          <w:color w:val="000000"/>
        </w:rPr>
        <w:t>VCM</w:t>
      </w:r>
      <w:r>
        <w:rPr>
          <w:color w:val="000000"/>
        </w:rPr>
        <w:t xml:space="preserve"> on the economics of continuing Vogtle 3 and 4 construction and provided the Commission policy recommendations to protect ratepayers. Prior to testifying in the 17</w:t>
      </w:r>
      <w:r w:rsidRPr="000A3494">
        <w:rPr>
          <w:color w:val="000000"/>
          <w:vertAlign w:val="superscript"/>
        </w:rPr>
        <w:t>th</w:t>
      </w:r>
      <w:r>
        <w:rPr>
          <w:color w:val="000000"/>
        </w:rPr>
        <w:t xml:space="preserve"> VCM Mr. Newsome testified in the 2016 Integrated Resource Plan on the Company’s requested to capitalize cost for investigation of new nuclear units. Mr. Newsome’s testified in Docket No. 39638 Fuel Cost Recovery (FCR-24) on the Company’s natural gas hedging program. </w:t>
      </w:r>
      <w:r w:rsidRPr="00343862">
        <w:rPr>
          <w:color w:val="000000"/>
        </w:rPr>
        <w:t>In Docket</w:t>
      </w:r>
      <w:r>
        <w:rPr>
          <w:color w:val="000000"/>
        </w:rPr>
        <w:t xml:space="preserve"> No.</w:t>
      </w:r>
      <w:r w:rsidRPr="00343862">
        <w:rPr>
          <w:color w:val="000000"/>
        </w:rPr>
        <w:t xml:space="preserve"> 22403, </w:t>
      </w:r>
      <w:r>
        <w:rPr>
          <w:color w:val="000000"/>
        </w:rPr>
        <w:t xml:space="preserve">Mr. Newsome </w:t>
      </w:r>
      <w:r w:rsidRPr="00343862">
        <w:rPr>
          <w:color w:val="000000"/>
        </w:rPr>
        <w:t>addressed Georgia Power Co</w:t>
      </w:r>
      <w:r>
        <w:rPr>
          <w:color w:val="000000"/>
        </w:rPr>
        <w:t>mpany</w:t>
      </w:r>
      <w:r w:rsidRPr="00343862">
        <w:rPr>
          <w:color w:val="000000"/>
        </w:rPr>
        <w:t xml:space="preserve">’s natural gas </w:t>
      </w:r>
      <w:r w:rsidRPr="00343862">
        <w:rPr>
          <w:color w:val="000000"/>
        </w:rPr>
        <w:lastRenderedPageBreak/>
        <w:t xml:space="preserve">hedging program and in Docket </w:t>
      </w:r>
      <w:r>
        <w:rPr>
          <w:color w:val="000000"/>
        </w:rPr>
        <w:t xml:space="preserve">No. </w:t>
      </w:r>
      <w:r w:rsidRPr="00343862">
        <w:rPr>
          <w:color w:val="000000"/>
        </w:rPr>
        <w:t xml:space="preserve">24506 </w:t>
      </w:r>
      <w:r>
        <w:rPr>
          <w:color w:val="000000"/>
        </w:rPr>
        <w:t xml:space="preserve">Mr. Newsome </w:t>
      </w:r>
      <w:r w:rsidRPr="00343862">
        <w:rPr>
          <w:color w:val="000000"/>
        </w:rPr>
        <w:t xml:space="preserve">testified on the application of AFUDC accounting for calculating financing cost of capital projects. </w:t>
      </w:r>
      <w:r>
        <w:rPr>
          <w:color w:val="000000"/>
        </w:rPr>
        <w:t xml:space="preserve">In Docket No. 27800, Certification of Plant Vogtle Expansion, Mr. Newsome </w:t>
      </w:r>
      <w:r w:rsidRPr="00D97562">
        <w:rPr>
          <w:color w:val="000000"/>
        </w:rPr>
        <w:t>address</w:t>
      </w:r>
      <w:r>
        <w:rPr>
          <w:color w:val="000000"/>
        </w:rPr>
        <w:t>ed</w:t>
      </w:r>
      <w:r w:rsidRPr="00D97562">
        <w:rPr>
          <w:color w:val="000000"/>
        </w:rPr>
        <w:t xml:space="preserve"> the sources, impact and mitigation of financial risk from the construction and operation of </w:t>
      </w:r>
      <w:r>
        <w:rPr>
          <w:color w:val="000000"/>
        </w:rPr>
        <w:t xml:space="preserve">new nuclear units at </w:t>
      </w:r>
      <w:r w:rsidRPr="00D97562">
        <w:rPr>
          <w:color w:val="000000"/>
        </w:rPr>
        <w:t>Plant Vogtle</w:t>
      </w:r>
      <w:r>
        <w:rPr>
          <w:color w:val="000000"/>
        </w:rPr>
        <w:t xml:space="preserve">.  Mr. Newsome testified in Docket No. 29849 concerning Georgia Power’s First Semi-annual Construction Monitoring Report on Plant Vogtle expansion.  Mr. Newsome </w:t>
      </w:r>
      <w:r w:rsidRPr="00D97562">
        <w:rPr>
          <w:color w:val="000000"/>
        </w:rPr>
        <w:t xml:space="preserve">evaluated the economic analysis performed by </w:t>
      </w:r>
      <w:r>
        <w:rPr>
          <w:color w:val="000000"/>
        </w:rPr>
        <w:t xml:space="preserve">Georgia Power </w:t>
      </w:r>
      <w:r w:rsidRPr="00D97562">
        <w:rPr>
          <w:color w:val="000000"/>
        </w:rPr>
        <w:t xml:space="preserve">and developed </w:t>
      </w:r>
      <w:r>
        <w:rPr>
          <w:color w:val="000000"/>
        </w:rPr>
        <w:t>Staff’s</w:t>
      </w:r>
      <w:r w:rsidRPr="00D97562">
        <w:rPr>
          <w:color w:val="000000"/>
        </w:rPr>
        <w:t xml:space="preserve"> own independent economic </w:t>
      </w:r>
      <w:r>
        <w:rPr>
          <w:color w:val="000000"/>
        </w:rPr>
        <w:t xml:space="preserve">and risk </w:t>
      </w:r>
      <w:r w:rsidRPr="00D97562">
        <w:rPr>
          <w:color w:val="000000"/>
        </w:rPr>
        <w:t>analysis of the Project</w:t>
      </w:r>
      <w:r>
        <w:rPr>
          <w:color w:val="000000"/>
        </w:rPr>
        <w:t>. In the Second Vogtle Semi-annual hearing, Mr. Newsome testified on the Company’s proposal to change how escalation on certain project cost was calculated (Amendment 3).  In the Third Vogtle Semiannual hearing and in separate proceeding, Adoption of a Risk Sharing Mechanism, Mr. Newsome testified on Staff’s revised risk sharing mechanism for Vogtle 3 &amp; 4.  In Docket No. 28945 Fuel Cost Recovery FCR–21, Mr. Newsome testified on seasonal rates.  Mr. Newsome also presented cost of equity testimony in Atmos Energy Corporation’s Rate Case in Docket No. 30442 and Generic Proceeding to Implement House Bill 168 (small telephone companies) in Docket No. 32235</w:t>
      </w:r>
      <w:r w:rsidR="00DD1748">
        <w:rPr>
          <w:color w:val="000000"/>
        </w:rPr>
        <w:t xml:space="preserve"> in 2011 and 2018</w:t>
      </w:r>
      <w:r>
        <w:rPr>
          <w:color w:val="000000"/>
        </w:rPr>
        <w:t xml:space="preserve">. Mr. Newsome provided testimony before the Commission in Georgia Power’s 2013 Base Rate Case in Docket No. 36989 on the Company’s projected cost of debt for 2014 – 2016. </w:t>
      </w:r>
      <w:r>
        <w:t>Mr. Newsome’s primarily responsibility, prior to presenting testimony in these dockets, has been performing analyses of the parties’ cost of equity capital positions in Docket Nos. 18638 (Atlanta Gas Light Company 2004/2005 Rate Case), 19758 (Savannah Electric and Power Company 2004 Rate Case), 20298 (Atmos Energy Corporation - Georgia Division 2005 Rate Case), 25060 (Georgia Power Co. 2007 Rate Case) and 27163 (Atmos Energy Corporation - Georgia Division 2008 Rate Case) and developing the Advisory PIA Staff’s cost of equity recommendation to the Commission.</w:t>
      </w:r>
    </w:p>
    <w:p w14:paraId="23FCCA74" w14:textId="77777777" w:rsidR="00400085" w:rsidRDefault="00400085" w:rsidP="00400085"/>
    <w:p w14:paraId="33EF8627" w14:textId="77777777" w:rsidR="00400085" w:rsidRDefault="00400085" w:rsidP="00400085">
      <w:pPr>
        <w:spacing w:after="240" w:line="360" w:lineRule="auto"/>
        <w:ind w:left="720" w:hanging="720"/>
        <w:sectPr w:rsidR="00400085" w:rsidSect="00DA56AC">
          <w:headerReference w:type="default" r:id="rId20"/>
          <w:footerReference w:type="default" r:id="rId21"/>
          <w:headerReference w:type="first" r:id="rId22"/>
          <w:endnotePr>
            <w:numFmt w:val="decimal"/>
          </w:endnotePr>
          <w:pgSz w:w="12240" w:h="15840" w:code="1"/>
          <w:pgMar w:top="1440" w:right="1440" w:bottom="1728" w:left="1440" w:header="1440" w:footer="720" w:gutter="0"/>
          <w:pgNumType w:start="1"/>
          <w:cols w:space="720"/>
          <w:noEndnote/>
          <w:docGrid w:linePitch="326"/>
        </w:sectPr>
      </w:pPr>
    </w:p>
    <w:p w14:paraId="06FA60FC" w14:textId="77777777" w:rsidR="00400085" w:rsidRDefault="00400085" w:rsidP="00400085">
      <w:pPr>
        <w:spacing w:after="240" w:line="360" w:lineRule="auto"/>
        <w:ind w:left="720" w:hanging="720"/>
      </w:pPr>
    </w:p>
    <w:p w14:paraId="4E675CB7" w14:textId="77777777" w:rsidR="00400085" w:rsidRPr="00437279" w:rsidRDefault="00400085" w:rsidP="00400085">
      <w:pPr>
        <w:suppressLineNumbers/>
        <w:jc w:val="center"/>
        <w:rPr>
          <w:b/>
          <w:bCs/>
        </w:rPr>
      </w:pPr>
      <w:r w:rsidRPr="00437279">
        <w:rPr>
          <w:b/>
          <w:bCs/>
        </w:rPr>
        <w:t>BEFORE THE</w:t>
      </w:r>
    </w:p>
    <w:p w14:paraId="6E5CC905" w14:textId="77777777" w:rsidR="00400085" w:rsidRPr="00437279" w:rsidRDefault="00400085" w:rsidP="00400085">
      <w:pPr>
        <w:suppressLineNumbers/>
        <w:jc w:val="center"/>
        <w:rPr>
          <w:b/>
          <w:bCs/>
        </w:rPr>
      </w:pPr>
      <w:r w:rsidRPr="00437279">
        <w:rPr>
          <w:b/>
          <w:bCs/>
        </w:rPr>
        <w:t>GEORGIA PUBLIC SERVICE COMMISSION</w:t>
      </w:r>
    </w:p>
    <w:p w14:paraId="7898BE46" w14:textId="77777777" w:rsidR="00400085" w:rsidRPr="00437279" w:rsidRDefault="00400085" w:rsidP="00400085">
      <w:pPr>
        <w:suppressLineNumbers/>
        <w:jc w:val="center"/>
        <w:rPr>
          <w:b/>
          <w:bCs/>
        </w:rPr>
      </w:pPr>
    </w:p>
    <w:p w14:paraId="16C86E35" w14:textId="77777777" w:rsidR="00400085" w:rsidRDefault="00400085" w:rsidP="00400085">
      <w:pPr>
        <w:suppressLineNumbers/>
        <w:jc w:val="center"/>
        <w:rPr>
          <w:b/>
          <w:bCs/>
        </w:rPr>
      </w:pPr>
    </w:p>
    <w:p w14:paraId="22389496"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5148"/>
        <w:gridCol w:w="4428"/>
      </w:tblGrid>
      <w:tr w:rsidR="00400085" w:rsidRPr="00437279" w14:paraId="7429C1FA" w14:textId="77777777" w:rsidTr="00EB5B3C">
        <w:tc>
          <w:tcPr>
            <w:tcW w:w="5148" w:type="dxa"/>
          </w:tcPr>
          <w:p w14:paraId="6FA91435" w14:textId="77777777" w:rsidR="00400085" w:rsidRPr="00437279" w:rsidRDefault="00400085" w:rsidP="00400085">
            <w:pPr>
              <w:suppressLineNumbers/>
              <w:tabs>
                <w:tab w:val="left" w:pos="6930"/>
              </w:tabs>
              <w:jc w:val="left"/>
              <w:rPr>
                <w:b/>
                <w:bCs/>
              </w:rPr>
            </w:pPr>
            <w:r w:rsidRPr="00437279">
              <w:rPr>
                <w:b/>
                <w:bCs/>
              </w:rPr>
              <w:t xml:space="preserve">IN THE MATTER OF: GEORGIA POWER COMPANY’S </w:t>
            </w:r>
            <w:r w:rsidR="001372C2">
              <w:rPr>
                <w:b/>
                <w:bCs/>
              </w:rPr>
              <w:t>TWENTIETH/TWENTY-FIRST</w:t>
            </w:r>
            <w:r>
              <w:rPr>
                <w:b/>
                <w:bCs/>
              </w:rPr>
              <w:t xml:space="preserve"> </w:t>
            </w:r>
            <w:r w:rsidRPr="00437279">
              <w:rPr>
                <w:b/>
                <w:bCs/>
              </w:rPr>
              <w:t>SEMI</w:t>
            </w:r>
            <w:r>
              <w:rPr>
                <w:b/>
                <w:bCs/>
              </w:rPr>
              <w:t>-</w:t>
            </w:r>
            <w:r w:rsidRPr="00437279">
              <w:rPr>
                <w:b/>
                <w:bCs/>
              </w:rPr>
              <w:t>ANNUAL VOGTLE CONSTRUCTION MONITORING REPORT</w:t>
            </w:r>
          </w:p>
        </w:tc>
        <w:tc>
          <w:tcPr>
            <w:tcW w:w="4428" w:type="dxa"/>
          </w:tcPr>
          <w:p w14:paraId="44792DAA" w14:textId="77777777" w:rsidR="00400085" w:rsidRPr="00437279" w:rsidRDefault="00400085" w:rsidP="00C81DD3">
            <w:pPr>
              <w:suppressLineNumbers/>
              <w:tabs>
                <w:tab w:val="left" w:pos="6930"/>
              </w:tabs>
              <w:jc w:val="center"/>
              <w:rPr>
                <w:b/>
                <w:bCs/>
              </w:rPr>
            </w:pPr>
          </w:p>
          <w:p w14:paraId="77D9A8B3" w14:textId="77777777" w:rsidR="00400085" w:rsidRPr="00437279" w:rsidRDefault="00400085" w:rsidP="00C81DD3">
            <w:pPr>
              <w:suppressLineNumbers/>
              <w:tabs>
                <w:tab w:val="left" w:pos="6930"/>
              </w:tabs>
              <w:jc w:val="center"/>
              <w:rPr>
                <w:b/>
                <w:bCs/>
              </w:rPr>
            </w:pPr>
            <w:r w:rsidRPr="00437279">
              <w:rPr>
                <w:b/>
                <w:bCs/>
              </w:rPr>
              <w:t>DOCKET NO. 29849</w:t>
            </w:r>
          </w:p>
        </w:tc>
      </w:tr>
      <w:tr w:rsidR="00400085" w:rsidRPr="00437279" w14:paraId="48FFBB13" w14:textId="77777777" w:rsidTr="00EB5B3C">
        <w:trPr>
          <w:trHeight w:val="333"/>
        </w:trPr>
        <w:tc>
          <w:tcPr>
            <w:tcW w:w="5148" w:type="dxa"/>
          </w:tcPr>
          <w:p w14:paraId="010383D8" w14:textId="77777777" w:rsidR="00400085" w:rsidRPr="00437279" w:rsidRDefault="00400085" w:rsidP="00C81DD3">
            <w:pPr>
              <w:suppressLineNumbers/>
              <w:tabs>
                <w:tab w:val="left" w:pos="6930"/>
              </w:tabs>
              <w:jc w:val="center"/>
              <w:rPr>
                <w:b/>
                <w:bCs/>
              </w:rPr>
            </w:pPr>
          </w:p>
        </w:tc>
        <w:tc>
          <w:tcPr>
            <w:tcW w:w="4428" w:type="dxa"/>
          </w:tcPr>
          <w:p w14:paraId="7EE597DB" w14:textId="77777777" w:rsidR="00400085" w:rsidRPr="00437279" w:rsidRDefault="00400085" w:rsidP="00C81DD3">
            <w:pPr>
              <w:suppressLineNumbers/>
              <w:tabs>
                <w:tab w:val="left" w:pos="6930"/>
              </w:tabs>
              <w:jc w:val="center"/>
              <w:rPr>
                <w:b/>
                <w:bCs/>
              </w:rPr>
            </w:pPr>
          </w:p>
        </w:tc>
      </w:tr>
    </w:tbl>
    <w:p w14:paraId="15B8995A" w14:textId="77777777" w:rsidR="00400085" w:rsidRPr="00437279" w:rsidRDefault="00400085" w:rsidP="00400085">
      <w:pPr>
        <w:suppressLineNumbers/>
        <w:jc w:val="center"/>
      </w:pPr>
    </w:p>
    <w:p w14:paraId="65DFD62E" w14:textId="77777777" w:rsidR="00400085" w:rsidRPr="00437279" w:rsidRDefault="00400085" w:rsidP="00400085">
      <w:pPr>
        <w:suppressLineNumbers/>
        <w:jc w:val="center"/>
        <w:rPr>
          <w:b/>
          <w:bCs/>
        </w:rPr>
      </w:pPr>
    </w:p>
    <w:p w14:paraId="57287D4C" w14:textId="77777777" w:rsidR="00400085" w:rsidRPr="00437279" w:rsidRDefault="00400085" w:rsidP="00400085">
      <w:pPr>
        <w:suppressLineNumbers/>
        <w:jc w:val="center"/>
        <w:rPr>
          <w:b/>
          <w:bCs/>
        </w:rPr>
      </w:pPr>
    </w:p>
    <w:p w14:paraId="475BBD9A" w14:textId="77777777" w:rsidR="00400085" w:rsidRPr="00437279" w:rsidRDefault="00400085" w:rsidP="00400085">
      <w:pPr>
        <w:suppressLineNumbers/>
        <w:jc w:val="center"/>
        <w:rPr>
          <w:b/>
          <w:bCs/>
        </w:rPr>
      </w:pPr>
    </w:p>
    <w:tbl>
      <w:tblPr>
        <w:tblW w:w="0" w:type="auto"/>
        <w:tblLayout w:type="fixed"/>
        <w:tblLook w:val="0000" w:firstRow="0" w:lastRow="0" w:firstColumn="0" w:lastColumn="0" w:noHBand="0" w:noVBand="0"/>
      </w:tblPr>
      <w:tblGrid>
        <w:gridCol w:w="2628"/>
        <w:gridCol w:w="4140"/>
        <w:gridCol w:w="2742"/>
      </w:tblGrid>
      <w:tr w:rsidR="00400085" w:rsidRPr="00437279" w14:paraId="12236C9B" w14:textId="77777777" w:rsidTr="00EB5B3C">
        <w:tc>
          <w:tcPr>
            <w:tcW w:w="2628" w:type="dxa"/>
            <w:tcBorders>
              <w:right w:val="double" w:sz="4" w:space="0" w:color="auto"/>
            </w:tcBorders>
          </w:tcPr>
          <w:p w14:paraId="2585937D" w14:textId="77777777" w:rsidR="00400085" w:rsidRPr="00437279" w:rsidRDefault="00400085" w:rsidP="00C81DD3">
            <w:pPr>
              <w:suppressLineNumbers/>
              <w:jc w:val="center"/>
              <w:rPr>
                <w:b/>
                <w:bCs/>
              </w:rPr>
            </w:pPr>
          </w:p>
        </w:tc>
        <w:tc>
          <w:tcPr>
            <w:tcW w:w="4140" w:type="dxa"/>
            <w:tcBorders>
              <w:top w:val="double" w:sz="4" w:space="0" w:color="auto"/>
              <w:left w:val="double" w:sz="4" w:space="0" w:color="auto"/>
              <w:right w:val="double" w:sz="4" w:space="0" w:color="auto"/>
            </w:tcBorders>
          </w:tcPr>
          <w:p w14:paraId="1077F463" w14:textId="77777777" w:rsidR="00400085" w:rsidRPr="00437279" w:rsidRDefault="00400085" w:rsidP="00C81DD3">
            <w:pPr>
              <w:suppressLineNumbers/>
              <w:jc w:val="center"/>
              <w:rPr>
                <w:b/>
                <w:bCs/>
              </w:rPr>
            </w:pPr>
          </w:p>
        </w:tc>
        <w:tc>
          <w:tcPr>
            <w:tcW w:w="2742" w:type="dxa"/>
            <w:tcBorders>
              <w:left w:val="double" w:sz="4" w:space="0" w:color="auto"/>
            </w:tcBorders>
          </w:tcPr>
          <w:p w14:paraId="64E72280" w14:textId="77777777" w:rsidR="00400085" w:rsidRPr="00437279" w:rsidRDefault="00400085" w:rsidP="00C81DD3">
            <w:pPr>
              <w:suppressLineNumbers/>
              <w:jc w:val="center"/>
              <w:rPr>
                <w:b/>
                <w:bCs/>
              </w:rPr>
            </w:pPr>
          </w:p>
        </w:tc>
      </w:tr>
      <w:tr w:rsidR="00400085" w:rsidRPr="00437279" w14:paraId="56419A05" w14:textId="77777777" w:rsidTr="00EB5B3C">
        <w:tc>
          <w:tcPr>
            <w:tcW w:w="2628" w:type="dxa"/>
            <w:tcBorders>
              <w:right w:val="double" w:sz="4" w:space="0" w:color="auto"/>
            </w:tcBorders>
          </w:tcPr>
          <w:p w14:paraId="740A438F"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48CEA934" w14:textId="77777777" w:rsidR="00400085" w:rsidRPr="00437279" w:rsidRDefault="00400085" w:rsidP="00C81DD3">
            <w:pPr>
              <w:suppressLineNumbers/>
              <w:jc w:val="center"/>
              <w:rPr>
                <w:b/>
                <w:bCs/>
              </w:rPr>
            </w:pPr>
          </w:p>
        </w:tc>
        <w:tc>
          <w:tcPr>
            <w:tcW w:w="2742" w:type="dxa"/>
            <w:tcBorders>
              <w:left w:val="double" w:sz="4" w:space="0" w:color="auto"/>
            </w:tcBorders>
          </w:tcPr>
          <w:p w14:paraId="3B3E0B3B" w14:textId="77777777" w:rsidR="00400085" w:rsidRPr="00437279" w:rsidRDefault="00400085" w:rsidP="00C81DD3">
            <w:pPr>
              <w:suppressLineNumbers/>
              <w:jc w:val="center"/>
              <w:rPr>
                <w:b/>
                <w:bCs/>
              </w:rPr>
            </w:pPr>
          </w:p>
        </w:tc>
      </w:tr>
      <w:tr w:rsidR="00400085" w:rsidRPr="00437279" w14:paraId="05078542" w14:textId="77777777" w:rsidTr="00EB5B3C">
        <w:tc>
          <w:tcPr>
            <w:tcW w:w="2628" w:type="dxa"/>
            <w:tcBorders>
              <w:right w:val="double" w:sz="4" w:space="0" w:color="auto"/>
            </w:tcBorders>
          </w:tcPr>
          <w:p w14:paraId="2DBE8583"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114C850" w14:textId="77777777" w:rsidR="00400085" w:rsidRPr="00437279" w:rsidRDefault="00400085" w:rsidP="00C81DD3">
            <w:pPr>
              <w:suppressLineNumbers/>
              <w:jc w:val="center"/>
              <w:rPr>
                <w:b/>
                <w:bCs/>
              </w:rPr>
            </w:pPr>
          </w:p>
        </w:tc>
        <w:tc>
          <w:tcPr>
            <w:tcW w:w="2742" w:type="dxa"/>
            <w:tcBorders>
              <w:left w:val="double" w:sz="4" w:space="0" w:color="auto"/>
            </w:tcBorders>
          </w:tcPr>
          <w:p w14:paraId="155550C0" w14:textId="77777777" w:rsidR="00400085" w:rsidRPr="00437279" w:rsidRDefault="00400085" w:rsidP="00C81DD3">
            <w:pPr>
              <w:suppressLineNumbers/>
              <w:jc w:val="center"/>
              <w:rPr>
                <w:b/>
                <w:bCs/>
              </w:rPr>
            </w:pPr>
          </w:p>
        </w:tc>
      </w:tr>
      <w:tr w:rsidR="00400085" w:rsidRPr="00437279" w14:paraId="52E72D9E" w14:textId="77777777" w:rsidTr="00EB5B3C">
        <w:tc>
          <w:tcPr>
            <w:tcW w:w="2628" w:type="dxa"/>
            <w:tcBorders>
              <w:right w:val="double" w:sz="4" w:space="0" w:color="auto"/>
            </w:tcBorders>
          </w:tcPr>
          <w:p w14:paraId="0C8FFA1A"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0A7A6D5C" w14:textId="77777777" w:rsidR="00400085" w:rsidRPr="00994C16" w:rsidRDefault="00400085" w:rsidP="00C81DD3">
            <w:pPr>
              <w:suppressLineNumbers/>
              <w:jc w:val="center"/>
              <w:rPr>
                <w:b/>
                <w:sz w:val="36"/>
                <w:szCs w:val="36"/>
              </w:rPr>
            </w:pPr>
            <w:r w:rsidRPr="00994C16">
              <w:rPr>
                <w:b/>
                <w:sz w:val="36"/>
                <w:szCs w:val="36"/>
              </w:rPr>
              <w:t>EXHIBIT</w:t>
            </w:r>
          </w:p>
        </w:tc>
        <w:tc>
          <w:tcPr>
            <w:tcW w:w="2742" w:type="dxa"/>
            <w:tcBorders>
              <w:left w:val="double" w:sz="4" w:space="0" w:color="auto"/>
            </w:tcBorders>
          </w:tcPr>
          <w:p w14:paraId="15C21D35" w14:textId="77777777" w:rsidR="00400085" w:rsidRPr="00437279" w:rsidRDefault="00400085" w:rsidP="00C81DD3">
            <w:pPr>
              <w:suppressLineNumbers/>
              <w:jc w:val="center"/>
              <w:rPr>
                <w:b/>
                <w:bCs/>
              </w:rPr>
            </w:pPr>
          </w:p>
        </w:tc>
      </w:tr>
      <w:tr w:rsidR="00400085" w:rsidRPr="00437279" w14:paraId="1C88D343" w14:textId="77777777" w:rsidTr="00EB5B3C">
        <w:tc>
          <w:tcPr>
            <w:tcW w:w="2628" w:type="dxa"/>
            <w:tcBorders>
              <w:right w:val="double" w:sz="4" w:space="0" w:color="auto"/>
            </w:tcBorders>
          </w:tcPr>
          <w:p w14:paraId="09CDE0C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3A35E4E6" w14:textId="77777777" w:rsidR="00400085" w:rsidRPr="00994C16" w:rsidRDefault="00400085" w:rsidP="00C81DD3">
            <w:pPr>
              <w:suppressLineNumbers/>
              <w:jc w:val="center"/>
              <w:rPr>
                <w:b/>
                <w:sz w:val="36"/>
                <w:szCs w:val="36"/>
              </w:rPr>
            </w:pPr>
          </w:p>
        </w:tc>
        <w:tc>
          <w:tcPr>
            <w:tcW w:w="2742" w:type="dxa"/>
            <w:tcBorders>
              <w:left w:val="double" w:sz="4" w:space="0" w:color="auto"/>
            </w:tcBorders>
          </w:tcPr>
          <w:p w14:paraId="409B2FE2" w14:textId="77777777" w:rsidR="00400085" w:rsidRPr="00437279" w:rsidRDefault="00400085" w:rsidP="00C81DD3">
            <w:pPr>
              <w:suppressLineNumbers/>
              <w:jc w:val="center"/>
              <w:rPr>
                <w:b/>
                <w:bCs/>
              </w:rPr>
            </w:pPr>
          </w:p>
        </w:tc>
      </w:tr>
      <w:tr w:rsidR="00400085" w:rsidRPr="00437279" w14:paraId="44065669" w14:textId="77777777" w:rsidTr="00EB5B3C">
        <w:tc>
          <w:tcPr>
            <w:tcW w:w="2628" w:type="dxa"/>
            <w:tcBorders>
              <w:right w:val="double" w:sz="4" w:space="0" w:color="auto"/>
            </w:tcBorders>
          </w:tcPr>
          <w:p w14:paraId="481D62DE"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2A66BAF6" w14:textId="77777777" w:rsidR="00400085" w:rsidRPr="00624966" w:rsidRDefault="00400085" w:rsidP="00C81DD3">
            <w:pPr>
              <w:jc w:val="center"/>
              <w:rPr>
                <w:b/>
              </w:rPr>
            </w:pPr>
            <w:r w:rsidRPr="00624966">
              <w:rPr>
                <w:b/>
                <w:sz w:val="36"/>
              </w:rPr>
              <w:t>STF-</w:t>
            </w:r>
            <w:r>
              <w:rPr>
                <w:b/>
                <w:sz w:val="36"/>
              </w:rPr>
              <w:t>NH-2</w:t>
            </w:r>
          </w:p>
        </w:tc>
        <w:tc>
          <w:tcPr>
            <w:tcW w:w="2742" w:type="dxa"/>
            <w:tcBorders>
              <w:left w:val="double" w:sz="4" w:space="0" w:color="auto"/>
            </w:tcBorders>
          </w:tcPr>
          <w:p w14:paraId="421F40D0" w14:textId="77777777" w:rsidR="00400085" w:rsidRPr="00437279" w:rsidRDefault="00400085" w:rsidP="00C81DD3">
            <w:pPr>
              <w:suppressLineNumbers/>
              <w:jc w:val="center"/>
              <w:rPr>
                <w:b/>
                <w:bCs/>
              </w:rPr>
            </w:pPr>
          </w:p>
        </w:tc>
      </w:tr>
      <w:tr w:rsidR="00400085" w:rsidRPr="00437279" w14:paraId="185E61A1" w14:textId="77777777" w:rsidTr="00EB5B3C">
        <w:tc>
          <w:tcPr>
            <w:tcW w:w="2628" w:type="dxa"/>
            <w:tcBorders>
              <w:right w:val="double" w:sz="4" w:space="0" w:color="auto"/>
            </w:tcBorders>
          </w:tcPr>
          <w:p w14:paraId="422DD4BC"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7346FAEC" w14:textId="77777777" w:rsidR="00400085" w:rsidRPr="00437279" w:rsidRDefault="00400085" w:rsidP="00C81DD3">
            <w:pPr>
              <w:suppressLineNumbers/>
              <w:jc w:val="center"/>
              <w:rPr>
                <w:b/>
                <w:bCs/>
              </w:rPr>
            </w:pPr>
          </w:p>
        </w:tc>
        <w:tc>
          <w:tcPr>
            <w:tcW w:w="2742" w:type="dxa"/>
            <w:tcBorders>
              <w:left w:val="double" w:sz="4" w:space="0" w:color="auto"/>
            </w:tcBorders>
          </w:tcPr>
          <w:p w14:paraId="05152CA5" w14:textId="77777777" w:rsidR="00400085" w:rsidRPr="00437279" w:rsidRDefault="00400085" w:rsidP="00C81DD3">
            <w:pPr>
              <w:suppressLineNumbers/>
              <w:jc w:val="center"/>
              <w:rPr>
                <w:b/>
                <w:bCs/>
              </w:rPr>
            </w:pPr>
          </w:p>
        </w:tc>
      </w:tr>
      <w:tr w:rsidR="00400085" w:rsidRPr="00437279" w14:paraId="3B5DCD8D" w14:textId="77777777" w:rsidTr="00EB5B3C">
        <w:tc>
          <w:tcPr>
            <w:tcW w:w="2628" w:type="dxa"/>
            <w:tcBorders>
              <w:right w:val="double" w:sz="4" w:space="0" w:color="auto"/>
            </w:tcBorders>
          </w:tcPr>
          <w:p w14:paraId="77D40CFD" w14:textId="77777777" w:rsidR="00400085" w:rsidRPr="00437279" w:rsidRDefault="00400085" w:rsidP="00C81DD3">
            <w:pPr>
              <w:suppressLineNumbers/>
              <w:jc w:val="center"/>
              <w:rPr>
                <w:b/>
                <w:bCs/>
              </w:rPr>
            </w:pPr>
          </w:p>
        </w:tc>
        <w:tc>
          <w:tcPr>
            <w:tcW w:w="4140" w:type="dxa"/>
            <w:tcBorders>
              <w:left w:val="double" w:sz="4" w:space="0" w:color="auto"/>
              <w:right w:val="double" w:sz="4" w:space="0" w:color="auto"/>
            </w:tcBorders>
          </w:tcPr>
          <w:p w14:paraId="1D034C42" w14:textId="77777777" w:rsidR="00400085" w:rsidRPr="00437279" w:rsidRDefault="00400085" w:rsidP="00C81DD3">
            <w:pPr>
              <w:suppressLineNumbers/>
              <w:jc w:val="center"/>
              <w:rPr>
                <w:b/>
                <w:bCs/>
              </w:rPr>
            </w:pPr>
          </w:p>
        </w:tc>
        <w:tc>
          <w:tcPr>
            <w:tcW w:w="2742" w:type="dxa"/>
            <w:tcBorders>
              <w:left w:val="double" w:sz="4" w:space="0" w:color="auto"/>
            </w:tcBorders>
          </w:tcPr>
          <w:p w14:paraId="22914DAE" w14:textId="77777777" w:rsidR="00400085" w:rsidRPr="00437279" w:rsidRDefault="00400085" w:rsidP="00C81DD3">
            <w:pPr>
              <w:suppressLineNumbers/>
              <w:jc w:val="center"/>
              <w:rPr>
                <w:b/>
                <w:bCs/>
              </w:rPr>
            </w:pPr>
          </w:p>
        </w:tc>
      </w:tr>
      <w:tr w:rsidR="00400085" w:rsidRPr="00437279" w14:paraId="683940A6" w14:textId="77777777" w:rsidTr="00EB5B3C">
        <w:tc>
          <w:tcPr>
            <w:tcW w:w="2628" w:type="dxa"/>
            <w:tcBorders>
              <w:right w:val="double" w:sz="4" w:space="0" w:color="auto"/>
            </w:tcBorders>
          </w:tcPr>
          <w:p w14:paraId="18A35CB0" w14:textId="77777777" w:rsidR="00400085" w:rsidRPr="00437279" w:rsidRDefault="00400085" w:rsidP="00C81DD3">
            <w:pPr>
              <w:suppressLineNumbers/>
              <w:jc w:val="center"/>
              <w:rPr>
                <w:b/>
                <w:bCs/>
              </w:rPr>
            </w:pPr>
          </w:p>
        </w:tc>
        <w:tc>
          <w:tcPr>
            <w:tcW w:w="4140" w:type="dxa"/>
            <w:tcBorders>
              <w:left w:val="double" w:sz="4" w:space="0" w:color="auto"/>
              <w:bottom w:val="double" w:sz="4" w:space="0" w:color="auto"/>
              <w:right w:val="double" w:sz="4" w:space="0" w:color="auto"/>
            </w:tcBorders>
          </w:tcPr>
          <w:p w14:paraId="4E2783D5" w14:textId="77777777" w:rsidR="00400085" w:rsidRPr="00437279" w:rsidRDefault="00400085" w:rsidP="00C81DD3">
            <w:pPr>
              <w:suppressLineNumbers/>
              <w:jc w:val="center"/>
              <w:rPr>
                <w:b/>
                <w:bCs/>
              </w:rPr>
            </w:pPr>
          </w:p>
        </w:tc>
        <w:tc>
          <w:tcPr>
            <w:tcW w:w="2742" w:type="dxa"/>
            <w:tcBorders>
              <w:left w:val="double" w:sz="4" w:space="0" w:color="auto"/>
            </w:tcBorders>
          </w:tcPr>
          <w:p w14:paraId="5CF96F8C" w14:textId="77777777" w:rsidR="00400085" w:rsidRPr="00437279" w:rsidRDefault="00400085" w:rsidP="00C81DD3">
            <w:pPr>
              <w:suppressLineNumbers/>
              <w:jc w:val="center"/>
              <w:rPr>
                <w:b/>
                <w:bCs/>
              </w:rPr>
            </w:pPr>
          </w:p>
        </w:tc>
      </w:tr>
    </w:tbl>
    <w:p w14:paraId="777204A1" w14:textId="77777777" w:rsidR="00400085" w:rsidRDefault="00400085" w:rsidP="00400085">
      <w:pPr>
        <w:suppressLineNumbers/>
        <w:jc w:val="center"/>
        <w:rPr>
          <w:b/>
          <w:bCs/>
        </w:rPr>
      </w:pPr>
    </w:p>
    <w:p w14:paraId="6C289D01" w14:textId="77777777" w:rsidR="00400085" w:rsidRPr="00437279" w:rsidRDefault="00400085" w:rsidP="00400085">
      <w:pPr>
        <w:jc w:val="center"/>
        <w:rPr>
          <w:b/>
          <w:bCs/>
        </w:rPr>
      </w:pPr>
    </w:p>
    <w:p w14:paraId="6D1C2DC4" w14:textId="77777777" w:rsidR="00400085" w:rsidRPr="00437279" w:rsidRDefault="00400085" w:rsidP="00400085">
      <w:pPr>
        <w:jc w:val="center"/>
        <w:rPr>
          <w:b/>
          <w:bCs/>
        </w:rPr>
      </w:pPr>
    </w:p>
    <w:tbl>
      <w:tblPr>
        <w:tblW w:w="9510" w:type="dxa"/>
        <w:tblLayout w:type="fixed"/>
        <w:tblLook w:val="0000" w:firstRow="0" w:lastRow="0" w:firstColumn="0" w:lastColumn="0" w:noHBand="0" w:noVBand="0"/>
      </w:tblPr>
      <w:tblGrid>
        <w:gridCol w:w="2926"/>
        <w:gridCol w:w="3658"/>
        <w:gridCol w:w="2926"/>
      </w:tblGrid>
      <w:tr w:rsidR="00400085" w:rsidRPr="00437279" w14:paraId="309BE430" w14:textId="77777777" w:rsidTr="00EB5B3C">
        <w:tc>
          <w:tcPr>
            <w:tcW w:w="2926" w:type="dxa"/>
          </w:tcPr>
          <w:p w14:paraId="6D14A286" w14:textId="77777777" w:rsidR="00400085" w:rsidRPr="00437279" w:rsidRDefault="00400085" w:rsidP="00C81DD3">
            <w:pPr>
              <w:jc w:val="center"/>
              <w:rPr>
                <w:b/>
                <w:bCs/>
              </w:rPr>
            </w:pPr>
          </w:p>
        </w:tc>
        <w:tc>
          <w:tcPr>
            <w:tcW w:w="3658" w:type="dxa"/>
          </w:tcPr>
          <w:p w14:paraId="4BABE54A" w14:textId="77777777" w:rsidR="00400085" w:rsidRPr="00437279" w:rsidRDefault="00400085" w:rsidP="00C81DD3">
            <w:pPr>
              <w:jc w:val="center"/>
              <w:rPr>
                <w:b/>
                <w:bCs/>
              </w:rPr>
            </w:pPr>
          </w:p>
        </w:tc>
        <w:tc>
          <w:tcPr>
            <w:tcW w:w="2926" w:type="dxa"/>
          </w:tcPr>
          <w:p w14:paraId="1C883668" w14:textId="77777777" w:rsidR="00400085" w:rsidRPr="00437279" w:rsidRDefault="00400085" w:rsidP="00C81DD3">
            <w:pPr>
              <w:jc w:val="center"/>
              <w:rPr>
                <w:b/>
                <w:bCs/>
              </w:rPr>
            </w:pPr>
          </w:p>
        </w:tc>
      </w:tr>
    </w:tbl>
    <w:p w14:paraId="678DC5F3" w14:textId="77777777" w:rsidR="00400085" w:rsidRPr="00437279" w:rsidRDefault="00400085" w:rsidP="00400085">
      <w:pPr>
        <w:jc w:val="center"/>
        <w:rPr>
          <w:b/>
          <w:bCs/>
        </w:rPr>
      </w:pPr>
    </w:p>
    <w:p w14:paraId="44EFE42D" w14:textId="77777777" w:rsidR="00400085" w:rsidRPr="00437279" w:rsidRDefault="00400085" w:rsidP="00400085">
      <w:pPr>
        <w:jc w:val="center"/>
        <w:rPr>
          <w:b/>
          <w:bCs/>
        </w:rPr>
      </w:pPr>
    </w:p>
    <w:tbl>
      <w:tblPr>
        <w:tblW w:w="10144" w:type="dxa"/>
        <w:tblLayout w:type="fixed"/>
        <w:tblLook w:val="0000" w:firstRow="0" w:lastRow="0" w:firstColumn="0" w:lastColumn="0" w:noHBand="0" w:noVBand="0"/>
      </w:tblPr>
      <w:tblGrid>
        <w:gridCol w:w="2088"/>
        <w:gridCol w:w="5130"/>
        <w:gridCol w:w="2926"/>
      </w:tblGrid>
      <w:tr w:rsidR="00400085" w:rsidRPr="00437279" w14:paraId="1DE9775C" w14:textId="77777777" w:rsidTr="00EB5B3C">
        <w:tc>
          <w:tcPr>
            <w:tcW w:w="2088" w:type="dxa"/>
          </w:tcPr>
          <w:p w14:paraId="42117793" w14:textId="77777777" w:rsidR="00400085" w:rsidRPr="00437279" w:rsidRDefault="00400085" w:rsidP="00C81DD3">
            <w:pPr>
              <w:jc w:val="center"/>
              <w:rPr>
                <w:b/>
                <w:bCs/>
              </w:rPr>
            </w:pPr>
          </w:p>
        </w:tc>
        <w:tc>
          <w:tcPr>
            <w:tcW w:w="5130" w:type="dxa"/>
          </w:tcPr>
          <w:p w14:paraId="33252B74" w14:textId="77777777" w:rsidR="00400085" w:rsidRPr="00437279" w:rsidRDefault="00400085" w:rsidP="00C81DD3">
            <w:pPr>
              <w:ind w:left="-46"/>
              <w:jc w:val="center"/>
              <w:rPr>
                <w:b/>
                <w:bCs/>
              </w:rPr>
            </w:pPr>
          </w:p>
        </w:tc>
        <w:tc>
          <w:tcPr>
            <w:tcW w:w="2926" w:type="dxa"/>
          </w:tcPr>
          <w:p w14:paraId="3400CDF1" w14:textId="77777777" w:rsidR="00400085" w:rsidRPr="00437279" w:rsidRDefault="00400085" w:rsidP="00C81DD3">
            <w:pPr>
              <w:jc w:val="center"/>
              <w:rPr>
                <w:b/>
                <w:bCs/>
              </w:rPr>
            </w:pPr>
          </w:p>
        </w:tc>
      </w:tr>
      <w:tr w:rsidR="00400085" w:rsidRPr="00437279" w14:paraId="1220BFE3" w14:textId="77777777" w:rsidTr="00EB5B3C">
        <w:tc>
          <w:tcPr>
            <w:tcW w:w="2088" w:type="dxa"/>
          </w:tcPr>
          <w:p w14:paraId="2094D1FA" w14:textId="77777777" w:rsidR="00400085" w:rsidRPr="00437279" w:rsidRDefault="00400085" w:rsidP="00C81DD3">
            <w:pPr>
              <w:jc w:val="center"/>
              <w:rPr>
                <w:b/>
                <w:bCs/>
              </w:rPr>
            </w:pPr>
          </w:p>
        </w:tc>
        <w:tc>
          <w:tcPr>
            <w:tcW w:w="5130" w:type="dxa"/>
          </w:tcPr>
          <w:p w14:paraId="0848173A" w14:textId="77777777" w:rsidR="00400085" w:rsidRPr="00437279" w:rsidRDefault="00400085" w:rsidP="00C81DD3">
            <w:pPr>
              <w:ind w:left="-46"/>
              <w:jc w:val="center"/>
              <w:rPr>
                <w:b/>
                <w:bCs/>
              </w:rPr>
            </w:pPr>
          </w:p>
          <w:p w14:paraId="50AFB069" w14:textId="77777777" w:rsidR="00400085" w:rsidRPr="00437279" w:rsidRDefault="00400085" w:rsidP="00C81DD3">
            <w:pPr>
              <w:ind w:left="-46"/>
              <w:jc w:val="center"/>
              <w:rPr>
                <w:b/>
                <w:bCs/>
              </w:rPr>
            </w:pPr>
          </w:p>
        </w:tc>
        <w:tc>
          <w:tcPr>
            <w:tcW w:w="2926" w:type="dxa"/>
          </w:tcPr>
          <w:p w14:paraId="7F0F89A7" w14:textId="77777777" w:rsidR="00400085" w:rsidRPr="00437279" w:rsidRDefault="00400085" w:rsidP="00C81DD3">
            <w:pPr>
              <w:tabs>
                <w:tab w:val="left" w:pos="1995"/>
              </w:tabs>
              <w:jc w:val="center"/>
              <w:rPr>
                <w:b/>
                <w:bCs/>
              </w:rPr>
            </w:pPr>
          </w:p>
        </w:tc>
      </w:tr>
    </w:tbl>
    <w:p w14:paraId="0D6E1074" w14:textId="77777777" w:rsidR="00400085" w:rsidRPr="00437279" w:rsidRDefault="00400085" w:rsidP="00400085">
      <w:pPr>
        <w:suppressLineNumbers/>
        <w:rPr>
          <w:b/>
          <w:bCs/>
        </w:rPr>
      </w:pPr>
    </w:p>
    <w:p w14:paraId="5279F354" w14:textId="77777777" w:rsidR="00400085" w:rsidRPr="00437279" w:rsidRDefault="00400085" w:rsidP="00400085">
      <w:pPr>
        <w:suppressLineNumbers/>
        <w:rPr>
          <w:b/>
          <w:bCs/>
        </w:rPr>
      </w:pPr>
    </w:p>
    <w:p w14:paraId="2B78B868" w14:textId="77777777" w:rsidR="00400085" w:rsidRDefault="00400085" w:rsidP="00400085">
      <w:pPr>
        <w:spacing w:after="240" w:line="360" w:lineRule="auto"/>
        <w:ind w:left="720" w:hanging="720"/>
        <w:sectPr w:rsidR="00400085" w:rsidSect="00F1375B">
          <w:footerReference w:type="default" r:id="rId23"/>
          <w:headerReference w:type="first" r:id="rId24"/>
          <w:footerReference w:type="first" r:id="rId25"/>
          <w:endnotePr>
            <w:numFmt w:val="decimal"/>
          </w:endnotePr>
          <w:pgSz w:w="12240" w:h="15840" w:code="1"/>
          <w:pgMar w:top="1440" w:right="1440" w:bottom="1728" w:left="1440" w:header="1440" w:footer="720" w:gutter="0"/>
          <w:cols w:space="720"/>
          <w:noEndnote/>
          <w:titlePg/>
          <w:docGrid w:linePitch="326"/>
        </w:sectPr>
      </w:pPr>
    </w:p>
    <w:p w14:paraId="51472DEB" w14:textId="77777777" w:rsidR="00400085" w:rsidRDefault="00400085" w:rsidP="00400085">
      <w:pPr>
        <w:jc w:val="center"/>
        <w:rPr>
          <w:u w:val="single"/>
        </w:rPr>
      </w:pPr>
    </w:p>
    <w:p w14:paraId="32B97CCB" w14:textId="77777777" w:rsidR="00400085" w:rsidRPr="00032000" w:rsidRDefault="00400085" w:rsidP="00400085">
      <w:pPr>
        <w:rPr>
          <w:u w:val="single"/>
        </w:rPr>
      </w:pPr>
      <w:bookmarkStart w:id="30" w:name="_Toc452130853"/>
      <w:r w:rsidRPr="00032000">
        <w:rPr>
          <w:b/>
          <w:u w:val="single"/>
        </w:rPr>
        <w:t>EDUCATION/CERTIFICATION</w:t>
      </w:r>
      <w:bookmarkEnd w:id="30"/>
    </w:p>
    <w:p w14:paraId="10F54B38" w14:textId="77777777" w:rsidR="00400085" w:rsidRPr="00437279" w:rsidRDefault="00400085" w:rsidP="00400085">
      <w:pPr>
        <w:tabs>
          <w:tab w:val="left" w:pos="0"/>
        </w:tabs>
        <w:suppressAutoHyphens/>
        <w:rPr>
          <w:spacing w:val="-2"/>
        </w:rPr>
      </w:pPr>
    </w:p>
    <w:p w14:paraId="2D536428" w14:textId="77777777" w:rsidR="00400085" w:rsidRPr="00437279" w:rsidRDefault="00400085" w:rsidP="00400085">
      <w:pPr>
        <w:tabs>
          <w:tab w:val="left" w:pos="0"/>
        </w:tabs>
        <w:suppressAutoHyphens/>
        <w:rPr>
          <w:spacing w:val="-2"/>
        </w:rPr>
      </w:pPr>
      <w:r w:rsidRPr="00437279">
        <w:rPr>
          <w:spacing w:val="-2"/>
        </w:rPr>
        <w:t>M.S., Electrical Engineering, Georgia Institute of Technology, 1980</w:t>
      </w:r>
    </w:p>
    <w:p w14:paraId="733630F0" w14:textId="77777777" w:rsidR="00400085" w:rsidRPr="00437279" w:rsidRDefault="00400085" w:rsidP="00400085">
      <w:pPr>
        <w:tabs>
          <w:tab w:val="left" w:pos="0"/>
        </w:tabs>
        <w:suppressAutoHyphens/>
        <w:rPr>
          <w:spacing w:val="-2"/>
        </w:rPr>
      </w:pPr>
      <w:r w:rsidRPr="00437279">
        <w:rPr>
          <w:spacing w:val="-2"/>
        </w:rPr>
        <w:t>B.S., Electrical Engineering, Purdue University, 1979</w:t>
      </w:r>
    </w:p>
    <w:p w14:paraId="0100624D" w14:textId="77777777" w:rsidR="00400085" w:rsidRPr="00437279" w:rsidRDefault="00400085" w:rsidP="00400085">
      <w:pPr>
        <w:tabs>
          <w:tab w:val="left" w:pos="0"/>
        </w:tabs>
        <w:suppressAutoHyphens/>
        <w:rPr>
          <w:spacing w:val="-2"/>
        </w:rPr>
      </w:pPr>
      <w:r w:rsidRPr="00437279">
        <w:rPr>
          <w:spacing w:val="-2"/>
        </w:rPr>
        <w:t>Cooperative Education Certificate, Purdue University, 1979</w:t>
      </w:r>
    </w:p>
    <w:p w14:paraId="06C7C1DF" w14:textId="77777777" w:rsidR="00400085" w:rsidRDefault="00400085" w:rsidP="00400085">
      <w:pPr>
        <w:suppressAutoHyphens/>
        <w:rPr>
          <w:b/>
          <w:spacing w:val="-2"/>
          <w:sz w:val="22"/>
          <w:u w:val="single"/>
        </w:rPr>
      </w:pPr>
    </w:p>
    <w:p w14:paraId="38654DB2" w14:textId="77777777" w:rsidR="00400085" w:rsidRPr="00327CFE" w:rsidRDefault="00400085" w:rsidP="00400085">
      <w:pPr>
        <w:rPr>
          <w:b/>
          <w:u w:val="single"/>
        </w:rPr>
      </w:pPr>
      <w:r w:rsidRPr="00327CFE">
        <w:rPr>
          <w:b/>
          <w:u w:val="single"/>
        </w:rPr>
        <w:t>PROFESSIONAL AFFILIATIONS</w:t>
      </w:r>
    </w:p>
    <w:p w14:paraId="21628829" w14:textId="77777777" w:rsidR="00400085" w:rsidRPr="00AB226C" w:rsidRDefault="00400085" w:rsidP="00400085"/>
    <w:p w14:paraId="5C0E4AA2" w14:textId="77777777" w:rsidR="00400085" w:rsidRPr="00437279" w:rsidRDefault="00400085" w:rsidP="00400085">
      <w:pPr>
        <w:tabs>
          <w:tab w:val="left" w:pos="0"/>
        </w:tabs>
        <w:suppressAutoHyphens/>
        <w:rPr>
          <w:spacing w:val="-2"/>
        </w:rPr>
      </w:pPr>
      <w:r>
        <w:rPr>
          <w:spacing w:val="-2"/>
        </w:rPr>
        <w:t>National Society of Professional Engineers</w:t>
      </w:r>
    </w:p>
    <w:p w14:paraId="2B521C78" w14:textId="77777777" w:rsidR="00400085" w:rsidRPr="00437279" w:rsidRDefault="00400085" w:rsidP="00400085">
      <w:pPr>
        <w:tabs>
          <w:tab w:val="left" w:pos="0"/>
        </w:tabs>
        <w:suppressAutoHyphens/>
        <w:rPr>
          <w:spacing w:val="-2"/>
        </w:rPr>
      </w:pPr>
      <w:r>
        <w:rPr>
          <w:spacing w:val="-2"/>
        </w:rPr>
        <w:t>Georgia Society of Professional Engineers</w:t>
      </w:r>
    </w:p>
    <w:p w14:paraId="081AE57D" w14:textId="77777777" w:rsidR="00400085" w:rsidRPr="00437279" w:rsidRDefault="00400085" w:rsidP="00400085">
      <w:pPr>
        <w:tabs>
          <w:tab w:val="left" w:pos="0"/>
        </w:tabs>
        <w:suppressAutoHyphens/>
        <w:rPr>
          <w:spacing w:val="-2"/>
        </w:rPr>
      </w:pPr>
      <w:r>
        <w:rPr>
          <w:spacing w:val="-2"/>
        </w:rPr>
        <w:t>Institute of Electrical and Electronic Engineers</w:t>
      </w:r>
    </w:p>
    <w:p w14:paraId="0AE2A13D" w14:textId="77777777" w:rsidR="00400085" w:rsidRDefault="00400085" w:rsidP="00400085">
      <w:pPr>
        <w:tabs>
          <w:tab w:val="left" w:pos="0"/>
        </w:tabs>
        <w:suppressAutoHyphens/>
        <w:rPr>
          <w:b/>
          <w:bCs/>
          <w:spacing w:val="-2"/>
          <w:u w:val="single"/>
        </w:rPr>
      </w:pPr>
    </w:p>
    <w:p w14:paraId="335056CF" w14:textId="77777777" w:rsidR="00400085" w:rsidRPr="00437279" w:rsidRDefault="00400085" w:rsidP="00400085">
      <w:pPr>
        <w:tabs>
          <w:tab w:val="left" w:pos="0"/>
        </w:tabs>
        <w:suppressAutoHyphens/>
        <w:rPr>
          <w:spacing w:val="-2"/>
          <w:u w:val="single"/>
        </w:rPr>
      </w:pPr>
      <w:r w:rsidRPr="00437279">
        <w:rPr>
          <w:b/>
          <w:bCs/>
          <w:spacing w:val="-2"/>
          <w:u w:val="single"/>
        </w:rPr>
        <w:t>EXPERIENCE</w:t>
      </w:r>
    </w:p>
    <w:p w14:paraId="2C1F1F23" w14:textId="77777777" w:rsidR="00400085" w:rsidRPr="00437279" w:rsidRDefault="00400085" w:rsidP="00400085">
      <w:pPr>
        <w:tabs>
          <w:tab w:val="left" w:pos="0"/>
        </w:tabs>
        <w:suppressAutoHyphens/>
        <w:rPr>
          <w:spacing w:val="-2"/>
        </w:rPr>
      </w:pPr>
    </w:p>
    <w:p w14:paraId="40FA56AF" w14:textId="77777777" w:rsidR="00400085" w:rsidRPr="00437279" w:rsidRDefault="00400085" w:rsidP="00400085">
      <w:pPr>
        <w:tabs>
          <w:tab w:val="left" w:pos="0"/>
        </w:tabs>
        <w:suppressAutoHyphens/>
        <w:rPr>
          <w:spacing w:val="-2"/>
        </w:rPr>
      </w:pPr>
      <w:r>
        <w:rPr>
          <w:spacing w:val="-2"/>
        </w:rPr>
        <w:t xml:space="preserve">Since completing his Master’s program, </w:t>
      </w:r>
      <w:r w:rsidRPr="00437279">
        <w:rPr>
          <w:spacing w:val="-2"/>
        </w:rPr>
        <w:t xml:space="preserve">Mr. Hayet worked for fifteen years at Energy Management Associates, now Ventyx, </w:t>
      </w:r>
      <w:r>
        <w:rPr>
          <w:spacing w:val="-2"/>
        </w:rPr>
        <w:t>providing</w:t>
      </w:r>
      <w:r w:rsidRPr="00437279">
        <w:rPr>
          <w:spacing w:val="-2"/>
        </w:rPr>
        <w:t xml:space="preserve"> consulting services and client service support </w:t>
      </w:r>
      <w:r>
        <w:rPr>
          <w:spacing w:val="-2"/>
        </w:rPr>
        <w:t xml:space="preserve">to electric utility companies </w:t>
      </w:r>
      <w:r w:rsidRPr="00437279">
        <w:rPr>
          <w:spacing w:val="-2"/>
        </w:rPr>
        <w:t xml:space="preserve">for the widely used </w:t>
      </w:r>
      <w:r>
        <w:rPr>
          <w:spacing w:val="-2"/>
        </w:rPr>
        <w:t xml:space="preserve">planning </w:t>
      </w:r>
      <w:r w:rsidRPr="00437279">
        <w:rPr>
          <w:spacing w:val="-2"/>
        </w:rPr>
        <w:t>models, PROMOD IV and STRATEGIST.  Mr. Hayet</w:t>
      </w:r>
      <w:r>
        <w:rPr>
          <w:spacing w:val="-2"/>
        </w:rPr>
        <w:t xml:space="preserve"> had an instrumental role in designing s</w:t>
      </w:r>
      <w:r w:rsidRPr="00437279">
        <w:rPr>
          <w:spacing w:val="-2"/>
        </w:rPr>
        <w:t xml:space="preserve">ome of the </w:t>
      </w:r>
      <w:r>
        <w:rPr>
          <w:spacing w:val="-2"/>
        </w:rPr>
        <w:t>modeling features of those tools including</w:t>
      </w:r>
      <w:r w:rsidRPr="00437279">
        <w:rPr>
          <w:spacing w:val="-2"/>
        </w:rPr>
        <w:t xml:space="preserve"> the competitive market modeling </w:t>
      </w:r>
      <w:r>
        <w:rPr>
          <w:spacing w:val="-2"/>
        </w:rPr>
        <w:t xml:space="preserve">logic in STRATEGIST.  </w:t>
      </w:r>
      <w:r w:rsidRPr="00437279">
        <w:rPr>
          <w:spacing w:val="-2"/>
        </w:rPr>
        <w:t xml:space="preserve">      </w:t>
      </w:r>
    </w:p>
    <w:p w14:paraId="5EDC50AA" w14:textId="77777777" w:rsidR="00400085" w:rsidRPr="00437279" w:rsidRDefault="00400085" w:rsidP="00400085">
      <w:pPr>
        <w:tabs>
          <w:tab w:val="left" w:pos="0"/>
        </w:tabs>
        <w:suppressAutoHyphens/>
        <w:rPr>
          <w:spacing w:val="-2"/>
        </w:rPr>
      </w:pPr>
    </w:p>
    <w:p w14:paraId="450F6279" w14:textId="77777777" w:rsidR="00400085" w:rsidRDefault="00400085" w:rsidP="00400085">
      <w:pPr>
        <w:tabs>
          <w:tab w:val="left" w:pos="0"/>
        </w:tabs>
        <w:suppressAutoHyphens/>
        <w:rPr>
          <w:spacing w:val="-2"/>
        </w:rPr>
      </w:pPr>
      <w:r w:rsidRPr="00437279">
        <w:rPr>
          <w:spacing w:val="-2"/>
        </w:rPr>
        <w:t>In 1995, Mr. Hayet began his own utility consulting firm, Hayet Power S</w:t>
      </w:r>
      <w:r>
        <w:rPr>
          <w:spacing w:val="-2"/>
        </w:rPr>
        <w:t xml:space="preserve">ystems Consulting (“HPSC”), and has </w:t>
      </w:r>
      <w:r w:rsidRPr="00437279">
        <w:rPr>
          <w:spacing w:val="-2"/>
        </w:rPr>
        <w:t xml:space="preserve">worked for customers in the United States, and internationally in Australia, Japan, Singapore, Malaysia, the United Kingdom, and Vietnam.  </w:t>
      </w:r>
      <w:r>
        <w:rPr>
          <w:spacing w:val="-2"/>
        </w:rPr>
        <w:t xml:space="preserve">Over his more than 30-year career, </w:t>
      </w:r>
      <w:r w:rsidRPr="00437279">
        <w:rPr>
          <w:spacing w:val="-2"/>
        </w:rPr>
        <w:t xml:space="preserve">Mr. Hayet has provided consulting services to Public Utility Commissions, </w:t>
      </w:r>
      <w:r>
        <w:rPr>
          <w:spacing w:val="-2"/>
        </w:rPr>
        <w:t xml:space="preserve">Regional Power Pools, </w:t>
      </w:r>
      <w:r w:rsidRPr="00437279">
        <w:rPr>
          <w:spacing w:val="-2"/>
        </w:rPr>
        <w:t xml:space="preserve">State Energy Offices, Consumer Advocate Offices, Electric Utilities, Global Power Developers, and Industrial Companies.  Mr. Hayet’s expertise covers a number of areas including utility system planning and operations, </w:t>
      </w:r>
      <w:r>
        <w:rPr>
          <w:spacing w:val="-2"/>
        </w:rPr>
        <w:t xml:space="preserve">RTO analysis, </w:t>
      </w:r>
      <w:r w:rsidRPr="00437279">
        <w:rPr>
          <w:spacing w:val="-2"/>
        </w:rPr>
        <w:t xml:space="preserve">market price forecasting, Integrated Resource Planning, renewable resource evaluation, transmission planning, demand-side analysis, and economic analysis.  </w:t>
      </w:r>
    </w:p>
    <w:p w14:paraId="7A419831" w14:textId="77777777" w:rsidR="00400085" w:rsidRDefault="00400085" w:rsidP="00400085">
      <w:pPr>
        <w:tabs>
          <w:tab w:val="left" w:pos="0"/>
        </w:tabs>
        <w:suppressAutoHyphens/>
        <w:rPr>
          <w:spacing w:val="-2"/>
        </w:rPr>
      </w:pPr>
    </w:p>
    <w:p w14:paraId="417880A5" w14:textId="77777777" w:rsidR="00400085" w:rsidRPr="00437279" w:rsidRDefault="00400085" w:rsidP="00400085">
      <w:pPr>
        <w:tabs>
          <w:tab w:val="left" w:pos="0"/>
        </w:tabs>
        <w:suppressAutoHyphens/>
        <w:rPr>
          <w:spacing w:val="-2"/>
        </w:rPr>
      </w:pPr>
      <w:r>
        <w:rPr>
          <w:spacing w:val="-2"/>
        </w:rPr>
        <w:t>In 2000</w:t>
      </w:r>
      <w:r w:rsidRPr="00437279">
        <w:rPr>
          <w:spacing w:val="-2"/>
        </w:rPr>
        <w:t xml:space="preserve"> Mr. Hayet also joined the consulting firm of J. Kennedy &amp; Associates, Inc.</w:t>
      </w:r>
      <w:r>
        <w:rPr>
          <w:spacing w:val="-2"/>
        </w:rPr>
        <w:t xml:space="preserve"> (“Kennedy and Associates”).  Since joining, Mr. Hayet worked on Kennedy and Associates’ projects that required</w:t>
      </w:r>
      <w:r w:rsidRPr="00437279">
        <w:rPr>
          <w:spacing w:val="-2"/>
        </w:rPr>
        <w:t xml:space="preserve"> utility resource planning</w:t>
      </w:r>
      <w:r>
        <w:rPr>
          <w:spacing w:val="-2"/>
        </w:rPr>
        <w:t>,</w:t>
      </w:r>
      <w:r w:rsidRPr="00437279">
        <w:rPr>
          <w:spacing w:val="-2"/>
        </w:rPr>
        <w:t xml:space="preserve"> analysis</w:t>
      </w:r>
      <w:r>
        <w:rPr>
          <w:spacing w:val="-2"/>
        </w:rPr>
        <w:t>,</w:t>
      </w:r>
      <w:r w:rsidRPr="00437279">
        <w:rPr>
          <w:spacing w:val="-2"/>
        </w:rPr>
        <w:t xml:space="preserve"> a</w:t>
      </w:r>
      <w:r>
        <w:rPr>
          <w:spacing w:val="-2"/>
        </w:rPr>
        <w:t xml:space="preserve">nd software modeling expertise.  Mr. Hayet became a Vice-President and Principal of Kennedy and Associates in 2015.   </w:t>
      </w:r>
    </w:p>
    <w:p w14:paraId="46EC02B2" w14:textId="77777777" w:rsidR="00400085" w:rsidRPr="00437279" w:rsidRDefault="00400085" w:rsidP="00400085">
      <w:pPr>
        <w:tabs>
          <w:tab w:val="left" w:pos="0"/>
        </w:tabs>
        <w:suppressAutoHyphens/>
        <w:rPr>
          <w:spacing w:val="-2"/>
        </w:rPr>
      </w:pPr>
    </w:p>
    <w:p w14:paraId="67304ED0" w14:textId="77777777" w:rsidR="00400085" w:rsidRPr="00437279" w:rsidRDefault="00400085" w:rsidP="00400085">
      <w:pPr>
        <w:tabs>
          <w:tab w:val="left" w:pos="0"/>
        </w:tabs>
        <w:suppressAutoHyphens/>
        <w:rPr>
          <w:spacing w:val="-2"/>
        </w:rPr>
      </w:pPr>
      <w:r w:rsidRPr="00437279">
        <w:rPr>
          <w:spacing w:val="-2"/>
        </w:rPr>
        <w:t xml:space="preserve">Mr. Hayet has conducted numerous consulting studies in the areas of </w:t>
      </w:r>
      <w:r>
        <w:rPr>
          <w:spacing w:val="-2"/>
        </w:rPr>
        <w:t xml:space="preserve">RTO Cost/Benefit Analysis, </w:t>
      </w:r>
      <w:r w:rsidRPr="00437279">
        <w:rPr>
          <w:spacing w:val="-2"/>
        </w:rPr>
        <w:t xml:space="preserve">Renewable Resource Evaluation, Renewable Portfolio Standards Evaluation, Electric Market Price Forecasting, Generating Unit Cost/Benefit Analysis, Integrated Resource Planning, Demand-Side Management, Load Forecasting, Rate Case Analysis and Regulatory Support. </w:t>
      </w:r>
    </w:p>
    <w:p w14:paraId="434C6DD6" w14:textId="77777777" w:rsidR="00400085" w:rsidRDefault="00400085" w:rsidP="00400085">
      <w:pPr>
        <w:tabs>
          <w:tab w:val="left" w:pos="0"/>
          <w:tab w:val="left" w:pos="720"/>
        </w:tabs>
        <w:suppressAutoHyphens/>
        <w:ind w:left="1440" w:hanging="1440"/>
        <w:rPr>
          <w:b/>
          <w:bCs/>
          <w:spacing w:val="-2"/>
        </w:rPr>
      </w:pPr>
    </w:p>
    <w:p w14:paraId="661E7046" w14:textId="77777777" w:rsidR="00400085" w:rsidRPr="00437279" w:rsidRDefault="00400085" w:rsidP="00400085">
      <w:pPr>
        <w:tabs>
          <w:tab w:val="left" w:pos="0"/>
          <w:tab w:val="left" w:pos="720"/>
        </w:tabs>
        <w:suppressAutoHyphens/>
        <w:ind w:left="1440" w:hanging="1440"/>
        <w:rPr>
          <w:b/>
          <w:bCs/>
          <w:spacing w:val="-2"/>
        </w:rPr>
      </w:pPr>
      <w:r>
        <w:rPr>
          <w:b/>
          <w:bCs/>
          <w:spacing w:val="-2"/>
        </w:rPr>
        <w:t xml:space="preserve">2000 </w:t>
      </w:r>
      <w:r w:rsidRPr="00437279">
        <w:rPr>
          <w:b/>
          <w:bCs/>
          <w:spacing w:val="-2"/>
        </w:rPr>
        <w:t>to</w:t>
      </w:r>
      <w:r w:rsidRPr="00437279">
        <w:rPr>
          <w:b/>
          <w:bCs/>
          <w:spacing w:val="-2"/>
        </w:rPr>
        <w:tab/>
      </w:r>
      <w:r>
        <w:rPr>
          <w:b/>
          <w:bCs/>
          <w:spacing w:val="-2"/>
        </w:rPr>
        <w:t xml:space="preserve">J. Kennedy and Associates, Inc.   </w:t>
      </w:r>
    </w:p>
    <w:p w14:paraId="38C61CD9" w14:textId="77777777" w:rsidR="00400085" w:rsidRPr="00437279" w:rsidRDefault="00400085" w:rsidP="00400085">
      <w:pPr>
        <w:tabs>
          <w:tab w:val="left" w:pos="0"/>
          <w:tab w:val="left" w:pos="720"/>
        </w:tabs>
        <w:suppressAutoHyphens/>
        <w:ind w:left="1440" w:hanging="1440"/>
        <w:rPr>
          <w:b/>
          <w:bCs/>
          <w:spacing w:val="-2"/>
        </w:rPr>
      </w:pPr>
      <w:r>
        <w:rPr>
          <w:b/>
          <w:bCs/>
          <w:spacing w:val="-2"/>
        </w:rPr>
        <w:lastRenderedPageBreak/>
        <w:t>Present</w:t>
      </w:r>
      <w:r w:rsidRPr="00437279">
        <w:rPr>
          <w:b/>
          <w:bCs/>
          <w:spacing w:val="-2"/>
        </w:rPr>
        <w:t>:</w:t>
      </w:r>
      <w:r w:rsidRPr="00437279">
        <w:rPr>
          <w:b/>
          <w:bCs/>
          <w:spacing w:val="-2"/>
        </w:rPr>
        <w:tab/>
      </w:r>
      <w:r>
        <w:rPr>
          <w:b/>
          <w:bCs/>
          <w:spacing w:val="-2"/>
        </w:rPr>
        <w:t>Vice President and Principal</w:t>
      </w:r>
    </w:p>
    <w:p w14:paraId="234D8E7F" w14:textId="77777777" w:rsidR="00400085" w:rsidRPr="00437279" w:rsidRDefault="00400085" w:rsidP="00400085">
      <w:pPr>
        <w:tabs>
          <w:tab w:val="left" w:pos="0"/>
          <w:tab w:val="left" w:pos="720"/>
        </w:tabs>
        <w:suppressAutoHyphens/>
        <w:ind w:left="1440" w:hanging="1440"/>
        <w:rPr>
          <w:spacing w:val="-2"/>
        </w:rPr>
      </w:pPr>
    </w:p>
    <w:p w14:paraId="7160538F" w14:textId="77777777" w:rsidR="00400085" w:rsidRDefault="00400085" w:rsidP="00400085">
      <w:pPr>
        <w:widowControl/>
        <w:numPr>
          <w:ilvl w:val="0"/>
          <w:numId w:val="18"/>
        </w:numPr>
        <w:tabs>
          <w:tab w:val="left" w:pos="0"/>
          <w:tab w:val="left" w:pos="720"/>
        </w:tabs>
        <w:suppressAutoHyphens/>
        <w:spacing w:after="100"/>
        <w:ind w:left="720"/>
        <w:jc w:val="left"/>
        <w:rPr>
          <w:spacing w:val="-2"/>
        </w:rPr>
      </w:pPr>
      <w:r>
        <w:rPr>
          <w:spacing w:val="-2"/>
        </w:rPr>
        <w:t>Initially began as Director of Consulting, became Vice President and Principal in 2015</w:t>
      </w:r>
    </w:p>
    <w:p w14:paraId="17728259"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Pr>
          <w:spacing w:val="-2"/>
        </w:rPr>
        <w:t>Managed electric related consulting projects.</w:t>
      </w:r>
      <w:r w:rsidRPr="00437279">
        <w:rPr>
          <w:spacing w:val="-2"/>
        </w:rPr>
        <w:t xml:space="preserve"> </w:t>
      </w:r>
    </w:p>
    <w:p w14:paraId="1EFF4B4E" w14:textId="77777777" w:rsidR="00400085" w:rsidRDefault="00400085" w:rsidP="00400085">
      <w:pPr>
        <w:widowControl/>
        <w:numPr>
          <w:ilvl w:val="0"/>
          <w:numId w:val="18"/>
        </w:numPr>
        <w:tabs>
          <w:tab w:val="left" w:pos="0"/>
          <w:tab w:val="left" w:pos="720"/>
        </w:tabs>
        <w:suppressAutoHyphens/>
        <w:spacing w:after="100"/>
        <w:ind w:left="720"/>
        <w:jc w:val="left"/>
        <w:rPr>
          <w:spacing w:val="-2"/>
        </w:rPr>
      </w:pPr>
      <w:r>
        <w:rPr>
          <w:spacing w:val="-2"/>
        </w:rPr>
        <w:t>Responsible for business development.</w:t>
      </w:r>
    </w:p>
    <w:p w14:paraId="42F8A0F0" w14:textId="77777777" w:rsidR="00400085" w:rsidRPr="00597075" w:rsidRDefault="00400085" w:rsidP="00400085">
      <w:pPr>
        <w:widowControl/>
        <w:numPr>
          <w:ilvl w:val="0"/>
          <w:numId w:val="18"/>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5742FA77" w14:textId="77777777" w:rsidR="00400085" w:rsidRDefault="00400085" w:rsidP="00400085">
      <w:pPr>
        <w:tabs>
          <w:tab w:val="left" w:pos="0"/>
          <w:tab w:val="left" w:pos="720"/>
        </w:tabs>
        <w:suppressAutoHyphens/>
        <w:ind w:left="1440" w:hanging="1440"/>
        <w:rPr>
          <w:b/>
          <w:bCs/>
          <w:spacing w:val="-2"/>
        </w:rPr>
      </w:pPr>
    </w:p>
    <w:p w14:paraId="3F8F9AEC" w14:textId="77777777" w:rsidR="00400085" w:rsidRPr="00437279" w:rsidRDefault="00400085" w:rsidP="00400085">
      <w:pPr>
        <w:tabs>
          <w:tab w:val="left" w:pos="0"/>
          <w:tab w:val="left" w:pos="720"/>
        </w:tabs>
        <w:suppressAutoHyphens/>
        <w:ind w:left="1440" w:hanging="1440"/>
        <w:rPr>
          <w:b/>
          <w:bCs/>
          <w:spacing w:val="-2"/>
        </w:rPr>
      </w:pPr>
      <w:r>
        <w:rPr>
          <w:b/>
          <w:bCs/>
          <w:spacing w:val="-2"/>
        </w:rPr>
        <w:t>1996</w:t>
      </w:r>
      <w:r w:rsidRPr="00437279">
        <w:rPr>
          <w:b/>
          <w:bCs/>
          <w:spacing w:val="-2"/>
        </w:rPr>
        <w:t xml:space="preserve"> to</w:t>
      </w:r>
      <w:r w:rsidRPr="00437279">
        <w:rPr>
          <w:b/>
          <w:bCs/>
          <w:spacing w:val="-2"/>
        </w:rPr>
        <w:tab/>
      </w:r>
      <w:r>
        <w:rPr>
          <w:b/>
          <w:bCs/>
          <w:spacing w:val="-2"/>
        </w:rPr>
        <w:t xml:space="preserve">Hayet Power Systems Consulting </w:t>
      </w:r>
    </w:p>
    <w:p w14:paraId="03371499" w14:textId="77777777" w:rsidR="00400085" w:rsidRPr="00437279" w:rsidRDefault="00400085" w:rsidP="00400085">
      <w:pPr>
        <w:tabs>
          <w:tab w:val="left" w:pos="0"/>
          <w:tab w:val="left" w:pos="720"/>
        </w:tabs>
        <w:suppressAutoHyphens/>
        <w:ind w:left="1440" w:hanging="1440"/>
        <w:rPr>
          <w:b/>
          <w:bCs/>
          <w:spacing w:val="-2"/>
        </w:rPr>
      </w:pPr>
      <w:r>
        <w:rPr>
          <w:b/>
          <w:bCs/>
          <w:spacing w:val="-2"/>
        </w:rPr>
        <w:t>Present</w:t>
      </w:r>
      <w:r w:rsidRPr="00437279">
        <w:rPr>
          <w:b/>
          <w:bCs/>
          <w:spacing w:val="-2"/>
        </w:rPr>
        <w:t>:</w:t>
      </w:r>
      <w:r w:rsidRPr="00437279">
        <w:rPr>
          <w:b/>
          <w:bCs/>
          <w:spacing w:val="-2"/>
        </w:rPr>
        <w:tab/>
      </w:r>
      <w:r>
        <w:rPr>
          <w:b/>
          <w:bCs/>
          <w:spacing w:val="-2"/>
        </w:rPr>
        <w:t>President and Principal</w:t>
      </w:r>
    </w:p>
    <w:p w14:paraId="731DE248" w14:textId="77777777" w:rsidR="00400085" w:rsidRPr="00437279" w:rsidRDefault="00400085" w:rsidP="00400085">
      <w:pPr>
        <w:tabs>
          <w:tab w:val="left" w:pos="0"/>
          <w:tab w:val="left" w:pos="720"/>
        </w:tabs>
        <w:suppressAutoHyphens/>
        <w:ind w:left="1440" w:hanging="1440"/>
        <w:rPr>
          <w:spacing w:val="-2"/>
        </w:rPr>
      </w:pPr>
    </w:p>
    <w:p w14:paraId="5C7EE6E8" w14:textId="77777777" w:rsidR="00400085" w:rsidRDefault="00400085" w:rsidP="00400085">
      <w:pPr>
        <w:widowControl/>
        <w:numPr>
          <w:ilvl w:val="0"/>
          <w:numId w:val="18"/>
        </w:numPr>
        <w:tabs>
          <w:tab w:val="left" w:pos="0"/>
          <w:tab w:val="left" w:pos="720"/>
        </w:tabs>
        <w:suppressAutoHyphens/>
        <w:spacing w:after="100"/>
        <w:ind w:left="720"/>
        <w:jc w:val="left"/>
        <w:rPr>
          <w:spacing w:val="-2"/>
        </w:rPr>
      </w:pPr>
      <w:r>
        <w:rPr>
          <w:spacing w:val="-2"/>
        </w:rPr>
        <w:t>Managed electric utility related consulting projects</w:t>
      </w:r>
    </w:p>
    <w:p w14:paraId="0B6D41B4" w14:textId="77777777" w:rsidR="00400085" w:rsidRPr="00597075" w:rsidRDefault="00400085" w:rsidP="00400085">
      <w:pPr>
        <w:widowControl/>
        <w:numPr>
          <w:ilvl w:val="0"/>
          <w:numId w:val="18"/>
        </w:numPr>
        <w:tabs>
          <w:tab w:val="left" w:pos="0"/>
          <w:tab w:val="left" w:pos="720"/>
        </w:tabs>
        <w:suppressAutoHyphens/>
        <w:spacing w:after="100"/>
        <w:ind w:left="720"/>
        <w:jc w:val="left"/>
        <w:rPr>
          <w:spacing w:val="-2"/>
        </w:rPr>
      </w:pPr>
      <w:r>
        <w:rPr>
          <w:spacing w:val="-2"/>
        </w:rPr>
        <w:t xml:space="preserve">Clients include Staffs of </w:t>
      </w:r>
      <w:r w:rsidRPr="00597075">
        <w:rPr>
          <w:spacing w:val="-2"/>
        </w:rPr>
        <w:t>Public Utility Commissions</w:t>
      </w:r>
      <w:r>
        <w:rPr>
          <w:spacing w:val="-2"/>
        </w:rPr>
        <w:t xml:space="preserve"> and other State Agencies, </w:t>
      </w:r>
      <w:r w:rsidRPr="00597075">
        <w:rPr>
          <w:spacing w:val="-2"/>
        </w:rPr>
        <w:t xml:space="preserve">State Energy Offices, Global Power Developers, and Industrial </w:t>
      </w:r>
      <w:r>
        <w:rPr>
          <w:spacing w:val="-2"/>
        </w:rPr>
        <w:t>Groups, and large energy users.</w:t>
      </w:r>
      <w:r w:rsidRPr="00597075">
        <w:rPr>
          <w:spacing w:val="-2"/>
        </w:rPr>
        <w:t xml:space="preserve">  </w:t>
      </w:r>
    </w:p>
    <w:p w14:paraId="797E4DAF" w14:textId="77777777" w:rsidR="00400085" w:rsidRDefault="00400085" w:rsidP="00400085">
      <w:pPr>
        <w:tabs>
          <w:tab w:val="left" w:pos="0"/>
          <w:tab w:val="left" w:pos="720"/>
        </w:tabs>
        <w:suppressAutoHyphens/>
        <w:ind w:left="1440" w:hanging="1440"/>
        <w:rPr>
          <w:b/>
          <w:bCs/>
          <w:spacing w:val="-2"/>
        </w:rPr>
      </w:pPr>
    </w:p>
    <w:p w14:paraId="7D7734B9" w14:textId="77777777" w:rsidR="00400085" w:rsidRPr="00437279" w:rsidRDefault="00400085" w:rsidP="00400085">
      <w:pPr>
        <w:tabs>
          <w:tab w:val="left" w:pos="0"/>
          <w:tab w:val="left" w:pos="720"/>
        </w:tabs>
        <w:suppressAutoHyphens/>
        <w:ind w:left="1440" w:hanging="1440"/>
        <w:rPr>
          <w:b/>
          <w:bCs/>
          <w:spacing w:val="-2"/>
        </w:rPr>
      </w:pPr>
      <w:r w:rsidRPr="00437279">
        <w:rPr>
          <w:b/>
          <w:bCs/>
          <w:spacing w:val="-2"/>
        </w:rPr>
        <w:t>1991 to</w:t>
      </w:r>
      <w:r w:rsidRPr="00437279">
        <w:rPr>
          <w:b/>
          <w:bCs/>
          <w:spacing w:val="-2"/>
        </w:rPr>
        <w:tab/>
        <w:t>EDS Utilities Division, Atlanta, GA</w:t>
      </w:r>
      <w:r>
        <w:rPr>
          <w:b/>
          <w:bCs/>
          <w:spacing w:val="-2"/>
        </w:rPr>
        <w:t xml:space="preserve"> (Now Ventyx)</w:t>
      </w:r>
    </w:p>
    <w:p w14:paraId="612E8AAD" w14:textId="77777777" w:rsidR="00400085" w:rsidRPr="00437279" w:rsidRDefault="00400085" w:rsidP="00400085">
      <w:pPr>
        <w:tabs>
          <w:tab w:val="left" w:pos="0"/>
          <w:tab w:val="left" w:pos="720"/>
        </w:tabs>
        <w:suppressAutoHyphens/>
        <w:ind w:left="1440" w:hanging="1440"/>
        <w:rPr>
          <w:b/>
          <w:bCs/>
          <w:spacing w:val="-2"/>
        </w:rPr>
      </w:pPr>
      <w:r w:rsidRPr="00437279">
        <w:rPr>
          <w:b/>
          <w:bCs/>
          <w:spacing w:val="-2"/>
        </w:rPr>
        <w:t>1996:</w:t>
      </w:r>
      <w:r w:rsidRPr="00437279">
        <w:rPr>
          <w:b/>
          <w:bCs/>
          <w:spacing w:val="-2"/>
        </w:rPr>
        <w:tab/>
      </w:r>
      <w:r w:rsidRPr="00437279">
        <w:rPr>
          <w:b/>
          <w:bCs/>
          <w:spacing w:val="-2"/>
        </w:rPr>
        <w:tab/>
        <w:t>Lead Consultant, PROSCREEN (Now STRATEGIST) Department</w:t>
      </w:r>
    </w:p>
    <w:p w14:paraId="518AF739" w14:textId="77777777" w:rsidR="00400085" w:rsidRPr="00437279" w:rsidRDefault="00400085" w:rsidP="00400085">
      <w:pPr>
        <w:tabs>
          <w:tab w:val="left" w:pos="0"/>
          <w:tab w:val="left" w:pos="720"/>
        </w:tabs>
        <w:suppressAutoHyphens/>
        <w:ind w:left="1440" w:hanging="1440"/>
        <w:rPr>
          <w:spacing w:val="-2"/>
        </w:rPr>
      </w:pPr>
    </w:p>
    <w:p w14:paraId="5B3B2085"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Managed a client services software team that supported approximately 75 users of the STRATEGIST electric utility strategic planning software.</w:t>
      </w:r>
    </w:p>
    <w:p w14:paraId="065B6DDB"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Participated in the development of STRATEGIST’s competitive market modeling features and the Network Economy Interchange Module</w:t>
      </w:r>
    </w:p>
    <w:p w14:paraId="7C920E5F"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Provided client management direction and support, and developed new consulting business opportunities.</w:t>
      </w:r>
    </w:p>
    <w:p w14:paraId="0A3E4BF9"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Performed system planning consulting studies including integrated resource planning, DSM analysis, marketing profitability studies, optimal reserve margin analyses, etc.</w:t>
      </w:r>
    </w:p>
    <w:p w14:paraId="12F553DF"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 xml:space="preserve">Based on experience with PROMOD IV, converted numerous PROMOD IV databases to STRATEGIST, and performed benchmark analyses of the two models. </w:t>
      </w:r>
    </w:p>
    <w:p w14:paraId="689F3F44" w14:textId="77777777" w:rsidR="00400085" w:rsidRPr="00437279" w:rsidRDefault="00400085" w:rsidP="00400085">
      <w:pPr>
        <w:tabs>
          <w:tab w:val="left" w:pos="0"/>
        </w:tabs>
        <w:suppressAutoHyphens/>
        <w:rPr>
          <w:b/>
          <w:bCs/>
          <w:spacing w:val="-2"/>
        </w:rPr>
      </w:pPr>
    </w:p>
    <w:p w14:paraId="404B08D1" w14:textId="77777777" w:rsidR="00400085" w:rsidRPr="00437279" w:rsidRDefault="00400085" w:rsidP="00400085">
      <w:pPr>
        <w:tabs>
          <w:tab w:val="left" w:pos="0"/>
        </w:tabs>
        <w:suppressAutoHyphens/>
        <w:rPr>
          <w:b/>
          <w:bCs/>
          <w:spacing w:val="-2"/>
        </w:rPr>
      </w:pPr>
      <w:r w:rsidRPr="00437279">
        <w:rPr>
          <w:b/>
          <w:bCs/>
          <w:spacing w:val="-2"/>
        </w:rPr>
        <w:t xml:space="preserve">1988 to </w:t>
      </w:r>
      <w:r w:rsidRPr="00437279">
        <w:rPr>
          <w:b/>
          <w:bCs/>
          <w:spacing w:val="-2"/>
        </w:rPr>
        <w:tab/>
        <w:t>Energy Management Associates (EMA), Atlanta, GA</w:t>
      </w:r>
    </w:p>
    <w:p w14:paraId="199E1019" w14:textId="77777777" w:rsidR="00400085" w:rsidRPr="00437279" w:rsidRDefault="00400085" w:rsidP="00400085">
      <w:pPr>
        <w:tabs>
          <w:tab w:val="left" w:pos="0"/>
          <w:tab w:val="left" w:pos="720"/>
          <w:tab w:val="left" w:pos="1440"/>
          <w:tab w:val="left" w:pos="2160"/>
          <w:tab w:val="left" w:pos="2880"/>
          <w:tab w:val="left" w:pos="3600"/>
          <w:tab w:val="left" w:pos="4320"/>
          <w:tab w:val="left" w:pos="5040"/>
          <w:tab w:val="left" w:pos="5760"/>
          <w:tab w:val="left" w:pos="6420"/>
        </w:tabs>
        <w:suppressAutoHyphens/>
        <w:rPr>
          <w:b/>
          <w:bCs/>
          <w:spacing w:val="-2"/>
        </w:rPr>
      </w:pPr>
      <w:r w:rsidRPr="00437279">
        <w:rPr>
          <w:b/>
          <w:bCs/>
          <w:spacing w:val="-2"/>
        </w:rPr>
        <w:t>1991:</w:t>
      </w:r>
      <w:r w:rsidRPr="00437279">
        <w:rPr>
          <w:b/>
          <w:bCs/>
          <w:spacing w:val="-2"/>
        </w:rPr>
        <w:tab/>
      </w:r>
      <w:r w:rsidRPr="00437279">
        <w:rPr>
          <w:b/>
          <w:bCs/>
          <w:spacing w:val="-2"/>
        </w:rPr>
        <w:tab/>
        <w:t xml:space="preserve">Manager, Production Analysis Department </w:t>
      </w:r>
      <w:r>
        <w:rPr>
          <w:b/>
          <w:bCs/>
          <w:spacing w:val="-2"/>
        </w:rPr>
        <w:tab/>
      </w:r>
    </w:p>
    <w:p w14:paraId="5FDC3E36" w14:textId="77777777" w:rsidR="00400085" w:rsidRPr="00437279" w:rsidRDefault="00400085" w:rsidP="00400085">
      <w:pPr>
        <w:tabs>
          <w:tab w:val="left" w:pos="0"/>
        </w:tabs>
        <w:suppressAutoHyphens/>
        <w:rPr>
          <w:spacing w:val="-2"/>
        </w:rPr>
      </w:pPr>
    </w:p>
    <w:p w14:paraId="1F4B8120"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 xml:space="preserve">Served as Project Manager of a database modeling effort to create an integrated utility operations and generation planning database.  Database items were automatically fed into PROMOD IV. </w:t>
      </w:r>
    </w:p>
    <w:p w14:paraId="2EA5647E"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t>Supervised and directed a staff of five software developers working with a 4GL database programming language.</w:t>
      </w:r>
    </w:p>
    <w:p w14:paraId="1A0D14A3" w14:textId="77777777" w:rsidR="00400085" w:rsidRPr="00437279" w:rsidRDefault="00400085" w:rsidP="00400085">
      <w:pPr>
        <w:widowControl/>
        <w:numPr>
          <w:ilvl w:val="0"/>
          <w:numId w:val="18"/>
        </w:numPr>
        <w:tabs>
          <w:tab w:val="left" w:pos="0"/>
          <w:tab w:val="left" w:pos="720"/>
        </w:tabs>
        <w:suppressAutoHyphens/>
        <w:spacing w:after="100"/>
        <w:ind w:left="720"/>
        <w:jc w:val="left"/>
        <w:rPr>
          <w:spacing w:val="-2"/>
        </w:rPr>
      </w:pPr>
      <w:r w:rsidRPr="00437279">
        <w:rPr>
          <w:spacing w:val="-2"/>
        </w:rPr>
        <w:lastRenderedPageBreak/>
        <w:t xml:space="preserve">Interfaced with clients to determine system software specifications, and provide ongoing client training and support </w:t>
      </w:r>
    </w:p>
    <w:p w14:paraId="02DD630C" w14:textId="77777777" w:rsidR="00400085" w:rsidRPr="00437279" w:rsidRDefault="00400085" w:rsidP="00400085">
      <w:pPr>
        <w:tabs>
          <w:tab w:val="left" w:pos="0"/>
        </w:tabs>
        <w:suppressAutoHyphens/>
        <w:rPr>
          <w:b/>
          <w:bCs/>
          <w:spacing w:val="-2"/>
        </w:rPr>
      </w:pPr>
    </w:p>
    <w:p w14:paraId="022D6ED2" w14:textId="77777777" w:rsidR="00400085" w:rsidRPr="00437279" w:rsidRDefault="00400085" w:rsidP="00400085">
      <w:pPr>
        <w:tabs>
          <w:tab w:val="left" w:pos="0"/>
          <w:tab w:val="left" w:pos="720"/>
        </w:tabs>
        <w:suppressAutoHyphens/>
        <w:ind w:left="1440" w:hanging="1440"/>
        <w:rPr>
          <w:b/>
          <w:bCs/>
          <w:spacing w:val="-2"/>
        </w:rPr>
      </w:pPr>
      <w:r w:rsidRPr="00437279">
        <w:rPr>
          <w:b/>
          <w:bCs/>
          <w:spacing w:val="-2"/>
        </w:rPr>
        <w:t>1980 to</w:t>
      </w:r>
      <w:r w:rsidRPr="00437279">
        <w:rPr>
          <w:b/>
          <w:bCs/>
          <w:spacing w:val="-2"/>
        </w:rPr>
        <w:tab/>
        <w:t>Energy Management Associates (EMA), Atlanta, GA</w:t>
      </w:r>
    </w:p>
    <w:p w14:paraId="24012F42" w14:textId="77777777" w:rsidR="00400085" w:rsidRPr="00437279" w:rsidRDefault="00400085" w:rsidP="00400085">
      <w:pPr>
        <w:tabs>
          <w:tab w:val="left" w:pos="0"/>
          <w:tab w:val="left" w:pos="720"/>
        </w:tabs>
        <w:suppressAutoHyphens/>
        <w:ind w:left="1440" w:hanging="1440"/>
        <w:rPr>
          <w:b/>
          <w:bCs/>
          <w:spacing w:val="-2"/>
        </w:rPr>
      </w:pPr>
      <w:r w:rsidRPr="00437279">
        <w:rPr>
          <w:b/>
          <w:bCs/>
          <w:spacing w:val="-2"/>
        </w:rPr>
        <w:t>1988:</w:t>
      </w:r>
      <w:r w:rsidRPr="00437279">
        <w:rPr>
          <w:b/>
          <w:bCs/>
          <w:spacing w:val="-2"/>
        </w:rPr>
        <w:tab/>
      </w:r>
      <w:r w:rsidRPr="00437279">
        <w:rPr>
          <w:b/>
          <w:bCs/>
          <w:spacing w:val="-2"/>
        </w:rPr>
        <w:tab/>
        <w:t>Senior Consultant, PROMOD IV Department</w:t>
      </w:r>
    </w:p>
    <w:p w14:paraId="5C7EAD98" w14:textId="77777777" w:rsidR="00400085" w:rsidRPr="00437279" w:rsidRDefault="00400085" w:rsidP="00400085">
      <w:pPr>
        <w:tabs>
          <w:tab w:val="left" w:pos="0"/>
          <w:tab w:val="left" w:pos="720"/>
        </w:tabs>
        <w:suppressAutoHyphens/>
        <w:ind w:left="1440" w:hanging="1440"/>
        <w:rPr>
          <w:spacing w:val="-2"/>
        </w:rPr>
      </w:pPr>
    </w:p>
    <w:p w14:paraId="02D68261" w14:textId="77777777" w:rsidR="00400085" w:rsidRPr="00437279" w:rsidRDefault="00400085" w:rsidP="00400085">
      <w:pPr>
        <w:widowControl/>
        <w:numPr>
          <w:ilvl w:val="0"/>
          <w:numId w:val="18"/>
        </w:numPr>
        <w:tabs>
          <w:tab w:val="left" w:pos="720"/>
        </w:tabs>
        <w:suppressAutoHyphens/>
        <w:spacing w:after="100"/>
        <w:ind w:left="720"/>
        <w:jc w:val="left"/>
        <w:rPr>
          <w:spacing w:val="-2"/>
        </w:rPr>
      </w:pPr>
      <w:r w:rsidRPr="00437279">
        <w:rPr>
          <w:spacing w:val="-2"/>
        </w:rPr>
        <w:t>Provided client service support to EMA’s base of over 70 electric utility customers using the PROMOD IV probabilistic production cost simulation software.</w:t>
      </w:r>
    </w:p>
    <w:p w14:paraId="7A5474C3" w14:textId="77777777" w:rsidR="00400085" w:rsidRPr="00437279" w:rsidRDefault="00400085" w:rsidP="00400085">
      <w:pPr>
        <w:widowControl/>
        <w:numPr>
          <w:ilvl w:val="0"/>
          <w:numId w:val="18"/>
        </w:numPr>
        <w:tabs>
          <w:tab w:val="left" w:pos="720"/>
        </w:tabs>
        <w:suppressAutoHyphens/>
        <w:spacing w:after="100"/>
        <w:ind w:left="720"/>
        <w:jc w:val="left"/>
        <w:rPr>
          <w:spacing w:val="-2"/>
        </w:rPr>
      </w:pPr>
      <w:r w:rsidRPr="00437279">
        <w:rPr>
          <w:spacing w:val="-2"/>
        </w:rPr>
        <w:t>Provided consulting services in a number of areas including generation resource planning, regulatory support, and benchmarking.</w:t>
      </w:r>
    </w:p>
    <w:p w14:paraId="15105F85" w14:textId="77777777" w:rsidR="00400085" w:rsidRPr="00AC5561" w:rsidRDefault="00400085" w:rsidP="00400085">
      <w:pPr>
        <w:tabs>
          <w:tab w:val="left" w:pos="0"/>
        </w:tabs>
        <w:suppressAutoHyphens/>
        <w:rPr>
          <w:b/>
          <w:spacing w:val="-2"/>
          <w:u w:val="single"/>
        </w:rPr>
      </w:pPr>
    </w:p>
    <w:p w14:paraId="302D337B" w14:textId="77777777" w:rsidR="00400085" w:rsidRPr="002701A9" w:rsidRDefault="00400085" w:rsidP="00400085"/>
    <w:p w14:paraId="511CB812" w14:textId="77777777" w:rsidR="00400085" w:rsidRPr="008115D3" w:rsidRDefault="00400085" w:rsidP="00400085">
      <w:pPr>
        <w:rPr>
          <w:b/>
          <w:i/>
          <w:u w:val="single"/>
        </w:rPr>
      </w:pPr>
      <w:r>
        <w:br w:type="page"/>
      </w:r>
      <w:r w:rsidRPr="008115D3">
        <w:rPr>
          <w:b/>
          <w:u w:val="single"/>
        </w:rPr>
        <w:lastRenderedPageBreak/>
        <w:t>TESTIMONY AND EXPERT WITNESS APPEARANCES</w:t>
      </w:r>
    </w:p>
    <w:p w14:paraId="55CE61D4" w14:textId="77777777" w:rsidR="00400085" w:rsidRPr="004A0C9C" w:rsidRDefault="00400085" w:rsidP="00400085"/>
    <w:tbl>
      <w:tblPr>
        <w:tblW w:w="9836" w:type="dxa"/>
        <w:tblLayout w:type="fixed"/>
        <w:tblLook w:val="04A0" w:firstRow="1" w:lastRow="0" w:firstColumn="1" w:lastColumn="0" w:noHBand="0" w:noVBand="1"/>
      </w:tblPr>
      <w:tblGrid>
        <w:gridCol w:w="738"/>
        <w:gridCol w:w="1254"/>
        <w:gridCol w:w="1086"/>
        <w:gridCol w:w="90"/>
        <w:gridCol w:w="1696"/>
        <w:gridCol w:w="1526"/>
        <w:gridCol w:w="3446"/>
      </w:tblGrid>
      <w:tr w:rsidR="00400085" w:rsidRPr="00327CFE" w14:paraId="564360FA" w14:textId="77777777" w:rsidTr="00EB5B3C">
        <w:trPr>
          <w:cantSplit/>
          <w:trHeight w:val="138"/>
          <w:tblHeader/>
        </w:trPr>
        <w:tc>
          <w:tcPr>
            <w:tcW w:w="738" w:type="dxa"/>
            <w:tcBorders>
              <w:bottom w:val="single" w:sz="4" w:space="0" w:color="auto"/>
            </w:tcBorders>
            <w:shd w:val="clear" w:color="auto" w:fill="auto"/>
          </w:tcPr>
          <w:p w14:paraId="698BF34E" w14:textId="77777777" w:rsidR="00400085" w:rsidRPr="00327CFE" w:rsidRDefault="00400085" w:rsidP="00C81DD3">
            <w:pPr>
              <w:rPr>
                <w:b/>
              </w:rPr>
            </w:pPr>
            <w:r w:rsidRPr="00327CFE">
              <w:rPr>
                <w:b/>
                <w:sz w:val="22"/>
                <w:szCs w:val="22"/>
              </w:rPr>
              <w:t>Date</w:t>
            </w:r>
          </w:p>
        </w:tc>
        <w:tc>
          <w:tcPr>
            <w:tcW w:w="1254" w:type="dxa"/>
            <w:tcBorders>
              <w:bottom w:val="single" w:sz="4" w:space="0" w:color="auto"/>
            </w:tcBorders>
            <w:shd w:val="clear" w:color="auto" w:fill="auto"/>
          </w:tcPr>
          <w:p w14:paraId="3901E9C1" w14:textId="77777777" w:rsidR="00400085" w:rsidRPr="00327CFE" w:rsidRDefault="00400085" w:rsidP="00C81DD3">
            <w:pPr>
              <w:rPr>
                <w:b/>
              </w:rPr>
            </w:pPr>
            <w:r w:rsidRPr="00327CFE">
              <w:rPr>
                <w:b/>
                <w:sz w:val="22"/>
                <w:szCs w:val="22"/>
              </w:rPr>
              <w:t>Case</w:t>
            </w:r>
          </w:p>
        </w:tc>
        <w:tc>
          <w:tcPr>
            <w:tcW w:w="1176" w:type="dxa"/>
            <w:gridSpan w:val="2"/>
            <w:tcBorders>
              <w:bottom w:val="single" w:sz="4" w:space="0" w:color="auto"/>
            </w:tcBorders>
            <w:shd w:val="clear" w:color="auto" w:fill="auto"/>
          </w:tcPr>
          <w:p w14:paraId="1971529A" w14:textId="77777777" w:rsidR="00400085" w:rsidRPr="00327CFE" w:rsidRDefault="00400085" w:rsidP="00C81DD3">
            <w:pPr>
              <w:rPr>
                <w:b/>
              </w:rPr>
            </w:pPr>
            <w:r w:rsidRPr="00327CFE">
              <w:rPr>
                <w:b/>
                <w:sz w:val="22"/>
                <w:szCs w:val="22"/>
              </w:rPr>
              <w:t>Jurisdict</w:t>
            </w:r>
          </w:p>
        </w:tc>
        <w:tc>
          <w:tcPr>
            <w:tcW w:w="1696" w:type="dxa"/>
            <w:tcBorders>
              <w:bottom w:val="single" w:sz="4" w:space="0" w:color="auto"/>
            </w:tcBorders>
            <w:shd w:val="clear" w:color="auto" w:fill="auto"/>
          </w:tcPr>
          <w:p w14:paraId="2B7AAE58" w14:textId="77777777" w:rsidR="00400085" w:rsidRPr="00327CFE" w:rsidRDefault="00400085" w:rsidP="00C81DD3">
            <w:pPr>
              <w:rPr>
                <w:b/>
              </w:rPr>
            </w:pPr>
            <w:r w:rsidRPr="00327CFE">
              <w:rPr>
                <w:b/>
                <w:sz w:val="22"/>
                <w:szCs w:val="22"/>
              </w:rPr>
              <w:t>Party</w:t>
            </w:r>
          </w:p>
        </w:tc>
        <w:tc>
          <w:tcPr>
            <w:tcW w:w="1526" w:type="dxa"/>
            <w:tcBorders>
              <w:bottom w:val="single" w:sz="4" w:space="0" w:color="auto"/>
            </w:tcBorders>
            <w:shd w:val="clear" w:color="auto" w:fill="auto"/>
          </w:tcPr>
          <w:p w14:paraId="1C7F3BFD" w14:textId="77777777" w:rsidR="00400085" w:rsidRPr="00327CFE" w:rsidRDefault="00400085" w:rsidP="00C81DD3">
            <w:pPr>
              <w:rPr>
                <w:b/>
              </w:rPr>
            </w:pPr>
            <w:r w:rsidRPr="00327CFE">
              <w:rPr>
                <w:b/>
                <w:sz w:val="22"/>
                <w:szCs w:val="22"/>
              </w:rPr>
              <w:t>Utility</w:t>
            </w:r>
          </w:p>
        </w:tc>
        <w:tc>
          <w:tcPr>
            <w:tcW w:w="3446" w:type="dxa"/>
            <w:tcBorders>
              <w:bottom w:val="single" w:sz="4" w:space="0" w:color="auto"/>
            </w:tcBorders>
            <w:shd w:val="clear" w:color="auto" w:fill="auto"/>
          </w:tcPr>
          <w:p w14:paraId="582D2077" w14:textId="77777777" w:rsidR="00400085" w:rsidRPr="00327CFE" w:rsidRDefault="00400085" w:rsidP="00C81DD3">
            <w:pPr>
              <w:rPr>
                <w:b/>
              </w:rPr>
            </w:pPr>
            <w:r w:rsidRPr="00327CFE">
              <w:rPr>
                <w:b/>
                <w:sz w:val="22"/>
                <w:szCs w:val="22"/>
              </w:rPr>
              <w:t>Subject</w:t>
            </w:r>
          </w:p>
        </w:tc>
      </w:tr>
      <w:tr w:rsidR="00400085" w14:paraId="31818860" w14:textId="77777777" w:rsidTr="00EB5B3C">
        <w:trPr>
          <w:trHeight w:val="138"/>
        </w:trPr>
        <w:tc>
          <w:tcPr>
            <w:tcW w:w="738" w:type="dxa"/>
            <w:tcBorders>
              <w:top w:val="single" w:sz="4" w:space="0" w:color="auto"/>
            </w:tcBorders>
            <w:shd w:val="clear" w:color="auto" w:fill="auto"/>
          </w:tcPr>
          <w:p w14:paraId="71EC384D" w14:textId="77777777" w:rsidR="00400085" w:rsidRPr="005F2B54" w:rsidRDefault="00400085" w:rsidP="00C81DD3">
            <w:pPr>
              <w:spacing w:before="60" w:after="100"/>
              <w:rPr>
                <w:sz w:val="20"/>
                <w:szCs w:val="20"/>
              </w:rPr>
            </w:pPr>
            <w:r w:rsidRPr="005F2B54">
              <w:rPr>
                <w:sz w:val="20"/>
                <w:szCs w:val="20"/>
              </w:rPr>
              <w:t>09/98</w:t>
            </w:r>
          </w:p>
        </w:tc>
        <w:tc>
          <w:tcPr>
            <w:tcW w:w="1254" w:type="dxa"/>
            <w:tcBorders>
              <w:top w:val="single" w:sz="4" w:space="0" w:color="auto"/>
            </w:tcBorders>
            <w:shd w:val="clear" w:color="auto" w:fill="auto"/>
          </w:tcPr>
          <w:p w14:paraId="0E38C7E1" w14:textId="77777777" w:rsidR="00400085" w:rsidRPr="005F2B54" w:rsidRDefault="00400085" w:rsidP="00C81DD3">
            <w:pPr>
              <w:spacing w:before="60" w:after="100"/>
              <w:rPr>
                <w:sz w:val="20"/>
                <w:szCs w:val="20"/>
              </w:rPr>
            </w:pPr>
            <w:r w:rsidRPr="005F2B54">
              <w:rPr>
                <w:sz w:val="20"/>
                <w:szCs w:val="20"/>
              </w:rPr>
              <w:t>97-035-01</w:t>
            </w:r>
          </w:p>
        </w:tc>
        <w:tc>
          <w:tcPr>
            <w:tcW w:w="1176" w:type="dxa"/>
            <w:gridSpan w:val="2"/>
            <w:tcBorders>
              <w:top w:val="single" w:sz="4" w:space="0" w:color="auto"/>
            </w:tcBorders>
            <w:shd w:val="clear" w:color="auto" w:fill="auto"/>
          </w:tcPr>
          <w:p w14:paraId="3358B76A" w14:textId="77777777" w:rsidR="00400085" w:rsidRPr="005F2B54" w:rsidRDefault="00400085" w:rsidP="00C81DD3">
            <w:pPr>
              <w:spacing w:before="60" w:after="100"/>
              <w:rPr>
                <w:sz w:val="20"/>
                <w:szCs w:val="20"/>
              </w:rPr>
            </w:pPr>
            <w:r w:rsidRPr="005F2B54">
              <w:rPr>
                <w:sz w:val="20"/>
                <w:szCs w:val="20"/>
              </w:rPr>
              <w:t>UT</w:t>
            </w:r>
          </w:p>
        </w:tc>
        <w:tc>
          <w:tcPr>
            <w:tcW w:w="1696" w:type="dxa"/>
            <w:tcBorders>
              <w:top w:val="single" w:sz="4" w:space="0" w:color="auto"/>
            </w:tcBorders>
            <w:shd w:val="clear" w:color="auto" w:fill="auto"/>
          </w:tcPr>
          <w:p w14:paraId="6D812B95"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tcBorders>
              <w:top w:val="single" w:sz="4" w:space="0" w:color="auto"/>
            </w:tcBorders>
            <w:shd w:val="clear" w:color="auto" w:fill="auto"/>
          </w:tcPr>
          <w:p w14:paraId="0F71D750" w14:textId="77777777" w:rsidR="00400085" w:rsidRPr="005F2B54" w:rsidRDefault="00400085" w:rsidP="00C81DD3">
            <w:pPr>
              <w:spacing w:before="60" w:after="100"/>
              <w:rPr>
                <w:sz w:val="20"/>
                <w:szCs w:val="20"/>
              </w:rPr>
            </w:pPr>
            <w:r w:rsidRPr="005F2B54">
              <w:rPr>
                <w:sz w:val="20"/>
                <w:szCs w:val="20"/>
              </w:rPr>
              <w:t>PacifiCorp</w:t>
            </w:r>
          </w:p>
        </w:tc>
        <w:tc>
          <w:tcPr>
            <w:tcW w:w="3446" w:type="dxa"/>
            <w:tcBorders>
              <w:top w:val="single" w:sz="4" w:space="0" w:color="auto"/>
            </w:tcBorders>
            <w:shd w:val="clear" w:color="auto" w:fill="auto"/>
          </w:tcPr>
          <w:p w14:paraId="1D5DC5FF" w14:textId="77777777" w:rsidR="00400085" w:rsidRPr="005F2B54" w:rsidRDefault="00400085" w:rsidP="00C81DD3">
            <w:pPr>
              <w:spacing w:before="60" w:after="100"/>
              <w:jc w:val="left"/>
              <w:rPr>
                <w:sz w:val="20"/>
                <w:szCs w:val="20"/>
              </w:rPr>
            </w:pPr>
            <w:r w:rsidRPr="005F2B54">
              <w:rPr>
                <w:sz w:val="20"/>
                <w:szCs w:val="20"/>
              </w:rPr>
              <w:t>Utah jurisdiction</w:t>
            </w:r>
            <w:r>
              <w:rPr>
                <w:sz w:val="20"/>
                <w:szCs w:val="20"/>
              </w:rPr>
              <w:t>al Net Power Costs, PacifiCorp Rate C</w:t>
            </w:r>
            <w:r w:rsidRPr="005F2B54">
              <w:rPr>
                <w:sz w:val="20"/>
                <w:szCs w:val="20"/>
              </w:rPr>
              <w:t xml:space="preserve">ase </w:t>
            </w:r>
            <w:r>
              <w:rPr>
                <w:sz w:val="20"/>
                <w:szCs w:val="20"/>
              </w:rPr>
              <w:t>P</w:t>
            </w:r>
            <w:r w:rsidRPr="005F2B54">
              <w:rPr>
                <w:sz w:val="20"/>
                <w:szCs w:val="20"/>
              </w:rPr>
              <w:t>roceeding</w:t>
            </w:r>
          </w:p>
        </w:tc>
      </w:tr>
      <w:tr w:rsidR="00400085" w14:paraId="7B301960" w14:textId="77777777" w:rsidTr="00EB5B3C">
        <w:trPr>
          <w:trHeight w:val="138"/>
        </w:trPr>
        <w:tc>
          <w:tcPr>
            <w:tcW w:w="738" w:type="dxa"/>
            <w:shd w:val="clear" w:color="auto" w:fill="auto"/>
          </w:tcPr>
          <w:p w14:paraId="5159A251" w14:textId="77777777" w:rsidR="00400085" w:rsidRPr="005F2B54" w:rsidRDefault="00400085" w:rsidP="00C81DD3">
            <w:pPr>
              <w:spacing w:before="60" w:after="100"/>
              <w:rPr>
                <w:sz w:val="20"/>
                <w:szCs w:val="20"/>
              </w:rPr>
            </w:pPr>
            <w:r w:rsidRPr="005F2B54">
              <w:rPr>
                <w:sz w:val="20"/>
                <w:szCs w:val="20"/>
              </w:rPr>
              <w:t>07/01</w:t>
            </w:r>
          </w:p>
        </w:tc>
        <w:tc>
          <w:tcPr>
            <w:tcW w:w="1254" w:type="dxa"/>
            <w:shd w:val="clear" w:color="auto" w:fill="auto"/>
          </w:tcPr>
          <w:p w14:paraId="76B4D64A" w14:textId="77777777" w:rsidR="00400085" w:rsidRPr="005F2B54" w:rsidRDefault="00400085" w:rsidP="00C81DD3">
            <w:pPr>
              <w:spacing w:before="60" w:after="100"/>
              <w:rPr>
                <w:sz w:val="20"/>
                <w:szCs w:val="20"/>
              </w:rPr>
            </w:pPr>
            <w:r w:rsidRPr="005F2B54">
              <w:rPr>
                <w:sz w:val="20"/>
                <w:szCs w:val="20"/>
              </w:rPr>
              <w:t>01-035-01</w:t>
            </w:r>
          </w:p>
        </w:tc>
        <w:tc>
          <w:tcPr>
            <w:tcW w:w="1176" w:type="dxa"/>
            <w:gridSpan w:val="2"/>
            <w:shd w:val="clear" w:color="auto" w:fill="auto"/>
          </w:tcPr>
          <w:p w14:paraId="128DBF0F" w14:textId="77777777" w:rsidR="00400085" w:rsidRPr="005F2B54" w:rsidRDefault="00400085" w:rsidP="00C81DD3">
            <w:pPr>
              <w:spacing w:before="60" w:after="100"/>
              <w:rPr>
                <w:sz w:val="20"/>
                <w:szCs w:val="20"/>
              </w:rPr>
            </w:pPr>
            <w:r w:rsidRPr="005F2B54">
              <w:rPr>
                <w:sz w:val="20"/>
                <w:szCs w:val="20"/>
              </w:rPr>
              <w:t>UT</w:t>
            </w:r>
          </w:p>
        </w:tc>
        <w:tc>
          <w:tcPr>
            <w:tcW w:w="1696" w:type="dxa"/>
            <w:shd w:val="clear" w:color="auto" w:fill="auto"/>
          </w:tcPr>
          <w:p w14:paraId="62E764C2"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62115D29"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4F2FE34E" w14:textId="77777777" w:rsidR="00400085" w:rsidRPr="005F2B54" w:rsidRDefault="00400085" w:rsidP="00C81DD3">
            <w:pPr>
              <w:spacing w:before="60" w:after="100"/>
              <w:jc w:val="left"/>
              <w:rPr>
                <w:sz w:val="20"/>
                <w:szCs w:val="20"/>
              </w:rPr>
            </w:pPr>
            <w:r>
              <w:rPr>
                <w:sz w:val="20"/>
                <w:szCs w:val="20"/>
              </w:rPr>
              <w:t>Utah J</w:t>
            </w:r>
            <w:r w:rsidRPr="005F2B54">
              <w:rPr>
                <w:sz w:val="20"/>
                <w:szCs w:val="20"/>
              </w:rPr>
              <w:t xml:space="preserve">urisdictional Net Power costs in </w:t>
            </w:r>
            <w:r>
              <w:rPr>
                <w:sz w:val="20"/>
                <w:szCs w:val="20"/>
              </w:rPr>
              <w:t>General Rate C</w:t>
            </w:r>
            <w:r w:rsidRPr="005F2B54">
              <w:rPr>
                <w:sz w:val="20"/>
                <w:szCs w:val="20"/>
              </w:rPr>
              <w:t>ase</w:t>
            </w:r>
          </w:p>
        </w:tc>
      </w:tr>
      <w:tr w:rsidR="00400085" w14:paraId="148B718A" w14:textId="77777777" w:rsidTr="00EB5B3C">
        <w:trPr>
          <w:trHeight w:val="138"/>
        </w:trPr>
        <w:tc>
          <w:tcPr>
            <w:tcW w:w="738" w:type="dxa"/>
            <w:shd w:val="clear" w:color="auto" w:fill="auto"/>
          </w:tcPr>
          <w:p w14:paraId="7F4A633E" w14:textId="77777777" w:rsidR="00400085" w:rsidRPr="005F2B54" w:rsidRDefault="00400085" w:rsidP="00C81DD3">
            <w:pPr>
              <w:spacing w:before="60" w:after="100"/>
              <w:rPr>
                <w:sz w:val="20"/>
                <w:szCs w:val="20"/>
              </w:rPr>
            </w:pPr>
            <w:r w:rsidRPr="005F2B54">
              <w:rPr>
                <w:sz w:val="20"/>
                <w:szCs w:val="20"/>
              </w:rPr>
              <w:t>2001</w:t>
            </w:r>
          </w:p>
        </w:tc>
        <w:tc>
          <w:tcPr>
            <w:tcW w:w="1254" w:type="dxa"/>
            <w:shd w:val="clear" w:color="auto" w:fill="auto"/>
          </w:tcPr>
          <w:p w14:paraId="63CE4CF7" w14:textId="77777777" w:rsidR="00400085" w:rsidRPr="005F2B54" w:rsidRDefault="00400085" w:rsidP="00C81DD3">
            <w:pPr>
              <w:spacing w:before="60" w:after="100"/>
              <w:rPr>
                <w:sz w:val="20"/>
                <w:szCs w:val="20"/>
              </w:rPr>
            </w:pPr>
            <w:r w:rsidRPr="005F2B54">
              <w:rPr>
                <w:sz w:val="20"/>
                <w:szCs w:val="20"/>
              </w:rPr>
              <w:t>ER00-2854-000</w:t>
            </w:r>
          </w:p>
        </w:tc>
        <w:tc>
          <w:tcPr>
            <w:tcW w:w="1176" w:type="dxa"/>
            <w:gridSpan w:val="2"/>
            <w:shd w:val="clear" w:color="auto" w:fill="auto"/>
          </w:tcPr>
          <w:p w14:paraId="7C6B7AEA" w14:textId="77777777" w:rsidR="00400085" w:rsidRPr="005F2B54" w:rsidRDefault="00400085" w:rsidP="00C81DD3">
            <w:pPr>
              <w:spacing w:before="60" w:after="100"/>
              <w:rPr>
                <w:sz w:val="20"/>
                <w:szCs w:val="20"/>
              </w:rPr>
            </w:pPr>
            <w:r w:rsidRPr="005F2B54">
              <w:rPr>
                <w:sz w:val="20"/>
                <w:szCs w:val="20"/>
              </w:rPr>
              <w:t>FERC</w:t>
            </w:r>
          </w:p>
        </w:tc>
        <w:tc>
          <w:tcPr>
            <w:tcW w:w="1696" w:type="dxa"/>
            <w:shd w:val="clear" w:color="auto" w:fill="auto"/>
          </w:tcPr>
          <w:p w14:paraId="42576562"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2DD93C8A" w14:textId="77777777" w:rsidR="00400085" w:rsidRPr="005F2B54" w:rsidRDefault="00400085" w:rsidP="00C81DD3">
            <w:pPr>
              <w:spacing w:before="60" w:after="100"/>
              <w:rPr>
                <w:sz w:val="20"/>
                <w:szCs w:val="20"/>
              </w:rPr>
            </w:pPr>
            <w:r w:rsidRPr="005F2B54">
              <w:rPr>
                <w:sz w:val="20"/>
                <w:szCs w:val="20"/>
              </w:rPr>
              <w:t>Entergy</w:t>
            </w:r>
          </w:p>
        </w:tc>
        <w:tc>
          <w:tcPr>
            <w:tcW w:w="3446" w:type="dxa"/>
            <w:shd w:val="clear" w:color="auto" w:fill="auto"/>
          </w:tcPr>
          <w:p w14:paraId="01F44F1B" w14:textId="77777777" w:rsidR="00400085" w:rsidRPr="005F2B54" w:rsidRDefault="00400085" w:rsidP="00C81DD3">
            <w:pPr>
              <w:spacing w:before="60" w:after="100"/>
              <w:jc w:val="left"/>
              <w:rPr>
                <w:sz w:val="20"/>
                <w:szCs w:val="20"/>
              </w:rPr>
            </w:pPr>
            <w:r>
              <w:rPr>
                <w:sz w:val="20"/>
                <w:szCs w:val="20"/>
              </w:rPr>
              <w:t>Proposed System Agreement M</w:t>
            </w:r>
            <w:r w:rsidRPr="005F2B54">
              <w:rPr>
                <w:sz w:val="20"/>
                <w:szCs w:val="20"/>
              </w:rPr>
              <w:t xml:space="preserve">odifications </w:t>
            </w:r>
          </w:p>
        </w:tc>
      </w:tr>
      <w:tr w:rsidR="00400085" w14:paraId="4B2A8F71" w14:textId="77777777" w:rsidTr="00EB5B3C">
        <w:trPr>
          <w:trHeight w:val="138"/>
        </w:trPr>
        <w:tc>
          <w:tcPr>
            <w:tcW w:w="738" w:type="dxa"/>
            <w:shd w:val="clear" w:color="auto" w:fill="auto"/>
          </w:tcPr>
          <w:p w14:paraId="448F6D7D" w14:textId="77777777" w:rsidR="00400085" w:rsidRPr="005F2B54" w:rsidRDefault="00400085" w:rsidP="00C81DD3">
            <w:pPr>
              <w:spacing w:before="60" w:after="100"/>
              <w:rPr>
                <w:sz w:val="20"/>
                <w:szCs w:val="20"/>
              </w:rPr>
            </w:pPr>
            <w:r w:rsidRPr="005F2B54">
              <w:rPr>
                <w:sz w:val="20"/>
                <w:szCs w:val="20"/>
              </w:rPr>
              <w:t>07/02</w:t>
            </w:r>
          </w:p>
        </w:tc>
        <w:tc>
          <w:tcPr>
            <w:tcW w:w="1254" w:type="dxa"/>
            <w:shd w:val="clear" w:color="auto" w:fill="auto"/>
          </w:tcPr>
          <w:p w14:paraId="4D682149" w14:textId="77777777" w:rsidR="00400085" w:rsidRPr="005F2B54" w:rsidRDefault="00400085" w:rsidP="00C81DD3">
            <w:pPr>
              <w:spacing w:before="60" w:after="100"/>
              <w:rPr>
                <w:sz w:val="20"/>
                <w:szCs w:val="20"/>
              </w:rPr>
            </w:pPr>
            <w:r w:rsidRPr="005F2B54">
              <w:rPr>
                <w:sz w:val="20"/>
                <w:szCs w:val="20"/>
              </w:rPr>
              <w:t>02-035-002</w:t>
            </w:r>
          </w:p>
        </w:tc>
        <w:tc>
          <w:tcPr>
            <w:tcW w:w="1176" w:type="dxa"/>
            <w:gridSpan w:val="2"/>
            <w:shd w:val="clear" w:color="auto" w:fill="auto"/>
          </w:tcPr>
          <w:p w14:paraId="2ED1D54C" w14:textId="77777777" w:rsidR="00400085" w:rsidRPr="005F2B54" w:rsidRDefault="00400085" w:rsidP="00C81DD3">
            <w:pPr>
              <w:spacing w:before="60" w:after="100"/>
              <w:rPr>
                <w:sz w:val="20"/>
                <w:szCs w:val="20"/>
              </w:rPr>
            </w:pPr>
            <w:r w:rsidRPr="005F2B54">
              <w:rPr>
                <w:sz w:val="20"/>
                <w:szCs w:val="20"/>
              </w:rPr>
              <w:t>UT</w:t>
            </w:r>
          </w:p>
        </w:tc>
        <w:tc>
          <w:tcPr>
            <w:tcW w:w="1696" w:type="dxa"/>
            <w:shd w:val="clear" w:color="auto" w:fill="auto"/>
          </w:tcPr>
          <w:p w14:paraId="42F08E0A"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2185EFC6" w14:textId="77777777" w:rsidR="00400085" w:rsidRPr="005F2B54" w:rsidRDefault="00400085" w:rsidP="00C81DD3">
            <w:pPr>
              <w:spacing w:before="60" w:after="100"/>
              <w:rPr>
                <w:sz w:val="20"/>
                <w:szCs w:val="20"/>
              </w:rPr>
            </w:pPr>
            <w:r w:rsidRPr="005F2B54">
              <w:rPr>
                <w:sz w:val="20"/>
                <w:szCs w:val="20"/>
              </w:rPr>
              <w:t xml:space="preserve">PacifiCorp </w:t>
            </w:r>
          </w:p>
        </w:tc>
        <w:tc>
          <w:tcPr>
            <w:tcW w:w="3446" w:type="dxa"/>
            <w:shd w:val="clear" w:color="auto" w:fill="auto"/>
          </w:tcPr>
          <w:p w14:paraId="2A4C461D" w14:textId="77777777" w:rsidR="00400085" w:rsidRPr="005F2B54" w:rsidRDefault="00400085" w:rsidP="00C81DD3">
            <w:pPr>
              <w:spacing w:before="60" w:after="100"/>
              <w:jc w:val="left"/>
              <w:rPr>
                <w:sz w:val="20"/>
                <w:szCs w:val="20"/>
              </w:rPr>
            </w:pPr>
            <w:r w:rsidRPr="005F2B54">
              <w:rPr>
                <w:sz w:val="20"/>
                <w:szCs w:val="20"/>
              </w:rPr>
              <w:t>Special contract for industrial consumer</w:t>
            </w:r>
          </w:p>
        </w:tc>
      </w:tr>
      <w:tr w:rsidR="00400085" w14:paraId="2CE5B7AB" w14:textId="77777777" w:rsidTr="00EB5B3C">
        <w:trPr>
          <w:trHeight w:val="138"/>
        </w:trPr>
        <w:tc>
          <w:tcPr>
            <w:tcW w:w="738" w:type="dxa"/>
            <w:shd w:val="clear" w:color="auto" w:fill="auto"/>
          </w:tcPr>
          <w:p w14:paraId="3ACDB1C6" w14:textId="77777777" w:rsidR="00400085" w:rsidRPr="005F2B54" w:rsidRDefault="00400085" w:rsidP="00C81DD3">
            <w:pPr>
              <w:spacing w:before="60" w:after="100"/>
              <w:rPr>
                <w:rFonts w:cs="Calibri"/>
                <w:sz w:val="20"/>
                <w:szCs w:val="20"/>
              </w:rPr>
            </w:pPr>
            <w:r w:rsidRPr="005F2B54">
              <w:rPr>
                <w:rFonts w:cs="Calibri"/>
                <w:sz w:val="20"/>
                <w:szCs w:val="20"/>
              </w:rPr>
              <w:t>2002/2003</w:t>
            </w:r>
          </w:p>
        </w:tc>
        <w:tc>
          <w:tcPr>
            <w:tcW w:w="1254" w:type="dxa"/>
            <w:shd w:val="clear" w:color="auto" w:fill="auto"/>
          </w:tcPr>
          <w:p w14:paraId="0029DCF7" w14:textId="77777777" w:rsidR="00400085" w:rsidRPr="005F2B54" w:rsidRDefault="00400085" w:rsidP="00C81DD3">
            <w:pPr>
              <w:spacing w:before="60" w:after="100"/>
              <w:rPr>
                <w:rFonts w:cs="Calibri"/>
                <w:sz w:val="20"/>
                <w:szCs w:val="20"/>
              </w:rPr>
            </w:pPr>
            <w:r w:rsidRPr="005F2B54">
              <w:rPr>
                <w:rFonts w:cs="Calibri"/>
                <w:sz w:val="20"/>
                <w:szCs w:val="20"/>
              </w:rPr>
              <w:t>U-25888</w:t>
            </w:r>
          </w:p>
        </w:tc>
        <w:tc>
          <w:tcPr>
            <w:tcW w:w="1176" w:type="dxa"/>
            <w:gridSpan w:val="2"/>
            <w:shd w:val="clear" w:color="auto" w:fill="auto"/>
          </w:tcPr>
          <w:p w14:paraId="610E8FA6" w14:textId="77777777" w:rsidR="00400085" w:rsidRPr="005F2B54" w:rsidRDefault="00400085" w:rsidP="00C81DD3">
            <w:pPr>
              <w:spacing w:before="60" w:after="100"/>
              <w:rPr>
                <w:rFonts w:cs="Calibri"/>
                <w:sz w:val="20"/>
                <w:szCs w:val="20"/>
              </w:rPr>
            </w:pPr>
            <w:r w:rsidRPr="005F2B54">
              <w:rPr>
                <w:rFonts w:cs="Calibri"/>
                <w:sz w:val="20"/>
                <w:szCs w:val="20"/>
              </w:rPr>
              <w:t>LA</w:t>
            </w:r>
          </w:p>
        </w:tc>
        <w:tc>
          <w:tcPr>
            <w:tcW w:w="1696" w:type="dxa"/>
            <w:shd w:val="clear" w:color="auto" w:fill="auto"/>
          </w:tcPr>
          <w:p w14:paraId="06A9BBAF" w14:textId="77777777" w:rsidR="00400085" w:rsidRPr="005F2B54" w:rsidRDefault="00400085" w:rsidP="00C81DD3">
            <w:pPr>
              <w:spacing w:before="60" w:after="100"/>
              <w:jc w:val="left"/>
              <w:rPr>
                <w:rFonts w:cs="Calibri"/>
                <w:sz w:val="20"/>
                <w:szCs w:val="20"/>
              </w:rPr>
            </w:pPr>
            <w:r w:rsidRPr="005F2B54">
              <w:rPr>
                <w:rFonts w:cs="Calibri"/>
                <w:sz w:val="20"/>
                <w:szCs w:val="20"/>
              </w:rPr>
              <w:t>Louisiana Public Service Commission</w:t>
            </w:r>
          </w:p>
        </w:tc>
        <w:tc>
          <w:tcPr>
            <w:tcW w:w="1526" w:type="dxa"/>
            <w:shd w:val="clear" w:color="auto" w:fill="auto"/>
          </w:tcPr>
          <w:p w14:paraId="3891EB69" w14:textId="77777777" w:rsidR="00400085" w:rsidRPr="005F2B54" w:rsidRDefault="00400085" w:rsidP="00C81DD3">
            <w:pPr>
              <w:spacing w:before="60" w:after="100"/>
              <w:rPr>
                <w:rFonts w:cs="Calibri"/>
                <w:sz w:val="20"/>
                <w:szCs w:val="20"/>
              </w:rPr>
            </w:pPr>
            <w:r w:rsidRPr="005F2B54">
              <w:rPr>
                <w:rFonts w:cs="Calibri"/>
                <w:sz w:val="20"/>
                <w:szCs w:val="20"/>
              </w:rPr>
              <w:t>Ente</w:t>
            </w:r>
            <w:r>
              <w:rPr>
                <w:rFonts w:cs="Calibri"/>
                <w:sz w:val="20"/>
                <w:szCs w:val="20"/>
              </w:rPr>
              <w:t>r</w:t>
            </w:r>
            <w:r w:rsidRPr="005F2B54">
              <w:rPr>
                <w:rFonts w:cs="Calibri"/>
                <w:sz w:val="20"/>
                <w:szCs w:val="20"/>
              </w:rPr>
              <w:t>gy</w:t>
            </w:r>
          </w:p>
        </w:tc>
        <w:tc>
          <w:tcPr>
            <w:tcW w:w="3446" w:type="dxa"/>
            <w:shd w:val="clear" w:color="auto" w:fill="auto"/>
          </w:tcPr>
          <w:p w14:paraId="5100F5E2" w14:textId="77777777" w:rsidR="00400085" w:rsidRPr="005F2B54" w:rsidRDefault="00400085" w:rsidP="00C81DD3">
            <w:pPr>
              <w:spacing w:before="60" w:after="100"/>
              <w:jc w:val="left"/>
              <w:rPr>
                <w:rFonts w:cs="Calibri"/>
                <w:sz w:val="20"/>
                <w:szCs w:val="20"/>
              </w:rPr>
            </w:pPr>
            <w:r>
              <w:rPr>
                <w:rFonts w:cs="Calibri"/>
                <w:sz w:val="20"/>
                <w:szCs w:val="20"/>
              </w:rPr>
              <w:t>Investigation of retail issues related to the System Agreement</w:t>
            </w:r>
          </w:p>
        </w:tc>
      </w:tr>
      <w:tr w:rsidR="00400085" w14:paraId="02531C5B" w14:textId="77777777" w:rsidTr="00EB5B3C">
        <w:trPr>
          <w:trHeight w:val="138"/>
        </w:trPr>
        <w:tc>
          <w:tcPr>
            <w:tcW w:w="738" w:type="dxa"/>
            <w:shd w:val="clear" w:color="auto" w:fill="auto"/>
          </w:tcPr>
          <w:p w14:paraId="03C3E96D" w14:textId="77777777" w:rsidR="00400085" w:rsidRPr="005F2B54" w:rsidRDefault="00400085" w:rsidP="00C81DD3">
            <w:pPr>
              <w:spacing w:before="60" w:after="100"/>
              <w:rPr>
                <w:rFonts w:cs="Calibri"/>
                <w:sz w:val="20"/>
                <w:szCs w:val="20"/>
              </w:rPr>
            </w:pPr>
            <w:r w:rsidRPr="005F2B54">
              <w:rPr>
                <w:rFonts w:cs="Calibri"/>
                <w:sz w:val="20"/>
                <w:szCs w:val="20"/>
              </w:rPr>
              <w:t>2003</w:t>
            </w:r>
          </w:p>
        </w:tc>
        <w:tc>
          <w:tcPr>
            <w:tcW w:w="1254" w:type="dxa"/>
            <w:shd w:val="clear" w:color="auto" w:fill="auto"/>
          </w:tcPr>
          <w:p w14:paraId="0DDEA6F5" w14:textId="77777777" w:rsidR="00400085" w:rsidRPr="005F2B54" w:rsidRDefault="00400085" w:rsidP="00C81DD3">
            <w:pPr>
              <w:spacing w:before="60" w:after="100"/>
              <w:rPr>
                <w:rFonts w:cs="Calibri"/>
                <w:sz w:val="20"/>
                <w:szCs w:val="20"/>
              </w:rPr>
            </w:pPr>
            <w:r w:rsidRPr="005F2B54">
              <w:rPr>
                <w:rFonts w:cs="Calibri"/>
                <w:sz w:val="20"/>
                <w:szCs w:val="20"/>
              </w:rPr>
              <w:t>U-27136 Subdocket A</w:t>
            </w:r>
          </w:p>
        </w:tc>
        <w:tc>
          <w:tcPr>
            <w:tcW w:w="1176" w:type="dxa"/>
            <w:gridSpan w:val="2"/>
            <w:shd w:val="clear" w:color="auto" w:fill="auto"/>
          </w:tcPr>
          <w:p w14:paraId="31B7CCDD" w14:textId="77777777" w:rsidR="00400085" w:rsidRPr="005F2B54" w:rsidRDefault="00400085" w:rsidP="00C81DD3">
            <w:pPr>
              <w:spacing w:before="60" w:after="100"/>
              <w:rPr>
                <w:rFonts w:cs="Calibri"/>
                <w:sz w:val="20"/>
                <w:szCs w:val="20"/>
              </w:rPr>
            </w:pPr>
            <w:r w:rsidRPr="005F2B54">
              <w:rPr>
                <w:rFonts w:cs="Calibri"/>
                <w:sz w:val="20"/>
                <w:szCs w:val="20"/>
              </w:rPr>
              <w:t>LA</w:t>
            </w:r>
          </w:p>
        </w:tc>
        <w:tc>
          <w:tcPr>
            <w:tcW w:w="1696" w:type="dxa"/>
            <w:shd w:val="clear" w:color="auto" w:fill="auto"/>
          </w:tcPr>
          <w:p w14:paraId="733AF52D" w14:textId="77777777" w:rsidR="00400085" w:rsidRPr="005F2B54" w:rsidRDefault="00400085" w:rsidP="00C81DD3">
            <w:pPr>
              <w:spacing w:before="60" w:after="100"/>
              <w:jc w:val="left"/>
              <w:rPr>
                <w:rFonts w:cs="Calibri"/>
                <w:sz w:val="20"/>
                <w:szCs w:val="20"/>
              </w:rPr>
            </w:pPr>
            <w:r w:rsidRPr="005F2B54">
              <w:rPr>
                <w:rFonts w:cs="Calibri"/>
                <w:sz w:val="20"/>
                <w:szCs w:val="20"/>
              </w:rPr>
              <w:t>Louisiana Public Service Commission</w:t>
            </w:r>
            <w:r>
              <w:rPr>
                <w:rFonts w:cs="Calibri"/>
                <w:sz w:val="20"/>
                <w:szCs w:val="20"/>
              </w:rPr>
              <w:t xml:space="preserve"> Staff</w:t>
            </w:r>
          </w:p>
        </w:tc>
        <w:tc>
          <w:tcPr>
            <w:tcW w:w="1526" w:type="dxa"/>
            <w:shd w:val="clear" w:color="auto" w:fill="auto"/>
          </w:tcPr>
          <w:p w14:paraId="37DCB6B6" w14:textId="77777777" w:rsidR="00400085" w:rsidRPr="005F2B54" w:rsidRDefault="00400085" w:rsidP="00C81DD3">
            <w:pPr>
              <w:spacing w:before="60" w:after="100"/>
              <w:rPr>
                <w:rFonts w:cs="Calibri"/>
                <w:sz w:val="20"/>
                <w:szCs w:val="20"/>
              </w:rPr>
            </w:pPr>
            <w:r w:rsidRPr="005F2B54">
              <w:rPr>
                <w:rFonts w:cs="Calibri"/>
                <w:sz w:val="20"/>
                <w:szCs w:val="20"/>
              </w:rPr>
              <w:t>Entergy</w:t>
            </w:r>
          </w:p>
        </w:tc>
        <w:tc>
          <w:tcPr>
            <w:tcW w:w="3446" w:type="dxa"/>
            <w:shd w:val="clear" w:color="auto" w:fill="auto"/>
          </w:tcPr>
          <w:p w14:paraId="295A253B" w14:textId="77777777" w:rsidR="00400085" w:rsidRPr="005F2B54" w:rsidRDefault="00400085" w:rsidP="00C81DD3">
            <w:pPr>
              <w:spacing w:before="60" w:after="100"/>
              <w:jc w:val="left"/>
              <w:rPr>
                <w:rFonts w:cs="Calibri"/>
                <w:sz w:val="20"/>
                <w:szCs w:val="20"/>
              </w:rPr>
            </w:pPr>
            <w:r>
              <w:rPr>
                <w:rFonts w:cs="Calibri"/>
                <w:sz w:val="20"/>
                <w:szCs w:val="20"/>
              </w:rPr>
              <w:t>Aging gas steam-fired retirement study</w:t>
            </w:r>
          </w:p>
        </w:tc>
      </w:tr>
      <w:tr w:rsidR="00400085" w14:paraId="5467403F" w14:textId="77777777" w:rsidTr="00EB5B3C">
        <w:trPr>
          <w:trHeight w:val="138"/>
        </w:trPr>
        <w:tc>
          <w:tcPr>
            <w:tcW w:w="738" w:type="dxa"/>
            <w:shd w:val="clear" w:color="auto" w:fill="auto"/>
          </w:tcPr>
          <w:p w14:paraId="49739351" w14:textId="77777777" w:rsidR="00400085" w:rsidRPr="005F2B54" w:rsidRDefault="00400085" w:rsidP="00C81DD3">
            <w:pPr>
              <w:spacing w:before="60" w:after="100"/>
              <w:rPr>
                <w:sz w:val="20"/>
                <w:szCs w:val="20"/>
              </w:rPr>
            </w:pPr>
            <w:r w:rsidRPr="005F2B54">
              <w:rPr>
                <w:sz w:val="20"/>
                <w:szCs w:val="20"/>
              </w:rPr>
              <w:t>07/03</w:t>
            </w:r>
          </w:p>
        </w:tc>
        <w:tc>
          <w:tcPr>
            <w:tcW w:w="1254" w:type="dxa"/>
            <w:shd w:val="clear" w:color="auto" w:fill="auto"/>
          </w:tcPr>
          <w:p w14:paraId="71E77679" w14:textId="77777777" w:rsidR="00400085" w:rsidRPr="005F2B54" w:rsidRDefault="00400085" w:rsidP="00C81DD3">
            <w:pPr>
              <w:spacing w:before="60" w:after="100"/>
              <w:rPr>
                <w:sz w:val="20"/>
                <w:szCs w:val="20"/>
              </w:rPr>
            </w:pPr>
            <w:r w:rsidRPr="005F2B54">
              <w:rPr>
                <w:sz w:val="20"/>
                <w:szCs w:val="20"/>
              </w:rPr>
              <w:t>EL01-88-000</w:t>
            </w:r>
          </w:p>
        </w:tc>
        <w:tc>
          <w:tcPr>
            <w:tcW w:w="1176" w:type="dxa"/>
            <w:gridSpan w:val="2"/>
            <w:shd w:val="clear" w:color="auto" w:fill="auto"/>
          </w:tcPr>
          <w:p w14:paraId="57B8EDF3" w14:textId="77777777" w:rsidR="00400085" w:rsidRPr="005F2B54" w:rsidRDefault="00400085" w:rsidP="00C81DD3">
            <w:pPr>
              <w:spacing w:before="60" w:after="100"/>
              <w:rPr>
                <w:sz w:val="20"/>
                <w:szCs w:val="20"/>
              </w:rPr>
            </w:pPr>
            <w:r w:rsidRPr="005F2B54">
              <w:rPr>
                <w:sz w:val="20"/>
                <w:szCs w:val="20"/>
              </w:rPr>
              <w:t>FERC</w:t>
            </w:r>
          </w:p>
        </w:tc>
        <w:tc>
          <w:tcPr>
            <w:tcW w:w="1696" w:type="dxa"/>
            <w:shd w:val="clear" w:color="auto" w:fill="auto"/>
          </w:tcPr>
          <w:p w14:paraId="6C8D75FD"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09F46EA3" w14:textId="77777777" w:rsidR="00400085" w:rsidRPr="005F2B54" w:rsidRDefault="00400085" w:rsidP="00C81DD3">
            <w:pPr>
              <w:spacing w:before="60" w:after="100"/>
              <w:rPr>
                <w:sz w:val="20"/>
                <w:szCs w:val="20"/>
              </w:rPr>
            </w:pPr>
            <w:r>
              <w:rPr>
                <w:sz w:val="20"/>
                <w:szCs w:val="20"/>
              </w:rPr>
              <w:t>Entergy</w:t>
            </w:r>
          </w:p>
        </w:tc>
        <w:tc>
          <w:tcPr>
            <w:tcW w:w="3446" w:type="dxa"/>
            <w:shd w:val="clear" w:color="auto" w:fill="auto"/>
          </w:tcPr>
          <w:p w14:paraId="01452348" w14:textId="77777777" w:rsidR="00400085" w:rsidRPr="005F2B54" w:rsidRDefault="00400085" w:rsidP="00C81DD3">
            <w:pPr>
              <w:spacing w:before="60" w:after="100"/>
              <w:jc w:val="left"/>
              <w:rPr>
                <w:sz w:val="20"/>
                <w:szCs w:val="20"/>
              </w:rPr>
            </w:pPr>
            <w:r>
              <w:rPr>
                <w:sz w:val="20"/>
                <w:szCs w:val="20"/>
              </w:rPr>
              <w:t>Rough production cost equalization proceeding</w:t>
            </w:r>
          </w:p>
        </w:tc>
      </w:tr>
      <w:tr w:rsidR="00400085" w14:paraId="337EFD00" w14:textId="77777777" w:rsidTr="00EB5B3C">
        <w:trPr>
          <w:trHeight w:val="138"/>
        </w:trPr>
        <w:tc>
          <w:tcPr>
            <w:tcW w:w="738" w:type="dxa"/>
            <w:shd w:val="clear" w:color="auto" w:fill="auto"/>
          </w:tcPr>
          <w:p w14:paraId="1818887B" w14:textId="77777777" w:rsidR="00400085" w:rsidRPr="005F2B54" w:rsidRDefault="00400085" w:rsidP="00C81DD3">
            <w:pPr>
              <w:spacing w:before="60" w:after="100"/>
              <w:rPr>
                <w:sz w:val="20"/>
                <w:szCs w:val="20"/>
              </w:rPr>
            </w:pPr>
            <w:r w:rsidRPr="005F2B54">
              <w:rPr>
                <w:sz w:val="20"/>
                <w:szCs w:val="20"/>
              </w:rPr>
              <w:t>05/04</w:t>
            </w:r>
          </w:p>
        </w:tc>
        <w:tc>
          <w:tcPr>
            <w:tcW w:w="1254" w:type="dxa"/>
            <w:shd w:val="clear" w:color="auto" w:fill="auto"/>
          </w:tcPr>
          <w:p w14:paraId="0038A297" w14:textId="77777777" w:rsidR="00400085" w:rsidRPr="005F2B54" w:rsidRDefault="00400085" w:rsidP="00C81DD3">
            <w:pPr>
              <w:spacing w:before="60" w:after="100"/>
              <w:rPr>
                <w:sz w:val="20"/>
                <w:szCs w:val="20"/>
              </w:rPr>
            </w:pPr>
            <w:r w:rsidRPr="005F2B54">
              <w:rPr>
                <w:sz w:val="20"/>
                <w:szCs w:val="20"/>
              </w:rPr>
              <w:t>03-035-14</w:t>
            </w:r>
          </w:p>
        </w:tc>
        <w:tc>
          <w:tcPr>
            <w:tcW w:w="1176" w:type="dxa"/>
            <w:gridSpan w:val="2"/>
            <w:shd w:val="clear" w:color="auto" w:fill="auto"/>
          </w:tcPr>
          <w:p w14:paraId="17C22E69" w14:textId="77777777" w:rsidR="00400085" w:rsidRPr="005F2B54" w:rsidRDefault="00400085" w:rsidP="00C81DD3">
            <w:pPr>
              <w:spacing w:before="60" w:after="100"/>
              <w:rPr>
                <w:sz w:val="20"/>
                <w:szCs w:val="20"/>
              </w:rPr>
            </w:pPr>
            <w:r w:rsidRPr="005F2B54">
              <w:rPr>
                <w:sz w:val="20"/>
                <w:szCs w:val="20"/>
              </w:rPr>
              <w:t>UT</w:t>
            </w:r>
          </w:p>
        </w:tc>
        <w:tc>
          <w:tcPr>
            <w:tcW w:w="1696" w:type="dxa"/>
            <w:shd w:val="clear" w:color="auto" w:fill="auto"/>
          </w:tcPr>
          <w:p w14:paraId="0F7B246D"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023126E0"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32AD0AAA" w14:textId="77777777" w:rsidR="00400085" w:rsidRPr="005F2B54" w:rsidRDefault="00400085" w:rsidP="00C81DD3">
            <w:pPr>
              <w:spacing w:before="60" w:after="100"/>
              <w:jc w:val="left"/>
              <w:rPr>
                <w:sz w:val="20"/>
                <w:szCs w:val="20"/>
              </w:rPr>
            </w:pPr>
            <w:r w:rsidRPr="005F2B54">
              <w:rPr>
                <w:sz w:val="20"/>
                <w:szCs w:val="20"/>
              </w:rPr>
              <w:t>Development of a large QF avoided cost methodology</w:t>
            </w:r>
          </w:p>
        </w:tc>
      </w:tr>
      <w:tr w:rsidR="00400085" w14:paraId="138195C6" w14:textId="77777777" w:rsidTr="00EB5B3C">
        <w:trPr>
          <w:trHeight w:val="138"/>
        </w:trPr>
        <w:tc>
          <w:tcPr>
            <w:tcW w:w="738" w:type="dxa"/>
            <w:shd w:val="clear" w:color="auto" w:fill="auto"/>
          </w:tcPr>
          <w:p w14:paraId="29BCB278" w14:textId="77777777" w:rsidR="00400085" w:rsidRPr="005F2B54" w:rsidRDefault="00400085" w:rsidP="00C81DD3">
            <w:pPr>
              <w:spacing w:before="60" w:after="100"/>
              <w:rPr>
                <w:sz w:val="20"/>
                <w:szCs w:val="20"/>
              </w:rPr>
            </w:pPr>
            <w:r w:rsidRPr="005F2B54">
              <w:rPr>
                <w:sz w:val="20"/>
                <w:szCs w:val="20"/>
              </w:rPr>
              <w:t>06/04</w:t>
            </w:r>
          </w:p>
        </w:tc>
        <w:tc>
          <w:tcPr>
            <w:tcW w:w="1254" w:type="dxa"/>
            <w:shd w:val="clear" w:color="auto" w:fill="auto"/>
          </w:tcPr>
          <w:p w14:paraId="47177009" w14:textId="77777777" w:rsidR="00400085" w:rsidRPr="005F2B54" w:rsidRDefault="00400085" w:rsidP="00C81DD3">
            <w:pPr>
              <w:spacing w:before="60" w:after="100"/>
              <w:rPr>
                <w:spacing w:val="-2"/>
                <w:sz w:val="20"/>
                <w:szCs w:val="20"/>
              </w:rPr>
            </w:pPr>
            <w:r>
              <w:rPr>
                <w:spacing w:val="-2"/>
                <w:sz w:val="20"/>
                <w:szCs w:val="20"/>
              </w:rPr>
              <w:t>18</w:t>
            </w:r>
            <w:r w:rsidRPr="005F2B54">
              <w:rPr>
                <w:spacing w:val="-2"/>
                <w:sz w:val="20"/>
                <w:szCs w:val="20"/>
              </w:rPr>
              <w:t>687</w:t>
            </w:r>
            <w:r>
              <w:rPr>
                <w:spacing w:val="-2"/>
                <w:sz w:val="20"/>
                <w:szCs w:val="20"/>
              </w:rPr>
              <w:t>-U</w:t>
            </w:r>
          </w:p>
          <w:p w14:paraId="6931E192" w14:textId="77777777" w:rsidR="00400085" w:rsidRPr="005F2B54" w:rsidRDefault="00400085" w:rsidP="00C81DD3">
            <w:pPr>
              <w:spacing w:before="60" w:after="100"/>
              <w:rPr>
                <w:spacing w:val="-2"/>
                <w:sz w:val="20"/>
                <w:szCs w:val="20"/>
              </w:rPr>
            </w:pPr>
            <w:r>
              <w:rPr>
                <w:spacing w:val="-2"/>
                <w:sz w:val="20"/>
                <w:szCs w:val="20"/>
              </w:rPr>
              <w:t>18</w:t>
            </w:r>
            <w:r w:rsidRPr="005F2B54">
              <w:rPr>
                <w:spacing w:val="-2"/>
                <w:sz w:val="20"/>
                <w:szCs w:val="20"/>
              </w:rPr>
              <w:t>688</w:t>
            </w:r>
            <w:r>
              <w:rPr>
                <w:spacing w:val="-2"/>
                <w:sz w:val="20"/>
                <w:szCs w:val="20"/>
              </w:rPr>
              <w:t>-U</w:t>
            </w:r>
          </w:p>
        </w:tc>
        <w:tc>
          <w:tcPr>
            <w:tcW w:w="1176" w:type="dxa"/>
            <w:gridSpan w:val="2"/>
            <w:shd w:val="clear" w:color="auto" w:fill="auto"/>
          </w:tcPr>
          <w:p w14:paraId="39A78D88" w14:textId="77777777" w:rsidR="00400085" w:rsidRPr="005F2B54" w:rsidRDefault="00400085" w:rsidP="00C81DD3">
            <w:pPr>
              <w:spacing w:before="60" w:after="100"/>
              <w:rPr>
                <w:sz w:val="20"/>
                <w:szCs w:val="20"/>
              </w:rPr>
            </w:pPr>
            <w:r w:rsidRPr="005F2B54">
              <w:rPr>
                <w:sz w:val="20"/>
                <w:szCs w:val="20"/>
              </w:rPr>
              <w:t>GA</w:t>
            </w:r>
          </w:p>
        </w:tc>
        <w:tc>
          <w:tcPr>
            <w:tcW w:w="1696" w:type="dxa"/>
            <w:shd w:val="clear" w:color="auto" w:fill="auto"/>
          </w:tcPr>
          <w:p w14:paraId="6BED7F08" w14:textId="77777777" w:rsidR="00400085" w:rsidRPr="005F2B54" w:rsidRDefault="00400085" w:rsidP="00C81DD3">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112F53F0" w14:textId="77777777" w:rsidR="00400085" w:rsidRPr="005F2B54" w:rsidRDefault="00400085" w:rsidP="00C81DD3">
            <w:pPr>
              <w:spacing w:before="60" w:after="100"/>
              <w:jc w:val="left"/>
              <w:rPr>
                <w:sz w:val="20"/>
                <w:szCs w:val="20"/>
              </w:rPr>
            </w:pPr>
            <w:r>
              <w:rPr>
                <w:sz w:val="20"/>
                <w:szCs w:val="20"/>
              </w:rPr>
              <w:t xml:space="preserve">Georgia Power and </w:t>
            </w:r>
            <w:r w:rsidRPr="005F2B54">
              <w:rPr>
                <w:sz w:val="20"/>
                <w:szCs w:val="20"/>
              </w:rPr>
              <w:t xml:space="preserve">Savannah Electric </w:t>
            </w:r>
          </w:p>
        </w:tc>
        <w:tc>
          <w:tcPr>
            <w:tcW w:w="3446" w:type="dxa"/>
            <w:shd w:val="clear" w:color="auto" w:fill="auto"/>
          </w:tcPr>
          <w:p w14:paraId="5FB3E5BE" w14:textId="77777777" w:rsidR="00400085" w:rsidRPr="005F2B54" w:rsidRDefault="00400085" w:rsidP="00C81DD3">
            <w:pPr>
              <w:spacing w:before="60" w:after="100"/>
              <w:jc w:val="left"/>
              <w:rPr>
                <w:sz w:val="20"/>
                <w:szCs w:val="20"/>
              </w:rPr>
            </w:pPr>
            <w:r w:rsidRPr="005F2B54">
              <w:rPr>
                <w:sz w:val="20"/>
                <w:szCs w:val="20"/>
              </w:rPr>
              <w:t>2004 Integrated Resource Planning Studies</w:t>
            </w:r>
          </w:p>
        </w:tc>
      </w:tr>
      <w:tr w:rsidR="00400085" w14:paraId="55B5B219" w14:textId="77777777" w:rsidTr="00EB5B3C">
        <w:trPr>
          <w:trHeight w:val="138"/>
        </w:trPr>
        <w:tc>
          <w:tcPr>
            <w:tcW w:w="738" w:type="dxa"/>
            <w:shd w:val="clear" w:color="auto" w:fill="auto"/>
          </w:tcPr>
          <w:p w14:paraId="6D5B880C" w14:textId="77777777" w:rsidR="00400085" w:rsidRPr="005F2B54" w:rsidRDefault="00400085" w:rsidP="00C81DD3">
            <w:pPr>
              <w:spacing w:before="60" w:after="100"/>
              <w:rPr>
                <w:sz w:val="20"/>
                <w:szCs w:val="20"/>
              </w:rPr>
            </w:pPr>
            <w:r w:rsidRPr="005F2B54">
              <w:rPr>
                <w:sz w:val="20"/>
                <w:szCs w:val="20"/>
              </w:rPr>
              <w:t>08/04</w:t>
            </w:r>
          </w:p>
        </w:tc>
        <w:tc>
          <w:tcPr>
            <w:tcW w:w="1254" w:type="dxa"/>
            <w:shd w:val="clear" w:color="auto" w:fill="auto"/>
          </w:tcPr>
          <w:p w14:paraId="6B7F1A42" w14:textId="77777777" w:rsidR="00400085" w:rsidRPr="005F2B54" w:rsidRDefault="00400085" w:rsidP="00C81DD3">
            <w:pPr>
              <w:spacing w:before="60" w:after="100"/>
              <w:rPr>
                <w:sz w:val="20"/>
                <w:szCs w:val="20"/>
              </w:rPr>
            </w:pPr>
            <w:r w:rsidRPr="005F2B54">
              <w:rPr>
                <w:sz w:val="20"/>
                <w:szCs w:val="20"/>
              </w:rPr>
              <w:t>ER03-583-000</w:t>
            </w:r>
          </w:p>
        </w:tc>
        <w:tc>
          <w:tcPr>
            <w:tcW w:w="1176" w:type="dxa"/>
            <w:gridSpan w:val="2"/>
            <w:shd w:val="clear" w:color="auto" w:fill="auto"/>
          </w:tcPr>
          <w:p w14:paraId="061F5762" w14:textId="77777777" w:rsidR="00400085" w:rsidRPr="005F2B54" w:rsidRDefault="00400085" w:rsidP="00C81DD3">
            <w:pPr>
              <w:spacing w:before="60" w:after="100"/>
              <w:rPr>
                <w:sz w:val="20"/>
                <w:szCs w:val="20"/>
              </w:rPr>
            </w:pPr>
            <w:r w:rsidRPr="005F2B54">
              <w:rPr>
                <w:sz w:val="20"/>
                <w:szCs w:val="20"/>
              </w:rPr>
              <w:t>FERC</w:t>
            </w:r>
          </w:p>
        </w:tc>
        <w:tc>
          <w:tcPr>
            <w:tcW w:w="1696" w:type="dxa"/>
            <w:shd w:val="clear" w:color="auto" w:fill="auto"/>
          </w:tcPr>
          <w:p w14:paraId="7B67F263"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5DCAAB1C" w14:textId="77777777" w:rsidR="00400085" w:rsidRPr="005F2B54" w:rsidRDefault="00400085" w:rsidP="00C81DD3">
            <w:pPr>
              <w:spacing w:before="60" w:after="100"/>
              <w:rPr>
                <w:sz w:val="20"/>
                <w:szCs w:val="20"/>
              </w:rPr>
            </w:pPr>
            <w:r w:rsidRPr="005F2B54">
              <w:rPr>
                <w:sz w:val="20"/>
                <w:szCs w:val="20"/>
              </w:rPr>
              <w:t xml:space="preserve">Entergy </w:t>
            </w:r>
          </w:p>
        </w:tc>
        <w:tc>
          <w:tcPr>
            <w:tcW w:w="3446" w:type="dxa"/>
            <w:shd w:val="clear" w:color="auto" w:fill="auto"/>
          </w:tcPr>
          <w:p w14:paraId="431347C9" w14:textId="77777777" w:rsidR="00400085" w:rsidRPr="005F2B54" w:rsidRDefault="00400085" w:rsidP="00C81DD3">
            <w:pPr>
              <w:spacing w:before="60" w:after="100"/>
              <w:jc w:val="left"/>
              <w:rPr>
                <w:sz w:val="20"/>
                <w:szCs w:val="20"/>
              </w:rPr>
            </w:pPr>
            <w:r w:rsidRPr="005F2B54">
              <w:rPr>
                <w:sz w:val="20"/>
                <w:szCs w:val="20"/>
              </w:rPr>
              <w:t>Affiliate power purchase agreements</w:t>
            </w:r>
          </w:p>
        </w:tc>
      </w:tr>
      <w:tr w:rsidR="00400085" w14:paraId="25C70BAE" w14:textId="77777777" w:rsidTr="00EB5B3C">
        <w:trPr>
          <w:trHeight w:val="138"/>
        </w:trPr>
        <w:tc>
          <w:tcPr>
            <w:tcW w:w="738" w:type="dxa"/>
            <w:shd w:val="clear" w:color="auto" w:fill="auto"/>
          </w:tcPr>
          <w:p w14:paraId="367E5F3F" w14:textId="77777777" w:rsidR="00400085" w:rsidRPr="005F2B54" w:rsidRDefault="00400085" w:rsidP="00C81DD3">
            <w:pPr>
              <w:spacing w:before="60" w:after="100"/>
              <w:rPr>
                <w:sz w:val="20"/>
                <w:szCs w:val="20"/>
              </w:rPr>
            </w:pPr>
            <w:r w:rsidRPr="005F2B54">
              <w:rPr>
                <w:sz w:val="20"/>
                <w:szCs w:val="20"/>
              </w:rPr>
              <w:t>11/04</w:t>
            </w:r>
          </w:p>
        </w:tc>
        <w:tc>
          <w:tcPr>
            <w:tcW w:w="1254" w:type="dxa"/>
            <w:shd w:val="clear" w:color="auto" w:fill="auto"/>
          </w:tcPr>
          <w:p w14:paraId="2918B886" w14:textId="77777777" w:rsidR="00400085" w:rsidRPr="005F2B54" w:rsidRDefault="00400085" w:rsidP="00C81DD3">
            <w:pPr>
              <w:spacing w:before="60" w:after="100"/>
              <w:rPr>
                <w:sz w:val="20"/>
                <w:szCs w:val="20"/>
              </w:rPr>
            </w:pPr>
            <w:r w:rsidRPr="005F2B54">
              <w:rPr>
                <w:sz w:val="20"/>
                <w:szCs w:val="20"/>
              </w:rPr>
              <w:t>03-035-19</w:t>
            </w:r>
          </w:p>
        </w:tc>
        <w:tc>
          <w:tcPr>
            <w:tcW w:w="1086" w:type="dxa"/>
            <w:shd w:val="clear" w:color="auto" w:fill="auto"/>
          </w:tcPr>
          <w:p w14:paraId="346BAED8"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221F56DB" w14:textId="77777777" w:rsidR="00400085" w:rsidRPr="005F2B54" w:rsidRDefault="00400085" w:rsidP="00C81DD3">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2753E6DA"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58CC041F" w14:textId="77777777" w:rsidR="00400085" w:rsidRPr="005F2B54" w:rsidRDefault="00400085" w:rsidP="00C81DD3">
            <w:pPr>
              <w:spacing w:before="60" w:after="100"/>
              <w:jc w:val="left"/>
              <w:rPr>
                <w:sz w:val="20"/>
                <w:szCs w:val="20"/>
              </w:rPr>
            </w:pPr>
            <w:r w:rsidRPr="005F2B54">
              <w:rPr>
                <w:sz w:val="20"/>
                <w:szCs w:val="20"/>
              </w:rPr>
              <w:t>Industrial customer’s request for a special economic development tariff</w:t>
            </w:r>
          </w:p>
        </w:tc>
      </w:tr>
      <w:tr w:rsidR="00400085" w14:paraId="3B5CB351" w14:textId="77777777" w:rsidTr="00EB5B3C">
        <w:trPr>
          <w:trHeight w:val="138"/>
        </w:trPr>
        <w:tc>
          <w:tcPr>
            <w:tcW w:w="738" w:type="dxa"/>
            <w:shd w:val="clear" w:color="auto" w:fill="auto"/>
          </w:tcPr>
          <w:p w14:paraId="6017D3B2" w14:textId="77777777" w:rsidR="00400085" w:rsidRPr="005F2B54" w:rsidRDefault="00400085" w:rsidP="00C81DD3">
            <w:pPr>
              <w:spacing w:before="60" w:after="100"/>
              <w:rPr>
                <w:sz w:val="20"/>
                <w:szCs w:val="20"/>
              </w:rPr>
            </w:pPr>
            <w:r w:rsidRPr="005F2B54">
              <w:rPr>
                <w:sz w:val="20"/>
                <w:szCs w:val="20"/>
              </w:rPr>
              <w:t>11/04</w:t>
            </w:r>
          </w:p>
        </w:tc>
        <w:tc>
          <w:tcPr>
            <w:tcW w:w="1254" w:type="dxa"/>
            <w:shd w:val="clear" w:color="auto" w:fill="auto"/>
          </w:tcPr>
          <w:p w14:paraId="0D214A6E" w14:textId="77777777" w:rsidR="00400085" w:rsidRPr="005F2B54" w:rsidRDefault="00400085" w:rsidP="00C81DD3">
            <w:pPr>
              <w:spacing w:before="60" w:after="100"/>
              <w:rPr>
                <w:sz w:val="20"/>
                <w:szCs w:val="20"/>
              </w:rPr>
            </w:pPr>
            <w:r w:rsidRPr="005F2B54">
              <w:rPr>
                <w:sz w:val="20"/>
                <w:szCs w:val="20"/>
              </w:rPr>
              <w:t>03-035-38</w:t>
            </w:r>
          </w:p>
        </w:tc>
        <w:tc>
          <w:tcPr>
            <w:tcW w:w="1086" w:type="dxa"/>
            <w:shd w:val="clear" w:color="auto" w:fill="auto"/>
          </w:tcPr>
          <w:p w14:paraId="51310D9D"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61E42DF4" w14:textId="77777777" w:rsidR="00400085" w:rsidRPr="005F2B54" w:rsidRDefault="00400085" w:rsidP="00C81DD3">
            <w:pPr>
              <w:spacing w:before="60" w:after="100"/>
              <w:ind w:left="72"/>
              <w:jc w:val="left"/>
              <w:rPr>
                <w:sz w:val="20"/>
                <w:szCs w:val="20"/>
              </w:rPr>
            </w:pPr>
            <w:r w:rsidRPr="005F2B54">
              <w:rPr>
                <w:sz w:val="20"/>
                <w:szCs w:val="20"/>
              </w:rPr>
              <w:t>Utah Committee for Consumer Services</w:t>
            </w:r>
          </w:p>
        </w:tc>
        <w:tc>
          <w:tcPr>
            <w:tcW w:w="1526" w:type="dxa"/>
            <w:shd w:val="clear" w:color="auto" w:fill="auto"/>
          </w:tcPr>
          <w:p w14:paraId="09C3D564"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38DE1873" w14:textId="77777777" w:rsidR="00400085" w:rsidRPr="005F2B54" w:rsidRDefault="00400085" w:rsidP="00C81DD3">
            <w:pPr>
              <w:spacing w:before="60" w:after="100"/>
              <w:jc w:val="left"/>
              <w:rPr>
                <w:sz w:val="20"/>
                <w:szCs w:val="20"/>
              </w:rPr>
            </w:pPr>
            <w:r w:rsidRPr="005F2B54">
              <w:rPr>
                <w:sz w:val="20"/>
                <w:szCs w:val="20"/>
              </w:rPr>
              <w:t>Large QF proceeding.</w:t>
            </w:r>
          </w:p>
        </w:tc>
      </w:tr>
      <w:tr w:rsidR="00400085" w14:paraId="1BC46419" w14:textId="77777777" w:rsidTr="00EB5B3C">
        <w:trPr>
          <w:trHeight w:val="138"/>
        </w:trPr>
        <w:tc>
          <w:tcPr>
            <w:tcW w:w="738" w:type="dxa"/>
            <w:shd w:val="clear" w:color="auto" w:fill="auto"/>
          </w:tcPr>
          <w:p w14:paraId="6E580576" w14:textId="77777777" w:rsidR="00400085" w:rsidRPr="005F2B54" w:rsidRDefault="00400085" w:rsidP="00C81DD3">
            <w:pPr>
              <w:spacing w:before="60" w:after="100"/>
              <w:rPr>
                <w:sz w:val="20"/>
                <w:szCs w:val="20"/>
              </w:rPr>
            </w:pPr>
            <w:r>
              <w:br w:type="page"/>
            </w:r>
            <w:r w:rsidRPr="005F2B54">
              <w:rPr>
                <w:sz w:val="20"/>
                <w:szCs w:val="20"/>
              </w:rPr>
              <w:t>03/05</w:t>
            </w:r>
          </w:p>
        </w:tc>
        <w:tc>
          <w:tcPr>
            <w:tcW w:w="1254" w:type="dxa"/>
            <w:shd w:val="clear" w:color="auto" w:fill="auto"/>
          </w:tcPr>
          <w:p w14:paraId="41D6744E" w14:textId="77777777" w:rsidR="00400085" w:rsidRPr="005F2B54" w:rsidRDefault="00400085" w:rsidP="00C81DD3">
            <w:pPr>
              <w:spacing w:before="60" w:after="100"/>
              <w:rPr>
                <w:sz w:val="20"/>
                <w:szCs w:val="20"/>
              </w:rPr>
            </w:pPr>
            <w:r>
              <w:rPr>
                <w:sz w:val="20"/>
                <w:szCs w:val="20"/>
              </w:rPr>
              <w:t>03-035-14</w:t>
            </w:r>
          </w:p>
        </w:tc>
        <w:tc>
          <w:tcPr>
            <w:tcW w:w="1086" w:type="dxa"/>
            <w:shd w:val="clear" w:color="auto" w:fill="auto"/>
          </w:tcPr>
          <w:p w14:paraId="5B38B8AA"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2A1133EA" w14:textId="77777777" w:rsidR="00400085" w:rsidRPr="005F2B54" w:rsidRDefault="00400085" w:rsidP="00C81DD3">
            <w:pPr>
              <w:spacing w:before="60" w:after="100"/>
              <w:jc w:val="left"/>
              <w:rPr>
                <w:sz w:val="20"/>
                <w:szCs w:val="20"/>
              </w:rPr>
            </w:pPr>
            <w:r w:rsidRPr="005F2B54">
              <w:rPr>
                <w:sz w:val="20"/>
                <w:szCs w:val="20"/>
              </w:rPr>
              <w:t xml:space="preserve">Utah Committee </w:t>
            </w:r>
            <w:r w:rsidRPr="005F2B54">
              <w:rPr>
                <w:sz w:val="20"/>
                <w:szCs w:val="20"/>
              </w:rPr>
              <w:lastRenderedPageBreak/>
              <w:t>for Consumer Services</w:t>
            </w:r>
          </w:p>
        </w:tc>
        <w:tc>
          <w:tcPr>
            <w:tcW w:w="1526" w:type="dxa"/>
            <w:shd w:val="clear" w:color="auto" w:fill="auto"/>
          </w:tcPr>
          <w:p w14:paraId="71016FE5" w14:textId="77777777" w:rsidR="00400085" w:rsidRPr="005F2B54" w:rsidRDefault="00400085" w:rsidP="00C81DD3">
            <w:pPr>
              <w:spacing w:before="60" w:after="100"/>
              <w:rPr>
                <w:sz w:val="20"/>
                <w:szCs w:val="20"/>
              </w:rPr>
            </w:pPr>
            <w:r w:rsidRPr="005F2B54">
              <w:rPr>
                <w:sz w:val="20"/>
                <w:szCs w:val="20"/>
              </w:rPr>
              <w:lastRenderedPageBreak/>
              <w:t>PacifiCorp</w:t>
            </w:r>
          </w:p>
        </w:tc>
        <w:tc>
          <w:tcPr>
            <w:tcW w:w="3446" w:type="dxa"/>
            <w:shd w:val="clear" w:color="auto" w:fill="auto"/>
          </w:tcPr>
          <w:p w14:paraId="5F2EA6DD" w14:textId="77777777" w:rsidR="00400085" w:rsidRPr="005F2B54" w:rsidRDefault="00400085" w:rsidP="00C81DD3">
            <w:pPr>
              <w:tabs>
                <w:tab w:val="left" w:pos="0"/>
                <w:tab w:val="left" w:pos="666"/>
                <w:tab w:val="left" w:pos="1500"/>
                <w:tab w:val="left" w:pos="1680"/>
                <w:tab w:val="left" w:pos="2442"/>
                <w:tab w:val="left" w:pos="2616"/>
                <w:tab w:val="left" w:pos="2892"/>
                <w:tab w:val="left" w:pos="4716"/>
                <w:tab w:val="left" w:pos="6642"/>
                <w:tab w:val="left" w:pos="7920"/>
                <w:tab w:val="left" w:pos="8448"/>
                <w:tab w:val="left" w:pos="8640"/>
              </w:tabs>
              <w:suppressAutoHyphens/>
              <w:spacing w:before="60" w:after="100"/>
              <w:jc w:val="left"/>
              <w:rPr>
                <w:sz w:val="20"/>
                <w:szCs w:val="20"/>
              </w:rPr>
            </w:pPr>
            <w:r>
              <w:rPr>
                <w:sz w:val="20"/>
                <w:szCs w:val="20"/>
              </w:rPr>
              <w:t>Co</w:t>
            </w:r>
            <w:r w:rsidRPr="005F2B54">
              <w:rPr>
                <w:sz w:val="20"/>
                <w:szCs w:val="20"/>
              </w:rPr>
              <w:t xml:space="preserve">ncerning PacifiCorp’s Schedule 38 </w:t>
            </w:r>
            <w:r w:rsidRPr="005F2B54">
              <w:rPr>
                <w:sz w:val="20"/>
                <w:szCs w:val="20"/>
              </w:rPr>
              <w:lastRenderedPageBreak/>
              <w:t>avoided cost tariff and remaining unsubscribed capacity</w:t>
            </w:r>
          </w:p>
        </w:tc>
      </w:tr>
      <w:tr w:rsidR="00400085" w14:paraId="2B31BF04" w14:textId="77777777" w:rsidTr="00EB5B3C">
        <w:trPr>
          <w:trHeight w:val="138"/>
        </w:trPr>
        <w:tc>
          <w:tcPr>
            <w:tcW w:w="738" w:type="dxa"/>
            <w:shd w:val="clear" w:color="auto" w:fill="auto"/>
          </w:tcPr>
          <w:p w14:paraId="5840D791" w14:textId="77777777" w:rsidR="00400085" w:rsidRPr="005F2B54" w:rsidRDefault="00400085" w:rsidP="00C81DD3">
            <w:pPr>
              <w:spacing w:before="60" w:after="100"/>
              <w:rPr>
                <w:rFonts w:cs="Calibri"/>
                <w:sz w:val="20"/>
                <w:szCs w:val="20"/>
              </w:rPr>
            </w:pPr>
            <w:r w:rsidRPr="005F2B54">
              <w:rPr>
                <w:rFonts w:cs="Calibri"/>
                <w:sz w:val="20"/>
                <w:szCs w:val="20"/>
              </w:rPr>
              <w:lastRenderedPageBreak/>
              <w:t>07/05</w:t>
            </w:r>
          </w:p>
        </w:tc>
        <w:tc>
          <w:tcPr>
            <w:tcW w:w="1254" w:type="dxa"/>
            <w:shd w:val="clear" w:color="auto" w:fill="auto"/>
          </w:tcPr>
          <w:p w14:paraId="4A9AB044" w14:textId="77777777" w:rsidR="00400085" w:rsidRPr="005F2B54" w:rsidRDefault="00400085" w:rsidP="00C81DD3">
            <w:pPr>
              <w:spacing w:before="60" w:after="100"/>
              <w:rPr>
                <w:rFonts w:cs="Calibri"/>
                <w:sz w:val="20"/>
                <w:szCs w:val="20"/>
              </w:rPr>
            </w:pPr>
            <w:r w:rsidRPr="005F2B54">
              <w:rPr>
                <w:rFonts w:cs="Calibri"/>
                <w:sz w:val="20"/>
                <w:szCs w:val="20"/>
              </w:rPr>
              <w:t>03-035-14</w:t>
            </w:r>
          </w:p>
        </w:tc>
        <w:tc>
          <w:tcPr>
            <w:tcW w:w="1086" w:type="dxa"/>
            <w:shd w:val="clear" w:color="auto" w:fill="auto"/>
          </w:tcPr>
          <w:p w14:paraId="2B68EB55"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7318F26B"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1F18EB35"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1A041F4E" w14:textId="77777777" w:rsidR="00400085" w:rsidRPr="005F2B54" w:rsidRDefault="00400085" w:rsidP="00C81DD3">
            <w:pPr>
              <w:spacing w:before="60" w:after="100"/>
              <w:jc w:val="left"/>
              <w:rPr>
                <w:rFonts w:cs="Calibri"/>
                <w:sz w:val="20"/>
                <w:szCs w:val="20"/>
              </w:rPr>
            </w:pPr>
            <w:r>
              <w:rPr>
                <w:rFonts w:cs="Calibri"/>
                <w:sz w:val="20"/>
                <w:szCs w:val="20"/>
              </w:rPr>
              <w:t>Concerning PacifiCorp’s Schedule 38 a</w:t>
            </w:r>
            <w:r w:rsidRPr="005F2B54">
              <w:rPr>
                <w:rFonts w:cs="Calibri"/>
                <w:sz w:val="20"/>
                <w:szCs w:val="20"/>
              </w:rPr>
              <w:t>voided cost proceeding</w:t>
            </w:r>
          </w:p>
        </w:tc>
      </w:tr>
      <w:tr w:rsidR="00400085" w14:paraId="24471A81" w14:textId="77777777" w:rsidTr="00EB5B3C">
        <w:trPr>
          <w:trHeight w:val="138"/>
        </w:trPr>
        <w:tc>
          <w:tcPr>
            <w:tcW w:w="738" w:type="dxa"/>
            <w:shd w:val="clear" w:color="auto" w:fill="auto"/>
          </w:tcPr>
          <w:p w14:paraId="2E79C177" w14:textId="77777777" w:rsidR="00400085" w:rsidRPr="005F2B54" w:rsidRDefault="00400085" w:rsidP="00C81DD3">
            <w:pPr>
              <w:spacing w:before="60" w:after="100"/>
              <w:rPr>
                <w:sz w:val="20"/>
                <w:szCs w:val="20"/>
              </w:rPr>
            </w:pPr>
            <w:r w:rsidRPr="005F2B54">
              <w:rPr>
                <w:sz w:val="20"/>
                <w:szCs w:val="20"/>
              </w:rPr>
              <w:t>12/05</w:t>
            </w:r>
          </w:p>
        </w:tc>
        <w:tc>
          <w:tcPr>
            <w:tcW w:w="1254" w:type="dxa"/>
            <w:shd w:val="clear" w:color="auto" w:fill="auto"/>
          </w:tcPr>
          <w:p w14:paraId="0FFFB0E0" w14:textId="77777777" w:rsidR="00400085" w:rsidRPr="005F2B54" w:rsidRDefault="00400085" w:rsidP="00C81DD3">
            <w:pPr>
              <w:spacing w:before="60" w:after="100"/>
              <w:rPr>
                <w:sz w:val="20"/>
                <w:szCs w:val="20"/>
              </w:rPr>
            </w:pPr>
            <w:r w:rsidRPr="005F2B54">
              <w:rPr>
                <w:sz w:val="20"/>
                <w:szCs w:val="20"/>
              </w:rPr>
              <w:t>04-035-42</w:t>
            </w:r>
          </w:p>
        </w:tc>
        <w:tc>
          <w:tcPr>
            <w:tcW w:w="1086" w:type="dxa"/>
            <w:shd w:val="clear" w:color="auto" w:fill="auto"/>
          </w:tcPr>
          <w:p w14:paraId="5F312F28"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7CEAEAB1"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5B3A8E59"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7073C485" w14:textId="77777777" w:rsidR="00400085" w:rsidRPr="005F2B54" w:rsidRDefault="00400085" w:rsidP="00C81DD3">
            <w:pPr>
              <w:spacing w:before="60" w:after="100"/>
              <w:jc w:val="left"/>
              <w:rPr>
                <w:sz w:val="20"/>
                <w:szCs w:val="20"/>
              </w:rPr>
            </w:pPr>
            <w:r>
              <w:rPr>
                <w:sz w:val="20"/>
                <w:szCs w:val="20"/>
              </w:rPr>
              <w:t>Net power costs in General Rate C</w:t>
            </w:r>
            <w:r w:rsidRPr="005F2B54">
              <w:rPr>
                <w:sz w:val="20"/>
                <w:szCs w:val="20"/>
              </w:rPr>
              <w:t>ase</w:t>
            </w:r>
          </w:p>
        </w:tc>
      </w:tr>
      <w:tr w:rsidR="00400085" w14:paraId="775FC68A" w14:textId="77777777" w:rsidTr="00EB5B3C">
        <w:trPr>
          <w:trHeight w:val="389"/>
        </w:trPr>
        <w:tc>
          <w:tcPr>
            <w:tcW w:w="738" w:type="dxa"/>
            <w:shd w:val="clear" w:color="auto" w:fill="auto"/>
          </w:tcPr>
          <w:p w14:paraId="56D087D3" w14:textId="77777777" w:rsidR="00400085" w:rsidRPr="005F2B54" w:rsidRDefault="00400085" w:rsidP="00C81DD3">
            <w:pPr>
              <w:spacing w:before="60" w:after="100"/>
              <w:rPr>
                <w:sz w:val="20"/>
                <w:szCs w:val="20"/>
              </w:rPr>
            </w:pPr>
            <w:r w:rsidRPr="005F2B54">
              <w:rPr>
                <w:sz w:val="20"/>
                <w:szCs w:val="20"/>
              </w:rPr>
              <w:t>04/06</w:t>
            </w:r>
          </w:p>
        </w:tc>
        <w:tc>
          <w:tcPr>
            <w:tcW w:w="1254" w:type="dxa"/>
            <w:shd w:val="clear" w:color="auto" w:fill="auto"/>
          </w:tcPr>
          <w:p w14:paraId="18F79600" w14:textId="77777777" w:rsidR="00400085" w:rsidRPr="005F2B54" w:rsidRDefault="00400085" w:rsidP="00C81DD3">
            <w:pPr>
              <w:spacing w:before="60" w:after="100"/>
              <w:rPr>
                <w:sz w:val="20"/>
                <w:szCs w:val="20"/>
              </w:rPr>
            </w:pPr>
            <w:r w:rsidRPr="005F2B54">
              <w:rPr>
                <w:sz w:val="20"/>
                <w:szCs w:val="20"/>
              </w:rPr>
              <w:t>05-035-54</w:t>
            </w:r>
          </w:p>
        </w:tc>
        <w:tc>
          <w:tcPr>
            <w:tcW w:w="1086" w:type="dxa"/>
            <w:shd w:val="clear" w:color="auto" w:fill="auto"/>
          </w:tcPr>
          <w:p w14:paraId="6D424A80"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2330FBCD"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29389F25" w14:textId="77777777" w:rsidR="00400085" w:rsidRPr="005F2B54" w:rsidRDefault="00400085" w:rsidP="00C81DD3">
            <w:pPr>
              <w:spacing w:before="60" w:after="100"/>
              <w:rPr>
                <w:sz w:val="20"/>
                <w:szCs w:val="20"/>
              </w:rPr>
            </w:pPr>
            <w:r w:rsidRPr="005F2B54">
              <w:rPr>
                <w:sz w:val="20"/>
                <w:szCs w:val="20"/>
              </w:rPr>
              <w:t>PacifiCorp</w:t>
            </w:r>
          </w:p>
        </w:tc>
        <w:tc>
          <w:tcPr>
            <w:tcW w:w="3446" w:type="dxa"/>
            <w:shd w:val="clear" w:color="auto" w:fill="auto"/>
          </w:tcPr>
          <w:p w14:paraId="7C3E26B4" w14:textId="77777777" w:rsidR="00400085" w:rsidRPr="005F2B54" w:rsidRDefault="00400085" w:rsidP="00C81DD3">
            <w:pPr>
              <w:spacing w:before="60" w:after="100"/>
              <w:jc w:val="left"/>
              <w:rPr>
                <w:sz w:val="20"/>
                <w:szCs w:val="20"/>
              </w:rPr>
            </w:pPr>
            <w:r w:rsidRPr="005F2B54">
              <w:rPr>
                <w:sz w:val="20"/>
                <w:szCs w:val="20"/>
              </w:rPr>
              <w:t>Certification request to expand Blundell Geothermal Power Station.  Related to Mid-American Energy Holding’s Acquisition of PacifiCorp</w:t>
            </w:r>
          </w:p>
        </w:tc>
      </w:tr>
      <w:tr w:rsidR="00400085" w14:paraId="00030304" w14:textId="77777777" w:rsidTr="00EB5B3C">
        <w:trPr>
          <w:trHeight w:val="138"/>
        </w:trPr>
        <w:tc>
          <w:tcPr>
            <w:tcW w:w="738" w:type="dxa"/>
            <w:shd w:val="clear" w:color="auto" w:fill="auto"/>
          </w:tcPr>
          <w:p w14:paraId="3050A5C7" w14:textId="77777777" w:rsidR="00400085" w:rsidRPr="005F2B54" w:rsidRDefault="00400085" w:rsidP="00C81DD3">
            <w:pPr>
              <w:spacing w:before="60" w:after="100"/>
              <w:rPr>
                <w:sz w:val="20"/>
                <w:szCs w:val="20"/>
              </w:rPr>
            </w:pPr>
            <w:r w:rsidRPr="005F2B54">
              <w:rPr>
                <w:sz w:val="20"/>
                <w:szCs w:val="20"/>
              </w:rPr>
              <w:t>05/06</w:t>
            </w:r>
          </w:p>
        </w:tc>
        <w:tc>
          <w:tcPr>
            <w:tcW w:w="1254" w:type="dxa"/>
            <w:shd w:val="clear" w:color="auto" w:fill="auto"/>
          </w:tcPr>
          <w:p w14:paraId="20F490B2" w14:textId="77777777" w:rsidR="00400085" w:rsidRPr="005F2B54" w:rsidRDefault="00400085" w:rsidP="00C81DD3">
            <w:pPr>
              <w:spacing w:before="60" w:after="100"/>
              <w:rPr>
                <w:sz w:val="20"/>
                <w:szCs w:val="20"/>
              </w:rPr>
            </w:pPr>
            <w:r w:rsidRPr="005F2B54">
              <w:rPr>
                <w:sz w:val="20"/>
                <w:szCs w:val="20"/>
              </w:rPr>
              <w:t>22403-U</w:t>
            </w:r>
          </w:p>
        </w:tc>
        <w:tc>
          <w:tcPr>
            <w:tcW w:w="1086" w:type="dxa"/>
            <w:shd w:val="clear" w:color="auto" w:fill="auto"/>
          </w:tcPr>
          <w:p w14:paraId="615FC87D" w14:textId="77777777" w:rsidR="00400085" w:rsidRPr="005F2B54" w:rsidRDefault="00400085" w:rsidP="00C81DD3">
            <w:pPr>
              <w:spacing w:before="60" w:after="100"/>
              <w:rPr>
                <w:sz w:val="20"/>
                <w:szCs w:val="20"/>
              </w:rPr>
            </w:pPr>
            <w:r w:rsidRPr="005F2B54">
              <w:rPr>
                <w:sz w:val="20"/>
                <w:szCs w:val="20"/>
              </w:rPr>
              <w:t>GA</w:t>
            </w:r>
          </w:p>
        </w:tc>
        <w:tc>
          <w:tcPr>
            <w:tcW w:w="1786" w:type="dxa"/>
            <w:gridSpan w:val="2"/>
            <w:shd w:val="clear" w:color="auto" w:fill="auto"/>
          </w:tcPr>
          <w:p w14:paraId="329B5CB8"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0D40DB9C" w14:textId="77777777" w:rsidR="00400085" w:rsidRPr="005F2B54" w:rsidRDefault="00400085" w:rsidP="00C81DD3">
            <w:pPr>
              <w:spacing w:before="60" w:after="100"/>
              <w:jc w:val="left"/>
              <w:rPr>
                <w:sz w:val="20"/>
                <w:szCs w:val="20"/>
              </w:rPr>
            </w:pPr>
            <w:r w:rsidRPr="005F2B54">
              <w:rPr>
                <w:sz w:val="20"/>
                <w:szCs w:val="20"/>
              </w:rPr>
              <w:t>Georgia Power and Savannah Electric</w:t>
            </w:r>
          </w:p>
        </w:tc>
        <w:tc>
          <w:tcPr>
            <w:tcW w:w="3446" w:type="dxa"/>
            <w:shd w:val="clear" w:color="auto" w:fill="auto"/>
          </w:tcPr>
          <w:p w14:paraId="0C359E35" w14:textId="77777777" w:rsidR="00400085" w:rsidRPr="005F2B54" w:rsidRDefault="00400085" w:rsidP="00C81DD3">
            <w:pPr>
              <w:spacing w:before="60" w:after="100"/>
              <w:jc w:val="left"/>
              <w:rPr>
                <w:sz w:val="20"/>
                <w:szCs w:val="20"/>
              </w:rPr>
            </w:pPr>
            <w:r w:rsidRPr="005F2B54">
              <w:rPr>
                <w:sz w:val="20"/>
                <w:szCs w:val="20"/>
              </w:rPr>
              <w:t>March 2006</w:t>
            </w:r>
            <w:r>
              <w:rPr>
                <w:sz w:val="20"/>
                <w:szCs w:val="20"/>
              </w:rPr>
              <w:t xml:space="preserve"> </w:t>
            </w:r>
            <w:r w:rsidRPr="005F2B54">
              <w:rPr>
                <w:sz w:val="20"/>
                <w:szCs w:val="20"/>
              </w:rPr>
              <w:t>fuel cost recovery filing</w:t>
            </w:r>
          </w:p>
        </w:tc>
      </w:tr>
      <w:tr w:rsidR="00400085" w14:paraId="4985F3CC" w14:textId="77777777" w:rsidTr="00EB5B3C">
        <w:trPr>
          <w:trHeight w:val="138"/>
        </w:trPr>
        <w:tc>
          <w:tcPr>
            <w:tcW w:w="738" w:type="dxa"/>
            <w:shd w:val="clear" w:color="auto" w:fill="auto"/>
          </w:tcPr>
          <w:p w14:paraId="0E9766EE" w14:textId="77777777" w:rsidR="00400085" w:rsidRPr="005F2B54" w:rsidRDefault="00400085" w:rsidP="00C81DD3">
            <w:pPr>
              <w:spacing w:before="60" w:after="100"/>
              <w:rPr>
                <w:rFonts w:cs="Calibri"/>
                <w:sz w:val="20"/>
                <w:szCs w:val="20"/>
              </w:rPr>
            </w:pPr>
            <w:r w:rsidRPr="005F2B54">
              <w:rPr>
                <w:rFonts w:cs="Calibri"/>
                <w:sz w:val="20"/>
                <w:szCs w:val="20"/>
              </w:rPr>
              <w:t>2006</w:t>
            </w:r>
          </w:p>
        </w:tc>
        <w:tc>
          <w:tcPr>
            <w:tcW w:w="1254" w:type="dxa"/>
            <w:shd w:val="clear" w:color="auto" w:fill="auto"/>
          </w:tcPr>
          <w:p w14:paraId="61546DF6" w14:textId="77777777" w:rsidR="00400085" w:rsidRPr="005F2B54" w:rsidRDefault="00400085" w:rsidP="00C81DD3">
            <w:pPr>
              <w:spacing w:before="60" w:after="100"/>
              <w:rPr>
                <w:rFonts w:cs="Calibri"/>
                <w:sz w:val="20"/>
                <w:szCs w:val="20"/>
              </w:rPr>
            </w:pPr>
            <w:r w:rsidRPr="005F2B54">
              <w:rPr>
                <w:rFonts w:cs="Calibri"/>
                <w:sz w:val="20"/>
                <w:szCs w:val="20"/>
              </w:rPr>
              <w:t>06-35-01</w:t>
            </w:r>
          </w:p>
        </w:tc>
        <w:tc>
          <w:tcPr>
            <w:tcW w:w="1086" w:type="dxa"/>
            <w:shd w:val="clear" w:color="auto" w:fill="auto"/>
          </w:tcPr>
          <w:p w14:paraId="7F0B5230" w14:textId="77777777" w:rsidR="00400085" w:rsidRPr="005F2B54" w:rsidRDefault="00400085" w:rsidP="00C81DD3">
            <w:pPr>
              <w:spacing w:before="60" w:after="100"/>
              <w:rPr>
                <w:rFonts w:cs="Calibri"/>
                <w:sz w:val="20"/>
                <w:szCs w:val="20"/>
              </w:rPr>
            </w:pPr>
            <w:r w:rsidRPr="005F2B54">
              <w:rPr>
                <w:rFonts w:cs="Calibri"/>
                <w:sz w:val="20"/>
                <w:szCs w:val="20"/>
              </w:rPr>
              <w:t>UT</w:t>
            </w:r>
          </w:p>
        </w:tc>
        <w:tc>
          <w:tcPr>
            <w:tcW w:w="1786" w:type="dxa"/>
            <w:gridSpan w:val="2"/>
            <w:shd w:val="clear" w:color="auto" w:fill="auto"/>
          </w:tcPr>
          <w:p w14:paraId="705CFF75"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3AC12DCE" w14:textId="77777777" w:rsidR="00400085" w:rsidRPr="005F2B54" w:rsidRDefault="00400085" w:rsidP="00C81DD3">
            <w:pPr>
              <w:spacing w:before="60" w:after="100"/>
              <w:jc w:val="left"/>
              <w:rPr>
                <w:sz w:val="20"/>
                <w:szCs w:val="20"/>
              </w:rPr>
            </w:pPr>
            <w:r w:rsidRPr="005F2B54">
              <w:rPr>
                <w:sz w:val="20"/>
                <w:szCs w:val="20"/>
              </w:rPr>
              <w:t>PacifiCorp</w:t>
            </w:r>
          </w:p>
        </w:tc>
        <w:tc>
          <w:tcPr>
            <w:tcW w:w="3446" w:type="dxa"/>
            <w:shd w:val="clear" w:color="auto" w:fill="auto"/>
          </w:tcPr>
          <w:p w14:paraId="20070CE2" w14:textId="77777777" w:rsidR="00400085" w:rsidRPr="005F2B54" w:rsidRDefault="00400085" w:rsidP="00C81DD3">
            <w:pPr>
              <w:spacing w:before="60" w:after="100"/>
              <w:jc w:val="left"/>
              <w:rPr>
                <w:rFonts w:cs="Calibri"/>
                <w:sz w:val="20"/>
                <w:szCs w:val="20"/>
              </w:rPr>
            </w:pPr>
            <w:r w:rsidRPr="005F2B54">
              <w:rPr>
                <w:rFonts w:cs="Calibri"/>
                <w:sz w:val="20"/>
                <w:szCs w:val="20"/>
              </w:rPr>
              <w:t>2006 rate case, net power costs</w:t>
            </w:r>
          </w:p>
        </w:tc>
      </w:tr>
      <w:tr w:rsidR="00400085" w14:paraId="0A52672B" w14:textId="77777777" w:rsidTr="00EB5B3C">
        <w:trPr>
          <w:trHeight w:val="138"/>
        </w:trPr>
        <w:tc>
          <w:tcPr>
            <w:tcW w:w="738" w:type="dxa"/>
            <w:shd w:val="clear" w:color="auto" w:fill="auto"/>
          </w:tcPr>
          <w:p w14:paraId="32E6ADB4" w14:textId="77777777" w:rsidR="00400085" w:rsidRPr="005F2B54" w:rsidRDefault="00400085" w:rsidP="00C81DD3">
            <w:pPr>
              <w:spacing w:before="60" w:after="100"/>
              <w:rPr>
                <w:sz w:val="20"/>
                <w:szCs w:val="20"/>
              </w:rPr>
            </w:pPr>
            <w:r w:rsidRPr="005F2B54">
              <w:rPr>
                <w:sz w:val="20"/>
                <w:szCs w:val="20"/>
              </w:rPr>
              <w:t>08/06</w:t>
            </w:r>
          </w:p>
        </w:tc>
        <w:tc>
          <w:tcPr>
            <w:tcW w:w="1254" w:type="dxa"/>
            <w:shd w:val="clear" w:color="auto" w:fill="auto"/>
          </w:tcPr>
          <w:p w14:paraId="56A2AF00" w14:textId="77777777" w:rsidR="00400085" w:rsidRPr="005F2B54" w:rsidRDefault="00400085" w:rsidP="00C81DD3">
            <w:pPr>
              <w:spacing w:before="60" w:after="100"/>
              <w:rPr>
                <w:sz w:val="20"/>
                <w:szCs w:val="20"/>
              </w:rPr>
            </w:pPr>
            <w:r w:rsidRPr="005F2B54">
              <w:rPr>
                <w:sz w:val="20"/>
                <w:szCs w:val="20"/>
              </w:rPr>
              <w:t>U-21453</w:t>
            </w:r>
          </w:p>
        </w:tc>
        <w:tc>
          <w:tcPr>
            <w:tcW w:w="1086" w:type="dxa"/>
            <w:shd w:val="clear" w:color="auto" w:fill="auto"/>
          </w:tcPr>
          <w:p w14:paraId="3A208052" w14:textId="77777777" w:rsidR="00400085" w:rsidRPr="005F2B54" w:rsidRDefault="00400085" w:rsidP="00C81DD3">
            <w:pPr>
              <w:spacing w:before="60" w:after="100"/>
              <w:rPr>
                <w:sz w:val="20"/>
                <w:szCs w:val="20"/>
              </w:rPr>
            </w:pPr>
            <w:r w:rsidRPr="005F2B54">
              <w:rPr>
                <w:sz w:val="20"/>
                <w:szCs w:val="20"/>
              </w:rPr>
              <w:t>LA</w:t>
            </w:r>
          </w:p>
        </w:tc>
        <w:tc>
          <w:tcPr>
            <w:tcW w:w="1786" w:type="dxa"/>
            <w:gridSpan w:val="2"/>
            <w:shd w:val="clear" w:color="auto" w:fill="auto"/>
          </w:tcPr>
          <w:p w14:paraId="0BE7A428" w14:textId="77777777" w:rsidR="00400085" w:rsidRPr="005F2B54" w:rsidRDefault="00400085" w:rsidP="00C81DD3">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50914841" w14:textId="77777777" w:rsidR="00400085" w:rsidRPr="005F2B54" w:rsidRDefault="00400085" w:rsidP="00C81DD3">
            <w:pPr>
              <w:spacing w:before="60" w:after="100"/>
              <w:jc w:val="left"/>
              <w:rPr>
                <w:sz w:val="20"/>
                <w:szCs w:val="20"/>
              </w:rPr>
            </w:pPr>
            <w:r w:rsidRPr="005F2B54">
              <w:rPr>
                <w:sz w:val="20"/>
                <w:szCs w:val="20"/>
              </w:rPr>
              <w:t>Entergy Gulf States</w:t>
            </w:r>
          </w:p>
        </w:tc>
        <w:tc>
          <w:tcPr>
            <w:tcW w:w="3446" w:type="dxa"/>
            <w:shd w:val="clear" w:color="auto" w:fill="auto"/>
          </w:tcPr>
          <w:p w14:paraId="708DC884" w14:textId="77777777" w:rsidR="00400085" w:rsidRPr="005F2B54" w:rsidRDefault="00400085" w:rsidP="00C81DD3">
            <w:pPr>
              <w:spacing w:before="60" w:after="100"/>
              <w:jc w:val="left"/>
              <w:rPr>
                <w:sz w:val="20"/>
                <w:szCs w:val="20"/>
              </w:rPr>
            </w:pPr>
            <w:r w:rsidRPr="005F2B54">
              <w:rPr>
                <w:sz w:val="20"/>
                <w:szCs w:val="20"/>
              </w:rPr>
              <w:t>Jurisdictional separation.</w:t>
            </w:r>
          </w:p>
        </w:tc>
      </w:tr>
      <w:tr w:rsidR="00400085" w14:paraId="6B0E4A03" w14:textId="77777777" w:rsidTr="00EB5B3C">
        <w:trPr>
          <w:trHeight w:val="138"/>
        </w:trPr>
        <w:tc>
          <w:tcPr>
            <w:tcW w:w="738" w:type="dxa"/>
            <w:shd w:val="clear" w:color="auto" w:fill="auto"/>
          </w:tcPr>
          <w:p w14:paraId="164C8FCD" w14:textId="77777777" w:rsidR="00400085" w:rsidRPr="005F2B54" w:rsidRDefault="00400085" w:rsidP="00C81DD3">
            <w:pPr>
              <w:spacing w:before="60" w:after="100"/>
              <w:rPr>
                <w:sz w:val="20"/>
                <w:szCs w:val="20"/>
              </w:rPr>
            </w:pPr>
            <w:r w:rsidRPr="005F2B54">
              <w:rPr>
                <w:sz w:val="20"/>
                <w:szCs w:val="20"/>
              </w:rPr>
              <w:t>11/06</w:t>
            </w:r>
          </w:p>
        </w:tc>
        <w:tc>
          <w:tcPr>
            <w:tcW w:w="1254" w:type="dxa"/>
            <w:shd w:val="clear" w:color="auto" w:fill="auto"/>
          </w:tcPr>
          <w:p w14:paraId="12356146" w14:textId="77777777" w:rsidR="00400085" w:rsidRPr="005F2B54" w:rsidRDefault="00400085" w:rsidP="00C81DD3">
            <w:pPr>
              <w:spacing w:before="60" w:after="100"/>
              <w:rPr>
                <w:sz w:val="20"/>
                <w:szCs w:val="20"/>
              </w:rPr>
            </w:pPr>
            <w:r w:rsidRPr="005F2B54">
              <w:rPr>
                <w:sz w:val="20"/>
                <w:szCs w:val="20"/>
              </w:rPr>
              <w:t>U-25116</w:t>
            </w:r>
          </w:p>
        </w:tc>
        <w:tc>
          <w:tcPr>
            <w:tcW w:w="1086" w:type="dxa"/>
            <w:shd w:val="clear" w:color="auto" w:fill="auto"/>
          </w:tcPr>
          <w:p w14:paraId="24E17DF1" w14:textId="77777777" w:rsidR="00400085" w:rsidRPr="005F2B54" w:rsidRDefault="00400085" w:rsidP="00C81DD3">
            <w:pPr>
              <w:spacing w:before="60" w:after="100"/>
              <w:rPr>
                <w:sz w:val="20"/>
                <w:szCs w:val="20"/>
              </w:rPr>
            </w:pPr>
            <w:r w:rsidRPr="005F2B54">
              <w:rPr>
                <w:sz w:val="20"/>
                <w:szCs w:val="20"/>
              </w:rPr>
              <w:t>LA</w:t>
            </w:r>
          </w:p>
        </w:tc>
        <w:tc>
          <w:tcPr>
            <w:tcW w:w="1786" w:type="dxa"/>
            <w:gridSpan w:val="2"/>
            <w:shd w:val="clear" w:color="auto" w:fill="auto"/>
          </w:tcPr>
          <w:p w14:paraId="79A95346" w14:textId="77777777" w:rsidR="00400085" w:rsidRPr="005F2B54" w:rsidRDefault="00400085" w:rsidP="00C81DD3">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6FECA4A1" w14:textId="77777777" w:rsidR="00400085" w:rsidRPr="005F2B54" w:rsidRDefault="00400085" w:rsidP="00C81DD3">
            <w:pPr>
              <w:spacing w:before="60" w:after="100"/>
              <w:jc w:val="left"/>
              <w:rPr>
                <w:sz w:val="20"/>
                <w:szCs w:val="20"/>
              </w:rPr>
            </w:pPr>
            <w:r w:rsidRPr="005F2B54">
              <w:rPr>
                <w:sz w:val="20"/>
                <w:szCs w:val="20"/>
              </w:rPr>
              <w:t>Entergy Louisiana</w:t>
            </w:r>
          </w:p>
        </w:tc>
        <w:tc>
          <w:tcPr>
            <w:tcW w:w="3446" w:type="dxa"/>
            <w:shd w:val="clear" w:color="auto" w:fill="auto"/>
          </w:tcPr>
          <w:p w14:paraId="6474AC99" w14:textId="77777777" w:rsidR="00400085" w:rsidRPr="005F2B54" w:rsidRDefault="00400085" w:rsidP="00C81DD3">
            <w:pPr>
              <w:spacing w:before="60" w:after="100"/>
              <w:jc w:val="left"/>
              <w:rPr>
                <w:sz w:val="20"/>
                <w:szCs w:val="20"/>
              </w:rPr>
            </w:pPr>
            <w:r w:rsidRPr="005F2B54">
              <w:rPr>
                <w:sz w:val="20"/>
                <w:szCs w:val="20"/>
              </w:rPr>
              <w:t>Fuel adjustment clause filings</w:t>
            </w:r>
          </w:p>
        </w:tc>
      </w:tr>
      <w:tr w:rsidR="00400085" w14:paraId="691A004F" w14:textId="77777777" w:rsidTr="00EB5B3C">
        <w:trPr>
          <w:trHeight w:val="138"/>
        </w:trPr>
        <w:tc>
          <w:tcPr>
            <w:tcW w:w="738" w:type="dxa"/>
            <w:shd w:val="clear" w:color="auto" w:fill="auto"/>
          </w:tcPr>
          <w:p w14:paraId="1E3A4C87" w14:textId="77777777" w:rsidR="00400085" w:rsidRPr="005F2B54" w:rsidRDefault="00400085" w:rsidP="00C81DD3">
            <w:pPr>
              <w:spacing w:before="60" w:after="100"/>
              <w:rPr>
                <w:sz w:val="20"/>
                <w:szCs w:val="20"/>
              </w:rPr>
            </w:pPr>
            <w:r w:rsidRPr="005F2B54">
              <w:rPr>
                <w:sz w:val="20"/>
                <w:szCs w:val="20"/>
              </w:rPr>
              <w:t>01/07</w:t>
            </w:r>
          </w:p>
        </w:tc>
        <w:tc>
          <w:tcPr>
            <w:tcW w:w="1254" w:type="dxa"/>
            <w:shd w:val="clear" w:color="auto" w:fill="auto"/>
          </w:tcPr>
          <w:p w14:paraId="3D969F33" w14:textId="77777777" w:rsidR="00400085" w:rsidRPr="005F2B54" w:rsidRDefault="00400085" w:rsidP="00C81DD3">
            <w:pPr>
              <w:spacing w:before="60" w:after="100"/>
              <w:rPr>
                <w:sz w:val="20"/>
                <w:szCs w:val="20"/>
              </w:rPr>
            </w:pPr>
            <w:r w:rsidRPr="005F2B54">
              <w:rPr>
                <w:sz w:val="20"/>
                <w:szCs w:val="20"/>
              </w:rPr>
              <w:t>23540-U</w:t>
            </w:r>
          </w:p>
        </w:tc>
        <w:tc>
          <w:tcPr>
            <w:tcW w:w="1086" w:type="dxa"/>
            <w:shd w:val="clear" w:color="auto" w:fill="auto"/>
          </w:tcPr>
          <w:p w14:paraId="56663E4B" w14:textId="77777777" w:rsidR="00400085" w:rsidRPr="005F2B54" w:rsidRDefault="00400085" w:rsidP="00C81DD3">
            <w:pPr>
              <w:spacing w:before="60" w:after="100"/>
              <w:rPr>
                <w:sz w:val="20"/>
                <w:szCs w:val="20"/>
              </w:rPr>
            </w:pPr>
            <w:r w:rsidRPr="005F2B54">
              <w:rPr>
                <w:sz w:val="20"/>
                <w:szCs w:val="20"/>
              </w:rPr>
              <w:t>GA</w:t>
            </w:r>
          </w:p>
        </w:tc>
        <w:tc>
          <w:tcPr>
            <w:tcW w:w="1786" w:type="dxa"/>
            <w:gridSpan w:val="2"/>
            <w:shd w:val="clear" w:color="auto" w:fill="auto"/>
          </w:tcPr>
          <w:p w14:paraId="2B70AA20"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1C3B502A"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2A7F1A20" w14:textId="77777777" w:rsidR="00400085" w:rsidRPr="005F2B54" w:rsidRDefault="00400085" w:rsidP="00C81DD3">
            <w:pPr>
              <w:spacing w:before="60" w:after="100"/>
              <w:jc w:val="left"/>
              <w:rPr>
                <w:sz w:val="20"/>
                <w:szCs w:val="20"/>
              </w:rPr>
            </w:pPr>
            <w:r w:rsidRPr="005F2B54">
              <w:rPr>
                <w:sz w:val="20"/>
                <w:szCs w:val="20"/>
              </w:rPr>
              <w:t>November 2005 fuel cost recovery filing</w:t>
            </w:r>
          </w:p>
        </w:tc>
      </w:tr>
      <w:tr w:rsidR="00400085" w14:paraId="36E619EE" w14:textId="77777777" w:rsidTr="00EB5B3C">
        <w:trPr>
          <w:trHeight w:val="138"/>
        </w:trPr>
        <w:tc>
          <w:tcPr>
            <w:tcW w:w="738" w:type="dxa"/>
            <w:shd w:val="clear" w:color="auto" w:fill="auto"/>
          </w:tcPr>
          <w:p w14:paraId="258AC9DE" w14:textId="77777777" w:rsidR="00400085" w:rsidRPr="005F2B54" w:rsidRDefault="00400085" w:rsidP="00C81DD3">
            <w:pPr>
              <w:spacing w:before="60" w:after="100"/>
              <w:rPr>
                <w:sz w:val="20"/>
                <w:szCs w:val="20"/>
              </w:rPr>
            </w:pPr>
            <w:r w:rsidRPr="005F2B54">
              <w:rPr>
                <w:sz w:val="20"/>
                <w:szCs w:val="20"/>
              </w:rPr>
              <w:t>04/07</w:t>
            </w:r>
          </w:p>
        </w:tc>
        <w:tc>
          <w:tcPr>
            <w:tcW w:w="1254" w:type="dxa"/>
            <w:shd w:val="clear" w:color="auto" w:fill="auto"/>
          </w:tcPr>
          <w:p w14:paraId="586F0417" w14:textId="77777777" w:rsidR="00400085" w:rsidRPr="005F2B54" w:rsidRDefault="00400085" w:rsidP="00C81DD3">
            <w:pPr>
              <w:spacing w:before="60" w:after="100"/>
              <w:rPr>
                <w:sz w:val="20"/>
                <w:szCs w:val="20"/>
              </w:rPr>
            </w:pPr>
            <w:r w:rsidRPr="005F2B54">
              <w:rPr>
                <w:sz w:val="20"/>
                <w:szCs w:val="20"/>
              </w:rPr>
              <w:t>07-035-93</w:t>
            </w:r>
          </w:p>
        </w:tc>
        <w:tc>
          <w:tcPr>
            <w:tcW w:w="1086" w:type="dxa"/>
            <w:shd w:val="clear" w:color="auto" w:fill="auto"/>
          </w:tcPr>
          <w:p w14:paraId="35FCDA45" w14:textId="77777777" w:rsidR="00400085" w:rsidRPr="005F2B54" w:rsidRDefault="00400085" w:rsidP="00C81DD3">
            <w:pPr>
              <w:spacing w:before="60" w:after="100"/>
              <w:rPr>
                <w:sz w:val="20"/>
                <w:szCs w:val="20"/>
              </w:rPr>
            </w:pPr>
            <w:r w:rsidRPr="005F2B54">
              <w:rPr>
                <w:sz w:val="20"/>
                <w:szCs w:val="20"/>
              </w:rPr>
              <w:t>UT</w:t>
            </w:r>
          </w:p>
        </w:tc>
        <w:tc>
          <w:tcPr>
            <w:tcW w:w="1786" w:type="dxa"/>
            <w:gridSpan w:val="2"/>
            <w:shd w:val="clear" w:color="auto" w:fill="auto"/>
          </w:tcPr>
          <w:p w14:paraId="404E62D5"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1A325016" w14:textId="77777777" w:rsidR="00400085" w:rsidRPr="005F2B54" w:rsidRDefault="00400085" w:rsidP="00C81DD3">
            <w:pPr>
              <w:spacing w:before="60" w:after="100"/>
              <w:jc w:val="left"/>
              <w:rPr>
                <w:sz w:val="20"/>
                <w:szCs w:val="20"/>
              </w:rPr>
            </w:pPr>
            <w:r w:rsidRPr="005F2B54">
              <w:rPr>
                <w:sz w:val="20"/>
                <w:szCs w:val="20"/>
              </w:rPr>
              <w:t>PacifiCorp</w:t>
            </w:r>
          </w:p>
        </w:tc>
        <w:tc>
          <w:tcPr>
            <w:tcW w:w="3446" w:type="dxa"/>
            <w:shd w:val="clear" w:color="auto" w:fill="auto"/>
          </w:tcPr>
          <w:p w14:paraId="17371324" w14:textId="77777777" w:rsidR="00400085" w:rsidRPr="005F2B54" w:rsidRDefault="00400085" w:rsidP="00C81DD3">
            <w:pPr>
              <w:spacing w:before="60" w:after="100"/>
              <w:jc w:val="left"/>
              <w:rPr>
                <w:sz w:val="20"/>
                <w:szCs w:val="20"/>
              </w:rPr>
            </w:pPr>
            <w:r w:rsidRPr="005F2B54">
              <w:rPr>
                <w:sz w:val="20"/>
                <w:szCs w:val="20"/>
              </w:rPr>
              <w:t xml:space="preserve">General </w:t>
            </w:r>
            <w:r>
              <w:rPr>
                <w:sz w:val="20"/>
                <w:szCs w:val="20"/>
              </w:rPr>
              <w:t>Rate C</w:t>
            </w:r>
            <w:r w:rsidRPr="005F2B54">
              <w:rPr>
                <w:sz w:val="20"/>
                <w:szCs w:val="20"/>
              </w:rPr>
              <w:t>ase</w:t>
            </w:r>
          </w:p>
        </w:tc>
      </w:tr>
      <w:tr w:rsidR="00400085" w14:paraId="7D7F24E0" w14:textId="77777777" w:rsidTr="00EB5B3C">
        <w:trPr>
          <w:trHeight w:val="138"/>
        </w:trPr>
        <w:tc>
          <w:tcPr>
            <w:tcW w:w="738" w:type="dxa"/>
            <w:shd w:val="clear" w:color="auto" w:fill="auto"/>
          </w:tcPr>
          <w:p w14:paraId="347D8EBC" w14:textId="77777777" w:rsidR="00400085" w:rsidRPr="005F2B54" w:rsidRDefault="00400085" w:rsidP="00C81DD3">
            <w:pPr>
              <w:spacing w:before="60" w:after="100"/>
              <w:rPr>
                <w:sz w:val="20"/>
                <w:szCs w:val="20"/>
              </w:rPr>
            </w:pPr>
            <w:r w:rsidRPr="005F2B54">
              <w:rPr>
                <w:sz w:val="20"/>
                <w:szCs w:val="20"/>
              </w:rPr>
              <w:t>06/07</w:t>
            </w:r>
          </w:p>
        </w:tc>
        <w:tc>
          <w:tcPr>
            <w:tcW w:w="1254" w:type="dxa"/>
            <w:shd w:val="clear" w:color="auto" w:fill="auto"/>
          </w:tcPr>
          <w:p w14:paraId="4FD9A2E1" w14:textId="77777777" w:rsidR="00400085" w:rsidRPr="005F2B54" w:rsidRDefault="00400085" w:rsidP="00C81DD3">
            <w:pPr>
              <w:spacing w:before="60" w:after="100"/>
              <w:rPr>
                <w:sz w:val="20"/>
                <w:szCs w:val="20"/>
              </w:rPr>
            </w:pPr>
            <w:r w:rsidRPr="005F2B54">
              <w:rPr>
                <w:sz w:val="20"/>
                <w:szCs w:val="20"/>
              </w:rPr>
              <w:t>24505-U</w:t>
            </w:r>
          </w:p>
        </w:tc>
        <w:tc>
          <w:tcPr>
            <w:tcW w:w="1086" w:type="dxa"/>
            <w:shd w:val="clear" w:color="auto" w:fill="auto"/>
          </w:tcPr>
          <w:p w14:paraId="6B4A70BF" w14:textId="77777777" w:rsidR="00400085" w:rsidRPr="005F2B54" w:rsidRDefault="00400085" w:rsidP="00C81DD3">
            <w:pPr>
              <w:spacing w:before="60" w:after="100"/>
              <w:rPr>
                <w:sz w:val="20"/>
                <w:szCs w:val="20"/>
              </w:rPr>
            </w:pPr>
            <w:r w:rsidRPr="005F2B54">
              <w:rPr>
                <w:sz w:val="20"/>
                <w:szCs w:val="20"/>
              </w:rPr>
              <w:t>GA</w:t>
            </w:r>
          </w:p>
        </w:tc>
        <w:tc>
          <w:tcPr>
            <w:tcW w:w="1786" w:type="dxa"/>
            <w:gridSpan w:val="2"/>
            <w:shd w:val="clear" w:color="auto" w:fill="auto"/>
          </w:tcPr>
          <w:p w14:paraId="21D43584"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6515D29B"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113D735B" w14:textId="77777777" w:rsidR="00400085" w:rsidRPr="005F2B54" w:rsidRDefault="00400085" w:rsidP="00C81DD3">
            <w:pPr>
              <w:spacing w:before="60" w:after="100"/>
              <w:jc w:val="left"/>
              <w:rPr>
                <w:sz w:val="20"/>
                <w:szCs w:val="20"/>
              </w:rPr>
            </w:pPr>
            <w:r>
              <w:rPr>
                <w:sz w:val="20"/>
                <w:szCs w:val="20"/>
              </w:rPr>
              <w:t>2007 Integrated Resource P</w:t>
            </w:r>
            <w:r w:rsidRPr="005F2B54">
              <w:rPr>
                <w:sz w:val="20"/>
                <w:szCs w:val="20"/>
              </w:rPr>
              <w:t xml:space="preserve">lanning </w:t>
            </w:r>
          </w:p>
        </w:tc>
      </w:tr>
      <w:tr w:rsidR="00400085" w14:paraId="50FB132F" w14:textId="77777777" w:rsidTr="00EB5B3C">
        <w:trPr>
          <w:cantSplit/>
          <w:trHeight w:val="138"/>
        </w:trPr>
        <w:tc>
          <w:tcPr>
            <w:tcW w:w="738" w:type="dxa"/>
            <w:shd w:val="clear" w:color="auto" w:fill="auto"/>
          </w:tcPr>
          <w:p w14:paraId="11B695C5" w14:textId="77777777" w:rsidR="00400085" w:rsidRPr="005F2B54" w:rsidRDefault="00400085" w:rsidP="00C81DD3">
            <w:pPr>
              <w:spacing w:before="60" w:after="100"/>
              <w:rPr>
                <w:rFonts w:cs="Calibri"/>
                <w:sz w:val="20"/>
                <w:szCs w:val="20"/>
              </w:rPr>
            </w:pPr>
            <w:r w:rsidRPr="005F2B54">
              <w:rPr>
                <w:sz w:val="20"/>
                <w:szCs w:val="20"/>
              </w:rPr>
              <w:t>10/07</w:t>
            </w:r>
          </w:p>
        </w:tc>
        <w:tc>
          <w:tcPr>
            <w:tcW w:w="1254" w:type="dxa"/>
            <w:shd w:val="clear" w:color="auto" w:fill="auto"/>
          </w:tcPr>
          <w:p w14:paraId="249C6BBA" w14:textId="77777777" w:rsidR="00400085" w:rsidRPr="005F2B54" w:rsidRDefault="00400085" w:rsidP="00C81DD3">
            <w:pPr>
              <w:spacing w:before="60" w:after="100"/>
              <w:rPr>
                <w:rFonts w:cs="Calibri"/>
                <w:sz w:val="20"/>
                <w:szCs w:val="20"/>
              </w:rPr>
            </w:pPr>
            <w:r w:rsidRPr="005F2B54">
              <w:rPr>
                <w:sz w:val="20"/>
                <w:szCs w:val="20"/>
              </w:rPr>
              <w:t>U-30334</w:t>
            </w:r>
          </w:p>
        </w:tc>
        <w:tc>
          <w:tcPr>
            <w:tcW w:w="1086" w:type="dxa"/>
            <w:shd w:val="clear" w:color="auto" w:fill="auto"/>
          </w:tcPr>
          <w:p w14:paraId="1FDD8B26" w14:textId="77777777" w:rsidR="00400085" w:rsidRPr="005F2B54" w:rsidRDefault="00400085" w:rsidP="00C81DD3">
            <w:pPr>
              <w:spacing w:before="60" w:after="100"/>
              <w:rPr>
                <w:rFonts w:cs="Calibri"/>
                <w:sz w:val="20"/>
                <w:szCs w:val="20"/>
              </w:rPr>
            </w:pPr>
            <w:r w:rsidRPr="005F2B54">
              <w:rPr>
                <w:sz w:val="20"/>
                <w:szCs w:val="20"/>
              </w:rPr>
              <w:t>LA</w:t>
            </w:r>
          </w:p>
        </w:tc>
        <w:tc>
          <w:tcPr>
            <w:tcW w:w="1786" w:type="dxa"/>
            <w:gridSpan w:val="2"/>
            <w:shd w:val="clear" w:color="auto" w:fill="auto"/>
          </w:tcPr>
          <w:p w14:paraId="112FFCB6" w14:textId="77777777" w:rsidR="00400085" w:rsidRPr="005F2B54" w:rsidRDefault="00400085" w:rsidP="00C81DD3">
            <w:pPr>
              <w:spacing w:before="60" w:after="100"/>
              <w:jc w:val="left"/>
              <w:rPr>
                <w:sz w:val="20"/>
                <w:szCs w:val="20"/>
              </w:rPr>
            </w:pPr>
            <w:r w:rsidRPr="005F2B54">
              <w:rPr>
                <w:sz w:val="20"/>
                <w:szCs w:val="20"/>
              </w:rPr>
              <w:t xml:space="preserve">Louisiana Public Service Commission </w:t>
            </w:r>
            <w:r>
              <w:rPr>
                <w:sz w:val="20"/>
                <w:szCs w:val="20"/>
              </w:rPr>
              <w:t>Staff</w:t>
            </w:r>
          </w:p>
        </w:tc>
        <w:tc>
          <w:tcPr>
            <w:tcW w:w="1526" w:type="dxa"/>
            <w:shd w:val="clear" w:color="auto" w:fill="auto"/>
          </w:tcPr>
          <w:p w14:paraId="78FE85AA" w14:textId="77777777" w:rsidR="00400085" w:rsidRPr="005F2B54" w:rsidRDefault="00400085" w:rsidP="00C81DD3">
            <w:pPr>
              <w:spacing w:before="60" w:after="100"/>
              <w:jc w:val="left"/>
              <w:rPr>
                <w:sz w:val="20"/>
                <w:szCs w:val="20"/>
              </w:rPr>
            </w:pPr>
            <w:r w:rsidRPr="005F2B54">
              <w:rPr>
                <w:sz w:val="20"/>
                <w:szCs w:val="20"/>
              </w:rPr>
              <w:t>Cleco Power</w:t>
            </w:r>
          </w:p>
        </w:tc>
        <w:tc>
          <w:tcPr>
            <w:tcW w:w="3446" w:type="dxa"/>
            <w:shd w:val="clear" w:color="auto" w:fill="auto"/>
          </w:tcPr>
          <w:p w14:paraId="575AC9C3" w14:textId="77777777" w:rsidR="00400085" w:rsidRPr="005F2B54" w:rsidRDefault="00400085" w:rsidP="00C81DD3">
            <w:pPr>
              <w:spacing w:before="60" w:after="100"/>
              <w:jc w:val="left"/>
              <w:rPr>
                <w:rFonts w:cs="Calibri"/>
                <w:sz w:val="20"/>
                <w:szCs w:val="20"/>
              </w:rPr>
            </w:pPr>
            <w:r>
              <w:rPr>
                <w:sz w:val="20"/>
                <w:szCs w:val="20"/>
              </w:rPr>
              <w:t>2008 Short-T</w:t>
            </w:r>
            <w:r w:rsidRPr="005F2B54">
              <w:rPr>
                <w:sz w:val="20"/>
                <w:szCs w:val="20"/>
              </w:rPr>
              <w:t>erm RFP</w:t>
            </w:r>
          </w:p>
        </w:tc>
      </w:tr>
      <w:tr w:rsidR="00400085" w14:paraId="52F3ED30" w14:textId="77777777" w:rsidTr="00EB5B3C">
        <w:trPr>
          <w:cantSplit/>
          <w:trHeight w:val="138"/>
        </w:trPr>
        <w:tc>
          <w:tcPr>
            <w:tcW w:w="738" w:type="dxa"/>
            <w:shd w:val="clear" w:color="auto" w:fill="auto"/>
          </w:tcPr>
          <w:p w14:paraId="4B1BC7A4" w14:textId="77777777" w:rsidR="00400085" w:rsidRPr="005F2B54" w:rsidRDefault="00400085" w:rsidP="00C81DD3">
            <w:pPr>
              <w:spacing w:before="60" w:after="100"/>
              <w:rPr>
                <w:rFonts w:cs="Calibri"/>
                <w:sz w:val="20"/>
                <w:szCs w:val="20"/>
              </w:rPr>
            </w:pPr>
            <w:r w:rsidRPr="005F2B54">
              <w:rPr>
                <w:sz w:val="20"/>
                <w:szCs w:val="20"/>
              </w:rPr>
              <w:t>04/08</w:t>
            </w:r>
          </w:p>
        </w:tc>
        <w:tc>
          <w:tcPr>
            <w:tcW w:w="1254" w:type="dxa"/>
            <w:shd w:val="clear" w:color="auto" w:fill="auto"/>
          </w:tcPr>
          <w:p w14:paraId="03C6C90E" w14:textId="77777777" w:rsidR="00400085" w:rsidRPr="005F2B54" w:rsidRDefault="00400085" w:rsidP="00C81DD3">
            <w:pPr>
              <w:spacing w:before="60" w:after="100"/>
              <w:rPr>
                <w:sz w:val="20"/>
                <w:szCs w:val="20"/>
              </w:rPr>
            </w:pPr>
            <w:r w:rsidRPr="005F2B54">
              <w:rPr>
                <w:sz w:val="20"/>
                <w:szCs w:val="20"/>
              </w:rPr>
              <w:t>26794-U</w:t>
            </w:r>
          </w:p>
          <w:p w14:paraId="7C1BD5D4" w14:textId="77777777" w:rsidR="00400085" w:rsidRPr="005F2B54" w:rsidRDefault="00400085" w:rsidP="00C81DD3">
            <w:pPr>
              <w:spacing w:before="60" w:after="100"/>
              <w:rPr>
                <w:rFonts w:cs="Calibri"/>
                <w:sz w:val="20"/>
                <w:szCs w:val="20"/>
              </w:rPr>
            </w:pPr>
            <w:r w:rsidRPr="005F2B54">
              <w:rPr>
                <w:sz w:val="20"/>
                <w:szCs w:val="20"/>
              </w:rPr>
              <w:t>(FCR-20)</w:t>
            </w:r>
          </w:p>
        </w:tc>
        <w:tc>
          <w:tcPr>
            <w:tcW w:w="1086" w:type="dxa"/>
            <w:shd w:val="clear" w:color="auto" w:fill="auto"/>
          </w:tcPr>
          <w:p w14:paraId="52E72B9D" w14:textId="77777777" w:rsidR="00400085" w:rsidRPr="005F2B54" w:rsidRDefault="00400085" w:rsidP="00C81DD3">
            <w:pPr>
              <w:spacing w:before="60" w:after="100"/>
              <w:rPr>
                <w:rFonts w:cs="Calibri"/>
                <w:sz w:val="20"/>
                <w:szCs w:val="20"/>
              </w:rPr>
            </w:pPr>
            <w:r w:rsidRPr="005F2B54">
              <w:rPr>
                <w:sz w:val="20"/>
                <w:szCs w:val="20"/>
              </w:rPr>
              <w:t>GA</w:t>
            </w:r>
          </w:p>
        </w:tc>
        <w:tc>
          <w:tcPr>
            <w:tcW w:w="1786" w:type="dxa"/>
            <w:gridSpan w:val="2"/>
            <w:shd w:val="clear" w:color="auto" w:fill="auto"/>
          </w:tcPr>
          <w:p w14:paraId="0980FAC8" w14:textId="77777777" w:rsidR="00400085" w:rsidRPr="005F2B54" w:rsidRDefault="00400085" w:rsidP="00C81DD3">
            <w:pPr>
              <w:spacing w:before="60" w:after="100"/>
              <w:jc w:val="left"/>
              <w:rPr>
                <w:rFonts w:cs="Calibri"/>
                <w:sz w:val="20"/>
                <w:szCs w:val="20"/>
              </w:rPr>
            </w:pPr>
            <w:r>
              <w:rPr>
                <w:sz w:val="20"/>
                <w:szCs w:val="20"/>
              </w:rPr>
              <w:t>Georgia Public Service Commission Staff</w:t>
            </w:r>
          </w:p>
        </w:tc>
        <w:tc>
          <w:tcPr>
            <w:tcW w:w="1526" w:type="dxa"/>
            <w:shd w:val="clear" w:color="auto" w:fill="auto"/>
          </w:tcPr>
          <w:p w14:paraId="34218ED8" w14:textId="77777777" w:rsidR="00400085" w:rsidRPr="005F2B54" w:rsidRDefault="00400085" w:rsidP="00C81DD3">
            <w:pPr>
              <w:spacing w:before="60" w:after="100"/>
              <w:jc w:val="left"/>
              <w:rPr>
                <w:rFonts w:cs="Calibri"/>
                <w:sz w:val="20"/>
                <w:szCs w:val="20"/>
              </w:rPr>
            </w:pPr>
            <w:r w:rsidRPr="005F2B54">
              <w:rPr>
                <w:sz w:val="20"/>
                <w:szCs w:val="20"/>
              </w:rPr>
              <w:t>Georgia Power</w:t>
            </w:r>
          </w:p>
        </w:tc>
        <w:tc>
          <w:tcPr>
            <w:tcW w:w="3446" w:type="dxa"/>
            <w:shd w:val="clear" w:color="auto" w:fill="auto"/>
          </w:tcPr>
          <w:p w14:paraId="0671B330" w14:textId="77777777" w:rsidR="00400085" w:rsidRPr="005F2B54" w:rsidRDefault="00400085" w:rsidP="00C81DD3">
            <w:pPr>
              <w:spacing w:before="60" w:after="100"/>
              <w:jc w:val="left"/>
              <w:rPr>
                <w:rFonts w:cs="Calibri"/>
                <w:sz w:val="20"/>
                <w:szCs w:val="20"/>
              </w:rPr>
            </w:pPr>
            <w:r w:rsidRPr="005F2B54">
              <w:rPr>
                <w:sz w:val="20"/>
                <w:szCs w:val="20"/>
              </w:rPr>
              <w:t>Fuel cost recovery filing</w:t>
            </w:r>
          </w:p>
        </w:tc>
      </w:tr>
      <w:tr w:rsidR="00400085" w14:paraId="6958383C" w14:textId="77777777" w:rsidTr="00EB5B3C">
        <w:trPr>
          <w:cantSplit/>
          <w:trHeight w:val="138"/>
        </w:trPr>
        <w:tc>
          <w:tcPr>
            <w:tcW w:w="738" w:type="dxa"/>
            <w:shd w:val="clear" w:color="auto" w:fill="auto"/>
          </w:tcPr>
          <w:p w14:paraId="72DF1F7A" w14:textId="77777777" w:rsidR="00400085" w:rsidRPr="005F2B54" w:rsidRDefault="00400085" w:rsidP="00C81DD3">
            <w:pPr>
              <w:spacing w:before="60" w:after="100"/>
              <w:rPr>
                <w:rFonts w:cs="Calibri"/>
                <w:spacing w:val="-2"/>
                <w:sz w:val="20"/>
                <w:szCs w:val="20"/>
              </w:rPr>
            </w:pPr>
            <w:r w:rsidRPr="005F2B54">
              <w:rPr>
                <w:spacing w:val="-2"/>
                <w:sz w:val="20"/>
                <w:szCs w:val="20"/>
              </w:rPr>
              <w:lastRenderedPageBreak/>
              <w:t>2008</w:t>
            </w:r>
          </w:p>
        </w:tc>
        <w:tc>
          <w:tcPr>
            <w:tcW w:w="1254" w:type="dxa"/>
            <w:shd w:val="clear" w:color="auto" w:fill="auto"/>
          </w:tcPr>
          <w:p w14:paraId="74C791BD" w14:textId="77777777" w:rsidR="00400085" w:rsidRPr="005F2B54" w:rsidRDefault="00400085" w:rsidP="00C81DD3">
            <w:pPr>
              <w:spacing w:before="60" w:after="100"/>
              <w:rPr>
                <w:rFonts w:cs="Calibri"/>
                <w:spacing w:val="-2"/>
                <w:sz w:val="20"/>
                <w:szCs w:val="20"/>
              </w:rPr>
            </w:pPr>
            <w:r w:rsidRPr="005F2B54">
              <w:rPr>
                <w:spacing w:val="-2"/>
                <w:sz w:val="20"/>
                <w:szCs w:val="20"/>
              </w:rPr>
              <w:t>6630-CE-299</w:t>
            </w:r>
          </w:p>
        </w:tc>
        <w:tc>
          <w:tcPr>
            <w:tcW w:w="1086" w:type="dxa"/>
            <w:shd w:val="clear" w:color="auto" w:fill="auto"/>
          </w:tcPr>
          <w:p w14:paraId="272EFAC5" w14:textId="77777777" w:rsidR="00400085" w:rsidRPr="005F2B54" w:rsidRDefault="00400085" w:rsidP="00C81DD3">
            <w:pPr>
              <w:spacing w:before="60" w:after="100"/>
              <w:rPr>
                <w:rFonts w:cs="Calibri"/>
                <w:spacing w:val="-2"/>
                <w:sz w:val="20"/>
                <w:szCs w:val="20"/>
              </w:rPr>
            </w:pPr>
            <w:r w:rsidRPr="005F2B54">
              <w:rPr>
                <w:spacing w:val="-2"/>
                <w:sz w:val="20"/>
                <w:szCs w:val="20"/>
              </w:rPr>
              <w:t>WI</w:t>
            </w:r>
          </w:p>
        </w:tc>
        <w:tc>
          <w:tcPr>
            <w:tcW w:w="1786" w:type="dxa"/>
            <w:gridSpan w:val="2"/>
            <w:shd w:val="clear" w:color="auto" w:fill="auto"/>
          </w:tcPr>
          <w:p w14:paraId="50571BD3" w14:textId="77777777" w:rsidR="00400085" w:rsidRPr="005F2B54" w:rsidRDefault="00400085" w:rsidP="00C81DD3">
            <w:pPr>
              <w:spacing w:before="60" w:after="100"/>
              <w:jc w:val="left"/>
              <w:rPr>
                <w:rFonts w:cs="Calibri"/>
                <w:spacing w:val="-2"/>
                <w:sz w:val="20"/>
                <w:szCs w:val="20"/>
              </w:rPr>
            </w:pPr>
            <w:r>
              <w:rPr>
                <w:spacing w:val="-2"/>
                <w:sz w:val="20"/>
                <w:szCs w:val="20"/>
              </w:rPr>
              <w:t>Wisconsin Industrial Energy Group, Inc.</w:t>
            </w:r>
          </w:p>
        </w:tc>
        <w:tc>
          <w:tcPr>
            <w:tcW w:w="1526" w:type="dxa"/>
            <w:shd w:val="clear" w:color="auto" w:fill="auto"/>
          </w:tcPr>
          <w:p w14:paraId="38D359B3" w14:textId="77777777" w:rsidR="00400085" w:rsidRPr="005F2B54" w:rsidRDefault="00400085" w:rsidP="00C81DD3">
            <w:pPr>
              <w:spacing w:before="60" w:after="100"/>
              <w:jc w:val="left"/>
              <w:rPr>
                <w:rFonts w:cs="Calibri"/>
                <w:spacing w:val="-2"/>
                <w:sz w:val="20"/>
                <w:szCs w:val="20"/>
              </w:rPr>
            </w:pPr>
            <w:r w:rsidRPr="005F2B54">
              <w:rPr>
                <w:spacing w:val="-2"/>
                <w:sz w:val="20"/>
                <w:szCs w:val="20"/>
              </w:rPr>
              <w:t>WEPCO</w:t>
            </w:r>
          </w:p>
        </w:tc>
        <w:tc>
          <w:tcPr>
            <w:tcW w:w="3446" w:type="dxa"/>
            <w:shd w:val="clear" w:color="auto" w:fill="auto"/>
          </w:tcPr>
          <w:p w14:paraId="1F24FF05" w14:textId="77777777" w:rsidR="00400085" w:rsidRPr="005F2B54" w:rsidRDefault="00400085" w:rsidP="00C81DD3">
            <w:pPr>
              <w:spacing w:before="60" w:after="100"/>
              <w:jc w:val="left"/>
              <w:rPr>
                <w:rFonts w:cs="Calibri"/>
                <w:spacing w:val="-2"/>
                <w:sz w:val="20"/>
                <w:szCs w:val="20"/>
              </w:rPr>
            </w:pPr>
            <w:r>
              <w:rPr>
                <w:spacing w:val="-2"/>
                <w:sz w:val="20"/>
                <w:szCs w:val="20"/>
              </w:rPr>
              <w:t>Certification Proceeding for e</w:t>
            </w:r>
            <w:r w:rsidRPr="005F2B54">
              <w:rPr>
                <w:spacing w:val="-2"/>
                <w:sz w:val="20"/>
                <w:szCs w:val="20"/>
              </w:rPr>
              <w:t>nvironmental upgrades at Oak Creek power plant</w:t>
            </w:r>
          </w:p>
        </w:tc>
      </w:tr>
      <w:tr w:rsidR="00400085" w14:paraId="1216A73F" w14:textId="77777777" w:rsidTr="00EB5B3C">
        <w:trPr>
          <w:cantSplit/>
          <w:trHeight w:val="138"/>
        </w:trPr>
        <w:tc>
          <w:tcPr>
            <w:tcW w:w="738" w:type="dxa"/>
            <w:shd w:val="clear" w:color="auto" w:fill="auto"/>
          </w:tcPr>
          <w:p w14:paraId="78723255" w14:textId="77777777" w:rsidR="00400085" w:rsidRPr="005F2B54" w:rsidRDefault="00400085" w:rsidP="00C81DD3">
            <w:pPr>
              <w:spacing w:before="60" w:after="100"/>
              <w:rPr>
                <w:sz w:val="20"/>
                <w:szCs w:val="20"/>
              </w:rPr>
            </w:pPr>
            <w:r w:rsidRPr="005F2B54">
              <w:rPr>
                <w:spacing w:val="-2"/>
                <w:sz w:val="20"/>
                <w:szCs w:val="20"/>
              </w:rPr>
              <w:t>07/08</w:t>
            </w:r>
          </w:p>
        </w:tc>
        <w:tc>
          <w:tcPr>
            <w:tcW w:w="1254" w:type="dxa"/>
            <w:shd w:val="clear" w:color="auto" w:fill="auto"/>
          </w:tcPr>
          <w:p w14:paraId="5001CD3B" w14:textId="77777777" w:rsidR="00400085" w:rsidRPr="005F2B54" w:rsidRDefault="00400085" w:rsidP="00C81DD3">
            <w:pPr>
              <w:spacing w:before="60" w:after="100"/>
              <w:rPr>
                <w:sz w:val="20"/>
                <w:szCs w:val="20"/>
              </w:rPr>
            </w:pPr>
            <w:r w:rsidRPr="005F2B54">
              <w:rPr>
                <w:spacing w:val="-2"/>
                <w:sz w:val="20"/>
                <w:szCs w:val="20"/>
              </w:rPr>
              <w:t>ER07-956</w:t>
            </w:r>
          </w:p>
        </w:tc>
        <w:tc>
          <w:tcPr>
            <w:tcW w:w="1086" w:type="dxa"/>
            <w:shd w:val="clear" w:color="auto" w:fill="auto"/>
          </w:tcPr>
          <w:p w14:paraId="702B2F11" w14:textId="77777777" w:rsidR="00400085" w:rsidRPr="005F2B54" w:rsidRDefault="00400085" w:rsidP="00C81DD3">
            <w:pPr>
              <w:spacing w:before="60" w:after="100"/>
              <w:rPr>
                <w:sz w:val="20"/>
                <w:szCs w:val="20"/>
              </w:rPr>
            </w:pPr>
            <w:r w:rsidRPr="005F2B54">
              <w:rPr>
                <w:spacing w:val="-2"/>
                <w:sz w:val="20"/>
                <w:szCs w:val="20"/>
              </w:rPr>
              <w:t>FERC</w:t>
            </w:r>
          </w:p>
        </w:tc>
        <w:tc>
          <w:tcPr>
            <w:tcW w:w="1786" w:type="dxa"/>
            <w:gridSpan w:val="2"/>
            <w:shd w:val="clear" w:color="auto" w:fill="auto"/>
          </w:tcPr>
          <w:p w14:paraId="43B988D3"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3FC2E4FD"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32D78BB0" w14:textId="77777777" w:rsidR="00400085" w:rsidRPr="005F2B54" w:rsidRDefault="00400085" w:rsidP="00C81DD3">
            <w:pPr>
              <w:spacing w:before="60" w:after="100"/>
              <w:jc w:val="left"/>
              <w:rPr>
                <w:sz w:val="20"/>
                <w:szCs w:val="20"/>
              </w:rPr>
            </w:pPr>
            <w:r>
              <w:rPr>
                <w:spacing w:val="-2"/>
                <w:sz w:val="20"/>
                <w:szCs w:val="20"/>
              </w:rPr>
              <w:t>2006 rough p</w:t>
            </w:r>
            <w:r w:rsidRPr="005F2B54">
              <w:rPr>
                <w:spacing w:val="-2"/>
                <w:sz w:val="20"/>
                <w:szCs w:val="20"/>
              </w:rPr>
              <w:t>roduction cost equalization compliance filing in the System Agreement case</w:t>
            </w:r>
          </w:p>
        </w:tc>
      </w:tr>
      <w:tr w:rsidR="00400085" w14:paraId="7EFEAEB8" w14:textId="77777777" w:rsidTr="00EB5B3C">
        <w:trPr>
          <w:trHeight w:val="138"/>
        </w:trPr>
        <w:tc>
          <w:tcPr>
            <w:tcW w:w="738" w:type="dxa"/>
            <w:shd w:val="clear" w:color="auto" w:fill="auto"/>
          </w:tcPr>
          <w:p w14:paraId="0A1ADA3B" w14:textId="77777777" w:rsidR="00400085" w:rsidRPr="005F2B54" w:rsidRDefault="00400085" w:rsidP="00C81DD3">
            <w:pPr>
              <w:spacing w:before="60" w:after="100"/>
              <w:rPr>
                <w:sz w:val="20"/>
                <w:szCs w:val="20"/>
              </w:rPr>
            </w:pPr>
            <w:r w:rsidRPr="005F2B54">
              <w:rPr>
                <w:rFonts w:cs="Calibri"/>
                <w:spacing w:val="-2"/>
                <w:sz w:val="20"/>
                <w:szCs w:val="20"/>
              </w:rPr>
              <w:t>09/08</w:t>
            </w:r>
          </w:p>
        </w:tc>
        <w:tc>
          <w:tcPr>
            <w:tcW w:w="1254" w:type="dxa"/>
            <w:shd w:val="clear" w:color="auto" w:fill="auto"/>
          </w:tcPr>
          <w:p w14:paraId="4332C1B4" w14:textId="77777777" w:rsidR="00400085" w:rsidRPr="005F2B54" w:rsidRDefault="00400085" w:rsidP="00C81DD3">
            <w:pPr>
              <w:spacing w:before="60" w:after="100"/>
              <w:rPr>
                <w:sz w:val="20"/>
                <w:szCs w:val="20"/>
              </w:rPr>
            </w:pPr>
            <w:r w:rsidRPr="005F2B54">
              <w:rPr>
                <w:rFonts w:cs="Calibri"/>
                <w:spacing w:val="-2"/>
                <w:sz w:val="20"/>
                <w:szCs w:val="20"/>
              </w:rPr>
              <w:t>6680-CE-</w:t>
            </w:r>
            <w:r>
              <w:rPr>
                <w:rFonts w:cs="Calibri"/>
                <w:spacing w:val="-2"/>
                <w:sz w:val="20"/>
                <w:szCs w:val="20"/>
              </w:rPr>
              <w:t>18</w:t>
            </w:r>
            <w:r w:rsidRPr="005F2B54">
              <w:rPr>
                <w:rFonts w:cs="Calibri"/>
                <w:spacing w:val="-2"/>
                <w:sz w:val="20"/>
                <w:szCs w:val="20"/>
              </w:rPr>
              <w:t>0</w:t>
            </w:r>
          </w:p>
        </w:tc>
        <w:tc>
          <w:tcPr>
            <w:tcW w:w="1086" w:type="dxa"/>
            <w:shd w:val="clear" w:color="auto" w:fill="auto"/>
          </w:tcPr>
          <w:p w14:paraId="0D3E000B" w14:textId="77777777" w:rsidR="00400085" w:rsidRPr="005F2B54" w:rsidRDefault="00400085" w:rsidP="00C81DD3">
            <w:pPr>
              <w:spacing w:before="60" w:after="100"/>
              <w:rPr>
                <w:sz w:val="20"/>
                <w:szCs w:val="20"/>
              </w:rPr>
            </w:pPr>
            <w:r w:rsidRPr="005F2B54">
              <w:rPr>
                <w:rFonts w:cs="Calibri"/>
                <w:spacing w:val="-2"/>
                <w:sz w:val="20"/>
                <w:szCs w:val="20"/>
              </w:rPr>
              <w:t>WI</w:t>
            </w:r>
          </w:p>
        </w:tc>
        <w:tc>
          <w:tcPr>
            <w:tcW w:w="1786" w:type="dxa"/>
            <w:gridSpan w:val="2"/>
            <w:shd w:val="clear" w:color="auto" w:fill="auto"/>
          </w:tcPr>
          <w:p w14:paraId="1E945DD2" w14:textId="77777777" w:rsidR="00400085" w:rsidRPr="005F2B54" w:rsidRDefault="00400085" w:rsidP="00C81DD3">
            <w:pPr>
              <w:spacing w:before="60" w:after="100"/>
              <w:jc w:val="left"/>
              <w:rPr>
                <w:sz w:val="20"/>
                <w:szCs w:val="20"/>
              </w:rPr>
            </w:pPr>
            <w:r w:rsidRPr="005F2B54">
              <w:rPr>
                <w:rFonts w:cs="Calibri"/>
                <w:spacing w:val="-2"/>
                <w:sz w:val="20"/>
                <w:szCs w:val="20"/>
              </w:rPr>
              <w:t xml:space="preserve">Wisconsin </w:t>
            </w:r>
            <w:r>
              <w:rPr>
                <w:rFonts w:cs="Calibri"/>
                <w:spacing w:val="-2"/>
                <w:sz w:val="20"/>
                <w:szCs w:val="20"/>
              </w:rPr>
              <w:t>Industrial Energy Group, Inc.</w:t>
            </w:r>
          </w:p>
        </w:tc>
        <w:tc>
          <w:tcPr>
            <w:tcW w:w="1526" w:type="dxa"/>
            <w:shd w:val="clear" w:color="auto" w:fill="auto"/>
          </w:tcPr>
          <w:p w14:paraId="3CE00121" w14:textId="77777777" w:rsidR="00400085" w:rsidRPr="005F2B54" w:rsidRDefault="00400085" w:rsidP="00C81DD3">
            <w:pPr>
              <w:spacing w:before="60" w:after="100"/>
              <w:jc w:val="left"/>
              <w:rPr>
                <w:sz w:val="20"/>
                <w:szCs w:val="20"/>
              </w:rPr>
            </w:pPr>
            <w:r w:rsidRPr="005F2B54">
              <w:rPr>
                <w:rFonts w:cs="Calibri"/>
                <w:spacing w:val="-2"/>
                <w:sz w:val="20"/>
                <w:szCs w:val="20"/>
              </w:rPr>
              <w:t>Wisconsin Power and Light</w:t>
            </w:r>
          </w:p>
        </w:tc>
        <w:tc>
          <w:tcPr>
            <w:tcW w:w="3446" w:type="dxa"/>
            <w:shd w:val="clear" w:color="auto" w:fill="auto"/>
          </w:tcPr>
          <w:p w14:paraId="78981F88" w14:textId="77777777" w:rsidR="00400085" w:rsidRPr="005F2B54" w:rsidRDefault="00400085" w:rsidP="00C81DD3">
            <w:pPr>
              <w:spacing w:before="60" w:after="100"/>
              <w:jc w:val="left"/>
              <w:rPr>
                <w:sz w:val="20"/>
                <w:szCs w:val="20"/>
              </w:rPr>
            </w:pPr>
            <w:r w:rsidRPr="005F2B54">
              <w:rPr>
                <w:rFonts w:cs="Calibri"/>
                <w:spacing w:val="-2"/>
                <w:sz w:val="20"/>
                <w:szCs w:val="20"/>
              </w:rPr>
              <w:t>Certification proceeding concerning Nelson-Dewey coal-fired generating unit</w:t>
            </w:r>
          </w:p>
        </w:tc>
      </w:tr>
      <w:tr w:rsidR="00400085" w14:paraId="7773C609" w14:textId="77777777" w:rsidTr="00EB5B3C">
        <w:trPr>
          <w:trHeight w:val="138"/>
        </w:trPr>
        <w:tc>
          <w:tcPr>
            <w:tcW w:w="738" w:type="dxa"/>
            <w:shd w:val="clear" w:color="auto" w:fill="auto"/>
          </w:tcPr>
          <w:p w14:paraId="0B81D50A" w14:textId="77777777" w:rsidR="00400085" w:rsidRPr="005F2B54" w:rsidRDefault="00400085" w:rsidP="00C81DD3">
            <w:pPr>
              <w:spacing w:before="60" w:after="100"/>
              <w:rPr>
                <w:sz w:val="20"/>
                <w:szCs w:val="20"/>
              </w:rPr>
            </w:pPr>
            <w:r w:rsidRPr="005F2B54">
              <w:rPr>
                <w:spacing w:val="-2"/>
                <w:sz w:val="20"/>
                <w:szCs w:val="20"/>
              </w:rPr>
              <w:t>11/08</w:t>
            </w:r>
          </w:p>
        </w:tc>
        <w:tc>
          <w:tcPr>
            <w:tcW w:w="1254" w:type="dxa"/>
            <w:shd w:val="clear" w:color="auto" w:fill="auto"/>
          </w:tcPr>
          <w:p w14:paraId="0ED68E6B" w14:textId="77777777" w:rsidR="00400085" w:rsidRPr="005F2B54" w:rsidRDefault="00400085" w:rsidP="00C81DD3">
            <w:pPr>
              <w:spacing w:before="60" w:after="100"/>
              <w:rPr>
                <w:sz w:val="20"/>
                <w:szCs w:val="20"/>
              </w:rPr>
            </w:pPr>
            <w:r w:rsidRPr="005F2B54">
              <w:rPr>
                <w:spacing w:val="-2"/>
                <w:sz w:val="20"/>
                <w:szCs w:val="20"/>
              </w:rPr>
              <w:t>08-15</w:t>
            </w:r>
            <w:r>
              <w:rPr>
                <w:spacing w:val="-2"/>
                <w:sz w:val="20"/>
                <w:szCs w:val="20"/>
              </w:rPr>
              <w:t>11-E-GI</w:t>
            </w:r>
          </w:p>
        </w:tc>
        <w:tc>
          <w:tcPr>
            <w:tcW w:w="1086" w:type="dxa"/>
            <w:shd w:val="clear" w:color="auto" w:fill="auto"/>
          </w:tcPr>
          <w:p w14:paraId="582251AC" w14:textId="77777777" w:rsidR="00400085" w:rsidRPr="005F2B54" w:rsidRDefault="00400085" w:rsidP="00C81DD3">
            <w:pPr>
              <w:spacing w:before="60" w:after="100"/>
              <w:rPr>
                <w:sz w:val="20"/>
                <w:szCs w:val="20"/>
              </w:rPr>
            </w:pPr>
            <w:r w:rsidRPr="005F2B54">
              <w:rPr>
                <w:spacing w:val="-2"/>
                <w:sz w:val="20"/>
                <w:szCs w:val="20"/>
              </w:rPr>
              <w:t>WV</w:t>
            </w:r>
          </w:p>
        </w:tc>
        <w:tc>
          <w:tcPr>
            <w:tcW w:w="1786" w:type="dxa"/>
            <w:gridSpan w:val="2"/>
            <w:shd w:val="clear" w:color="auto" w:fill="auto"/>
          </w:tcPr>
          <w:p w14:paraId="37A4132B" w14:textId="77777777" w:rsidR="00400085" w:rsidRPr="005F2B54" w:rsidRDefault="00400085" w:rsidP="00C81DD3">
            <w:pPr>
              <w:spacing w:before="60" w:after="100"/>
              <w:jc w:val="left"/>
              <w:rPr>
                <w:sz w:val="20"/>
                <w:szCs w:val="20"/>
              </w:rPr>
            </w:pPr>
            <w:r>
              <w:rPr>
                <w:spacing w:val="-2"/>
                <w:sz w:val="20"/>
                <w:szCs w:val="20"/>
              </w:rPr>
              <w:t>West Virginia Energy Users Group</w:t>
            </w:r>
          </w:p>
        </w:tc>
        <w:tc>
          <w:tcPr>
            <w:tcW w:w="1526" w:type="dxa"/>
            <w:shd w:val="clear" w:color="auto" w:fill="auto"/>
          </w:tcPr>
          <w:p w14:paraId="2C8030BD" w14:textId="77777777" w:rsidR="00400085" w:rsidRPr="005F2B54" w:rsidRDefault="00400085" w:rsidP="00C81DD3">
            <w:pPr>
              <w:spacing w:before="60" w:after="100"/>
              <w:jc w:val="left"/>
              <w:rPr>
                <w:sz w:val="20"/>
                <w:szCs w:val="20"/>
              </w:rPr>
            </w:pPr>
            <w:r>
              <w:rPr>
                <w:sz w:val="20"/>
                <w:szCs w:val="20"/>
              </w:rPr>
              <w:t>Allegheny Power</w:t>
            </w:r>
          </w:p>
        </w:tc>
        <w:tc>
          <w:tcPr>
            <w:tcW w:w="3446" w:type="dxa"/>
            <w:shd w:val="clear" w:color="auto" w:fill="auto"/>
          </w:tcPr>
          <w:p w14:paraId="4CDA8D83" w14:textId="77777777" w:rsidR="00400085" w:rsidRPr="005F2B54" w:rsidRDefault="00400085" w:rsidP="00C81DD3">
            <w:pPr>
              <w:spacing w:before="60" w:after="100"/>
              <w:jc w:val="left"/>
              <w:rPr>
                <w:sz w:val="20"/>
                <w:szCs w:val="20"/>
              </w:rPr>
            </w:pPr>
            <w:r w:rsidRPr="005F2B54">
              <w:rPr>
                <w:spacing w:val="-2"/>
                <w:sz w:val="20"/>
                <w:szCs w:val="20"/>
              </w:rPr>
              <w:t>Fuel cost recovery filing</w:t>
            </w:r>
            <w:r>
              <w:rPr>
                <w:spacing w:val="-2"/>
                <w:sz w:val="20"/>
                <w:szCs w:val="20"/>
              </w:rPr>
              <w:t xml:space="preserve"> </w:t>
            </w:r>
          </w:p>
        </w:tc>
      </w:tr>
      <w:tr w:rsidR="00400085" w14:paraId="4E2C564E" w14:textId="77777777" w:rsidTr="00EB5B3C">
        <w:trPr>
          <w:cantSplit/>
          <w:trHeight w:val="138"/>
        </w:trPr>
        <w:tc>
          <w:tcPr>
            <w:tcW w:w="738" w:type="dxa"/>
            <w:shd w:val="clear" w:color="auto" w:fill="auto"/>
          </w:tcPr>
          <w:p w14:paraId="2F81333E" w14:textId="77777777" w:rsidR="00400085" w:rsidRPr="005F2B54" w:rsidRDefault="00400085" w:rsidP="00C81DD3">
            <w:pPr>
              <w:spacing w:before="60" w:after="100"/>
              <w:rPr>
                <w:spacing w:val="-2"/>
                <w:sz w:val="20"/>
                <w:szCs w:val="20"/>
              </w:rPr>
            </w:pPr>
            <w:r w:rsidRPr="005F2B54">
              <w:rPr>
                <w:spacing w:val="-2"/>
                <w:sz w:val="20"/>
                <w:szCs w:val="20"/>
              </w:rPr>
              <w:t>12/08</w:t>
            </w:r>
          </w:p>
        </w:tc>
        <w:tc>
          <w:tcPr>
            <w:tcW w:w="1254" w:type="dxa"/>
            <w:shd w:val="clear" w:color="auto" w:fill="auto"/>
          </w:tcPr>
          <w:p w14:paraId="0A97A1A0" w14:textId="77777777" w:rsidR="00400085" w:rsidRPr="005F2B54" w:rsidRDefault="00400085" w:rsidP="00C81DD3">
            <w:pPr>
              <w:spacing w:before="60" w:after="100"/>
              <w:rPr>
                <w:spacing w:val="-2"/>
                <w:sz w:val="20"/>
                <w:szCs w:val="20"/>
              </w:rPr>
            </w:pPr>
            <w:r w:rsidRPr="005F2B54">
              <w:rPr>
                <w:spacing w:val="-2"/>
                <w:sz w:val="20"/>
                <w:szCs w:val="20"/>
              </w:rPr>
              <w:t>27800</w:t>
            </w:r>
            <w:r>
              <w:rPr>
                <w:spacing w:val="-2"/>
                <w:sz w:val="20"/>
                <w:szCs w:val="20"/>
              </w:rPr>
              <w:t>-U</w:t>
            </w:r>
          </w:p>
        </w:tc>
        <w:tc>
          <w:tcPr>
            <w:tcW w:w="1086" w:type="dxa"/>
            <w:shd w:val="clear" w:color="auto" w:fill="auto"/>
          </w:tcPr>
          <w:p w14:paraId="76203144" w14:textId="77777777" w:rsidR="00400085" w:rsidRPr="005F2B54" w:rsidRDefault="00400085" w:rsidP="00C81DD3">
            <w:pPr>
              <w:spacing w:before="60" w:after="100"/>
              <w:rPr>
                <w:spacing w:val="-2"/>
                <w:sz w:val="20"/>
                <w:szCs w:val="20"/>
              </w:rPr>
            </w:pPr>
            <w:r w:rsidRPr="005F2B54">
              <w:rPr>
                <w:sz w:val="20"/>
                <w:szCs w:val="20"/>
              </w:rPr>
              <w:t>GA</w:t>
            </w:r>
          </w:p>
        </w:tc>
        <w:tc>
          <w:tcPr>
            <w:tcW w:w="1786" w:type="dxa"/>
            <w:gridSpan w:val="2"/>
            <w:shd w:val="clear" w:color="auto" w:fill="auto"/>
          </w:tcPr>
          <w:p w14:paraId="4C0EFC1B"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75EA8221"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408F2286" w14:textId="77777777" w:rsidR="00400085" w:rsidRPr="005F2B54" w:rsidRDefault="00400085" w:rsidP="00C81DD3">
            <w:pPr>
              <w:spacing w:before="60" w:after="100"/>
              <w:jc w:val="left"/>
              <w:rPr>
                <w:spacing w:val="-2"/>
                <w:sz w:val="20"/>
                <w:szCs w:val="20"/>
              </w:rPr>
            </w:pPr>
            <w:r>
              <w:rPr>
                <w:spacing w:val="-2"/>
                <w:sz w:val="20"/>
                <w:szCs w:val="20"/>
              </w:rPr>
              <w:t>Vogtle 3 and 4 nuclear unit certification proceeding</w:t>
            </w:r>
          </w:p>
        </w:tc>
      </w:tr>
      <w:tr w:rsidR="00400085" w14:paraId="70B7752A" w14:textId="77777777" w:rsidTr="00EB5B3C">
        <w:trPr>
          <w:cantSplit/>
          <w:trHeight w:val="138"/>
        </w:trPr>
        <w:tc>
          <w:tcPr>
            <w:tcW w:w="738" w:type="dxa"/>
            <w:shd w:val="clear" w:color="auto" w:fill="auto"/>
          </w:tcPr>
          <w:p w14:paraId="15F7D032" w14:textId="77777777" w:rsidR="00400085" w:rsidRPr="005F2B54" w:rsidRDefault="00400085" w:rsidP="00C81DD3">
            <w:pPr>
              <w:spacing w:before="60" w:after="100"/>
              <w:rPr>
                <w:spacing w:val="-2"/>
                <w:sz w:val="20"/>
                <w:szCs w:val="20"/>
              </w:rPr>
            </w:pPr>
            <w:r w:rsidRPr="005F2B54">
              <w:rPr>
                <w:rFonts w:cs="Calibri"/>
                <w:spacing w:val="-2"/>
                <w:sz w:val="20"/>
                <w:szCs w:val="20"/>
              </w:rPr>
              <w:t>2008</w:t>
            </w:r>
          </w:p>
        </w:tc>
        <w:tc>
          <w:tcPr>
            <w:tcW w:w="1254" w:type="dxa"/>
            <w:shd w:val="clear" w:color="auto" w:fill="auto"/>
          </w:tcPr>
          <w:p w14:paraId="5EFACA2E"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08-035-35</w:t>
            </w:r>
          </w:p>
        </w:tc>
        <w:tc>
          <w:tcPr>
            <w:tcW w:w="1086" w:type="dxa"/>
            <w:shd w:val="clear" w:color="auto" w:fill="auto"/>
          </w:tcPr>
          <w:p w14:paraId="562B3381" w14:textId="77777777" w:rsidR="00400085" w:rsidRPr="005F2B54" w:rsidRDefault="00400085" w:rsidP="00C81DD3">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5263D22D" w14:textId="77777777" w:rsidR="00400085" w:rsidRPr="005F2B54" w:rsidRDefault="00400085" w:rsidP="00C81DD3">
            <w:pPr>
              <w:spacing w:before="60" w:after="100"/>
              <w:jc w:val="left"/>
              <w:rPr>
                <w:sz w:val="20"/>
                <w:szCs w:val="20"/>
              </w:rPr>
            </w:pPr>
            <w:r w:rsidRPr="005F2B54">
              <w:rPr>
                <w:sz w:val="20"/>
                <w:szCs w:val="20"/>
              </w:rPr>
              <w:t>Utah Committee for Consumer Services</w:t>
            </w:r>
          </w:p>
        </w:tc>
        <w:tc>
          <w:tcPr>
            <w:tcW w:w="1526" w:type="dxa"/>
            <w:shd w:val="clear" w:color="auto" w:fill="auto"/>
          </w:tcPr>
          <w:p w14:paraId="5A82DAEB" w14:textId="77777777" w:rsidR="00400085" w:rsidRPr="005F2B54" w:rsidRDefault="00400085" w:rsidP="00C81DD3">
            <w:pPr>
              <w:spacing w:before="60" w:after="100"/>
              <w:jc w:val="left"/>
              <w:rPr>
                <w:sz w:val="20"/>
                <w:szCs w:val="20"/>
              </w:rPr>
            </w:pPr>
            <w:r w:rsidRPr="005F2B54">
              <w:rPr>
                <w:sz w:val="20"/>
                <w:szCs w:val="20"/>
              </w:rPr>
              <w:t>PacifiCorp</w:t>
            </w:r>
          </w:p>
        </w:tc>
        <w:tc>
          <w:tcPr>
            <w:tcW w:w="3446" w:type="dxa"/>
            <w:shd w:val="clear" w:color="auto" w:fill="auto"/>
          </w:tcPr>
          <w:p w14:paraId="691549A7"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Chehalis Combine Cycle Power Plant based on a waiver of the RFP solicitation process</w:t>
            </w:r>
            <w:r>
              <w:rPr>
                <w:rFonts w:cs="Calibri"/>
                <w:spacing w:val="-2"/>
                <w:sz w:val="20"/>
                <w:szCs w:val="20"/>
              </w:rPr>
              <w:t xml:space="preserve"> certification proceeding</w:t>
            </w:r>
          </w:p>
        </w:tc>
      </w:tr>
      <w:tr w:rsidR="00400085" w14:paraId="54810EE7" w14:textId="77777777" w:rsidTr="00EB5B3C">
        <w:trPr>
          <w:cantSplit/>
          <w:trHeight w:val="138"/>
        </w:trPr>
        <w:tc>
          <w:tcPr>
            <w:tcW w:w="738" w:type="dxa"/>
            <w:shd w:val="clear" w:color="auto" w:fill="auto"/>
          </w:tcPr>
          <w:p w14:paraId="4916C2DE" w14:textId="77777777" w:rsidR="00400085" w:rsidRPr="005F2B54" w:rsidRDefault="00400085" w:rsidP="00C81DD3">
            <w:pPr>
              <w:spacing w:before="60" w:after="100"/>
              <w:rPr>
                <w:spacing w:val="-2"/>
                <w:sz w:val="20"/>
                <w:szCs w:val="20"/>
              </w:rPr>
            </w:pPr>
            <w:r w:rsidRPr="005F2B54">
              <w:rPr>
                <w:spacing w:val="-2"/>
                <w:sz w:val="20"/>
                <w:szCs w:val="20"/>
              </w:rPr>
              <w:t>07/09</w:t>
            </w:r>
          </w:p>
        </w:tc>
        <w:tc>
          <w:tcPr>
            <w:tcW w:w="1254" w:type="dxa"/>
            <w:shd w:val="clear" w:color="auto" w:fill="auto"/>
          </w:tcPr>
          <w:p w14:paraId="093EAD2C" w14:textId="77777777" w:rsidR="00400085" w:rsidRPr="005F2B54" w:rsidRDefault="00400085" w:rsidP="00C81DD3">
            <w:pPr>
              <w:spacing w:before="60" w:after="100"/>
              <w:rPr>
                <w:spacing w:val="-2"/>
                <w:sz w:val="20"/>
                <w:szCs w:val="20"/>
              </w:rPr>
            </w:pPr>
            <w:r w:rsidRPr="005F2B54">
              <w:rPr>
                <w:spacing w:val="-2"/>
                <w:sz w:val="20"/>
                <w:szCs w:val="20"/>
              </w:rPr>
              <w:t>ER08-1056</w:t>
            </w:r>
          </w:p>
        </w:tc>
        <w:tc>
          <w:tcPr>
            <w:tcW w:w="1086" w:type="dxa"/>
            <w:shd w:val="clear" w:color="auto" w:fill="auto"/>
          </w:tcPr>
          <w:p w14:paraId="44862163"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68BBB9D7" w14:textId="77777777" w:rsidR="00400085" w:rsidRPr="005F2B54" w:rsidRDefault="00400085" w:rsidP="00C81DD3">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04D55602" w14:textId="77777777" w:rsidR="00400085" w:rsidRPr="005F2B54" w:rsidRDefault="00400085" w:rsidP="00C81DD3">
            <w:pPr>
              <w:spacing w:before="60" w:after="100"/>
              <w:jc w:val="left"/>
              <w:rPr>
                <w:spacing w:val="-2"/>
                <w:sz w:val="20"/>
                <w:szCs w:val="20"/>
              </w:rPr>
            </w:pPr>
            <w:r w:rsidRPr="005F2B54">
              <w:rPr>
                <w:spacing w:val="-2"/>
                <w:sz w:val="20"/>
                <w:szCs w:val="20"/>
              </w:rPr>
              <w:t>Entergy</w:t>
            </w:r>
          </w:p>
        </w:tc>
        <w:tc>
          <w:tcPr>
            <w:tcW w:w="3446" w:type="dxa"/>
            <w:shd w:val="clear" w:color="auto" w:fill="auto"/>
          </w:tcPr>
          <w:p w14:paraId="07514998" w14:textId="77777777" w:rsidR="00400085" w:rsidRPr="005F2B54" w:rsidRDefault="00400085" w:rsidP="00C81DD3">
            <w:pPr>
              <w:spacing w:before="60" w:after="100"/>
              <w:jc w:val="left"/>
              <w:rPr>
                <w:spacing w:val="-2"/>
                <w:sz w:val="20"/>
                <w:szCs w:val="20"/>
              </w:rPr>
            </w:pPr>
            <w:r w:rsidRPr="005F2B54">
              <w:rPr>
                <w:spacing w:val="-2"/>
                <w:sz w:val="20"/>
                <w:szCs w:val="20"/>
              </w:rPr>
              <w:t>2007 rough production cost equalization compliance filing in the System Agreement case</w:t>
            </w:r>
          </w:p>
        </w:tc>
      </w:tr>
      <w:tr w:rsidR="00400085" w14:paraId="5468082E" w14:textId="77777777" w:rsidTr="00EB5B3C">
        <w:trPr>
          <w:cantSplit/>
          <w:trHeight w:val="138"/>
        </w:trPr>
        <w:tc>
          <w:tcPr>
            <w:tcW w:w="738" w:type="dxa"/>
            <w:shd w:val="clear" w:color="auto" w:fill="auto"/>
          </w:tcPr>
          <w:p w14:paraId="7625A714" w14:textId="77777777" w:rsidR="00400085" w:rsidRPr="005F2B54" w:rsidRDefault="00400085" w:rsidP="00C81DD3">
            <w:pPr>
              <w:spacing w:before="60" w:after="100"/>
              <w:rPr>
                <w:rFonts w:cs="Calibri"/>
                <w:spacing w:val="-2"/>
                <w:sz w:val="20"/>
                <w:szCs w:val="20"/>
              </w:rPr>
            </w:pPr>
            <w:r w:rsidRPr="005F2B54">
              <w:rPr>
                <w:spacing w:val="-2"/>
                <w:sz w:val="20"/>
                <w:szCs w:val="20"/>
              </w:rPr>
              <w:t>07/09</w:t>
            </w:r>
          </w:p>
        </w:tc>
        <w:tc>
          <w:tcPr>
            <w:tcW w:w="1254" w:type="dxa"/>
            <w:shd w:val="clear" w:color="auto" w:fill="auto"/>
          </w:tcPr>
          <w:p w14:paraId="1D87B170" w14:textId="77777777" w:rsidR="00400085" w:rsidRPr="005F2B54" w:rsidRDefault="00400085" w:rsidP="00C81DD3">
            <w:pPr>
              <w:keepNext/>
              <w:keepLines/>
              <w:pageBreakBefore/>
              <w:spacing w:before="60" w:after="100"/>
              <w:rPr>
                <w:rFonts w:cs="Calibri"/>
                <w:spacing w:val="-2"/>
                <w:sz w:val="20"/>
                <w:szCs w:val="20"/>
              </w:rPr>
            </w:pPr>
            <w:r w:rsidRPr="005F2B54">
              <w:rPr>
                <w:spacing w:val="-2"/>
                <w:sz w:val="20"/>
                <w:szCs w:val="20"/>
              </w:rPr>
              <w:t>U-30975</w:t>
            </w:r>
          </w:p>
        </w:tc>
        <w:tc>
          <w:tcPr>
            <w:tcW w:w="1086" w:type="dxa"/>
            <w:shd w:val="clear" w:color="auto" w:fill="auto"/>
          </w:tcPr>
          <w:p w14:paraId="79AEE33C" w14:textId="77777777" w:rsidR="00400085" w:rsidRPr="005F2B54" w:rsidRDefault="00400085" w:rsidP="00C81DD3">
            <w:pPr>
              <w:spacing w:before="60" w:after="100"/>
              <w:rPr>
                <w:rFonts w:cs="Calibri"/>
                <w:spacing w:val="-2"/>
                <w:sz w:val="20"/>
                <w:szCs w:val="20"/>
              </w:rPr>
            </w:pPr>
            <w:r w:rsidRPr="005F2B54">
              <w:rPr>
                <w:spacing w:val="-2"/>
                <w:sz w:val="20"/>
                <w:szCs w:val="20"/>
              </w:rPr>
              <w:t>LA</w:t>
            </w:r>
          </w:p>
        </w:tc>
        <w:tc>
          <w:tcPr>
            <w:tcW w:w="1786" w:type="dxa"/>
            <w:gridSpan w:val="2"/>
            <w:shd w:val="clear" w:color="auto" w:fill="auto"/>
          </w:tcPr>
          <w:p w14:paraId="455074ED" w14:textId="77777777" w:rsidR="00400085" w:rsidRPr="005F2B54" w:rsidRDefault="00400085" w:rsidP="00C81DD3">
            <w:pPr>
              <w:spacing w:before="60" w:after="100"/>
              <w:jc w:val="left"/>
              <w:rPr>
                <w:rFonts w:cs="Calibri"/>
                <w:spacing w:val="-2"/>
                <w:sz w:val="20"/>
                <w:szCs w:val="20"/>
              </w:rPr>
            </w:pPr>
            <w:r w:rsidRPr="005F2B54">
              <w:rPr>
                <w:spacing w:val="-2"/>
                <w:sz w:val="20"/>
                <w:szCs w:val="20"/>
              </w:rPr>
              <w:t>Louisiana Public Service Commission Staff</w:t>
            </w:r>
          </w:p>
        </w:tc>
        <w:tc>
          <w:tcPr>
            <w:tcW w:w="1526" w:type="dxa"/>
            <w:shd w:val="clear" w:color="auto" w:fill="auto"/>
          </w:tcPr>
          <w:p w14:paraId="3AA272F4" w14:textId="77777777" w:rsidR="00400085" w:rsidRPr="005F2B54" w:rsidRDefault="00400085" w:rsidP="00C81DD3">
            <w:pPr>
              <w:spacing w:before="60" w:after="100"/>
              <w:jc w:val="left"/>
              <w:rPr>
                <w:rFonts w:cs="Calibri"/>
                <w:spacing w:val="-2"/>
                <w:sz w:val="20"/>
                <w:szCs w:val="20"/>
              </w:rPr>
            </w:pPr>
            <w:r w:rsidRPr="005F2B54">
              <w:rPr>
                <w:spacing w:val="-2"/>
                <w:sz w:val="20"/>
                <w:szCs w:val="20"/>
              </w:rPr>
              <w:t xml:space="preserve">SWEPCO and Cleco </w:t>
            </w:r>
          </w:p>
        </w:tc>
        <w:tc>
          <w:tcPr>
            <w:tcW w:w="3446" w:type="dxa"/>
            <w:shd w:val="clear" w:color="auto" w:fill="auto"/>
          </w:tcPr>
          <w:p w14:paraId="0520BFBA" w14:textId="77777777" w:rsidR="00400085" w:rsidRPr="005F2B54" w:rsidRDefault="00400085" w:rsidP="00C81DD3">
            <w:pPr>
              <w:spacing w:before="60" w:after="100"/>
              <w:jc w:val="left"/>
              <w:rPr>
                <w:rFonts w:cs="Calibri"/>
                <w:spacing w:val="-2"/>
                <w:sz w:val="20"/>
                <w:szCs w:val="20"/>
              </w:rPr>
            </w:pPr>
            <w:r w:rsidRPr="005F2B54">
              <w:rPr>
                <w:spacing w:val="-2"/>
                <w:sz w:val="20"/>
                <w:szCs w:val="20"/>
              </w:rPr>
              <w:t>Application to acquire the Oxbow Mine to supply Dolet Hills Power Station</w:t>
            </w:r>
            <w:r>
              <w:rPr>
                <w:spacing w:val="-2"/>
                <w:sz w:val="20"/>
                <w:szCs w:val="20"/>
              </w:rPr>
              <w:t xml:space="preserve"> certification proceeding</w:t>
            </w:r>
          </w:p>
        </w:tc>
      </w:tr>
      <w:tr w:rsidR="00400085" w14:paraId="423687C8" w14:textId="77777777" w:rsidTr="00EB5B3C">
        <w:trPr>
          <w:cantSplit/>
          <w:trHeight w:val="138"/>
        </w:trPr>
        <w:tc>
          <w:tcPr>
            <w:tcW w:w="738" w:type="dxa"/>
            <w:shd w:val="clear" w:color="auto" w:fill="auto"/>
          </w:tcPr>
          <w:p w14:paraId="360E9CBC" w14:textId="77777777" w:rsidR="00400085" w:rsidRPr="005F2B54" w:rsidRDefault="00400085" w:rsidP="00C81DD3">
            <w:pPr>
              <w:spacing w:before="60" w:after="100"/>
              <w:rPr>
                <w:spacing w:val="-2"/>
                <w:sz w:val="20"/>
                <w:szCs w:val="20"/>
              </w:rPr>
            </w:pPr>
            <w:r w:rsidRPr="005F2B54">
              <w:rPr>
                <w:spacing w:val="-2"/>
                <w:sz w:val="20"/>
                <w:szCs w:val="20"/>
              </w:rPr>
              <w:t>09/09</w:t>
            </w:r>
          </w:p>
        </w:tc>
        <w:tc>
          <w:tcPr>
            <w:tcW w:w="1254" w:type="dxa"/>
            <w:shd w:val="clear" w:color="auto" w:fill="auto"/>
          </w:tcPr>
          <w:p w14:paraId="699FB1D5"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E015/PA-09-526</w:t>
            </w:r>
          </w:p>
        </w:tc>
        <w:tc>
          <w:tcPr>
            <w:tcW w:w="1086" w:type="dxa"/>
            <w:shd w:val="clear" w:color="auto" w:fill="auto"/>
          </w:tcPr>
          <w:p w14:paraId="2E763AE8" w14:textId="77777777" w:rsidR="00400085" w:rsidRPr="005F2B54" w:rsidRDefault="00400085" w:rsidP="00C81DD3">
            <w:pPr>
              <w:spacing w:before="60" w:after="100"/>
              <w:rPr>
                <w:spacing w:val="-2"/>
                <w:sz w:val="20"/>
                <w:szCs w:val="20"/>
              </w:rPr>
            </w:pPr>
            <w:r w:rsidRPr="005F2B54">
              <w:rPr>
                <w:spacing w:val="-2"/>
                <w:sz w:val="20"/>
                <w:szCs w:val="20"/>
              </w:rPr>
              <w:t>MN</w:t>
            </w:r>
          </w:p>
        </w:tc>
        <w:tc>
          <w:tcPr>
            <w:tcW w:w="1786" w:type="dxa"/>
            <w:gridSpan w:val="2"/>
            <w:shd w:val="clear" w:color="auto" w:fill="auto"/>
          </w:tcPr>
          <w:p w14:paraId="08BE99CC" w14:textId="77777777" w:rsidR="00400085" w:rsidRPr="005F2B54" w:rsidRDefault="00400085" w:rsidP="00C81DD3">
            <w:pPr>
              <w:spacing w:before="60" w:after="100"/>
              <w:jc w:val="left"/>
              <w:rPr>
                <w:spacing w:val="-2"/>
                <w:sz w:val="20"/>
                <w:szCs w:val="20"/>
              </w:rPr>
            </w:pPr>
            <w:r>
              <w:rPr>
                <w:spacing w:val="-2"/>
                <w:sz w:val="20"/>
                <w:szCs w:val="20"/>
              </w:rPr>
              <w:t>Large Power Intervenors</w:t>
            </w:r>
          </w:p>
        </w:tc>
        <w:tc>
          <w:tcPr>
            <w:tcW w:w="1526" w:type="dxa"/>
            <w:shd w:val="clear" w:color="auto" w:fill="auto"/>
          </w:tcPr>
          <w:p w14:paraId="131ECD7A" w14:textId="77777777" w:rsidR="00400085" w:rsidRPr="005F2B54" w:rsidRDefault="00400085" w:rsidP="00C81DD3">
            <w:pPr>
              <w:spacing w:before="60" w:after="100"/>
              <w:jc w:val="left"/>
              <w:rPr>
                <w:spacing w:val="-2"/>
                <w:sz w:val="20"/>
                <w:szCs w:val="20"/>
              </w:rPr>
            </w:pPr>
            <w:r w:rsidRPr="005F2B54">
              <w:rPr>
                <w:spacing w:val="-2"/>
                <w:sz w:val="20"/>
                <w:szCs w:val="20"/>
              </w:rPr>
              <w:t>Minnesota Power</w:t>
            </w:r>
          </w:p>
        </w:tc>
        <w:tc>
          <w:tcPr>
            <w:tcW w:w="3446" w:type="dxa"/>
            <w:shd w:val="clear" w:color="auto" w:fill="auto"/>
          </w:tcPr>
          <w:p w14:paraId="1FBD74CC" w14:textId="77777777" w:rsidR="00400085" w:rsidRPr="005F2B54" w:rsidRDefault="00400085" w:rsidP="00C81DD3">
            <w:pPr>
              <w:spacing w:before="60" w:after="100"/>
              <w:jc w:val="left"/>
              <w:rPr>
                <w:spacing w:val="-2"/>
                <w:sz w:val="20"/>
                <w:szCs w:val="20"/>
              </w:rPr>
            </w:pPr>
            <w:r w:rsidRPr="005F2B54">
              <w:rPr>
                <w:spacing w:val="-2"/>
                <w:sz w:val="20"/>
                <w:szCs w:val="20"/>
              </w:rPr>
              <w:t>Request for approval to purchase Square Butte’s 500 kV DC transmission line, restructure a coal based power purchase agreement</w:t>
            </w:r>
          </w:p>
        </w:tc>
      </w:tr>
      <w:tr w:rsidR="00400085" w14:paraId="34BD7C5C" w14:textId="77777777" w:rsidTr="00EB5B3C">
        <w:trPr>
          <w:cantSplit/>
          <w:trHeight w:val="138"/>
        </w:trPr>
        <w:tc>
          <w:tcPr>
            <w:tcW w:w="738" w:type="dxa"/>
            <w:shd w:val="clear" w:color="auto" w:fill="auto"/>
          </w:tcPr>
          <w:p w14:paraId="4103DD0C" w14:textId="77777777" w:rsidR="00400085" w:rsidRPr="005F2B54" w:rsidRDefault="00400085" w:rsidP="00C81DD3">
            <w:pPr>
              <w:spacing w:before="60" w:after="100"/>
              <w:rPr>
                <w:spacing w:val="-2"/>
                <w:sz w:val="20"/>
                <w:szCs w:val="20"/>
              </w:rPr>
            </w:pPr>
            <w:r w:rsidRPr="005F2B54">
              <w:rPr>
                <w:rFonts w:cs="Calibri"/>
                <w:spacing w:val="-2"/>
                <w:sz w:val="20"/>
                <w:szCs w:val="20"/>
              </w:rPr>
              <w:t>09/09</w:t>
            </w:r>
          </w:p>
        </w:tc>
        <w:tc>
          <w:tcPr>
            <w:tcW w:w="1254" w:type="dxa"/>
            <w:shd w:val="clear" w:color="auto" w:fill="auto"/>
          </w:tcPr>
          <w:p w14:paraId="4C43E396"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09-035-23</w:t>
            </w:r>
          </w:p>
          <w:p w14:paraId="637EBD3E"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Direct</w:t>
            </w:r>
          </w:p>
        </w:tc>
        <w:tc>
          <w:tcPr>
            <w:tcW w:w="1086" w:type="dxa"/>
            <w:shd w:val="clear" w:color="auto" w:fill="auto"/>
          </w:tcPr>
          <w:p w14:paraId="102EE5DE" w14:textId="77777777" w:rsidR="00400085" w:rsidRPr="005F2B54" w:rsidRDefault="00400085" w:rsidP="00C81DD3">
            <w:pPr>
              <w:spacing w:before="60" w:after="100"/>
              <w:rPr>
                <w:sz w:val="20"/>
                <w:szCs w:val="20"/>
              </w:rPr>
            </w:pPr>
            <w:r w:rsidRPr="005F2B54">
              <w:rPr>
                <w:rFonts w:cs="Calibri"/>
                <w:spacing w:val="-2"/>
                <w:sz w:val="20"/>
                <w:szCs w:val="20"/>
              </w:rPr>
              <w:t>UT</w:t>
            </w:r>
          </w:p>
        </w:tc>
        <w:tc>
          <w:tcPr>
            <w:tcW w:w="1786" w:type="dxa"/>
            <w:gridSpan w:val="2"/>
            <w:shd w:val="clear" w:color="auto" w:fill="auto"/>
          </w:tcPr>
          <w:p w14:paraId="7235302A" w14:textId="77777777" w:rsidR="00400085" w:rsidRPr="005F2B54" w:rsidRDefault="00400085" w:rsidP="00C81DD3">
            <w:pPr>
              <w:spacing w:before="60" w:after="100"/>
              <w:jc w:val="left"/>
              <w:rPr>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7D85B623" w14:textId="77777777" w:rsidR="00400085" w:rsidRPr="005F2B54" w:rsidRDefault="00400085" w:rsidP="00C81DD3">
            <w:pPr>
              <w:spacing w:before="60" w:after="100"/>
              <w:jc w:val="left"/>
              <w:rPr>
                <w:sz w:val="20"/>
                <w:szCs w:val="20"/>
              </w:rPr>
            </w:pPr>
            <w:r w:rsidRPr="005F2B54">
              <w:rPr>
                <w:sz w:val="20"/>
                <w:szCs w:val="20"/>
              </w:rPr>
              <w:t>PacifiCorp</w:t>
            </w:r>
          </w:p>
        </w:tc>
        <w:tc>
          <w:tcPr>
            <w:tcW w:w="3446" w:type="dxa"/>
            <w:shd w:val="clear" w:color="auto" w:fill="auto"/>
          </w:tcPr>
          <w:p w14:paraId="0DA958B9" w14:textId="77777777" w:rsidR="00400085" w:rsidRPr="005F2B54" w:rsidRDefault="00400085" w:rsidP="00C81DD3">
            <w:pPr>
              <w:spacing w:before="60" w:after="100"/>
              <w:jc w:val="left"/>
              <w:rPr>
                <w:spacing w:val="-2"/>
                <w:sz w:val="20"/>
                <w:szCs w:val="20"/>
              </w:rPr>
            </w:pPr>
            <w:r w:rsidRPr="005F2B54">
              <w:rPr>
                <w:rFonts w:cs="Calibri"/>
                <w:spacing w:val="-2"/>
                <w:sz w:val="20"/>
                <w:szCs w:val="20"/>
              </w:rPr>
              <w:t>2009 rate case, net power costs</w:t>
            </w:r>
          </w:p>
        </w:tc>
      </w:tr>
      <w:tr w:rsidR="00400085" w14:paraId="2564E477" w14:textId="77777777" w:rsidTr="00EB5B3C">
        <w:trPr>
          <w:cantSplit/>
          <w:trHeight w:val="138"/>
        </w:trPr>
        <w:tc>
          <w:tcPr>
            <w:tcW w:w="738" w:type="dxa"/>
            <w:shd w:val="clear" w:color="auto" w:fill="auto"/>
          </w:tcPr>
          <w:p w14:paraId="6458B661" w14:textId="77777777" w:rsidR="00400085" w:rsidRPr="005F2B54" w:rsidRDefault="00400085" w:rsidP="00C81DD3">
            <w:pPr>
              <w:spacing w:before="60" w:after="100"/>
              <w:rPr>
                <w:spacing w:val="-2"/>
                <w:sz w:val="20"/>
                <w:szCs w:val="20"/>
              </w:rPr>
            </w:pPr>
            <w:r w:rsidRPr="005F2B54">
              <w:rPr>
                <w:spacing w:val="-2"/>
                <w:sz w:val="20"/>
                <w:szCs w:val="20"/>
              </w:rPr>
              <w:t>10/09</w:t>
            </w:r>
          </w:p>
        </w:tc>
        <w:tc>
          <w:tcPr>
            <w:tcW w:w="1254" w:type="dxa"/>
            <w:shd w:val="clear" w:color="auto" w:fill="auto"/>
          </w:tcPr>
          <w:p w14:paraId="3A5982BA"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09A-415E</w:t>
            </w:r>
          </w:p>
        </w:tc>
        <w:tc>
          <w:tcPr>
            <w:tcW w:w="1086" w:type="dxa"/>
            <w:shd w:val="clear" w:color="auto" w:fill="auto"/>
          </w:tcPr>
          <w:p w14:paraId="16F8EB18" w14:textId="77777777" w:rsidR="00400085" w:rsidRPr="005F2B54" w:rsidRDefault="00400085" w:rsidP="00C81DD3">
            <w:pPr>
              <w:spacing w:before="60" w:after="100"/>
              <w:rPr>
                <w:spacing w:val="-2"/>
                <w:sz w:val="20"/>
                <w:szCs w:val="20"/>
              </w:rPr>
            </w:pPr>
            <w:r w:rsidRPr="005F2B54">
              <w:rPr>
                <w:spacing w:val="-2"/>
                <w:sz w:val="20"/>
                <w:szCs w:val="20"/>
              </w:rPr>
              <w:t>CO</w:t>
            </w:r>
          </w:p>
        </w:tc>
        <w:tc>
          <w:tcPr>
            <w:tcW w:w="1786" w:type="dxa"/>
            <w:gridSpan w:val="2"/>
            <w:shd w:val="clear" w:color="auto" w:fill="auto"/>
          </w:tcPr>
          <w:p w14:paraId="665FC32B" w14:textId="77777777" w:rsidR="00400085" w:rsidRPr="005F2B54" w:rsidRDefault="00400085" w:rsidP="00C81DD3">
            <w:pPr>
              <w:spacing w:before="60" w:after="100"/>
              <w:jc w:val="left"/>
              <w:rPr>
                <w:spacing w:val="-2"/>
                <w:sz w:val="20"/>
                <w:szCs w:val="20"/>
              </w:rPr>
            </w:pPr>
            <w:r w:rsidRPr="005F2B54">
              <w:rPr>
                <w:spacing w:val="-2"/>
                <w:sz w:val="20"/>
                <w:szCs w:val="20"/>
              </w:rPr>
              <w:t>Public Utilities Commission of Colorado</w:t>
            </w:r>
          </w:p>
        </w:tc>
        <w:tc>
          <w:tcPr>
            <w:tcW w:w="1526" w:type="dxa"/>
            <w:shd w:val="clear" w:color="auto" w:fill="auto"/>
          </w:tcPr>
          <w:p w14:paraId="02CF4575" w14:textId="77777777" w:rsidR="00400085" w:rsidRPr="005F2B54" w:rsidRDefault="00400085" w:rsidP="00C81DD3">
            <w:pPr>
              <w:spacing w:before="60" w:after="100"/>
              <w:jc w:val="left"/>
              <w:rPr>
                <w:spacing w:val="-2"/>
                <w:sz w:val="20"/>
                <w:szCs w:val="20"/>
              </w:rPr>
            </w:pPr>
            <w:r w:rsidRPr="005F2B54">
              <w:rPr>
                <w:spacing w:val="-2"/>
                <w:sz w:val="20"/>
                <w:szCs w:val="20"/>
              </w:rPr>
              <w:t>Black Hills/Colorado</w:t>
            </w:r>
          </w:p>
        </w:tc>
        <w:tc>
          <w:tcPr>
            <w:tcW w:w="3446" w:type="dxa"/>
            <w:shd w:val="clear" w:color="auto" w:fill="auto"/>
          </w:tcPr>
          <w:p w14:paraId="64A83E24" w14:textId="77777777" w:rsidR="00400085" w:rsidRPr="005F2B54" w:rsidRDefault="00400085" w:rsidP="00C81DD3">
            <w:pPr>
              <w:spacing w:before="60" w:after="100"/>
              <w:jc w:val="left"/>
              <w:rPr>
                <w:spacing w:val="-2"/>
                <w:sz w:val="20"/>
                <w:szCs w:val="20"/>
              </w:rPr>
            </w:pPr>
            <w:r w:rsidRPr="005F2B54">
              <w:rPr>
                <w:spacing w:val="-2"/>
                <w:sz w:val="20"/>
                <w:szCs w:val="20"/>
              </w:rPr>
              <w:t>CPCN application to construct two LMS 100 natural gas combustion turbine units</w:t>
            </w:r>
          </w:p>
        </w:tc>
      </w:tr>
      <w:tr w:rsidR="00400085" w14:paraId="77D6437D" w14:textId="77777777" w:rsidTr="00EB5B3C">
        <w:trPr>
          <w:cantSplit/>
          <w:trHeight w:val="138"/>
        </w:trPr>
        <w:tc>
          <w:tcPr>
            <w:tcW w:w="738" w:type="dxa"/>
            <w:shd w:val="clear" w:color="auto" w:fill="auto"/>
          </w:tcPr>
          <w:p w14:paraId="2A9D7D9A" w14:textId="77777777" w:rsidR="00400085" w:rsidRPr="005F2B54" w:rsidRDefault="00400085" w:rsidP="00C81DD3">
            <w:pPr>
              <w:spacing w:before="60" w:after="100"/>
              <w:rPr>
                <w:spacing w:val="-2"/>
                <w:sz w:val="20"/>
                <w:szCs w:val="20"/>
              </w:rPr>
            </w:pPr>
            <w:r w:rsidRPr="005F2B54">
              <w:rPr>
                <w:rFonts w:cs="Calibri"/>
                <w:spacing w:val="-2"/>
                <w:sz w:val="20"/>
                <w:szCs w:val="20"/>
              </w:rPr>
              <w:t>10/09</w:t>
            </w:r>
          </w:p>
        </w:tc>
        <w:tc>
          <w:tcPr>
            <w:tcW w:w="1254" w:type="dxa"/>
            <w:shd w:val="clear" w:color="auto" w:fill="auto"/>
          </w:tcPr>
          <w:p w14:paraId="76E844A6"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09-035-23</w:t>
            </w:r>
          </w:p>
          <w:p w14:paraId="479E8DFD"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Sur</w:t>
            </w:r>
            <w:r>
              <w:rPr>
                <w:rFonts w:cs="Calibri"/>
                <w:spacing w:val="-2"/>
                <w:sz w:val="20"/>
                <w:szCs w:val="20"/>
              </w:rPr>
              <w:t>r</w:t>
            </w:r>
            <w:r w:rsidRPr="005F2B54">
              <w:rPr>
                <w:rFonts w:cs="Calibri"/>
                <w:spacing w:val="-2"/>
                <w:sz w:val="20"/>
                <w:szCs w:val="20"/>
              </w:rPr>
              <w:t>ebuttal</w:t>
            </w:r>
          </w:p>
        </w:tc>
        <w:tc>
          <w:tcPr>
            <w:tcW w:w="1086" w:type="dxa"/>
            <w:shd w:val="clear" w:color="auto" w:fill="auto"/>
          </w:tcPr>
          <w:p w14:paraId="28B9FC27" w14:textId="77777777" w:rsidR="00400085" w:rsidRPr="005F2B54" w:rsidRDefault="00400085" w:rsidP="00C81DD3">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020B2476" w14:textId="77777777" w:rsidR="00400085" w:rsidRPr="005F2B54" w:rsidRDefault="00400085" w:rsidP="00C81DD3">
            <w:pPr>
              <w:spacing w:before="60" w:after="100"/>
              <w:jc w:val="left"/>
              <w:rPr>
                <w:spacing w:val="-2"/>
                <w:sz w:val="20"/>
                <w:szCs w:val="20"/>
              </w:rPr>
            </w:pPr>
            <w:r>
              <w:rPr>
                <w:sz w:val="20"/>
                <w:szCs w:val="20"/>
              </w:rPr>
              <w:t>Utah Office of</w:t>
            </w:r>
            <w:r w:rsidRPr="005F2B54">
              <w:rPr>
                <w:sz w:val="20"/>
                <w:szCs w:val="20"/>
              </w:rPr>
              <w:t xml:space="preserve"> Consumer Services</w:t>
            </w:r>
          </w:p>
        </w:tc>
        <w:tc>
          <w:tcPr>
            <w:tcW w:w="1526" w:type="dxa"/>
            <w:shd w:val="clear" w:color="auto" w:fill="auto"/>
          </w:tcPr>
          <w:p w14:paraId="00827081" w14:textId="77777777" w:rsidR="00400085" w:rsidRPr="005F2B54" w:rsidRDefault="00400085" w:rsidP="00C81DD3">
            <w:pPr>
              <w:spacing w:before="60" w:after="100"/>
              <w:jc w:val="left"/>
              <w:rPr>
                <w:spacing w:val="-2"/>
                <w:sz w:val="20"/>
                <w:szCs w:val="20"/>
              </w:rPr>
            </w:pPr>
            <w:r w:rsidRPr="005F2B54">
              <w:rPr>
                <w:sz w:val="20"/>
                <w:szCs w:val="20"/>
              </w:rPr>
              <w:t>PacifiCorp</w:t>
            </w:r>
          </w:p>
        </w:tc>
        <w:tc>
          <w:tcPr>
            <w:tcW w:w="3446" w:type="dxa"/>
            <w:shd w:val="clear" w:color="auto" w:fill="auto"/>
          </w:tcPr>
          <w:p w14:paraId="2722A9BB" w14:textId="77777777" w:rsidR="00400085" w:rsidRPr="005F2B54" w:rsidRDefault="00400085" w:rsidP="00C81DD3">
            <w:pPr>
              <w:spacing w:before="60" w:after="100"/>
              <w:jc w:val="left"/>
              <w:rPr>
                <w:spacing w:val="-2"/>
                <w:sz w:val="20"/>
                <w:szCs w:val="20"/>
              </w:rPr>
            </w:pPr>
            <w:r w:rsidRPr="005F2B54">
              <w:rPr>
                <w:rFonts w:cs="Calibri"/>
                <w:spacing w:val="-2"/>
                <w:sz w:val="20"/>
                <w:szCs w:val="20"/>
              </w:rPr>
              <w:t>2009 rate case, net power costs</w:t>
            </w:r>
          </w:p>
        </w:tc>
      </w:tr>
      <w:tr w:rsidR="00400085" w14:paraId="181CA270" w14:textId="77777777" w:rsidTr="00EB5B3C">
        <w:trPr>
          <w:cantSplit/>
          <w:trHeight w:val="138"/>
        </w:trPr>
        <w:tc>
          <w:tcPr>
            <w:tcW w:w="738" w:type="dxa"/>
            <w:shd w:val="clear" w:color="auto" w:fill="auto"/>
          </w:tcPr>
          <w:p w14:paraId="71E81A4A" w14:textId="77777777" w:rsidR="00400085" w:rsidRPr="005F2B54" w:rsidRDefault="00400085" w:rsidP="00C81DD3">
            <w:pPr>
              <w:spacing w:before="60" w:after="100"/>
              <w:rPr>
                <w:spacing w:val="-2"/>
                <w:sz w:val="20"/>
                <w:szCs w:val="20"/>
              </w:rPr>
            </w:pPr>
            <w:r w:rsidRPr="005F2B54">
              <w:rPr>
                <w:spacing w:val="-2"/>
                <w:sz w:val="20"/>
                <w:szCs w:val="20"/>
              </w:rPr>
              <w:t>12/09</w:t>
            </w:r>
          </w:p>
        </w:tc>
        <w:tc>
          <w:tcPr>
            <w:tcW w:w="1254" w:type="dxa"/>
            <w:shd w:val="clear" w:color="auto" w:fill="auto"/>
          </w:tcPr>
          <w:p w14:paraId="7045857C"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361EE8F3" w14:textId="77777777" w:rsidR="00400085" w:rsidRPr="005F2B54" w:rsidRDefault="00400085" w:rsidP="00C81DD3">
            <w:pPr>
              <w:spacing w:before="60" w:after="100"/>
              <w:rPr>
                <w:spacing w:val="-2"/>
                <w:sz w:val="20"/>
                <w:szCs w:val="20"/>
              </w:rPr>
            </w:pPr>
            <w:r w:rsidRPr="005F2B54">
              <w:rPr>
                <w:sz w:val="20"/>
                <w:szCs w:val="20"/>
              </w:rPr>
              <w:t>GA</w:t>
            </w:r>
          </w:p>
        </w:tc>
        <w:tc>
          <w:tcPr>
            <w:tcW w:w="1786" w:type="dxa"/>
            <w:gridSpan w:val="2"/>
            <w:shd w:val="clear" w:color="auto" w:fill="auto"/>
          </w:tcPr>
          <w:p w14:paraId="5ADB7257"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2FBE590F"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346B6C0B" w14:textId="77777777" w:rsidR="00400085" w:rsidRPr="005F2B54" w:rsidRDefault="00400085" w:rsidP="00C81DD3">
            <w:pPr>
              <w:spacing w:before="60" w:after="100"/>
              <w:jc w:val="left"/>
              <w:rPr>
                <w:spacing w:val="-2"/>
                <w:sz w:val="20"/>
                <w:szCs w:val="20"/>
              </w:rPr>
            </w:pPr>
            <w:r w:rsidRPr="005F2B54">
              <w:rPr>
                <w:spacing w:val="-2"/>
                <w:sz w:val="20"/>
                <w:szCs w:val="20"/>
              </w:rPr>
              <w:t xml:space="preserve">First </w:t>
            </w:r>
            <w:r>
              <w:rPr>
                <w:rFonts w:cs="Calibri"/>
                <w:spacing w:val="-2"/>
                <w:sz w:val="20"/>
                <w:szCs w:val="20"/>
              </w:rPr>
              <w:t>Semi-Annual Vogtle Construction Monitoring Report</w:t>
            </w:r>
          </w:p>
        </w:tc>
      </w:tr>
      <w:tr w:rsidR="00400085" w14:paraId="7D80A32D" w14:textId="77777777" w:rsidTr="00EB5B3C">
        <w:trPr>
          <w:cantSplit/>
          <w:trHeight w:val="138"/>
        </w:trPr>
        <w:tc>
          <w:tcPr>
            <w:tcW w:w="738" w:type="dxa"/>
            <w:shd w:val="clear" w:color="auto" w:fill="auto"/>
          </w:tcPr>
          <w:p w14:paraId="1D905E42" w14:textId="77777777" w:rsidR="00400085" w:rsidRPr="005F2B54" w:rsidRDefault="00400085" w:rsidP="00C81DD3">
            <w:pPr>
              <w:spacing w:before="60" w:after="100"/>
              <w:rPr>
                <w:rFonts w:cs="Calibri"/>
                <w:spacing w:val="-2"/>
                <w:sz w:val="20"/>
                <w:szCs w:val="20"/>
              </w:rPr>
            </w:pPr>
            <w:r w:rsidRPr="005F2B54">
              <w:rPr>
                <w:spacing w:val="-2"/>
                <w:sz w:val="20"/>
                <w:szCs w:val="20"/>
              </w:rPr>
              <w:lastRenderedPageBreak/>
              <w:t>12/09</w:t>
            </w:r>
          </w:p>
        </w:tc>
        <w:tc>
          <w:tcPr>
            <w:tcW w:w="1254" w:type="dxa"/>
            <w:shd w:val="clear" w:color="auto" w:fill="auto"/>
          </w:tcPr>
          <w:p w14:paraId="467CCCF6" w14:textId="77777777" w:rsidR="00400085" w:rsidRPr="005F2B54" w:rsidRDefault="00400085" w:rsidP="00C81DD3">
            <w:pPr>
              <w:keepNext/>
              <w:keepLines/>
              <w:pageBreakBefore/>
              <w:spacing w:before="60" w:after="100"/>
              <w:rPr>
                <w:rFonts w:cs="Calibri"/>
                <w:spacing w:val="-2"/>
                <w:sz w:val="20"/>
                <w:szCs w:val="20"/>
              </w:rPr>
            </w:pPr>
            <w:r w:rsidRPr="005F2B54">
              <w:rPr>
                <w:spacing w:val="-2"/>
                <w:sz w:val="20"/>
                <w:szCs w:val="20"/>
              </w:rPr>
              <w:t>ER08-1224</w:t>
            </w:r>
          </w:p>
        </w:tc>
        <w:tc>
          <w:tcPr>
            <w:tcW w:w="1086" w:type="dxa"/>
            <w:shd w:val="clear" w:color="auto" w:fill="auto"/>
          </w:tcPr>
          <w:p w14:paraId="3CCFE20B" w14:textId="77777777" w:rsidR="00400085" w:rsidRPr="005F2B54" w:rsidRDefault="00400085" w:rsidP="00C81DD3">
            <w:pPr>
              <w:spacing w:before="60" w:after="100"/>
              <w:rPr>
                <w:rFonts w:cs="Calibri"/>
                <w:spacing w:val="-2"/>
                <w:sz w:val="20"/>
                <w:szCs w:val="20"/>
              </w:rPr>
            </w:pPr>
            <w:r w:rsidRPr="005F2B54">
              <w:rPr>
                <w:spacing w:val="-2"/>
                <w:sz w:val="20"/>
                <w:szCs w:val="20"/>
              </w:rPr>
              <w:t>FERC</w:t>
            </w:r>
          </w:p>
        </w:tc>
        <w:tc>
          <w:tcPr>
            <w:tcW w:w="1786" w:type="dxa"/>
            <w:gridSpan w:val="2"/>
            <w:shd w:val="clear" w:color="auto" w:fill="auto"/>
          </w:tcPr>
          <w:p w14:paraId="0E1F9053"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6BF068D6"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00F2CBCA" w14:textId="77777777" w:rsidR="00400085" w:rsidRPr="005F2B54" w:rsidRDefault="00400085" w:rsidP="00C81DD3">
            <w:pPr>
              <w:spacing w:before="60" w:after="100"/>
              <w:jc w:val="left"/>
              <w:rPr>
                <w:rFonts w:cs="Calibri"/>
                <w:spacing w:val="-2"/>
                <w:sz w:val="20"/>
                <w:szCs w:val="20"/>
              </w:rPr>
            </w:pPr>
            <w:r w:rsidRPr="005F2B54">
              <w:rPr>
                <w:spacing w:val="-2"/>
                <w:sz w:val="20"/>
                <w:szCs w:val="20"/>
              </w:rPr>
              <w:t>2008 production costs used to develop bandwidth payments</w:t>
            </w:r>
          </w:p>
        </w:tc>
      </w:tr>
      <w:tr w:rsidR="00400085" w14:paraId="2F7297AD" w14:textId="77777777" w:rsidTr="00EB5B3C">
        <w:trPr>
          <w:cantSplit/>
          <w:trHeight w:val="138"/>
        </w:trPr>
        <w:tc>
          <w:tcPr>
            <w:tcW w:w="738" w:type="dxa"/>
            <w:shd w:val="clear" w:color="auto" w:fill="auto"/>
          </w:tcPr>
          <w:p w14:paraId="4B00E84A"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2009</w:t>
            </w:r>
          </w:p>
        </w:tc>
        <w:tc>
          <w:tcPr>
            <w:tcW w:w="1254" w:type="dxa"/>
            <w:shd w:val="clear" w:color="auto" w:fill="auto"/>
          </w:tcPr>
          <w:p w14:paraId="7CDC3652"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09-2035-01</w:t>
            </w:r>
          </w:p>
        </w:tc>
        <w:tc>
          <w:tcPr>
            <w:tcW w:w="1086" w:type="dxa"/>
            <w:shd w:val="clear" w:color="auto" w:fill="auto"/>
          </w:tcPr>
          <w:p w14:paraId="271CE705"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1AD76EC7" w14:textId="77777777" w:rsidR="00400085" w:rsidRPr="005F2B54" w:rsidRDefault="00400085" w:rsidP="00C81DD3">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55C19877" w14:textId="77777777" w:rsidR="00400085" w:rsidRPr="005F2B54" w:rsidRDefault="00400085" w:rsidP="00C81DD3">
            <w:pPr>
              <w:spacing w:before="60" w:after="100"/>
              <w:jc w:val="left"/>
              <w:rPr>
                <w:spacing w:val="-2"/>
                <w:sz w:val="20"/>
                <w:szCs w:val="20"/>
              </w:rPr>
            </w:pPr>
            <w:r w:rsidRPr="005F2B54">
              <w:rPr>
                <w:sz w:val="20"/>
                <w:szCs w:val="20"/>
              </w:rPr>
              <w:t>PacifiCorp</w:t>
            </w:r>
          </w:p>
        </w:tc>
        <w:tc>
          <w:tcPr>
            <w:tcW w:w="3446" w:type="dxa"/>
            <w:shd w:val="clear" w:color="auto" w:fill="auto"/>
          </w:tcPr>
          <w:p w14:paraId="7F02F4B4"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2008 IRP</w:t>
            </w:r>
          </w:p>
        </w:tc>
      </w:tr>
      <w:tr w:rsidR="00400085" w14:paraId="1722A5F4" w14:textId="77777777" w:rsidTr="00EB5B3C">
        <w:trPr>
          <w:cantSplit/>
          <w:trHeight w:val="138"/>
        </w:trPr>
        <w:tc>
          <w:tcPr>
            <w:tcW w:w="738" w:type="dxa"/>
            <w:shd w:val="clear" w:color="auto" w:fill="auto"/>
          </w:tcPr>
          <w:p w14:paraId="5A318C1B" w14:textId="77777777" w:rsidR="00400085" w:rsidRPr="005F2B54" w:rsidRDefault="00400085" w:rsidP="00C81DD3">
            <w:pPr>
              <w:spacing w:before="60" w:after="100"/>
              <w:rPr>
                <w:rFonts w:cs="Calibri"/>
                <w:spacing w:val="-2"/>
                <w:sz w:val="20"/>
                <w:szCs w:val="20"/>
              </w:rPr>
            </w:pPr>
            <w:r w:rsidRPr="005F2B54">
              <w:rPr>
                <w:spacing w:val="-2"/>
                <w:sz w:val="20"/>
                <w:szCs w:val="20"/>
              </w:rPr>
              <w:t>01/10</w:t>
            </w:r>
          </w:p>
        </w:tc>
        <w:tc>
          <w:tcPr>
            <w:tcW w:w="1254" w:type="dxa"/>
            <w:shd w:val="clear" w:color="auto" w:fill="auto"/>
          </w:tcPr>
          <w:p w14:paraId="39D8D3DB" w14:textId="77777777" w:rsidR="00400085" w:rsidRPr="005F2B54" w:rsidRDefault="00400085" w:rsidP="00C81DD3">
            <w:pPr>
              <w:keepNext/>
              <w:keepLines/>
              <w:pageBreakBefore/>
              <w:spacing w:before="60" w:after="100"/>
              <w:rPr>
                <w:rFonts w:cs="Calibri"/>
                <w:spacing w:val="-2"/>
                <w:sz w:val="20"/>
                <w:szCs w:val="20"/>
              </w:rPr>
            </w:pPr>
            <w:r w:rsidRPr="005F2B54">
              <w:rPr>
                <w:spacing w:val="-2"/>
                <w:sz w:val="20"/>
                <w:szCs w:val="20"/>
              </w:rPr>
              <w:t>28945</w:t>
            </w:r>
            <w:r>
              <w:rPr>
                <w:spacing w:val="-2"/>
                <w:sz w:val="20"/>
                <w:szCs w:val="20"/>
              </w:rPr>
              <w:t>-U</w:t>
            </w:r>
          </w:p>
        </w:tc>
        <w:tc>
          <w:tcPr>
            <w:tcW w:w="1086" w:type="dxa"/>
            <w:shd w:val="clear" w:color="auto" w:fill="auto"/>
          </w:tcPr>
          <w:p w14:paraId="4E444F8D" w14:textId="77777777" w:rsidR="00400085" w:rsidRPr="005F2B54" w:rsidRDefault="00400085" w:rsidP="00C81DD3">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DACA9A4"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53F4D51D"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72A09FE2" w14:textId="77777777" w:rsidR="00400085" w:rsidRPr="005F2B54" w:rsidRDefault="00400085" w:rsidP="00C81DD3">
            <w:pPr>
              <w:spacing w:before="60" w:after="100"/>
              <w:jc w:val="left"/>
              <w:rPr>
                <w:rFonts w:cs="Calibri"/>
                <w:spacing w:val="-2"/>
                <w:sz w:val="20"/>
                <w:szCs w:val="20"/>
              </w:rPr>
            </w:pPr>
            <w:r w:rsidRPr="005F2B54">
              <w:rPr>
                <w:spacing w:val="-2"/>
                <w:sz w:val="20"/>
                <w:szCs w:val="20"/>
              </w:rPr>
              <w:t>Fuel cost recovery filing</w:t>
            </w:r>
          </w:p>
        </w:tc>
      </w:tr>
      <w:tr w:rsidR="00400085" w14:paraId="3D6F1C31" w14:textId="77777777" w:rsidTr="00EB5B3C">
        <w:trPr>
          <w:cantSplit/>
          <w:trHeight w:val="138"/>
        </w:trPr>
        <w:tc>
          <w:tcPr>
            <w:tcW w:w="738" w:type="dxa"/>
            <w:shd w:val="clear" w:color="auto" w:fill="auto"/>
          </w:tcPr>
          <w:p w14:paraId="27453711" w14:textId="77777777" w:rsidR="00400085" w:rsidRPr="005F2B54" w:rsidRDefault="00400085" w:rsidP="00C81DD3">
            <w:pPr>
              <w:spacing w:before="60" w:after="100"/>
              <w:rPr>
                <w:spacing w:val="-2"/>
                <w:sz w:val="20"/>
                <w:szCs w:val="20"/>
              </w:rPr>
            </w:pPr>
            <w:r w:rsidRPr="005F2B54">
              <w:rPr>
                <w:spacing w:val="-2"/>
                <w:sz w:val="20"/>
                <w:szCs w:val="20"/>
              </w:rPr>
              <w:t>2010</w:t>
            </w:r>
          </w:p>
        </w:tc>
        <w:tc>
          <w:tcPr>
            <w:tcW w:w="1254" w:type="dxa"/>
            <w:shd w:val="clear" w:color="auto" w:fill="auto"/>
          </w:tcPr>
          <w:p w14:paraId="255E4E36"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EL09-61</w:t>
            </w:r>
          </w:p>
        </w:tc>
        <w:tc>
          <w:tcPr>
            <w:tcW w:w="1086" w:type="dxa"/>
            <w:shd w:val="clear" w:color="auto" w:fill="auto"/>
          </w:tcPr>
          <w:p w14:paraId="2DEB2896"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3180DA76" w14:textId="77777777" w:rsidR="00400085" w:rsidRPr="005F2B54" w:rsidRDefault="00400085" w:rsidP="00C81DD3">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37499DC9" w14:textId="77777777" w:rsidR="00400085" w:rsidRPr="005F2B54" w:rsidRDefault="00400085" w:rsidP="00C81DD3">
            <w:pPr>
              <w:spacing w:before="60" w:after="100"/>
              <w:jc w:val="left"/>
              <w:rPr>
                <w:spacing w:val="-2"/>
                <w:sz w:val="20"/>
                <w:szCs w:val="20"/>
              </w:rPr>
            </w:pPr>
            <w:r w:rsidRPr="005F2B54">
              <w:rPr>
                <w:spacing w:val="-2"/>
                <w:sz w:val="20"/>
                <w:szCs w:val="20"/>
              </w:rPr>
              <w:t>Entergy</w:t>
            </w:r>
          </w:p>
        </w:tc>
        <w:tc>
          <w:tcPr>
            <w:tcW w:w="3446" w:type="dxa"/>
            <w:shd w:val="clear" w:color="auto" w:fill="auto"/>
          </w:tcPr>
          <w:p w14:paraId="1E36F559" w14:textId="77777777" w:rsidR="00400085" w:rsidRPr="005F2B54" w:rsidRDefault="00400085" w:rsidP="00C81DD3">
            <w:pPr>
              <w:spacing w:before="60" w:after="100"/>
              <w:jc w:val="left"/>
              <w:rPr>
                <w:spacing w:val="-2"/>
                <w:sz w:val="20"/>
                <w:szCs w:val="20"/>
              </w:rPr>
            </w:pPr>
            <w:r w:rsidRPr="005F2B54">
              <w:rPr>
                <w:spacing w:val="-2"/>
                <w:sz w:val="20"/>
                <w:szCs w:val="20"/>
              </w:rPr>
              <w:t>System Agreement, individual operating company sales</w:t>
            </w:r>
          </w:p>
        </w:tc>
      </w:tr>
      <w:tr w:rsidR="00400085" w14:paraId="3D16A78C" w14:textId="77777777" w:rsidTr="00EB5B3C">
        <w:trPr>
          <w:cantSplit/>
          <w:trHeight w:val="138"/>
        </w:trPr>
        <w:tc>
          <w:tcPr>
            <w:tcW w:w="738" w:type="dxa"/>
            <w:shd w:val="clear" w:color="auto" w:fill="auto"/>
          </w:tcPr>
          <w:p w14:paraId="6A995ADD" w14:textId="77777777" w:rsidR="00400085" w:rsidRPr="005F2B54" w:rsidRDefault="00400085" w:rsidP="00C81DD3">
            <w:pPr>
              <w:spacing w:before="60" w:after="100"/>
              <w:rPr>
                <w:rFonts w:cs="Calibri"/>
                <w:spacing w:val="-2"/>
                <w:sz w:val="20"/>
                <w:szCs w:val="20"/>
              </w:rPr>
            </w:pPr>
            <w:r w:rsidRPr="005F2B54">
              <w:rPr>
                <w:spacing w:val="-2"/>
                <w:sz w:val="20"/>
                <w:szCs w:val="20"/>
              </w:rPr>
              <w:t>06/10</w:t>
            </w:r>
          </w:p>
        </w:tc>
        <w:tc>
          <w:tcPr>
            <w:tcW w:w="1254" w:type="dxa"/>
            <w:shd w:val="clear" w:color="auto" w:fill="auto"/>
          </w:tcPr>
          <w:p w14:paraId="183FD30A" w14:textId="77777777" w:rsidR="00400085" w:rsidRPr="005F2B54" w:rsidRDefault="00400085" w:rsidP="00C81DD3">
            <w:pPr>
              <w:keepNext/>
              <w:keepLines/>
              <w:pageBreakBefore/>
              <w:spacing w:before="60" w:after="100"/>
              <w:rPr>
                <w:rFonts w:cs="Calibri"/>
                <w:spacing w:val="-2"/>
                <w:sz w:val="20"/>
                <w:szCs w:val="20"/>
              </w:rPr>
            </w:pPr>
            <w:r w:rsidRPr="005F2B54">
              <w:rPr>
                <w:spacing w:val="-2"/>
                <w:sz w:val="20"/>
                <w:szCs w:val="20"/>
              </w:rPr>
              <w:t>29849-U</w:t>
            </w:r>
          </w:p>
        </w:tc>
        <w:tc>
          <w:tcPr>
            <w:tcW w:w="1086" w:type="dxa"/>
            <w:shd w:val="clear" w:color="auto" w:fill="auto"/>
          </w:tcPr>
          <w:p w14:paraId="638FD8AF" w14:textId="77777777" w:rsidR="00400085" w:rsidRPr="005F2B54" w:rsidRDefault="00400085" w:rsidP="00C81DD3">
            <w:pPr>
              <w:spacing w:before="60" w:after="100"/>
              <w:rPr>
                <w:rFonts w:cs="Calibri"/>
                <w:spacing w:val="-2"/>
                <w:sz w:val="20"/>
                <w:szCs w:val="20"/>
              </w:rPr>
            </w:pPr>
            <w:r w:rsidRPr="005F2B54">
              <w:rPr>
                <w:spacing w:val="-2"/>
                <w:sz w:val="20"/>
                <w:szCs w:val="20"/>
              </w:rPr>
              <w:t>GA</w:t>
            </w:r>
          </w:p>
        </w:tc>
        <w:tc>
          <w:tcPr>
            <w:tcW w:w="1786" w:type="dxa"/>
            <w:gridSpan w:val="2"/>
            <w:shd w:val="clear" w:color="auto" w:fill="auto"/>
          </w:tcPr>
          <w:p w14:paraId="2078984E"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4D779CEF"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00CC6A4C" w14:textId="77777777" w:rsidR="00400085" w:rsidRPr="005F2B54" w:rsidRDefault="00400085" w:rsidP="00C81DD3">
            <w:pPr>
              <w:spacing w:before="60" w:after="100"/>
              <w:jc w:val="left"/>
              <w:rPr>
                <w:rFonts w:cs="Calibri"/>
                <w:spacing w:val="-2"/>
                <w:sz w:val="20"/>
                <w:szCs w:val="20"/>
              </w:rPr>
            </w:pPr>
            <w:r w:rsidRPr="005F2B54">
              <w:rPr>
                <w:spacing w:val="-2"/>
                <w:sz w:val="20"/>
                <w:szCs w:val="20"/>
              </w:rPr>
              <w:t xml:space="preserve">Second </w:t>
            </w:r>
            <w:r>
              <w:rPr>
                <w:rFonts w:cs="Calibri"/>
                <w:spacing w:val="-2"/>
                <w:sz w:val="20"/>
                <w:szCs w:val="20"/>
              </w:rPr>
              <w:t>Semi-Annual Vogtle Construction Monitoring Report</w:t>
            </w:r>
          </w:p>
        </w:tc>
      </w:tr>
      <w:tr w:rsidR="00400085" w14:paraId="42F7E10E" w14:textId="77777777" w:rsidTr="00EB5B3C">
        <w:trPr>
          <w:cantSplit/>
          <w:trHeight w:val="138"/>
        </w:trPr>
        <w:tc>
          <w:tcPr>
            <w:tcW w:w="738" w:type="dxa"/>
            <w:shd w:val="clear" w:color="auto" w:fill="auto"/>
          </w:tcPr>
          <w:p w14:paraId="292679B5" w14:textId="77777777" w:rsidR="00400085" w:rsidRPr="005F2B54" w:rsidRDefault="00400085" w:rsidP="00C81DD3">
            <w:pPr>
              <w:spacing w:before="60" w:after="100"/>
              <w:rPr>
                <w:spacing w:val="-2"/>
                <w:sz w:val="20"/>
                <w:szCs w:val="20"/>
              </w:rPr>
            </w:pPr>
            <w:r w:rsidRPr="005F2B54">
              <w:rPr>
                <w:spacing w:val="-2"/>
                <w:sz w:val="20"/>
                <w:szCs w:val="20"/>
              </w:rPr>
              <w:t>12/10</w:t>
            </w:r>
          </w:p>
        </w:tc>
        <w:tc>
          <w:tcPr>
            <w:tcW w:w="1254" w:type="dxa"/>
            <w:shd w:val="clear" w:color="auto" w:fill="auto"/>
          </w:tcPr>
          <w:p w14:paraId="4417DD82"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6299AC60" w14:textId="77777777" w:rsidR="00400085" w:rsidRPr="005F2B54" w:rsidRDefault="00400085" w:rsidP="00C81DD3">
            <w:pPr>
              <w:spacing w:before="60" w:after="100"/>
              <w:rPr>
                <w:sz w:val="20"/>
                <w:szCs w:val="20"/>
              </w:rPr>
            </w:pPr>
            <w:r w:rsidRPr="005F2B54">
              <w:rPr>
                <w:spacing w:val="-2"/>
                <w:sz w:val="20"/>
                <w:szCs w:val="20"/>
              </w:rPr>
              <w:t>GA</w:t>
            </w:r>
          </w:p>
        </w:tc>
        <w:tc>
          <w:tcPr>
            <w:tcW w:w="1786" w:type="dxa"/>
            <w:gridSpan w:val="2"/>
            <w:shd w:val="clear" w:color="auto" w:fill="auto"/>
          </w:tcPr>
          <w:p w14:paraId="3C76CB26"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345C3657"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509D70A9" w14:textId="77777777" w:rsidR="00400085" w:rsidRPr="005F2B54" w:rsidRDefault="00400085" w:rsidP="00C81DD3">
            <w:pPr>
              <w:spacing w:before="60" w:after="100"/>
              <w:jc w:val="left"/>
              <w:rPr>
                <w:spacing w:val="-2"/>
                <w:sz w:val="20"/>
                <w:szCs w:val="20"/>
              </w:rPr>
            </w:pPr>
            <w:r w:rsidRPr="005F2B54">
              <w:rPr>
                <w:spacing w:val="-2"/>
                <w:sz w:val="20"/>
                <w:szCs w:val="20"/>
              </w:rPr>
              <w:t xml:space="preserve">Third </w:t>
            </w:r>
            <w:r>
              <w:rPr>
                <w:rFonts w:cs="Calibri"/>
                <w:spacing w:val="-2"/>
                <w:sz w:val="20"/>
                <w:szCs w:val="20"/>
              </w:rPr>
              <w:t>Semi-Annual Vogtle Construction Monitoring Report</w:t>
            </w:r>
          </w:p>
        </w:tc>
      </w:tr>
      <w:tr w:rsidR="00400085" w14:paraId="36F54ED9" w14:textId="77777777" w:rsidTr="00EB5B3C">
        <w:trPr>
          <w:cantSplit/>
          <w:trHeight w:val="138"/>
        </w:trPr>
        <w:tc>
          <w:tcPr>
            <w:tcW w:w="738" w:type="dxa"/>
            <w:shd w:val="clear" w:color="auto" w:fill="auto"/>
          </w:tcPr>
          <w:p w14:paraId="3A81B1E0" w14:textId="77777777" w:rsidR="00400085" w:rsidRPr="005F2B54" w:rsidRDefault="00400085" w:rsidP="00C81DD3">
            <w:pPr>
              <w:spacing w:before="60" w:after="100"/>
              <w:rPr>
                <w:spacing w:val="-2"/>
                <w:sz w:val="20"/>
                <w:szCs w:val="20"/>
              </w:rPr>
            </w:pPr>
            <w:r w:rsidRPr="005F2B54">
              <w:rPr>
                <w:spacing w:val="-2"/>
                <w:sz w:val="20"/>
                <w:szCs w:val="20"/>
              </w:rPr>
              <w:t>01/11</w:t>
            </w:r>
          </w:p>
        </w:tc>
        <w:tc>
          <w:tcPr>
            <w:tcW w:w="1254" w:type="dxa"/>
            <w:shd w:val="clear" w:color="auto" w:fill="auto"/>
          </w:tcPr>
          <w:p w14:paraId="1C91A569"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ER09-1350</w:t>
            </w:r>
          </w:p>
          <w:p w14:paraId="1A83681E"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Direct</w:t>
            </w:r>
          </w:p>
        </w:tc>
        <w:tc>
          <w:tcPr>
            <w:tcW w:w="1086" w:type="dxa"/>
            <w:shd w:val="clear" w:color="auto" w:fill="auto"/>
          </w:tcPr>
          <w:p w14:paraId="3E3DF880"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6A7329C7" w14:textId="77777777" w:rsidR="00400085" w:rsidRPr="005F2B54" w:rsidRDefault="00400085" w:rsidP="00C81DD3">
            <w:pPr>
              <w:spacing w:before="60" w:after="100"/>
              <w:jc w:val="left"/>
              <w:rPr>
                <w:spacing w:val="-2"/>
                <w:sz w:val="20"/>
                <w:szCs w:val="20"/>
              </w:rPr>
            </w:pPr>
            <w:r w:rsidRPr="005F2B54">
              <w:rPr>
                <w:sz w:val="20"/>
                <w:szCs w:val="20"/>
              </w:rPr>
              <w:t>Louisiana Public Service Commission</w:t>
            </w:r>
          </w:p>
        </w:tc>
        <w:tc>
          <w:tcPr>
            <w:tcW w:w="1526" w:type="dxa"/>
            <w:shd w:val="clear" w:color="auto" w:fill="auto"/>
          </w:tcPr>
          <w:p w14:paraId="5F16AAFB" w14:textId="77777777" w:rsidR="00400085" w:rsidRPr="005F2B54" w:rsidRDefault="00400085" w:rsidP="00C81DD3">
            <w:pPr>
              <w:spacing w:before="60" w:after="100"/>
              <w:jc w:val="left"/>
              <w:rPr>
                <w:spacing w:val="-2"/>
                <w:sz w:val="20"/>
                <w:szCs w:val="20"/>
              </w:rPr>
            </w:pPr>
            <w:r w:rsidRPr="005F2B54">
              <w:rPr>
                <w:spacing w:val="-2"/>
                <w:sz w:val="20"/>
                <w:szCs w:val="20"/>
              </w:rPr>
              <w:t>Entergy</w:t>
            </w:r>
          </w:p>
        </w:tc>
        <w:tc>
          <w:tcPr>
            <w:tcW w:w="3446" w:type="dxa"/>
            <w:shd w:val="clear" w:color="auto" w:fill="auto"/>
          </w:tcPr>
          <w:p w14:paraId="03AA4A69" w14:textId="77777777" w:rsidR="00400085" w:rsidRPr="005F2B54" w:rsidRDefault="00400085" w:rsidP="00C81DD3">
            <w:pPr>
              <w:spacing w:before="60" w:after="100"/>
              <w:jc w:val="left"/>
              <w:rPr>
                <w:spacing w:val="-2"/>
                <w:sz w:val="20"/>
                <w:szCs w:val="20"/>
              </w:rPr>
            </w:pPr>
            <w:r w:rsidRPr="005F2B54">
              <w:rPr>
                <w:spacing w:val="-2"/>
                <w:sz w:val="20"/>
                <w:szCs w:val="20"/>
              </w:rPr>
              <w:t>2008 production costs used to develop bandwidth payments</w:t>
            </w:r>
          </w:p>
        </w:tc>
      </w:tr>
      <w:tr w:rsidR="00400085" w14:paraId="170B0AE7" w14:textId="77777777" w:rsidTr="00EB5B3C">
        <w:trPr>
          <w:cantSplit/>
          <w:trHeight w:val="138"/>
        </w:trPr>
        <w:tc>
          <w:tcPr>
            <w:tcW w:w="738" w:type="dxa"/>
            <w:shd w:val="clear" w:color="auto" w:fill="auto"/>
          </w:tcPr>
          <w:p w14:paraId="7BDEB737" w14:textId="77777777" w:rsidR="00400085" w:rsidRPr="005F2B54" w:rsidRDefault="00400085" w:rsidP="00C81DD3">
            <w:pPr>
              <w:spacing w:before="60" w:after="100"/>
              <w:rPr>
                <w:spacing w:val="-2"/>
                <w:sz w:val="20"/>
                <w:szCs w:val="20"/>
              </w:rPr>
            </w:pPr>
            <w:r w:rsidRPr="005F2B54">
              <w:rPr>
                <w:spacing w:val="-2"/>
                <w:sz w:val="20"/>
                <w:szCs w:val="20"/>
              </w:rPr>
              <w:t>02/11</w:t>
            </w:r>
          </w:p>
        </w:tc>
        <w:tc>
          <w:tcPr>
            <w:tcW w:w="1254" w:type="dxa"/>
            <w:shd w:val="clear" w:color="auto" w:fill="auto"/>
          </w:tcPr>
          <w:p w14:paraId="2A27B7C3"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ER09-1350</w:t>
            </w:r>
          </w:p>
          <w:p w14:paraId="50C17434"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Cross-Answering</w:t>
            </w:r>
          </w:p>
        </w:tc>
        <w:tc>
          <w:tcPr>
            <w:tcW w:w="1086" w:type="dxa"/>
            <w:shd w:val="clear" w:color="auto" w:fill="auto"/>
          </w:tcPr>
          <w:p w14:paraId="2893C9DB"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48B39DAA" w14:textId="77777777" w:rsidR="00400085" w:rsidRPr="005F2B54" w:rsidRDefault="00400085" w:rsidP="00C81DD3">
            <w:pPr>
              <w:spacing w:before="60" w:after="100"/>
              <w:jc w:val="left"/>
              <w:rPr>
                <w:sz w:val="20"/>
                <w:szCs w:val="20"/>
              </w:rPr>
            </w:pPr>
            <w:r w:rsidRPr="005F2B54">
              <w:rPr>
                <w:sz w:val="20"/>
                <w:szCs w:val="20"/>
              </w:rPr>
              <w:t>Louisiana Public Service Commission</w:t>
            </w:r>
          </w:p>
        </w:tc>
        <w:tc>
          <w:tcPr>
            <w:tcW w:w="1526" w:type="dxa"/>
            <w:shd w:val="clear" w:color="auto" w:fill="auto"/>
          </w:tcPr>
          <w:p w14:paraId="2DB46B0F"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7D7BF24A" w14:textId="77777777" w:rsidR="00400085" w:rsidRPr="005F2B54" w:rsidRDefault="00400085" w:rsidP="00C81DD3">
            <w:pPr>
              <w:spacing w:before="60" w:after="100"/>
              <w:jc w:val="left"/>
              <w:rPr>
                <w:spacing w:val="-2"/>
                <w:sz w:val="20"/>
                <w:szCs w:val="20"/>
              </w:rPr>
            </w:pPr>
            <w:r w:rsidRPr="005F2B54">
              <w:rPr>
                <w:spacing w:val="-2"/>
                <w:sz w:val="20"/>
                <w:szCs w:val="20"/>
              </w:rPr>
              <w:t>2008 production costs used to develop bandwidth payments</w:t>
            </w:r>
          </w:p>
        </w:tc>
      </w:tr>
      <w:tr w:rsidR="00400085" w14:paraId="135C0B73" w14:textId="77777777" w:rsidTr="00EB5B3C">
        <w:trPr>
          <w:cantSplit/>
          <w:trHeight w:val="138"/>
        </w:trPr>
        <w:tc>
          <w:tcPr>
            <w:tcW w:w="738" w:type="dxa"/>
            <w:shd w:val="clear" w:color="auto" w:fill="auto"/>
          </w:tcPr>
          <w:p w14:paraId="1DAE09E0" w14:textId="77777777" w:rsidR="00400085" w:rsidRPr="005F2B54" w:rsidRDefault="00400085" w:rsidP="00C81DD3">
            <w:pPr>
              <w:spacing w:before="60" w:after="100"/>
              <w:rPr>
                <w:spacing w:val="-2"/>
                <w:sz w:val="20"/>
                <w:szCs w:val="20"/>
              </w:rPr>
            </w:pPr>
            <w:r w:rsidRPr="005F2B54">
              <w:rPr>
                <w:spacing w:val="-2"/>
                <w:sz w:val="20"/>
                <w:szCs w:val="20"/>
              </w:rPr>
              <w:t>04/11</w:t>
            </w:r>
          </w:p>
        </w:tc>
        <w:tc>
          <w:tcPr>
            <w:tcW w:w="1254" w:type="dxa"/>
            <w:shd w:val="clear" w:color="auto" w:fill="auto"/>
          </w:tcPr>
          <w:p w14:paraId="38BD9491"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33302</w:t>
            </w:r>
            <w:r>
              <w:rPr>
                <w:spacing w:val="-2"/>
                <w:sz w:val="20"/>
                <w:szCs w:val="20"/>
              </w:rPr>
              <w:t>-U</w:t>
            </w:r>
            <w:r w:rsidRPr="005F2B54">
              <w:rPr>
                <w:spacing w:val="-2"/>
                <w:sz w:val="20"/>
                <w:szCs w:val="20"/>
              </w:rPr>
              <w:t xml:space="preserve"> (FCR-22)</w:t>
            </w:r>
          </w:p>
        </w:tc>
        <w:tc>
          <w:tcPr>
            <w:tcW w:w="1086" w:type="dxa"/>
            <w:shd w:val="clear" w:color="auto" w:fill="auto"/>
          </w:tcPr>
          <w:p w14:paraId="5BF94F5F"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0666E168"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33E209DB"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01A0DD72" w14:textId="77777777" w:rsidR="00400085" w:rsidRPr="005F2B54" w:rsidRDefault="00400085" w:rsidP="00C81DD3">
            <w:pPr>
              <w:spacing w:before="60" w:after="100"/>
              <w:jc w:val="left"/>
              <w:rPr>
                <w:spacing w:val="-2"/>
                <w:sz w:val="20"/>
                <w:szCs w:val="20"/>
              </w:rPr>
            </w:pPr>
            <w:r w:rsidRPr="005F2B54">
              <w:rPr>
                <w:spacing w:val="-2"/>
                <w:sz w:val="20"/>
                <w:szCs w:val="20"/>
              </w:rPr>
              <w:t>Fuel cost recovery filing</w:t>
            </w:r>
          </w:p>
        </w:tc>
      </w:tr>
      <w:tr w:rsidR="00400085" w14:paraId="73A9BD4E" w14:textId="77777777" w:rsidTr="00EB5B3C">
        <w:trPr>
          <w:cantSplit/>
          <w:trHeight w:val="138"/>
        </w:trPr>
        <w:tc>
          <w:tcPr>
            <w:tcW w:w="738" w:type="dxa"/>
            <w:shd w:val="clear" w:color="auto" w:fill="auto"/>
          </w:tcPr>
          <w:p w14:paraId="4D2FF49F" w14:textId="77777777" w:rsidR="00400085" w:rsidRPr="005F2B54" w:rsidRDefault="00400085" w:rsidP="00C81DD3">
            <w:pPr>
              <w:spacing w:before="60" w:after="100"/>
              <w:rPr>
                <w:spacing w:val="-2"/>
                <w:sz w:val="20"/>
                <w:szCs w:val="20"/>
              </w:rPr>
            </w:pPr>
            <w:r w:rsidRPr="005F2B54">
              <w:rPr>
                <w:spacing w:val="-2"/>
                <w:sz w:val="20"/>
                <w:szCs w:val="20"/>
              </w:rPr>
              <w:t>06/11</w:t>
            </w:r>
          </w:p>
        </w:tc>
        <w:tc>
          <w:tcPr>
            <w:tcW w:w="1254" w:type="dxa"/>
            <w:shd w:val="clear" w:color="auto" w:fill="auto"/>
          </w:tcPr>
          <w:p w14:paraId="43C865CB"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9F5FFCC"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6D633A41"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12BEC747"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3BEFA56B" w14:textId="77777777" w:rsidR="00400085" w:rsidRPr="005F2B54" w:rsidRDefault="00400085" w:rsidP="00C81DD3">
            <w:pPr>
              <w:spacing w:before="60" w:after="100"/>
              <w:jc w:val="left"/>
              <w:rPr>
                <w:spacing w:val="-2"/>
                <w:sz w:val="20"/>
                <w:szCs w:val="20"/>
              </w:rPr>
            </w:pPr>
            <w:r w:rsidRPr="005F2B54">
              <w:rPr>
                <w:spacing w:val="-2"/>
                <w:sz w:val="20"/>
                <w:szCs w:val="20"/>
              </w:rPr>
              <w:t xml:space="preserve">Fourth </w:t>
            </w:r>
            <w:r>
              <w:rPr>
                <w:rFonts w:cs="Calibri"/>
                <w:spacing w:val="-2"/>
                <w:sz w:val="20"/>
                <w:szCs w:val="20"/>
              </w:rPr>
              <w:t>Semi-Annual Vogtle Construction Monitoring Report</w:t>
            </w:r>
          </w:p>
        </w:tc>
      </w:tr>
      <w:tr w:rsidR="00400085" w14:paraId="4B9449FF" w14:textId="77777777" w:rsidTr="00EB5B3C">
        <w:trPr>
          <w:cantSplit/>
          <w:trHeight w:val="138"/>
        </w:trPr>
        <w:tc>
          <w:tcPr>
            <w:tcW w:w="738" w:type="dxa"/>
            <w:shd w:val="clear" w:color="auto" w:fill="auto"/>
          </w:tcPr>
          <w:p w14:paraId="51D04575" w14:textId="77777777" w:rsidR="00400085" w:rsidRPr="005F2B54" w:rsidRDefault="00400085" w:rsidP="00C81DD3">
            <w:pPr>
              <w:spacing w:before="60" w:after="100"/>
              <w:rPr>
                <w:spacing w:val="-2"/>
                <w:sz w:val="20"/>
                <w:szCs w:val="20"/>
              </w:rPr>
            </w:pPr>
            <w:r w:rsidRPr="005F2B54">
              <w:rPr>
                <w:spacing w:val="-2"/>
                <w:sz w:val="20"/>
                <w:szCs w:val="20"/>
              </w:rPr>
              <w:t>09/11</w:t>
            </w:r>
          </w:p>
        </w:tc>
        <w:tc>
          <w:tcPr>
            <w:tcW w:w="1254" w:type="dxa"/>
            <w:shd w:val="clear" w:color="auto" w:fill="auto"/>
          </w:tcPr>
          <w:p w14:paraId="3E05778A"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U-3</w:t>
            </w:r>
            <w:r>
              <w:rPr>
                <w:spacing w:val="-2"/>
                <w:sz w:val="20"/>
                <w:szCs w:val="20"/>
              </w:rPr>
              <w:t>18</w:t>
            </w:r>
            <w:r w:rsidRPr="005F2B54">
              <w:rPr>
                <w:spacing w:val="-2"/>
                <w:sz w:val="20"/>
                <w:szCs w:val="20"/>
              </w:rPr>
              <w:t>92</w:t>
            </w:r>
          </w:p>
        </w:tc>
        <w:tc>
          <w:tcPr>
            <w:tcW w:w="1086" w:type="dxa"/>
            <w:shd w:val="clear" w:color="auto" w:fill="auto"/>
          </w:tcPr>
          <w:p w14:paraId="72C7C165" w14:textId="77777777" w:rsidR="00400085" w:rsidRPr="005F2B54" w:rsidRDefault="00400085" w:rsidP="00C81DD3">
            <w:pPr>
              <w:spacing w:before="60" w:after="100"/>
              <w:rPr>
                <w:spacing w:val="-2"/>
                <w:sz w:val="20"/>
                <w:szCs w:val="20"/>
              </w:rPr>
            </w:pPr>
            <w:r>
              <w:rPr>
                <w:spacing w:val="-2"/>
                <w:sz w:val="20"/>
                <w:szCs w:val="20"/>
              </w:rPr>
              <w:t>LA</w:t>
            </w:r>
          </w:p>
        </w:tc>
        <w:tc>
          <w:tcPr>
            <w:tcW w:w="1786" w:type="dxa"/>
            <w:gridSpan w:val="2"/>
            <w:shd w:val="clear" w:color="auto" w:fill="auto"/>
          </w:tcPr>
          <w:p w14:paraId="74533ED8" w14:textId="77777777" w:rsidR="00400085" w:rsidRPr="005F2B54" w:rsidRDefault="00400085" w:rsidP="00C81DD3">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389EC7C0" w14:textId="77777777" w:rsidR="00400085" w:rsidRPr="005F2B54" w:rsidRDefault="00400085" w:rsidP="00C81DD3">
            <w:pPr>
              <w:spacing w:before="60" w:after="100"/>
              <w:jc w:val="left"/>
              <w:rPr>
                <w:sz w:val="20"/>
                <w:szCs w:val="20"/>
              </w:rPr>
            </w:pPr>
            <w:r w:rsidRPr="005F2B54">
              <w:rPr>
                <w:spacing w:val="-2"/>
                <w:sz w:val="20"/>
                <w:szCs w:val="20"/>
              </w:rPr>
              <w:t>Cleco Power</w:t>
            </w:r>
          </w:p>
        </w:tc>
        <w:tc>
          <w:tcPr>
            <w:tcW w:w="3446" w:type="dxa"/>
            <w:shd w:val="clear" w:color="auto" w:fill="auto"/>
          </w:tcPr>
          <w:p w14:paraId="3E61DE27" w14:textId="77777777" w:rsidR="00400085" w:rsidRPr="005F2B54" w:rsidRDefault="00400085" w:rsidP="00C81DD3">
            <w:pPr>
              <w:spacing w:before="60" w:after="100"/>
              <w:jc w:val="left"/>
              <w:rPr>
                <w:spacing w:val="-2"/>
                <w:sz w:val="20"/>
                <w:szCs w:val="20"/>
              </w:rPr>
            </w:pPr>
            <w:r w:rsidRPr="005F2B54">
              <w:rPr>
                <w:spacing w:val="-2"/>
                <w:sz w:val="20"/>
                <w:szCs w:val="20"/>
              </w:rPr>
              <w:t>Settlement agreement, CP</w:t>
            </w:r>
            <w:r>
              <w:rPr>
                <w:spacing w:val="-2"/>
                <w:sz w:val="20"/>
                <w:szCs w:val="20"/>
              </w:rPr>
              <w:t>C</w:t>
            </w:r>
            <w:r w:rsidRPr="005F2B54">
              <w:rPr>
                <w:spacing w:val="-2"/>
                <w:sz w:val="20"/>
                <w:szCs w:val="20"/>
              </w:rPr>
              <w:t>N to upgrade Madison 3 coal unit to accommodate biomass fuel</w:t>
            </w:r>
          </w:p>
        </w:tc>
      </w:tr>
      <w:tr w:rsidR="00400085" w14:paraId="52D0B2F3" w14:textId="77777777" w:rsidTr="00EB5B3C">
        <w:trPr>
          <w:cantSplit/>
          <w:trHeight w:val="138"/>
        </w:trPr>
        <w:tc>
          <w:tcPr>
            <w:tcW w:w="738" w:type="dxa"/>
            <w:shd w:val="clear" w:color="auto" w:fill="auto"/>
          </w:tcPr>
          <w:p w14:paraId="12E78E96" w14:textId="77777777" w:rsidR="00400085" w:rsidRPr="005F2B54" w:rsidRDefault="00400085" w:rsidP="00C81DD3">
            <w:pPr>
              <w:spacing w:before="60" w:after="100"/>
              <w:rPr>
                <w:spacing w:val="-2"/>
                <w:sz w:val="20"/>
                <w:szCs w:val="20"/>
              </w:rPr>
            </w:pPr>
            <w:r w:rsidRPr="005F2B54">
              <w:rPr>
                <w:spacing w:val="-2"/>
                <w:sz w:val="20"/>
                <w:szCs w:val="20"/>
              </w:rPr>
              <w:t>11/11</w:t>
            </w:r>
          </w:p>
        </w:tc>
        <w:tc>
          <w:tcPr>
            <w:tcW w:w="1254" w:type="dxa"/>
            <w:shd w:val="clear" w:color="auto" w:fill="auto"/>
          </w:tcPr>
          <w:p w14:paraId="5855C6E4"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26550</w:t>
            </w:r>
            <w:r>
              <w:rPr>
                <w:spacing w:val="-2"/>
                <w:sz w:val="20"/>
                <w:szCs w:val="20"/>
              </w:rPr>
              <w:t>-U</w:t>
            </w:r>
          </w:p>
        </w:tc>
        <w:tc>
          <w:tcPr>
            <w:tcW w:w="1086" w:type="dxa"/>
            <w:shd w:val="clear" w:color="auto" w:fill="auto"/>
          </w:tcPr>
          <w:p w14:paraId="6DBBEDB8"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5D9BA454"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36FC075A"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7DB2E38E" w14:textId="77777777" w:rsidR="00400085" w:rsidRPr="005F2B54" w:rsidRDefault="00400085" w:rsidP="00C81DD3">
            <w:pPr>
              <w:spacing w:before="60" w:after="100"/>
              <w:jc w:val="left"/>
              <w:rPr>
                <w:spacing w:val="-2"/>
                <w:sz w:val="20"/>
                <w:szCs w:val="20"/>
              </w:rPr>
            </w:pPr>
            <w:r w:rsidRPr="005F2B54">
              <w:rPr>
                <w:spacing w:val="-2"/>
                <w:sz w:val="20"/>
                <w:szCs w:val="20"/>
              </w:rPr>
              <w:t>Reacquisition of wholesale block capacity</w:t>
            </w:r>
          </w:p>
        </w:tc>
      </w:tr>
      <w:tr w:rsidR="00400085" w14:paraId="76583047" w14:textId="77777777" w:rsidTr="00EB5B3C">
        <w:trPr>
          <w:cantSplit/>
          <w:trHeight w:val="882"/>
        </w:trPr>
        <w:tc>
          <w:tcPr>
            <w:tcW w:w="738" w:type="dxa"/>
            <w:shd w:val="clear" w:color="auto" w:fill="auto"/>
          </w:tcPr>
          <w:p w14:paraId="2B6DF191" w14:textId="77777777" w:rsidR="00400085" w:rsidRPr="005F2B54" w:rsidRDefault="00400085" w:rsidP="00C81DD3">
            <w:pPr>
              <w:spacing w:before="60" w:after="100"/>
              <w:rPr>
                <w:spacing w:val="-2"/>
                <w:sz w:val="20"/>
                <w:szCs w:val="20"/>
              </w:rPr>
            </w:pPr>
            <w:r w:rsidRPr="005F2B54">
              <w:rPr>
                <w:spacing w:val="-2"/>
                <w:sz w:val="20"/>
                <w:szCs w:val="20"/>
              </w:rPr>
              <w:t>11/11</w:t>
            </w:r>
          </w:p>
        </w:tc>
        <w:tc>
          <w:tcPr>
            <w:tcW w:w="1254" w:type="dxa"/>
            <w:shd w:val="clear" w:color="auto" w:fill="auto"/>
          </w:tcPr>
          <w:p w14:paraId="33D9009F"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34218</w:t>
            </w:r>
            <w:r>
              <w:rPr>
                <w:spacing w:val="-2"/>
                <w:sz w:val="20"/>
                <w:szCs w:val="20"/>
              </w:rPr>
              <w:t>-U</w:t>
            </w:r>
          </w:p>
        </w:tc>
        <w:tc>
          <w:tcPr>
            <w:tcW w:w="1086" w:type="dxa"/>
            <w:shd w:val="clear" w:color="auto" w:fill="auto"/>
          </w:tcPr>
          <w:p w14:paraId="26F9AF67"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53CABB83" w14:textId="77777777" w:rsidR="00400085" w:rsidRPr="005F2B54" w:rsidRDefault="00400085" w:rsidP="00C81DD3">
            <w:pPr>
              <w:spacing w:before="60" w:after="100"/>
              <w:jc w:val="left"/>
              <w:rPr>
                <w:spacing w:val="-2"/>
                <w:sz w:val="20"/>
                <w:szCs w:val="20"/>
              </w:rPr>
            </w:pPr>
            <w:r w:rsidRPr="005F2B54">
              <w:rPr>
                <w:sz w:val="20"/>
                <w:szCs w:val="20"/>
              </w:rPr>
              <w:t>Georgia Public Service Commission Staff</w:t>
            </w:r>
          </w:p>
        </w:tc>
        <w:tc>
          <w:tcPr>
            <w:tcW w:w="1526" w:type="dxa"/>
            <w:shd w:val="clear" w:color="auto" w:fill="auto"/>
          </w:tcPr>
          <w:p w14:paraId="23887A2A"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45C37479" w14:textId="77777777" w:rsidR="00400085" w:rsidRPr="005F2B54" w:rsidRDefault="00400085" w:rsidP="00C81DD3">
            <w:pPr>
              <w:spacing w:before="60" w:after="100"/>
              <w:jc w:val="left"/>
              <w:rPr>
                <w:spacing w:val="-2"/>
                <w:sz w:val="20"/>
                <w:szCs w:val="20"/>
              </w:rPr>
            </w:pPr>
            <w:r>
              <w:rPr>
                <w:spacing w:val="-2"/>
                <w:sz w:val="20"/>
                <w:szCs w:val="20"/>
              </w:rPr>
              <w:t>Decertification of</w:t>
            </w:r>
            <w:r w:rsidRPr="005F2B54">
              <w:rPr>
                <w:spacing w:val="-2"/>
                <w:sz w:val="20"/>
                <w:szCs w:val="20"/>
              </w:rPr>
              <w:t xml:space="preserve"> two aging coal units, acquire PPA resources, approve IRP update</w:t>
            </w:r>
          </w:p>
        </w:tc>
      </w:tr>
      <w:tr w:rsidR="00400085" w14:paraId="653FDE09" w14:textId="77777777" w:rsidTr="00EB5B3C">
        <w:trPr>
          <w:cantSplit/>
          <w:trHeight w:val="138"/>
        </w:trPr>
        <w:tc>
          <w:tcPr>
            <w:tcW w:w="738" w:type="dxa"/>
            <w:shd w:val="clear" w:color="auto" w:fill="auto"/>
          </w:tcPr>
          <w:p w14:paraId="30410A55" w14:textId="77777777" w:rsidR="00400085" w:rsidRPr="005F2B54" w:rsidRDefault="00400085" w:rsidP="00C81DD3">
            <w:pPr>
              <w:spacing w:before="60" w:after="100"/>
              <w:rPr>
                <w:spacing w:val="-2"/>
                <w:sz w:val="20"/>
                <w:szCs w:val="20"/>
              </w:rPr>
            </w:pPr>
            <w:r>
              <w:rPr>
                <w:spacing w:val="-2"/>
                <w:sz w:val="20"/>
                <w:szCs w:val="20"/>
              </w:rPr>
              <w:lastRenderedPageBreak/>
              <w:t>12/11</w:t>
            </w:r>
          </w:p>
        </w:tc>
        <w:tc>
          <w:tcPr>
            <w:tcW w:w="1254" w:type="dxa"/>
            <w:shd w:val="clear" w:color="auto" w:fill="auto"/>
          </w:tcPr>
          <w:p w14:paraId="4A362024"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197BE6F0"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41574135"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4B6D54B0"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3C56B3E3" w14:textId="77777777" w:rsidR="00400085" w:rsidRPr="005F2B54" w:rsidRDefault="00400085" w:rsidP="00C81DD3">
            <w:pPr>
              <w:spacing w:before="60" w:after="100"/>
              <w:jc w:val="left"/>
              <w:rPr>
                <w:spacing w:val="-2"/>
                <w:sz w:val="20"/>
                <w:szCs w:val="20"/>
              </w:rPr>
            </w:pPr>
            <w:r>
              <w:rPr>
                <w:spacing w:val="-2"/>
                <w:sz w:val="20"/>
                <w:szCs w:val="20"/>
              </w:rPr>
              <w:t>Fifth Semi-Annual Vogtle Construction Monitoring R</w:t>
            </w:r>
            <w:r w:rsidRPr="005F2B54">
              <w:rPr>
                <w:spacing w:val="-2"/>
                <w:sz w:val="20"/>
                <w:szCs w:val="20"/>
              </w:rPr>
              <w:t>eport</w:t>
            </w:r>
          </w:p>
        </w:tc>
      </w:tr>
      <w:tr w:rsidR="00400085" w14:paraId="14008944" w14:textId="77777777" w:rsidTr="00EB5B3C">
        <w:trPr>
          <w:cantSplit/>
          <w:trHeight w:val="138"/>
        </w:trPr>
        <w:tc>
          <w:tcPr>
            <w:tcW w:w="738" w:type="dxa"/>
            <w:shd w:val="clear" w:color="auto" w:fill="auto"/>
          </w:tcPr>
          <w:p w14:paraId="5E35DF8D" w14:textId="77777777" w:rsidR="00400085" w:rsidRPr="005F2B54" w:rsidRDefault="00400085" w:rsidP="00C81DD3">
            <w:pPr>
              <w:spacing w:before="60" w:after="100"/>
              <w:rPr>
                <w:spacing w:val="-2"/>
                <w:sz w:val="20"/>
                <w:szCs w:val="20"/>
              </w:rPr>
            </w:pPr>
            <w:r w:rsidRPr="005F2B54">
              <w:rPr>
                <w:spacing w:val="-2"/>
                <w:sz w:val="20"/>
                <w:szCs w:val="20"/>
              </w:rPr>
              <w:t>03/12</w:t>
            </w:r>
          </w:p>
        </w:tc>
        <w:tc>
          <w:tcPr>
            <w:tcW w:w="1254" w:type="dxa"/>
            <w:shd w:val="clear" w:color="auto" w:fill="auto"/>
          </w:tcPr>
          <w:p w14:paraId="53CE0DB9" w14:textId="77777777" w:rsidR="00400085" w:rsidRPr="005F2B54" w:rsidRDefault="00400085" w:rsidP="00C81DD3">
            <w:pPr>
              <w:keepNext/>
              <w:keepLines/>
              <w:pageBreakBefore/>
              <w:spacing w:before="60" w:after="100"/>
              <w:rPr>
                <w:spacing w:val="-2"/>
                <w:sz w:val="20"/>
                <w:szCs w:val="20"/>
              </w:rPr>
            </w:pPr>
            <w:r>
              <w:rPr>
                <w:spacing w:val="-2"/>
                <w:sz w:val="20"/>
                <w:szCs w:val="20"/>
              </w:rPr>
              <w:t>U-</w:t>
            </w:r>
            <w:r w:rsidRPr="005F2B54">
              <w:rPr>
                <w:spacing w:val="-2"/>
                <w:sz w:val="20"/>
                <w:szCs w:val="20"/>
              </w:rPr>
              <w:t>32148</w:t>
            </w:r>
          </w:p>
        </w:tc>
        <w:tc>
          <w:tcPr>
            <w:tcW w:w="1086" w:type="dxa"/>
            <w:shd w:val="clear" w:color="auto" w:fill="auto"/>
          </w:tcPr>
          <w:p w14:paraId="22F14275" w14:textId="77777777" w:rsidR="00400085" w:rsidRPr="005F2B54" w:rsidRDefault="00400085" w:rsidP="00C81DD3">
            <w:pPr>
              <w:spacing w:before="60" w:after="100"/>
              <w:rPr>
                <w:spacing w:val="-2"/>
                <w:sz w:val="20"/>
                <w:szCs w:val="20"/>
              </w:rPr>
            </w:pPr>
            <w:r w:rsidRPr="005F2B54">
              <w:rPr>
                <w:spacing w:val="-2"/>
                <w:sz w:val="20"/>
                <w:szCs w:val="20"/>
              </w:rPr>
              <w:t>LA</w:t>
            </w:r>
          </w:p>
        </w:tc>
        <w:tc>
          <w:tcPr>
            <w:tcW w:w="1786" w:type="dxa"/>
            <w:gridSpan w:val="2"/>
            <w:shd w:val="clear" w:color="auto" w:fill="auto"/>
          </w:tcPr>
          <w:p w14:paraId="1C8F4A96" w14:textId="77777777" w:rsidR="00400085" w:rsidRPr="005F2B54" w:rsidRDefault="00400085" w:rsidP="00C81DD3">
            <w:pPr>
              <w:spacing w:before="60" w:after="100"/>
              <w:jc w:val="left"/>
              <w:rPr>
                <w:sz w:val="20"/>
                <w:szCs w:val="20"/>
              </w:rPr>
            </w:pPr>
            <w:r w:rsidRPr="005F2B54">
              <w:rPr>
                <w:sz w:val="20"/>
                <w:szCs w:val="20"/>
              </w:rPr>
              <w:t>Louisiana Public Service Commission</w:t>
            </w:r>
            <w:r>
              <w:rPr>
                <w:sz w:val="20"/>
                <w:szCs w:val="20"/>
              </w:rPr>
              <w:t xml:space="preserve"> Staff</w:t>
            </w:r>
          </w:p>
        </w:tc>
        <w:tc>
          <w:tcPr>
            <w:tcW w:w="1526" w:type="dxa"/>
            <w:shd w:val="clear" w:color="auto" w:fill="auto"/>
          </w:tcPr>
          <w:p w14:paraId="402D2C4B"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2008FDE2" w14:textId="77777777" w:rsidR="00400085" w:rsidRPr="005F2B54" w:rsidRDefault="00400085" w:rsidP="00C81DD3">
            <w:pPr>
              <w:spacing w:before="60" w:after="100"/>
              <w:jc w:val="left"/>
              <w:rPr>
                <w:spacing w:val="-2"/>
                <w:sz w:val="20"/>
                <w:szCs w:val="20"/>
              </w:rPr>
            </w:pPr>
            <w:r>
              <w:rPr>
                <w:spacing w:val="-2"/>
                <w:sz w:val="20"/>
                <w:szCs w:val="20"/>
              </w:rPr>
              <w:t>Change of Control Proceeding to m</w:t>
            </w:r>
            <w:r w:rsidRPr="005F2B54">
              <w:rPr>
                <w:spacing w:val="-2"/>
                <w:sz w:val="20"/>
                <w:szCs w:val="20"/>
              </w:rPr>
              <w:t>ove to Midwest ISO</w:t>
            </w:r>
          </w:p>
        </w:tc>
      </w:tr>
      <w:tr w:rsidR="00400085" w14:paraId="206F23FF" w14:textId="77777777" w:rsidTr="00EB5B3C">
        <w:trPr>
          <w:cantSplit/>
          <w:trHeight w:val="138"/>
        </w:trPr>
        <w:tc>
          <w:tcPr>
            <w:tcW w:w="738" w:type="dxa"/>
            <w:shd w:val="clear" w:color="auto" w:fill="auto"/>
          </w:tcPr>
          <w:p w14:paraId="739EB816"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2012</w:t>
            </w:r>
          </w:p>
        </w:tc>
        <w:tc>
          <w:tcPr>
            <w:tcW w:w="1254" w:type="dxa"/>
            <w:shd w:val="clear" w:color="auto" w:fill="auto"/>
          </w:tcPr>
          <w:p w14:paraId="2B0921A6"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20000-EA-400-11</w:t>
            </w:r>
          </w:p>
        </w:tc>
        <w:tc>
          <w:tcPr>
            <w:tcW w:w="1086" w:type="dxa"/>
            <w:shd w:val="clear" w:color="auto" w:fill="auto"/>
          </w:tcPr>
          <w:p w14:paraId="185CA850"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35B1B1B9"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7CFBC392"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Rocky Mountain Power</w:t>
            </w:r>
          </w:p>
        </w:tc>
        <w:tc>
          <w:tcPr>
            <w:tcW w:w="3446" w:type="dxa"/>
            <w:shd w:val="clear" w:color="auto" w:fill="auto"/>
          </w:tcPr>
          <w:p w14:paraId="618AAF2C"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Certification of environmental upgrades at Naughton 3</w:t>
            </w:r>
          </w:p>
        </w:tc>
      </w:tr>
      <w:tr w:rsidR="00400085" w14:paraId="61C819C4" w14:textId="77777777" w:rsidTr="00EB5B3C">
        <w:trPr>
          <w:cantSplit/>
          <w:trHeight w:val="138"/>
        </w:trPr>
        <w:tc>
          <w:tcPr>
            <w:tcW w:w="738" w:type="dxa"/>
            <w:shd w:val="clear" w:color="auto" w:fill="auto"/>
          </w:tcPr>
          <w:p w14:paraId="62C4AE86" w14:textId="77777777" w:rsidR="00400085" w:rsidRPr="005F2B54" w:rsidRDefault="00400085" w:rsidP="00C81DD3">
            <w:pPr>
              <w:spacing w:before="60" w:after="100"/>
              <w:rPr>
                <w:spacing w:val="-2"/>
                <w:sz w:val="20"/>
                <w:szCs w:val="20"/>
              </w:rPr>
            </w:pPr>
            <w:r w:rsidRPr="005F2B54">
              <w:rPr>
                <w:spacing w:val="-2"/>
                <w:sz w:val="20"/>
                <w:szCs w:val="20"/>
              </w:rPr>
              <w:t>05/12</w:t>
            </w:r>
          </w:p>
        </w:tc>
        <w:tc>
          <w:tcPr>
            <w:tcW w:w="1254" w:type="dxa"/>
            <w:shd w:val="clear" w:color="auto" w:fill="auto"/>
          </w:tcPr>
          <w:p w14:paraId="2E68300F"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35277</w:t>
            </w:r>
            <w:r>
              <w:rPr>
                <w:spacing w:val="-2"/>
                <w:sz w:val="20"/>
                <w:szCs w:val="20"/>
              </w:rPr>
              <w:t>-U</w:t>
            </w:r>
            <w:r w:rsidRPr="005F2B54">
              <w:rPr>
                <w:spacing w:val="-2"/>
                <w:sz w:val="20"/>
                <w:szCs w:val="20"/>
              </w:rPr>
              <w:t xml:space="preserve"> (FCR-23)</w:t>
            </w:r>
          </w:p>
        </w:tc>
        <w:tc>
          <w:tcPr>
            <w:tcW w:w="1086" w:type="dxa"/>
            <w:shd w:val="clear" w:color="auto" w:fill="auto"/>
          </w:tcPr>
          <w:p w14:paraId="6E088012"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57261D76" w14:textId="77777777" w:rsidR="00400085" w:rsidRPr="005F2B54" w:rsidRDefault="00400085" w:rsidP="00C81DD3">
            <w:pPr>
              <w:spacing w:before="60" w:after="100"/>
              <w:jc w:val="left"/>
              <w:rPr>
                <w:sz w:val="20"/>
                <w:szCs w:val="20"/>
              </w:rPr>
            </w:pPr>
            <w:r w:rsidRPr="005F2B54">
              <w:rPr>
                <w:sz w:val="20"/>
                <w:szCs w:val="20"/>
              </w:rPr>
              <w:t>Georgia Public Service Commission Staff</w:t>
            </w:r>
          </w:p>
        </w:tc>
        <w:tc>
          <w:tcPr>
            <w:tcW w:w="1526" w:type="dxa"/>
            <w:shd w:val="clear" w:color="auto" w:fill="auto"/>
          </w:tcPr>
          <w:p w14:paraId="6C45197F"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31F010FA" w14:textId="77777777" w:rsidR="00400085" w:rsidRPr="005F2B54" w:rsidRDefault="00400085" w:rsidP="00C81DD3">
            <w:pPr>
              <w:spacing w:before="60" w:after="100"/>
              <w:jc w:val="left"/>
              <w:rPr>
                <w:spacing w:val="-2"/>
                <w:sz w:val="20"/>
                <w:szCs w:val="20"/>
              </w:rPr>
            </w:pPr>
            <w:r w:rsidRPr="005F2B54">
              <w:rPr>
                <w:spacing w:val="-2"/>
                <w:sz w:val="20"/>
                <w:szCs w:val="20"/>
              </w:rPr>
              <w:t>Fuel cost recovery filing</w:t>
            </w:r>
          </w:p>
        </w:tc>
      </w:tr>
      <w:tr w:rsidR="00400085" w14:paraId="0D4CDD6C" w14:textId="77777777" w:rsidTr="00EB5B3C">
        <w:trPr>
          <w:cantSplit/>
          <w:trHeight w:val="138"/>
        </w:trPr>
        <w:tc>
          <w:tcPr>
            <w:tcW w:w="738" w:type="dxa"/>
            <w:shd w:val="clear" w:color="auto" w:fill="auto"/>
          </w:tcPr>
          <w:p w14:paraId="549150F7" w14:textId="77777777" w:rsidR="00400085" w:rsidRPr="005F2B54" w:rsidRDefault="00400085" w:rsidP="00C81DD3">
            <w:pPr>
              <w:spacing w:before="60" w:after="100"/>
              <w:rPr>
                <w:spacing w:val="-2"/>
                <w:sz w:val="20"/>
                <w:szCs w:val="20"/>
              </w:rPr>
            </w:pPr>
            <w:r w:rsidRPr="005F2B54">
              <w:rPr>
                <w:spacing w:val="-2"/>
                <w:sz w:val="20"/>
                <w:szCs w:val="20"/>
              </w:rPr>
              <w:t>05/12</w:t>
            </w:r>
          </w:p>
        </w:tc>
        <w:tc>
          <w:tcPr>
            <w:tcW w:w="1254" w:type="dxa"/>
            <w:shd w:val="clear" w:color="auto" w:fill="auto"/>
          </w:tcPr>
          <w:p w14:paraId="65DBE89F"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078143F"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59AD91B9"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72BC4211"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3B3F7A8A" w14:textId="77777777" w:rsidR="00400085" w:rsidRPr="005F2B54" w:rsidRDefault="00400085" w:rsidP="00C81DD3">
            <w:pPr>
              <w:spacing w:before="60" w:after="100"/>
              <w:jc w:val="left"/>
              <w:rPr>
                <w:spacing w:val="-2"/>
                <w:sz w:val="20"/>
                <w:szCs w:val="20"/>
              </w:rPr>
            </w:pPr>
            <w:r w:rsidRPr="005F2B54">
              <w:rPr>
                <w:spacing w:val="-2"/>
                <w:sz w:val="20"/>
                <w:szCs w:val="20"/>
              </w:rPr>
              <w:t xml:space="preserve">Sixth </w:t>
            </w:r>
            <w:r>
              <w:rPr>
                <w:spacing w:val="-2"/>
                <w:sz w:val="20"/>
                <w:szCs w:val="20"/>
              </w:rPr>
              <w:t>Semi-A</w:t>
            </w:r>
            <w:r w:rsidRPr="005F2B54">
              <w:rPr>
                <w:spacing w:val="-2"/>
                <w:sz w:val="20"/>
                <w:szCs w:val="20"/>
              </w:rPr>
              <w:t xml:space="preserve">nnual Vogtle </w:t>
            </w:r>
            <w:r>
              <w:rPr>
                <w:spacing w:val="-2"/>
                <w:sz w:val="20"/>
                <w:szCs w:val="20"/>
              </w:rPr>
              <w:t>Construction Monitoring R</w:t>
            </w:r>
            <w:r w:rsidRPr="005F2B54">
              <w:rPr>
                <w:spacing w:val="-2"/>
                <w:sz w:val="20"/>
                <w:szCs w:val="20"/>
              </w:rPr>
              <w:t>eport</w:t>
            </w:r>
          </w:p>
        </w:tc>
      </w:tr>
      <w:tr w:rsidR="00400085" w14:paraId="02D2F84D" w14:textId="77777777" w:rsidTr="00EB5B3C">
        <w:trPr>
          <w:cantSplit/>
          <w:trHeight w:val="138"/>
        </w:trPr>
        <w:tc>
          <w:tcPr>
            <w:tcW w:w="738" w:type="dxa"/>
            <w:shd w:val="clear" w:color="auto" w:fill="auto"/>
          </w:tcPr>
          <w:p w14:paraId="58D7312E" w14:textId="77777777" w:rsidR="00400085" w:rsidRPr="005F2B54" w:rsidRDefault="00400085" w:rsidP="00C81DD3">
            <w:pPr>
              <w:spacing w:before="60" w:after="100"/>
              <w:rPr>
                <w:spacing w:val="-2"/>
                <w:sz w:val="20"/>
                <w:szCs w:val="20"/>
              </w:rPr>
            </w:pPr>
            <w:r w:rsidRPr="005F2B54">
              <w:rPr>
                <w:spacing w:val="-2"/>
                <w:sz w:val="20"/>
                <w:szCs w:val="20"/>
              </w:rPr>
              <w:t>07/12</w:t>
            </w:r>
          </w:p>
        </w:tc>
        <w:tc>
          <w:tcPr>
            <w:tcW w:w="1254" w:type="dxa"/>
            <w:shd w:val="clear" w:color="auto" w:fill="auto"/>
          </w:tcPr>
          <w:p w14:paraId="52868D59"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2012-00063</w:t>
            </w:r>
          </w:p>
        </w:tc>
        <w:tc>
          <w:tcPr>
            <w:tcW w:w="1086" w:type="dxa"/>
            <w:shd w:val="clear" w:color="auto" w:fill="auto"/>
          </w:tcPr>
          <w:p w14:paraId="0EE96ECB" w14:textId="77777777" w:rsidR="00400085" w:rsidRPr="005F2B54" w:rsidRDefault="00400085" w:rsidP="00C81DD3">
            <w:pPr>
              <w:spacing w:before="60" w:after="100"/>
              <w:rPr>
                <w:spacing w:val="-2"/>
                <w:sz w:val="20"/>
                <w:szCs w:val="20"/>
              </w:rPr>
            </w:pPr>
            <w:r w:rsidRPr="005F2B54">
              <w:rPr>
                <w:spacing w:val="-2"/>
                <w:sz w:val="20"/>
                <w:szCs w:val="20"/>
              </w:rPr>
              <w:t>KY</w:t>
            </w:r>
          </w:p>
        </w:tc>
        <w:tc>
          <w:tcPr>
            <w:tcW w:w="1786" w:type="dxa"/>
            <w:gridSpan w:val="2"/>
            <w:shd w:val="clear" w:color="auto" w:fill="auto"/>
          </w:tcPr>
          <w:p w14:paraId="2C4C24F5" w14:textId="77777777" w:rsidR="00400085" w:rsidRPr="005F2B54" w:rsidRDefault="00400085" w:rsidP="00C81DD3">
            <w:pPr>
              <w:spacing w:before="60" w:after="100"/>
              <w:jc w:val="left"/>
              <w:rPr>
                <w:sz w:val="20"/>
                <w:szCs w:val="20"/>
              </w:rPr>
            </w:pPr>
            <w:r>
              <w:rPr>
                <w:sz w:val="20"/>
                <w:szCs w:val="20"/>
              </w:rPr>
              <w:t>Kentucky Industrial Utility Customers, Inc.</w:t>
            </w:r>
          </w:p>
        </w:tc>
        <w:tc>
          <w:tcPr>
            <w:tcW w:w="1526" w:type="dxa"/>
            <w:shd w:val="clear" w:color="auto" w:fill="auto"/>
          </w:tcPr>
          <w:p w14:paraId="0032A23A" w14:textId="77777777" w:rsidR="00400085" w:rsidRPr="005F2B54" w:rsidRDefault="00400085" w:rsidP="00C81DD3">
            <w:pPr>
              <w:spacing w:before="60" w:after="100"/>
              <w:jc w:val="left"/>
              <w:rPr>
                <w:sz w:val="20"/>
                <w:szCs w:val="20"/>
              </w:rPr>
            </w:pPr>
            <w:r w:rsidRPr="005F2B54">
              <w:rPr>
                <w:spacing w:val="-2"/>
                <w:sz w:val="20"/>
                <w:szCs w:val="20"/>
              </w:rPr>
              <w:t>Big Rivers</w:t>
            </w:r>
          </w:p>
        </w:tc>
        <w:tc>
          <w:tcPr>
            <w:tcW w:w="3446" w:type="dxa"/>
            <w:shd w:val="clear" w:color="auto" w:fill="auto"/>
          </w:tcPr>
          <w:p w14:paraId="318628AB" w14:textId="77777777" w:rsidR="00400085" w:rsidRPr="005F2B54" w:rsidRDefault="00400085" w:rsidP="00C81DD3">
            <w:pPr>
              <w:spacing w:before="60" w:after="100"/>
              <w:jc w:val="left"/>
              <w:rPr>
                <w:spacing w:val="-2"/>
                <w:sz w:val="20"/>
                <w:szCs w:val="20"/>
              </w:rPr>
            </w:pPr>
            <w:r w:rsidRPr="005F2B54">
              <w:rPr>
                <w:spacing w:val="-2"/>
                <w:sz w:val="20"/>
                <w:szCs w:val="20"/>
              </w:rPr>
              <w:t xml:space="preserve">Environmental upgrades in compliance with MATS and CSAPR </w:t>
            </w:r>
          </w:p>
        </w:tc>
      </w:tr>
      <w:tr w:rsidR="00400085" w14:paraId="66942C97" w14:textId="77777777" w:rsidTr="00EB5B3C">
        <w:trPr>
          <w:cantSplit/>
          <w:trHeight w:val="138"/>
        </w:trPr>
        <w:tc>
          <w:tcPr>
            <w:tcW w:w="738" w:type="dxa"/>
            <w:shd w:val="clear" w:color="auto" w:fill="auto"/>
          </w:tcPr>
          <w:p w14:paraId="728C4B1B" w14:textId="77777777" w:rsidR="00400085" w:rsidRPr="005F2B54" w:rsidRDefault="00400085" w:rsidP="00C81DD3">
            <w:pPr>
              <w:spacing w:before="60" w:after="100"/>
              <w:rPr>
                <w:spacing w:val="-2"/>
                <w:sz w:val="20"/>
                <w:szCs w:val="20"/>
              </w:rPr>
            </w:pPr>
            <w:r w:rsidRPr="005F2B54">
              <w:rPr>
                <w:spacing w:val="-2"/>
                <w:sz w:val="20"/>
                <w:szCs w:val="20"/>
              </w:rPr>
              <w:t>09/12</w:t>
            </w:r>
          </w:p>
        </w:tc>
        <w:tc>
          <w:tcPr>
            <w:tcW w:w="1254" w:type="dxa"/>
            <w:shd w:val="clear" w:color="auto" w:fill="auto"/>
          </w:tcPr>
          <w:p w14:paraId="0B2A404D"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U-32275</w:t>
            </w:r>
          </w:p>
        </w:tc>
        <w:tc>
          <w:tcPr>
            <w:tcW w:w="1086" w:type="dxa"/>
            <w:shd w:val="clear" w:color="auto" w:fill="auto"/>
          </w:tcPr>
          <w:p w14:paraId="6EF18D55" w14:textId="77777777" w:rsidR="00400085" w:rsidRPr="005F2B54" w:rsidRDefault="00400085" w:rsidP="00C81DD3">
            <w:pPr>
              <w:spacing w:before="60" w:after="100"/>
              <w:rPr>
                <w:spacing w:val="-2"/>
                <w:sz w:val="20"/>
                <w:szCs w:val="20"/>
              </w:rPr>
            </w:pPr>
            <w:r w:rsidRPr="005F2B54">
              <w:rPr>
                <w:spacing w:val="-2"/>
                <w:sz w:val="20"/>
                <w:szCs w:val="20"/>
              </w:rPr>
              <w:t>LA</w:t>
            </w:r>
          </w:p>
        </w:tc>
        <w:tc>
          <w:tcPr>
            <w:tcW w:w="1786" w:type="dxa"/>
            <w:gridSpan w:val="2"/>
            <w:shd w:val="clear" w:color="auto" w:fill="auto"/>
          </w:tcPr>
          <w:p w14:paraId="43C7DB08" w14:textId="77777777" w:rsidR="00400085" w:rsidRPr="005F2B54" w:rsidRDefault="00400085" w:rsidP="00C81DD3">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52AA423" w14:textId="77777777" w:rsidR="00400085" w:rsidRPr="005F2B54" w:rsidRDefault="00400085" w:rsidP="00C81DD3">
            <w:pPr>
              <w:spacing w:before="60" w:after="100"/>
              <w:jc w:val="left"/>
              <w:rPr>
                <w:sz w:val="20"/>
                <w:szCs w:val="20"/>
              </w:rPr>
            </w:pPr>
            <w:r w:rsidRPr="005F2B54">
              <w:rPr>
                <w:spacing w:val="-2"/>
                <w:sz w:val="20"/>
                <w:szCs w:val="20"/>
              </w:rPr>
              <w:t>Dixie Electric Member Cooperative</w:t>
            </w:r>
          </w:p>
        </w:tc>
        <w:tc>
          <w:tcPr>
            <w:tcW w:w="3446" w:type="dxa"/>
            <w:shd w:val="clear" w:color="auto" w:fill="auto"/>
          </w:tcPr>
          <w:p w14:paraId="2FE7B193" w14:textId="77777777" w:rsidR="00400085" w:rsidRPr="005F2B54" w:rsidRDefault="00400085" w:rsidP="00C81DD3">
            <w:pPr>
              <w:spacing w:before="60" w:after="100"/>
              <w:jc w:val="left"/>
              <w:rPr>
                <w:spacing w:val="-2"/>
                <w:sz w:val="20"/>
                <w:szCs w:val="20"/>
              </w:rPr>
            </w:pPr>
            <w:r w:rsidRPr="005F2B54">
              <w:rPr>
                <w:spacing w:val="-2"/>
                <w:sz w:val="20"/>
                <w:szCs w:val="20"/>
              </w:rPr>
              <w:t>Ten year power supply</w:t>
            </w:r>
            <w:r>
              <w:rPr>
                <w:spacing w:val="-2"/>
                <w:sz w:val="20"/>
                <w:szCs w:val="20"/>
              </w:rPr>
              <w:t xml:space="preserve"> acquisition certification proceeding</w:t>
            </w:r>
          </w:p>
        </w:tc>
      </w:tr>
      <w:tr w:rsidR="00400085" w14:paraId="56753A9E" w14:textId="77777777" w:rsidTr="00EB5B3C">
        <w:trPr>
          <w:cantSplit/>
          <w:trHeight w:val="138"/>
        </w:trPr>
        <w:tc>
          <w:tcPr>
            <w:tcW w:w="738" w:type="dxa"/>
            <w:shd w:val="clear" w:color="auto" w:fill="auto"/>
          </w:tcPr>
          <w:p w14:paraId="5D7F950A" w14:textId="77777777" w:rsidR="00400085" w:rsidRPr="005F2B54" w:rsidRDefault="00400085" w:rsidP="00C81DD3">
            <w:pPr>
              <w:spacing w:before="60" w:after="100"/>
              <w:rPr>
                <w:spacing w:val="-2"/>
                <w:sz w:val="20"/>
                <w:szCs w:val="20"/>
              </w:rPr>
            </w:pPr>
            <w:r w:rsidRPr="005F2B54">
              <w:rPr>
                <w:spacing w:val="-2"/>
                <w:sz w:val="20"/>
                <w:szCs w:val="20"/>
              </w:rPr>
              <w:t>12/12</w:t>
            </w:r>
          </w:p>
        </w:tc>
        <w:tc>
          <w:tcPr>
            <w:tcW w:w="1254" w:type="dxa"/>
            <w:shd w:val="clear" w:color="auto" w:fill="auto"/>
          </w:tcPr>
          <w:p w14:paraId="028587F7"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EL09-61-002      Direct</w:t>
            </w:r>
          </w:p>
        </w:tc>
        <w:tc>
          <w:tcPr>
            <w:tcW w:w="1086" w:type="dxa"/>
            <w:shd w:val="clear" w:color="auto" w:fill="auto"/>
          </w:tcPr>
          <w:p w14:paraId="57BDAE59"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22D67F34" w14:textId="77777777" w:rsidR="00400085" w:rsidRPr="005F2B54" w:rsidRDefault="00400085" w:rsidP="00C81DD3">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19DAA378" w14:textId="77777777" w:rsidR="00400085" w:rsidRPr="005F2B54" w:rsidRDefault="00400085" w:rsidP="00C81DD3">
            <w:pPr>
              <w:spacing w:before="60" w:after="100"/>
              <w:jc w:val="left"/>
              <w:rPr>
                <w:spacing w:val="-2"/>
                <w:sz w:val="20"/>
                <w:szCs w:val="20"/>
              </w:rPr>
            </w:pPr>
            <w:r w:rsidRPr="005F2B54">
              <w:rPr>
                <w:spacing w:val="-2"/>
                <w:sz w:val="20"/>
                <w:szCs w:val="20"/>
              </w:rPr>
              <w:t>Entergy</w:t>
            </w:r>
          </w:p>
        </w:tc>
        <w:tc>
          <w:tcPr>
            <w:tcW w:w="3446" w:type="dxa"/>
            <w:shd w:val="clear" w:color="auto" w:fill="auto"/>
          </w:tcPr>
          <w:p w14:paraId="73BDE132" w14:textId="77777777" w:rsidR="00400085" w:rsidRPr="005F2B54" w:rsidRDefault="00400085" w:rsidP="00C81DD3">
            <w:pPr>
              <w:spacing w:before="60" w:after="100"/>
              <w:jc w:val="left"/>
              <w:rPr>
                <w:spacing w:val="-2"/>
                <w:sz w:val="20"/>
                <w:szCs w:val="20"/>
              </w:rPr>
            </w:pPr>
            <w:r w:rsidRPr="005F2B54">
              <w:rPr>
                <w:spacing w:val="-2"/>
                <w:sz w:val="20"/>
                <w:szCs w:val="20"/>
              </w:rPr>
              <w:t>Harm calculation, violation of System Agreement</w:t>
            </w:r>
          </w:p>
        </w:tc>
      </w:tr>
      <w:tr w:rsidR="00400085" w14:paraId="68580D0A" w14:textId="77777777" w:rsidTr="00EB5B3C">
        <w:trPr>
          <w:cantSplit/>
          <w:trHeight w:val="138"/>
        </w:trPr>
        <w:tc>
          <w:tcPr>
            <w:tcW w:w="738" w:type="dxa"/>
            <w:shd w:val="clear" w:color="auto" w:fill="auto"/>
          </w:tcPr>
          <w:p w14:paraId="6A569830" w14:textId="77777777" w:rsidR="00400085" w:rsidRPr="005F2B54" w:rsidRDefault="00400085" w:rsidP="00C81DD3">
            <w:pPr>
              <w:spacing w:before="60" w:after="100"/>
              <w:rPr>
                <w:spacing w:val="-2"/>
                <w:sz w:val="20"/>
                <w:szCs w:val="20"/>
              </w:rPr>
            </w:pPr>
            <w:r w:rsidRPr="005F2B54">
              <w:rPr>
                <w:spacing w:val="-2"/>
                <w:sz w:val="20"/>
                <w:szCs w:val="20"/>
              </w:rPr>
              <w:t>12/12</w:t>
            </w:r>
          </w:p>
        </w:tc>
        <w:tc>
          <w:tcPr>
            <w:tcW w:w="1254" w:type="dxa"/>
            <w:shd w:val="clear" w:color="auto" w:fill="auto"/>
          </w:tcPr>
          <w:p w14:paraId="17194CA5"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U-32557</w:t>
            </w:r>
          </w:p>
        </w:tc>
        <w:tc>
          <w:tcPr>
            <w:tcW w:w="1086" w:type="dxa"/>
            <w:shd w:val="clear" w:color="auto" w:fill="auto"/>
          </w:tcPr>
          <w:p w14:paraId="409E1C4D" w14:textId="77777777" w:rsidR="00400085" w:rsidRPr="005F2B54" w:rsidRDefault="00400085" w:rsidP="00C81DD3">
            <w:pPr>
              <w:spacing w:before="60" w:after="100"/>
              <w:rPr>
                <w:spacing w:val="-2"/>
                <w:sz w:val="20"/>
                <w:szCs w:val="20"/>
              </w:rPr>
            </w:pPr>
            <w:r>
              <w:rPr>
                <w:spacing w:val="-2"/>
                <w:sz w:val="20"/>
                <w:szCs w:val="20"/>
              </w:rPr>
              <w:t>LA</w:t>
            </w:r>
          </w:p>
        </w:tc>
        <w:tc>
          <w:tcPr>
            <w:tcW w:w="1786" w:type="dxa"/>
            <w:gridSpan w:val="2"/>
            <w:shd w:val="clear" w:color="auto" w:fill="auto"/>
          </w:tcPr>
          <w:p w14:paraId="0CB07EF5" w14:textId="77777777" w:rsidR="00400085" w:rsidRPr="005F2B54" w:rsidRDefault="00400085" w:rsidP="00C81DD3">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6A032D55"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16EEF5CA" w14:textId="77777777" w:rsidR="00400085" w:rsidRPr="005F2B54" w:rsidRDefault="00400085" w:rsidP="00C81DD3">
            <w:pPr>
              <w:spacing w:before="60" w:after="100"/>
              <w:jc w:val="left"/>
              <w:rPr>
                <w:spacing w:val="-2"/>
                <w:sz w:val="20"/>
                <w:szCs w:val="20"/>
              </w:rPr>
            </w:pPr>
            <w:r w:rsidRPr="005F2B54">
              <w:rPr>
                <w:spacing w:val="-2"/>
                <w:sz w:val="20"/>
                <w:szCs w:val="20"/>
              </w:rPr>
              <w:t>Certification of 28 MW PPA for renewable energy capacity (RAIN waste heat) in accordance with LPSC’s Renewable Energy Pilot</w:t>
            </w:r>
          </w:p>
        </w:tc>
      </w:tr>
      <w:tr w:rsidR="00400085" w14:paraId="48EF7CC4" w14:textId="77777777" w:rsidTr="00EB5B3C">
        <w:trPr>
          <w:cantSplit/>
          <w:trHeight w:val="138"/>
        </w:trPr>
        <w:tc>
          <w:tcPr>
            <w:tcW w:w="738" w:type="dxa"/>
            <w:shd w:val="clear" w:color="auto" w:fill="auto"/>
          </w:tcPr>
          <w:p w14:paraId="14F91D7D" w14:textId="77777777" w:rsidR="00400085" w:rsidRPr="005F2B54" w:rsidRDefault="00400085" w:rsidP="00C81DD3">
            <w:pPr>
              <w:spacing w:before="60" w:after="100"/>
              <w:rPr>
                <w:spacing w:val="-2"/>
                <w:sz w:val="20"/>
                <w:szCs w:val="20"/>
              </w:rPr>
            </w:pPr>
            <w:r w:rsidRPr="005F2B54">
              <w:rPr>
                <w:spacing w:val="-2"/>
                <w:sz w:val="20"/>
                <w:szCs w:val="20"/>
              </w:rPr>
              <w:t>12/12</w:t>
            </w:r>
          </w:p>
        </w:tc>
        <w:tc>
          <w:tcPr>
            <w:tcW w:w="1254" w:type="dxa"/>
            <w:shd w:val="clear" w:color="auto" w:fill="auto"/>
          </w:tcPr>
          <w:p w14:paraId="33ED0A9E"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U-29764</w:t>
            </w:r>
          </w:p>
        </w:tc>
        <w:tc>
          <w:tcPr>
            <w:tcW w:w="1086" w:type="dxa"/>
            <w:shd w:val="clear" w:color="auto" w:fill="auto"/>
          </w:tcPr>
          <w:p w14:paraId="27BD30CF" w14:textId="77777777" w:rsidR="00400085" w:rsidRPr="005F2B54" w:rsidRDefault="00400085" w:rsidP="00C81DD3">
            <w:pPr>
              <w:spacing w:before="60" w:after="100"/>
              <w:rPr>
                <w:spacing w:val="-2"/>
                <w:sz w:val="20"/>
                <w:szCs w:val="20"/>
              </w:rPr>
            </w:pPr>
            <w:r>
              <w:rPr>
                <w:spacing w:val="-2"/>
                <w:sz w:val="20"/>
                <w:szCs w:val="20"/>
              </w:rPr>
              <w:t>LA</w:t>
            </w:r>
          </w:p>
        </w:tc>
        <w:tc>
          <w:tcPr>
            <w:tcW w:w="1786" w:type="dxa"/>
            <w:gridSpan w:val="2"/>
            <w:shd w:val="clear" w:color="auto" w:fill="auto"/>
          </w:tcPr>
          <w:p w14:paraId="20062DC6" w14:textId="77777777" w:rsidR="00400085" w:rsidRPr="005F2B54" w:rsidRDefault="00400085" w:rsidP="00C81DD3">
            <w:pPr>
              <w:spacing w:before="60" w:after="100"/>
              <w:jc w:val="left"/>
              <w:rPr>
                <w:sz w:val="20"/>
                <w:szCs w:val="20"/>
              </w:rPr>
            </w:pPr>
            <w:r w:rsidRPr="005F2B54">
              <w:rPr>
                <w:spacing w:val="-2"/>
                <w:sz w:val="20"/>
                <w:szCs w:val="20"/>
              </w:rPr>
              <w:t>Louisiana Public Service Commission</w:t>
            </w:r>
            <w:r>
              <w:rPr>
                <w:spacing w:val="-2"/>
                <w:sz w:val="20"/>
                <w:szCs w:val="20"/>
              </w:rPr>
              <w:t xml:space="preserve"> Staff</w:t>
            </w:r>
          </w:p>
        </w:tc>
        <w:tc>
          <w:tcPr>
            <w:tcW w:w="1526" w:type="dxa"/>
            <w:shd w:val="clear" w:color="auto" w:fill="auto"/>
          </w:tcPr>
          <w:p w14:paraId="2816BDBA" w14:textId="77777777" w:rsidR="00400085" w:rsidRPr="005F2B54" w:rsidRDefault="00400085" w:rsidP="00C81DD3">
            <w:pPr>
              <w:spacing w:before="60" w:after="100"/>
              <w:jc w:val="left"/>
              <w:rPr>
                <w:sz w:val="20"/>
                <w:szCs w:val="20"/>
              </w:rPr>
            </w:pPr>
            <w:r w:rsidRPr="005F2B54">
              <w:rPr>
                <w:spacing w:val="-2"/>
                <w:sz w:val="20"/>
                <w:szCs w:val="20"/>
              </w:rPr>
              <w:t>Entergy</w:t>
            </w:r>
          </w:p>
        </w:tc>
        <w:tc>
          <w:tcPr>
            <w:tcW w:w="3446" w:type="dxa"/>
            <w:shd w:val="clear" w:color="auto" w:fill="auto"/>
          </w:tcPr>
          <w:p w14:paraId="0B795646" w14:textId="77777777" w:rsidR="00400085" w:rsidRPr="005F2B54" w:rsidRDefault="00400085" w:rsidP="00C81DD3">
            <w:pPr>
              <w:spacing w:before="60" w:after="100"/>
              <w:jc w:val="left"/>
              <w:rPr>
                <w:spacing w:val="-2"/>
                <w:sz w:val="20"/>
                <w:szCs w:val="20"/>
              </w:rPr>
            </w:pPr>
            <w:r w:rsidRPr="005F2B54">
              <w:rPr>
                <w:spacing w:val="-2"/>
                <w:sz w:val="20"/>
                <w:szCs w:val="20"/>
              </w:rPr>
              <w:t>Retail proceeding regarding termination of cross-PPAs</w:t>
            </w:r>
          </w:p>
        </w:tc>
      </w:tr>
      <w:tr w:rsidR="00400085" w14:paraId="1321D537" w14:textId="77777777" w:rsidTr="00EB5B3C">
        <w:trPr>
          <w:cantSplit/>
          <w:trHeight w:val="138"/>
        </w:trPr>
        <w:tc>
          <w:tcPr>
            <w:tcW w:w="738" w:type="dxa"/>
            <w:shd w:val="clear" w:color="auto" w:fill="auto"/>
          </w:tcPr>
          <w:p w14:paraId="26925408" w14:textId="77777777" w:rsidR="00400085" w:rsidRPr="005F2B54" w:rsidRDefault="00400085" w:rsidP="00C81DD3">
            <w:pPr>
              <w:spacing w:before="60" w:after="100"/>
              <w:rPr>
                <w:spacing w:val="-2"/>
                <w:sz w:val="20"/>
                <w:szCs w:val="20"/>
              </w:rPr>
            </w:pPr>
            <w:r w:rsidRPr="005F2B54">
              <w:rPr>
                <w:spacing w:val="-2"/>
                <w:sz w:val="20"/>
                <w:szCs w:val="20"/>
              </w:rPr>
              <w:t>12/12</w:t>
            </w:r>
          </w:p>
        </w:tc>
        <w:tc>
          <w:tcPr>
            <w:tcW w:w="1254" w:type="dxa"/>
            <w:shd w:val="clear" w:color="auto" w:fill="auto"/>
          </w:tcPr>
          <w:p w14:paraId="56AE6ECD"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7CDD9BA4"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5CA8D55E"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540E5B7A"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45D8397A" w14:textId="77777777" w:rsidR="00400085" w:rsidRPr="005F2B54" w:rsidRDefault="00400085" w:rsidP="00C81DD3">
            <w:pPr>
              <w:spacing w:before="60" w:after="100"/>
              <w:jc w:val="left"/>
              <w:rPr>
                <w:spacing w:val="-2"/>
                <w:sz w:val="20"/>
                <w:szCs w:val="20"/>
              </w:rPr>
            </w:pPr>
            <w:r w:rsidRPr="005F2B54">
              <w:rPr>
                <w:spacing w:val="-2"/>
                <w:sz w:val="20"/>
                <w:szCs w:val="20"/>
              </w:rPr>
              <w:t xml:space="preserve">Seventh </w:t>
            </w:r>
            <w:r>
              <w:rPr>
                <w:rFonts w:cs="Calibri"/>
                <w:spacing w:val="-2"/>
                <w:sz w:val="20"/>
                <w:szCs w:val="20"/>
              </w:rPr>
              <w:t>Semi-Annual Vogtle Construction Monitoring Report</w:t>
            </w:r>
          </w:p>
        </w:tc>
      </w:tr>
      <w:tr w:rsidR="00400085" w14:paraId="699DA22D" w14:textId="77777777" w:rsidTr="00EB5B3C">
        <w:trPr>
          <w:cantSplit/>
          <w:trHeight w:val="138"/>
        </w:trPr>
        <w:tc>
          <w:tcPr>
            <w:tcW w:w="738" w:type="dxa"/>
            <w:shd w:val="clear" w:color="auto" w:fill="auto"/>
          </w:tcPr>
          <w:p w14:paraId="13FD54EF" w14:textId="77777777" w:rsidR="00400085" w:rsidRPr="005F2B54" w:rsidRDefault="00400085" w:rsidP="00C81DD3">
            <w:pPr>
              <w:spacing w:before="60" w:after="100"/>
              <w:rPr>
                <w:spacing w:val="-2"/>
                <w:sz w:val="20"/>
                <w:szCs w:val="20"/>
              </w:rPr>
            </w:pPr>
            <w:r w:rsidRPr="005F2B54">
              <w:rPr>
                <w:spacing w:val="-2"/>
                <w:sz w:val="20"/>
                <w:szCs w:val="20"/>
              </w:rPr>
              <w:t>03/13</w:t>
            </w:r>
          </w:p>
        </w:tc>
        <w:tc>
          <w:tcPr>
            <w:tcW w:w="1254" w:type="dxa"/>
            <w:shd w:val="clear" w:color="auto" w:fill="auto"/>
          </w:tcPr>
          <w:p w14:paraId="78AFFFE8"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EL09-61-002     Cross-Answering</w:t>
            </w:r>
          </w:p>
        </w:tc>
        <w:tc>
          <w:tcPr>
            <w:tcW w:w="1086" w:type="dxa"/>
            <w:shd w:val="clear" w:color="auto" w:fill="auto"/>
          </w:tcPr>
          <w:p w14:paraId="12F95222" w14:textId="77777777" w:rsidR="00400085" w:rsidRPr="005F2B54" w:rsidRDefault="00400085" w:rsidP="00C81DD3">
            <w:pPr>
              <w:spacing w:before="60" w:after="100"/>
              <w:rPr>
                <w:spacing w:val="-2"/>
                <w:sz w:val="20"/>
                <w:szCs w:val="20"/>
              </w:rPr>
            </w:pPr>
            <w:r w:rsidRPr="005F2B54">
              <w:rPr>
                <w:spacing w:val="-2"/>
                <w:sz w:val="20"/>
                <w:szCs w:val="20"/>
              </w:rPr>
              <w:t>FERC</w:t>
            </w:r>
          </w:p>
        </w:tc>
        <w:tc>
          <w:tcPr>
            <w:tcW w:w="1786" w:type="dxa"/>
            <w:gridSpan w:val="2"/>
            <w:shd w:val="clear" w:color="auto" w:fill="auto"/>
          </w:tcPr>
          <w:p w14:paraId="01D096BB" w14:textId="77777777" w:rsidR="00400085" w:rsidRPr="005F2B54" w:rsidRDefault="00400085" w:rsidP="00C81DD3">
            <w:pPr>
              <w:spacing w:before="60" w:after="100"/>
              <w:jc w:val="left"/>
              <w:rPr>
                <w:spacing w:val="-2"/>
                <w:sz w:val="20"/>
                <w:szCs w:val="20"/>
              </w:rPr>
            </w:pPr>
            <w:r w:rsidRPr="005F2B54">
              <w:rPr>
                <w:spacing w:val="-2"/>
                <w:sz w:val="20"/>
                <w:szCs w:val="20"/>
              </w:rPr>
              <w:t>Louisiana Public Service Commission</w:t>
            </w:r>
          </w:p>
        </w:tc>
        <w:tc>
          <w:tcPr>
            <w:tcW w:w="1526" w:type="dxa"/>
            <w:shd w:val="clear" w:color="auto" w:fill="auto"/>
          </w:tcPr>
          <w:p w14:paraId="3A333623" w14:textId="77777777" w:rsidR="00400085" w:rsidRPr="005F2B54" w:rsidRDefault="00400085" w:rsidP="00C81DD3">
            <w:pPr>
              <w:spacing w:before="60" w:after="100"/>
              <w:jc w:val="left"/>
              <w:rPr>
                <w:spacing w:val="-2"/>
                <w:sz w:val="20"/>
                <w:szCs w:val="20"/>
              </w:rPr>
            </w:pPr>
            <w:r w:rsidRPr="005F2B54">
              <w:rPr>
                <w:spacing w:val="-2"/>
                <w:sz w:val="20"/>
                <w:szCs w:val="20"/>
              </w:rPr>
              <w:t>Entergy</w:t>
            </w:r>
          </w:p>
        </w:tc>
        <w:tc>
          <w:tcPr>
            <w:tcW w:w="3446" w:type="dxa"/>
            <w:shd w:val="clear" w:color="auto" w:fill="auto"/>
          </w:tcPr>
          <w:p w14:paraId="59B0AB04" w14:textId="77777777" w:rsidR="00400085" w:rsidRPr="005F2B54" w:rsidRDefault="00400085" w:rsidP="00C81DD3">
            <w:pPr>
              <w:spacing w:before="60" w:after="100"/>
              <w:jc w:val="left"/>
              <w:rPr>
                <w:spacing w:val="-2"/>
                <w:sz w:val="20"/>
                <w:szCs w:val="20"/>
              </w:rPr>
            </w:pPr>
            <w:r w:rsidRPr="005F2B54">
              <w:rPr>
                <w:spacing w:val="-2"/>
                <w:sz w:val="20"/>
                <w:szCs w:val="20"/>
              </w:rPr>
              <w:t>Harm calculation, violation of System Agreement</w:t>
            </w:r>
          </w:p>
        </w:tc>
      </w:tr>
      <w:tr w:rsidR="00400085" w14:paraId="757D8641" w14:textId="77777777" w:rsidTr="00EB5B3C">
        <w:trPr>
          <w:cantSplit/>
          <w:trHeight w:val="138"/>
        </w:trPr>
        <w:tc>
          <w:tcPr>
            <w:tcW w:w="738" w:type="dxa"/>
            <w:shd w:val="clear" w:color="auto" w:fill="auto"/>
          </w:tcPr>
          <w:p w14:paraId="5F637D80" w14:textId="77777777" w:rsidR="00400085" w:rsidRPr="005F2B54" w:rsidRDefault="00400085" w:rsidP="00C81DD3">
            <w:pPr>
              <w:spacing w:before="60" w:after="100"/>
              <w:rPr>
                <w:spacing w:val="-2"/>
                <w:sz w:val="20"/>
                <w:szCs w:val="20"/>
              </w:rPr>
            </w:pPr>
            <w:r w:rsidRPr="005F2B54">
              <w:rPr>
                <w:spacing w:val="-2"/>
                <w:sz w:val="20"/>
                <w:szCs w:val="20"/>
              </w:rPr>
              <w:lastRenderedPageBreak/>
              <w:t>04/13</w:t>
            </w:r>
          </w:p>
        </w:tc>
        <w:tc>
          <w:tcPr>
            <w:tcW w:w="1254" w:type="dxa"/>
            <w:shd w:val="clear" w:color="auto" w:fill="auto"/>
          </w:tcPr>
          <w:p w14:paraId="06D27996"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2012-00578</w:t>
            </w:r>
          </w:p>
        </w:tc>
        <w:tc>
          <w:tcPr>
            <w:tcW w:w="1086" w:type="dxa"/>
            <w:shd w:val="clear" w:color="auto" w:fill="auto"/>
          </w:tcPr>
          <w:p w14:paraId="538F1A0D" w14:textId="77777777" w:rsidR="00400085" w:rsidRPr="005F2B54" w:rsidRDefault="00400085" w:rsidP="00C81DD3">
            <w:pPr>
              <w:spacing w:before="60" w:after="100"/>
              <w:rPr>
                <w:spacing w:val="-2"/>
                <w:sz w:val="20"/>
                <w:szCs w:val="20"/>
              </w:rPr>
            </w:pPr>
            <w:r w:rsidRPr="005F2B54">
              <w:rPr>
                <w:spacing w:val="-2"/>
                <w:sz w:val="20"/>
                <w:szCs w:val="20"/>
              </w:rPr>
              <w:t>KY</w:t>
            </w:r>
          </w:p>
        </w:tc>
        <w:tc>
          <w:tcPr>
            <w:tcW w:w="1786" w:type="dxa"/>
            <w:gridSpan w:val="2"/>
            <w:shd w:val="clear" w:color="auto" w:fill="auto"/>
          </w:tcPr>
          <w:p w14:paraId="33E74528" w14:textId="77777777" w:rsidR="00400085" w:rsidRPr="005F2B54" w:rsidRDefault="00400085" w:rsidP="00C81DD3">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4A54E09A" w14:textId="77777777" w:rsidR="00400085" w:rsidRPr="005F2B54" w:rsidRDefault="00400085" w:rsidP="00C81DD3">
            <w:pPr>
              <w:spacing w:before="60" w:after="100"/>
              <w:jc w:val="left"/>
              <w:rPr>
                <w:spacing w:val="-2"/>
                <w:sz w:val="20"/>
                <w:szCs w:val="20"/>
              </w:rPr>
            </w:pPr>
            <w:r w:rsidRPr="005F2B54">
              <w:rPr>
                <w:spacing w:val="-2"/>
                <w:sz w:val="20"/>
                <w:szCs w:val="20"/>
              </w:rPr>
              <w:t>Kentucky Power Company</w:t>
            </w:r>
          </w:p>
        </w:tc>
        <w:tc>
          <w:tcPr>
            <w:tcW w:w="3446" w:type="dxa"/>
            <w:shd w:val="clear" w:color="auto" w:fill="auto"/>
          </w:tcPr>
          <w:p w14:paraId="35396251" w14:textId="77777777" w:rsidR="00400085" w:rsidRPr="005F2B54" w:rsidRDefault="00400085" w:rsidP="00C81DD3">
            <w:pPr>
              <w:spacing w:before="60" w:after="100"/>
              <w:jc w:val="left"/>
              <w:rPr>
                <w:spacing w:val="-2"/>
                <w:sz w:val="20"/>
                <w:szCs w:val="20"/>
              </w:rPr>
            </w:pPr>
            <w:r w:rsidRPr="005F2B54">
              <w:rPr>
                <w:spacing w:val="-2"/>
                <w:sz w:val="20"/>
                <w:szCs w:val="20"/>
              </w:rPr>
              <w:t>Mitchell Certificate of Public Convenience and Necessity</w:t>
            </w:r>
          </w:p>
        </w:tc>
      </w:tr>
      <w:tr w:rsidR="00400085" w14:paraId="050C56B8" w14:textId="77777777" w:rsidTr="00EB5B3C">
        <w:trPr>
          <w:cantSplit/>
          <w:trHeight w:val="138"/>
        </w:trPr>
        <w:tc>
          <w:tcPr>
            <w:tcW w:w="738" w:type="dxa"/>
            <w:shd w:val="clear" w:color="auto" w:fill="auto"/>
          </w:tcPr>
          <w:p w14:paraId="6B945ABB" w14:textId="77777777" w:rsidR="00400085" w:rsidRPr="005F2B54" w:rsidRDefault="00400085" w:rsidP="00C81DD3">
            <w:pPr>
              <w:spacing w:before="60" w:after="100"/>
              <w:rPr>
                <w:spacing w:val="-2"/>
                <w:sz w:val="20"/>
                <w:szCs w:val="20"/>
              </w:rPr>
            </w:pPr>
            <w:r w:rsidRPr="005F2B54">
              <w:rPr>
                <w:spacing w:val="-2"/>
                <w:sz w:val="20"/>
                <w:szCs w:val="20"/>
              </w:rPr>
              <w:t>05/13</w:t>
            </w:r>
          </w:p>
        </w:tc>
        <w:tc>
          <w:tcPr>
            <w:tcW w:w="1254" w:type="dxa"/>
            <w:shd w:val="clear" w:color="auto" w:fill="auto"/>
          </w:tcPr>
          <w:p w14:paraId="3569A029"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36498</w:t>
            </w:r>
            <w:r>
              <w:rPr>
                <w:spacing w:val="-2"/>
                <w:sz w:val="20"/>
                <w:szCs w:val="20"/>
              </w:rPr>
              <w:t>-U</w:t>
            </w:r>
          </w:p>
        </w:tc>
        <w:tc>
          <w:tcPr>
            <w:tcW w:w="1086" w:type="dxa"/>
            <w:shd w:val="clear" w:color="auto" w:fill="auto"/>
          </w:tcPr>
          <w:p w14:paraId="303211D9"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0BE37A37" w14:textId="77777777" w:rsidR="00400085" w:rsidRPr="005F2B54" w:rsidRDefault="00400085" w:rsidP="00C81DD3">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30D4554A" w14:textId="77777777" w:rsidR="00400085" w:rsidRPr="005F2B54" w:rsidRDefault="00400085" w:rsidP="00C81DD3">
            <w:pPr>
              <w:spacing w:before="60" w:after="100"/>
              <w:jc w:val="left"/>
              <w:rPr>
                <w:spacing w:val="-2"/>
                <w:sz w:val="20"/>
                <w:szCs w:val="20"/>
              </w:rPr>
            </w:pPr>
            <w:r w:rsidRPr="005F2B54">
              <w:rPr>
                <w:spacing w:val="-2"/>
                <w:sz w:val="20"/>
                <w:szCs w:val="20"/>
              </w:rPr>
              <w:t>Georgia Power</w:t>
            </w:r>
          </w:p>
        </w:tc>
        <w:tc>
          <w:tcPr>
            <w:tcW w:w="3446" w:type="dxa"/>
            <w:shd w:val="clear" w:color="auto" w:fill="auto"/>
          </w:tcPr>
          <w:p w14:paraId="5CD8D265" w14:textId="77777777" w:rsidR="00400085" w:rsidRPr="005F2B54" w:rsidRDefault="00400085" w:rsidP="00C81DD3">
            <w:pPr>
              <w:spacing w:before="60" w:after="100"/>
              <w:jc w:val="left"/>
              <w:rPr>
                <w:spacing w:val="-2"/>
                <w:sz w:val="20"/>
                <w:szCs w:val="20"/>
              </w:rPr>
            </w:pPr>
            <w:r w:rsidRPr="005F2B54">
              <w:rPr>
                <w:spacing w:val="-2"/>
                <w:sz w:val="20"/>
                <w:szCs w:val="20"/>
              </w:rPr>
              <w:t>2013 IRP and request to decertify over 2,000 MW of coal-fired capacity</w:t>
            </w:r>
          </w:p>
        </w:tc>
      </w:tr>
      <w:tr w:rsidR="00400085" w14:paraId="6EEFD5F3" w14:textId="77777777" w:rsidTr="00EB5B3C">
        <w:trPr>
          <w:cantSplit/>
          <w:trHeight w:val="138"/>
        </w:trPr>
        <w:tc>
          <w:tcPr>
            <w:tcW w:w="738" w:type="dxa"/>
            <w:shd w:val="clear" w:color="auto" w:fill="auto"/>
          </w:tcPr>
          <w:p w14:paraId="45678525" w14:textId="77777777" w:rsidR="00400085" w:rsidRPr="005F2B54" w:rsidRDefault="00400085" w:rsidP="00C81DD3">
            <w:pPr>
              <w:spacing w:before="60" w:after="100"/>
              <w:rPr>
                <w:spacing w:val="-2"/>
                <w:sz w:val="20"/>
                <w:szCs w:val="20"/>
              </w:rPr>
            </w:pPr>
            <w:r w:rsidRPr="005F2B54">
              <w:rPr>
                <w:rFonts w:cs="Calibri"/>
                <w:spacing w:val="-2"/>
                <w:sz w:val="20"/>
                <w:szCs w:val="20"/>
              </w:rPr>
              <w:t>07/13</w:t>
            </w:r>
          </w:p>
        </w:tc>
        <w:tc>
          <w:tcPr>
            <w:tcW w:w="1254" w:type="dxa"/>
            <w:shd w:val="clear" w:color="auto" w:fill="auto"/>
          </w:tcPr>
          <w:p w14:paraId="2F6BAE0A"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U-32785</w:t>
            </w:r>
          </w:p>
        </w:tc>
        <w:tc>
          <w:tcPr>
            <w:tcW w:w="1086" w:type="dxa"/>
            <w:shd w:val="clear" w:color="auto" w:fill="auto"/>
          </w:tcPr>
          <w:p w14:paraId="5100880E" w14:textId="77777777" w:rsidR="00400085" w:rsidRPr="005F2B54" w:rsidRDefault="00400085" w:rsidP="00C81DD3">
            <w:pPr>
              <w:spacing w:before="60" w:after="100"/>
              <w:rPr>
                <w:spacing w:val="-2"/>
                <w:sz w:val="20"/>
                <w:szCs w:val="20"/>
              </w:rPr>
            </w:pPr>
            <w:r w:rsidRPr="005F2B54">
              <w:rPr>
                <w:rFonts w:cs="Calibri"/>
                <w:spacing w:val="-2"/>
                <w:sz w:val="20"/>
                <w:szCs w:val="20"/>
              </w:rPr>
              <w:t>LA</w:t>
            </w:r>
          </w:p>
        </w:tc>
        <w:tc>
          <w:tcPr>
            <w:tcW w:w="1786" w:type="dxa"/>
            <w:gridSpan w:val="2"/>
            <w:shd w:val="clear" w:color="auto" w:fill="auto"/>
          </w:tcPr>
          <w:p w14:paraId="1C70536F" w14:textId="77777777" w:rsidR="00400085" w:rsidRPr="005F2B54" w:rsidRDefault="00400085" w:rsidP="00C81DD3">
            <w:pPr>
              <w:spacing w:before="60" w:after="100"/>
              <w:jc w:val="left"/>
              <w:rPr>
                <w:spacing w:val="-2"/>
                <w:sz w:val="20"/>
                <w:szCs w:val="20"/>
              </w:rPr>
            </w:pPr>
            <w:r w:rsidRPr="005F2B54">
              <w:rPr>
                <w:rFonts w:cs="Calibri"/>
                <w:spacing w:val="-2"/>
                <w:sz w:val="20"/>
                <w:szCs w:val="20"/>
              </w:rPr>
              <w:t>Louisiana Public Service Commission Staff</w:t>
            </w:r>
          </w:p>
        </w:tc>
        <w:tc>
          <w:tcPr>
            <w:tcW w:w="1526" w:type="dxa"/>
            <w:shd w:val="clear" w:color="auto" w:fill="auto"/>
          </w:tcPr>
          <w:p w14:paraId="1C3D94B4" w14:textId="77777777" w:rsidR="00400085" w:rsidRPr="005F2B54" w:rsidRDefault="00400085" w:rsidP="00C81DD3">
            <w:pPr>
              <w:spacing w:before="60" w:after="100"/>
              <w:jc w:val="left"/>
              <w:rPr>
                <w:spacing w:val="-2"/>
                <w:sz w:val="20"/>
                <w:szCs w:val="20"/>
              </w:rPr>
            </w:pPr>
            <w:r w:rsidRPr="005F2B54">
              <w:rPr>
                <w:rFonts w:cs="Calibri"/>
                <w:spacing w:val="-2"/>
                <w:sz w:val="20"/>
                <w:szCs w:val="20"/>
              </w:rPr>
              <w:t>En</w:t>
            </w:r>
            <w:r>
              <w:rPr>
                <w:rFonts w:cs="Calibri"/>
                <w:spacing w:val="-2"/>
                <w:sz w:val="20"/>
                <w:szCs w:val="20"/>
              </w:rPr>
              <w:t>t</w:t>
            </w:r>
            <w:r w:rsidRPr="005F2B54">
              <w:rPr>
                <w:rFonts w:cs="Calibri"/>
                <w:spacing w:val="-2"/>
                <w:sz w:val="20"/>
                <w:szCs w:val="20"/>
              </w:rPr>
              <w:t>ergy</w:t>
            </w:r>
          </w:p>
        </w:tc>
        <w:tc>
          <w:tcPr>
            <w:tcW w:w="3446" w:type="dxa"/>
            <w:shd w:val="clear" w:color="auto" w:fill="auto"/>
          </w:tcPr>
          <w:p w14:paraId="017E8CE5" w14:textId="77777777" w:rsidR="00400085" w:rsidRPr="005F2B54" w:rsidRDefault="00400085" w:rsidP="00C81DD3">
            <w:pPr>
              <w:spacing w:before="60" w:after="100"/>
              <w:jc w:val="left"/>
              <w:rPr>
                <w:spacing w:val="-2"/>
                <w:sz w:val="20"/>
                <w:szCs w:val="20"/>
              </w:rPr>
            </w:pPr>
            <w:r w:rsidRPr="005F2B54">
              <w:rPr>
                <w:rFonts w:cs="Calibri"/>
                <w:spacing w:val="-2"/>
                <w:sz w:val="20"/>
                <w:szCs w:val="20"/>
              </w:rPr>
              <w:t>8.5 MW PPA for renewable energy capacity (Agrilectric rice hull)</w:t>
            </w:r>
            <w:r>
              <w:rPr>
                <w:rFonts w:cs="Calibri"/>
                <w:spacing w:val="-2"/>
                <w:sz w:val="20"/>
                <w:szCs w:val="20"/>
              </w:rPr>
              <w:t xml:space="preserve"> </w:t>
            </w:r>
            <w:r w:rsidRPr="005F2B54">
              <w:rPr>
                <w:rFonts w:cs="Calibri"/>
                <w:spacing w:val="-2"/>
                <w:sz w:val="20"/>
                <w:szCs w:val="20"/>
              </w:rPr>
              <w:t>in accordance with LPSC’s Renewable Energy Pilot</w:t>
            </w:r>
          </w:p>
        </w:tc>
      </w:tr>
      <w:tr w:rsidR="00400085" w14:paraId="0F1F792E" w14:textId="77777777" w:rsidTr="00EB5B3C">
        <w:trPr>
          <w:cantSplit/>
          <w:trHeight w:val="138"/>
        </w:trPr>
        <w:tc>
          <w:tcPr>
            <w:tcW w:w="738" w:type="dxa"/>
            <w:shd w:val="clear" w:color="auto" w:fill="auto"/>
          </w:tcPr>
          <w:p w14:paraId="01EFC44B" w14:textId="77777777" w:rsidR="00400085" w:rsidRPr="005F2B54" w:rsidRDefault="00400085" w:rsidP="00C81DD3">
            <w:pPr>
              <w:spacing w:before="60" w:after="100"/>
              <w:rPr>
                <w:spacing w:val="-2"/>
                <w:sz w:val="20"/>
                <w:szCs w:val="20"/>
              </w:rPr>
            </w:pPr>
            <w:r w:rsidRPr="005F2B54">
              <w:rPr>
                <w:rFonts w:cs="Calibri"/>
                <w:spacing w:val="-2"/>
                <w:sz w:val="20"/>
                <w:szCs w:val="20"/>
              </w:rPr>
              <w:t>08/13</w:t>
            </w:r>
          </w:p>
        </w:tc>
        <w:tc>
          <w:tcPr>
            <w:tcW w:w="1254" w:type="dxa"/>
            <w:shd w:val="clear" w:color="auto" w:fill="auto"/>
          </w:tcPr>
          <w:p w14:paraId="664A1762"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436FF5E7"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39396D98" w14:textId="77777777" w:rsidR="00400085" w:rsidRPr="005F2B54" w:rsidRDefault="00400085" w:rsidP="00C81DD3">
            <w:pPr>
              <w:spacing w:before="60" w:after="100"/>
              <w:jc w:val="left"/>
              <w:rPr>
                <w:sz w:val="20"/>
                <w:szCs w:val="20"/>
              </w:rPr>
            </w:pPr>
            <w:r>
              <w:rPr>
                <w:sz w:val="20"/>
                <w:szCs w:val="20"/>
              </w:rPr>
              <w:t>Georgia Public Service Commission Staff</w:t>
            </w:r>
          </w:p>
        </w:tc>
        <w:tc>
          <w:tcPr>
            <w:tcW w:w="1526" w:type="dxa"/>
            <w:shd w:val="clear" w:color="auto" w:fill="auto"/>
          </w:tcPr>
          <w:p w14:paraId="6B2E2F6A" w14:textId="77777777" w:rsidR="00400085" w:rsidRPr="005F2B54" w:rsidRDefault="00400085" w:rsidP="00C81DD3">
            <w:pPr>
              <w:spacing w:before="60" w:after="100"/>
              <w:jc w:val="left"/>
              <w:rPr>
                <w:sz w:val="20"/>
                <w:szCs w:val="20"/>
              </w:rPr>
            </w:pPr>
            <w:r w:rsidRPr="005F2B54">
              <w:rPr>
                <w:sz w:val="20"/>
                <w:szCs w:val="20"/>
              </w:rPr>
              <w:t>Georgia Power</w:t>
            </w:r>
          </w:p>
        </w:tc>
        <w:tc>
          <w:tcPr>
            <w:tcW w:w="3446" w:type="dxa"/>
            <w:shd w:val="clear" w:color="auto" w:fill="auto"/>
          </w:tcPr>
          <w:p w14:paraId="65DDF57C" w14:textId="77777777" w:rsidR="00400085" w:rsidRPr="005F2B54" w:rsidRDefault="00400085" w:rsidP="00C81DD3">
            <w:pPr>
              <w:spacing w:before="60" w:after="100"/>
              <w:jc w:val="left"/>
              <w:rPr>
                <w:spacing w:val="-2"/>
                <w:sz w:val="20"/>
                <w:szCs w:val="20"/>
              </w:rPr>
            </w:pPr>
            <w:r w:rsidRPr="005F2B54">
              <w:rPr>
                <w:spacing w:val="-2"/>
                <w:sz w:val="20"/>
                <w:szCs w:val="20"/>
              </w:rPr>
              <w:t xml:space="preserve">Eighth </w:t>
            </w:r>
            <w:r>
              <w:rPr>
                <w:rFonts w:cs="Calibri"/>
                <w:spacing w:val="-2"/>
                <w:sz w:val="20"/>
                <w:szCs w:val="20"/>
              </w:rPr>
              <w:t>Semi-Annual Vogtle Construction Monitoring Report</w:t>
            </w:r>
          </w:p>
        </w:tc>
      </w:tr>
      <w:tr w:rsidR="00400085" w14:paraId="73232A7D" w14:textId="77777777" w:rsidTr="00EB5B3C">
        <w:trPr>
          <w:cantSplit/>
          <w:trHeight w:val="138"/>
        </w:trPr>
        <w:tc>
          <w:tcPr>
            <w:tcW w:w="738" w:type="dxa"/>
            <w:shd w:val="clear" w:color="auto" w:fill="auto"/>
          </w:tcPr>
          <w:p w14:paraId="4578991A" w14:textId="77777777" w:rsidR="00400085" w:rsidRPr="005F2B54" w:rsidRDefault="00400085" w:rsidP="00C81DD3">
            <w:pPr>
              <w:spacing w:before="60" w:after="100"/>
              <w:rPr>
                <w:spacing w:val="-2"/>
                <w:sz w:val="20"/>
                <w:szCs w:val="20"/>
              </w:rPr>
            </w:pPr>
            <w:r w:rsidRPr="005F2B54">
              <w:rPr>
                <w:rFonts w:cs="Calibri"/>
                <w:spacing w:val="-2"/>
                <w:sz w:val="20"/>
                <w:szCs w:val="20"/>
              </w:rPr>
              <w:t>10/13</w:t>
            </w:r>
          </w:p>
        </w:tc>
        <w:tc>
          <w:tcPr>
            <w:tcW w:w="1254" w:type="dxa"/>
            <w:shd w:val="clear" w:color="auto" w:fill="auto"/>
          </w:tcPr>
          <w:p w14:paraId="3E96478C"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2013-00199</w:t>
            </w:r>
          </w:p>
        </w:tc>
        <w:tc>
          <w:tcPr>
            <w:tcW w:w="1086" w:type="dxa"/>
            <w:shd w:val="clear" w:color="auto" w:fill="auto"/>
          </w:tcPr>
          <w:p w14:paraId="26439C2E" w14:textId="77777777" w:rsidR="00400085" w:rsidRPr="005F2B54" w:rsidRDefault="00400085" w:rsidP="00C81DD3">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0ACB4DC8" w14:textId="77777777" w:rsidR="00400085" w:rsidRPr="005F2B54" w:rsidRDefault="00400085" w:rsidP="00C81DD3">
            <w:pPr>
              <w:spacing w:before="60" w:after="100"/>
              <w:jc w:val="left"/>
              <w:rPr>
                <w:spacing w:val="-2"/>
                <w:sz w:val="20"/>
                <w:szCs w:val="20"/>
              </w:rPr>
            </w:pPr>
            <w:r w:rsidRPr="005F2B54">
              <w:rPr>
                <w:spacing w:val="-2"/>
                <w:sz w:val="20"/>
                <w:szCs w:val="20"/>
              </w:rPr>
              <w:t>Kentucky Industrial Utility Customers, Inc.</w:t>
            </w:r>
          </w:p>
        </w:tc>
        <w:tc>
          <w:tcPr>
            <w:tcW w:w="1526" w:type="dxa"/>
            <w:shd w:val="clear" w:color="auto" w:fill="auto"/>
          </w:tcPr>
          <w:p w14:paraId="3473A68F" w14:textId="77777777" w:rsidR="00400085" w:rsidRPr="005F2B54" w:rsidRDefault="00400085" w:rsidP="00C81DD3">
            <w:pPr>
              <w:spacing w:before="60" w:after="100"/>
              <w:jc w:val="left"/>
              <w:rPr>
                <w:spacing w:val="-2"/>
                <w:sz w:val="20"/>
                <w:szCs w:val="20"/>
              </w:rPr>
            </w:pPr>
            <w:r w:rsidRPr="005F2B54">
              <w:rPr>
                <w:rFonts w:cs="Calibri"/>
                <w:spacing w:val="-2"/>
                <w:sz w:val="20"/>
                <w:szCs w:val="20"/>
              </w:rPr>
              <w:t>Big Rivers</w:t>
            </w:r>
          </w:p>
        </w:tc>
        <w:tc>
          <w:tcPr>
            <w:tcW w:w="3446" w:type="dxa"/>
            <w:shd w:val="clear" w:color="auto" w:fill="auto"/>
          </w:tcPr>
          <w:p w14:paraId="53C97891" w14:textId="77777777" w:rsidR="00400085" w:rsidRPr="005F2B54" w:rsidRDefault="00400085" w:rsidP="00C81DD3">
            <w:pPr>
              <w:spacing w:before="60" w:after="100"/>
              <w:jc w:val="left"/>
              <w:rPr>
                <w:spacing w:val="-2"/>
                <w:sz w:val="20"/>
                <w:szCs w:val="20"/>
              </w:rPr>
            </w:pPr>
            <w:r w:rsidRPr="005F2B54">
              <w:rPr>
                <w:rFonts w:cs="Calibri"/>
                <w:spacing w:val="-2"/>
                <w:sz w:val="20"/>
                <w:szCs w:val="20"/>
              </w:rPr>
              <w:t>Base rate case</w:t>
            </w:r>
          </w:p>
        </w:tc>
      </w:tr>
      <w:tr w:rsidR="00400085" w14:paraId="6A4E964A" w14:textId="77777777" w:rsidTr="00EB5B3C">
        <w:trPr>
          <w:cantSplit/>
          <w:trHeight w:val="138"/>
        </w:trPr>
        <w:tc>
          <w:tcPr>
            <w:tcW w:w="738" w:type="dxa"/>
            <w:shd w:val="clear" w:color="auto" w:fill="auto"/>
          </w:tcPr>
          <w:p w14:paraId="2721F91E" w14:textId="77777777" w:rsidR="00400085" w:rsidRPr="005F2B54" w:rsidRDefault="00400085" w:rsidP="00C81DD3">
            <w:pPr>
              <w:spacing w:before="60" w:after="100"/>
              <w:rPr>
                <w:spacing w:val="-2"/>
                <w:sz w:val="20"/>
                <w:szCs w:val="20"/>
              </w:rPr>
            </w:pPr>
            <w:r w:rsidRPr="005F2B54">
              <w:rPr>
                <w:rFonts w:cs="Calibri"/>
                <w:spacing w:val="-2"/>
                <w:sz w:val="20"/>
                <w:szCs w:val="20"/>
              </w:rPr>
              <w:t>05/14</w:t>
            </w:r>
          </w:p>
        </w:tc>
        <w:tc>
          <w:tcPr>
            <w:tcW w:w="1254" w:type="dxa"/>
            <w:shd w:val="clear" w:color="auto" w:fill="auto"/>
          </w:tcPr>
          <w:p w14:paraId="5D5EC98A"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13-035-184</w:t>
            </w:r>
          </w:p>
        </w:tc>
        <w:tc>
          <w:tcPr>
            <w:tcW w:w="1086" w:type="dxa"/>
            <w:shd w:val="clear" w:color="auto" w:fill="auto"/>
          </w:tcPr>
          <w:p w14:paraId="1866A494" w14:textId="77777777" w:rsidR="00400085" w:rsidRPr="005F2B54" w:rsidRDefault="00400085" w:rsidP="00C81DD3">
            <w:pPr>
              <w:spacing w:before="60" w:after="100"/>
              <w:rPr>
                <w:spacing w:val="-2"/>
                <w:sz w:val="20"/>
                <w:szCs w:val="20"/>
              </w:rPr>
            </w:pPr>
            <w:r w:rsidRPr="005F2B54">
              <w:rPr>
                <w:rFonts w:cs="Calibri"/>
                <w:spacing w:val="-2"/>
                <w:sz w:val="20"/>
                <w:szCs w:val="20"/>
              </w:rPr>
              <w:t>UT</w:t>
            </w:r>
          </w:p>
        </w:tc>
        <w:tc>
          <w:tcPr>
            <w:tcW w:w="1786" w:type="dxa"/>
            <w:gridSpan w:val="2"/>
            <w:shd w:val="clear" w:color="auto" w:fill="auto"/>
          </w:tcPr>
          <w:p w14:paraId="34C47564" w14:textId="77777777" w:rsidR="00400085" w:rsidRPr="005F2B54" w:rsidRDefault="00400085" w:rsidP="00C81DD3">
            <w:pPr>
              <w:spacing w:before="60" w:after="100"/>
              <w:jc w:val="left"/>
              <w:rPr>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6FD85CEF" w14:textId="77777777" w:rsidR="00400085" w:rsidRPr="005F2B54" w:rsidRDefault="00400085" w:rsidP="00C81DD3">
            <w:pPr>
              <w:spacing w:before="60" w:after="100"/>
              <w:jc w:val="left"/>
              <w:rPr>
                <w:spacing w:val="-2"/>
                <w:sz w:val="20"/>
                <w:szCs w:val="20"/>
              </w:rPr>
            </w:pPr>
            <w:r w:rsidRPr="005F2B54">
              <w:rPr>
                <w:sz w:val="20"/>
                <w:szCs w:val="20"/>
              </w:rPr>
              <w:t>PacifiCorp</w:t>
            </w:r>
          </w:p>
        </w:tc>
        <w:tc>
          <w:tcPr>
            <w:tcW w:w="3446" w:type="dxa"/>
            <w:shd w:val="clear" w:color="auto" w:fill="auto"/>
          </w:tcPr>
          <w:p w14:paraId="5A723455" w14:textId="77777777" w:rsidR="00400085" w:rsidRPr="005F2B54" w:rsidRDefault="00400085" w:rsidP="00C81DD3">
            <w:pPr>
              <w:spacing w:before="60" w:after="100"/>
              <w:jc w:val="left"/>
              <w:rPr>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400085" w14:paraId="04CD59F2" w14:textId="77777777" w:rsidTr="00EB5B3C">
        <w:trPr>
          <w:cantSplit/>
          <w:trHeight w:val="138"/>
        </w:trPr>
        <w:tc>
          <w:tcPr>
            <w:tcW w:w="738" w:type="dxa"/>
            <w:shd w:val="clear" w:color="auto" w:fill="auto"/>
          </w:tcPr>
          <w:p w14:paraId="63E886EC" w14:textId="77777777" w:rsidR="00400085" w:rsidRPr="005F2B54" w:rsidRDefault="00400085" w:rsidP="00C81DD3">
            <w:pPr>
              <w:spacing w:before="60" w:after="100"/>
              <w:rPr>
                <w:spacing w:val="-2"/>
                <w:sz w:val="20"/>
                <w:szCs w:val="20"/>
              </w:rPr>
            </w:pPr>
            <w:r w:rsidRPr="005F2B54">
              <w:rPr>
                <w:rFonts w:cs="Calibri"/>
                <w:spacing w:val="-2"/>
                <w:sz w:val="20"/>
                <w:szCs w:val="20"/>
              </w:rPr>
              <w:t>06/14</w:t>
            </w:r>
          </w:p>
        </w:tc>
        <w:tc>
          <w:tcPr>
            <w:tcW w:w="1254" w:type="dxa"/>
            <w:shd w:val="clear" w:color="auto" w:fill="auto"/>
          </w:tcPr>
          <w:p w14:paraId="6A8CF71B" w14:textId="77777777" w:rsidR="00400085" w:rsidRPr="005F2B54" w:rsidRDefault="00400085" w:rsidP="00C81DD3">
            <w:pPr>
              <w:keepNext/>
              <w:keepLines/>
              <w:pageBreakBefore/>
              <w:spacing w:before="60" w:after="100"/>
              <w:rPr>
                <w:spacing w:val="-2"/>
                <w:sz w:val="20"/>
                <w:szCs w:val="20"/>
              </w:rPr>
            </w:pPr>
            <w:r w:rsidRPr="005F2B54">
              <w:rPr>
                <w:spacing w:val="-2"/>
                <w:sz w:val="20"/>
                <w:szCs w:val="20"/>
              </w:rPr>
              <w:t>29849-U</w:t>
            </w:r>
          </w:p>
        </w:tc>
        <w:tc>
          <w:tcPr>
            <w:tcW w:w="1086" w:type="dxa"/>
            <w:shd w:val="clear" w:color="auto" w:fill="auto"/>
          </w:tcPr>
          <w:p w14:paraId="3CF0ABD0" w14:textId="77777777" w:rsidR="00400085" w:rsidRPr="005F2B54" w:rsidRDefault="00400085" w:rsidP="00C81DD3">
            <w:pPr>
              <w:spacing w:before="60" w:after="100"/>
              <w:rPr>
                <w:spacing w:val="-2"/>
                <w:sz w:val="20"/>
                <w:szCs w:val="20"/>
              </w:rPr>
            </w:pPr>
            <w:r w:rsidRPr="005F2B54">
              <w:rPr>
                <w:spacing w:val="-2"/>
                <w:sz w:val="20"/>
                <w:szCs w:val="20"/>
              </w:rPr>
              <w:t>GA</w:t>
            </w:r>
          </w:p>
        </w:tc>
        <w:tc>
          <w:tcPr>
            <w:tcW w:w="1786" w:type="dxa"/>
            <w:gridSpan w:val="2"/>
            <w:shd w:val="clear" w:color="auto" w:fill="auto"/>
          </w:tcPr>
          <w:p w14:paraId="77FC1EB4" w14:textId="77777777" w:rsidR="00400085" w:rsidRPr="005F2B54" w:rsidRDefault="00400085" w:rsidP="00C81DD3">
            <w:pPr>
              <w:spacing w:before="60" w:after="100"/>
              <w:jc w:val="left"/>
              <w:rPr>
                <w:spacing w:val="-2"/>
                <w:sz w:val="20"/>
                <w:szCs w:val="20"/>
              </w:rPr>
            </w:pPr>
            <w:r>
              <w:rPr>
                <w:sz w:val="20"/>
                <w:szCs w:val="20"/>
              </w:rPr>
              <w:t>Georgia Public Service Commission Staff</w:t>
            </w:r>
          </w:p>
        </w:tc>
        <w:tc>
          <w:tcPr>
            <w:tcW w:w="1526" w:type="dxa"/>
            <w:shd w:val="clear" w:color="auto" w:fill="auto"/>
          </w:tcPr>
          <w:p w14:paraId="1E32DEEC" w14:textId="77777777" w:rsidR="00400085" w:rsidRPr="005F2B54" w:rsidRDefault="00400085" w:rsidP="00C81DD3">
            <w:pPr>
              <w:spacing w:before="60" w:after="100"/>
              <w:jc w:val="left"/>
              <w:rPr>
                <w:spacing w:val="-2"/>
                <w:sz w:val="20"/>
                <w:szCs w:val="20"/>
              </w:rPr>
            </w:pPr>
            <w:r w:rsidRPr="005F2B54">
              <w:rPr>
                <w:sz w:val="20"/>
                <w:szCs w:val="20"/>
              </w:rPr>
              <w:t>Georgia Power</w:t>
            </w:r>
          </w:p>
        </w:tc>
        <w:tc>
          <w:tcPr>
            <w:tcW w:w="3446" w:type="dxa"/>
            <w:shd w:val="clear" w:color="auto" w:fill="auto"/>
          </w:tcPr>
          <w:p w14:paraId="209EBD35" w14:textId="77777777" w:rsidR="00400085" w:rsidRPr="005F2B54" w:rsidRDefault="00400085" w:rsidP="00C81DD3">
            <w:pPr>
              <w:spacing w:before="60" w:after="100"/>
              <w:jc w:val="left"/>
              <w:rPr>
                <w:spacing w:val="-2"/>
                <w:sz w:val="20"/>
                <w:szCs w:val="20"/>
              </w:rPr>
            </w:pPr>
            <w:r>
              <w:rPr>
                <w:spacing w:val="-2"/>
                <w:sz w:val="20"/>
                <w:szCs w:val="20"/>
              </w:rPr>
              <w:t>Ninth/T</w:t>
            </w:r>
            <w:r w:rsidRPr="005F2B54">
              <w:rPr>
                <w:spacing w:val="-2"/>
                <w:sz w:val="20"/>
                <w:szCs w:val="20"/>
              </w:rPr>
              <w:t xml:space="preserve">enth </w:t>
            </w:r>
            <w:r>
              <w:rPr>
                <w:rFonts w:cs="Calibri"/>
                <w:spacing w:val="-2"/>
                <w:sz w:val="20"/>
                <w:szCs w:val="20"/>
              </w:rPr>
              <w:t>Semi-Annual Vogtle Construction Monitoring Report</w:t>
            </w:r>
          </w:p>
        </w:tc>
      </w:tr>
      <w:tr w:rsidR="00400085" w14:paraId="35423D28" w14:textId="77777777" w:rsidTr="00EB5B3C">
        <w:trPr>
          <w:cantSplit/>
          <w:trHeight w:val="138"/>
        </w:trPr>
        <w:tc>
          <w:tcPr>
            <w:tcW w:w="738" w:type="dxa"/>
            <w:shd w:val="clear" w:color="auto" w:fill="auto"/>
          </w:tcPr>
          <w:p w14:paraId="55005B86"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07/14</w:t>
            </w:r>
          </w:p>
        </w:tc>
        <w:tc>
          <w:tcPr>
            <w:tcW w:w="1254" w:type="dxa"/>
            <w:shd w:val="clear" w:color="auto" w:fill="auto"/>
          </w:tcPr>
          <w:p w14:paraId="09C40FE1"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20000-446-EA-14</w:t>
            </w:r>
          </w:p>
        </w:tc>
        <w:tc>
          <w:tcPr>
            <w:tcW w:w="1086" w:type="dxa"/>
            <w:shd w:val="clear" w:color="auto" w:fill="auto"/>
          </w:tcPr>
          <w:p w14:paraId="41A1E94E"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WY</w:t>
            </w:r>
          </w:p>
        </w:tc>
        <w:tc>
          <w:tcPr>
            <w:tcW w:w="1786" w:type="dxa"/>
            <w:gridSpan w:val="2"/>
            <w:shd w:val="clear" w:color="auto" w:fill="auto"/>
          </w:tcPr>
          <w:p w14:paraId="7B802282"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Wyoming Industrial Energy Consumers</w:t>
            </w:r>
          </w:p>
        </w:tc>
        <w:tc>
          <w:tcPr>
            <w:tcW w:w="1526" w:type="dxa"/>
            <w:shd w:val="clear" w:color="auto" w:fill="auto"/>
          </w:tcPr>
          <w:p w14:paraId="7DB8D8DF"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PacifiCorp</w:t>
            </w:r>
          </w:p>
        </w:tc>
        <w:tc>
          <w:tcPr>
            <w:tcW w:w="3446" w:type="dxa"/>
            <w:shd w:val="clear" w:color="auto" w:fill="auto"/>
          </w:tcPr>
          <w:p w14:paraId="3764E8C2"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 xml:space="preserve">2014 </w:t>
            </w:r>
            <w:r>
              <w:rPr>
                <w:rFonts w:cs="Calibri"/>
                <w:spacing w:val="-2"/>
                <w:sz w:val="20"/>
                <w:szCs w:val="20"/>
              </w:rPr>
              <w:t>G</w:t>
            </w:r>
            <w:r w:rsidRPr="005F2B54">
              <w:rPr>
                <w:rFonts w:cs="Calibri"/>
                <w:spacing w:val="-2"/>
                <w:sz w:val="20"/>
                <w:szCs w:val="20"/>
              </w:rPr>
              <w:t xml:space="preserve">eneral </w:t>
            </w:r>
            <w:r>
              <w:rPr>
                <w:rFonts w:cs="Calibri"/>
                <w:spacing w:val="-2"/>
                <w:sz w:val="20"/>
                <w:szCs w:val="20"/>
              </w:rPr>
              <w:t>Rate C</w:t>
            </w:r>
            <w:r w:rsidRPr="005F2B54">
              <w:rPr>
                <w:rFonts w:cs="Calibri"/>
                <w:spacing w:val="-2"/>
                <w:sz w:val="20"/>
                <w:szCs w:val="20"/>
              </w:rPr>
              <w:t>ase, net power cost</w:t>
            </w:r>
          </w:p>
        </w:tc>
      </w:tr>
      <w:tr w:rsidR="00400085" w14:paraId="67D5CC61" w14:textId="77777777" w:rsidTr="00EB5B3C">
        <w:trPr>
          <w:cantSplit/>
          <w:trHeight w:val="138"/>
        </w:trPr>
        <w:tc>
          <w:tcPr>
            <w:tcW w:w="738" w:type="dxa"/>
            <w:shd w:val="clear" w:color="auto" w:fill="auto"/>
          </w:tcPr>
          <w:p w14:paraId="493109D6"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79533C91"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2000-447-EA-14</w:t>
            </w:r>
          </w:p>
        </w:tc>
        <w:tc>
          <w:tcPr>
            <w:tcW w:w="1086" w:type="dxa"/>
            <w:shd w:val="clear" w:color="auto" w:fill="auto"/>
          </w:tcPr>
          <w:p w14:paraId="0947811D" w14:textId="77777777" w:rsidR="00400085" w:rsidRPr="005F2B54" w:rsidRDefault="00400085" w:rsidP="00C81DD3">
            <w:pPr>
              <w:spacing w:before="60" w:after="100"/>
              <w:rPr>
                <w:spacing w:val="-2"/>
                <w:sz w:val="20"/>
                <w:szCs w:val="20"/>
              </w:rPr>
            </w:pPr>
            <w:r w:rsidRPr="005F2B54">
              <w:rPr>
                <w:rFonts w:cs="Calibri"/>
                <w:spacing w:val="-2"/>
                <w:sz w:val="20"/>
                <w:szCs w:val="20"/>
              </w:rPr>
              <w:t>WY</w:t>
            </w:r>
          </w:p>
        </w:tc>
        <w:tc>
          <w:tcPr>
            <w:tcW w:w="1786" w:type="dxa"/>
            <w:gridSpan w:val="2"/>
            <w:shd w:val="clear" w:color="auto" w:fill="auto"/>
          </w:tcPr>
          <w:p w14:paraId="1730E185" w14:textId="77777777" w:rsidR="00400085" w:rsidRPr="005F2B54" w:rsidRDefault="00400085" w:rsidP="00C81DD3">
            <w:pPr>
              <w:spacing w:before="60" w:after="100"/>
              <w:jc w:val="left"/>
              <w:rPr>
                <w:sz w:val="20"/>
                <w:szCs w:val="20"/>
              </w:rPr>
            </w:pPr>
            <w:r w:rsidRPr="005F2B54">
              <w:rPr>
                <w:rFonts w:cs="Calibri"/>
                <w:spacing w:val="-2"/>
                <w:sz w:val="20"/>
                <w:szCs w:val="20"/>
              </w:rPr>
              <w:t>Wyoming Industrial Energy Consumers</w:t>
            </w:r>
          </w:p>
        </w:tc>
        <w:tc>
          <w:tcPr>
            <w:tcW w:w="1526" w:type="dxa"/>
            <w:shd w:val="clear" w:color="auto" w:fill="auto"/>
          </w:tcPr>
          <w:p w14:paraId="494876B2" w14:textId="77777777" w:rsidR="00400085" w:rsidRPr="005F2B54" w:rsidRDefault="00400085" w:rsidP="00C81DD3">
            <w:pPr>
              <w:spacing w:before="60" w:after="100"/>
              <w:jc w:val="left"/>
              <w:rPr>
                <w:sz w:val="20"/>
                <w:szCs w:val="20"/>
              </w:rPr>
            </w:pPr>
            <w:r w:rsidRPr="005F2B54">
              <w:rPr>
                <w:rFonts w:cs="Calibri"/>
                <w:spacing w:val="-2"/>
                <w:sz w:val="20"/>
                <w:szCs w:val="20"/>
              </w:rPr>
              <w:t>PacifiCorp</w:t>
            </w:r>
          </w:p>
        </w:tc>
        <w:tc>
          <w:tcPr>
            <w:tcW w:w="3446" w:type="dxa"/>
            <w:shd w:val="clear" w:color="auto" w:fill="auto"/>
          </w:tcPr>
          <w:p w14:paraId="7BFE5A29" w14:textId="77777777" w:rsidR="00400085" w:rsidRPr="005F2B54" w:rsidRDefault="00400085" w:rsidP="00C81DD3">
            <w:pPr>
              <w:spacing w:before="60" w:after="100"/>
              <w:jc w:val="left"/>
              <w:rPr>
                <w:spacing w:val="-2"/>
                <w:sz w:val="20"/>
                <w:szCs w:val="20"/>
              </w:rPr>
            </w:pPr>
            <w:r w:rsidRPr="005F2B54">
              <w:rPr>
                <w:rFonts w:cs="Calibri"/>
                <w:spacing w:val="-2"/>
                <w:sz w:val="20"/>
                <w:szCs w:val="20"/>
              </w:rPr>
              <w:t>2014 Energy Cost Adjustment Mechanism application</w:t>
            </w:r>
          </w:p>
        </w:tc>
      </w:tr>
      <w:tr w:rsidR="00400085" w14:paraId="7B9A0874" w14:textId="77777777" w:rsidTr="00EB5B3C">
        <w:trPr>
          <w:cantSplit/>
          <w:trHeight w:val="138"/>
        </w:trPr>
        <w:tc>
          <w:tcPr>
            <w:tcW w:w="738" w:type="dxa"/>
            <w:shd w:val="clear" w:color="auto" w:fill="auto"/>
          </w:tcPr>
          <w:p w14:paraId="100E9E40"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08/14</w:t>
            </w:r>
          </w:p>
        </w:tc>
        <w:tc>
          <w:tcPr>
            <w:tcW w:w="1254" w:type="dxa"/>
            <w:shd w:val="clear" w:color="auto" w:fill="auto"/>
          </w:tcPr>
          <w:p w14:paraId="1BD9BE24"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14-035-31</w:t>
            </w:r>
          </w:p>
        </w:tc>
        <w:tc>
          <w:tcPr>
            <w:tcW w:w="1086" w:type="dxa"/>
            <w:shd w:val="clear" w:color="auto" w:fill="auto"/>
          </w:tcPr>
          <w:p w14:paraId="0B602A19"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33BAB58" w14:textId="77777777" w:rsidR="00400085" w:rsidRPr="005F2B54" w:rsidRDefault="00400085" w:rsidP="00C81DD3">
            <w:pPr>
              <w:spacing w:before="60" w:after="100"/>
              <w:jc w:val="left"/>
              <w:rPr>
                <w:rFonts w:cs="Calibri"/>
                <w:spacing w:val="-2"/>
                <w:sz w:val="20"/>
                <w:szCs w:val="20"/>
              </w:rPr>
            </w:pPr>
            <w:r w:rsidRPr="005F2B54">
              <w:rPr>
                <w:sz w:val="20"/>
                <w:szCs w:val="20"/>
              </w:rPr>
              <w:t xml:space="preserve">Utah </w:t>
            </w:r>
            <w:r>
              <w:rPr>
                <w:sz w:val="20"/>
                <w:szCs w:val="20"/>
              </w:rPr>
              <w:t>Office of</w:t>
            </w:r>
            <w:r w:rsidRPr="005F2B54">
              <w:rPr>
                <w:sz w:val="20"/>
                <w:szCs w:val="20"/>
              </w:rPr>
              <w:t xml:space="preserve"> Consumer Services</w:t>
            </w:r>
          </w:p>
        </w:tc>
        <w:tc>
          <w:tcPr>
            <w:tcW w:w="1526" w:type="dxa"/>
            <w:shd w:val="clear" w:color="auto" w:fill="auto"/>
          </w:tcPr>
          <w:p w14:paraId="23291388" w14:textId="77777777" w:rsidR="00400085" w:rsidRPr="005F2B54" w:rsidRDefault="00400085" w:rsidP="00C81DD3">
            <w:pPr>
              <w:spacing w:before="60" w:after="100"/>
              <w:jc w:val="left"/>
              <w:rPr>
                <w:rFonts w:cs="Calibri"/>
                <w:spacing w:val="-2"/>
                <w:sz w:val="20"/>
                <w:szCs w:val="20"/>
              </w:rPr>
            </w:pPr>
            <w:r w:rsidRPr="005F2B54">
              <w:rPr>
                <w:sz w:val="20"/>
                <w:szCs w:val="20"/>
              </w:rPr>
              <w:t>PacifiCorp</w:t>
            </w:r>
          </w:p>
        </w:tc>
        <w:tc>
          <w:tcPr>
            <w:tcW w:w="3446" w:type="dxa"/>
            <w:shd w:val="clear" w:color="auto" w:fill="auto"/>
          </w:tcPr>
          <w:p w14:paraId="79DF0399"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2014 Energy Balancing Adjustment application</w:t>
            </w:r>
          </w:p>
        </w:tc>
      </w:tr>
      <w:tr w:rsidR="00400085" w14:paraId="40F2F508" w14:textId="77777777" w:rsidTr="00EB5B3C">
        <w:trPr>
          <w:cantSplit/>
          <w:trHeight w:val="138"/>
        </w:trPr>
        <w:tc>
          <w:tcPr>
            <w:tcW w:w="738" w:type="dxa"/>
            <w:shd w:val="clear" w:color="auto" w:fill="auto"/>
          </w:tcPr>
          <w:p w14:paraId="5F433E5A"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09/14</w:t>
            </w:r>
          </w:p>
        </w:tc>
        <w:tc>
          <w:tcPr>
            <w:tcW w:w="1254" w:type="dxa"/>
            <w:shd w:val="clear" w:color="auto" w:fill="auto"/>
          </w:tcPr>
          <w:p w14:paraId="31BBF869"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ER13-432</w:t>
            </w:r>
          </w:p>
        </w:tc>
        <w:tc>
          <w:tcPr>
            <w:tcW w:w="1086" w:type="dxa"/>
            <w:shd w:val="clear" w:color="auto" w:fill="auto"/>
          </w:tcPr>
          <w:p w14:paraId="13359556"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FERC</w:t>
            </w:r>
          </w:p>
        </w:tc>
        <w:tc>
          <w:tcPr>
            <w:tcW w:w="1786" w:type="dxa"/>
            <w:gridSpan w:val="2"/>
            <w:shd w:val="clear" w:color="auto" w:fill="auto"/>
          </w:tcPr>
          <w:p w14:paraId="09AEB8C5" w14:textId="77777777" w:rsidR="00400085" w:rsidRPr="005F2B54" w:rsidRDefault="00400085" w:rsidP="00C81DD3">
            <w:pPr>
              <w:spacing w:before="60" w:after="100"/>
              <w:jc w:val="left"/>
              <w:rPr>
                <w:sz w:val="20"/>
                <w:szCs w:val="20"/>
              </w:rPr>
            </w:pPr>
            <w:r w:rsidRPr="005F2B54">
              <w:rPr>
                <w:rFonts w:cs="Calibri"/>
                <w:spacing w:val="-2"/>
                <w:sz w:val="20"/>
                <w:szCs w:val="20"/>
              </w:rPr>
              <w:t>Louisiana Public Service Commission</w:t>
            </w:r>
          </w:p>
        </w:tc>
        <w:tc>
          <w:tcPr>
            <w:tcW w:w="1526" w:type="dxa"/>
            <w:shd w:val="clear" w:color="auto" w:fill="auto"/>
          </w:tcPr>
          <w:p w14:paraId="0EF31DB5" w14:textId="77777777" w:rsidR="00400085" w:rsidRPr="005F2B54" w:rsidRDefault="00400085" w:rsidP="00C81DD3">
            <w:pPr>
              <w:spacing w:before="60" w:after="100"/>
              <w:jc w:val="left"/>
              <w:rPr>
                <w:sz w:val="20"/>
                <w:szCs w:val="20"/>
              </w:rPr>
            </w:pPr>
            <w:r w:rsidRPr="005F2B54">
              <w:rPr>
                <w:rFonts w:cs="Calibri"/>
                <w:spacing w:val="-2"/>
                <w:sz w:val="20"/>
                <w:szCs w:val="20"/>
              </w:rPr>
              <w:t>Entergy</w:t>
            </w:r>
          </w:p>
        </w:tc>
        <w:tc>
          <w:tcPr>
            <w:tcW w:w="3446" w:type="dxa"/>
            <w:shd w:val="clear" w:color="auto" w:fill="auto"/>
          </w:tcPr>
          <w:p w14:paraId="1FC76ED0"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Allocation of Union Pacific Settlement Agreement benefits</w:t>
            </w:r>
          </w:p>
        </w:tc>
      </w:tr>
      <w:tr w:rsidR="00400085" w14:paraId="6FC20B56" w14:textId="77777777" w:rsidTr="00EB5B3C">
        <w:trPr>
          <w:cantSplit/>
          <w:trHeight w:val="138"/>
        </w:trPr>
        <w:tc>
          <w:tcPr>
            <w:tcW w:w="738" w:type="dxa"/>
            <w:shd w:val="clear" w:color="auto" w:fill="auto"/>
          </w:tcPr>
          <w:p w14:paraId="43AF1B15"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10/14</w:t>
            </w:r>
          </w:p>
        </w:tc>
        <w:tc>
          <w:tcPr>
            <w:tcW w:w="1254" w:type="dxa"/>
            <w:shd w:val="clear" w:color="auto" w:fill="auto"/>
          </w:tcPr>
          <w:p w14:paraId="2FAED30A" w14:textId="77777777" w:rsidR="00400085" w:rsidRPr="005F2B54" w:rsidRDefault="00400085" w:rsidP="00C81DD3">
            <w:pPr>
              <w:keepNext/>
              <w:keepLines/>
              <w:pageBreakBefore/>
              <w:spacing w:before="60" w:after="100"/>
              <w:rPr>
                <w:spacing w:val="-2"/>
                <w:sz w:val="20"/>
                <w:szCs w:val="20"/>
              </w:rPr>
            </w:pPr>
            <w:r w:rsidRPr="005F2B54">
              <w:rPr>
                <w:rFonts w:cs="Calibri"/>
                <w:spacing w:val="-2"/>
                <w:sz w:val="20"/>
                <w:szCs w:val="20"/>
              </w:rPr>
              <w:t>2014-00225</w:t>
            </w:r>
          </w:p>
        </w:tc>
        <w:tc>
          <w:tcPr>
            <w:tcW w:w="1086" w:type="dxa"/>
            <w:shd w:val="clear" w:color="auto" w:fill="auto"/>
          </w:tcPr>
          <w:p w14:paraId="60E2FB60" w14:textId="77777777" w:rsidR="00400085" w:rsidRPr="005F2B54" w:rsidRDefault="00400085" w:rsidP="00C81DD3">
            <w:pPr>
              <w:spacing w:before="60" w:after="100"/>
              <w:rPr>
                <w:spacing w:val="-2"/>
                <w:sz w:val="20"/>
                <w:szCs w:val="20"/>
              </w:rPr>
            </w:pPr>
            <w:r w:rsidRPr="005F2B54">
              <w:rPr>
                <w:rFonts w:cs="Calibri"/>
                <w:spacing w:val="-2"/>
                <w:sz w:val="20"/>
                <w:szCs w:val="20"/>
              </w:rPr>
              <w:t>KY</w:t>
            </w:r>
          </w:p>
        </w:tc>
        <w:tc>
          <w:tcPr>
            <w:tcW w:w="1786" w:type="dxa"/>
            <w:gridSpan w:val="2"/>
            <w:shd w:val="clear" w:color="auto" w:fill="auto"/>
          </w:tcPr>
          <w:p w14:paraId="7ED27C6B" w14:textId="77777777" w:rsidR="00400085" w:rsidRPr="005F2B54" w:rsidRDefault="00400085" w:rsidP="00C81DD3">
            <w:pPr>
              <w:spacing w:before="60" w:after="100"/>
              <w:jc w:val="left"/>
              <w:rPr>
                <w:sz w:val="20"/>
                <w:szCs w:val="20"/>
              </w:rPr>
            </w:pPr>
            <w:r w:rsidRPr="005F2B54">
              <w:rPr>
                <w:spacing w:val="-2"/>
                <w:sz w:val="20"/>
                <w:szCs w:val="20"/>
              </w:rPr>
              <w:t>Kentucky Industrial Utility Customers, Inc.</w:t>
            </w:r>
          </w:p>
        </w:tc>
        <w:tc>
          <w:tcPr>
            <w:tcW w:w="1526" w:type="dxa"/>
            <w:shd w:val="clear" w:color="auto" w:fill="auto"/>
          </w:tcPr>
          <w:p w14:paraId="6BFC204F" w14:textId="77777777" w:rsidR="00400085" w:rsidRPr="005F2B54" w:rsidRDefault="00400085" w:rsidP="00C81DD3">
            <w:pPr>
              <w:spacing w:before="60" w:after="100"/>
              <w:jc w:val="left"/>
              <w:rPr>
                <w:sz w:val="20"/>
                <w:szCs w:val="20"/>
              </w:rPr>
            </w:pPr>
            <w:r w:rsidRPr="005F2B54">
              <w:rPr>
                <w:rFonts w:cs="Calibri"/>
                <w:spacing w:val="-2"/>
                <w:sz w:val="20"/>
                <w:szCs w:val="20"/>
              </w:rPr>
              <w:t>Kentucky</w:t>
            </w:r>
            <w:r>
              <w:rPr>
                <w:rFonts w:cs="Calibri"/>
                <w:spacing w:val="-2"/>
                <w:sz w:val="20"/>
                <w:szCs w:val="20"/>
              </w:rPr>
              <w:t xml:space="preserve"> Power</w:t>
            </w:r>
          </w:p>
        </w:tc>
        <w:tc>
          <w:tcPr>
            <w:tcW w:w="3446" w:type="dxa"/>
            <w:shd w:val="clear" w:color="auto" w:fill="auto"/>
          </w:tcPr>
          <w:p w14:paraId="42707840" w14:textId="77777777" w:rsidR="00400085" w:rsidRPr="005F2B54" w:rsidRDefault="00400085" w:rsidP="00C81DD3">
            <w:pPr>
              <w:spacing w:before="60" w:after="100"/>
              <w:jc w:val="left"/>
              <w:rPr>
                <w:spacing w:val="-2"/>
                <w:sz w:val="20"/>
                <w:szCs w:val="20"/>
              </w:rPr>
            </w:pPr>
            <w:r w:rsidRPr="005F2B54">
              <w:rPr>
                <w:rFonts w:cs="Calibri"/>
                <w:spacing w:val="-2"/>
                <w:sz w:val="20"/>
                <w:szCs w:val="20"/>
              </w:rPr>
              <w:t>Kentucky Power Company’s Fuel Adjustment Clause</w:t>
            </w:r>
          </w:p>
        </w:tc>
      </w:tr>
      <w:tr w:rsidR="00400085" w14:paraId="63CFC770" w14:textId="77777777" w:rsidTr="00EB5B3C">
        <w:trPr>
          <w:cantSplit/>
          <w:trHeight w:val="138"/>
        </w:trPr>
        <w:tc>
          <w:tcPr>
            <w:tcW w:w="738" w:type="dxa"/>
            <w:shd w:val="clear" w:color="auto" w:fill="auto"/>
          </w:tcPr>
          <w:p w14:paraId="0239C527" w14:textId="77777777" w:rsidR="00400085" w:rsidRPr="005F2B54" w:rsidRDefault="00400085" w:rsidP="00C81DD3">
            <w:pPr>
              <w:spacing w:before="60" w:after="100"/>
              <w:rPr>
                <w:rFonts w:cs="Calibri"/>
                <w:spacing w:val="-2"/>
                <w:sz w:val="20"/>
                <w:szCs w:val="20"/>
              </w:rPr>
            </w:pPr>
            <w:r>
              <w:rPr>
                <w:rFonts w:cs="Calibri"/>
                <w:spacing w:val="-2"/>
                <w:sz w:val="20"/>
                <w:szCs w:val="20"/>
              </w:rPr>
              <w:t>12</w:t>
            </w:r>
            <w:r w:rsidRPr="005F2B54">
              <w:rPr>
                <w:rFonts w:cs="Calibri"/>
                <w:spacing w:val="-2"/>
                <w:sz w:val="20"/>
                <w:szCs w:val="20"/>
              </w:rPr>
              <w:t>/14</w:t>
            </w:r>
          </w:p>
        </w:tc>
        <w:tc>
          <w:tcPr>
            <w:tcW w:w="1254" w:type="dxa"/>
            <w:shd w:val="clear" w:color="auto" w:fill="auto"/>
          </w:tcPr>
          <w:p w14:paraId="7D4D13A6" w14:textId="77777777" w:rsidR="00400085" w:rsidRPr="005F2B54" w:rsidRDefault="00400085" w:rsidP="00C81DD3">
            <w:pPr>
              <w:keepNext/>
              <w:keepLines/>
              <w:pageBreakBefore/>
              <w:spacing w:before="60" w:after="100"/>
              <w:rPr>
                <w:spacing w:val="-2"/>
                <w:sz w:val="20"/>
                <w:szCs w:val="20"/>
              </w:rPr>
            </w:pPr>
            <w:r>
              <w:rPr>
                <w:rFonts w:cs="Calibri"/>
                <w:spacing w:val="-2"/>
                <w:sz w:val="20"/>
                <w:szCs w:val="20"/>
              </w:rPr>
              <w:t>29849-U</w:t>
            </w:r>
          </w:p>
        </w:tc>
        <w:tc>
          <w:tcPr>
            <w:tcW w:w="1086" w:type="dxa"/>
            <w:shd w:val="clear" w:color="auto" w:fill="auto"/>
          </w:tcPr>
          <w:p w14:paraId="10F7C723" w14:textId="77777777" w:rsidR="00400085" w:rsidRPr="005F2B54" w:rsidRDefault="00400085" w:rsidP="00C81DD3">
            <w:pPr>
              <w:spacing w:before="60" w:after="100"/>
              <w:rPr>
                <w:spacing w:val="-2"/>
                <w:sz w:val="20"/>
                <w:szCs w:val="20"/>
              </w:rPr>
            </w:pPr>
            <w:r>
              <w:rPr>
                <w:rFonts w:cs="Calibri"/>
                <w:spacing w:val="-2"/>
                <w:sz w:val="20"/>
                <w:szCs w:val="20"/>
              </w:rPr>
              <w:t>GA</w:t>
            </w:r>
          </w:p>
        </w:tc>
        <w:tc>
          <w:tcPr>
            <w:tcW w:w="1786" w:type="dxa"/>
            <w:gridSpan w:val="2"/>
            <w:shd w:val="clear" w:color="auto" w:fill="auto"/>
          </w:tcPr>
          <w:p w14:paraId="0C9F4FA0" w14:textId="77777777" w:rsidR="00400085" w:rsidRPr="005F2B54" w:rsidRDefault="00400085" w:rsidP="00C81DD3">
            <w:pPr>
              <w:spacing w:before="60" w:after="100"/>
              <w:jc w:val="left"/>
              <w:rPr>
                <w:sz w:val="20"/>
                <w:szCs w:val="20"/>
              </w:rPr>
            </w:pPr>
            <w:r>
              <w:rPr>
                <w:spacing w:val="-2"/>
                <w:sz w:val="20"/>
                <w:szCs w:val="20"/>
              </w:rPr>
              <w:t>Georgia Public Service Commission Staff</w:t>
            </w:r>
          </w:p>
        </w:tc>
        <w:tc>
          <w:tcPr>
            <w:tcW w:w="1526" w:type="dxa"/>
            <w:shd w:val="clear" w:color="auto" w:fill="auto"/>
          </w:tcPr>
          <w:p w14:paraId="56BE72A8" w14:textId="77777777" w:rsidR="00400085" w:rsidRPr="005F2B54" w:rsidRDefault="00400085" w:rsidP="00C81DD3">
            <w:pPr>
              <w:spacing w:before="60" w:after="100"/>
              <w:jc w:val="left"/>
              <w:rPr>
                <w:sz w:val="20"/>
                <w:szCs w:val="20"/>
              </w:rPr>
            </w:pPr>
            <w:r>
              <w:rPr>
                <w:rFonts w:cs="Calibri"/>
                <w:spacing w:val="-2"/>
                <w:sz w:val="20"/>
                <w:szCs w:val="20"/>
              </w:rPr>
              <w:t>Georgia Power</w:t>
            </w:r>
          </w:p>
        </w:tc>
        <w:tc>
          <w:tcPr>
            <w:tcW w:w="3446" w:type="dxa"/>
            <w:shd w:val="clear" w:color="auto" w:fill="auto"/>
          </w:tcPr>
          <w:p w14:paraId="63418673" w14:textId="77777777" w:rsidR="00400085" w:rsidRPr="005F2B54" w:rsidRDefault="00400085" w:rsidP="00C81DD3">
            <w:pPr>
              <w:spacing w:before="60" w:after="100"/>
              <w:jc w:val="left"/>
              <w:rPr>
                <w:spacing w:val="-2"/>
                <w:sz w:val="20"/>
                <w:szCs w:val="20"/>
              </w:rPr>
            </w:pPr>
            <w:r>
              <w:rPr>
                <w:rFonts w:cs="Calibri"/>
                <w:spacing w:val="-2"/>
                <w:sz w:val="20"/>
                <w:szCs w:val="20"/>
              </w:rPr>
              <w:t>Eleventh Semi-Annual Vogtle Construction Monitoring Report</w:t>
            </w:r>
          </w:p>
        </w:tc>
      </w:tr>
      <w:tr w:rsidR="00400085" w14:paraId="38786E72" w14:textId="77777777" w:rsidTr="00EB5B3C">
        <w:trPr>
          <w:cantSplit/>
          <w:trHeight w:val="138"/>
        </w:trPr>
        <w:tc>
          <w:tcPr>
            <w:tcW w:w="738" w:type="dxa"/>
            <w:shd w:val="clear" w:color="auto" w:fill="auto"/>
          </w:tcPr>
          <w:p w14:paraId="3522EF7A" w14:textId="77777777" w:rsidR="00400085" w:rsidRPr="005F2B54" w:rsidRDefault="00400085" w:rsidP="00C81DD3">
            <w:pPr>
              <w:spacing w:before="60" w:after="100"/>
              <w:rPr>
                <w:rFonts w:cs="Calibri"/>
                <w:spacing w:val="-2"/>
                <w:sz w:val="20"/>
                <w:szCs w:val="20"/>
              </w:rPr>
            </w:pPr>
            <w:r>
              <w:rPr>
                <w:rFonts w:cs="Calibri"/>
                <w:spacing w:val="-2"/>
                <w:sz w:val="20"/>
                <w:szCs w:val="20"/>
              </w:rPr>
              <w:lastRenderedPageBreak/>
              <w:t>05/15</w:t>
            </w:r>
          </w:p>
        </w:tc>
        <w:tc>
          <w:tcPr>
            <w:tcW w:w="1254" w:type="dxa"/>
            <w:shd w:val="clear" w:color="auto" w:fill="auto"/>
          </w:tcPr>
          <w:p w14:paraId="1849E25B" w14:textId="77777777" w:rsidR="00400085" w:rsidRPr="007F000E" w:rsidRDefault="00400085" w:rsidP="00C81DD3">
            <w:pPr>
              <w:keepNext/>
              <w:keepLines/>
              <w:pageBreakBefore/>
              <w:spacing w:before="60" w:after="100"/>
              <w:rPr>
                <w:rFonts w:cs="Calibri"/>
                <w:spacing w:val="-2"/>
                <w:sz w:val="20"/>
                <w:szCs w:val="20"/>
              </w:rPr>
            </w:pPr>
            <w:r>
              <w:rPr>
                <w:rFonts w:cs="Calibri"/>
                <w:spacing w:val="-2"/>
                <w:sz w:val="20"/>
                <w:szCs w:val="20"/>
              </w:rPr>
              <w:t>14-035-140</w:t>
            </w:r>
          </w:p>
        </w:tc>
        <w:tc>
          <w:tcPr>
            <w:tcW w:w="1086" w:type="dxa"/>
            <w:shd w:val="clear" w:color="auto" w:fill="auto"/>
          </w:tcPr>
          <w:p w14:paraId="657D7806" w14:textId="77777777" w:rsidR="00400085" w:rsidRPr="007F000E" w:rsidRDefault="00400085" w:rsidP="00C81DD3">
            <w:pPr>
              <w:spacing w:before="60" w:after="100"/>
              <w:rPr>
                <w:rFonts w:cs="Calibri"/>
                <w:spacing w:val="-2"/>
                <w:sz w:val="20"/>
                <w:szCs w:val="20"/>
              </w:rPr>
            </w:pPr>
            <w:r>
              <w:rPr>
                <w:rFonts w:cs="Calibri"/>
                <w:spacing w:val="-2"/>
                <w:sz w:val="20"/>
                <w:szCs w:val="20"/>
              </w:rPr>
              <w:t>UT</w:t>
            </w:r>
          </w:p>
        </w:tc>
        <w:tc>
          <w:tcPr>
            <w:tcW w:w="1786" w:type="dxa"/>
            <w:gridSpan w:val="2"/>
            <w:shd w:val="clear" w:color="auto" w:fill="auto"/>
          </w:tcPr>
          <w:p w14:paraId="19727C83" w14:textId="77777777" w:rsidR="00400085" w:rsidRPr="007F000E" w:rsidRDefault="00400085" w:rsidP="00C81DD3">
            <w:pPr>
              <w:spacing w:before="60" w:after="100"/>
              <w:jc w:val="left"/>
              <w:rPr>
                <w:spacing w:val="-2"/>
                <w:sz w:val="20"/>
                <w:szCs w:val="20"/>
              </w:rPr>
            </w:pPr>
            <w:r>
              <w:rPr>
                <w:spacing w:val="-2"/>
                <w:sz w:val="20"/>
                <w:szCs w:val="20"/>
              </w:rPr>
              <w:t>Utah Office of Consumer Services</w:t>
            </w:r>
          </w:p>
        </w:tc>
        <w:tc>
          <w:tcPr>
            <w:tcW w:w="1526" w:type="dxa"/>
            <w:shd w:val="clear" w:color="auto" w:fill="auto"/>
          </w:tcPr>
          <w:p w14:paraId="581F6A81" w14:textId="77777777" w:rsidR="00400085" w:rsidRPr="007F000E" w:rsidRDefault="00400085" w:rsidP="00C81DD3">
            <w:pPr>
              <w:spacing w:before="60" w:after="100"/>
              <w:jc w:val="left"/>
              <w:rPr>
                <w:rFonts w:cs="Calibri"/>
                <w:spacing w:val="-2"/>
                <w:sz w:val="20"/>
                <w:szCs w:val="20"/>
              </w:rPr>
            </w:pPr>
            <w:r>
              <w:rPr>
                <w:rFonts w:cs="Calibri"/>
                <w:spacing w:val="-2"/>
                <w:sz w:val="20"/>
                <w:szCs w:val="20"/>
              </w:rPr>
              <w:t>PacifiCorp</w:t>
            </w:r>
          </w:p>
        </w:tc>
        <w:tc>
          <w:tcPr>
            <w:tcW w:w="3446" w:type="dxa"/>
            <w:shd w:val="clear" w:color="auto" w:fill="auto"/>
          </w:tcPr>
          <w:p w14:paraId="4845CA8D" w14:textId="77777777" w:rsidR="00400085" w:rsidRPr="007F000E" w:rsidRDefault="00400085" w:rsidP="00C81DD3">
            <w:pPr>
              <w:spacing w:before="60" w:after="100"/>
              <w:jc w:val="left"/>
              <w:rPr>
                <w:rFonts w:cs="Calibri"/>
                <w:spacing w:val="-2"/>
                <w:sz w:val="20"/>
                <w:szCs w:val="20"/>
              </w:rPr>
            </w:pPr>
            <w:r>
              <w:rPr>
                <w:rFonts w:cs="Calibri"/>
                <w:spacing w:val="-2"/>
                <w:sz w:val="20"/>
                <w:szCs w:val="20"/>
              </w:rPr>
              <w:t>Solar and wind capacity contribution avoided cost proceeding.</w:t>
            </w:r>
          </w:p>
        </w:tc>
      </w:tr>
      <w:tr w:rsidR="00400085" w:rsidRPr="005F2B54" w14:paraId="455D4D3F" w14:textId="77777777" w:rsidTr="00EB5B3C">
        <w:trPr>
          <w:cantSplit/>
          <w:trHeight w:val="138"/>
        </w:trPr>
        <w:tc>
          <w:tcPr>
            <w:tcW w:w="738" w:type="dxa"/>
            <w:shd w:val="clear" w:color="auto" w:fill="auto"/>
          </w:tcPr>
          <w:p w14:paraId="7F31E27A" w14:textId="77777777" w:rsidR="00400085" w:rsidRPr="005F2B54" w:rsidRDefault="00400085" w:rsidP="00C81DD3">
            <w:pPr>
              <w:spacing w:before="60" w:after="100"/>
              <w:rPr>
                <w:rFonts w:cs="Calibri"/>
                <w:spacing w:val="-2"/>
                <w:sz w:val="20"/>
                <w:szCs w:val="20"/>
              </w:rPr>
            </w:pPr>
            <w:r>
              <w:rPr>
                <w:rFonts w:cs="Calibri"/>
                <w:spacing w:val="-2"/>
                <w:sz w:val="20"/>
                <w:szCs w:val="20"/>
              </w:rPr>
              <w:t>06</w:t>
            </w:r>
            <w:r w:rsidRPr="005F2B54">
              <w:rPr>
                <w:rFonts w:cs="Calibri"/>
                <w:spacing w:val="-2"/>
                <w:sz w:val="20"/>
                <w:szCs w:val="20"/>
              </w:rPr>
              <w:t>/1</w:t>
            </w:r>
            <w:r>
              <w:rPr>
                <w:rFonts w:cs="Calibri"/>
                <w:spacing w:val="-2"/>
                <w:sz w:val="20"/>
                <w:szCs w:val="20"/>
              </w:rPr>
              <w:t>5</w:t>
            </w:r>
          </w:p>
        </w:tc>
        <w:tc>
          <w:tcPr>
            <w:tcW w:w="1254" w:type="dxa"/>
            <w:shd w:val="clear" w:color="auto" w:fill="auto"/>
          </w:tcPr>
          <w:p w14:paraId="37CA6512" w14:textId="77777777" w:rsidR="00400085" w:rsidRPr="005F2B54" w:rsidRDefault="00400085" w:rsidP="00C81DD3">
            <w:pPr>
              <w:keepNext/>
              <w:keepLines/>
              <w:pageBreakBefore/>
              <w:spacing w:before="60" w:after="100"/>
              <w:rPr>
                <w:rFonts w:cs="Calibri"/>
                <w:spacing w:val="-2"/>
                <w:sz w:val="20"/>
                <w:szCs w:val="20"/>
              </w:rPr>
            </w:pPr>
            <w:r>
              <w:rPr>
                <w:rFonts w:cs="Calibri"/>
                <w:spacing w:val="-2"/>
                <w:sz w:val="20"/>
                <w:szCs w:val="20"/>
              </w:rPr>
              <w:t>29849-U</w:t>
            </w:r>
          </w:p>
        </w:tc>
        <w:tc>
          <w:tcPr>
            <w:tcW w:w="1086" w:type="dxa"/>
            <w:shd w:val="clear" w:color="auto" w:fill="auto"/>
          </w:tcPr>
          <w:p w14:paraId="6A943C07" w14:textId="77777777" w:rsidR="00400085" w:rsidRPr="005F2B54" w:rsidRDefault="00400085" w:rsidP="00C81DD3">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53CFC63D" w14:textId="77777777" w:rsidR="00400085" w:rsidRPr="00E94EC3" w:rsidRDefault="00400085" w:rsidP="00C81DD3">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64F4E900" w14:textId="77777777" w:rsidR="00400085" w:rsidRPr="00E94EC3" w:rsidRDefault="00400085" w:rsidP="00C81DD3">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229B92D9" w14:textId="77777777" w:rsidR="00400085" w:rsidRPr="005F2B54" w:rsidRDefault="00400085" w:rsidP="00C81DD3">
            <w:pPr>
              <w:spacing w:before="60" w:after="100"/>
              <w:jc w:val="left"/>
              <w:rPr>
                <w:rFonts w:cs="Calibri"/>
                <w:spacing w:val="-2"/>
                <w:sz w:val="20"/>
                <w:szCs w:val="20"/>
              </w:rPr>
            </w:pPr>
            <w:r>
              <w:rPr>
                <w:rFonts w:cs="Calibri"/>
                <w:spacing w:val="-2"/>
                <w:sz w:val="20"/>
                <w:szCs w:val="20"/>
              </w:rPr>
              <w:t>Twelfth Semi-Annual Vogtle Construction Monitoring Report</w:t>
            </w:r>
          </w:p>
        </w:tc>
      </w:tr>
      <w:tr w:rsidR="00400085" w:rsidRPr="005F2B54" w14:paraId="6F7D9DBB" w14:textId="77777777" w:rsidTr="00EB5B3C">
        <w:trPr>
          <w:cantSplit/>
          <w:trHeight w:val="138"/>
        </w:trPr>
        <w:tc>
          <w:tcPr>
            <w:tcW w:w="738" w:type="dxa"/>
            <w:shd w:val="clear" w:color="auto" w:fill="auto"/>
          </w:tcPr>
          <w:p w14:paraId="27694F7E"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08/1</w:t>
            </w:r>
            <w:r>
              <w:rPr>
                <w:rFonts w:cs="Calibri"/>
                <w:spacing w:val="-2"/>
                <w:sz w:val="20"/>
                <w:szCs w:val="20"/>
              </w:rPr>
              <w:t>5</w:t>
            </w:r>
          </w:p>
        </w:tc>
        <w:tc>
          <w:tcPr>
            <w:tcW w:w="1254" w:type="dxa"/>
            <w:shd w:val="clear" w:color="auto" w:fill="auto"/>
          </w:tcPr>
          <w:p w14:paraId="0E1B53F1"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1</w:t>
            </w:r>
            <w:r>
              <w:rPr>
                <w:rFonts w:cs="Calibri"/>
                <w:spacing w:val="-2"/>
                <w:sz w:val="20"/>
                <w:szCs w:val="20"/>
              </w:rPr>
              <w:t>5</w:t>
            </w:r>
            <w:r w:rsidRPr="005F2B54">
              <w:rPr>
                <w:rFonts w:cs="Calibri"/>
                <w:spacing w:val="-2"/>
                <w:sz w:val="20"/>
                <w:szCs w:val="20"/>
              </w:rPr>
              <w:t>-035-</w:t>
            </w:r>
            <w:r>
              <w:rPr>
                <w:rFonts w:cs="Calibri"/>
                <w:spacing w:val="-2"/>
                <w:sz w:val="20"/>
                <w:szCs w:val="20"/>
              </w:rPr>
              <w:t>03</w:t>
            </w:r>
          </w:p>
        </w:tc>
        <w:tc>
          <w:tcPr>
            <w:tcW w:w="1086" w:type="dxa"/>
            <w:shd w:val="clear" w:color="auto" w:fill="auto"/>
          </w:tcPr>
          <w:p w14:paraId="496FFCBF"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68400E11"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7C68847A" w14:textId="77777777" w:rsidR="00400085" w:rsidRPr="005F2B54"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50AF4883" w14:textId="77777777" w:rsidR="00400085" w:rsidRPr="005F2B54" w:rsidRDefault="00400085" w:rsidP="00C81DD3">
            <w:pPr>
              <w:spacing w:before="60" w:after="100"/>
              <w:jc w:val="left"/>
              <w:rPr>
                <w:rFonts w:cs="Calibri"/>
                <w:spacing w:val="-2"/>
                <w:sz w:val="20"/>
                <w:szCs w:val="20"/>
              </w:rPr>
            </w:pPr>
            <w:r w:rsidRPr="005F2B54">
              <w:rPr>
                <w:rFonts w:cs="Calibri"/>
                <w:spacing w:val="-2"/>
                <w:sz w:val="20"/>
                <w:szCs w:val="20"/>
              </w:rPr>
              <w:t>201</w:t>
            </w:r>
            <w:r>
              <w:rPr>
                <w:rFonts w:cs="Calibri"/>
                <w:spacing w:val="-2"/>
                <w:sz w:val="20"/>
                <w:szCs w:val="20"/>
              </w:rPr>
              <w:t>5</w:t>
            </w:r>
            <w:r w:rsidRPr="005F2B54">
              <w:rPr>
                <w:rFonts w:cs="Calibri"/>
                <w:spacing w:val="-2"/>
                <w:sz w:val="20"/>
                <w:szCs w:val="20"/>
              </w:rPr>
              <w:t xml:space="preserve"> Energy Balancing Adjustment application</w:t>
            </w:r>
          </w:p>
        </w:tc>
      </w:tr>
      <w:tr w:rsidR="00400085" w:rsidRPr="005F2B54" w14:paraId="686B577D" w14:textId="77777777" w:rsidTr="00EB5B3C">
        <w:trPr>
          <w:cantSplit/>
          <w:trHeight w:val="138"/>
        </w:trPr>
        <w:tc>
          <w:tcPr>
            <w:tcW w:w="738" w:type="dxa"/>
            <w:shd w:val="clear" w:color="auto" w:fill="auto"/>
          </w:tcPr>
          <w:p w14:paraId="41190E76"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0</w:t>
            </w:r>
            <w:r>
              <w:rPr>
                <w:rFonts w:cs="Calibri"/>
                <w:spacing w:val="-2"/>
                <w:sz w:val="20"/>
                <w:szCs w:val="20"/>
              </w:rPr>
              <w:t>9</w:t>
            </w:r>
            <w:r w:rsidRPr="005F2B54">
              <w:rPr>
                <w:rFonts w:cs="Calibri"/>
                <w:spacing w:val="-2"/>
                <w:sz w:val="20"/>
                <w:szCs w:val="20"/>
              </w:rPr>
              <w:t>/1</w:t>
            </w:r>
            <w:r>
              <w:rPr>
                <w:rFonts w:cs="Calibri"/>
                <w:spacing w:val="-2"/>
                <w:sz w:val="20"/>
                <w:szCs w:val="20"/>
              </w:rPr>
              <w:t>5</w:t>
            </w:r>
          </w:p>
        </w:tc>
        <w:tc>
          <w:tcPr>
            <w:tcW w:w="1254" w:type="dxa"/>
            <w:shd w:val="clear" w:color="auto" w:fill="auto"/>
          </w:tcPr>
          <w:p w14:paraId="794CA4B3" w14:textId="77777777" w:rsidR="00400085" w:rsidRPr="005F2B54" w:rsidRDefault="00400085" w:rsidP="00C81DD3">
            <w:pPr>
              <w:keepNext/>
              <w:keepLines/>
              <w:pageBreakBefore/>
              <w:spacing w:before="60" w:after="100"/>
              <w:rPr>
                <w:rFonts w:cs="Calibri"/>
                <w:spacing w:val="-2"/>
                <w:sz w:val="20"/>
                <w:szCs w:val="20"/>
              </w:rPr>
            </w:pPr>
            <w:r w:rsidRPr="005F2B54">
              <w:rPr>
                <w:rFonts w:cs="Calibri"/>
                <w:spacing w:val="-2"/>
                <w:sz w:val="20"/>
                <w:szCs w:val="20"/>
              </w:rPr>
              <w:t>14-035-</w:t>
            </w:r>
            <w:r>
              <w:rPr>
                <w:rFonts w:cs="Calibri"/>
                <w:spacing w:val="-2"/>
                <w:sz w:val="20"/>
                <w:szCs w:val="20"/>
              </w:rPr>
              <w:t>114</w:t>
            </w:r>
          </w:p>
        </w:tc>
        <w:tc>
          <w:tcPr>
            <w:tcW w:w="1086" w:type="dxa"/>
            <w:shd w:val="clear" w:color="auto" w:fill="auto"/>
          </w:tcPr>
          <w:p w14:paraId="0C574D15" w14:textId="77777777" w:rsidR="00400085" w:rsidRPr="005F2B54" w:rsidRDefault="00400085" w:rsidP="00C81DD3">
            <w:pPr>
              <w:spacing w:before="60" w:after="100"/>
              <w:rPr>
                <w:rFonts w:cs="Calibri"/>
                <w:spacing w:val="-2"/>
                <w:sz w:val="20"/>
                <w:szCs w:val="20"/>
              </w:rPr>
            </w:pPr>
            <w:r w:rsidRPr="005F2B54">
              <w:rPr>
                <w:rFonts w:cs="Calibri"/>
                <w:spacing w:val="-2"/>
                <w:sz w:val="20"/>
                <w:szCs w:val="20"/>
              </w:rPr>
              <w:t>UT</w:t>
            </w:r>
          </w:p>
        </w:tc>
        <w:tc>
          <w:tcPr>
            <w:tcW w:w="1786" w:type="dxa"/>
            <w:gridSpan w:val="2"/>
            <w:shd w:val="clear" w:color="auto" w:fill="auto"/>
          </w:tcPr>
          <w:p w14:paraId="0C34E165"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63B78D19" w14:textId="77777777" w:rsidR="00400085" w:rsidRPr="005F2B54"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3ACD4C5" w14:textId="77777777" w:rsidR="00400085" w:rsidRPr="005F2B54" w:rsidRDefault="00400085" w:rsidP="00C81DD3">
            <w:pPr>
              <w:spacing w:before="60" w:after="100"/>
              <w:jc w:val="left"/>
              <w:rPr>
                <w:rFonts w:cs="Calibri"/>
                <w:spacing w:val="-2"/>
                <w:sz w:val="20"/>
                <w:szCs w:val="20"/>
              </w:rPr>
            </w:pPr>
            <w:r>
              <w:rPr>
                <w:rFonts w:cs="Calibri"/>
                <w:spacing w:val="-2"/>
                <w:sz w:val="20"/>
                <w:szCs w:val="20"/>
              </w:rPr>
              <w:t>Cost and Benefits of PacifiCorp’s Net Metering Program</w:t>
            </w:r>
          </w:p>
        </w:tc>
      </w:tr>
      <w:tr w:rsidR="00400085" w:rsidRPr="005F2B54" w14:paraId="58F1B4E7" w14:textId="77777777" w:rsidTr="00EB5B3C">
        <w:trPr>
          <w:cantSplit/>
          <w:trHeight w:val="138"/>
        </w:trPr>
        <w:tc>
          <w:tcPr>
            <w:tcW w:w="738" w:type="dxa"/>
            <w:shd w:val="clear" w:color="auto" w:fill="auto"/>
          </w:tcPr>
          <w:p w14:paraId="79085303" w14:textId="77777777" w:rsidR="00400085" w:rsidRPr="005F2B54" w:rsidRDefault="00400085" w:rsidP="00C81DD3">
            <w:pPr>
              <w:spacing w:before="60" w:after="100"/>
              <w:rPr>
                <w:rFonts w:cs="Calibri"/>
                <w:spacing w:val="-2"/>
                <w:sz w:val="20"/>
                <w:szCs w:val="20"/>
              </w:rPr>
            </w:pPr>
            <w:r>
              <w:rPr>
                <w:rFonts w:cs="Calibri"/>
                <w:spacing w:val="-2"/>
                <w:sz w:val="20"/>
                <w:szCs w:val="20"/>
              </w:rPr>
              <w:t>11</w:t>
            </w:r>
            <w:r w:rsidRPr="005F2B54">
              <w:rPr>
                <w:rFonts w:cs="Calibri"/>
                <w:spacing w:val="-2"/>
                <w:sz w:val="20"/>
                <w:szCs w:val="20"/>
              </w:rPr>
              <w:t>/1</w:t>
            </w:r>
            <w:r>
              <w:rPr>
                <w:rFonts w:cs="Calibri"/>
                <w:spacing w:val="-2"/>
                <w:sz w:val="20"/>
                <w:szCs w:val="20"/>
              </w:rPr>
              <w:t>5</w:t>
            </w:r>
          </w:p>
        </w:tc>
        <w:tc>
          <w:tcPr>
            <w:tcW w:w="1254" w:type="dxa"/>
            <w:shd w:val="clear" w:color="auto" w:fill="auto"/>
          </w:tcPr>
          <w:p w14:paraId="4F659CEA" w14:textId="77777777" w:rsidR="00400085" w:rsidRPr="005F2B54" w:rsidRDefault="00400085" w:rsidP="00C81DD3">
            <w:pPr>
              <w:keepNext/>
              <w:keepLines/>
              <w:pageBreakBefore/>
              <w:spacing w:before="60" w:after="100"/>
              <w:rPr>
                <w:rFonts w:cs="Calibri"/>
                <w:spacing w:val="-2"/>
                <w:sz w:val="20"/>
                <w:szCs w:val="20"/>
              </w:rPr>
            </w:pPr>
            <w:r>
              <w:rPr>
                <w:rFonts w:cs="Calibri"/>
                <w:spacing w:val="-2"/>
                <w:sz w:val="20"/>
                <w:szCs w:val="20"/>
              </w:rPr>
              <w:t>39638-U</w:t>
            </w:r>
          </w:p>
        </w:tc>
        <w:tc>
          <w:tcPr>
            <w:tcW w:w="1086" w:type="dxa"/>
            <w:shd w:val="clear" w:color="auto" w:fill="auto"/>
          </w:tcPr>
          <w:p w14:paraId="08419C8C" w14:textId="77777777" w:rsidR="00400085" w:rsidRPr="005F2B54" w:rsidRDefault="00400085" w:rsidP="00C81DD3">
            <w:pPr>
              <w:spacing w:before="60" w:after="100"/>
              <w:rPr>
                <w:rFonts w:cs="Calibri"/>
                <w:spacing w:val="-2"/>
                <w:sz w:val="20"/>
                <w:szCs w:val="20"/>
              </w:rPr>
            </w:pPr>
            <w:r>
              <w:rPr>
                <w:rFonts w:cs="Calibri"/>
                <w:spacing w:val="-2"/>
                <w:sz w:val="20"/>
                <w:szCs w:val="20"/>
              </w:rPr>
              <w:t>GA</w:t>
            </w:r>
          </w:p>
        </w:tc>
        <w:tc>
          <w:tcPr>
            <w:tcW w:w="1786" w:type="dxa"/>
            <w:gridSpan w:val="2"/>
            <w:shd w:val="clear" w:color="auto" w:fill="auto"/>
          </w:tcPr>
          <w:p w14:paraId="581F4AAD" w14:textId="77777777" w:rsidR="00400085" w:rsidRPr="00E94EC3" w:rsidRDefault="00400085" w:rsidP="00C81DD3">
            <w:pPr>
              <w:spacing w:before="60" w:after="100"/>
              <w:jc w:val="left"/>
              <w:rPr>
                <w:spacing w:val="-2"/>
                <w:sz w:val="20"/>
                <w:szCs w:val="20"/>
              </w:rPr>
            </w:pPr>
            <w:r>
              <w:rPr>
                <w:spacing w:val="-2"/>
                <w:sz w:val="20"/>
                <w:szCs w:val="20"/>
              </w:rPr>
              <w:t>Georgia Public Service Commission Staff</w:t>
            </w:r>
          </w:p>
        </w:tc>
        <w:tc>
          <w:tcPr>
            <w:tcW w:w="1526" w:type="dxa"/>
            <w:shd w:val="clear" w:color="auto" w:fill="auto"/>
          </w:tcPr>
          <w:p w14:paraId="4380A1F1" w14:textId="77777777" w:rsidR="00400085" w:rsidRPr="005F2B54" w:rsidRDefault="00400085" w:rsidP="00C81DD3">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38D18540" w14:textId="77777777" w:rsidR="00400085" w:rsidRPr="005F2B54" w:rsidRDefault="00400085" w:rsidP="00C81DD3">
            <w:pPr>
              <w:spacing w:before="60" w:after="100"/>
              <w:jc w:val="left"/>
              <w:rPr>
                <w:rFonts w:cs="Calibri"/>
                <w:spacing w:val="-2"/>
                <w:sz w:val="20"/>
                <w:szCs w:val="20"/>
              </w:rPr>
            </w:pPr>
            <w:r>
              <w:rPr>
                <w:rFonts w:cs="Calibri"/>
                <w:spacing w:val="-2"/>
                <w:sz w:val="20"/>
                <w:szCs w:val="20"/>
              </w:rPr>
              <w:t>FCR-24 Fuel Cost Recovery Proceeding</w:t>
            </w:r>
          </w:p>
        </w:tc>
      </w:tr>
      <w:tr w:rsidR="00400085" w:rsidRPr="005F2B54" w14:paraId="60634FD3" w14:textId="77777777" w:rsidTr="00EB5B3C">
        <w:trPr>
          <w:cantSplit/>
          <w:trHeight w:val="138"/>
        </w:trPr>
        <w:tc>
          <w:tcPr>
            <w:tcW w:w="738" w:type="dxa"/>
            <w:shd w:val="clear" w:color="auto" w:fill="auto"/>
          </w:tcPr>
          <w:p w14:paraId="4BB5D4CA" w14:textId="77777777" w:rsidR="00400085" w:rsidRPr="005F2B54" w:rsidRDefault="00400085" w:rsidP="00C81DD3">
            <w:pPr>
              <w:spacing w:before="60" w:after="100"/>
              <w:rPr>
                <w:rFonts w:cs="Calibri"/>
                <w:spacing w:val="-2"/>
                <w:sz w:val="20"/>
                <w:szCs w:val="20"/>
              </w:rPr>
            </w:pPr>
            <w:r>
              <w:rPr>
                <w:rFonts w:cs="Calibri"/>
                <w:spacing w:val="-2"/>
                <w:sz w:val="20"/>
              </w:rPr>
              <w:t>11</w:t>
            </w:r>
            <w:r w:rsidRPr="005F2B54">
              <w:rPr>
                <w:rFonts w:cs="Calibri"/>
                <w:spacing w:val="-2"/>
                <w:sz w:val="20"/>
              </w:rPr>
              <w:t>/1</w:t>
            </w:r>
            <w:r>
              <w:rPr>
                <w:rFonts w:cs="Calibri"/>
                <w:spacing w:val="-2"/>
                <w:sz w:val="20"/>
              </w:rPr>
              <w:t>5</w:t>
            </w:r>
          </w:p>
        </w:tc>
        <w:tc>
          <w:tcPr>
            <w:tcW w:w="1254" w:type="dxa"/>
            <w:shd w:val="clear" w:color="auto" w:fill="auto"/>
          </w:tcPr>
          <w:p w14:paraId="19B11F2E" w14:textId="77777777" w:rsidR="00400085" w:rsidRPr="00C33E09" w:rsidRDefault="00400085" w:rsidP="00C81DD3">
            <w:pPr>
              <w:keepNext/>
              <w:keepLines/>
              <w:pageBreakBefore/>
              <w:spacing w:before="60" w:after="100"/>
              <w:rPr>
                <w:rFonts w:cs="Calibri"/>
                <w:spacing w:val="-2"/>
                <w:sz w:val="20"/>
                <w:szCs w:val="20"/>
              </w:rPr>
            </w:pPr>
            <w:r>
              <w:rPr>
                <w:rFonts w:cs="Calibri"/>
                <w:spacing w:val="-2"/>
                <w:sz w:val="20"/>
              </w:rPr>
              <w:t>29849-U</w:t>
            </w:r>
          </w:p>
        </w:tc>
        <w:tc>
          <w:tcPr>
            <w:tcW w:w="1086" w:type="dxa"/>
            <w:shd w:val="clear" w:color="auto" w:fill="auto"/>
          </w:tcPr>
          <w:p w14:paraId="3B05DA5D" w14:textId="77777777" w:rsidR="00400085" w:rsidRPr="00C33E09" w:rsidRDefault="00400085" w:rsidP="00C81DD3">
            <w:pPr>
              <w:spacing w:before="60" w:after="100"/>
              <w:rPr>
                <w:rFonts w:cs="Calibri"/>
                <w:spacing w:val="-2"/>
                <w:sz w:val="20"/>
                <w:szCs w:val="20"/>
              </w:rPr>
            </w:pPr>
            <w:r>
              <w:rPr>
                <w:rFonts w:cs="Calibri"/>
                <w:spacing w:val="-2"/>
                <w:sz w:val="20"/>
              </w:rPr>
              <w:t>GA</w:t>
            </w:r>
          </w:p>
        </w:tc>
        <w:tc>
          <w:tcPr>
            <w:tcW w:w="1786" w:type="dxa"/>
            <w:gridSpan w:val="2"/>
            <w:shd w:val="clear" w:color="auto" w:fill="auto"/>
          </w:tcPr>
          <w:p w14:paraId="6A96F388" w14:textId="77777777" w:rsidR="00400085" w:rsidRPr="00C33E09" w:rsidRDefault="00400085" w:rsidP="00C81DD3">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3C0988C4" w14:textId="77777777" w:rsidR="00400085" w:rsidRPr="00C33E09" w:rsidRDefault="00400085" w:rsidP="00C81DD3">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54D0914E" w14:textId="77777777" w:rsidR="00400085" w:rsidRPr="00C33E09" w:rsidRDefault="00400085" w:rsidP="00C81DD3">
            <w:pPr>
              <w:spacing w:before="60" w:after="100"/>
              <w:jc w:val="left"/>
              <w:rPr>
                <w:rFonts w:cs="Calibri"/>
                <w:spacing w:val="-2"/>
                <w:sz w:val="20"/>
                <w:szCs w:val="20"/>
              </w:rPr>
            </w:pPr>
            <w:r>
              <w:rPr>
                <w:rFonts w:cs="Calibri"/>
                <w:spacing w:val="-2"/>
                <w:sz w:val="20"/>
              </w:rPr>
              <w:t>Thirteenth Semi-Annual Vogtle Construction Monitoring Report</w:t>
            </w:r>
          </w:p>
        </w:tc>
      </w:tr>
      <w:tr w:rsidR="00400085" w:rsidRPr="00C33E09" w14:paraId="22C2B2BF" w14:textId="77777777" w:rsidTr="00EB5B3C">
        <w:trPr>
          <w:cantSplit/>
          <w:trHeight w:val="138"/>
        </w:trPr>
        <w:tc>
          <w:tcPr>
            <w:tcW w:w="738" w:type="dxa"/>
            <w:shd w:val="clear" w:color="auto" w:fill="auto"/>
          </w:tcPr>
          <w:p w14:paraId="5CFA4078" w14:textId="77777777" w:rsidR="00400085" w:rsidRPr="00CD0F75" w:rsidRDefault="00400085" w:rsidP="00C81DD3">
            <w:pPr>
              <w:spacing w:before="60" w:after="100"/>
              <w:rPr>
                <w:rFonts w:cs="Calibri"/>
                <w:spacing w:val="-2"/>
                <w:sz w:val="20"/>
              </w:rPr>
            </w:pPr>
            <w:r>
              <w:rPr>
                <w:rFonts w:cs="Calibri"/>
                <w:spacing w:val="-2"/>
                <w:sz w:val="20"/>
              </w:rPr>
              <w:t>5/16</w:t>
            </w:r>
          </w:p>
        </w:tc>
        <w:tc>
          <w:tcPr>
            <w:tcW w:w="1254" w:type="dxa"/>
            <w:shd w:val="clear" w:color="auto" w:fill="auto"/>
          </w:tcPr>
          <w:p w14:paraId="07882E3D" w14:textId="77777777" w:rsidR="00400085" w:rsidRPr="00CD0F75" w:rsidRDefault="00400085" w:rsidP="00C81DD3">
            <w:pPr>
              <w:keepNext/>
              <w:keepLines/>
              <w:pageBreakBefore/>
              <w:spacing w:before="60" w:after="100"/>
              <w:rPr>
                <w:rFonts w:cs="Calibri"/>
                <w:spacing w:val="-2"/>
                <w:sz w:val="20"/>
              </w:rPr>
            </w:pPr>
            <w:r>
              <w:rPr>
                <w:rFonts w:cs="Calibri"/>
                <w:spacing w:val="-2"/>
                <w:sz w:val="20"/>
              </w:rPr>
              <w:t>40161</w:t>
            </w:r>
          </w:p>
        </w:tc>
        <w:tc>
          <w:tcPr>
            <w:tcW w:w="1086" w:type="dxa"/>
            <w:shd w:val="clear" w:color="auto" w:fill="auto"/>
          </w:tcPr>
          <w:p w14:paraId="0E628A31" w14:textId="77777777" w:rsidR="00400085" w:rsidRPr="00CD0F75" w:rsidRDefault="00400085" w:rsidP="00C81DD3">
            <w:pPr>
              <w:spacing w:before="60" w:after="100"/>
              <w:rPr>
                <w:rFonts w:cs="Calibri"/>
                <w:spacing w:val="-2"/>
                <w:sz w:val="20"/>
              </w:rPr>
            </w:pPr>
            <w:r>
              <w:rPr>
                <w:rFonts w:cs="Calibri"/>
                <w:spacing w:val="-2"/>
                <w:sz w:val="20"/>
              </w:rPr>
              <w:t>GA</w:t>
            </w:r>
          </w:p>
        </w:tc>
        <w:tc>
          <w:tcPr>
            <w:tcW w:w="1786" w:type="dxa"/>
            <w:gridSpan w:val="2"/>
            <w:shd w:val="clear" w:color="auto" w:fill="auto"/>
          </w:tcPr>
          <w:p w14:paraId="755C3DD5" w14:textId="77777777" w:rsidR="00400085" w:rsidRPr="00CD0F75" w:rsidRDefault="00400085" w:rsidP="00C81DD3">
            <w:pPr>
              <w:spacing w:before="60" w:after="100"/>
              <w:jc w:val="left"/>
              <w:rPr>
                <w:spacing w:val="-2"/>
                <w:sz w:val="20"/>
              </w:rPr>
            </w:pPr>
            <w:r>
              <w:rPr>
                <w:spacing w:val="-2"/>
                <w:sz w:val="20"/>
              </w:rPr>
              <w:t>Georgia Public Service Commission Staff</w:t>
            </w:r>
          </w:p>
        </w:tc>
        <w:tc>
          <w:tcPr>
            <w:tcW w:w="1526" w:type="dxa"/>
            <w:shd w:val="clear" w:color="auto" w:fill="auto"/>
          </w:tcPr>
          <w:p w14:paraId="6EBD11E2" w14:textId="77777777" w:rsidR="00400085" w:rsidRPr="00CD0F75" w:rsidRDefault="00400085" w:rsidP="00C81DD3">
            <w:pPr>
              <w:spacing w:before="60" w:after="100"/>
              <w:jc w:val="left"/>
              <w:rPr>
                <w:rFonts w:cs="Calibri"/>
                <w:spacing w:val="-2"/>
                <w:sz w:val="20"/>
              </w:rPr>
            </w:pPr>
            <w:r>
              <w:rPr>
                <w:rFonts w:cs="Calibri"/>
                <w:spacing w:val="-2"/>
                <w:sz w:val="20"/>
              </w:rPr>
              <w:t>Georgia Power</w:t>
            </w:r>
          </w:p>
        </w:tc>
        <w:tc>
          <w:tcPr>
            <w:tcW w:w="3446" w:type="dxa"/>
            <w:shd w:val="clear" w:color="auto" w:fill="auto"/>
          </w:tcPr>
          <w:p w14:paraId="6663EE88" w14:textId="77777777" w:rsidR="00400085" w:rsidRPr="00CD0F75" w:rsidRDefault="00400085" w:rsidP="00C81DD3">
            <w:pPr>
              <w:spacing w:before="60" w:after="100"/>
              <w:jc w:val="left"/>
              <w:rPr>
                <w:rFonts w:cs="Calibri"/>
                <w:spacing w:val="-2"/>
                <w:sz w:val="20"/>
              </w:rPr>
            </w:pPr>
            <w:r>
              <w:rPr>
                <w:rFonts w:cs="Calibri"/>
                <w:spacing w:val="-2"/>
                <w:sz w:val="20"/>
              </w:rPr>
              <w:t>Georgia Power Company’s 2016 IRP and Application for Decertification of Plant Mitchell Units 3, 4A, and 4B, Kraft Unit 1 CT, and Intercession City CT</w:t>
            </w:r>
          </w:p>
        </w:tc>
      </w:tr>
      <w:tr w:rsidR="00400085" w:rsidRPr="00CD0F75" w14:paraId="4A9B14ED" w14:textId="77777777" w:rsidTr="00EB5B3C">
        <w:trPr>
          <w:cantSplit/>
          <w:trHeight w:val="138"/>
        </w:trPr>
        <w:tc>
          <w:tcPr>
            <w:tcW w:w="738" w:type="dxa"/>
            <w:shd w:val="clear" w:color="auto" w:fill="auto"/>
          </w:tcPr>
          <w:p w14:paraId="22500CF9" w14:textId="77777777" w:rsidR="00400085" w:rsidRPr="00CD0F75" w:rsidRDefault="00400085" w:rsidP="00C81DD3">
            <w:pPr>
              <w:spacing w:before="60" w:after="100"/>
              <w:rPr>
                <w:rFonts w:cs="Calibri"/>
                <w:spacing w:val="-2"/>
                <w:sz w:val="20"/>
              </w:rPr>
            </w:pPr>
            <w:r>
              <w:rPr>
                <w:rFonts w:cs="Calibri"/>
                <w:spacing w:val="-2"/>
                <w:sz w:val="20"/>
              </w:rPr>
              <w:t>6/16</w:t>
            </w:r>
          </w:p>
        </w:tc>
        <w:tc>
          <w:tcPr>
            <w:tcW w:w="1254" w:type="dxa"/>
            <w:shd w:val="clear" w:color="auto" w:fill="auto"/>
          </w:tcPr>
          <w:p w14:paraId="740E8026" w14:textId="77777777" w:rsidR="00400085" w:rsidRPr="00CD0F75" w:rsidRDefault="00400085" w:rsidP="00C81DD3">
            <w:pPr>
              <w:keepNext/>
              <w:keepLines/>
              <w:pageBreakBefore/>
              <w:spacing w:before="60" w:after="100"/>
              <w:rPr>
                <w:rFonts w:cs="Calibri"/>
                <w:spacing w:val="-2"/>
                <w:sz w:val="20"/>
              </w:rPr>
            </w:pPr>
            <w:r>
              <w:rPr>
                <w:rFonts w:cs="Calibri"/>
                <w:spacing w:val="-2"/>
                <w:sz w:val="20"/>
              </w:rPr>
              <w:t>29849</w:t>
            </w:r>
          </w:p>
        </w:tc>
        <w:tc>
          <w:tcPr>
            <w:tcW w:w="1086" w:type="dxa"/>
            <w:shd w:val="clear" w:color="auto" w:fill="auto"/>
          </w:tcPr>
          <w:p w14:paraId="6B572DE2" w14:textId="77777777" w:rsidR="00400085" w:rsidRPr="00CD0F75" w:rsidRDefault="00400085" w:rsidP="00C81DD3">
            <w:pPr>
              <w:spacing w:before="60" w:after="100"/>
              <w:rPr>
                <w:rFonts w:cs="Calibri"/>
                <w:spacing w:val="-2"/>
                <w:sz w:val="20"/>
              </w:rPr>
            </w:pPr>
            <w:r>
              <w:rPr>
                <w:rFonts w:cs="Calibri"/>
                <w:spacing w:val="-2"/>
                <w:sz w:val="20"/>
              </w:rPr>
              <w:t>GA</w:t>
            </w:r>
          </w:p>
        </w:tc>
        <w:tc>
          <w:tcPr>
            <w:tcW w:w="1786" w:type="dxa"/>
            <w:gridSpan w:val="2"/>
            <w:shd w:val="clear" w:color="auto" w:fill="auto"/>
          </w:tcPr>
          <w:p w14:paraId="0A882F84" w14:textId="77777777" w:rsidR="00400085" w:rsidRPr="00CD0F75" w:rsidRDefault="00400085" w:rsidP="00C81DD3">
            <w:pPr>
              <w:spacing w:before="60" w:after="100"/>
              <w:jc w:val="left"/>
              <w:rPr>
                <w:spacing w:val="-2"/>
                <w:sz w:val="20"/>
              </w:rPr>
            </w:pPr>
            <w:r>
              <w:rPr>
                <w:spacing w:val="-2"/>
                <w:sz w:val="20"/>
              </w:rPr>
              <w:t>Georgia Public Service Commission Staff</w:t>
            </w:r>
          </w:p>
        </w:tc>
        <w:tc>
          <w:tcPr>
            <w:tcW w:w="1526" w:type="dxa"/>
            <w:shd w:val="clear" w:color="auto" w:fill="auto"/>
          </w:tcPr>
          <w:p w14:paraId="25938A89" w14:textId="77777777" w:rsidR="00400085" w:rsidRPr="00CD0F75" w:rsidRDefault="00400085" w:rsidP="00C81DD3">
            <w:pPr>
              <w:spacing w:before="60" w:after="100"/>
              <w:jc w:val="left"/>
              <w:rPr>
                <w:rFonts w:cs="Calibri"/>
                <w:spacing w:val="-2"/>
                <w:sz w:val="20"/>
              </w:rPr>
            </w:pPr>
            <w:r>
              <w:rPr>
                <w:rFonts w:cs="Calibri"/>
                <w:spacing w:val="-2"/>
                <w:sz w:val="20"/>
              </w:rPr>
              <w:t>Georgia Power</w:t>
            </w:r>
          </w:p>
        </w:tc>
        <w:tc>
          <w:tcPr>
            <w:tcW w:w="3446" w:type="dxa"/>
            <w:shd w:val="clear" w:color="auto" w:fill="auto"/>
          </w:tcPr>
          <w:p w14:paraId="28366A5C" w14:textId="77777777" w:rsidR="00400085" w:rsidRDefault="00400085" w:rsidP="00C81DD3">
            <w:pPr>
              <w:spacing w:before="60" w:after="100"/>
              <w:jc w:val="left"/>
              <w:rPr>
                <w:rFonts w:cs="Calibri"/>
                <w:spacing w:val="-2"/>
                <w:sz w:val="20"/>
              </w:rPr>
            </w:pPr>
            <w:r>
              <w:rPr>
                <w:rFonts w:cs="Calibri"/>
                <w:spacing w:val="-2"/>
                <w:sz w:val="20"/>
              </w:rPr>
              <w:t>Fourteenth Semi-Annual Vogtle Construction Monitoring Report</w:t>
            </w:r>
          </w:p>
        </w:tc>
      </w:tr>
      <w:tr w:rsidR="00400085" w:rsidRPr="00CD0F75" w14:paraId="4A50A7AA" w14:textId="77777777" w:rsidTr="00EB5B3C">
        <w:trPr>
          <w:cantSplit/>
          <w:trHeight w:val="138"/>
        </w:trPr>
        <w:tc>
          <w:tcPr>
            <w:tcW w:w="738" w:type="dxa"/>
            <w:shd w:val="clear" w:color="auto" w:fill="auto"/>
          </w:tcPr>
          <w:p w14:paraId="3A7EA935" w14:textId="77777777" w:rsidR="00400085" w:rsidRPr="00CD0F75" w:rsidRDefault="00400085" w:rsidP="00C81DD3">
            <w:pPr>
              <w:spacing w:before="60" w:after="100"/>
              <w:jc w:val="left"/>
              <w:rPr>
                <w:rFonts w:cs="Calibri"/>
                <w:spacing w:val="-2"/>
                <w:sz w:val="20"/>
              </w:rPr>
            </w:pPr>
            <w:r>
              <w:rPr>
                <w:rFonts w:cs="Calibri"/>
                <w:spacing w:val="-2"/>
                <w:sz w:val="20"/>
              </w:rPr>
              <w:t>8/16</w:t>
            </w:r>
          </w:p>
        </w:tc>
        <w:tc>
          <w:tcPr>
            <w:tcW w:w="1254" w:type="dxa"/>
            <w:shd w:val="clear" w:color="auto" w:fill="auto"/>
          </w:tcPr>
          <w:p w14:paraId="282E1951" w14:textId="77777777" w:rsidR="00400085" w:rsidRPr="00CD0F75" w:rsidRDefault="00400085" w:rsidP="00C81DD3">
            <w:pPr>
              <w:keepNext/>
              <w:keepLines/>
              <w:pageBreakBefore/>
              <w:spacing w:before="60" w:after="100"/>
              <w:jc w:val="left"/>
              <w:rPr>
                <w:rFonts w:cs="Calibri"/>
                <w:spacing w:val="-2"/>
                <w:sz w:val="20"/>
              </w:rPr>
            </w:pPr>
            <w:r>
              <w:rPr>
                <w:rFonts w:cs="Calibri"/>
                <w:spacing w:val="-2"/>
                <w:sz w:val="20"/>
              </w:rPr>
              <w:t>16-035-27</w:t>
            </w:r>
          </w:p>
        </w:tc>
        <w:tc>
          <w:tcPr>
            <w:tcW w:w="1086" w:type="dxa"/>
            <w:shd w:val="clear" w:color="auto" w:fill="auto"/>
          </w:tcPr>
          <w:p w14:paraId="0B8E01B6" w14:textId="77777777" w:rsidR="00400085" w:rsidRPr="00CD0F7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1E448F4" w14:textId="77777777" w:rsidR="00400085" w:rsidRPr="00CD0F7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0DCFAE6E" w14:textId="77777777" w:rsidR="00400085" w:rsidRPr="008D22E1" w:rsidRDefault="00400085" w:rsidP="00C81DD3">
            <w:pPr>
              <w:spacing w:before="60" w:after="100"/>
              <w:jc w:val="left"/>
              <w:rPr>
                <w:rFonts w:cs="Calibri"/>
                <w:spacing w:val="-2"/>
                <w:sz w:val="20"/>
                <w:szCs w:val="20"/>
              </w:rPr>
            </w:pPr>
            <w:r w:rsidRPr="008D22E1">
              <w:rPr>
                <w:rFonts w:cs="Calibri"/>
                <w:spacing w:val="-2"/>
                <w:sz w:val="20"/>
                <w:szCs w:val="20"/>
              </w:rPr>
              <w:t>PacifiCorp</w:t>
            </w:r>
          </w:p>
        </w:tc>
        <w:tc>
          <w:tcPr>
            <w:tcW w:w="3446" w:type="dxa"/>
            <w:shd w:val="clear" w:color="auto" w:fill="auto"/>
          </w:tcPr>
          <w:p w14:paraId="73637A1D" w14:textId="77777777" w:rsidR="00400085" w:rsidRPr="008D22E1" w:rsidRDefault="00400085" w:rsidP="00C81DD3">
            <w:pPr>
              <w:spacing w:before="60" w:after="100"/>
              <w:jc w:val="left"/>
              <w:rPr>
                <w:rFonts w:cs="Calibri"/>
                <w:spacing w:val="-2"/>
                <w:sz w:val="20"/>
                <w:szCs w:val="20"/>
              </w:rPr>
            </w:pPr>
            <w:r w:rsidRPr="008D22E1">
              <w:rPr>
                <w:sz w:val="20"/>
                <w:szCs w:val="20"/>
              </w:rPr>
              <w:t>Renewable Energy Services Contract between Rocky Mountain Power and Facebook, Inc</w:t>
            </w:r>
          </w:p>
        </w:tc>
      </w:tr>
      <w:tr w:rsidR="00400085" w:rsidRPr="00CD0F75" w14:paraId="6B65505E" w14:textId="77777777" w:rsidTr="00EB5B3C">
        <w:trPr>
          <w:cantSplit/>
          <w:trHeight w:val="138"/>
        </w:trPr>
        <w:tc>
          <w:tcPr>
            <w:tcW w:w="738" w:type="dxa"/>
            <w:shd w:val="clear" w:color="auto" w:fill="auto"/>
          </w:tcPr>
          <w:p w14:paraId="133D0BCA" w14:textId="77777777" w:rsidR="00400085" w:rsidRPr="00CD0F75" w:rsidRDefault="00400085" w:rsidP="00C81DD3">
            <w:pPr>
              <w:spacing w:before="60" w:after="100"/>
              <w:jc w:val="left"/>
              <w:rPr>
                <w:rFonts w:cs="Calibri"/>
                <w:spacing w:val="-2"/>
                <w:sz w:val="20"/>
              </w:rPr>
            </w:pPr>
            <w:r>
              <w:rPr>
                <w:rFonts w:cs="Calibri"/>
                <w:spacing w:val="-2"/>
                <w:sz w:val="20"/>
              </w:rPr>
              <w:t>8/16</w:t>
            </w:r>
          </w:p>
        </w:tc>
        <w:tc>
          <w:tcPr>
            <w:tcW w:w="1254" w:type="dxa"/>
            <w:shd w:val="clear" w:color="auto" w:fill="auto"/>
          </w:tcPr>
          <w:p w14:paraId="27F9EE7F" w14:textId="77777777" w:rsidR="00400085" w:rsidRPr="00CD0F75" w:rsidRDefault="00400085" w:rsidP="00C81DD3">
            <w:pPr>
              <w:keepNext/>
              <w:keepLines/>
              <w:pageBreakBefore/>
              <w:spacing w:before="60" w:after="100"/>
              <w:jc w:val="left"/>
              <w:rPr>
                <w:rFonts w:cs="Calibri"/>
                <w:spacing w:val="-2"/>
                <w:sz w:val="20"/>
              </w:rPr>
            </w:pPr>
            <w:r>
              <w:rPr>
                <w:rFonts w:cs="Calibri"/>
                <w:spacing w:val="-2"/>
                <w:sz w:val="20"/>
              </w:rPr>
              <w:t>16-035-01</w:t>
            </w:r>
          </w:p>
        </w:tc>
        <w:tc>
          <w:tcPr>
            <w:tcW w:w="1086" w:type="dxa"/>
            <w:shd w:val="clear" w:color="auto" w:fill="auto"/>
          </w:tcPr>
          <w:p w14:paraId="3A3F34C3" w14:textId="77777777" w:rsidR="00400085" w:rsidRPr="00CD0F7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5D7E047" w14:textId="77777777" w:rsidR="00400085" w:rsidRPr="00CD0F7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65C3C98D" w14:textId="77777777" w:rsidR="00400085" w:rsidRPr="00CD0F75" w:rsidRDefault="00400085" w:rsidP="00C81DD3">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2318042F" w14:textId="77777777" w:rsidR="00400085" w:rsidRPr="00CD0F75" w:rsidRDefault="00400085" w:rsidP="00C81DD3">
            <w:pPr>
              <w:spacing w:before="60" w:after="100"/>
              <w:jc w:val="left"/>
              <w:rPr>
                <w:rFonts w:cs="Calibri"/>
                <w:spacing w:val="-2"/>
                <w:sz w:val="20"/>
              </w:rPr>
            </w:pPr>
            <w:r>
              <w:rPr>
                <w:rFonts w:cs="Calibri"/>
                <w:spacing w:val="-2"/>
                <w:sz w:val="20"/>
              </w:rPr>
              <w:t>2016 Energy Balancing Adjustment application</w:t>
            </w:r>
          </w:p>
        </w:tc>
      </w:tr>
      <w:tr w:rsidR="00400085" w:rsidRPr="00CD0F75" w14:paraId="71B5AD5D" w14:textId="77777777" w:rsidTr="00EB5B3C">
        <w:trPr>
          <w:cantSplit/>
          <w:trHeight w:val="138"/>
        </w:trPr>
        <w:tc>
          <w:tcPr>
            <w:tcW w:w="738" w:type="dxa"/>
            <w:shd w:val="clear" w:color="auto" w:fill="auto"/>
          </w:tcPr>
          <w:p w14:paraId="28C9296D" w14:textId="77777777" w:rsidR="00400085" w:rsidRPr="00CD0F75" w:rsidRDefault="00400085" w:rsidP="00C81DD3">
            <w:pPr>
              <w:spacing w:before="60" w:after="100"/>
              <w:jc w:val="left"/>
              <w:rPr>
                <w:rFonts w:cs="Calibri"/>
                <w:spacing w:val="-2"/>
                <w:sz w:val="20"/>
              </w:rPr>
            </w:pPr>
            <w:r>
              <w:rPr>
                <w:rFonts w:cs="Calibri"/>
                <w:spacing w:val="-2"/>
                <w:sz w:val="20"/>
              </w:rPr>
              <w:t>9/16</w:t>
            </w:r>
          </w:p>
        </w:tc>
        <w:tc>
          <w:tcPr>
            <w:tcW w:w="1254" w:type="dxa"/>
            <w:shd w:val="clear" w:color="auto" w:fill="auto"/>
          </w:tcPr>
          <w:p w14:paraId="4846F711" w14:textId="77777777" w:rsidR="00400085" w:rsidRPr="00CD0F75" w:rsidRDefault="00400085" w:rsidP="00C81DD3">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6581110E" w14:textId="77777777" w:rsidR="00400085" w:rsidRPr="00CD0F7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237823AC" w14:textId="77777777" w:rsidR="00400085" w:rsidRPr="00CD0F7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52FD524D" w14:textId="77777777" w:rsidR="00400085" w:rsidRPr="00CD0F75" w:rsidRDefault="00400085" w:rsidP="00C81DD3">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5B4B457D" w14:textId="77777777" w:rsidR="00400085" w:rsidRDefault="00400085" w:rsidP="00C81DD3">
            <w:pPr>
              <w:spacing w:before="60" w:after="100"/>
              <w:jc w:val="left"/>
              <w:rPr>
                <w:rFonts w:cs="Calibri"/>
                <w:spacing w:val="-2"/>
                <w:sz w:val="20"/>
              </w:rPr>
            </w:pPr>
            <w:r>
              <w:rPr>
                <w:rFonts w:cs="Calibri"/>
                <w:spacing w:val="-2"/>
                <w:sz w:val="20"/>
              </w:rPr>
              <w:t>EBA Pilot Evaluation Direct Testimony</w:t>
            </w:r>
          </w:p>
        </w:tc>
      </w:tr>
      <w:tr w:rsidR="00400085" w:rsidRPr="00CD0F75" w14:paraId="3F5BFF42" w14:textId="77777777" w:rsidTr="00EB5B3C">
        <w:trPr>
          <w:cantSplit/>
          <w:trHeight w:val="138"/>
        </w:trPr>
        <w:tc>
          <w:tcPr>
            <w:tcW w:w="738" w:type="dxa"/>
            <w:shd w:val="clear" w:color="auto" w:fill="auto"/>
          </w:tcPr>
          <w:p w14:paraId="61C8CAA2" w14:textId="77777777" w:rsidR="00400085" w:rsidRPr="00CD0F75" w:rsidRDefault="00400085" w:rsidP="00C81DD3">
            <w:pPr>
              <w:spacing w:before="60" w:after="100"/>
              <w:jc w:val="left"/>
              <w:rPr>
                <w:rFonts w:cs="Calibri"/>
                <w:spacing w:val="-2"/>
                <w:sz w:val="20"/>
              </w:rPr>
            </w:pPr>
            <w:r>
              <w:rPr>
                <w:rFonts w:cs="Calibri"/>
                <w:spacing w:val="-2"/>
                <w:sz w:val="20"/>
              </w:rPr>
              <w:t>11/16</w:t>
            </w:r>
          </w:p>
        </w:tc>
        <w:tc>
          <w:tcPr>
            <w:tcW w:w="1254" w:type="dxa"/>
            <w:shd w:val="clear" w:color="auto" w:fill="auto"/>
          </w:tcPr>
          <w:p w14:paraId="6F12A0CF" w14:textId="77777777" w:rsidR="00400085" w:rsidRPr="00CD0F75" w:rsidRDefault="00400085" w:rsidP="00C81DD3">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38B01DFC" w14:textId="77777777" w:rsidR="00400085" w:rsidRPr="00CD0F75" w:rsidRDefault="00400085" w:rsidP="00C81DD3">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577B1EE4" w14:textId="77777777" w:rsidR="00400085" w:rsidRPr="00CD0F75" w:rsidRDefault="00400085" w:rsidP="00C81DD3">
            <w:pPr>
              <w:spacing w:before="60" w:after="100"/>
              <w:jc w:val="left"/>
              <w:rPr>
                <w:spacing w:val="-2"/>
                <w:sz w:val="20"/>
              </w:rPr>
            </w:pPr>
            <w:r>
              <w:rPr>
                <w:spacing w:val="-2"/>
                <w:sz w:val="20"/>
              </w:rPr>
              <w:t>Georgia Public Service Commission Staff</w:t>
            </w:r>
          </w:p>
        </w:tc>
        <w:tc>
          <w:tcPr>
            <w:tcW w:w="1526" w:type="dxa"/>
            <w:shd w:val="clear" w:color="auto" w:fill="auto"/>
          </w:tcPr>
          <w:p w14:paraId="295D0292" w14:textId="77777777" w:rsidR="00400085" w:rsidRPr="00CD0F75" w:rsidRDefault="00400085" w:rsidP="00C81DD3">
            <w:pPr>
              <w:spacing w:before="60" w:after="100"/>
              <w:jc w:val="left"/>
              <w:rPr>
                <w:rFonts w:cs="Calibri"/>
                <w:spacing w:val="-2"/>
                <w:sz w:val="20"/>
              </w:rPr>
            </w:pPr>
            <w:r>
              <w:rPr>
                <w:rFonts w:cs="Calibri"/>
                <w:spacing w:val="-2"/>
                <w:sz w:val="20"/>
              </w:rPr>
              <w:t>Georgia Power</w:t>
            </w:r>
          </w:p>
        </w:tc>
        <w:tc>
          <w:tcPr>
            <w:tcW w:w="3446" w:type="dxa"/>
            <w:shd w:val="clear" w:color="auto" w:fill="auto"/>
          </w:tcPr>
          <w:p w14:paraId="70386A89" w14:textId="77777777" w:rsidR="00400085" w:rsidRDefault="00400085" w:rsidP="00C81DD3">
            <w:pPr>
              <w:spacing w:before="60" w:after="100"/>
              <w:jc w:val="left"/>
              <w:rPr>
                <w:rFonts w:cs="Calibri"/>
                <w:spacing w:val="-2"/>
                <w:sz w:val="20"/>
              </w:rPr>
            </w:pPr>
            <w:r>
              <w:rPr>
                <w:rFonts w:cs="Calibri"/>
                <w:spacing w:val="-2"/>
                <w:sz w:val="20"/>
              </w:rPr>
              <w:t>Fifteenth Semi-Annual Vogtle Construction Monitoring Report</w:t>
            </w:r>
          </w:p>
        </w:tc>
      </w:tr>
      <w:tr w:rsidR="00400085" w:rsidRPr="00CD0F75" w14:paraId="634F3DD3" w14:textId="77777777" w:rsidTr="00EB5B3C">
        <w:trPr>
          <w:cantSplit/>
          <w:trHeight w:val="138"/>
        </w:trPr>
        <w:tc>
          <w:tcPr>
            <w:tcW w:w="738" w:type="dxa"/>
            <w:shd w:val="clear" w:color="auto" w:fill="auto"/>
          </w:tcPr>
          <w:p w14:paraId="475C599F" w14:textId="77777777" w:rsidR="00400085" w:rsidRDefault="00400085" w:rsidP="00C81DD3">
            <w:pPr>
              <w:spacing w:before="60" w:after="100"/>
              <w:jc w:val="left"/>
              <w:rPr>
                <w:rFonts w:cs="Calibri"/>
                <w:spacing w:val="-2"/>
                <w:sz w:val="20"/>
              </w:rPr>
            </w:pPr>
            <w:r>
              <w:rPr>
                <w:rFonts w:cs="Calibri"/>
                <w:spacing w:val="-2"/>
                <w:sz w:val="20"/>
              </w:rPr>
              <w:t>11/16</w:t>
            </w:r>
          </w:p>
        </w:tc>
        <w:tc>
          <w:tcPr>
            <w:tcW w:w="1254" w:type="dxa"/>
            <w:shd w:val="clear" w:color="auto" w:fill="auto"/>
          </w:tcPr>
          <w:p w14:paraId="3CE71003" w14:textId="77777777" w:rsidR="00400085" w:rsidRDefault="00400085" w:rsidP="00C81DD3">
            <w:pPr>
              <w:keepNext/>
              <w:keepLines/>
              <w:pageBreakBefore/>
              <w:spacing w:before="60" w:after="100"/>
              <w:jc w:val="left"/>
              <w:rPr>
                <w:rFonts w:cs="Calibri"/>
                <w:spacing w:val="-2"/>
                <w:sz w:val="20"/>
              </w:rPr>
            </w:pPr>
            <w:r>
              <w:rPr>
                <w:rFonts w:cs="Calibri"/>
                <w:spacing w:val="-2"/>
                <w:sz w:val="20"/>
              </w:rPr>
              <w:t>09-035-15</w:t>
            </w:r>
          </w:p>
        </w:tc>
        <w:tc>
          <w:tcPr>
            <w:tcW w:w="1086" w:type="dxa"/>
            <w:shd w:val="clear" w:color="auto" w:fill="auto"/>
          </w:tcPr>
          <w:p w14:paraId="075E2879"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2435437" w14:textId="77777777" w:rsidR="0040008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2C02ACE8" w14:textId="77777777" w:rsidR="00400085" w:rsidRDefault="00400085" w:rsidP="00C81DD3">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7DAFFB79" w14:textId="77777777" w:rsidR="00400085" w:rsidRDefault="00400085" w:rsidP="00C81DD3">
            <w:pPr>
              <w:spacing w:before="60" w:after="100"/>
              <w:jc w:val="left"/>
              <w:rPr>
                <w:rFonts w:cs="Calibri"/>
                <w:spacing w:val="-2"/>
                <w:sz w:val="20"/>
              </w:rPr>
            </w:pPr>
            <w:r>
              <w:rPr>
                <w:rFonts w:cs="Calibri"/>
                <w:spacing w:val="-2"/>
                <w:sz w:val="20"/>
              </w:rPr>
              <w:t>EBA Pilot Evaluation Rebuttal Testimony</w:t>
            </w:r>
          </w:p>
        </w:tc>
      </w:tr>
      <w:tr w:rsidR="00400085" w:rsidRPr="00CD0F75" w14:paraId="7445F6C3" w14:textId="77777777" w:rsidTr="00EB5B3C">
        <w:trPr>
          <w:cantSplit/>
          <w:trHeight w:val="138"/>
        </w:trPr>
        <w:tc>
          <w:tcPr>
            <w:tcW w:w="738" w:type="dxa"/>
            <w:shd w:val="clear" w:color="auto" w:fill="auto"/>
          </w:tcPr>
          <w:p w14:paraId="7203C501" w14:textId="77777777" w:rsidR="00400085" w:rsidRDefault="00400085" w:rsidP="00C81DD3">
            <w:pPr>
              <w:spacing w:before="60" w:after="100"/>
              <w:jc w:val="left"/>
              <w:rPr>
                <w:rFonts w:cs="Calibri"/>
                <w:spacing w:val="-2"/>
                <w:sz w:val="20"/>
              </w:rPr>
            </w:pPr>
            <w:r>
              <w:rPr>
                <w:rFonts w:cs="Calibri"/>
                <w:spacing w:val="-2"/>
                <w:sz w:val="20"/>
              </w:rPr>
              <w:t>11/16</w:t>
            </w:r>
          </w:p>
        </w:tc>
        <w:tc>
          <w:tcPr>
            <w:tcW w:w="1254" w:type="dxa"/>
            <w:shd w:val="clear" w:color="auto" w:fill="auto"/>
          </w:tcPr>
          <w:p w14:paraId="15A9B326" w14:textId="77777777" w:rsidR="00400085" w:rsidRDefault="00400085" w:rsidP="00C81DD3">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2A4A6EFB" w14:textId="77777777" w:rsidR="00400085" w:rsidRDefault="00400085" w:rsidP="00C81DD3">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0490532D" w14:textId="77777777" w:rsidR="00400085" w:rsidRPr="00E94EC3" w:rsidRDefault="00400085" w:rsidP="00C81DD3">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2FD39D78" w14:textId="77777777" w:rsidR="00400085" w:rsidRPr="00E94EC3" w:rsidRDefault="00400085" w:rsidP="00C81DD3">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644CE04E" w14:textId="77777777" w:rsidR="00400085" w:rsidRDefault="00400085" w:rsidP="00C81DD3">
            <w:pPr>
              <w:spacing w:before="60" w:after="100"/>
              <w:jc w:val="left"/>
              <w:rPr>
                <w:rFonts w:cs="Calibri"/>
                <w:spacing w:val="-2"/>
                <w:sz w:val="20"/>
              </w:rPr>
            </w:pPr>
            <w:r>
              <w:rPr>
                <w:rFonts w:cs="Calibri"/>
                <w:spacing w:val="-2"/>
                <w:sz w:val="20"/>
              </w:rPr>
              <w:t>Violation of System Agreement, Phase III, Harm Calculation, Direct</w:t>
            </w:r>
          </w:p>
        </w:tc>
      </w:tr>
      <w:tr w:rsidR="00400085" w:rsidRPr="00CD0F75" w14:paraId="15864712" w14:textId="77777777" w:rsidTr="00EB5B3C">
        <w:trPr>
          <w:cantSplit/>
          <w:trHeight w:val="138"/>
        </w:trPr>
        <w:tc>
          <w:tcPr>
            <w:tcW w:w="738" w:type="dxa"/>
            <w:shd w:val="clear" w:color="auto" w:fill="auto"/>
          </w:tcPr>
          <w:p w14:paraId="3B187C4B" w14:textId="77777777" w:rsidR="00400085" w:rsidRDefault="00400085" w:rsidP="00C81DD3">
            <w:pPr>
              <w:spacing w:before="60" w:after="100"/>
              <w:jc w:val="left"/>
              <w:rPr>
                <w:rFonts w:cs="Calibri"/>
                <w:spacing w:val="-2"/>
                <w:sz w:val="20"/>
              </w:rPr>
            </w:pPr>
            <w:r>
              <w:rPr>
                <w:rFonts w:cs="Calibri"/>
                <w:spacing w:val="-2"/>
                <w:sz w:val="20"/>
              </w:rPr>
              <w:lastRenderedPageBreak/>
              <w:t>3/17</w:t>
            </w:r>
          </w:p>
        </w:tc>
        <w:tc>
          <w:tcPr>
            <w:tcW w:w="1254" w:type="dxa"/>
            <w:shd w:val="clear" w:color="auto" w:fill="auto"/>
          </w:tcPr>
          <w:p w14:paraId="356520FD" w14:textId="77777777" w:rsidR="00400085" w:rsidRDefault="00400085" w:rsidP="00C81DD3">
            <w:pPr>
              <w:keepNext/>
              <w:keepLines/>
              <w:pageBreakBefore/>
              <w:spacing w:before="60" w:after="100"/>
              <w:jc w:val="left"/>
              <w:rPr>
                <w:rFonts w:cs="Calibri"/>
                <w:spacing w:val="-2"/>
                <w:sz w:val="20"/>
              </w:rPr>
            </w:pPr>
            <w:r>
              <w:rPr>
                <w:rFonts w:cs="Calibri"/>
                <w:spacing w:val="-2"/>
                <w:sz w:val="20"/>
              </w:rPr>
              <w:t>EL09-61-04</w:t>
            </w:r>
          </w:p>
        </w:tc>
        <w:tc>
          <w:tcPr>
            <w:tcW w:w="1086" w:type="dxa"/>
            <w:shd w:val="clear" w:color="auto" w:fill="auto"/>
          </w:tcPr>
          <w:p w14:paraId="03AF584A" w14:textId="77777777" w:rsidR="00400085" w:rsidRDefault="00400085" w:rsidP="00C81DD3">
            <w:pPr>
              <w:spacing w:before="60" w:after="100"/>
              <w:jc w:val="left"/>
              <w:rPr>
                <w:rFonts w:cs="Calibri"/>
                <w:spacing w:val="-2"/>
                <w:sz w:val="20"/>
              </w:rPr>
            </w:pPr>
            <w:r>
              <w:rPr>
                <w:rFonts w:cs="Calibri"/>
                <w:spacing w:val="-2"/>
                <w:sz w:val="20"/>
              </w:rPr>
              <w:t>FERC</w:t>
            </w:r>
          </w:p>
        </w:tc>
        <w:tc>
          <w:tcPr>
            <w:tcW w:w="1786" w:type="dxa"/>
            <w:gridSpan w:val="2"/>
            <w:shd w:val="clear" w:color="auto" w:fill="auto"/>
          </w:tcPr>
          <w:p w14:paraId="78DAC235" w14:textId="77777777" w:rsidR="00400085" w:rsidRDefault="00400085" w:rsidP="00C81DD3">
            <w:pPr>
              <w:spacing w:before="60" w:after="100"/>
              <w:jc w:val="left"/>
              <w:rPr>
                <w:spacing w:val="-2"/>
                <w:sz w:val="20"/>
                <w:szCs w:val="20"/>
              </w:rPr>
            </w:pPr>
            <w:r>
              <w:rPr>
                <w:spacing w:val="-2"/>
                <w:sz w:val="20"/>
                <w:szCs w:val="20"/>
              </w:rPr>
              <w:t>Louisiana Public Service Commission</w:t>
            </w:r>
          </w:p>
        </w:tc>
        <w:tc>
          <w:tcPr>
            <w:tcW w:w="1526" w:type="dxa"/>
            <w:shd w:val="clear" w:color="auto" w:fill="auto"/>
          </w:tcPr>
          <w:p w14:paraId="7B595559" w14:textId="77777777" w:rsidR="00400085" w:rsidRDefault="00400085" w:rsidP="00C81DD3">
            <w:pPr>
              <w:spacing w:before="60" w:after="100"/>
              <w:jc w:val="left"/>
              <w:rPr>
                <w:rFonts w:cs="Calibri"/>
                <w:spacing w:val="-2"/>
                <w:sz w:val="20"/>
                <w:szCs w:val="20"/>
              </w:rPr>
            </w:pPr>
            <w:r>
              <w:rPr>
                <w:rFonts w:cs="Calibri"/>
                <w:spacing w:val="-2"/>
                <w:sz w:val="20"/>
                <w:szCs w:val="20"/>
              </w:rPr>
              <w:t>Entergy</w:t>
            </w:r>
          </w:p>
        </w:tc>
        <w:tc>
          <w:tcPr>
            <w:tcW w:w="3446" w:type="dxa"/>
            <w:shd w:val="clear" w:color="auto" w:fill="auto"/>
          </w:tcPr>
          <w:p w14:paraId="2D2C3F54" w14:textId="77777777" w:rsidR="00400085" w:rsidRDefault="00400085" w:rsidP="00C81DD3">
            <w:pPr>
              <w:spacing w:before="60" w:after="100"/>
              <w:jc w:val="left"/>
              <w:rPr>
                <w:rFonts w:cs="Calibri"/>
                <w:spacing w:val="-2"/>
                <w:sz w:val="20"/>
              </w:rPr>
            </w:pPr>
            <w:r>
              <w:rPr>
                <w:rFonts w:cs="Calibri"/>
                <w:spacing w:val="-2"/>
                <w:sz w:val="20"/>
              </w:rPr>
              <w:t>Violation of System Agreement, Phase III, Harm Calculation, Rebuttal</w:t>
            </w:r>
          </w:p>
        </w:tc>
      </w:tr>
      <w:tr w:rsidR="00400085" w:rsidRPr="00CD0F75" w14:paraId="3C23517B" w14:textId="77777777" w:rsidTr="00EB5B3C">
        <w:trPr>
          <w:cantSplit/>
          <w:trHeight w:val="138"/>
        </w:trPr>
        <w:tc>
          <w:tcPr>
            <w:tcW w:w="738" w:type="dxa"/>
            <w:shd w:val="clear" w:color="auto" w:fill="auto"/>
          </w:tcPr>
          <w:p w14:paraId="5B6130F0" w14:textId="77777777" w:rsidR="00400085" w:rsidRDefault="00400085" w:rsidP="00C81DD3">
            <w:pPr>
              <w:spacing w:before="60" w:after="100"/>
              <w:jc w:val="left"/>
              <w:rPr>
                <w:rFonts w:cs="Calibri"/>
                <w:spacing w:val="-2"/>
                <w:sz w:val="20"/>
              </w:rPr>
            </w:pPr>
            <w:r>
              <w:rPr>
                <w:rFonts w:cs="Calibri"/>
                <w:spacing w:val="-2"/>
                <w:sz w:val="20"/>
              </w:rPr>
              <w:t>6/17</w:t>
            </w:r>
          </w:p>
        </w:tc>
        <w:tc>
          <w:tcPr>
            <w:tcW w:w="1254" w:type="dxa"/>
            <w:shd w:val="clear" w:color="auto" w:fill="auto"/>
          </w:tcPr>
          <w:p w14:paraId="3A9F5841" w14:textId="77777777" w:rsidR="00400085" w:rsidRDefault="00400085" w:rsidP="00C81DD3">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0E099321" w14:textId="77777777" w:rsidR="00400085" w:rsidRDefault="00400085" w:rsidP="00C81DD3">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205E007A" w14:textId="77777777" w:rsidR="00400085" w:rsidRDefault="00400085" w:rsidP="00C81DD3">
            <w:pPr>
              <w:spacing w:before="60" w:after="100"/>
              <w:jc w:val="left"/>
              <w:rPr>
                <w:spacing w:val="-2"/>
                <w:sz w:val="20"/>
                <w:szCs w:val="20"/>
              </w:rPr>
            </w:pPr>
            <w:r>
              <w:rPr>
                <w:spacing w:val="-2"/>
                <w:sz w:val="20"/>
              </w:rPr>
              <w:t>Georgia Public Service Commission Staff</w:t>
            </w:r>
          </w:p>
        </w:tc>
        <w:tc>
          <w:tcPr>
            <w:tcW w:w="1526" w:type="dxa"/>
            <w:shd w:val="clear" w:color="auto" w:fill="auto"/>
          </w:tcPr>
          <w:p w14:paraId="51451798" w14:textId="77777777" w:rsidR="00400085" w:rsidRDefault="00400085" w:rsidP="00C81DD3">
            <w:pPr>
              <w:spacing w:before="60" w:after="100"/>
              <w:jc w:val="left"/>
              <w:rPr>
                <w:rFonts w:cs="Calibri"/>
                <w:spacing w:val="-2"/>
                <w:sz w:val="20"/>
                <w:szCs w:val="20"/>
              </w:rPr>
            </w:pPr>
            <w:r>
              <w:rPr>
                <w:rFonts w:cs="Calibri"/>
                <w:spacing w:val="-2"/>
                <w:sz w:val="20"/>
              </w:rPr>
              <w:t>Georgia Power</w:t>
            </w:r>
          </w:p>
        </w:tc>
        <w:tc>
          <w:tcPr>
            <w:tcW w:w="3446" w:type="dxa"/>
            <w:shd w:val="clear" w:color="auto" w:fill="auto"/>
          </w:tcPr>
          <w:p w14:paraId="62A702CD" w14:textId="77777777" w:rsidR="00400085" w:rsidRDefault="00400085" w:rsidP="00C81DD3">
            <w:pPr>
              <w:spacing w:before="60" w:after="100"/>
              <w:jc w:val="left"/>
              <w:rPr>
                <w:rFonts w:cs="Calibri"/>
                <w:spacing w:val="-2"/>
                <w:sz w:val="20"/>
              </w:rPr>
            </w:pPr>
            <w:r>
              <w:rPr>
                <w:rFonts w:cs="Calibri"/>
                <w:spacing w:val="-2"/>
                <w:sz w:val="20"/>
              </w:rPr>
              <w:t>Sixteenth Semi-Annual Vogtle Construction Monitoring Report</w:t>
            </w:r>
          </w:p>
        </w:tc>
      </w:tr>
      <w:tr w:rsidR="00400085" w:rsidRPr="00CD0F75" w14:paraId="609BBBA9" w14:textId="77777777" w:rsidTr="00EB5B3C">
        <w:trPr>
          <w:cantSplit/>
          <w:trHeight w:val="138"/>
        </w:trPr>
        <w:tc>
          <w:tcPr>
            <w:tcW w:w="738" w:type="dxa"/>
            <w:shd w:val="clear" w:color="auto" w:fill="auto"/>
          </w:tcPr>
          <w:p w14:paraId="31F9C1D0" w14:textId="77777777" w:rsidR="00400085" w:rsidRDefault="00400085" w:rsidP="00C81DD3">
            <w:pPr>
              <w:spacing w:before="60" w:after="100"/>
              <w:jc w:val="left"/>
              <w:rPr>
                <w:rFonts w:cs="Calibri"/>
                <w:spacing w:val="-2"/>
                <w:sz w:val="20"/>
              </w:rPr>
            </w:pPr>
            <w:r>
              <w:rPr>
                <w:rFonts w:cs="Calibri"/>
                <w:spacing w:val="-2"/>
                <w:sz w:val="20"/>
              </w:rPr>
              <w:t>9/17</w:t>
            </w:r>
          </w:p>
        </w:tc>
        <w:tc>
          <w:tcPr>
            <w:tcW w:w="1254" w:type="dxa"/>
            <w:shd w:val="clear" w:color="auto" w:fill="auto"/>
          </w:tcPr>
          <w:p w14:paraId="558D1224"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1FFDD728"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6833D878" w14:textId="77777777" w:rsidR="0040008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2804639D" w14:textId="77777777" w:rsidR="00400085" w:rsidRDefault="00400085" w:rsidP="00C81DD3">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4B6E46B7" w14:textId="77777777" w:rsidR="00400085" w:rsidRDefault="00400085" w:rsidP="00C81DD3">
            <w:pPr>
              <w:spacing w:before="60" w:after="100"/>
              <w:jc w:val="left"/>
              <w:rPr>
                <w:rFonts w:cs="Calibri"/>
                <w:spacing w:val="-2"/>
                <w:sz w:val="20"/>
              </w:rPr>
            </w:pPr>
            <w:r>
              <w:rPr>
                <w:rFonts w:cs="Calibri"/>
                <w:spacing w:val="-2"/>
                <w:sz w:val="20"/>
              </w:rPr>
              <w:t>Approval of Resource Decision to Repower Wind Facilities, Direct</w:t>
            </w:r>
          </w:p>
        </w:tc>
      </w:tr>
      <w:tr w:rsidR="00400085" w:rsidRPr="00CD0F75" w14:paraId="60F41900" w14:textId="77777777" w:rsidTr="00EB5B3C">
        <w:trPr>
          <w:cantSplit/>
          <w:trHeight w:val="138"/>
        </w:trPr>
        <w:tc>
          <w:tcPr>
            <w:tcW w:w="738" w:type="dxa"/>
            <w:shd w:val="clear" w:color="auto" w:fill="auto"/>
          </w:tcPr>
          <w:p w14:paraId="517B32C9" w14:textId="77777777" w:rsidR="00400085" w:rsidRDefault="00400085" w:rsidP="00C81DD3">
            <w:pPr>
              <w:spacing w:before="60" w:after="100"/>
              <w:jc w:val="left"/>
              <w:rPr>
                <w:rFonts w:cs="Calibri"/>
                <w:spacing w:val="-2"/>
                <w:sz w:val="20"/>
              </w:rPr>
            </w:pPr>
            <w:r>
              <w:rPr>
                <w:rFonts w:cs="Calibri"/>
                <w:spacing w:val="-2"/>
                <w:sz w:val="20"/>
              </w:rPr>
              <w:t>11/17</w:t>
            </w:r>
          </w:p>
        </w:tc>
        <w:tc>
          <w:tcPr>
            <w:tcW w:w="1254" w:type="dxa"/>
            <w:shd w:val="clear" w:color="auto" w:fill="auto"/>
          </w:tcPr>
          <w:p w14:paraId="7E58348A"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18E48513"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1D1F5F5" w14:textId="77777777" w:rsidR="00400085" w:rsidRDefault="00400085" w:rsidP="00C81DD3">
            <w:pPr>
              <w:spacing w:before="60" w:after="100"/>
              <w:jc w:val="left"/>
              <w:rPr>
                <w:spacing w:val="-2"/>
                <w:sz w:val="20"/>
              </w:rPr>
            </w:pPr>
            <w:r w:rsidRPr="00E94EC3">
              <w:rPr>
                <w:spacing w:val="-2"/>
                <w:sz w:val="20"/>
                <w:szCs w:val="20"/>
              </w:rPr>
              <w:t>Utah Office of Consumer Services</w:t>
            </w:r>
          </w:p>
        </w:tc>
        <w:tc>
          <w:tcPr>
            <w:tcW w:w="1526" w:type="dxa"/>
            <w:shd w:val="clear" w:color="auto" w:fill="auto"/>
          </w:tcPr>
          <w:p w14:paraId="3ED5797E" w14:textId="77777777" w:rsidR="00400085" w:rsidRDefault="00400085" w:rsidP="00C81DD3">
            <w:pPr>
              <w:spacing w:before="60" w:after="100"/>
              <w:jc w:val="left"/>
              <w:rPr>
                <w:rFonts w:cs="Calibri"/>
                <w:spacing w:val="-2"/>
                <w:sz w:val="20"/>
              </w:rPr>
            </w:pPr>
            <w:r w:rsidRPr="00E94EC3">
              <w:rPr>
                <w:rFonts w:cs="Calibri"/>
                <w:spacing w:val="-2"/>
                <w:sz w:val="20"/>
                <w:szCs w:val="20"/>
              </w:rPr>
              <w:t>PacifiCorp</w:t>
            </w:r>
          </w:p>
        </w:tc>
        <w:tc>
          <w:tcPr>
            <w:tcW w:w="3446" w:type="dxa"/>
            <w:shd w:val="clear" w:color="auto" w:fill="auto"/>
          </w:tcPr>
          <w:p w14:paraId="1EA2A72D" w14:textId="77777777" w:rsidR="00400085" w:rsidRDefault="00400085" w:rsidP="00C81DD3">
            <w:pPr>
              <w:spacing w:before="60" w:after="100"/>
              <w:jc w:val="left"/>
              <w:rPr>
                <w:rFonts w:cs="Calibri"/>
                <w:spacing w:val="-2"/>
                <w:sz w:val="20"/>
              </w:rPr>
            </w:pPr>
            <w:r>
              <w:rPr>
                <w:rFonts w:cs="Calibri"/>
                <w:spacing w:val="-2"/>
                <w:sz w:val="20"/>
              </w:rPr>
              <w:t>Approval of Resource Decision to Repower Wind Facilities, Surrebuttal</w:t>
            </w:r>
          </w:p>
        </w:tc>
      </w:tr>
      <w:tr w:rsidR="00400085" w:rsidRPr="00CD0F75" w14:paraId="633F1481" w14:textId="77777777" w:rsidTr="00EB5B3C">
        <w:trPr>
          <w:cantSplit/>
          <w:trHeight w:val="138"/>
        </w:trPr>
        <w:tc>
          <w:tcPr>
            <w:tcW w:w="738" w:type="dxa"/>
            <w:shd w:val="clear" w:color="auto" w:fill="auto"/>
          </w:tcPr>
          <w:p w14:paraId="0F7002EC" w14:textId="77777777" w:rsidR="00400085" w:rsidRDefault="00400085" w:rsidP="00C81DD3">
            <w:pPr>
              <w:spacing w:before="60" w:after="100"/>
              <w:jc w:val="left"/>
              <w:rPr>
                <w:rFonts w:cs="Calibri"/>
                <w:spacing w:val="-2"/>
                <w:sz w:val="20"/>
              </w:rPr>
            </w:pPr>
            <w:r>
              <w:rPr>
                <w:rFonts w:cs="Calibri"/>
                <w:spacing w:val="-2"/>
                <w:sz w:val="20"/>
              </w:rPr>
              <w:t>4/18</w:t>
            </w:r>
          </w:p>
        </w:tc>
        <w:tc>
          <w:tcPr>
            <w:tcW w:w="1254" w:type="dxa"/>
            <w:shd w:val="clear" w:color="auto" w:fill="auto"/>
          </w:tcPr>
          <w:p w14:paraId="572CDD1E"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6F2BA961"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790DD423"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2290441E" w14:textId="77777777" w:rsidR="00400085" w:rsidRPr="00E94EC3"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1392010D" w14:textId="77777777" w:rsidR="00400085" w:rsidRDefault="00400085" w:rsidP="00C81DD3">
            <w:pPr>
              <w:spacing w:before="60" w:after="100"/>
              <w:jc w:val="left"/>
              <w:rPr>
                <w:rFonts w:cs="Calibri"/>
                <w:spacing w:val="-2"/>
                <w:sz w:val="20"/>
              </w:rPr>
            </w:pPr>
            <w:r>
              <w:rPr>
                <w:rFonts w:cs="Calibri"/>
                <w:spacing w:val="-2"/>
                <w:sz w:val="20"/>
              </w:rPr>
              <w:t>Approval of Resource Decision to Repower Wind Facilities, Response</w:t>
            </w:r>
          </w:p>
        </w:tc>
      </w:tr>
      <w:tr w:rsidR="00400085" w:rsidRPr="00CD0F75" w14:paraId="732FAF32" w14:textId="77777777" w:rsidTr="00EB5B3C">
        <w:trPr>
          <w:cantSplit/>
          <w:trHeight w:val="138"/>
        </w:trPr>
        <w:tc>
          <w:tcPr>
            <w:tcW w:w="738" w:type="dxa"/>
            <w:shd w:val="clear" w:color="auto" w:fill="auto"/>
          </w:tcPr>
          <w:p w14:paraId="06028F54" w14:textId="77777777" w:rsidR="00400085" w:rsidRDefault="00400085" w:rsidP="00C81DD3">
            <w:pPr>
              <w:spacing w:before="60" w:after="100"/>
              <w:jc w:val="left"/>
              <w:rPr>
                <w:rFonts w:cs="Calibri"/>
                <w:spacing w:val="-2"/>
                <w:sz w:val="20"/>
              </w:rPr>
            </w:pPr>
            <w:r>
              <w:rPr>
                <w:rFonts w:cs="Calibri"/>
                <w:spacing w:val="-2"/>
                <w:sz w:val="20"/>
              </w:rPr>
              <w:t>4/18</w:t>
            </w:r>
          </w:p>
        </w:tc>
        <w:tc>
          <w:tcPr>
            <w:tcW w:w="1254" w:type="dxa"/>
            <w:shd w:val="clear" w:color="auto" w:fill="auto"/>
          </w:tcPr>
          <w:p w14:paraId="2B4143A9"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17-035-39</w:t>
            </w:r>
          </w:p>
        </w:tc>
        <w:tc>
          <w:tcPr>
            <w:tcW w:w="1086" w:type="dxa"/>
            <w:shd w:val="clear" w:color="auto" w:fill="auto"/>
          </w:tcPr>
          <w:p w14:paraId="01CD8270"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4411C693"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78FBBE9B" w14:textId="77777777" w:rsidR="00400085" w:rsidRPr="00E94EC3"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6CCC42E8" w14:textId="77777777" w:rsidR="00400085" w:rsidRDefault="00400085" w:rsidP="00C81DD3">
            <w:pPr>
              <w:spacing w:before="60" w:after="100"/>
              <w:jc w:val="left"/>
              <w:rPr>
                <w:rFonts w:cs="Calibri"/>
                <w:spacing w:val="-2"/>
                <w:sz w:val="20"/>
              </w:rPr>
            </w:pPr>
            <w:r>
              <w:rPr>
                <w:rFonts w:cs="Calibri"/>
                <w:spacing w:val="-2"/>
                <w:sz w:val="20"/>
              </w:rPr>
              <w:t>Approval of Resource Decision to Repower Wind Facilities, Rebuttal to Response</w:t>
            </w:r>
          </w:p>
        </w:tc>
      </w:tr>
      <w:tr w:rsidR="00400085" w:rsidRPr="00CD0F75" w14:paraId="1758148B" w14:textId="77777777" w:rsidTr="00EB5B3C">
        <w:trPr>
          <w:cantSplit/>
          <w:trHeight w:val="138"/>
        </w:trPr>
        <w:tc>
          <w:tcPr>
            <w:tcW w:w="738" w:type="dxa"/>
            <w:shd w:val="clear" w:color="auto" w:fill="auto"/>
          </w:tcPr>
          <w:p w14:paraId="0761072E" w14:textId="77777777" w:rsidR="00400085" w:rsidRDefault="00400085" w:rsidP="00C81DD3">
            <w:pPr>
              <w:spacing w:before="60" w:after="100"/>
              <w:jc w:val="left"/>
              <w:rPr>
                <w:rFonts w:cs="Calibri"/>
                <w:spacing w:val="-2"/>
                <w:sz w:val="20"/>
              </w:rPr>
            </w:pPr>
            <w:r>
              <w:rPr>
                <w:rFonts w:cs="Calibri"/>
                <w:spacing w:val="-2"/>
                <w:sz w:val="20"/>
              </w:rPr>
              <w:t>12/17</w:t>
            </w:r>
          </w:p>
        </w:tc>
        <w:tc>
          <w:tcPr>
            <w:tcW w:w="1254" w:type="dxa"/>
            <w:shd w:val="clear" w:color="auto" w:fill="auto"/>
          </w:tcPr>
          <w:p w14:paraId="305D267C"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009A346C"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36D9D0C0"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5D2A3476" w14:textId="77777777" w:rsidR="00400085" w:rsidRPr="00E94EC3"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372B6896" w14:textId="77777777" w:rsidR="00400085" w:rsidRDefault="00400085" w:rsidP="00C81DD3">
            <w:pPr>
              <w:spacing w:before="60" w:after="100"/>
              <w:jc w:val="left"/>
              <w:rPr>
                <w:rFonts w:cs="Calibri"/>
                <w:spacing w:val="-2"/>
                <w:sz w:val="20"/>
              </w:rPr>
            </w:pPr>
            <w:r>
              <w:rPr>
                <w:rFonts w:cs="Calibri"/>
                <w:spacing w:val="-2"/>
                <w:sz w:val="20"/>
              </w:rPr>
              <w:t>Approval of Resource Decision for New Wind and New Transmission, Direct</w:t>
            </w:r>
          </w:p>
        </w:tc>
      </w:tr>
      <w:tr w:rsidR="00400085" w:rsidRPr="00CD0F75" w14:paraId="3E0A7B60" w14:textId="77777777" w:rsidTr="00EB5B3C">
        <w:trPr>
          <w:cantSplit/>
          <w:trHeight w:val="138"/>
        </w:trPr>
        <w:tc>
          <w:tcPr>
            <w:tcW w:w="738" w:type="dxa"/>
            <w:shd w:val="clear" w:color="auto" w:fill="auto"/>
          </w:tcPr>
          <w:p w14:paraId="2918C801" w14:textId="77777777" w:rsidR="00400085" w:rsidRDefault="00400085" w:rsidP="00C81DD3">
            <w:pPr>
              <w:spacing w:before="60" w:after="100"/>
              <w:jc w:val="left"/>
              <w:rPr>
                <w:rFonts w:cs="Calibri"/>
                <w:spacing w:val="-2"/>
                <w:sz w:val="20"/>
              </w:rPr>
            </w:pPr>
            <w:r>
              <w:rPr>
                <w:rFonts w:cs="Calibri"/>
                <w:spacing w:val="-2"/>
                <w:sz w:val="20"/>
              </w:rPr>
              <w:t>1/18</w:t>
            </w:r>
          </w:p>
        </w:tc>
        <w:tc>
          <w:tcPr>
            <w:tcW w:w="1254" w:type="dxa"/>
            <w:shd w:val="clear" w:color="auto" w:fill="auto"/>
          </w:tcPr>
          <w:p w14:paraId="36BD87FC"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20169C2D"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1E7224B8"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1BF76D6E" w14:textId="77777777" w:rsidR="00400085" w:rsidRPr="00E94EC3"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7E2DCC7B" w14:textId="77777777" w:rsidR="00400085" w:rsidRDefault="00400085" w:rsidP="00C81DD3">
            <w:pPr>
              <w:spacing w:before="60" w:after="100"/>
              <w:jc w:val="left"/>
              <w:rPr>
                <w:rFonts w:cs="Calibri"/>
                <w:spacing w:val="-2"/>
                <w:sz w:val="20"/>
              </w:rPr>
            </w:pPr>
            <w:r>
              <w:rPr>
                <w:rFonts w:cs="Calibri"/>
                <w:spacing w:val="-2"/>
                <w:sz w:val="20"/>
              </w:rPr>
              <w:t>Approval of Resource Decision for New Wind and New Transmission, Rebuttal</w:t>
            </w:r>
          </w:p>
        </w:tc>
      </w:tr>
      <w:tr w:rsidR="00400085" w:rsidRPr="00CD0F75" w14:paraId="4C7CCBF2" w14:textId="77777777" w:rsidTr="00EB5B3C">
        <w:trPr>
          <w:cantSplit/>
          <w:trHeight w:val="138"/>
        </w:trPr>
        <w:tc>
          <w:tcPr>
            <w:tcW w:w="738" w:type="dxa"/>
            <w:shd w:val="clear" w:color="auto" w:fill="auto"/>
          </w:tcPr>
          <w:p w14:paraId="332BF2E9" w14:textId="77777777" w:rsidR="00400085" w:rsidRDefault="00400085" w:rsidP="00C81DD3">
            <w:pPr>
              <w:spacing w:before="60" w:after="100"/>
              <w:jc w:val="left"/>
              <w:rPr>
                <w:rFonts w:cs="Calibri"/>
                <w:spacing w:val="-2"/>
                <w:sz w:val="20"/>
              </w:rPr>
            </w:pPr>
            <w:r>
              <w:rPr>
                <w:rFonts w:cs="Calibri"/>
                <w:spacing w:val="-2"/>
                <w:sz w:val="20"/>
              </w:rPr>
              <w:t>4/18</w:t>
            </w:r>
          </w:p>
        </w:tc>
        <w:tc>
          <w:tcPr>
            <w:tcW w:w="1254" w:type="dxa"/>
            <w:shd w:val="clear" w:color="auto" w:fill="auto"/>
          </w:tcPr>
          <w:p w14:paraId="381290BD" w14:textId="77777777" w:rsidR="00400085" w:rsidRDefault="00400085" w:rsidP="00C81DD3">
            <w:pPr>
              <w:keepNext/>
              <w:keepLines/>
              <w:pageBreakBefore/>
              <w:spacing w:before="60" w:after="100"/>
              <w:jc w:val="left"/>
              <w:rPr>
                <w:rFonts w:cs="Calibri"/>
                <w:spacing w:val="-2"/>
                <w:sz w:val="20"/>
              </w:rPr>
            </w:pPr>
            <w:r>
              <w:rPr>
                <w:rFonts w:cs="Calibri"/>
                <w:spacing w:val="-2"/>
                <w:sz w:val="20"/>
              </w:rPr>
              <w:t>17-035-40</w:t>
            </w:r>
          </w:p>
        </w:tc>
        <w:tc>
          <w:tcPr>
            <w:tcW w:w="1086" w:type="dxa"/>
            <w:shd w:val="clear" w:color="auto" w:fill="auto"/>
          </w:tcPr>
          <w:p w14:paraId="3B477010" w14:textId="77777777" w:rsidR="00400085" w:rsidRDefault="00400085" w:rsidP="00C81DD3">
            <w:pPr>
              <w:spacing w:before="60" w:after="100"/>
              <w:jc w:val="left"/>
              <w:rPr>
                <w:rFonts w:cs="Calibri"/>
                <w:spacing w:val="-2"/>
                <w:sz w:val="20"/>
              </w:rPr>
            </w:pPr>
            <w:r>
              <w:rPr>
                <w:rFonts w:cs="Calibri"/>
                <w:spacing w:val="-2"/>
                <w:sz w:val="20"/>
              </w:rPr>
              <w:t>UT</w:t>
            </w:r>
          </w:p>
        </w:tc>
        <w:tc>
          <w:tcPr>
            <w:tcW w:w="1786" w:type="dxa"/>
            <w:gridSpan w:val="2"/>
            <w:shd w:val="clear" w:color="auto" w:fill="auto"/>
          </w:tcPr>
          <w:p w14:paraId="3EA2E1A4" w14:textId="77777777" w:rsidR="00400085" w:rsidRPr="00E94EC3" w:rsidRDefault="00400085" w:rsidP="00C81DD3">
            <w:pPr>
              <w:spacing w:before="60" w:after="100"/>
              <w:jc w:val="left"/>
              <w:rPr>
                <w:spacing w:val="-2"/>
                <w:sz w:val="20"/>
                <w:szCs w:val="20"/>
              </w:rPr>
            </w:pPr>
            <w:r w:rsidRPr="00E94EC3">
              <w:rPr>
                <w:spacing w:val="-2"/>
                <w:sz w:val="20"/>
                <w:szCs w:val="20"/>
              </w:rPr>
              <w:t>Utah Office of Consumer Services</w:t>
            </w:r>
          </w:p>
        </w:tc>
        <w:tc>
          <w:tcPr>
            <w:tcW w:w="1526" w:type="dxa"/>
            <w:shd w:val="clear" w:color="auto" w:fill="auto"/>
          </w:tcPr>
          <w:p w14:paraId="09B72387" w14:textId="77777777" w:rsidR="00400085" w:rsidRPr="00E94EC3" w:rsidRDefault="00400085" w:rsidP="00C81DD3">
            <w:pPr>
              <w:spacing w:before="60" w:after="100"/>
              <w:jc w:val="left"/>
              <w:rPr>
                <w:rFonts w:cs="Calibri"/>
                <w:spacing w:val="-2"/>
                <w:sz w:val="20"/>
                <w:szCs w:val="20"/>
              </w:rPr>
            </w:pPr>
            <w:r w:rsidRPr="00E94EC3">
              <w:rPr>
                <w:rFonts w:cs="Calibri"/>
                <w:spacing w:val="-2"/>
                <w:sz w:val="20"/>
                <w:szCs w:val="20"/>
              </w:rPr>
              <w:t>PacifiCorp</w:t>
            </w:r>
          </w:p>
        </w:tc>
        <w:tc>
          <w:tcPr>
            <w:tcW w:w="3446" w:type="dxa"/>
            <w:shd w:val="clear" w:color="auto" w:fill="auto"/>
          </w:tcPr>
          <w:p w14:paraId="51DAA871" w14:textId="77777777" w:rsidR="00400085" w:rsidRDefault="00400085" w:rsidP="00C81DD3">
            <w:pPr>
              <w:spacing w:before="60" w:after="100"/>
              <w:jc w:val="left"/>
              <w:rPr>
                <w:rFonts w:cs="Calibri"/>
                <w:spacing w:val="-2"/>
                <w:sz w:val="20"/>
              </w:rPr>
            </w:pPr>
            <w:r>
              <w:rPr>
                <w:rFonts w:cs="Calibri"/>
                <w:spacing w:val="-2"/>
                <w:sz w:val="20"/>
              </w:rPr>
              <w:t>Approval of Resource Decision for New Wind and New Transmission, Second Rebuttal</w:t>
            </w:r>
          </w:p>
        </w:tc>
      </w:tr>
      <w:tr w:rsidR="00EB5B3C" w:rsidRPr="00CD0F75" w14:paraId="1BD04399" w14:textId="77777777" w:rsidTr="00EB5B3C">
        <w:trPr>
          <w:cantSplit/>
          <w:trHeight w:val="138"/>
        </w:trPr>
        <w:tc>
          <w:tcPr>
            <w:tcW w:w="738" w:type="dxa"/>
            <w:shd w:val="clear" w:color="auto" w:fill="auto"/>
          </w:tcPr>
          <w:p w14:paraId="51115F78" w14:textId="77777777" w:rsidR="00EB5B3C" w:rsidRDefault="00EB5B3C" w:rsidP="003643CB">
            <w:pPr>
              <w:spacing w:before="60" w:after="100"/>
              <w:jc w:val="left"/>
              <w:rPr>
                <w:rFonts w:cs="Calibri"/>
                <w:spacing w:val="-2"/>
                <w:sz w:val="20"/>
              </w:rPr>
            </w:pPr>
            <w:r>
              <w:rPr>
                <w:rFonts w:cs="Calibri"/>
                <w:spacing w:val="-2"/>
                <w:sz w:val="20"/>
              </w:rPr>
              <w:t>6/18</w:t>
            </w:r>
          </w:p>
        </w:tc>
        <w:tc>
          <w:tcPr>
            <w:tcW w:w="1254" w:type="dxa"/>
            <w:shd w:val="clear" w:color="auto" w:fill="auto"/>
          </w:tcPr>
          <w:p w14:paraId="228852F7" w14:textId="77777777" w:rsidR="00EB5B3C" w:rsidRDefault="00EB5B3C" w:rsidP="003643CB">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62E3956F" w14:textId="77777777" w:rsidR="00EB5B3C" w:rsidRDefault="00EB5B3C" w:rsidP="003643CB">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4FE8BD02" w14:textId="77777777" w:rsidR="00EB5B3C" w:rsidRPr="00EB5B3C" w:rsidRDefault="00EB5B3C" w:rsidP="003643CB">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2EA7CEF8" w14:textId="77777777" w:rsidR="00EB5B3C" w:rsidRPr="00EB5B3C" w:rsidRDefault="00EB5B3C" w:rsidP="003643CB">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76BBC061" w14:textId="77777777" w:rsidR="00EB5B3C" w:rsidRDefault="00EB5B3C" w:rsidP="003643CB">
            <w:pPr>
              <w:spacing w:before="60" w:after="100"/>
              <w:jc w:val="left"/>
              <w:rPr>
                <w:rFonts w:cs="Calibri"/>
                <w:spacing w:val="-2"/>
                <w:sz w:val="20"/>
              </w:rPr>
            </w:pPr>
            <w:r>
              <w:rPr>
                <w:rFonts w:cs="Calibri"/>
                <w:spacing w:val="-2"/>
                <w:sz w:val="20"/>
              </w:rPr>
              <w:t>Eighteenth Semi-Annual Vogtle Construction Monitoring Report</w:t>
            </w:r>
          </w:p>
        </w:tc>
      </w:tr>
      <w:tr w:rsidR="00EB5B3C" w:rsidRPr="00CD0F75" w14:paraId="567E22D4" w14:textId="77777777" w:rsidTr="00EB5B3C">
        <w:trPr>
          <w:cantSplit/>
          <w:trHeight w:val="138"/>
        </w:trPr>
        <w:tc>
          <w:tcPr>
            <w:tcW w:w="738" w:type="dxa"/>
            <w:shd w:val="clear" w:color="auto" w:fill="auto"/>
          </w:tcPr>
          <w:p w14:paraId="1FBE0FE3" w14:textId="77777777" w:rsidR="00EB5B3C" w:rsidRDefault="00EB5B3C" w:rsidP="003643CB">
            <w:pPr>
              <w:spacing w:before="60" w:after="100"/>
              <w:jc w:val="left"/>
              <w:rPr>
                <w:rFonts w:cs="Calibri"/>
                <w:spacing w:val="-2"/>
                <w:sz w:val="20"/>
              </w:rPr>
            </w:pPr>
            <w:r>
              <w:rPr>
                <w:rFonts w:cs="Calibri"/>
                <w:spacing w:val="-2"/>
                <w:sz w:val="20"/>
              </w:rPr>
              <w:t>8/18</w:t>
            </w:r>
          </w:p>
        </w:tc>
        <w:tc>
          <w:tcPr>
            <w:tcW w:w="1254" w:type="dxa"/>
            <w:shd w:val="clear" w:color="auto" w:fill="auto"/>
          </w:tcPr>
          <w:p w14:paraId="59743FFF" w14:textId="77777777" w:rsidR="00EB5B3C" w:rsidRDefault="00EB5B3C" w:rsidP="003643CB">
            <w:pPr>
              <w:keepNext/>
              <w:keepLines/>
              <w:pageBreakBefore/>
              <w:spacing w:before="60" w:after="100"/>
              <w:jc w:val="left"/>
              <w:rPr>
                <w:rFonts w:cs="Calibri"/>
                <w:spacing w:val="-2"/>
                <w:sz w:val="20"/>
              </w:rPr>
            </w:pPr>
            <w:r>
              <w:rPr>
                <w:rFonts w:cs="Calibri"/>
                <w:spacing w:val="-2"/>
                <w:sz w:val="20"/>
              </w:rPr>
              <w:t>Cause 45052</w:t>
            </w:r>
          </w:p>
        </w:tc>
        <w:tc>
          <w:tcPr>
            <w:tcW w:w="1086" w:type="dxa"/>
            <w:shd w:val="clear" w:color="auto" w:fill="auto"/>
          </w:tcPr>
          <w:p w14:paraId="5BC7ECE1" w14:textId="77777777" w:rsidR="00EB5B3C" w:rsidRDefault="00EB5B3C" w:rsidP="003643CB">
            <w:pPr>
              <w:spacing w:before="60" w:after="100"/>
              <w:jc w:val="left"/>
              <w:rPr>
                <w:rFonts w:cs="Calibri"/>
                <w:spacing w:val="-2"/>
                <w:sz w:val="20"/>
              </w:rPr>
            </w:pPr>
            <w:r>
              <w:rPr>
                <w:rFonts w:cs="Calibri"/>
                <w:spacing w:val="-2"/>
                <w:sz w:val="20"/>
              </w:rPr>
              <w:t>IN</w:t>
            </w:r>
          </w:p>
        </w:tc>
        <w:tc>
          <w:tcPr>
            <w:tcW w:w="1786" w:type="dxa"/>
            <w:gridSpan w:val="2"/>
            <w:shd w:val="clear" w:color="auto" w:fill="auto"/>
          </w:tcPr>
          <w:p w14:paraId="1FD76C60" w14:textId="77777777" w:rsidR="00EB5B3C" w:rsidRPr="00EB5B3C" w:rsidRDefault="00EB5B3C" w:rsidP="003643CB">
            <w:pPr>
              <w:spacing w:before="60" w:after="100"/>
              <w:jc w:val="left"/>
              <w:rPr>
                <w:spacing w:val="-2"/>
                <w:sz w:val="20"/>
                <w:szCs w:val="20"/>
              </w:rPr>
            </w:pPr>
            <w:r w:rsidRPr="00EB5B3C">
              <w:rPr>
                <w:spacing w:val="-2"/>
                <w:sz w:val="20"/>
                <w:szCs w:val="20"/>
              </w:rPr>
              <w:t>Indiana Coal Council</w:t>
            </w:r>
          </w:p>
        </w:tc>
        <w:tc>
          <w:tcPr>
            <w:tcW w:w="1526" w:type="dxa"/>
            <w:shd w:val="clear" w:color="auto" w:fill="auto"/>
          </w:tcPr>
          <w:p w14:paraId="26656349" w14:textId="77777777" w:rsidR="00EB5B3C" w:rsidRPr="00EB5B3C" w:rsidRDefault="00EB5B3C" w:rsidP="003643CB">
            <w:pPr>
              <w:spacing w:before="60" w:after="100"/>
              <w:jc w:val="left"/>
              <w:rPr>
                <w:rFonts w:cs="Calibri"/>
                <w:spacing w:val="-2"/>
                <w:sz w:val="20"/>
                <w:szCs w:val="20"/>
              </w:rPr>
            </w:pPr>
            <w:r w:rsidRPr="00EB5B3C">
              <w:rPr>
                <w:rFonts w:cs="Calibri"/>
                <w:spacing w:val="-2"/>
                <w:sz w:val="20"/>
                <w:szCs w:val="20"/>
              </w:rPr>
              <w:t>Vectren Energy Delivery of Indiana</w:t>
            </w:r>
          </w:p>
        </w:tc>
        <w:tc>
          <w:tcPr>
            <w:tcW w:w="3446" w:type="dxa"/>
            <w:shd w:val="clear" w:color="auto" w:fill="auto"/>
          </w:tcPr>
          <w:p w14:paraId="1A9EBB24" w14:textId="77777777" w:rsidR="00EB5B3C" w:rsidRDefault="00EB5B3C" w:rsidP="003643CB">
            <w:pPr>
              <w:spacing w:before="60" w:after="100"/>
              <w:jc w:val="left"/>
              <w:rPr>
                <w:rFonts w:cs="Calibri"/>
                <w:spacing w:val="-2"/>
                <w:sz w:val="20"/>
              </w:rPr>
            </w:pPr>
            <w:r>
              <w:rPr>
                <w:rFonts w:cs="Calibri"/>
                <w:spacing w:val="-2"/>
                <w:sz w:val="20"/>
              </w:rPr>
              <w:t>Request for Approval of an 850 MW CCGT Plant</w:t>
            </w:r>
          </w:p>
        </w:tc>
      </w:tr>
      <w:tr w:rsidR="00EB5B3C" w:rsidRPr="00CD0F75" w14:paraId="15E57E11" w14:textId="77777777" w:rsidTr="00EB5B3C">
        <w:trPr>
          <w:cantSplit/>
          <w:trHeight w:val="138"/>
        </w:trPr>
        <w:tc>
          <w:tcPr>
            <w:tcW w:w="738" w:type="dxa"/>
            <w:shd w:val="clear" w:color="auto" w:fill="auto"/>
          </w:tcPr>
          <w:p w14:paraId="400AF52F" w14:textId="77777777" w:rsidR="00EB5B3C" w:rsidRDefault="00EB5B3C" w:rsidP="003643CB">
            <w:pPr>
              <w:spacing w:before="60" w:after="100"/>
              <w:jc w:val="left"/>
              <w:rPr>
                <w:rFonts w:cs="Calibri"/>
                <w:spacing w:val="-2"/>
                <w:sz w:val="20"/>
              </w:rPr>
            </w:pPr>
            <w:r>
              <w:rPr>
                <w:rFonts w:cs="Calibri"/>
                <w:spacing w:val="-2"/>
                <w:sz w:val="20"/>
              </w:rPr>
              <w:t>9/18</w:t>
            </w:r>
          </w:p>
        </w:tc>
        <w:tc>
          <w:tcPr>
            <w:tcW w:w="1254" w:type="dxa"/>
            <w:shd w:val="clear" w:color="auto" w:fill="auto"/>
          </w:tcPr>
          <w:p w14:paraId="7F6CE190" w14:textId="77777777" w:rsidR="00EB5B3C" w:rsidRDefault="00EB5B3C" w:rsidP="003643CB">
            <w:pPr>
              <w:keepNext/>
              <w:keepLines/>
              <w:pageBreakBefore/>
              <w:spacing w:before="60" w:after="100"/>
              <w:jc w:val="left"/>
              <w:rPr>
                <w:rFonts w:cs="Calibri"/>
                <w:spacing w:val="-2"/>
                <w:sz w:val="20"/>
              </w:rPr>
            </w:pPr>
            <w:r>
              <w:rPr>
                <w:rFonts w:cs="Calibri"/>
                <w:spacing w:val="-2"/>
                <w:sz w:val="20"/>
              </w:rPr>
              <w:t>U-34836</w:t>
            </w:r>
          </w:p>
        </w:tc>
        <w:tc>
          <w:tcPr>
            <w:tcW w:w="1086" w:type="dxa"/>
            <w:shd w:val="clear" w:color="auto" w:fill="auto"/>
          </w:tcPr>
          <w:p w14:paraId="0F165B2F" w14:textId="77777777" w:rsidR="00EB5B3C" w:rsidRDefault="00EB5B3C" w:rsidP="003643CB">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67B4D5F1" w14:textId="77777777" w:rsidR="00EB5B3C" w:rsidRPr="00EB5B3C" w:rsidRDefault="00EB5B3C" w:rsidP="003643CB">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1F805D6A" w14:textId="77777777" w:rsidR="00EB5B3C" w:rsidRPr="00EB5B3C" w:rsidRDefault="00EB5B3C" w:rsidP="003643CB">
            <w:pPr>
              <w:spacing w:before="60" w:after="100"/>
              <w:jc w:val="left"/>
              <w:rPr>
                <w:rFonts w:cs="Calibri"/>
                <w:spacing w:val="-2"/>
                <w:sz w:val="20"/>
                <w:szCs w:val="20"/>
              </w:rPr>
            </w:pPr>
            <w:r w:rsidRPr="00EB5B3C">
              <w:rPr>
                <w:rFonts w:cs="Calibri"/>
                <w:spacing w:val="-2"/>
                <w:sz w:val="20"/>
                <w:szCs w:val="20"/>
              </w:rPr>
              <w:t>Entergy Louisiana, LLC</w:t>
            </w:r>
          </w:p>
        </w:tc>
        <w:tc>
          <w:tcPr>
            <w:tcW w:w="3446" w:type="dxa"/>
            <w:shd w:val="clear" w:color="auto" w:fill="auto"/>
          </w:tcPr>
          <w:p w14:paraId="1A8C5D56" w14:textId="4EB46B20" w:rsidR="00EB5B3C" w:rsidRDefault="00EB5B3C" w:rsidP="003643CB">
            <w:pPr>
              <w:spacing w:before="60" w:after="100"/>
              <w:jc w:val="left"/>
              <w:rPr>
                <w:rFonts w:cs="Calibri"/>
                <w:spacing w:val="-2"/>
                <w:sz w:val="20"/>
              </w:rPr>
            </w:pPr>
            <w:r>
              <w:rPr>
                <w:rFonts w:cs="Calibri"/>
                <w:spacing w:val="-2"/>
                <w:sz w:val="20"/>
              </w:rPr>
              <w:t>Authorization to Participate in a 50 MW Solar PPA</w:t>
            </w:r>
          </w:p>
        </w:tc>
      </w:tr>
      <w:tr w:rsidR="00EB5B3C" w:rsidRPr="00CD0F75" w14:paraId="0217615C" w14:textId="77777777" w:rsidTr="00EB5B3C">
        <w:trPr>
          <w:cantSplit/>
          <w:trHeight w:val="138"/>
        </w:trPr>
        <w:tc>
          <w:tcPr>
            <w:tcW w:w="738" w:type="dxa"/>
            <w:shd w:val="clear" w:color="auto" w:fill="auto"/>
          </w:tcPr>
          <w:p w14:paraId="20221324" w14:textId="77777777" w:rsidR="00EB5B3C" w:rsidRDefault="00EB5B3C" w:rsidP="003643CB">
            <w:pPr>
              <w:spacing w:before="60" w:after="100"/>
              <w:jc w:val="left"/>
              <w:rPr>
                <w:rFonts w:cs="Calibri"/>
                <w:spacing w:val="-2"/>
                <w:sz w:val="20"/>
              </w:rPr>
            </w:pPr>
            <w:r>
              <w:rPr>
                <w:rFonts w:cs="Calibri"/>
                <w:spacing w:val="-2"/>
                <w:sz w:val="20"/>
              </w:rPr>
              <w:t>11/18</w:t>
            </w:r>
          </w:p>
        </w:tc>
        <w:tc>
          <w:tcPr>
            <w:tcW w:w="1254" w:type="dxa"/>
            <w:shd w:val="clear" w:color="auto" w:fill="auto"/>
          </w:tcPr>
          <w:p w14:paraId="5645120F" w14:textId="77777777" w:rsidR="00EB5B3C" w:rsidRDefault="00EB5B3C" w:rsidP="003643CB">
            <w:pPr>
              <w:keepNext/>
              <w:keepLines/>
              <w:pageBreakBefore/>
              <w:spacing w:before="60" w:after="100"/>
              <w:jc w:val="left"/>
              <w:rPr>
                <w:rFonts w:cs="Calibri"/>
                <w:spacing w:val="-2"/>
                <w:sz w:val="20"/>
              </w:rPr>
            </w:pPr>
            <w:r>
              <w:rPr>
                <w:rFonts w:cs="Calibri"/>
                <w:spacing w:val="-2"/>
                <w:sz w:val="20"/>
              </w:rPr>
              <w:t>29849-U</w:t>
            </w:r>
          </w:p>
        </w:tc>
        <w:tc>
          <w:tcPr>
            <w:tcW w:w="1086" w:type="dxa"/>
            <w:shd w:val="clear" w:color="auto" w:fill="auto"/>
          </w:tcPr>
          <w:p w14:paraId="32D2BC51" w14:textId="77777777" w:rsidR="00EB5B3C" w:rsidRDefault="00EB5B3C" w:rsidP="003643CB">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598F345C" w14:textId="77777777" w:rsidR="00EB5B3C" w:rsidRPr="00EB5B3C" w:rsidRDefault="00EB5B3C" w:rsidP="003643CB">
            <w:pPr>
              <w:spacing w:before="60" w:after="100"/>
              <w:jc w:val="left"/>
              <w:rPr>
                <w:spacing w:val="-2"/>
                <w:sz w:val="20"/>
                <w:szCs w:val="20"/>
              </w:rPr>
            </w:pPr>
            <w:r w:rsidRPr="00EB5B3C">
              <w:rPr>
                <w:spacing w:val="-2"/>
                <w:sz w:val="20"/>
                <w:szCs w:val="20"/>
              </w:rPr>
              <w:t>Georgia Public Service Commission Staff</w:t>
            </w:r>
          </w:p>
        </w:tc>
        <w:tc>
          <w:tcPr>
            <w:tcW w:w="1526" w:type="dxa"/>
            <w:shd w:val="clear" w:color="auto" w:fill="auto"/>
          </w:tcPr>
          <w:p w14:paraId="65D88B74" w14:textId="77777777" w:rsidR="00EB5B3C" w:rsidRPr="00EB5B3C" w:rsidRDefault="00EB5B3C" w:rsidP="003643CB">
            <w:pPr>
              <w:spacing w:before="60" w:after="100"/>
              <w:jc w:val="left"/>
              <w:rPr>
                <w:rFonts w:cs="Calibri"/>
                <w:spacing w:val="-2"/>
                <w:sz w:val="20"/>
                <w:szCs w:val="20"/>
              </w:rPr>
            </w:pPr>
            <w:r w:rsidRPr="00EB5B3C">
              <w:rPr>
                <w:rFonts w:cs="Calibri"/>
                <w:spacing w:val="-2"/>
                <w:sz w:val="20"/>
                <w:szCs w:val="20"/>
              </w:rPr>
              <w:t>Georgia Power</w:t>
            </w:r>
          </w:p>
        </w:tc>
        <w:tc>
          <w:tcPr>
            <w:tcW w:w="3446" w:type="dxa"/>
            <w:shd w:val="clear" w:color="auto" w:fill="auto"/>
          </w:tcPr>
          <w:p w14:paraId="3F6ADFC5" w14:textId="77777777" w:rsidR="00EB5B3C" w:rsidRDefault="00EB5B3C" w:rsidP="003643CB">
            <w:pPr>
              <w:spacing w:before="60" w:after="100"/>
              <w:jc w:val="left"/>
              <w:rPr>
                <w:rFonts w:cs="Calibri"/>
                <w:spacing w:val="-2"/>
                <w:sz w:val="20"/>
              </w:rPr>
            </w:pPr>
            <w:r>
              <w:rPr>
                <w:rFonts w:cs="Calibri"/>
                <w:spacing w:val="-2"/>
                <w:sz w:val="20"/>
              </w:rPr>
              <w:t>Nineteenth Semi-Annual Vogtle Construction Monitoring Report</w:t>
            </w:r>
          </w:p>
        </w:tc>
      </w:tr>
      <w:tr w:rsidR="00EB5B3C" w:rsidRPr="00CD0F75" w14:paraId="7140294B" w14:textId="77777777" w:rsidTr="00EB5B3C">
        <w:trPr>
          <w:cantSplit/>
          <w:trHeight w:val="138"/>
        </w:trPr>
        <w:tc>
          <w:tcPr>
            <w:tcW w:w="738" w:type="dxa"/>
            <w:shd w:val="clear" w:color="auto" w:fill="auto"/>
          </w:tcPr>
          <w:p w14:paraId="55FEC343" w14:textId="77777777" w:rsidR="00EB5B3C" w:rsidRDefault="00EB5B3C" w:rsidP="003643CB">
            <w:pPr>
              <w:spacing w:before="60" w:after="100"/>
              <w:jc w:val="left"/>
              <w:rPr>
                <w:rFonts w:cs="Calibri"/>
                <w:spacing w:val="-2"/>
                <w:sz w:val="20"/>
              </w:rPr>
            </w:pPr>
            <w:r>
              <w:rPr>
                <w:rFonts w:cs="Calibri"/>
                <w:spacing w:val="-2"/>
                <w:sz w:val="20"/>
              </w:rPr>
              <w:t>1/19</w:t>
            </w:r>
          </w:p>
        </w:tc>
        <w:tc>
          <w:tcPr>
            <w:tcW w:w="1254" w:type="dxa"/>
            <w:shd w:val="clear" w:color="auto" w:fill="auto"/>
          </w:tcPr>
          <w:p w14:paraId="2995CE11" w14:textId="77777777" w:rsidR="00EB5B3C" w:rsidRDefault="00EB5B3C" w:rsidP="003643CB">
            <w:pPr>
              <w:keepNext/>
              <w:keepLines/>
              <w:pageBreakBefore/>
              <w:spacing w:before="60" w:after="100"/>
              <w:jc w:val="left"/>
              <w:rPr>
                <w:rFonts w:cs="Calibri"/>
                <w:spacing w:val="-2"/>
                <w:sz w:val="20"/>
              </w:rPr>
            </w:pPr>
            <w:r>
              <w:rPr>
                <w:rFonts w:cs="Calibri"/>
                <w:spacing w:val="-2"/>
                <w:sz w:val="20"/>
              </w:rPr>
              <w:t>U-35019</w:t>
            </w:r>
          </w:p>
        </w:tc>
        <w:tc>
          <w:tcPr>
            <w:tcW w:w="1086" w:type="dxa"/>
            <w:shd w:val="clear" w:color="auto" w:fill="auto"/>
          </w:tcPr>
          <w:p w14:paraId="730F1BCB" w14:textId="77777777" w:rsidR="00EB5B3C" w:rsidRDefault="00EB5B3C" w:rsidP="003643CB">
            <w:pPr>
              <w:spacing w:before="60" w:after="100"/>
              <w:jc w:val="left"/>
              <w:rPr>
                <w:rFonts w:cs="Calibri"/>
                <w:spacing w:val="-2"/>
                <w:sz w:val="20"/>
              </w:rPr>
            </w:pPr>
            <w:r>
              <w:rPr>
                <w:rFonts w:cs="Calibri"/>
                <w:spacing w:val="-2"/>
                <w:sz w:val="20"/>
              </w:rPr>
              <w:t>LA</w:t>
            </w:r>
          </w:p>
        </w:tc>
        <w:tc>
          <w:tcPr>
            <w:tcW w:w="1786" w:type="dxa"/>
            <w:gridSpan w:val="2"/>
            <w:shd w:val="clear" w:color="auto" w:fill="auto"/>
          </w:tcPr>
          <w:p w14:paraId="25AA2EBD" w14:textId="77777777" w:rsidR="00EB5B3C" w:rsidRPr="00EB5B3C" w:rsidRDefault="00EB5B3C" w:rsidP="003643CB">
            <w:pPr>
              <w:spacing w:before="60" w:after="100"/>
              <w:jc w:val="left"/>
              <w:rPr>
                <w:spacing w:val="-2"/>
                <w:sz w:val="20"/>
                <w:szCs w:val="20"/>
              </w:rPr>
            </w:pPr>
            <w:r w:rsidRPr="00EB5B3C">
              <w:rPr>
                <w:spacing w:val="-2"/>
                <w:sz w:val="20"/>
                <w:szCs w:val="20"/>
              </w:rPr>
              <w:t>Louisiana Public Service Commission Staff</w:t>
            </w:r>
          </w:p>
        </w:tc>
        <w:tc>
          <w:tcPr>
            <w:tcW w:w="1526" w:type="dxa"/>
            <w:shd w:val="clear" w:color="auto" w:fill="auto"/>
          </w:tcPr>
          <w:p w14:paraId="0CCFC308" w14:textId="77777777" w:rsidR="00EB5B3C" w:rsidRPr="00EB5B3C" w:rsidRDefault="00EB5B3C" w:rsidP="003643CB">
            <w:pPr>
              <w:spacing w:before="60" w:after="100"/>
              <w:jc w:val="left"/>
              <w:rPr>
                <w:rFonts w:cs="Calibri"/>
                <w:spacing w:val="-2"/>
                <w:sz w:val="20"/>
                <w:szCs w:val="20"/>
              </w:rPr>
            </w:pPr>
            <w:r w:rsidRPr="00EB5B3C">
              <w:rPr>
                <w:rFonts w:cs="Calibri"/>
                <w:spacing w:val="-2"/>
                <w:sz w:val="20"/>
                <w:szCs w:val="20"/>
              </w:rPr>
              <w:t>Entergy Louisiana</w:t>
            </w:r>
          </w:p>
        </w:tc>
        <w:tc>
          <w:tcPr>
            <w:tcW w:w="3446" w:type="dxa"/>
            <w:shd w:val="clear" w:color="auto" w:fill="auto"/>
          </w:tcPr>
          <w:p w14:paraId="1979D07E" w14:textId="0D2F0754" w:rsidR="00EB5B3C" w:rsidRDefault="00EB5B3C" w:rsidP="003643CB">
            <w:pPr>
              <w:spacing w:before="60" w:after="100"/>
              <w:jc w:val="left"/>
              <w:rPr>
                <w:rFonts w:cs="Calibri"/>
                <w:spacing w:val="-2"/>
                <w:sz w:val="20"/>
              </w:rPr>
            </w:pPr>
            <w:r>
              <w:rPr>
                <w:rFonts w:cs="Calibri"/>
                <w:spacing w:val="-2"/>
                <w:sz w:val="20"/>
              </w:rPr>
              <w:t>Authorization to Make Available Experimental Renewable Option and Rate Schedule RTO</w:t>
            </w:r>
          </w:p>
        </w:tc>
      </w:tr>
      <w:tr w:rsidR="00EB5B3C" w:rsidRPr="00CD0F75" w14:paraId="4A4F4BD8" w14:textId="77777777" w:rsidTr="003643CB">
        <w:trPr>
          <w:cantSplit/>
          <w:trHeight w:val="138"/>
        </w:trPr>
        <w:tc>
          <w:tcPr>
            <w:tcW w:w="738" w:type="dxa"/>
            <w:shd w:val="clear" w:color="auto" w:fill="auto"/>
          </w:tcPr>
          <w:p w14:paraId="791FA09B" w14:textId="7AE1705F" w:rsidR="00EB5B3C" w:rsidRDefault="00EB5B3C" w:rsidP="003643CB">
            <w:pPr>
              <w:spacing w:before="60" w:after="100"/>
              <w:jc w:val="left"/>
              <w:rPr>
                <w:rFonts w:cs="Calibri"/>
                <w:spacing w:val="-2"/>
                <w:sz w:val="20"/>
              </w:rPr>
            </w:pPr>
            <w:r>
              <w:rPr>
                <w:rFonts w:cs="Calibri"/>
                <w:spacing w:val="-2"/>
                <w:sz w:val="20"/>
              </w:rPr>
              <w:lastRenderedPageBreak/>
              <w:t>4/19</w:t>
            </w:r>
          </w:p>
        </w:tc>
        <w:tc>
          <w:tcPr>
            <w:tcW w:w="1254" w:type="dxa"/>
            <w:shd w:val="clear" w:color="auto" w:fill="auto"/>
          </w:tcPr>
          <w:p w14:paraId="4D615424" w14:textId="5B7612EB" w:rsidR="00EB5B3C" w:rsidRDefault="0011441C" w:rsidP="003643CB">
            <w:pPr>
              <w:keepNext/>
              <w:keepLines/>
              <w:pageBreakBefore/>
              <w:spacing w:before="60" w:after="100"/>
              <w:jc w:val="left"/>
              <w:rPr>
                <w:rFonts w:cs="Calibri"/>
                <w:spacing w:val="-2"/>
                <w:sz w:val="20"/>
              </w:rPr>
            </w:pPr>
            <w:r>
              <w:rPr>
                <w:rFonts w:cs="Calibri"/>
                <w:spacing w:val="-2"/>
                <w:sz w:val="20"/>
              </w:rPr>
              <w:t>42310-U</w:t>
            </w:r>
          </w:p>
        </w:tc>
        <w:tc>
          <w:tcPr>
            <w:tcW w:w="1086" w:type="dxa"/>
            <w:shd w:val="clear" w:color="auto" w:fill="auto"/>
          </w:tcPr>
          <w:p w14:paraId="29E5D068" w14:textId="7F80A938" w:rsidR="00EB5B3C" w:rsidRDefault="0011441C" w:rsidP="003643CB">
            <w:pPr>
              <w:spacing w:before="60" w:after="100"/>
              <w:jc w:val="left"/>
              <w:rPr>
                <w:rFonts w:cs="Calibri"/>
                <w:spacing w:val="-2"/>
                <w:sz w:val="20"/>
              </w:rPr>
            </w:pPr>
            <w:r>
              <w:rPr>
                <w:rFonts w:cs="Calibri"/>
                <w:spacing w:val="-2"/>
                <w:sz w:val="20"/>
              </w:rPr>
              <w:t>GA</w:t>
            </w:r>
          </w:p>
        </w:tc>
        <w:tc>
          <w:tcPr>
            <w:tcW w:w="1786" w:type="dxa"/>
            <w:gridSpan w:val="2"/>
            <w:shd w:val="clear" w:color="auto" w:fill="auto"/>
          </w:tcPr>
          <w:p w14:paraId="7078EBC3" w14:textId="4156E376" w:rsidR="00EB5B3C" w:rsidRPr="00EB5B3C" w:rsidRDefault="0011441C" w:rsidP="003643CB">
            <w:pPr>
              <w:spacing w:before="60" w:after="100"/>
              <w:jc w:val="left"/>
              <w:rPr>
                <w:spacing w:val="-2"/>
                <w:sz w:val="20"/>
                <w:szCs w:val="20"/>
              </w:rPr>
            </w:pPr>
            <w:r>
              <w:rPr>
                <w:spacing w:val="-2"/>
                <w:sz w:val="20"/>
                <w:szCs w:val="20"/>
              </w:rPr>
              <w:t xml:space="preserve">Georgia </w:t>
            </w:r>
            <w:r w:rsidR="00EB5B3C" w:rsidRPr="00EB5B3C">
              <w:rPr>
                <w:spacing w:val="-2"/>
                <w:sz w:val="20"/>
                <w:szCs w:val="20"/>
              </w:rPr>
              <w:t>Public Service Commission Staff</w:t>
            </w:r>
          </w:p>
        </w:tc>
        <w:tc>
          <w:tcPr>
            <w:tcW w:w="1526" w:type="dxa"/>
            <w:shd w:val="clear" w:color="auto" w:fill="auto"/>
          </w:tcPr>
          <w:p w14:paraId="69F98AB4" w14:textId="710EEA0A" w:rsidR="00EB5B3C" w:rsidRPr="00EB5B3C" w:rsidRDefault="0011441C" w:rsidP="003643CB">
            <w:pPr>
              <w:spacing w:before="60" w:after="100"/>
              <w:jc w:val="left"/>
              <w:rPr>
                <w:rFonts w:cs="Calibri"/>
                <w:spacing w:val="-2"/>
                <w:sz w:val="20"/>
                <w:szCs w:val="20"/>
              </w:rPr>
            </w:pPr>
            <w:r>
              <w:rPr>
                <w:rFonts w:cs="Calibri"/>
                <w:spacing w:val="-2"/>
                <w:sz w:val="20"/>
                <w:szCs w:val="20"/>
              </w:rPr>
              <w:t>Georgia Power</w:t>
            </w:r>
          </w:p>
        </w:tc>
        <w:tc>
          <w:tcPr>
            <w:tcW w:w="3446" w:type="dxa"/>
            <w:shd w:val="clear" w:color="auto" w:fill="auto"/>
          </w:tcPr>
          <w:p w14:paraId="254B06C4" w14:textId="676EDE63" w:rsidR="00EB5B3C" w:rsidRDefault="0011441C" w:rsidP="003643CB">
            <w:pPr>
              <w:spacing w:before="60" w:after="100"/>
              <w:jc w:val="left"/>
              <w:rPr>
                <w:rFonts w:cs="Calibri"/>
                <w:spacing w:val="-2"/>
                <w:sz w:val="20"/>
              </w:rPr>
            </w:pPr>
            <w:r>
              <w:rPr>
                <w:rFonts w:cs="Calibri"/>
                <w:spacing w:val="-2"/>
                <w:sz w:val="20"/>
              </w:rPr>
              <w:t>Georgia Power’s 2019 IRP Proceeding</w:t>
            </w:r>
          </w:p>
        </w:tc>
      </w:tr>
    </w:tbl>
    <w:p w14:paraId="5F1D719D" w14:textId="77777777" w:rsidR="00EB5B3C" w:rsidRPr="000376CD" w:rsidRDefault="00EB5B3C" w:rsidP="00EB5B3C">
      <w:pPr>
        <w:pStyle w:val="BodyTextIndent"/>
        <w:widowControl/>
        <w:tabs>
          <w:tab w:val="left" w:pos="-2790"/>
        </w:tabs>
        <w:suppressAutoHyphens/>
        <w:spacing w:after="100"/>
        <w:ind w:left="0"/>
        <w:rPr>
          <w:b/>
          <w:u w:val="single"/>
        </w:rPr>
      </w:pPr>
    </w:p>
    <w:p w14:paraId="6AA8D508" w14:textId="77777777" w:rsidR="00400085" w:rsidRPr="000376CD" w:rsidRDefault="00400085" w:rsidP="00400085">
      <w:pPr>
        <w:pStyle w:val="BodyTextIndent"/>
        <w:widowControl/>
        <w:tabs>
          <w:tab w:val="left" w:pos="-2790"/>
        </w:tabs>
        <w:suppressAutoHyphens/>
        <w:spacing w:after="100"/>
        <w:ind w:left="0"/>
        <w:rPr>
          <w:b/>
          <w:u w:val="single"/>
        </w:rPr>
      </w:pPr>
    </w:p>
    <w:p w14:paraId="6A01971A" w14:textId="77777777" w:rsidR="00400085" w:rsidRDefault="00400085" w:rsidP="00400085">
      <w:pPr>
        <w:pStyle w:val="BodyTextIndent"/>
        <w:widowControl/>
        <w:tabs>
          <w:tab w:val="left" w:pos="-2790"/>
        </w:tabs>
        <w:suppressAutoHyphens/>
        <w:spacing w:after="100"/>
        <w:ind w:left="0"/>
      </w:pPr>
      <w:r>
        <w:rPr>
          <w:b/>
          <w:u w:val="single"/>
        </w:rPr>
        <w:t>ADDITIONAL JUDICIAL PROCEEDINGS AND OTHER PROJECT INFORMATION</w:t>
      </w:r>
    </w:p>
    <w:p w14:paraId="5A0EC2AB" w14:textId="77777777" w:rsidR="00400085" w:rsidRPr="00437279" w:rsidRDefault="00400085" w:rsidP="00400085">
      <w:pPr>
        <w:pStyle w:val="BodyTextIndent"/>
        <w:widowControl/>
        <w:numPr>
          <w:ilvl w:val="0"/>
          <w:numId w:val="19"/>
        </w:numPr>
        <w:tabs>
          <w:tab w:val="left" w:pos="-4950"/>
          <w:tab w:val="left" w:pos="0"/>
        </w:tabs>
        <w:suppressAutoHyphens/>
        <w:spacing w:after="100"/>
      </w:pPr>
      <w:r>
        <w:t xml:space="preserve">1995 – 2000 - </w:t>
      </w:r>
      <w:r w:rsidRPr="00437279">
        <w:t>Modeled the Singapore Power Electricity System and analyzed the benefits of dispatching a new o</w:t>
      </w:r>
      <w:r>
        <w:t>il-fired unit within the system, BHP Power</w:t>
      </w:r>
    </w:p>
    <w:p w14:paraId="034F0E7D"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Modeled the Australian National Energy Market to develop market based energy price forecasts on behalf of an Independ</w:t>
      </w:r>
      <w:r>
        <w:rPr>
          <w:spacing w:val="-2"/>
        </w:rPr>
        <w:t>ent Power Producer in Australia, BHP Power</w:t>
      </w:r>
    </w:p>
    <w:p w14:paraId="0AEB8843"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Analyzed the benefit of purchasing existing gas-fired steam turbine units within the Australian market</w:t>
      </w:r>
      <w:r>
        <w:rPr>
          <w:spacing w:val="-2"/>
        </w:rPr>
        <w:t>, BHP Power</w:t>
      </w:r>
    </w:p>
    <w:p w14:paraId="08D72453"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w:t>
      </w:r>
      <w:r w:rsidRPr="00437279">
        <w:rPr>
          <w:spacing w:val="-2"/>
        </w:rPr>
        <w:t>Developed market price forecasts for South Australia as part of the evaluation of a new gas fired combined cycle unit</w:t>
      </w:r>
      <w:r>
        <w:rPr>
          <w:spacing w:val="-2"/>
        </w:rPr>
        <w:t>, BHP Power</w:t>
      </w:r>
    </w:p>
    <w:p w14:paraId="40992E2E"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Modeled the Vietnam Electricity System as part of a project to develop Least Cost Expansion plans for Vietnam</w:t>
      </w:r>
      <w:r>
        <w:rPr>
          <w:spacing w:val="-2"/>
        </w:rPr>
        <w:t xml:space="preserve">, EVN State Utility </w:t>
      </w:r>
    </w:p>
    <w:p w14:paraId="4F8D6179"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 xml:space="preserve">Assisted in the evaluation of </w:t>
      </w:r>
      <w:r>
        <w:rPr>
          <w:spacing w:val="-2"/>
        </w:rPr>
        <w:t xml:space="preserve">Phu My CCGT power  plant </w:t>
      </w:r>
      <w:r w:rsidRPr="00437279">
        <w:rPr>
          <w:spacing w:val="-2"/>
        </w:rPr>
        <w:t xml:space="preserve"> in Vietnam</w:t>
      </w:r>
      <w:r>
        <w:rPr>
          <w:spacing w:val="-2"/>
        </w:rPr>
        <w:t>, BHP Power</w:t>
      </w:r>
      <w:r w:rsidRPr="00437279">
        <w:rPr>
          <w:spacing w:val="-2"/>
        </w:rPr>
        <w:t xml:space="preserve"> </w:t>
      </w:r>
    </w:p>
    <w:p w14:paraId="7DE12BD4"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Assisted in the development of Market Price Forecasts in several regions of the US.  These forecasts were used as the basis for stranded cost estimates, which were filed in testimony in a number of jurisdictions across the country.</w:t>
      </w:r>
    </w:p>
    <w:p w14:paraId="425B7228"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Conducted research regarding ISO Tariffs and Operations for the PJM Power Pool, the California ISO, and the Midwest ISO on behalf of a Japanese Research.</w:t>
      </w:r>
    </w:p>
    <w:p w14:paraId="49373209"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Performed research on numerous electric utility issues for 3 Japanese research organizations.  This was primarily related to deregulation issues in the US in anticipation of deregulation being introduced in Japan.</w:t>
      </w:r>
    </w:p>
    <w:p w14:paraId="65876460" w14:textId="77777777" w:rsidR="00400085" w:rsidRPr="00437279" w:rsidRDefault="00400085" w:rsidP="00400085">
      <w:pPr>
        <w:widowControl/>
        <w:numPr>
          <w:ilvl w:val="0"/>
          <w:numId w:val="19"/>
        </w:numPr>
        <w:tabs>
          <w:tab w:val="left" w:pos="-4950"/>
          <w:tab w:val="left" w:pos="0"/>
        </w:tabs>
        <w:suppressAutoHyphens/>
        <w:spacing w:after="100"/>
        <w:rPr>
          <w:spacing w:val="-2"/>
        </w:rPr>
      </w:pPr>
      <w:r>
        <w:rPr>
          <w:spacing w:val="-2"/>
        </w:rPr>
        <w:t xml:space="preserve">1995 – 2000 - </w:t>
      </w:r>
      <w:r w:rsidRPr="00437279">
        <w:rPr>
          <w:spacing w:val="-2"/>
        </w:rPr>
        <w:t>Critiqued the IRP filings of 5 utilities in South Carolina on behalf of the South Carolina State Energy Office</w:t>
      </w:r>
    </w:p>
    <w:p w14:paraId="1622A04D" w14:textId="77777777" w:rsidR="00400085" w:rsidRPr="00437279" w:rsidRDefault="00400085" w:rsidP="00400085">
      <w:pPr>
        <w:pStyle w:val="BodyTextIndent"/>
        <w:widowControl/>
        <w:numPr>
          <w:ilvl w:val="0"/>
          <w:numId w:val="19"/>
        </w:numPr>
        <w:tabs>
          <w:tab w:val="left" w:pos="-4950"/>
          <w:tab w:val="left" w:pos="0"/>
        </w:tabs>
        <w:suppressAutoHyphens/>
        <w:spacing w:after="100"/>
      </w:pPr>
      <w:r>
        <w:t xml:space="preserve">1999 - </w:t>
      </w:r>
      <w:r w:rsidRPr="00437279">
        <w:t>Helped to analyze the rate structure and develop an electricity price forecast for the Metropolitan Atlanta Rapid Transit Authority (MARTA) in Atlanta, Georgia</w:t>
      </w:r>
    </w:p>
    <w:p w14:paraId="496C7341" w14:textId="77777777" w:rsidR="00400085" w:rsidRDefault="00400085" w:rsidP="00400085">
      <w:pPr>
        <w:pStyle w:val="BodyTextIndent"/>
        <w:widowControl/>
        <w:numPr>
          <w:ilvl w:val="0"/>
          <w:numId w:val="19"/>
        </w:numPr>
        <w:tabs>
          <w:tab w:val="left" w:pos="-2790"/>
        </w:tabs>
        <w:suppressAutoHyphens/>
        <w:spacing w:after="100"/>
      </w:pPr>
      <w:r>
        <w:t>August 2002 – Expert Report, Civil Action No. 1:00-cv-1262 in the United Stated District Court for the Middle District of North Carolina, United States v. Duke Energy Corporation, Department of Justice</w:t>
      </w:r>
    </w:p>
    <w:p w14:paraId="608E50D0" w14:textId="77777777" w:rsidR="00400085" w:rsidRPr="00437279" w:rsidRDefault="00400085" w:rsidP="00400085">
      <w:pPr>
        <w:pStyle w:val="BodyTextIndent"/>
        <w:widowControl/>
        <w:numPr>
          <w:ilvl w:val="0"/>
          <w:numId w:val="19"/>
        </w:numPr>
        <w:tabs>
          <w:tab w:val="left" w:pos="-4950"/>
          <w:tab w:val="left" w:pos="0"/>
        </w:tabs>
        <w:suppressAutoHyphens/>
        <w:spacing w:after="100"/>
      </w:pPr>
      <w:r>
        <w:lastRenderedPageBreak/>
        <w:t xml:space="preserve">2002 - </w:t>
      </w:r>
      <w:r w:rsidRPr="00437279">
        <w:t xml:space="preserve">Worked on behalf of the Utah Committee of Consumer Services to provide guidance and assist in the analysis of PacifiCorp’s 2002 Integrated Resource Plan. </w:t>
      </w:r>
    </w:p>
    <w:p w14:paraId="4EBF3159" w14:textId="77777777" w:rsidR="00400085" w:rsidRPr="00437279" w:rsidRDefault="00400085" w:rsidP="00400085">
      <w:pPr>
        <w:pStyle w:val="BodyTextIndent"/>
        <w:widowControl/>
        <w:numPr>
          <w:ilvl w:val="0"/>
          <w:numId w:val="19"/>
        </w:numPr>
        <w:tabs>
          <w:tab w:val="left" w:pos="-4950"/>
          <w:tab w:val="left" w:pos="0"/>
        </w:tabs>
        <w:suppressAutoHyphens/>
        <w:spacing w:after="100"/>
      </w:pPr>
      <w:r>
        <w:t xml:space="preserve">July 2003 - </w:t>
      </w:r>
      <w:r w:rsidRPr="00437279">
        <w:t xml:space="preserve">Worked on behalf of the Oregon Public Utility Commission to Audit PacifiCorp’s Net Power Costs per a Settlement Agreement accepted by the Public Utility Commission of Oregon in its Order No. 01-787.  Audit report in Docket No. UE-116 filed July 2003.  </w:t>
      </w:r>
    </w:p>
    <w:p w14:paraId="17D511DB" w14:textId="77777777" w:rsidR="00400085" w:rsidRPr="00437279" w:rsidRDefault="00400085" w:rsidP="00400085">
      <w:pPr>
        <w:pStyle w:val="BodyTextIndent"/>
        <w:widowControl/>
        <w:numPr>
          <w:ilvl w:val="0"/>
          <w:numId w:val="19"/>
        </w:numPr>
        <w:tabs>
          <w:tab w:val="left" w:pos="-4950"/>
        </w:tabs>
        <w:suppressAutoHyphens/>
        <w:spacing w:after="100"/>
      </w:pPr>
      <w:r>
        <w:t>2003 - Re</w:t>
      </w:r>
      <w:r w:rsidRPr="00437279">
        <w:t xml:space="preserve">gulatory support to the Utah Committee of Consumer Services regarding PacifiCorp’s 2003 Utah General Rate Case Docket # 03-2035-02.  </w:t>
      </w:r>
    </w:p>
    <w:p w14:paraId="641AAEF6" w14:textId="77777777" w:rsidR="00400085" w:rsidRPr="00437279" w:rsidRDefault="00400085" w:rsidP="00400085">
      <w:pPr>
        <w:pStyle w:val="BodyTextIndent"/>
        <w:widowControl/>
        <w:numPr>
          <w:ilvl w:val="0"/>
          <w:numId w:val="19"/>
        </w:numPr>
        <w:tabs>
          <w:tab w:val="left" w:pos="-4950"/>
          <w:tab w:val="left" w:pos="0"/>
        </w:tabs>
        <w:suppressAutoHyphens/>
        <w:spacing w:after="100"/>
      </w:pPr>
      <w:r w:rsidRPr="00437279">
        <w:t xml:space="preserve">2004 </w:t>
      </w:r>
      <w:r>
        <w:t xml:space="preserve">– Assistance </w:t>
      </w:r>
      <w:r w:rsidRPr="00437279">
        <w:t xml:space="preserve">to the Utah Committee of Consumer Services to analyze a series of power purchase agreements and special contracts between PacifiCorp and several of its industrial customers. </w:t>
      </w:r>
    </w:p>
    <w:p w14:paraId="6EB6FA3E" w14:textId="77777777" w:rsidR="00400085" w:rsidRPr="00437279" w:rsidRDefault="00400085" w:rsidP="00400085">
      <w:pPr>
        <w:pStyle w:val="BodyTextIndent"/>
        <w:widowControl/>
        <w:numPr>
          <w:ilvl w:val="0"/>
          <w:numId w:val="19"/>
        </w:numPr>
        <w:tabs>
          <w:tab w:val="left" w:pos="-4950"/>
          <w:tab w:val="left" w:pos="0"/>
        </w:tabs>
        <w:suppressAutoHyphens/>
        <w:spacing w:after="100"/>
      </w:pPr>
      <w:r>
        <w:t xml:space="preserve">2005 - </w:t>
      </w:r>
      <w:r w:rsidRPr="00437279">
        <w:t>Worked on behalf of the Utah Committee of Consumer Services to help analyze PacifiCorp’s restructuring proposals.</w:t>
      </w:r>
    </w:p>
    <w:p w14:paraId="7CAB056B" w14:textId="77777777" w:rsidR="00400085" w:rsidRPr="00437279" w:rsidRDefault="00400085" w:rsidP="00400085">
      <w:pPr>
        <w:pStyle w:val="BodyTextIndent"/>
        <w:widowControl/>
        <w:numPr>
          <w:ilvl w:val="0"/>
          <w:numId w:val="19"/>
        </w:numPr>
        <w:tabs>
          <w:tab w:val="left" w:pos="-2790"/>
          <w:tab w:val="left" w:pos="720"/>
        </w:tabs>
        <w:suppressAutoHyphens/>
        <w:spacing w:after="100"/>
        <w:jc w:val="left"/>
      </w:pPr>
      <w:r>
        <w:t xml:space="preserve">2005 - </w:t>
      </w:r>
      <w:r w:rsidRPr="00437279">
        <w:t>Assisted the Utah Committee of Consumer Services by evaluating PacifiCorp’s 2005 IRP and assisted in writing comments that were filed with the Commission.</w:t>
      </w:r>
    </w:p>
    <w:p w14:paraId="47FBE576" w14:textId="77777777" w:rsidR="00400085" w:rsidRPr="00437279" w:rsidRDefault="00400085" w:rsidP="00400085">
      <w:pPr>
        <w:pStyle w:val="BodyTextIndent"/>
        <w:widowControl/>
        <w:numPr>
          <w:ilvl w:val="0"/>
          <w:numId w:val="19"/>
        </w:numPr>
        <w:tabs>
          <w:tab w:val="left" w:pos="-2790"/>
          <w:tab w:val="left" w:pos="720"/>
        </w:tabs>
        <w:suppressAutoHyphens/>
        <w:spacing w:after="100"/>
        <w:jc w:val="left"/>
      </w:pPr>
      <w:r>
        <w:t xml:space="preserve">2007 - </w:t>
      </w:r>
      <w:r w:rsidRPr="00437279">
        <w:t>Assisted the Utah Committee of Consumer Services to evaluate PacifiCorp’s 2007 IRP.</w:t>
      </w:r>
    </w:p>
    <w:p w14:paraId="259EC8FE" w14:textId="77777777" w:rsidR="00400085" w:rsidRPr="00437279" w:rsidRDefault="00400085" w:rsidP="00400085">
      <w:pPr>
        <w:pStyle w:val="BodyTextIndent"/>
        <w:widowControl/>
        <w:numPr>
          <w:ilvl w:val="0"/>
          <w:numId w:val="19"/>
        </w:numPr>
        <w:tabs>
          <w:tab w:val="left" w:pos="-2790"/>
          <w:tab w:val="left" w:pos="720"/>
        </w:tabs>
        <w:suppressAutoHyphens/>
        <w:spacing w:after="100"/>
        <w:jc w:val="left"/>
      </w:pPr>
      <w:r>
        <w:t xml:space="preserve">2007 - </w:t>
      </w:r>
      <w:r w:rsidRPr="00437279">
        <w:t xml:space="preserve">Conducted an investigation of the Southern Company interchange accounting and fuel accounting practices on behalf of the </w:t>
      </w:r>
      <w:r>
        <w:t>Georgia Public Service Commission Staff</w:t>
      </w:r>
      <w:r w:rsidRPr="00437279">
        <w:t xml:space="preserve"> (Docket 21162-U).</w:t>
      </w:r>
    </w:p>
    <w:p w14:paraId="57918C0B" w14:textId="77777777" w:rsidR="00400085" w:rsidRPr="00437279" w:rsidRDefault="00400085" w:rsidP="00400085">
      <w:pPr>
        <w:pStyle w:val="BodyTextIndent"/>
        <w:widowControl/>
        <w:numPr>
          <w:ilvl w:val="0"/>
          <w:numId w:val="19"/>
        </w:numPr>
        <w:tabs>
          <w:tab w:val="left" w:pos="-3150"/>
          <w:tab w:val="left" w:pos="720"/>
        </w:tabs>
        <w:suppressAutoHyphens/>
        <w:spacing w:after="100"/>
        <w:jc w:val="left"/>
      </w:pPr>
      <w:r>
        <w:t>2008 - Assisted</w:t>
      </w:r>
      <w:r w:rsidRPr="00437279">
        <w:t xml:space="preserve"> the Louisiana Public Service Commission Staff with the review and evaluation of Cleco Power’s 2008 Short Term RFP and its 2010 Long-Term RFP. </w:t>
      </w:r>
    </w:p>
    <w:p w14:paraId="05B65EB0" w14:textId="77777777" w:rsidR="00400085" w:rsidRDefault="00400085" w:rsidP="00400085">
      <w:pPr>
        <w:pStyle w:val="BodyTextIndent"/>
        <w:widowControl/>
        <w:numPr>
          <w:ilvl w:val="0"/>
          <w:numId w:val="19"/>
        </w:numPr>
        <w:tabs>
          <w:tab w:val="left" w:pos="-2790"/>
          <w:tab w:val="left" w:pos="720"/>
        </w:tabs>
        <w:suppressAutoHyphens/>
        <w:spacing w:after="100"/>
        <w:jc w:val="left"/>
      </w:pPr>
      <w:r>
        <w:t xml:space="preserve">2008 - </w:t>
      </w:r>
      <w:r w:rsidRPr="00437279">
        <w:t>Assisted the Utah Committee of Consumer Services by participating in a collaborative process to develop an avoided cost tariff for large QFs.</w:t>
      </w:r>
    </w:p>
    <w:p w14:paraId="405B2D80" w14:textId="77777777" w:rsidR="00400085" w:rsidRPr="00437279" w:rsidRDefault="00400085" w:rsidP="00400085">
      <w:pPr>
        <w:pStyle w:val="BodyTextIndent"/>
        <w:widowControl/>
        <w:numPr>
          <w:ilvl w:val="0"/>
          <w:numId w:val="19"/>
        </w:numPr>
        <w:tabs>
          <w:tab w:val="left" w:pos="-3150"/>
          <w:tab w:val="left" w:pos="720"/>
        </w:tabs>
        <w:suppressAutoHyphens/>
        <w:spacing w:after="100"/>
        <w:jc w:val="left"/>
      </w:pPr>
      <w:r>
        <w:t xml:space="preserve">2008 - </w:t>
      </w:r>
      <w:r w:rsidRPr="00437279">
        <w:t>Assisted the Louisiana Public Service Commission Staff with a rulemaking for the opportunity to implement a Renewable Portfolio Standard in Louisiana. (Docket No. R-28271 Sub-Docket B)</w:t>
      </w:r>
    </w:p>
    <w:p w14:paraId="04ED5DBF" w14:textId="77777777" w:rsidR="00400085" w:rsidRDefault="00400085" w:rsidP="00400085">
      <w:pPr>
        <w:pStyle w:val="BodyTextIndent"/>
        <w:widowControl/>
        <w:numPr>
          <w:ilvl w:val="0"/>
          <w:numId w:val="19"/>
        </w:numPr>
        <w:tabs>
          <w:tab w:val="left" w:pos="-2790"/>
        </w:tabs>
        <w:suppressAutoHyphens/>
        <w:spacing w:after="100"/>
      </w:pPr>
      <w:r>
        <w:t>April 2011 – Initial Expert Report, Civil Action No. 2:10-cv-13101-BAF-RSW, on behalf of the Department of Justice in US District Court, United States v.Detroit Edison</w:t>
      </w:r>
    </w:p>
    <w:p w14:paraId="21321E7D" w14:textId="77777777" w:rsidR="00400085" w:rsidRDefault="00400085" w:rsidP="00400085">
      <w:pPr>
        <w:pStyle w:val="BodyTextIndent"/>
        <w:widowControl/>
        <w:numPr>
          <w:ilvl w:val="0"/>
          <w:numId w:val="19"/>
        </w:numPr>
        <w:tabs>
          <w:tab w:val="left" w:pos="-2790"/>
        </w:tabs>
        <w:suppressAutoHyphens/>
        <w:spacing w:after="100"/>
      </w:pPr>
      <w:r>
        <w:t>June 2011 – Rebuttal Expert Report, Civil Action No. 2:10-cv-13101-BAF-RSW, on behalf of the Department of Justice in US District Court, United States Detroit Edison</w:t>
      </w:r>
    </w:p>
    <w:p w14:paraId="1AC85A6F" w14:textId="77777777" w:rsidR="00400085" w:rsidRDefault="00400085" w:rsidP="00400085">
      <w:pPr>
        <w:pStyle w:val="BodyTextIndent"/>
        <w:widowControl/>
        <w:numPr>
          <w:ilvl w:val="0"/>
          <w:numId w:val="18"/>
        </w:numPr>
        <w:tabs>
          <w:tab w:val="left" w:pos="-2790"/>
          <w:tab w:val="left" w:pos="720"/>
        </w:tabs>
        <w:suppressAutoHyphens/>
        <w:spacing w:after="100"/>
        <w:ind w:left="1080"/>
        <w:jc w:val="left"/>
      </w:pPr>
      <w:r>
        <w:t>2011 - Assisted</w:t>
      </w:r>
      <w:r w:rsidRPr="00437279">
        <w:t xml:space="preserve"> the Georgia Public Service Commission Staff to investigate the acquisition of additional coal and combustion turbine capacity currently wholesale capacity (Docket 26550).</w:t>
      </w:r>
    </w:p>
    <w:p w14:paraId="13421092" w14:textId="77777777" w:rsidR="00400085" w:rsidRDefault="00400085" w:rsidP="00400085">
      <w:pPr>
        <w:pStyle w:val="BodyTextIndent"/>
        <w:widowControl/>
        <w:numPr>
          <w:ilvl w:val="0"/>
          <w:numId w:val="18"/>
        </w:numPr>
        <w:tabs>
          <w:tab w:val="left" w:pos="-2790"/>
          <w:tab w:val="left" w:pos="720"/>
        </w:tabs>
        <w:suppressAutoHyphens/>
        <w:spacing w:after="100"/>
        <w:ind w:left="1080"/>
        <w:jc w:val="left"/>
      </w:pPr>
      <w:r w:rsidRPr="00741E2A">
        <w:lastRenderedPageBreak/>
        <w:t xml:space="preserve">2012 - </w:t>
      </w:r>
      <w:r w:rsidRPr="00437279">
        <w:t>Assisted the Louisiana Public Service Commission Staff with a rulemaking to design Integrated Resource Planning (“IRP”) rules. (Docket No. R-30021)</w:t>
      </w:r>
    </w:p>
    <w:p w14:paraId="68826603" w14:textId="77777777" w:rsidR="00400085" w:rsidRDefault="00400085" w:rsidP="00400085">
      <w:pPr>
        <w:pStyle w:val="BodyTextIndent"/>
        <w:widowControl/>
        <w:numPr>
          <w:ilvl w:val="0"/>
          <w:numId w:val="18"/>
        </w:numPr>
        <w:tabs>
          <w:tab w:val="left" w:pos="-2790"/>
          <w:tab w:val="left" w:pos="720"/>
        </w:tabs>
        <w:suppressAutoHyphens/>
        <w:spacing w:after="100"/>
        <w:ind w:left="1080"/>
        <w:jc w:val="left"/>
      </w:pPr>
      <w:r>
        <w:t xml:space="preserve">December 2013 – Expert Report, </w:t>
      </w:r>
      <w:r w:rsidRPr="0037523B">
        <w:rPr>
          <w:bCs/>
        </w:rPr>
        <w:t xml:space="preserve">Civil action no. 4:11-cv-00077-RWS, on </w:t>
      </w:r>
      <w:r>
        <w:t xml:space="preserve">behalf of the Department of Justice in US District Court, United States v. Ameren Missouri. </w:t>
      </w:r>
    </w:p>
    <w:p w14:paraId="6D906B09" w14:textId="77777777" w:rsidR="00400085" w:rsidRDefault="00400085" w:rsidP="00400085">
      <w:pPr>
        <w:pStyle w:val="BodyTextIndent"/>
        <w:ind w:left="0"/>
        <w:rPr>
          <w:b/>
          <w:bCs/>
          <w:spacing w:val="-2"/>
          <w:u w:val="single"/>
        </w:rPr>
      </w:pPr>
    </w:p>
    <w:p w14:paraId="58673254" w14:textId="77777777" w:rsidR="00400085" w:rsidRPr="00437279" w:rsidRDefault="00400085" w:rsidP="00400085">
      <w:pPr>
        <w:tabs>
          <w:tab w:val="left" w:pos="0"/>
        </w:tabs>
        <w:suppressAutoHyphens/>
        <w:rPr>
          <w:b/>
          <w:bCs/>
          <w:spacing w:val="-2"/>
          <w:u w:val="single"/>
        </w:rPr>
      </w:pPr>
      <w:r w:rsidRPr="00437279">
        <w:rPr>
          <w:b/>
          <w:bCs/>
          <w:spacing w:val="-2"/>
          <w:u w:val="single"/>
        </w:rPr>
        <w:t>PUBLICATIONS</w:t>
      </w:r>
      <w:r>
        <w:rPr>
          <w:b/>
          <w:bCs/>
          <w:spacing w:val="-2"/>
          <w:u w:val="single"/>
        </w:rPr>
        <w:t xml:space="preserve"> AND PRESENTATIONS</w:t>
      </w:r>
    </w:p>
    <w:p w14:paraId="0A029650" w14:textId="77777777" w:rsidR="00400085" w:rsidRDefault="00400085" w:rsidP="00400085">
      <w:pPr>
        <w:pStyle w:val="BodyTextIndent"/>
        <w:widowControl/>
        <w:tabs>
          <w:tab w:val="left" w:pos="-2790"/>
          <w:tab w:val="left" w:pos="0"/>
        </w:tabs>
        <w:suppressAutoHyphens/>
        <w:spacing w:after="100"/>
        <w:ind w:left="0"/>
        <w:jc w:val="left"/>
        <w:rPr>
          <w:b/>
        </w:rPr>
      </w:pPr>
    </w:p>
    <w:p w14:paraId="204D2DB7" w14:textId="77777777" w:rsidR="00400085" w:rsidRPr="00AC5561" w:rsidRDefault="00400085" w:rsidP="00400085">
      <w:pPr>
        <w:pStyle w:val="BodyTextIndent"/>
        <w:widowControl/>
        <w:tabs>
          <w:tab w:val="left" w:pos="-2790"/>
          <w:tab w:val="left" w:pos="0"/>
        </w:tabs>
        <w:suppressAutoHyphens/>
        <w:spacing w:after="100"/>
        <w:ind w:left="0"/>
        <w:jc w:val="left"/>
      </w:pPr>
      <w:r w:rsidRPr="005718C8">
        <w:rPr>
          <w:b/>
        </w:rPr>
        <w:t>Co-authored</w:t>
      </w:r>
      <w:r>
        <w:t xml:space="preserve"> “Review of EPA’s Section 111(d) CO</w:t>
      </w:r>
      <w:r w:rsidRPr="005718C8">
        <w:rPr>
          <w:vertAlign w:val="subscript"/>
        </w:rPr>
        <w:t>2</w:t>
      </w:r>
      <w:r>
        <w:t xml:space="preserve"> Emission Rate Goals for the State of Montana, on behalf of the Montana Large Customer Group, October 2014.</w:t>
      </w:r>
    </w:p>
    <w:p w14:paraId="4BDF973A" w14:textId="77777777" w:rsidR="00400085" w:rsidRPr="00437279" w:rsidRDefault="00400085" w:rsidP="00400085">
      <w:pPr>
        <w:tabs>
          <w:tab w:val="left" w:pos="0"/>
        </w:tabs>
        <w:suppressAutoHyphens/>
        <w:spacing w:after="100"/>
        <w:rPr>
          <w:b/>
          <w:bCs/>
          <w:spacing w:val="-2"/>
        </w:rPr>
      </w:pPr>
      <w:r w:rsidRPr="00437279">
        <w:rPr>
          <w:b/>
          <w:bCs/>
          <w:spacing w:val="-2"/>
        </w:rPr>
        <w:t xml:space="preserve">Authored </w:t>
      </w:r>
      <w:r w:rsidRPr="00437279">
        <w:rPr>
          <w:spacing w:val="-2"/>
        </w:rPr>
        <w:t>“Singapore’s Developing Power Market”, which appeared in the July/August 1999 edition of Power Value Magazine</w:t>
      </w:r>
    </w:p>
    <w:p w14:paraId="5BB96C6D" w14:textId="77777777" w:rsidR="00400085" w:rsidRPr="00437279" w:rsidRDefault="00400085" w:rsidP="00400085">
      <w:pPr>
        <w:tabs>
          <w:tab w:val="left" w:pos="0"/>
        </w:tabs>
        <w:suppressAutoHyphens/>
        <w:spacing w:after="100"/>
        <w:rPr>
          <w:spacing w:val="-2"/>
        </w:rPr>
      </w:pPr>
      <w:r w:rsidRPr="00437279">
        <w:rPr>
          <w:b/>
          <w:bCs/>
          <w:spacing w:val="-2"/>
        </w:rPr>
        <w:t xml:space="preserve">Co-authored </w:t>
      </w:r>
      <w:r w:rsidRPr="00437279">
        <w:rPr>
          <w:spacing w:val="-2"/>
        </w:rPr>
        <w:t xml:space="preserve">“The New Energy Services Industry – Part 1”, which appeared in the January/February 1999 edition of Power Value Magazine. </w:t>
      </w:r>
    </w:p>
    <w:p w14:paraId="73818210" w14:textId="77777777" w:rsidR="00400085" w:rsidRPr="00437279" w:rsidRDefault="00400085" w:rsidP="00400085">
      <w:pPr>
        <w:tabs>
          <w:tab w:val="left" w:pos="0"/>
        </w:tabs>
        <w:suppressAutoHyphens/>
        <w:spacing w:after="100"/>
        <w:rPr>
          <w:spacing w:val="-2"/>
        </w:rPr>
      </w:pPr>
      <w:r w:rsidRPr="00437279">
        <w:rPr>
          <w:b/>
          <w:bCs/>
          <w:spacing w:val="-2"/>
        </w:rPr>
        <w:t xml:space="preserve">Co-authored and Presented </w:t>
      </w:r>
      <w:r w:rsidRPr="00437279">
        <w:rPr>
          <w:spacing w:val="-2"/>
        </w:rPr>
        <w:t>“Evaluation of a Large Number of Demand-Side Measures in the IRP Process: Florida Power Corporation’s Experience”, Presented at the 3rd International Energy and DSM Conference, Vancouver British Columbia, November 1994</w:t>
      </w:r>
    </w:p>
    <w:p w14:paraId="4A67924D" w14:textId="77777777" w:rsidR="00400085" w:rsidRDefault="00400085" w:rsidP="00400085">
      <w:pPr>
        <w:tabs>
          <w:tab w:val="left" w:pos="0"/>
        </w:tabs>
        <w:suppressAutoHyphens/>
        <w:spacing w:after="100"/>
        <w:rPr>
          <w:spacing w:val="-2"/>
        </w:rPr>
      </w:pPr>
      <w:r w:rsidRPr="00437279">
        <w:rPr>
          <w:b/>
          <w:bCs/>
          <w:spacing w:val="-2"/>
        </w:rPr>
        <w:t xml:space="preserve">Co-authored </w:t>
      </w:r>
      <w:r w:rsidRPr="00437279">
        <w:rPr>
          <w:spacing w:val="-2"/>
        </w:rPr>
        <w:t>“Impact of DSM Program on Delmarva’s Integrated Resource Plan”, Published in the 4th International Energy and DSM Conference Proceedings, held in Berlin, Germany, 1995</w:t>
      </w:r>
    </w:p>
    <w:p w14:paraId="026482CC" w14:textId="77777777" w:rsidR="00400085" w:rsidRDefault="00400085" w:rsidP="001372C2">
      <w:pPr>
        <w:tabs>
          <w:tab w:val="left" w:pos="0"/>
        </w:tabs>
        <w:suppressAutoHyphens/>
        <w:spacing w:after="100"/>
        <w:rPr>
          <w:spacing w:val="-2"/>
        </w:rPr>
      </w:pPr>
      <w:r w:rsidRPr="00386085">
        <w:rPr>
          <w:b/>
          <w:spacing w:val="-2"/>
        </w:rPr>
        <w:t xml:space="preserve">Presentation </w:t>
      </w:r>
      <w:r>
        <w:rPr>
          <w:spacing w:val="-2"/>
        </w:rPr>
        <w:t>– Law Seminars International, Electric Utility Rate Cases, Case Study of the Louisiana Public Service Commission’s Quick Start Energy Efficiency Program, March 201</w:t>
      </w:r>
      <w:r w:rsidR="001372C2">
        <w:rPr>
          <w:spacing w:val="-2"/>
        </w:rPr>
        <w:t xml:space="preserve">5.  </w:t>
      </w:r>
    </w:p>
    <w:p w14:paraId="64FA7205" w14:textId="77777777" w:rsidR="00400085" w:rsidRPr="00F1375B" w:rsidRDefault="00400085" w:rsidP="00400085"/>
    <w:sectPr w:rsidR="00400085" w:rsidRPr="00F1375B" w:rsidSect="00DA56AC">
      <w:headerReference w:type="default" r:id="rId26"/>
      <w:footerReference w:type="default" r:id="rId27"/>
      <w:endnotePr>
        <w:numFmt w:val="decimal"/>
      </w:endnotePr>
      <w:pgSz w:w="12240" w:h="15840" w:code="1"/>
      <w:pgMar w:top="1440" w:right="1440" w:bottom="1728" w:left="1440" w:header="144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5501" w14:textId="77777777" w:rsidR="00C00486" w:rsidRDefault="00C00486" w:rsidP="00BC0A1E">
      <w:r>
        <w:separator/>
      </w:r>
    </w:p>
  </w:endnote>
  <w:endnote w:type="continuationSeparator" w:id="0">
    <w:p w14:paraId="2104504F" w14:textId="77777777" w:rsidR="00C00486" w:rsidRDefault="00C00486" w:rsidP="00BC0A1E">
      <w:r>
        <w:continuationSeparator/>
      </w:r>
    </w:p>
  </w:endnote>
  <w:endnote w:type="continuationNotice" w:id="1">
    <w:p w14:paraId="6711324C" w14:textId="77777777" w:rsidR="00C00486" w:rsidRDefault="00C0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C5E7" w14:textId="77777777" w:rsidR="000A67AA" w:rsidRDefault="000A67AA">
    <w:pPr>
      <w:pStyle w:val="Footer"/>
      <w:jc w:val="center"/>
    </w:pPr>
    <w:r>
      <w:fldChar w:fldCharType="begin"/>
    </w:r>
    <w:r>
      <w:instrText xml:space="preserve"> PAGE   \* MERGEFORMAT </w:instrText>
    </w:r>
    <w:r>
      <w:fldChar w:fldCharType="separate"/>
    </w:r>
    <w:r>
      <w:rPr>
        <w:noProof/>
      </w:rPr>
      <w:t>21</w:t>
    </w:r>
    <w:r>
      <w:rPr>
        <w:noProof/>
      </w:rPr>
      <w:fldChar w:fldCharType="end"/>
    </w:r>
  </w:p>
  <w:p w14:paraId="2FE60829" w14:textId="77777777" w:rsidR="000A67AA" w:rsidRPr="00F1375B" w:rsidRDefault="000A67AA" w:rsidP="00F137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C821" w14:textId="74B9D688" w:rsidR="000A67AA" w:rsidRDefault="000A67AA">
    <w:pPr>
      <w:pStyle w:val="Footer"/>
      <w:jc w:val="center"/>
    </w:pPr>
    <w:r>
      <w:fldChar w:fldCharType="begin"/>
    </w:r>
    <w:r>
      <w:instrText xml:space="preserve"> PAGE   \* MERGEFORMAT </w:instrText>
    </w:r>
    <w:r>
      <w:fldChar w:fldCharType="separate"/>
    </w:r>
    <w:r w:rsidR="005F1675">
      <w:rPr>
        <w:noProof/>
      </w:rPr>
      <w:t>1</w:t>
    </w:r>
    <w:r>
      <w:rPr>
        <w:noProof/>
      </w:rPr>
      <w:fldChar w:fldCharType="end"/>
    </w:r>
  </w:p>
  <w:p w14:paraId="166A715C" w14:textId="77777777" w:rsidR="000A67AA" w:rsidRDefault="000A67AA" w:rsidP="0045556F">
    <w:pPr>
      <w:pStyle w:val="Footer"/>
      <w:tabs>
        <w:tab w:val="clear" w:pos="4320"/>
        <w:tab w:val="clear" w:pos="8640"/>
        <w:tab w:val="left" w:pos="681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7DD5" w14:textId="276B2D07" w:rsidR="000A67AA" w:rsidRDefault="000A67AA" w:rsidP="004352DB">
    <w:pPr>
      <w:pStyle w:val="Footer"/>
      <w:jc w:val="center"/>
    </w:pPr>
    <w:r>
      <w:fldChar w:fldCharType="begin"/>
    </w:r>
    <w:r>
      <w:instrText xml:space="preserve"> PAGE   \* MERGEFORMAT </w:instrText>
    </w:r>
    <w:r>
      <w:fldChar w:fldCharType="separate"/>
    </w:r>
    <w:r w:rsidR="005F1675">
      <w:rPr>
        <w:noProof/>
      </w:rPr>
      <w:t>20</w:t>
    </w:r>
    <w:r>
      <w:rPr>
        <w:noProof/>
      </w:rPr>
      <w:fldChar w:fldCharType="end"/>
    </w:r>
  </w:p>
  <w:p w14:paraId="4FE7163D" w14:textId="77777777" w:rsidR="000A67AA" w:rsidRDefault="000A67AA" w:rsidP="004352DB">
    <w:pPr>
      <w:pStyle w:val="Footer"/>
      <w:tabs>
        <w:tab w:val="clear" w:pos="4320"/>
        <w:tab w:val="clear" w:pos="8640"/>
        <w:tab w:val="left" w:pos="6810"/>
      </w:tabs>
    </w:pPr>
  </w:p>
  <w:p w14:paraId="6F4D1566" w14:textId="77777777" w:rsidR="000A67AA" w:rsidRPr="004352DB" w:rsidRDefault="000A67AA" w:rsidP="004352D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868D" w14:textId="77777777" w:rsidR="000A67AA" w:rsidRDefault="000A67AA" w:rsidP="0045556F">
    <w:pPr>
      <w:pStyle w:val="Footer"/>
      <w:tabs>
        <w:tab w:val="clear" w:pos="4320"/>
        <w:tab w:val="clear" w:pos="8640"/>
        <w:tab w:val="left" w:pos="681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616A5" w14:textId="46099A47" w:rsidR="000A67AA" w:rsidRDefault="000A67AA">
    <w:pPr>
      <w:pStyle w:val="Footer"/>
      <w:jc w:val="center"/>
    </w:pPr>
    <w:r>
      <w:fldChar w:fldCharType="begin"/>
    </w:r>
    <w:r>
      <w:instrText xml:space="preserve"> PAGE   \* MERGEFORMAT </w:instrText>
    </w:r>
    <w:r>
      <w:fldChar w:fldCharType="separate"/>
    </w:r>
    <w:r w:rsidR="005F1675">
      <w:rPr>
        <w:noProof/>
      </w:rPr>
      <w:t>2</w:t>
    </w:r>
    <w:r>
      <w:rPr>
        <w:noProof/>
      </w:rPr>
      <w:fldChar w:fldCharType="end"/>
    </w:r>
  </w:p>
  <w:p w14:paraId="6A2F602D" w14:textId="77777777" w:rsidR="000A67AA" w:rsidRPr="00F1375B" w:rsidRDefault="000A67AA" w:rsidP="00F1375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24E1" w14:textId="77777777" w:rsidR="000A67AA" w:rsidRPr="009312F4" w:rsidRDefault="000A67AA" w:rsidP="00F1375B">
    <w:pPr>
      <w:pStyle w:val="Footer"/>
      <w:jc w:val="right"/>
      <w:rPr>
        <w:sz w:val="20"/>
        <w:szCs w:val="20"/>
      </w:rPr>
    </w:pPr>
    <w:r w:rsidRPr="009312F4">
      <w:rPr>
        <w:sz w:val="20"/>
        <w:szCs w:val="20"/>
      </w:rPr>
      <w:t>_________________________________________</w:t>
    </w:r>
  </w:p>
  <w:p w14:paraId="61EFCBDD" w14:textId="77777777" w:rsidR="000A67AA" w:rsidRPr="00F1375B" w:rsidRDefault="000A67AA" w:rsidP="00F1375B">
    <w:pPr>
      <w:pStyle w:val="Footer"/>
      <w:jc w:val="right"/>
      <w:rPr>
        <w:sz w:val="20"/>
        <w:szCs w:val="20"/>
      </w:rPr>
    </w:pPr>
    <w:r w:rsidRPr="009312F4">
      <w:rPr>
        <w:i/>
        <w:sz w:val="20"/>
        <w:szCs w:val="20"/>
      </w:rPr>
      <w:t>J. Kennedy and Associates, Inc.</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8E7E" w14:textId="77777777" w:rsidR="000A67AA" w:rsidRDefault="000A67AA" w:rsidP="0045556F">
    <w:pPr>
      <w:pStyle w:val="Footer"/>
      <w:tabs>
        <w:tab w:val="clear" w:pos="4320"/>
        <w:tab w:val="clear" w:pos="8640"/>
        <w:tab w:val="left" w:pos="681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2FDB" w14:textId="77777777" w:rsidR="000A67AA" w:rsidRPr="009312F4" w:rsidRDefault="000A67AA" w:rsidP="00DA56AC">
    <w:pPr>
      <w:pStyle w:val="Footer"/>
      <w:jc w:val="right"/>
      <w:rPr>
        <w:sz w:val="20"/>
        <w:szCs w:val="20"/>
      </w:rPr>
    </w:pPr>
    <w:r w:rsidRPr="009312F4">
      <w:rPr>
        <w:sz w:val="20"/>
        <w:szCs w:val="20"/>
      </w:rPr>
      <w:t>_________________________________________</w:t>
    </w:r>
  </w:p>
  <w:p w14:paraId="41C6B0B0" w14:textId="77777777" w:rsidR="000A67AA" w:rsidRPr="009312F4" w:rsidRDefault="000A67AA" w:rsidP="00DA56AC">
    <w:pPr>
      <w:pStyle w:val="Footer"/>
      <w:jc w:val="right"/>
      <w:rPr>
        <w:sz w:val="20"/>
        <w:szCs w:val="20"/>
      </w:rPr>
    </w:pPr>
    <w:r w:rsidRPr="009312F4">
      <w:rPr>
        <w:i/>
        <w:sz w:val="20"/>
        <w:szCs w:val="20"/>
      </w:rPr>
      <w:t>J. Kennedy and Associates, Inc.</w:t>
    </w:r>
  </w:p>
  <w:p w14:paraId="7E751864" w14:textId="77777777" w:rsidR="000A67AA" w:rsidRDefault="000A67AA" w:rsidP="006132C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6A4D4" w14:textId="77777777" w:rsidR="00C00486" w:rsidRDefault="00C00486" w:rsidP="00BC0A1E">
      <w:r>
        <w:separator/>
      </w:r>
    </w:p>
  </w:footnote>
  <w:footnote w:type="continuationSeparator" w:id="0">
    <w:p w14:paraId="4746E515" w14:textId="77777777" w:rsidR="00C00486" w:rsidRDefault="00C00486" w:rsidP="00BC0A1E">
      <w:r>
        <w:continuationSeparator/>
      </w:r>
    </w:p>
  </w:footnote>
  <w:footnote w:type="continuationNotice" w:id="1">
    <w:p w14:paraId="79C80EA6" w14:textId="77777777" w:rsidR="00C00486" w:rsidRDefault="00C00486"/>
  </w:footnote>
  <w:footnote w:id="2">
    <w:p w14:paraId="1CFC9544" w14:textId="77777777" w:rsidR="000A67AA" w:rsidRPr="00AF7AA3" w:rsidRDefault="000A67AA" w:rsidP="00912A79">
      <w:pPr>
        <w:widowControl/>
        <w:autoSpaceDE w:val="0"/>
        <w:autoSpaceDN w:val="0"/>
        <w:adjustRightInd w:val="0"/>
        <w:ind w:left="180" w:hanging="180"/>
        <w:rPr>
          <w:sz w:val="20"/>
          <w:szCs w:val="20"/>
        </w:rPr>
      </w:pPr>
      <w:r w:rsidRPr="00AF7AA3">
        <w:rPr>
          <w:rStyle w:val="FootnoteReference"/>
          <w:sz w:val="20"/>
          <w:szCs w:val="20"/>
        </w:rPr>
        <w:footnoteRef/>
      </w:r>
      <w:r w:rsidRPr="00AF7AA3">
        <w:rPr>
          <w:sz w:val="20"/>
          <w:szCs w:val="20"/>
        </w:rPr>
        <w:t xml:space="preserve"> </w:t>
      </w:r>
      <w:r>
        <w:rPr>
          <w:sz w:val="20"/>
          <w:szCs w:val="20"/>
        </w:rPr>
        <w:tab/>
        <w:t xml:space="preserve">At Georgia Power’s November 12, 2019 Direct Testimony hearing, Company witness Kuczynski discussed that a portion of the $366 million contingency amount has now been allocated (about $30 million), and he stated, “…we still expect that the remaining balance of contingency will be allocated by the completion of the project…”  </w:t>
      </w:r>
      <w:r w:rsidRPr="00AF7AA3">
        <w:rPr>
          <w:sz w:val="20"/>
          <w:szCs w:val="20"/>
        </w:rPr>
        <w:t>The Company also state</w:t>
      </w:r>
      <w:r>
        <w:rPr>
          <w:sz w:val="20"/>
          <w:szCs w:val="20"/>
        </w:rPr>
        <w:t>d</w:t>
      </w:r>
      <w:r w:rsidRPr="00AF7AA3">
        <w:rPr>
          <w:sz w:val="20"/>
          <w:szCs w:val="20"/>
        </w:rPr>
        <w:t xml:space="preserve"> in its VCM 20/21 Report</w:t>
      </w:r>
      <w:r>
        <w:rPr>
          <w:sz w:val="20"/>
          <w:szCs w:val="20"/>
        </w:rPr>
        <w:t xml:space="preserve"> at pg. 4</w:t>
      </w:r>
      <w:r w:rsidRPr="00AF7AA3">
        <w:rPr>
          <w:sz w:val="20"/>
          <w:szCs w:val="20"/>
        </w:rPr>
        <w:t xml:space="preserve">, </w:t>
      </w:r>
      <w:r>
        <w:rPr>
          <w:sz w:val="20"/>
          <w:szCs w:val="20"/>
        </w:rPr>
        <w:t>“</w:t>
      </w:r>
      <w:r w:rsidRPr="00AF7AA3">
        <w:rPr>
          <w:sz w:val="20"/>
          <w:szCs w:val="20"/>
        </w:rPr>
        <w:t>The Company is not requesting Commission approval of these costs in this filing</w:t>
      </w:r>
      <w:r>
        <w:rPr>
          <w:sz w:val="20"/>
          <w:szCs w:val="20"/>
        </w:rPr>
        <w:t xml:space="preserve"> </w:t>
      </w:r>
      <w:r w:rsidRPr="00AF7AA3">
        <w:rPr>
          <w:sz w:val="20"/>
          <w:szCs w:val="20"/>
        </w:rPr>
        <w:t>but may request the Commission to evaluate expenditures allocated to contingency for rate</w:t>
      </w:r>
      <w:r>
        <w:rPr>
          <w:sz w:val="20"/>
          <w:szCs w:val="20"/>
        </w:rPr>
        <w:t xml:space="preserve"> </w:t>
      </w:r>
      <w:r w:rsidRPr="00AF7AA3">
        <w:rPr>
          <w:sz w:val="20"/>
          <w:szCs w:val="20"/>
        </w:rPr>
        <w:t>recovery as and when appropriate.</w:t>
      </w:r>
      <w:r>
        <w:rPr>
          <w:sz w:val="20"/>
          <w:szCs w:val="20"/>
        </w:rPr>
        <w:t>” The Company also recognized it would incur the $366 million of contingency in its SEC filings.</w:t>
      </w:r>
    </w:p>
  </w:footnote>
  <w:footnote w:id="3">
    <w:p w14:paraId="20F70136" w14:textId="77777777" w:rsidR="000A67AA" w:rsidRDefault="000A67AA" w:rsidP="001C3E30">
      <w:pPr>
        <w:pStyle w:val="FootnoteText"/>
        <w:ind w:left="180" w:hanging="180"/>
      </w:pPr>
      <w:r>
        <w:rPr>
          <w:rStyle w:val="FootnoteReference"/>
        </w:rPr>
        <w:footnoteRef/>
      </w:r>
      <w:r>
        <w:t xml:space="preserve"> Staff’s inclusion of the $366 million for economic modeling does not constitute an agreement by Staff that these costs should be recovered from ratepayers.</w:t>
      </w:r>
    </w:p>
  </w:footnote>
  <w:footnote w:id="4">
    <w:p w14:paraId="3EF62E3D" w14:textId="78459402" w:rsidR="000A67AA" w:rsidRPr="00135357" w:rsidRDefault="000A67AA" w:rsidP="000C5FF9">
      <w:pPr>
        <w:pStyle w:val="FootnoteText"/>
        <w:ind w:left="180" w:hanging="180"/>
      </w:pPr>
      <w:r w:rsidRPr="007341E9">
        <w:rPr>
          <w:rStyle w:val="FootnoteReference"/>
        </w:rPr>
        <w:footnoteRef/>
      </w:r>
      <w:r w:rsidRPr="007341E9">
        <w:t xml:space="preserve"> </w:t>
      </w:r>
      <w:r>
        <w:tab/>
      </w:r>
      <w:r w:rsidRPr="007341E9">
        <w:t>The $10.8 billion Total Project Cost is the net of the Toshiba Parental Guarantee</w:t>
      </w:r>
      <w:r>
        <w:t xml:space="preserve"> ($1.492 </w:t>
      </w:r>
      <w:r w:rsidR="00B76F06">
        <w:t>billion</w:t>
      </w:r>
      <w:r>
        <w:t>)</w:t>
      </w:r>
      <w:r w:rsidRPr="007341E9">
        <w:t xml:space="preserve"> that was applied as an offset to the construction balance and includes the return on equity (“ROE”) reductions provided in the Supplemental Information Review (“SIR”) stipulation and the 17</w:t>
      </w:r>
      <w:r w:rsidRPr="007341E9">
        <w:rPr>
          <w:vertAlign w:val="superscript"/>
        </w:rPr>
        <w:t>th</w:t>
      </w:r>
      <w:r w:rsidRPr="007341E9">
        <w:t xml:space="preserve"> VCM Order. The $10.8 billion Total Project Cost represents about an 80 percent increase from the Company’s projection of $6.1 billion at Certification.</w:t>
      </w:r>
    </w:p>
  </w:footnote>
  <w:footnote w:id="5">
    <w:p w14:paraId="0558A7CA" w14:textId="77777777" w:rsidR="000A67AA" w:rsidRDefault="000A67AA" w:rsidP="000C5FF9">
      <w:pPr>
        <w:pStyle w:val="FootnoteText"/>
        <w:ind w:left="180" w:hanging="180"/>
      </w:pPr>
      <w:r w:rsidRPr="00E202A7">
        <w:rPr>
          <w:rStyle w:val="FootnoteReference"/>
        </w:rPr>
        <w:footnoteRef/>
      </w:r>
      <w:r w:rsidRPr="00E202A7">
        <w:t xml:space="preserve"> </w:t>
      </w:r>
      <w:r>
        <w:tab/>
      </w:r>
      <w:r w:rsidRPr="00E202A7">
        <w:t>For example, the Company incurred approximately $137 million per month of capital and financing cost during the first nine months of 2019.</w:t>
      </w:r>
      <w:r>
        <w:t xml:space="preserve">  </w:t>
      </w:r>
    </w:p>
  </w:footnote>
  <w:footnote w:id="6">
    <w:p w14:paraId="1A8874B3" w14:textId="2B8D26F5" w:rsidR="000A67AA" w:rsidRDefault="000A67AA" w:rsidP="00946D5D">
      <w:pPr>
        <w:pStyle w:val="FootnoteText"/>
        <w:ind w:left="180" w:hanging="180"/>
      </w:pPr>
      <w:r>
        <w:rPr>
          <w:rStyle w:val="FootnoteReference"/>
        </w:rPr>
        <w:footnoteRef/>
      </w:r>
      <w:r>
        <w:t xml:space="preserve"> The $0.1 billion financing cost amount that was incurred prior to 2011 was recovered over the period of 2011 to 2015.</w:t>
      </w:r>
    </w:p>
  </w:footnote>
  <w:footnote w:id="7">
    <w:p w14:paraId="7FF1AE8C" w14:textId="77777777" w:rsidR="000A67AA" w:rsidRDefault="000A67AA" w:rsidP="00B73ED1">
      <w:pPr>
        <w:pStyle w:val="FootnoteText"/>
      </w:pPr>
      <w:r>
        <w:rPr>
          <w:rStyle w:val="FootnoteReference"/>
        </w:rPr>
        <w:footnoteRef/>
      </w:r>
      <w:r>
        <w:t xml:space="preserve"> Refer to Staff data requests 170-25 and 170-27.</w:t>
      </w:r>
    </w:p>
  </w:footnote>
  <w:footnote w:id="8">
    <w:p w14:paraId="75C2218C" w14:textId="77777777" w:rsidR="000A67AA" w:rsidRDefault="000A67AA" w:rsidP="00761514">
      <w:pPr>
        <w:pStyle w:val="FootnoteText"/>
        <w:ind w:left="180" w:hanging="180"/>
      </w:pPr>
      <w:r>
        <w:rPr>
          <w:rStyle w:val="FootnoteReference"/>
        </w:rPr>
        <w:footnoteRef/>
      </w:r>
      <w:r>
        <w:t xml:space="preserve"> The $5.19 billion capital cost value is net of the $1.49 billion Toshiba Parental Guarantee applied as an offset to the construction balance that otherwise would have been $6.68 billion.</w:t>
      </w:r>
    </w:p>
  </w:footnote>
  <w:footnote w:id="9">
    <w:p w14:paraId="338DFF42" w14:textId="77777777" w:rsidR="000A67AA" w:rsidRDefault="000A67AA" w:rsidP="00433E95">
      <w:pPr>
        <w:pStyle w:val="FootnoteText"/>
        <w:ind w:left="180" w:hanging="180"/>
      </w:pPr>
      <w:r>
        <w:rPr>
          <w:rStyle w:val="FootnoteReference"/>
        </w:rPr>
        <w:footnoteRef/>
      </w:r>
      <w:r>
        <w:t xml:space="preserve"> As previously discussed, Staff is including the $366 million in its capital cost estimate, so based on that the estimate of the remaining capital cost to be incurred is $2.48 billion rather than the $2.11 billion value the Company reported.</w:t>
      </w:r>
    </w:p>
  </w:footnote>
  <w:footnote w:id="10">
    <w:p w14:paraId="465FAB01" w14:textId="4DAA777D" w:rsidR="000A67AA" w:rsidRDefault="000A67AA">
      <w:pPr>
        <w:pStyle w:val="FootnoteText"/>
      </w:pPr>
      <w:r>
        <w:rPr>
          <w:rStyle w:val="FootnoteReference"/>
        </w:rPr>
        <w:footnoteRef/>
      </w:r>
      <w:r>
        <w:t xml:space="preserve"> This amounts to $2.2 billion on a 2018 NPV basis.</w:t>
      </w:r>
    </w:p>
  </w:footnote>
  <w:footnote w:id="11">
    <w:p w14:paraId="69864324" w14:textId="77777777" w:rsidR="000A67AA" w:rsidRDefault="000A67AA">
      <w:pPr>
        <w:pStyle w:val="FootnoteText"/>
      </w:pPr>
      <w:r>
        <w:rPr>
          <w:rStyle w:val="FootnoteReference"/>
        </w:rPr>
        <w:footnoteRef/>
      </w:r>
      <w:r>
        <w:t xml:space="preserve"> $1.2 billion = $5.9 billion write-off x 21% tax rate</w:t>
      </w:r>
    </w:p>
  </w:footnote>
  <w:footnote w:id="12">
    <w:p w14:paraId="5ECAB6CF" w14:textId="77777777" w:rsidR="000A67AA" w:rsidRPr="000407C0" w:rsidRDefault="000A67AA" w:rsidP="000C5FF9">
      <w:pPr>
        <w:pStyle w:val="FootnoteText"/>
        <w:ind w:left="270" w:hanging="270"/>
      </w:pPr>
      <w:r w:rsidRPr="00103CA1">
        <w:rPr>
          <w:rStyle w:val="FootnoteReference"/>
        </w:rPr>
        <w:footnoteRef/>
      </w:r>
      <w:r w:rsidRPr="00103CA1">
        <w:t xml:space="preserve"> </w:t>
      </w:r>
      <w:bookmarkStart w:id="16" w:name="_Hlk23943437"/>
      <w:r>
        <w:t>The $1.2 billion income tax benefit from canceling Vogtle would impact the cost to complete analysis by</w:t>
      </w:r>
      <w:r w:rsidRPr="000407C0">
        <w:t xml:space="preserve"> </w:t>
      </w:r>
      <w:r w:rsidRPr="003E34D6">
        <w:t>$255 million</w:t>
      </w:r>
      <w:r w:rsidRPr="000407C0">
        <w:t xml:space="preserve"> </w:t>
      </w:r>
      <w:r w:rsidRPr="00226804">
        <w:t>on a 2018 net present value (NPV) basis. The underlying assumptions include a sunk cost of $5.9 billion as of January 2020, a 15-year modified accelerated cost recovery system (“MACRS”) tax depreciation schedule for the $5.9 billion in the Continuation Case, and a 3-year straight-line tax depreciation schedule (abandonment loss) for the $5.9 billion in the Cancelation Case.</w:t>
      </w:r>
      <w:r w:rsidRPr="000407C0">
        <w:t xml:space="preserve">  </w:t>
      </w:r>
    </w:p>
    <w:bookmarkEnd w:id="16"/>
  </w:footnote>
  <w:footnote w:id="13">
    <w:p w14:paraId="21D41145" w14:textId="3CE45695" w:rsidR="000A67AA" w:rsidRDefault="000A67AA" w:rsidP="00466C69">
      <w:pPr>
        <w:pStyle w:val="FootnoteText"/>
        <w:ind w:left="270" w:hanging="270"/>
      </w:pPr>
      <w:r>
        <w:rPr>
          <w:rStyle w:val="FootnoteReference"/>
        </w:rPr>
        <w:footnoteRef/>
      </w:r>
      <w:r>
        <w:t xml:space="preserve"> </w:t>
      </w:r>
      <w:bookmarkStart w:id="18" w:name="_Hlk23945524"/>
      <w:r w:rsidRPr="008321A1">
        <w:rPr>
          <w:bCs/>
        </w:rPr>
        <w:t>When the VCM 17 Order was issued, the CWIP balance was $3.902 billion, of that $3.509 billion had been deemed prudent by the SIR Stipulation.</w:t>
      </w:r>
      <w:r>
        <w:rPr>
          <w:bCs/>
        </w:rPr>
        <w:t xml:space="preserve">  The VCM 17 Order also verified another $542 million, which has not yet been deemed prudent.  Reducing the CWIP balance by the $1.493 net Toshiba payment, resulted in a new CWIP balance of $2</w:t>
      </w:r>
      <w:r w:rsidR="009B3934">
        <w:rPr>
          <w:bCs/>
        </w:rPr>
        <w:t>.</w:t>
      </w:r>
      <w:r>
        <w:rPr>
          <w:bCs/>
        </w:rPr>
        <w:t xml:space="preserve">951 billion </w:t>
      </w:r>
      <w:bookmarkStart w:id="19" w:name="_Hlk23946010"/>
      <w:r>
        <w:rPr>
          <w:bCs/>
        </w:rPr>
        <w:t>($3.902 + .542 – 1.493).</w:t>
      </w:r>
      <w:bookmarkEnd w:id="19"/>
      <w:r>
        <w:rPr>
          <w:bCs/>
        </w:rPr>
        <w:t xml:space="preserve"> Despite this, the Company apparently contends that ratepayers still owed the Company the entire $3.509 billion, which was more than the entire CWIP balance.</w:t>
      </w:r>
    </w:p>
    <w:bookmarkEnd w:id="18"/>
  </w:footnote>
  <w:footnote w:id="14">
    <w:p w14:paraId="5FA75763" w14:textId="77777777" w:rsidR="000A67AA" w:rsidRDefault="000A67AA" w:rsidP="00014466">
      <w:pPr>
        <w:pStyle w:val="FootnoteText"/>
        <w:ind w:left="270" w:hanging="270"/>
      </w:pPr>
      <w:bookmarkStart w:id="20" w:name="_Hlk23954748"/>
      <w:r>
        <w:rPr>
          <w:rStyle w:val="FootnoteReference"/>
        </w:rPr>
        <w:footnoteRef/>
      </w:r>
      <w:r>
        <w:t xml:space="preserve"> As Commissioner Echols explained at the December 21, 2017 Special Administrative Session, “The owners … achieved payment in full for that parent guarantee but </w:t>
      </w:r>
      <w:r>
        <w:rPr>
          <w:u w:val="single"/>
        </w:rPr>
        <w:t>they achieved it for the customers' benefit and that's who should benefit</w:t>
      </w:r>
      <w:r>
        <w:t>.” Trans., pg. 7-8 (Emphasis added).  Customers don’t benefit from the Toshiba payment unless it is applied to a cost that would otherwise be recoverable from customers.</w:t>
      </w:r>
    </w:p>
    <w:bookmarkEnd w:id="20"/>
  </w:footnote>
  <w:footnote w:id="15">
    <w:p w14:paraId="31D04A35" w14:textId="77777777" w:rsidR="000A67AA" w:rsidRDefault="000A67AA" w:rsidP="00014466">
      <w:pPr>
        <w:pStyle w:val="FootnoteText"/>
        <w:tabs>
          <w:tab w:val="left" w:pos="-630"/>
        </w:tabs>
        <w:ind w:left="270" w:hanging="270"/>
      </w:pPr>
      <w:r w:rsidRPr="00F90655">
        <w:rPr>
          <w:rStyle w:val="FootnoteReference"/>
        </w:rPr>
        <w:footnoteRef/>
      </w:r>
      <w:r w:rsidRPr="00F90655">
        <w:t xml:space="preserve"> </w:t>
      </w:r>
      <w:bookmarkStart w:id="22" w:name="_Hlk23955252"/>
      <w:r w:rsidRPr="00F90655">
        <w:t>The TPG proceeds of $1.493 billion were allocated in full against the $3.509 billion capital costs incurred through December 31, 2015, netting to $2.016 billion.  Staff assumed 56% of this amount, or $1.129 billion would be placed in-service the month after Unit 3 is completed.  The Company assumed no TPG offset and assumed 66.6% of the amount, or $2.34 billion, would be placed in service the month after Unit 3 is completed.  See STF 137-9 part d.</w:t>
      </w:r>
      <w:bookmarkEnd w:id="22"/>
    </w:p>
  </w:footnote>
  <w:footnote w:id="16">
    <w:p w14:paraId="1EBB938B" w14:textId="77777777" w:rsidR="000A67AA" w:rsidRDefault="000A67AA" w:rsidP="00A566E9">
      <w:pPr>
        <w:pStyle w:val="FootnoteText"/>
        <w:tabs>
          <w:tab w:val="left" w:pos="-630"/>
        </w:tabs>
        <w:ind w:left="180" w:hanging="180"/>
      </w:pPr>
      <w:r>
        <w:rPr>
          <w:rStyle w:val="FootnoteReference"/>
        </w:rPr>
        <w:footnoteRef/>
      </w:r>
      <w:r>
        <w:t xml:space="preserve"> </w:t>
      </w:r>
      <w:bookmarkStart w:id="25" w:name="_Hlk23956079"/>
      <w:r>
        <w:t xml:space="preserve">The VCM 17 Order </w:t>
      </w:r>
      <w:r w:rsidRPr="006337C8">
        <w:t>provides</w:t>
      </w:r>
      <w:r>
        <w:t xml:space="preserve"> that when Unit 3 goes into commercial operation,</w:t>
      </w:r>
      <w:r w:rsidRPr="006337C8">
        <w:t xml:space="preserve"> rates are</w:t>
      </w:r>
      <w:r>
        <w:t xml:space="preserve"> only</w:t>
      </w:r>
      <w:r w:rsidRPr="006337C8">
        <w:t xml:space="preserve"> adjusted </w:t>
      </w:r>
      <w:r w:rsidRPr="00EB3296">
        <w:t>to include</w:t>
      </w:r>
      <w:r>
        <w:t xml:space="preserve"> the portion of the costs </w:t>
      </w:r>
      <w:r w:rsidRPr="00E30DEC">
        <w:t>deemed prudent</w:t>
      </w:r>
      <w:r w:rsidRPr="00E504BF">
        <w:t xml:space="preserve"> in the January 3, 2017 Stipulation</w:t>
      </w:r>
      <w:r>
        <w:t xml:space="preserve"> that are allocable to </w:t>
      </w:r>
      <w:r w:rsidRPr="00EB3296">
        <w:t>Unit 3 and common facilities</w:t>
      </w:r>
      <w:r>
        <w:t>.</w:t>
      </w:r>
      <w:r w:rsidRPr="00EB3296">
        <w:t xml:space="preserve"> </w:t>
      </w:r>
      <w:r>
        <w:t xml:space="preserve">VCM 17 Order, p. 14, para. 8. None of these additional costs meet that criteria. Instead, these costs cannot go into rates until Unit 4 goes into commercial operation, VCM 17 Order, p. 14, para. 10 </w:t>
      </w:r>
      <w:r w:rsidRPr="00E30DEC">
        <w:rPr>
          <w:i/>
        </w:rPr>
        <w:t xml:space="preserve">(“upon reaching fuel load of Unit 4, the Company may make a filing with the Commission to determine the adjustment to retail base rates necessary to include </w:t>
      </w:r>
      <w:r w:rsidRPr="00E30DEC">
        <w:rPr>
          <w:i/>
          <w:u w:val="single"/>
        </w:rPr>
        <w:t>the remaining amounts of Units 3</w:t>
      </w:r>
      <w:r w:rsidRPr="00E30DEC">
        <w:rPr>
          <w:i/>
        </w:rPr>
        <w:t xml:space="preserve"> and 4 into retail base rates.  During this review, the Commission will determine </w:t>
      </w:r>
      <w:r w:rsidRPr="00E30DEC">
        <w:rPr>
          <w:i/>
          <w:u w:val="single"/>
        </w:rPr>
        <w:t>the remaining issues pertaining to prudence of Unit 3</w:t>
      </w:r>
      <w:r w:rsidRPr="00E30DEC">
        <w:rPr>
          <w:i/>
        </w:rPr>
        <w:t xml:space="preserve"> and 4 costs.  Such rate adjustment will be effective the first month after Unit 4 is Commercially Operational.”)</w:t>
      </w:r>
      <w:r>
        <w:t xml:space="preserve">; p. 16, para. 14 </w:t>
      </w:r>
      <w:r w:rsidRPr="00E30DEC">
        <w:rPr>
          <w:i/>
        </w:rPr>
        <w:t>(“All Commission decisions regarding cost recovery will be made after a prudence review at the end of construction of Units 3 and 4.”)</w:t>
      </w:r>
      <w:r>
        <w:t>.</w:t>
      </w:r>
      <w:r w:rsidRPr="006337C8">
        <w:t xml:space="preserve"> </w:t>
      </w:r>
    </w:p>
    <w:bookmarkEnd w:id="25"/>
  </w:footnote>
  <w:footnote w:id="17">
    <w:p w14:paraId="1D180F7E" w14:textId="77777777" w:rsidR="000A67AA" w:rsidRDefault="000A67AA" w:rsidP="000C5FF9">
      <w:pPr>
        <w:pStyle w:val="FootnoteText"/>
        <w:ind w:left="270" w:hanging="270"/>
      </w:pPr>
      <w:r>
        <w:rPr>
          <w:rStyle w:val="FootnoteReference"/>
        </w:rPr>
        <w:footnoteRef/>
      </w:r>
      <w:r>
        <w:t xml:space="preserve"> The Company assumes a deferral of the Unit 3 depreciation cost not placed in rate base upon Unit 3’s completion date.  The Company also assumes that after the Unit 4 COD date, it would get to recover the deferred Unit 3 depreciation costs over a five-year period.  </w:t>
      </w:r>
    </w:p>
  </w:footnote>
  <w:footnote w:id="18">
    <w:p w14:paraId="3F172000" w14:textId="77777777" w:rsidR="000A67AA" w:rsidRPr="0004135F" w:rsidRDefault="000A67AA" w:rsidP="000C5FF9">
      <w:pPr>
        <w:pStyle w:val="FootnoteText"/>
        <w:ind w:left="270" w:hanging="270"/>
      </w:pPr>
      <w:r>
        <w:rPr>
          <w:rStyle w:val="FootnoteReference"/>
        </w:rPr>
        <w:footnoteRef/>
      </w:r>
      <w:r>
        <w:t xml:space="preserve"> </w:t>
      </w:r>
      <w:r w:rsidRPr="0004135F">
        <w:t xml:space="preserve">“2019 Integrated Resource Plan, </w:t>
      </w:r>
      <w:r>
        <w:t xml:space="preserve">Volume </w:t>
      </w:r>
      <w:r w:rsidRPr="0004135F">
        <w:t xml:space="preserve">I </w:t>
      </w:r>
      <w:r>
        <w:t>–</w:t>
      </w:r>
      <w:r w:rsidRPr="0004135F">
        <w:t xml:space="preserve"> D</w:t>
      </w:r>
      <w:r>
        <w:t>raft Resource Plan,</w:t>
      </w:r>
      <w:r w:rsidRPr="0004135F">
        <w:t>”</w:t>
      </w:r>
    </w:p>
    <w:p w14:paraId="753387EC" w14:textId="77777777" w:rsidR="000A67AA" w:rsidRDefault="005F1675" w:rsidP="000C5FF9">
      <w:pPr>
        <w:pStyle w:val="FootnoteText"/>
        <w:ind w:left="270"/>
      </w:pPr>
      <w:hyperlink r:id="rId1" w:history="1">
        <w:r w:rsidR="000A67AA" w:rsidRPr="008A0153">
          <w:rPr>
            <w:rStyle w:val="Hyperlink"/>
          </w:rPr>
          <w:t>https://www.tva.gov/file_source/TVA/Site%20Content/Environment/Environmental%20Stewardship/IRP/2019%20Documents/TVA%20Draft%20IRP%20Vol%20I-reduced.pdf</w:t>
        </w:r>
      </w:hyperlink>
      <w:r w:rsidR="000A67AA">
        <w:rPr>
          <w:rStyle w:val="Hyperlink"/>
        </w:rPr>
        <w:t xml:space="preserve">, </w:t>
      </w:r>
      <w:r w:rsidR="000A67AA" w:rsidRPr="0004135F">
        <w:t xml:space="preserve"> </w:t>
      </w:r>
      <w:r w:rsidR="000A67AA">
        <w:t>p</w:t>
      </w:r>
      <w:r w:rsidR="000A67AA" w:rsidRPr="0004135F">
        <w:t>g</w:t>
      </w:r>
      <w:r w:rsidR="000A67AA">
        <w:t>s.</w:t>
      </w:r>
      <w:r w:rsidR="000A67AA" w:rsidRPr="0004135F">
        <w:t xml:space="preserve"> E-7</w:t>
      </w:r>
      <w:r w:rsidR="000A67AA">
        <w:t xml:space="preserve"> and</w:t>
      </w:r>
      <w:r w:rsidR="000A67AA" w:rsidRPr="0004135F">
        <w:t xml:space="preserve"> E-8</w:t>
      </w:r>
      <w:r w:rsidR="000A67AA">
        <w:t>.</w:t>
      </w:r>
    </w:p>
  </w:footnote>
  <w:footnote w:id="19">
    <w:p w14:paraId="54F26677" w14:textId="77777777" w:rsidR="000A67AA" w:rsidRPr="0004135F" w:rsidRDefault="000A67AA" w:rsidP="000C5FF9">
      <w:pPr>
        <w:pStyle w:val="FootnoteText"/>
        <w:ind w:left="270" w:hanging="270"/>
      </w:pPr>
      <w:r>
        <w:rPr>
          <w:rStyle w:val="FootnoteReference"/>
        </w:rPr>
        <w:footnoteRef/>
      </w:r>
      <w:r>
        <w:t xml:space="preserve"> “2019 Draft Integrated Resource Plan,” </w:t>
      </w:r>
      <w:hyperlink r:id="rId2" w:history="1">
        <w:r w:rsidRPr="0004135F">
          <w:rPr>
            <w:rStyle w:val="Hyperlink"/>
          </w:rPr>
          <w:t>http://lpscstar.louisiana.gov/star/ViewFile.aspx?Id=c33b4da2-6ac0-459c-ae6d-a0620eed2809</w:t>
        </w:r>
      </w:hyperlink>
      <w:r>
        <w:t>, pg. 152.</w:t>
      </w:r>
    </w:p>
  </w:footnote>
  <w:footnote w:id="20">
    <w:p w14:paraId="7251B546" w14:textId="77777777" w:rsidR="000A67AA" w:rsidRPr="008616F1" w:rsidRDefault="000A67AA" w:rsidP="000C5FF9">
      <w:pPr>
        <w:pStyle w:val="FootnoteText"/>
        <w:ind w:left="270" w:hanging="270"/>
        <w:jc w:val="left"/>
      </w:pPr>
      <w:r>
        <w:rPr>
          <w:rStyle w:val="FootnoteReference"/>
        </w:rPr>
        <w:footnoteRef/>
      </w:r>
      <w:r>
        <w:t xml:space="preserve"> “Data Assumptions and Study Description,” </w:t>
      </w:r>
      <w:hyperlink r:id="rId3" w:history="1">
        <w:r w:rsidRPr="00045BC4">
          <w:rPr>
            <w:rStyle w:val="Hyperlink"/>
          </w:rPr>
          <w:t>https://www.entergy-louisiana.com/userfiles/content/irp/2019/ELL_2019_IRP_Assumptions.pdf</w:t>
        </w:r>
      </w:hyperlink>
      <w:r>
        <w:t>, pg. 22.</w:t>
      </w:r>
    </w:p>
  </w:footnote>
  <w:footnote w:id="21">
    <w:p w14:paraId="43A43AA9" w14:textId="77777777" w:rsidR="000A67AA" w:rsidRDefault="000A67AA" w:rsidP="000C5FF9">
      <w:pPr>
        <w:pStyle w:val="FootnoteText"/>
        <w:ind w:left="270" w:hanging="270"/>
        <w:jc w:val="left"/>
      </w:pPr>
      <w:r>
        <w:rPr>
          <w:rStyle w:val="FootnoteReference"/>
        </w:rPr>
        <w:footnoteRef/>
      </w:r>
      <w:r>
        <w:t xml:space="preserve"> 2019 IRP data request, </w:t>
      </w:r>
      <w:r w:rsidRPr="00A86CD5">
        <w:t>https://www.edockets.state.mn.us/EFiling/edockets/searchDocuments.do?method=showPoup&amp;documentId=%7bF012F96C-0000-C414-9F8B-072BBCC2B2C9%7d&amp;documentTitle=20199-155648-01</w:t>
      </w:r>
    </w:p>
  </w:footnote>
  <w:footnote w:id="22">
    <w:p w14:paraId="0E6B4588" w14:textId="77777777" w:rsidR="000A67AA" w:rsidRPr="00194611" w:rsidRDefault="000A67AA" w:rsidP="000C5FF9">
      <w:pPr>
        <w:pStyle w:val="FootnoteText"/>
        <w:ind w:left="270" w:hanging="270"/>
      </w:pPr>
      <w:r w:rsidRPr="00194611">
        <w:rPr>
          <w:rStyle w:val="FootnoteReference"/>
        </w:rPr>
        <w:footnoteRef/>
      </w:r>
      <w:r w:rsidRPr="00194611">
        <w:t xml:space="preserve"> </w:t>
      </w:r>
      <w:r w:rsidRPr="00194611">
        <w:rPr>
          <w:bCs/>
        </w:rPr>
        <w:t>All projections gathered from utilities companies were from these companies most recent IRPs, in which the data was extracted from the graphs and tables that those companies presented in their public filings.</w:t>
      </w:r>
    </w:p>
  </w:footnote>
  <w:footnote w:id="23">
    <w:p w14:paraId="4457279B" w14:textId="77777777" w:rsidR="000A67AA" w:rsidRDefault="000A67AA" w:rsidP="000C5FF9">
      <w:pPr>
        <w:pStyle w:val="FootnoteText"/>
        <w:ind w:left="270" w:hanging="270"/>
      </w:pPr>
      <w:r>
        <w:rPr>
          <w:rStyle w:val="FootnoteReference"/>
        </w:rPr>
        <w:footnoteRef/>
      </w:r>
      <w:r>
        <w:t xml:space="preserve"> Note that Table 4.1 reports the Vogtle weighted average expected benefit as $2.8 billion on a 2021 NPV basis. Staff converted it to a 2018 NPV result for purposes of comparison. </w:t>
      </w:r>
    </w:p>
  </w:footnote>
  <w:footnote w:id="24">
    <w:p w14:paraId="5E973DCC" w14:textId="1911B1DA" w:rsidR="000A67AA" w:rsidRDefault="000A67AA" w:rsidP="00B77038">
      <w:pPr>
        <w:pStyle w:val="FootnoteText"/>
        <w:ind w:left="270" w:hanging="270"/>
      </w:pPr>
      <w:r>
        <w:rPr>
          <w:rStyle w:val="FootnoteReference"/>
        </w:rPr>
        <w:footnoteRef/>
      </w:r>
      <w:r>
        <w:t xml:space="preserve"> The $1.</w:t>
      </w:r>
      <w:r w:rsidR="00EB4A11">
        <w:t>8</w:t>
      </w:r>
      <w:r>
        <w:t xml:space="preserve"> billion value reflects the difference in the current estimate of the NCCR revenue requirement that customers will have to pay, which is $</w:t>
      </w:r>
      <w:r w:rsidR="00EB4A11">
        <w:t>3.9</w:t>
      </w:r>
      <w:r>
        <w:t xml:space="preserve"> billion, and the estimate of $2.1 billion that would have been paid had the Project been completed in 2016/2017 from the original Certification.  </w:t>
      </w:r>
    </w:p>
  </w:footnote>
  <w:footnote w:id="25">
    <w:p w14:paraId="6B2AA8CD" w14:textId="56E0BA0E" w:rsidR="000A67AA" w:rsidRDefault="000A67AA" w:rsidP="0064215D">
      <w:pPr>
        <w:pStyle w:val="FootnoteText"/>
        <w:ind w:left="270" w:hanging="270"/>
      </w:pPr>
      <w:r>
        <w:rPr>
          <w:rStyle w:val="FootnoteReference"/>
        </w:rPr>
        <w:footnoteRef/>
      </w:r>
      <w:r>
        <w:t xml:space="preserve"> Staff </w:t>
      </w:r>
      <w:r w:rsidR="00D525EE">
        <w:t xml:space="preserve">also </w:t>
      </w:r>
      <w:r>
        <w:t xml:space="preserve">estimates that the total amount collected from a typical residential customer </w:t>
      </w:r>
      <w:r w:rsidR="00D525EE">
        <w:t xml:space="preserve">during the construction period </w:t>
      </w:r>
      <w:r>
        <w:t xml:space="preserve">will be </w:t>
      </w:r>
      <w:r w:rsidRPr="009B3934">
        <w:t>approximately $8</w:t>
      </w:r>
      <w:r w:rsidR="009B3934" w:rsidRPr="009B3934">
        <w:t>33</w:t>
      </w:r>
      <w:r>
        <w:t xml:space="preserve"> over the life of the NCCR tariff.</w:t>
      </w:r>
      <w:r w:rsidR="00EB4A11">
        <w:t xml:space="preserve">   </w:t>
      </w:r>
    </w:p>
  </w:footnote>
  <w:footnote w:id="26">
    <w:p w14:paraId="5E9ABDAD" w14:textId="77777777" w:rsidR="000A67AA" w:rsidRDefault="000A67AA" w:rsidP="00235701">
      <w:pPr>
        <w:pStyle w:val="FootnoteText"/>
        <w:ind w:left="270" w:hanging="270"/>
      </w:pPr>
      <w:r>
        <w:rPr>
          <w:rStyle w:val="FootnoteReference"/>
        </w:rPr>
        <w:footnoteRef/>
      </w:r>
      <w:r>
        <w:t xml:space="preserve"> Docket 29849, Philip Hayet Direct Testimony, Eighth VCM Proceeding, pages 19 – 22, and Twelfth VCM Proceeding, pages 29-30.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BA9B" w14:textId="77777777" w:rsidR="000A67AA" w:rsidRPr="00F65C42" w:rsidRDefault="000A67AA" w:rsidP="006132C8">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w:t>
    </w:r>
  </w:p>
  <w:p w14:paraId="3C84998F" w14:textId="77777777" w:rsidR="000A67AA" w:rsidRDefault="000A67AA" w:rsidP="006132C8">
    <w:pPr>
      <w:pStyle w:val="Header"/>
      <w:tabs>
        <w:tab w:val="clear" w:pos="8640"/>
        <w:tab w:val="right" w:pos="9360"/>
      </w:tabs>
      <w:rPr>
        <w:b/>
        <w:bCs/>
        <w:sz w:val="20"/>
        <w:szCs w:val="20"/>
      </w:rPr>
    </w:pPr>
    <w:r>
      <w:rPr>
        <w:b/>
        <w:bCs/>
        <w:sz w:val="20"/>
        <w:szCs w:val="20"/>
      </w:rPr>
      <w:t>Eighteenth Semi-Annual Vogtle Construction Monitoring Filing</w:t>
    </w:r>
    <w:r>
      <w:rPr>
        <w:b/>
        <w:bCs/>
        <w:sz w:val="20"/>
        <w:szCs w:val="20"/>
      </w:rPr>
      <w:tab/>
      <w:t>Philip Hayet, Leah Wellborn</w:t>
    </w:r>
  </w:p>
  <w:p w14:paraId="4603E734" w14:textId="77777777" w:rsidR="000A67AA" w:rsidRDefault="000A67AA" w:rsidP="006132C8">
    <w:pPr>
      <w:pStyle w:val="Header"/>
      <w:pBdr>
        <w:bottom w:val="single" w:sz="4" w:space="1" w:color="auto"/>
      </w:pBdr>
      <w:tabs>
        <w:tab w:val="clear" w:pos="8640"/>
        <w:tab w:val="right" w:pos="9360"/>
      </w:tabs>
      <w:jc w:val="right"/>
      <w:rPr>
        <w:b/>
        <w:bCs/>
        <w:sz w:val="20"/>
        <w:szCs w:val="20"/>
      </w:rPr>
    </w:pPr>
  </w:p>
  <w:p w14:paraId="1EC99115" w14:textId="77777777" w:rsidR="000A67AA" w:rsidRDefault="000A67AA">
    <w:pPr>
      <w:pStyle w:val="Header"/>
    </w:pPr>
  </w:p>
  <w:p w14:paraId="35CF8847" w14:textId="77777777" w:rsidR="000A67AA" w:rsidRDefault="000A67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5812" w14:textId="77777777" w:rsidR="000A67AA" w:rsidRPr="0045556F" w:rsidRDefault="000A67AA" w:rsidP="0045556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5BEF" w14:textId="77777777" w:rsidR="000A67AA" w:rsidRPr="00F65C42" w:rsidRDefault="000A67AA" w:rsidP="002928D6">
    <w:pPr>
      <w:pStyle w:val="Header"/>
      <w:tabs>
        <w:tab w:val="clear" w:pos="8640"/>
        <w:tab w:val="right" w:pos="9360"/>
      </w:tabs>
      <w:rPr>
        <w:b/>
        <w:bCs/>
        <w:sz w:val="20"/>
        <w:szCs w:val="20"/>
      </w:rPr>
    </w:pPr>
    <w:r>
      <w:rPr>
        <w:b/>
        <w:bCs/>
        <w:sz w:val="20"/>
        <w:szCs w:val="20"/>
      </w:rPr>
      <w:t>Docket No. 29849</w:t>
    </w:r>
    <w:r>
      <w:rPr>
        <w:b/>
        <w:bCs/>
        <w:sz w:val="20"/>
        <w:szCs w:val="20"/>
      </w:rPr>
      <w:tab/>
    </w:r>
    <w:r>
      <w:rPr>
        <w:b/>
        <w:bCs/>
        <w:sz w:val="20"/>
        <w:szCs w:val="20"/>
      </w:rPr>
      <w:tab/>
      <w:t>Testimony of Tom Newsome and</w:t>
    </w:r>
  </w:p>
  <w:p w14:paraId="6BA4C80C" w14:textId="77777777" w:rsidR="000A67AA" w:rsidRDefault="000A67AA" w:rsidP="002928D6">
    <w:pPr>
      <w:pStyle w:val="Header"/>
      <w:tabs>
        <w:tab w:val="clear" w:pos="8640"/>
        <w:tab w:val="right" w:pos="9360"/>
      </w:tabs>
      <w:rPr>
        <w:b/>
        <w:bCs/>
        <w:sz w:val="20"/>
        <w:szCs w:val="20"/>
      </w:rPr>
    </w:pPr>
    <w:r>
      <w:rPr>
        <w:b/>
        <w:bCs/>
        <w:sz w:val="20"/>
        <w:szCs w:val="20"/>
      </w:rPr>
      <w:t xml:space="preserve">Twentieth/Twenty-First Semi-Annual Vogtle Construction </w:t>
    </w:r>
    <w:r>
      <w:rPr>
        <w:b/>
        <w:bCs/>
        <w:sz w:val="20"/>
        <w:szCs w:val="20"/>
      </w:rPr>
      <w:tab/>
      <w:t>Philip Hayet</w:t>
    </w:r>
  </w:p>
  <w:p w14:paraId="2B9B679A" w14:textId="77777777" w:rsidR="000A67AA" w:rsidRDefault="000A67AA" w:rsidP="002928D6">
    <w:pPr>
      <w:pStyle w:val="Header"/>
      <w:tabs>
        <w:tab w:val="clear" w:pos="8640"/>
        <w:tab w:val="right" w:pos="9360"/>
      </w:tabs>
      <w:rPr>
        <w:b/>
        <w:bCs/>
        <w:sz w:val="20"/>
        <w:szCs w:val="20"/>
      </w:rPr>
    </w:pPr>
    <w:r>
      <w:rPr>
        <w:b/>
        <w:bCs/>
        <w:sz w:val="20"/>
        <w:szCs w:val="20"/>
      </w:rPr>
      <w:t>Monitoring Filing</w:t>
    </w:r>
    <w:r>
      <w:rPr>
        <w:b/>
        <w:bCs/>
        <w:sz w:val="20"/>
        <w:szCs w:val="20"/>
      </w:rPr>
      <w:tab/>
    </w:r>
  </w:p>
  <w:p w14:paraId="03E24083" w14:textId="77777777" w:rsidR="000A67AA" w:rsidRDefault="000A67AA" w:rsidP="002928D6">
    <w:pPr>
      <w:pStyle w:val="Header"/>
      <w:pBdr>
        <w:bottom w:val="single" w:sz="4" w:space="1" w:color="auto"/>
      </w:pBdr>
      <w:tabs>
        <w:tab w:val="clear" w:pos="8640"/>
        <w:tab w:val="right" w:pos="9360"/>
      </w:tabs>
      <w:jc w:val="right"/>
      <w:rPr>
        <w:b/>
        <w:bCs/>
        <w:sz w:val="20"/>
        <w:szCs w:val="20"/>
      </w:rPr>
    </w:pPr>
  </w:p>
  <w:p w14:paraId="19D19298" w14:textId="77777777" w:rsidR="000A67AA" w:rsidRPr="00DA56AC" w:rsidRDefault="000A67AA" w:rsidP="00DA56A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0A1E3" w14:textId="77777777" w:rsidR="000A67AA" w:rsidRPr="00DA56AC" w:rsidRDefault="000A67AA" w:rsidP="00DA56A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F402F" w14:textId="77777777" w:rsidR="000A67AA" w:rsidRDefault="000A67AA" w:rsidP="00DA56AC">
    <w:pPr>
      <w:jc w:val="right"/>
      <w:rPr>
        <w:sz w:val="20"/>
        <w:szCs w:val="20"/>
      </w:rPr>
    </w:pPr>
    <w:r w:rsidRPr="008D7206">
      <w:rPr>
        <w:sz w:val="20"/>
        <w:szCs w:val="20"/>
      </w:rPr>
      <w:t>Exhibit___(STF-</w:t>
    </w:r>
    <w:r>
      <w:rPr>
        <w:sz w:val="20"/>
        <w:szCs w:val="20"/>
      </w:rPr>
      <w:t>NH</w:t>
    </w:r>
    <w:r w:rsidRPr="008D7206">
      <w:rPr>
        <w:sz w:val="20"/>
        <w:szCs w:val="20"/>
      </w:rPr>
      <w:t>-</w:t>
    </w:r>
    <w:r>
      <w:rPr>
        <w:sz w:val="20"/>
        <w:szCs w:val="20"/>
      </w:rPr>
      <w:t>1</w:t>
    </w:r>
    <w:r w:rsidRPr="008D7206">
      <w:rPr>
        <w:sz w:val="20"/>
        <w:szCs w:val="20"/>
      </w:rPr>
      <w:t>)</w:t>
    </w:r>
  </w:p>
  <w:p w14:paraId="71CDF09C" w14:textId="6F805441" w:rsidR="000A67AA" w:rsidRPr="009312F4" w:rsidRDefault="000A67AA" w:rsidP="00DA56AC">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5F1675">
      <w:rPr>
        <w:noProof/>
        <w:sz w:val="20"/>
        <w:szCs w:val="20"/>
      </w:rPr>
      <w:t>2</w:t>
    </w:r>
    <w:r w:rsidRPr="0045556F">
      <w:rPr>
        <w:noProof/>
        <w:sz w:val="20"/>
        <w:szCs w:val="20"/>
      </w:rPr>
      <w:fldChar w:fldCharType="end"/>
    </w:r>
  </w:p>
  <w:p w14:paraId="049490F4" w14:textId="77777777" w:rsidR="000A67AA" w:rsidRPr="00DA56AC" w:rsidRDefault="000A67AA" w:rsidP="00DA56AC">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EE4A" w14:textId="77777777" w:rsidR="000A67AA" w:rsidRDefault="000A67AA" w:rsidP="00DA56AC">
    <w:pPr>
      <w:jc w:val="right"/>
      <w:rPr>
        <w:sz w:val="20"/>
        <w:szCs w:val="20"/>
      </w:rPr>
    </w:pPr>
    <w:r w:rsidRPr="008D7206">
      <w:rPr>
        <w:sz w:val="20"/>
        <w:szCs w:val="20"/>
      </w:rPr>
      <w:t>Exhibit___(STF-</w:t>
    </w:r>
    <w:r>
      <w:rPr>
        <w:sz w:val="20"/>
        <w:szCs w:val="20"/>
      </w:rPr>
      <w:t>NHK</w:t>
    </w:r>
    <w:r w:rsidRPr="008D7206">
      <w:rPr>
        <w:sz w:val="20"/>
        <w:szCs w:val="20"/>
      </w:rPr>
      <w:t>-</w:t>
    </w:r>
    <w:r>
      <w:rPr>
        <w:sz w:val="20"/>
        <w:szCs w:val="20"/>
      </w:rPr>
      <w:t>1</w:t>
    </w:r>
    <w:r w:rsidRPr="008D7206">
      <w:rPr>
        <w:sz w:val="20"/>
        <w:szCs w:val="20"/>
      </w:rPr>
      <w:t>)</w:t>
    </w:r>
  </w:p>
  <w:p w14:paraId="16F26693" w14:textId="77777777" w:rsidR="000A67AA" w:rsidRPr="009312F4" w:rsidRDefault="000A67AA" w:rsidP="00DA56AC">
    <w:pPr>
      <w:pStyle w:val="Header"/>
      <w:jc w:val="right"/>
      <w:rPr>
        <w:sz w:val="20"/>
        <w:szCs w:val="20"/>
      </w:rPr>
    </w:pPr>
    <w:r w:rsidRPr="009312F4">
      <w:rPr>
        <w:sz w:val="20"/>
        <w:szCs w:val="20"/>
      </w:rPr>
      <w:t xml:space="preserve">Page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p w14:paraId="6C55D923" w14:textId="77777777" w:rsidR="000A67AA" w:rsidRPr="00DA56AC" w:rsidRDefault="000A67AA" w:rsidP="00DA56AC">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EFF3" w14:textId="77777777" w:rsidR="000A67AA" w:rsidRPr="00DA56AC" w:rsidRDefault="000A67AA" w:rsidP="00DA56AC">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8871" w14:textId="77777777" w:rsidR="000A67AA" w:rsidRPr="009312F4" w:rsidRDefault="000A67AA" w:rsidP="00F1375B">
    <w:pPr>
      <w:pStyle w:val="Header"/>
      <w:jc w:val="right"/>
      <w:rPr>
        <w:sz w:val="20"/>
        <w:szCs w:val="20"/>
      </w:rPr>
    </w:pPr>
    <w:r w:rsidRPr="009312F4">
      <w:rPr>
        <w:sz w:val="20"/>
        <w:szCs w:val="20"/>
      </w:rPr>
      <w:t>Exhibit___(STF-</w:t>
    </w:r>
    <w:r>
      <w:rPr>
        <w:sz w:val="20"/>
        <w:szCs w:val="20"/>
      </w:rPr>
      <w:t>NH-2</w:t>
    </w:r>
    <w:r w:rsidRPr="009312F4">
      <w:rPr>
        <w:sz w:val="20"/>
        <w:szCs w:val="20"/>
      </w:rPr>
      <w:t>)</w:t>
    </w:r>
  </w:p>
  <w:p w14:paraId="1F251A90" w14:textId="3A4328A0" w:rsidR="000A67AA" w:rsidRPr="009312F4" w:rsidRDefault="000A67AA" w:rsidP="00F1375B">
    <w:pPr>
      <w:pStyle w:val="Header"/>
      <w:jc w:val="right"/>
      <w:rPr>
        <w:sz w:val="20"/>
        <w:szCs w:val="20"/>
      </w:rPr>
    </w:pPr>
    <w:r w:rsidRPr="009312F4">
      <w:rPr>
        <w:sz w:val="20"/>
        <w:szCs w:val="20"/>
      </w:rPr>
      <w:t xml:space="preserve">Page </w:t>
    </w:r>
    <w:r w:rsidRPr="0045556F">
      <w:rPr>
        <w:sz w:val="20"/>
        <w:szCs w:val="20"/>
      </w:rPr>
      <w:fldChar w:fldCharType="begin"/>
    </w:r>
    <w:r w:rsidRPr="0045556F">
      <w:rPr>
        <w:sz w:val="20"/>
        <w:szCs w:val="20"/>
      </w:rPr>
      <w:instrText xml:space="preserve"> PAGE   \* MERGEFORMAT </w:instrText>
    </w:r>
    <w:r w:rsidRPr="0045556F">
      <w:rPr>
        <w:sz w:val="20"/>
        <w:szCs w:val="20"/>
      </w:rPr>
      <w:fldChar w:fldCharType="separate"/>
    </w:r>
    <w:r w:rsidR="005F1675">
      <w:rPr>
        <w:noProof/>
        <w:sz w:val="20"/>
        <w:szCs w:val="20"/>
      </w:rPr>
      <w:t>14</w:t>
    </w:r>
    <w:r w:rsidRPr="0045556F">
      <w:rPr>
        <w:noProof/>
        <w:sz w:val="20"/>
        <w:szCs w:val="20"/>
      </w:rPr>
      <w:fldChar w:fldCharType="end"/>
    </w:r>
  </w:p>
  <w:p w14:paraId="6D78D309" w14:textId="77777777" w:rsidR="000A67AA" w:rsidRPr="009312F4" w:rsidRDefault="000A67AA" w:rsidP="00F1375B">
    <w:pPr>
      <w:pStyle w:val="Header"/>
      <w:jc w:val="right"/>
      <w:rPr>
        <w:b/>
        <w:bCs/>
        <w:sz w:val="20"/>
        <w:szCs w:val="20"/>
      </w:rPr>
    </w:pPr>
    <w:r w:rsidRPr="009312F4">
      <w:rPr>
        <w:b/>
        <w:bCs/>
        <w:sz w:val="20"/>
        <w:szCs w:val="20"/>
      </w:rPr>
      <w:tab/>
    </w:r>
  </w:p>
  <w:p w14:paraId="4F450079" w14:textId="77777777" w:rsidR="000A67AA" w:rsidRPr="009312F4" w:rsidRDefault="000A67AA" w:rsidP="00F1375B">
    <w:pPr>
      <w:pStyle w:val="Header"/>
      <w:pBdr>
        <w:bottom w:val="single" w:sz="4" w:space="1" w:color="auto"/>
      </w:pBdr>
      <w:tabs>
        <w:tab w:val="clear" w:pos="8640"/>
        <w:tab w:val="right" w:pos="9360"/>
      </w:tabs>
      <w:rPr>
        <w:b/>
        <w:sz w:val="20"/>
        <w:szCs w:val="20"/>
      </w:rPr>
    </w:pPr>
    <w:r w:rsidRPr="009312F4">
      <w:rPr>
        <w:b/>
        <w:sz w:val="20"/>
        <w:szCs w:val="20"/>
      </w:rPr>
      <w:t xml:space="preserve">QUALIFICATIONS OF </w:t>
    </w:r>
    <w:r>
      <w:rPr>
        <w:b/>
        <w:sz w:val="20"/>
        <w:szCs w:val="20"/>
      </w:rPr>
      <w:t>PHILIP HAYET</w:t>
    </w:r>
    <w:r w:rsidRPr="009312F4">
      <w:rPr>
        <w:b/>
        <w:sz w:val="20"/>
        <w:szCs w:val="20"/>
      </w:rPr>
      <w:t xml:space="preserve">                                               </w:t>
    </w:r>
    <w:r>
      <w:rPr>
        <w:b/>
        <w:sz w:val="20"/>
        <w:szCs w:val="20"/>
      </w:rPr>
      <w:tab/>
    </w:r>
  </w:p>
  <w:p w14:paraId="252FF3B5" w14:textId="77777777" w:rsidR="000A67AA" w:rsidRPr="00DA56AC" w:rsidRDefault="000A67AA" w:rsidP="00DA56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1C1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9CF0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A1A93E2"/>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upperLetter"/>
      <w:lvlText w:val="(%8)"/>
      <w:legacy w:legacy="1" w:legacySpace="0" w:legacyIndent="0"/>
      <w:lvlJc w:val="left"/>
    </w:lvl>
    <w:lvl w:ilvl="8">
      <w:numFmt w:val="none"/>
      <w:lvlText w:val=""/>
      <w:lvlJc w:val="left"/>
    </w:lvl>
  </w:abstractNum>
  <w:abstractNum w:abstractNumId="3" w15:restartNumberingAfterBreak="0">
    <w:nsid w:val="02F23C45"/>
    <w:multiLevelType w:val="hybridMultilevel"/>
    <w:tmpl w:val="DD14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2460A6"/>
    <w:multiLevelType w:val="hybridMultilevel"/>
    <w:tmpl w:val="14B01F54"/>
    <w:lvl w:ilvl="0" w:tplc="F9586610">
      <w:start w:val="1"/>
      <w:numFmt w:val="upperRoman"/>
      <w:pStyle w:val="Style1"/>
      <w:lvlText w:val="%1."/>
      <w:lvlJc w:val="right"/>
      <w:pPr>
        <w:ind w:left="720" w:hanging="360"/>
      </w:pPr>
      <w:rPr>
        <w:rFonts w:hint="default"/>
      </w:rPr>
    </w:lvl>
    <w:lvl w:ilvl="1" w:tplc="04090019">
      <w:start w:val="1"/>
      <w:numFmt w:val="lowerLetter"/>
      <w:pStyle w:val="Style1"/>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506BA"/>
    <w:multiLevelType w:val="hybridMultilevel"/>
    <w:tmpl w:val="1D269C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EA3FAF"/>
    <w:multiLevelType w:val="multilevel"/>
    <w:tmpl w:val="D7D250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8100BBC"/>
    <w:multiLevelType w:val="hybridMultilevel"/>
    <w:tmpl w:val="DE18EB6E"/>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E0A7F"/>
    <w:multiLevelType w:val="hybridMultilevel"/>
    <w:tmpl w:val="BF082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84DBB"/>
    <w:multiLevelType w:val="hybridMultilevel"/>
    <w:tmpl w:val="6AEA1122"/>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851DB"/>
    <w:multiLevelType w:val="hybridMultilevel"/>
    <w:tmpl w:val="DCEC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B45DC"/>
    <w:multiLevelType w:val="hybridMultilevel"/>
    <w:tmpl w:val="B47435C2"/>
    <w:lvl w:ilvl="0" w:tplc="B676668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6B20F2"/>
    <w:multiLevelType w:val="multilevel"/>
    <w:tmpl w:val="387E8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D26A05"/>
    <w:multiLevelType w:val="hybridMultilevel"/>
    <w:tmpl w:val="3DDC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749133F"/>
    <w:multiLevelType w:val="hybridMultilevel"/>
    <w:tmpl w:val="39D8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C02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A33AB7"/>
    <w:multiLevelType w:val="multilevel"/>
    <w:tmpl w:val="7698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4549C"/>
    <w:multiLevelType w:val="hybridMultilevel"/>
    <w:tmpl w:val="7D708E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EF02035"/>
    <w:multiLevelType w:val="hybridMultilevel"/>
    <w:tmpl w:val="59CC8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D320B"/>
    <w:multiLevelType w:val="hybridMultilevel"/>
    <w:tmpl w:val="684E05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pStyle w:val="LGListBullet2"/>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26B2E50"/>
    <w:multiLevelType w:val="hybridMultilevel"/>
    <w:tmpl w:val="4EBE5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356A40"/>
    <w:multiLevelType w:val="hybridMultilevel"/>
    <w:tmpl w:val="C4EC3B84"/>
    <w:lvl w:ilvl="0" w:tplc="5252A472">
      <w:start w:val="1"/>
      <w:numFmt w:val="decimal"/>
      <w:pStyle w:val="RFI"/>
      <w:lvlText w:val="CC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B61FC"/>
    <w:multiLevelType w:val="hybridMultilevel"/>
    <w:tmpl w:val="4B3CC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16575A"/>
    <w:multiLevelType w:val="hybridMultilevel"/>
    <w:tmpl w:val="9F7E3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53B5461"/>
    <w:multiLevelType w:val="multilevel"/>
    <w:tmpl w:val="B1965994"/>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0B5145"/>
    <w:multiLevelType w:val="hybridMultilevel"/>
    <w:tmpl w:val="95D44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A367771"/>
    <w:multiLevelType w:val="hybridMultilevel"/>
    <w:tmpl w:val="D63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2649E"/>
    <w:multiLevelType w:val="multilevel"/>
    <w:tmpl w:val="82208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115EAF"/>
    <w:multiLevelType w:val="hybridMultilevel"/>
    <w:tmpl w:val="3D7409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46102C1"/>
    <w:multiLevelType w:val="hybridMultilevel"/>
    <w:tmpl w:val="36384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4844727"/>
    <w:multiLevelType w:val="hybridMultilevel"/>
    <w:tmpl w:val="293AD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1437D"/>
    <w:multiLevelType w:val="hybridMultilevel"/>
    <w:tmpl w:val="D012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CB3C96"/>
    <w:multiLevelType w:val="hybridMultilevel"/>
    <w:tmpl w:val="B4E2B9C2"/>
    <w:lvl w:ilvl="0" w:tplc="BF0E0644">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53937B15"/>
    <w:multiLevelType w:val="hybridMultilevel"/>
    <w:tmpl w:val="3EFC97E8"/>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5" w15:restartNumberingAfterBreak="0">
    <w:nsid w:val="5BDA0C90"/>
    <w:multiLevelType w:val="hybridMultilevel"/>
    <w:tmpl w:val="5E7AC5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5E604BCD"/>
    <w:multiLevelType w:val="hybridMultilevel"/>
    <w:tmpl w:val="7A5A6454"/>
    <w:lvl w:ilvl="0" w:tplc="10169726">
      <w:start w:val="1"/>
      <w:numFmt w:val="decimal"/>
      <w:lvlText w:val="%1."/>
      <w:lvlJc w:val="left"/>
      <w:pPr>
        <w:tabs>
          <w:tab w:val="num" w:pos="3870"/>
        </w:tabs>
        <w:ind w:left="3870" w:hanging="720"/>
      </w:pPr>
      <w:rPr>
        <w:rFonts w:hint="default"/>
        <w:color w:val="auto"/>
      </w:rPr>
    </w:lvl>
    <w:lvl w:ilvl="1" w:tplc="376A33C8">
      <w:start w:val="17"/>
      <w:numFmt w:val="upperLetter"/>
      <w:lvlText w:val="%2."/>
      <w:lvlJc w:val="left"/>
      <w:pPr>
        <w:tabs>
          <w:tab w:val="num" w:pos="4320"/>
        </w:tabs>
        <w:ind w:left="4320" w:hanging="720"/>
      </w:pPr>
      <w:rPr>
        <w:rFonts w:hint="default"/>
      </w:rPr>
    </w:lvl>
    <w:lvl w:ilvl="2" w:tplc="C8A014CE">
      <w:start w:val="17"/>
      <w:numFmt w:val="lowerLetter"/>
      <w:lvlText w:val="%3."/>
      <w:lvlJc w:val="left"/>
      <w:pPr>
        <w:tabs>
          <w:tab w:val="num" w:pos="4860"/>
        </w:tabs>
        <w:ind w:left="4860" w:hanging="360"/>
      </w:pPr>
      <w:rPr>
        <w:rFonts w:hint="default"/>
      </w:rPr>
    </w:lvl>
    <w:lvl w:ilvl="3" w:tplc="99DE4BEE">
      <w:start w:val="6"/>
      <w:numFmt w:val="upperRoman"/>
      <w:lvlText w:val="%4."/>
      <w:lvlJc w:val="left"/>
      <w:pPr>
        <w:tabs>
          <w:tab w:val="num" w:pos="5760"/>
        </w:tabs>
        <w:ind w:left="5760" w:hanging="720"/>
      </w:pPr>
      <w:rPr>
        <w:rFonts w:hint="default"/>
      </w:rPr>
    </w:lvl>
    <w:lvl w:ilvl="4" w:tplc="76C85DFC">
      <w:start w:val="1"/>
      <w:numFmt w:val="lowerLetter"/>
      <w:lvlText w:val="%5."/>
      <w:lvlJc w:val="left"/>
      <w:pPr>
        <w:tabs>
          <w:tab w:val="num" w:pos="6120"/>
        </w:tabs>
        <w:ind w:left="6120" w:hanging="360"/>
      </w:pPr>
    </w:lvl>
    <w:lvl w:ilvl="5" w:tplc="1AC8EA2A">
      <w:start w:val="1"/>
      <w:numFmt w:val="lowerRoman"/>
      <w:lvlText w:val="%6."/>
      <w:lvlJc w:val="right"/>
      <w:pPr>
        <w:tabs>
          <w:tab w:val="num" w:pos="6840"/>
        </w:tabs>
        <w:ind w:left="6840" w:hanging="180"/>
      </w:pPr>
    </w:lvl>
    <w:lvl w:ilvl="6" w:tplc="DA4C3B56">
      <w:start w:val="1"/>
      <w:numFmt w:val="decimal"/>
      <w:lvlText w:val="%7."/>
      <w:lvlJc w:val="left"/>
      <w:pPr>
        <w:tabs>
          <w:tab w:val="num" w:pos="7560"/>
        </w:tabs>
        <w:ind w:left="7560" w:hanging="360"/>
      </w:pPr>
    </w:lvl>
    <w:lvl w:ilvl="7" w:tplc="DCCAE94E">
      <w:start w:val="1"/>
      <w:numFmt w:val="lowerLetter"/>
      <w:lvlText w:val="%8."/>
      <w:lvlJc w:val="left"/>
      <w:pPr>
        <w:tabs>
          <w:tab w:val="num" w:pos="8280"/>
        </w:tabs>
        <w:ind w:left="8280" w:hanging="360"/>
      </w:pPr>
    </w:lvl>
    <w:lvl w:ilvl="8" w:tplc="1DE41668">
      <w:start w:val="1"/>
      <w:numFmt w:val="lowerRoman"/>
      <w:lvlText w:val="%9."/>
      <w:lvlJc w:val="right"/>
      <w:pPr>
        <w:tabs>
          <w:tab w:val="num" w:pos="9000"/>
        </w:tabs>
        <w:ind w:left="9000" w:hanging="180"/>
      </w:pPr>
    </w:lvl>
  </w:abstractNum>
  <w:abstractNum w:abstractNumId="37"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pStyle w:val="LGListNumber2"/>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94C5E78"/>
    <w:multiLevelType w:val="hybridMultilevel"/>
    <w:tmpl w:val="D2F6B6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9A9423A"/>
    <w:multiLevelType w:val="multilevel"/>
    <w:tmpl w:val="F2B4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66646"/>
    <w:multiLevelType w:val="hybridMultilevel"/>
    <w:tmpl w:val="176E5FE0"/>
    <w:lvl w:ilvl="0" w:tplc="B464022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F6B3BEC"/>
    <w:multiLevelType w:val="hybridMultilevel"/>
    <w:tmpl w:val="E7B4A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A81898"/>
    <w:multiLevelType w:val="hybridMultilevel"/>
    <w:tmpl w:val="96FE1BC0"/>
    <w:lvl w:ilvl="0" w:tplc="FE06EC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5"/>
  </w:num>
  <w:num w:numId="3">
    <w:abstractNumId w:val="13"/>
  </w:num>
  <w:num w:numId="4">
    <w:abstractNumId w:val="4"/>
  </w:num>
  <w:num w:numId="5">
    <w:abstractNumId w:val="10"/>
  </w:num>
  <w:num w:numId="6">
    <w:abstractNumId w:val="38"/>
  </w:num>
  <w:num w:numId="7">
    <w:abstractNumId w:val="6"/>
  </w:num>
  <w:num w:numId="8">
    <w:abstractNumId w:val="4"/>
    <w:lvlOverride w:ilvl="0">
      <w:startOverride w:val="1"/>
    </w:lvlOverride>
  </w:num>
  <w:num w:numId="9">
    <w:abstractNumId w:val="31"/>
  </w:num>
  <w:num w:numId="10">
    <w:abstractNumId w:val="2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num>
  <w:num w:numId="15">
    <w:abstractNumId w:val="24"/>
  </w:num>
  <w:num w:numId="16">
    <w:abstractNumId w:val="4"/>
    <w:lvlOverride w:ilvl="0">
      <w:startOverride w:val="4"/>
    </w:lvlOverride>
  </w:num>
  <w:num w:numId="17">
    <w:abstractNumId w:val="40"/>
  </w:num>
  <w:num w:numId="18">
    <w:abstractNumId w:val="9"/>
  </w:num>
  <w:num w:numId="19">
    <w:abstractNumId w:val="1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2"/>
  </w:num>
  <w:num w:numId="22">
    <w:abstractNumId w:val="39"/>
  </w:num>
  <w:num w:numId="23">
    <w:abstractNumId w:val="16"/>
  </w:num>
  <w:num w:numId="24">
    <w:abstractNumId w:val="28"/>
  </w:num>
  <w:num w:numId="25">
    <w:abstractNumId w:val="18"/>
  </w:num>
  <w:num w:numId="26">
    <w:abstractNumId w:val="15"/>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2"/>
  </w:num>
  <w:num w:numId="30">
    <w:abstractNumId w:val="25"/>
  </w:num>
  <w:num w:numId="31">
    <w:abstractNumId w:val="1"/>
  </w:num>
  <w:num w:numId="32">
    <w:abstractNumId w:val="20"/>
  </w:num>
  <w:num w:numId="33">
    <w:abstractNumId w:val="0"/>
  </w:num>
  <w:num w:numId="34">
    <w:abstractNumId w:val="37"/>
  </w:num>
  <w:num w:numId="35">
    <w:abstractNumId w:val="22"/>
  </w:num>
  <w:num w:numId="36">
    <w:abstractNumId w:val="19"/>
  </w:num>
  <w:num w:numId="37">
    <w:abstractNumId w:val="14"/>
  </w:num>
  <w:num w:numId="38">
    <w:abstractNumId w:val="30"/>
  </w:num>
  <w:num w:numId="39">
    <w:abstractNumId w:val="23"/>
  </w:num>
  <w:num w:numId="40">
    <w:abstractNumId w:val="17"/>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3"/>
  </w:num>
  <w:num w:numId="44">
    <w:abstractNumId w:val="8"/>
  </w:num>
  <w:num w:numId="45">
    <w:abstractNumId w:val="29"/>
  </w:num>
  <w:num w:numId="46">
    <w:abstractNumId w:val="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1E"/>
    <w:rsid w:val="0000030A"/>
    <w:rsid w:val="000017FF"/>
    <w:rsid w:val="00001911"/>
    <w:rsid w:val="000023CD"/>
    <w:rsid w:val="00002798"/>
    <w:rsid w:val="00002B10"/>
    <w:rsid w:val="00002DDD"/>
    <w:rsid w:val="000034DA"/>
    <w:rsid w:val="000036A4"/>
    <w:rsid w:val="00003736"/>
    <w:rsid w:val="000041F6"/>
    <w:rsid w:val="0000570F"/>
    <w:rsid w:val="00006B68"/>
    <w:rsid w:val="00006DE6"/>
    <w:rsid w:val="00007E14"/>
    <w:rsid w:val="0001076A"/>
    <w:rsid w:val="000108F5"/>
    <w:rsid w:val="00010ADF"/>
    <w:rsid w:val="00010C4B"/>
    <w:rsid w:val="00010F53"/>
    <w:rsid w:val="0001205F"/>
    <w:rsid w:val="0001377E"/>
    <w:rsid w:val="00013F5A"/>
    <w:rsid w:val="00014466"/>
    <w:rsid w:val="00015569"/>
    <w:rsid w:val="00016C45"/>
    <w:rsid w:val="000171A6"/>
    <w:rsid w:val="000171FF"/>
    <w:rsid w:val="00017767"/>
    <w:rsid w:val="00020CC5"/>
    <w:rsid w:val="000214EF"/>
    <w:rsid w:val="0002172B"/>
    <w:rsid w:val="00021962"/>
    <w:rsid w:val="00021A48"/>
    <w:rsid w:val="00021B38"/>
    <w:rsid w:val="00021BC7"/>
    <w:rsid w:val="000222E9"/>
    <w:rsid w:val="00022B25"/>
    <w:rsid w:val="00023F23"/>
    <w:rsid w:val="00024D38"/>
    <w:rsid w:val="00025192"/>
    <w:rsid w:val="000251ED"/>
    <w:rsid w:val="00025638"/>
    <w:rsid w:val="000257BE"/>
    <w:rsid w:val="0002602D"/>
    <w:rsid w:val="0002619A"/>
    <w:rsid w:val="00027ED6"/>
    <w:rsid w:val="00027F90"/>
    <w:rsid w:val="00031A97"/>
    <w:rsid w:val="00032000"/>
    <w:rsid w:val="0003202D"/>
    <w:rsid w:val="00032348"/>
    <w:rsid w:val="00032A19"/>
    <w:rsid w:val="00032B80"/>
    <w:rsid w:val="00032E40"/>
    <w:rsid w:val="0003397D"/>
    <w:rsid w:val="00033B27"/>
    <w:rsid w:val="00035CEE"/>
    <w:rsid w:val="000376CD"/>
    <w:rsid w:val="00037A99"/>
    <w:rsid w:val="000407C0"/>
    <w:rsid w:val="000409EE"/>
    <w:rsid w:val="0004294D"/>
    <w:rsid w:val="00044A71"/>
    <w:rsid w:val="00044AF6"/>
    <w:rsid w:val="00045E9F"/>
    <w:rsid w:val="000467E1"/>
    <w:rsid w:val="0004695C"/>
    <w:rsid w:val="00050624"/>
    <w:rsid w:val="00050E81"/>
    <w:rsid w:val="00050F33"/>
    <w:rsid w:val="00050FAB"/>
    <w:rsid w:val="00051CCC"/>
    <w:rsid w:val="0005326A"/>
    <w:rsid w:val="00054AD0"/>
    <w:rsid w:val="00054CAA"/>
    <w:rsid w:val="00055669"/>
    <w:rsid w:val="000556EF"/>
    <w:rsid w:val="00056520"/>
    <w:rsid w:val="000565EE"/>
    <w:rsid w:val="00056854"/>
    <w:rsid w:val="00057313"/>
    <w:rsid w:val="00060A97"/>
    <w:rsid w:val="00060FD6"/>
    <w:rsid w:val="00061122"/>
    <w:rsid w:val="00061393"/>
    <w:rsid w:val="000614A6"/>
    <w:rsid w:val="000616CD"/>
    <w:rsid w:val="000616DC"/>
    <w:rsid w:val="00062854"/>
    <w:rsid w:val="00062BAA"/>
    <w:rsid w:val="00063332"/>
    <w:rsid w:val="000640B4"/>
    <w:rsid w:val="0006433C"/>
    <w:rsid w:val="00064C03"/>
    <w:rsid w:val="000656BF"/>
    <w:rsid w:val="0006698E"/>
    <w:rsid w:val="00067196"/>
    <w:rsid w:val="000671D2"/>
    <w:rsid w:val="000712BB"/>
    <w:rsid w:val="0007244B"/>
    <w:rsid w:val="00072B72"/>
    <w:rsid w:val="00073DA7"/>
    <w:rsid w:val="00073DCD"/>
    <w:rsid w:val="0007505C"/>
    <w:rsid w:val="000752CA"/>
    <w:rsid w:val="0007579C"/>
    <w:rsid w:val="00075889"/>
    <w:rsid w:val="00075946"/>
    <w:rsid w:val="000764C1"/>
    <w:rsid w:val="000767AD"/>
    <w:rsid w:val="000767F0"/>
    <w:rsid w:val="00077CD4"/>
    <w:rsid w:val="00080216"/>
    <w:rsid w:val="000805A7"/>
    <w:rsid w:val="00080813"/>
    <w:rsid w:val="00080BE3"/>
    <w:rsid w:val="000816F6"/>
    <w:rsid w:val="00081D9F"/>
    <w:rsid w:val="00082027"/>
    <w:rsid w:val="00082473"/>
    <w:rsid w:val="00083713"/>
    <w:rsid w:val="00083784"/>
    <w:rsid w:val="00083960"/>
    <w:rsid w:val="00083EB2"/>
    <w:rsid w:val="000841E6"/>
    <w:rsid w:val="000842D8"/>
    <w:rsid w:val="000845A8"/>
    <w:rsid w:val="00084E2C"/>
    <w:rsid w:val="00084FEF"/>
    <w:rsid w:val="000865AE"/>
    <w:rsid w:val="0008791D"/>
    <w:rsid w:val="0009033B"/>
    <w:rsid w:val="00090C38"/>
    <w:rsid w:val="00090D19"/>
    <w:rsid w:val="00090EB9"/>
    <w:rsid w:val="000914DA"/>
    <w:rsid w:val="00092008"/>
    <w:rsid w:val="00092331"/>
    <w:rsid w:val="000926AD"/>
    <w:rsid w:val="000928F3"/>
    <w:rsid w:val="00092B25"/>
    <w:rsid w:val="00093A52"/>
    <w:rsid w:val="0009458F"/>
    <w:rsid w:val="0009464E"/>
    <w:rsid w:val="00094A13"/>
    <w:rsid w:val="00094D8B"/>
    <w:rsid w:val="00094E3F"/>
    <w:rsid w:val="00095293"/>
    <w:rsid w:val="000963B2"/>
    <w:rsid w:val="00096AB4"/>
    <w:rsid w:val="00097E37"/>
    <w:rsid w:val="000A0642"/>
    <w:rsid w:val="000A0A91"/>
    <w:rsid w:val="000A3494"/>
    <w:rsid w:val="000A3C8A"/>
    <w:rsid w:val="000A492E"/>
    <w:rsid w:val="000A4D54"/>
    <w:rsid w:val="000A4FC2"/>
    <w:rsid w:val="000A4FF9"/>
    <w:rsid w:val="000A51F1"/>
    <w:rsid w:val="000A522E"/>
    <w:rsid w:val="000A5961"/>
    <w:rsid w:val="000A646C"/>
    <w:rsid w:val="000A66A0"/>
    <w:rsid w:val="000A67AA"/>
    <w:rsid w:val="000A6A83"/>
    <w:rsid w:val="000B0932"/>
    <w:rsid w:val="000B0B1A"/>
    <w:rsid w:val="000B2082"/>
    <w:rsid w:val="000B2695"/>
    <w:rsid w:val="000B2AAD"/>
    <w:rsid w:val="000B310B"/>
    <w:rsid w:val="000B3BC2"/>
    <w:rsid w:val="000B3E3A"/>
    <w:rsid w:val="000B4435"/>
    <w:rsid w:val="000B4BF8"/>
    <w:rsid w:val="000B582A"/>
    <w:rsid w:val="000B626B"/>
    <w:rsid w:val="000B69CF"/>
    <w:rsid w:val="000B6C25"/>
    <w:rsid w:val="000B6D3F"/>
    <w:rsid w:val="000B7273"/>
    <w:rsid w:val="000B73C7"/>
    <w:rsid w:val="000B7798"/>
    <w:rsid w:val="000C0563"/>
    <w:rsid w:val="000C0D10"/>
    <w:rsid w:val="000C118F"/>
    <w:rsid w:val="000C1646"/>
    <w:rsid w:val="000C18F6"/>
    <w:rsid w:val="000C24E1"/>
    <w:rsid w:val="000C2586"/>
    <w:rsid w:val="000C2902"/>
    <w:rsid w:val="000C2B41"/>
    <w:rsid w:val="000C2C27"/>
    <w:rsid w:val="000C3140"/>
    <w:rsid w:val="000C3C2A"/>
    <w:rsid w:val="000C4400"/>
    <w:rsid w:val="000C458C"/>
    <w:rsid w:val="000C48D5"/>
    <w:rsid w:val="000C5280"/>
    <w:rsid w:val="000C5FF9"/>
    <w:rsid w:val="000C60BB"/>
    <w:rsid w:val="000C6EBF"/>
    <w:rsid w:val="000C709A"/>
    <w:rsid w:val="000C7456"/>
    <w:rsid w:val="000D0350"/>
    <w:rsid w:val="000D064B"/>
    <w:rsid w:val="000D0C1C"/>
    <w:rsid w:val="000D107D"/>
    <w:rsid w:val="000D1420"/>
    <w:rsid w:val="000D178D"/>
    <w:rsid w:val="000D1A69"/>
    <w:rsid w:val="000D2048"/>
    <w:rsid w:val="000D2B9B"/>
    <w:rsid w:val="000D2EF7"/>
    <w:rsid w:val="000D3207"/>
    <w:rsid w:val="000D3A52"/>
    <w:rsid w:val="000D3D6F"/>
    <w:rsid w:val="000D3EC4"/>
    <w:rsid w:val="000D3F59"/>
    <w:rsid w:val="000D41FB"/>
    <w:rsid w:val="000D434F"/>
    <w:rsid w:val="000D468C"/>
    <w:rsid w:val="000D5316"/>
    <w:rsid w:val="000D5457"/>
    <w:rsid w:val="000D6FA8"/>
    <w:rsid w:val="000D78DF"/>
    <w:rsid w:val="000D7F29"/>
    <w:rsid w:val="000E0DCF"/>
    <w:rsid w:val="000E15D0"/>
    <w:rsid w:val="000E23B2"/>
    <w:rsid w:val="000E2455"/>
    <w:rsid w:val="000E3EBB"/>
    <w:rsid w:val="000E4554"/>
    <w:rsid w:val="000E46B7"/>
    <w:rsid w:val="000E4863"/>
    <w:rsid w:val="000E53E1"/>
    <w:rsid w:val="000E59C7"/>
    <w:rsid w:val="000E59E7"/>
    <w:rsid w:val="000E6CC0"/>
    <w:rsid w:val="000E7C3C"/>
    <w:rsid w:val="000E7F96"/>
    <w:rsid w:val="000F0204"/>
    <w:rsid w:val="000F12B7"/>
    <w:rsid w:val="000F156E"/>
    <w:rsid w:val="000F2A96"/>
    <w:rsid w:val="000F305F"/>
    <w:rsid w:val="000F3B09"/>
    <w:rsid w:val="000F3BDF"/>
    <w:rsid w:val="000F3CC5"/>
    <w:rsid w:val="000F4966"/>
    <w:rsid w:val="000F4E92"/>
    <w:rsid w:val="000F4F4A"/>
    <w:rsid w:val="000F5180"/>
    <w:rsid w:val="000F69C3"/>
    <w:rsid w:val="000F7F89"/>
    <w:rsid w:val="001000D9"/>
    <w:rsid w:val="00100694"/>
    <w:rsid w:val="0010069F"/>
    <w:rsid w:val="001008E1"/>
    <w:rsid w:val="0010121A"/>
    <w:rsid w:val="00102185"/>
    <w:rsid w:val="00102238"/>
    <w:rsid w:val="001024C8"/>
    <w:rsid w:val="00102B3E"/>
    <w:rsid w:val="00102F57"/>
    <w:rsid w:val="0010334F"/>
    <w:rsid w:val="00103351"/>
    <w:rsid w:val="00103359"/>
    <w:rsid w:val="00103573"/>
    <w:rsid w:val="00103AA0"/>
    <w:rsid w:val="00103CA1"/>
    <w:rsid w:val="0010465B"/>
    <w:rsid w:val="00104B49"/>
    <w:rsid w:val="00104EE6"/>
    <w:rsid w:val="00104FB3"/>
    <w:rsid w:val="00105933"/>
    <w:rsid w:val="001060B4"/>
    <w:rsid w:val="00106C9E"/>
    <w:rsid w:val="00107148"/>
    <w:rsid w:val="00107B73"/>
    <w:rsid w:val="00107C19"/>
    <w:rsid w:val="00107FAF"/>
    <w:rsid w:val="00107FF5"/>
    <w:rsid w:val="00110C25"/>
    <w:rsid w:val="0011104F"/>
    <w:rsid w:val="00111961"/>
    <w:rsid w:val="00111C50"/>
    <w:rsid w:val="001130EC"/>
    <w:rsid w:val="001133A8"/>
    <w:rsid w:val="001137BF"/>
    <w:rsid w:val="001141CF"/>
    <w:rsid w:val="001143C1"/>
    <w:rsid w:val="0011441C"/>
    <w:rsid w:val="001148FD"/>
    <w:rsid w:val="00114CCE"/>
    <w:rsid w:val="00114E5E"/>
    <w:rsid w:val="00115062"/>
    <w:rsid w:val="0011555E"/>
    <w:rsid w:val="0011593B"/>
    <w:rsid w:val="001160A5"/>
    <w:rsid w:val="0011639D"/>
    <w:rsid w:val="0011705A"/>
    <w:rsid w:val="001172E7"/>
    <w:rsid w:val="001175CA"/>
    <w:rsid w:val="0011768B"/>
    <w:rsid w:val="001178CA"/>
    <w:rsid w:val="0012031D"/>
    <w:rsid w:val="00121532"/>
    <w:rsid w:val="00121933"/>
    <w:rsid w:val="00122063"/>
    <w:rsid w:val="001224B5"/>
    <w:rsid w:val="001224F7"/>
    <w:rsid w:val="00122636"/>
    <w:rsid w:val="001251CC"/>
    <w:rsid w:val="00125582"/>
    <w:rsid w:val="00125A58"/>
    <w:rsid w:val="00126059"/>
    <w:rsid w:val="001263C6"/>
    <w:rsid w:val="0012689A"/>
    <w:rsid w:val="00126B7F"/>
    <w:rsid w:val="001272E6"/>
    <w:rsid w:val="0012751D"/>
    <w:rsid w:val="00127DC8"/>
    <w:rsid w:val="00130ABD"/>
    <w:rsid w:val="00131C2C"/>
    <w:rsid w:val="00131C6B"/>
    <w:rsid w:val="00131C93"/>
    <w:rsid w:val="0013222C"/>
    <w:rsid w:val="00132B93"/>
    <w:rsid w:val="00133087"/>
    <w:rsid w:val="0013394D"/>
    <w:rsid w:val="00133E75"/>
    <w:rsid w:val="001344C4"/>
    <w:rsid w:val="001352A0"/>
    <w:rsid w:val="00135357"/>
    <w:rsid w:val="001356F4"/>
    <w:rsid w:val="0013615D"/>
    <w:rsid w:val="001361C9"/>
    <w:rsid w:val="001368CC"/>
    <w:rsid w:val="00136DE8"/>
    <w:rsid w:val="00136F0D"/>
    <w:rsid w:val="001372C2"/>
    <w:rsid w:val="00140A84"/>
    <w:rsid w:val="00141D76"/>
    <w:rsid w:val="00142889"/>
    <w:rsid w:val="00142D59"/>
    <w:rsid w:val="00142DE4"/>
    <w:rsid w:val="00143672"/>
    <w:rsid w:val="00145601"/>
    <w:rsid w:val="00146394"/>
    <w:rsid w:val="00146B09"/>
    <w:rsid w:val="00147193"/>
    <w:rsid w:val="0015097C"/>
    <w:rsid w:val="00150F1F"/>
    <w:rsid w:val="0015104E"/>
    <w:rsid w:val="0015189F"/>
    <w:rsid w:val="00152E58"/>
    <w:rsid w:val="00153FDD"/>
    <w:rsid w:val="001542F2"/>
    <w:rsid w:val="001544CA"/>
    <w:rsid w:val="001546FC"/>
    <w:rsid w:val="0015494B"/>
    <w:rsid w:val="00155B3F"/>
    <w:rsid w:val="00157714"/>
    <w:rsid w:val="00157F97"/>
    <w:rsid w:val="00157FB2"/>
    <w:rsid w:val="001607DD"/>
    <w:rsid w:val="00161587"/>
    <w:rsid w:val="00161A9E"/>
    <w:rsid w:val="00161F47"/>
    <w:rsid w:val="001628DA"/>
    <w:rsid w:val="00162D12"/>
    <w:rsid w:val="00163831"/>
    <w:rsid w:val="00164207"/>
    <w:rsid w:val="00164459"/>
    <w:rsid w:val="00165393"/>
    <w:rsid w:val="00165F76"/>
    <w:rsid w:val="001660E7"/>
    <w:rsid w:val="00167DB9"/>
    <w:rsid w:val="00170646"/>
    <w:rsid w:val="0017078A"/>
    <w:rsid w:val="00170B3A"/>
    <w:rsid w:val="00170C0D"/>
    <w:rsid w:val="00170CB3"/>
    <w:rsid w:val="001713DA"/>
    <w:rsid w:val="001717AB"/>
    <w:rsid w:val="00171D44"/>
    <w:rsid w:val="00171F17"/>
    <w:rsid w:val="001724A7"/>
    <w:rsid w:val="00172C3B"/>
    <w:rsid w:val="001732E5"/>
    <w:rsid w:val="00173A75"/>
    <w:rsid w:val="00174064"/>
    <w:rsid w:val="001744DB"/>
    <w:rsid w:val="00175248"/>
    <w:rsid w:val="00175B54"/>
    <w:rsid w:val="001762ED"/>
    <w:rsid w:val="00177BC3"/>
    <w:rsid w:val="00177DAF"/>
    <w:rsid w:val="00180CDD"/>
    <w:rsid w:val="00180D19"/>
    <w:rsid w:val="00180F09"/>
    <w:rsid w:val="001810A3"/>
    <w:rsid w:val="0018257A"/>
    <w:rsid w:val="0018269A"/>
    <w:rsid w:val="00182846"/>
    <w:rsid w:val="001835D9"/>
    <w:rsid w:val="00183D57"/>
    <w:rsid w:val="00184199"/>
    <w:rsid w:val="001843CB"/>
    <w:rsid w:val="00184479"/>
    <w:rsid w:val="0018464F"/>
    <w:rsid w:val="00184A29"/>
    <w:rsid w:val="00184C9B"/>
    <w:rsid w:val="0018500B"/>
    <w:rsid w:val="00185179"/>
    <w:rsid w:val="00185463"/>
    <w:rsid w:val="0018611B"/>
    <w:rsid w:val="00186E2E"/>
    <w:rsid w:val="001879BB"/>
    <w:rsid w:val="00187AF2"/>
    <w:rsid w:val="00190463"/>
    <w:rsid w:val="001905BA"/>
    <w:rsid w:val="00190702"/>
    <w:rsid w:val="001908FD"/>
    <w:rsid w:val="00191405"/>
    <w:rsid w:val="0019198F"/>
    <w:rsid w:val="00191C45"/>
    <w:rsid w:val="00192C6A"/>
    <w:rsid w:val="001941B2"/>
    <w:rsid w:val="00194352"/>
    <w:rsid w:val="00194362"/>
    <w:rsid w:val="0019449F"/>
    <w:rsid w:val="00194C5F"/>
    <w:rsid w:val="00195D9E"/>
    <w:rsid w:val="0019651C"/>
    <w:rsid w:val="001966D9"/>
    <w:rsid w:val="00196868"/>
    <w:rsid w:val="00196B33"/>
    <w:rsid w:val="001972FB"/>
    <w:rsid w:val="0019745E"/>
    <w:rsid w:val="00197687"/>
    <w:rsid w:val="00197A08"/>
    <w:rsid w:val="001A0521"/>
    <w:rsid w:val="001A1588"/>
    <w:rsid w:val="001A15DC"/>
    <w:rsid w:val="001A2453"/>
    <w:rsid w:val="001A29DD"/>
    <w:rsid w:val="001A330E"/>
    <w:rsid w:val="001A437C"/>
    <w:rsid w:val="001A43D1"/>
    <w:rsid w:val="001A44F3"/>
    <w:rsid w:val="001A4D7C"/>
    <w:rsid w:val="001A4DC8"/>
    <w:rsid w:val="001A6B24"/>
    <w:rsid w:val="001A7156"/>
    <w:rsid w:val="001A72C9"/>
    <w:rsid w:val="001A76C5"/>
    <w:rsid w:val="001B0134"/>
    <w:rsid w:val="001B0B9D"/>
    <w:rsid w:val="001B458C"/>
    <w:rsid w:val="001B49B5"/>
    <w:rsid w:val="001B4DA7"/>
    <w:rsid w:val="001B52A1"/>
    <w:rsid w:val="001B5412"/>
    <w:rsid w:val="001B5747"/>
    <w:rsid w:val="001B578C"/>
    <w:rsid w:val="001B5989"/>
    <w:rsid w:val="001B5ADE"/>
    <w:rsid w:val="001B63AF"/>
    <w:rsid w:val="001B7F54"/>
    <w:rsid w:val="001C0340"/>
    <w:rsid w:val="001C06D2"/>
    <w:rsid w:val="001C0955"/>
    <w:rsid w:val="001C0A87"/>
    <w:rsid w:val="001C0AFD"/>
    <w:rsid w:val="001C0D89"/>
    <w:rsid w:val="001C15A2"/>
    <w:rsid w:val="001C2267"/>
    <w:rsid w:val="001C2592"/>
    <w:rsid w:val="001C263B"/>
    <w:rsid w:val="001C2793"/>
    <w:rsid w:val="001C37D8"/>
    <w:rsid w:val="001C3D0A"/>
    <w:rsid w:val="001C3E30"/>
    <w:rsid w:val="001C472B"/>
    <w:rsid w:val="001C4786"/>
    <w:rsid w:val="001C4AAE"/>
    <w:rsid w:val="001C4C59"/>
    <w:rsid w:val="001C4F85"/>
    <w:rsid w:val="001C5CF7"/>
    <w:rsid w:val="001C5FEF"/>
    <w:rsid w:val="001C61DD"/>
    <w:rsid w:val="001C6BFF"/>
    <w:rsid w:val="001C70B8"/>
    <w:rsid w:val="001D082D"/>
    <w:rsid w:val="001D08B8"/>
    <w:rsid w:val="001D16B6"/>
    <w:rsid w:val="001D1D47"/>
    <w:rsid w:val="001D27AE"/>
    <w:rsid w:val="001D3470"/>
    <w:rsid w:val="001D35D7"/>
    <w:rsid w:val="001D3B4C"/>
    <w:rsid w:val="001D3BD0"/>
    <w:rsid w:val="001D3C7E"/>
    <w:rsid w:val="001D4E37"/>
    <w:rsid w:val="001D4F3B"/>
    <w:rsid w:val="001D65B1"/>
    <w:rsid w:val="001D6972"/>
    <w:rsid w:val="001D6F79"/>
    <w:rsid w:val="001E00B8"/>
    <w:rsid w:val="001E0CFD"/>
    <w:rsid w:val="001E15DC"/>
    <w:rsid w:val="001E1A54"/>
    <w:rsid w:val="001E26D3"/>
    <w:rsid w:val="001E2BB6"/>
    <w:rsid w:val="001E341F"/>
    <w:rsid w:val="001E4800"/>
    <w:rsid w:val="001E621E"/>
    <w:rsid w:val="001E64A5"/>
    <w:rsid w:val="001E64CA"/>
    <w:rsid w:val="001E6DB0"/>
    <w:rsid w:val="001E706D"/>
    <w:rsid w:val="001E70E3"/>
    <w:rsid w:val="001E77D1"/>
    <w:rsid w:val="001E7C41"/>
    <w:rsid w:val="001E7DAD"/>
    <w:rsid w:val="001F042C"/>
    <w:rsid w:val="001F0E5C"/>
    <w:rsid w:val="001F17F0"/>
    <w:rsid w:val="001F18B2"/>
    <w:rsid w:val="001F2005"/>
    <w:rsid w:val="001F255F"/>
    <w:rsid w:val="001F304F"/>
    <w:rsid w:val="001F44F8"/>
    <w:rsid w:val="001F4EBF"/>
    <w:rsid w:val="001F5120"/>
    <w:rsid w:val="001F562E"/>
    <w:rsid w:val="001F7575"/>
    <w:rsid w:val="001F7BBA"/>
    <w:rsid w:val="00200192"/>
    <w:rsid w:val="00200518"/>
    <w:rsid w:val="00200D2A"/>
    <w:rsid w:val="00200E3F"/>
    <w:rsid w:val="00201110"/>
    <w:rsid w:val="002014E7"/>
    <w:rsid w:val="00201780"/>
    <w:rsid w:val="00201F3C"/>
    <w:rsid w:val="00202598"/>
    <w:rsid w:val="00202777"/>
    <w:rsid w:val="00202FE5"/>
    <w:rsid w:val="00203C48"/>
    <w:rsid w:val="00203C76"/>
    <w:rsid w:val="00203FC0"/>
    <w:rsid w:val="0020445B"/>
    <w:rsid w:val="002046DE"/>
    <w:rsid w:val="00204C55"/>
    <w:rsid w:val="002058FA"/>
    <w:rsid w:val="00206E18"/>
    <w:rsid w:val="002070A7"/>
    <w:rsid w:val="002077A3"/>
    <w:rsid w:val="00207870"/>
    <w:rsid w:val="00207AF0"/>
    <w:rsid w:val="00210DDD"/>
    <w:rsid w:val="00211DD8"/>
    <w:rsid w:val="002124C7"/>
    <w:rsid w:val="00212982"/>
    <w:rsid w:val="00212F90"/>
    <w:rsid w:val="002130A4"/>
    <w:rsid w:val="00213F02"/>
    <w:rsid w:val="002146A9"/>
    <w:rsid w:val="00214E7B"/>
    <w:rsid w:val="002150A0"/>
    <w:rsid w:val="002152AA"/>
    <w:rsid w:val="0021596A"/>
    <w:rsid w:val="00215A49"/>
    <w:rsid w:val="00216285"/>
    <w:rsid w:val="002163D9"/>
    <w:rsid w:val="002170B9"/>
    <w:rsid w:val="002178EA"/>
    <w:rsid w:val="00217C8A"/>
    <w:rsid w:val="00217CF3"/>
    <w:rsid w:val="0022075A"/>
    <w:rsid w:val="00221492"/>
    <w:rsid w:val="0022177C"/>
    <w:rsid w:val="00221A26"/>
    <w:rsid w:val="00222C48"/>
    <w:rsid w:val="00222D08"/>
    <w:rsid w:val="002237E9"/>
    <w:rsid w:val="00224067"/>
    <w:rsid w:val="002240AA"/>
    <w:rsid w:val="0022490B"/>
    <w:rsid w:val="00224B51"/>
    <w:rsid w:val="00224D68"/>
    <w:rsid w:val="002252D7"/>
    <w:rsid w:val="002264C4"/>
    <w:rsid w:val="00226619"/>
    <w:rsid w:val="002266F6"/>
    <w:rsid w:val="00226763"/>
    <w:rsid w:val="002267E5"/>
    <w:rsid w:val="00226804"/>
    <w:rsid w:val="00226CB7"/>
    <w:rsid w:val="00226D98"/>
    <w:rsid w:val="00227FC0"/>
    <w:rsid w:val="00230840"/>
    <w:rsid w:val="00230EDA"/>
    <w:rsid w:val="00231167"/>
    <w:rsid w:val="0023177A"/>
    <w:rsid w:val="00231A3C"/>
    <w:rsid w:val="00231B31"/>
    <w:rsid w:val="0023207F"/>
    <w:rsid w:val="00232934"/>
    <w:rsid w:val="002330DB"/>
    <w:rsid w:val="002334B4"/>
    <w:rsid w:val="00233B13"/>
    <w:rsid w:val="00233D65"/>
    <w:rsid w:val="002347F1"/>
    <w:rsid w:val="002349BF"/>
    <w:rsid w:val="00234C54"/>
    <w:rsid w:val="00235701"/>
    <w:rsid w:val="00235D1D"/>
    <w:rsid w:val="00235F45"/>
    <w:rsid w:val="002368CA"/>
    <w:rsid w:val="002379E6"/>
    <w:rsid w:val="00237B64"/>
    <w:rsid w:val="0024042F"/>
    <w:rsid w:val="002414E9"/>
    <w:rsid w:val="00241CAB"/>
    <w:rsid w:val="002421BA"/>
    <w:rsid w:val="00245D21"/>
    <w:rsid w:val="00245E1C"/>
    <w:rsid w:val="00250136"/>
    <w:rsid w:val="002505FE"/>
    <w:rsid w:val="002519E6"/>
    <w:rsid w:val="00252801"/>
    <w:rsid w:val="00255777"/>
    <w:rsid w:val="00255A6D"/>
    <w:rsid w:val="00256D36"/>
    <w:rsid w:val="00257074"/>
    <w:rsid w:val="00257D94"/>
    <w:rsid w:val="00260026"/>
    <w:rsid w:val="00260FB1"/>
    <w:rsid w:val="002615FD"/>
    <w:rsid w:val="00261617"/>
    <w:rsid w:val="00262108"/>
    <w:rsid w:val="0026282F"/>
    <w:rsid w:val="00263814"/>
    <w:rsid w:val="002639A6"/>
    <w:rsid w:val="0026408E"/>
    <w:rsid w:val="002640D4"/>
    <w:rsid w:val="00264168"/>
    <w:rsid w:val="00264BFA"/>
    <w:rsid w:val="00264CFC"/>
    <w:rsid w:val="00265584"/>
    <w:rsid w:val="002656F4"/>
    <w:rsid w:val="00266A4A"/>
    <w:rsid w:val="00266A68"/>
    <w:rsid w:val="00266E43"/>
    <w:rsid w:val="00266EB9"/>
    <w:rsid w:val="00267103"/>
    <w:rsid w:val="00267B7E"/>
    <w:rsid w:val="00267E53"/>
    <w:rsid w:val="00270281"/>
    <w:rsid w:val="00270654"/>
    <w:rsid w:val="00271ABB"/>
    <w:rsid w:val="0027343D"/>
    <w:rsid w:val="0027353A"/>
    <w:rsid w:val="00273617"/>
    <w:rsid w:val="00273640"/>
    <w:rsid w:val="00273870"/>
    <w:rsid w:val="00273A4F"/>
    <w:rsid w:val="0027482C"/>
    <w:rsid w:val="00275889"/>
    <w:rsid w:val="0027594B"/>
    <w:rsid w:val="00275CE9"/>
    <w:rsid w:val="00275E76"/>
    <w:rsid w:val="00276473"/>
    <w:rsid w:val="002768A4"/>
    <w:rsid w:val="00276993"/>
    <w:rsid w:val="00276F09"/>
    <w:rsid w:val="0027722A"/>
    <w:rsid w:val="002772D1"/>
    <w:rsid w:val="00277D90"/>
    <w:rsid w:val="00277F7C"/>
    <w:rsid w:val="00281958"/>
    <w:rsid w:val="00281AC6"/>
    <w:rsid w:val="00281E00"/>
    <w:rsid w:val="00281EA4"/>
    <w:rsid w:val="00282BC7"/>
    <w:rsid w:val="00283785"/>
    <w:rsid w:val="00283CA5"/>
    <w:rsid w:val="00284229"/>
    <w:rsid w:val="00284BEA"/>
    <w:rsid w:val="00284C94"/>
    <w:rsid w:val="00284EBA"/>
    <w:rsid w:val="00286063"/>
    <w:rsid w:val="002861A2"/>
    <w:rsid w:val="00286702"/>
    <w:rsid w:val="00287206"/>
    <w:rsid w:val="0028729A"/>
    <w:rsid w:val="002873AA"/>
    <w:rsid w:val="0028757D"/>
    <w:rsid w:val="00290BC4"/>
    <w:rsid w:val="00291AE3"/>
    <w:rsid w:val="00291E00"/>
    <w:rsid w:val="002925C5"/>
    <w:rsid w:val="0029272C"/>
    <w:rsid w:val="002928D6"/>
    <w:rsid w:val="0029339B"/>
    <w:rsid w:val="002933A1"/>
    <w:rsid w:val="00293733"/>
    <w:rsid w:val="00294156"/>
    <w:rsid w:val="00294158"/>
    <w:rsid w:val="00294736"/>
    <w:rsid w:val="0029482B"/>
    <w:rsid w:val="00294A7A"/>
    <w:rsid w:val="00294BE6"/>
    <w:rsid w:val="0029516F"/>
    <w:rsid w:val="00295363"/>
    <w:rsid w:val="00295399"/>
    <w:rsid w:val="0029547C"/>
    <w:rsid w:val="0029604B"/>
    <w:rsid w:val="00296A99"/>
    <w:rsid w:val="00297BC6"/>
    <w:rsid w:val="00297D19"/>
    <w:rsid w:val="002A070C"/>
    <w:rsid w:val="002A09C3"/>
    <w:rsid w:val="002A1156"/>
    <w:rsid w:val="002A1192"/>
    <w:rsid w:val="002A14E8"/>
    <w:rsid w:val="002A1640"/>
    <w:rsid w:val="002A1A84"/>
    <w:rsid w:val="002A1EE4"/>
    <w:rsid w:val="002A21DA"/>
    <w:rsid w:val="002A2959"/>
    <w:rsid w:val="002A2F2D"/>
    <w:rsid w:val="002A2F49"/>
    <w:rsid w:val="002A3164"/>
    <w:rsid w:val="002A4032"/>
    <w:rsid w:val="002A435A"/>
    <w:rsid w:val="002A47C5"/>
    <w:rsid w:val="002A5245"/>
    <w:rsid w:val="002A5C0C"/>
    <w:rsid w:val="002A5D69"/>
    <w:rsid w:val="002A7641"/>
    <w:rsid w:val="002B0239"/>
    <w:rsid w:val="002B187F"/>
    <w:rsid w:val="002B2C0E"/>
    <w:rsid w:val="002B33C9"/>
    <w:rsid w:val="002B3523"/>
    <w:rsid w:val="002B35B2"/>
    <w:rsid w:val="002B4BBA"/>
    <w:rsid w:val="002B51A4"/>
    <w:rsid w:val="002B51E0"/>
    <w:rsid w:val="002B57CB"/>
    <w:rsid w:val="002B5A11"/>
    <w:rsid w:val="002B67D6"/>
    <w:rsid w:val="002B69C6"/>
    <w:rsid w:val="002B7069"/>
    <w:rsid w:val="002C00AE"/>
    <w:rsid w:val="002C05E0"/>
    <w:rsid w:val="002C0B0A"/>
    <w:rsid w:val="002C0FF5"/>
    <w:rsid w:val="002C207B"/>
    <w:rsid w:val="002C2E58"/>
    <w:rsid w:val="002C320C"/>
    <w:rsid w:val="002C371F"/>
    <w:rsid w:val="002C3981"/>
    <w:rsid w:val="002C412D"/>
    <w:rsid w:val="002C46E8"/>
    <w:rsid w:val="002C49B6"/>
    <w:rsid w:val="002C4B98"/>
    <w:rsid w:val="002C5090"/>
    <w:rsid w:val="002C51BB"/>
    <w:rsid w:val="002C5B4F"/>
    <w:rsid w:val="002C608C"/>
    <w:rsid w:val="002C6FE9"/>
    <w:rsid w:val="002D0AB0"/>
    <w:rsid w:val="002D0E95"/>
    <w:rsid w:val="002D14DB"/>
    <w:rsid w:val="002D16C5"/>
    <w:rsid w:val="002D16E5"/>
    <w:rsid w:val="002D18A6"/>
    <w:rsid w:val="002D1CE8"/>
    <w:rsid w:val="002D21DF"/>
    <w:rsid w:val="002D48AF"/>
    <w:rsid w:val="002D580B"/>
    <w:rsid w:val="002D59B6"/>
    <w:rsid w:val="002D5CCB"/>
    <w:rsid w:val="002D634B"/>
    <w:rsid w:val="002D6DE8"/>
    <w:rsid w:val="002D759F"/>
    <w:rsid w:val="002D773C"/>
    <w:rsid w:val="002E110D"/>
    <w:rsid w:val="002E1845"/>
    <w:rsid w:val="002E1A90"/>
    <w:rsid w:val="002E1FB0"/>
    <w:rsid w:val="002E20A9"/>
    <w:rsid w:val="002E2309"/>
    <w:rsid w:val="002E266A"/>
    <w:rsid w:val="002E29D4"/>
    <w:rsid w:val="002E2A0A"/>
    <w:rsid w:val="002E2F80"/>
    <w:rsid w:val="002E3D4A"/>
    <w:rsid w:val="002E4323"/>
    <w:rsid w:val="002E463E"/>
    <w:rsid w:val="002E4DCA"/>
    <w:rsid w:val="002E557D"/>
    <w:rsid w:val="002E5688"/>
    <w:rsid w:val="002E593B"/>
    <w:rsid w:val="002E5E9E"/>
    <w:rsid w:val="002E6294"/>
    <w:rsid w:val="002E6468"/>
    <w:rsid w:val="002E742F"/>
    <w:rsid w:val="002E744F"/>
    <w:rsid w:val="002E7767"/>
    <w:rsid w:val="002E7EF2"/>
    <w:rsid w:val="002F1256"/>
    <w:rsid w:val="002F1385"/>
    <w:rsid w:val="002F1B2A"/>
    <w:rsid w:val="002F200B"/>
    <w:rsid w:val="002F22E1"/>
    <w:rsid w:val="002F3252"/>
    <w:rsid w:val="002F3AC5"/>
    <w:rsid w:val="002F3B58"/>
    <w:rsid w:val="002F3F62"/>
    <w:rsid w:val="002F3F85"/>
    <w:rsid w:val="002F4C1A"/>
    <w:rsid w:val="002F4F3E"/>
    <w:rsid w:val="002F66D2"/>
    <w:rsid w:val="002F6A12"/>
    <w:rsid w:val="002F7D8B"/>
    <w:rsid w:val="00300314"/>
    <w:rsid w:val="0030039D"/>
    <w:rsid w:val="0030093B"/>
    <w:rsid w:val="00300BAA"/>
    <w:rsid w:val="00300BFF"/>
    <w:rsid w:val="0030142E"/>
    <w:rsid w:val="00302417"/>
    <w:rsid w:val="00302A3D"/>
    <w:rsid w:val="00302D8D"/>
    <w:rsid w:val="0030302C"/>
    <w:rsid w:val="00303D0B"/>
    <w:rsid w:val="0030478B"/>
    <w:rsid w:val="00304FB3"/>
    <w:rsid w:val="00305A47"/>
    <w:rsid w:val="00305A7C"/>
    <w:rsid w:val="00306894"/>
    <w:rsid w:val="003070A5"/>
    <w:rsid w:val="00307192"/>
    <w:rsid w:val="00307637"/>
    <w:rsid w:val="003102C5"/>
    <w:rsid w:val="003108C8"/>
    <w:rsid w:val="00310ED6"/>
    <w:rsid w:val="003118B2"/>
    <w:rsid w:val="00311EF9"/>
    <w:rsid w:val="003120E1"/>
    <w:rsid w:val="0031213F"/>
    <w:rsid w:val="00312F23"/>
    <w:rsid w:val="00313208"/>
    <w:rsid w:val="003136AC"/>
    <w:rsid w:val="003146D0"/>
    <w:rsid w:val="00314729"/>
    <w:rsid w:val="00314999"/>
    <w:rsid w:val="00314FEC"/>
    <w:rsid w:val="00315ECC"/>
    <w:rsid w:val="00315F63"/>
    <w:rsid w:val="00316A6C"/>
    <w:rsid w:val="0031714F"/>
    <w:rsid w:val="00317656"/>
    <w:rsid w:val="00317B40"/>
    <w:rsid w:val="00317DD8"/>
    <w:rsid w:val="00320891"/>
    <w:rsid w:val="003209B6"/>
    <w:rsid w:val="0032116F"/>
    <w:rsid w:val="00321567"/>
    <w:rsid w:val="00321605"/>
    <w:rsid w:val="003217AA"/>
    <w:rsid w:val="00321FA2"/>
    <w:rsid w:val="00321FBA"/>
    <w:rsid w:val="00323957"/>
    <w:rsid w:val="003242A7"/>
    <w:rsid w:val="003246AD"/>
    <w:rsid w:val="00324AC9"/>
    <w:rsid w:val="00324B99"/>
    <w:rsid w:val="0032530C"/>
    <w:rsid w:val="003253E2"/>
    <w:rsid w:val="00325BC1"/>
    <w:rsid w:val="00325DFB"/>
    <w:rsid w:val="003273F7"/>
    <w:rsid w:val="00327E80"/>
    <w:rsid w:val="003303AE"/>
    <w:rsid w:val="003319E4"/>
    <w:rsid w:val="003323AA"/>
    <w:rsid w:val="00333182"/>
    <w:rsid w:val="00334014"/>
    <w:rsid w:val="003349EC"/>
    <w:rsid w:val="0033687C"/>
    <w:rsid w:val="003368E4"/>
    <w:rsid w:val="00336F77"/>
    <w:rsid w:val="00337197"/>
    <w:rsid w:val="003371E1"/>
    <w:rsid w:val="00337B3C"/>
    <w:rsid w:val="00337CF2"/>
    <w:rsid w:val="0034097A"/>
    <w:rsid w:val="00341360"/>
    <w:rsid w:val="003417C3"/>
    <w:rsid w:val="00342D12"/>
    <w:rsid w:val="00342EF3"/>
    <w:rsid w:val="0034326C"/>
    <w:rsid w:val="00343629"/>
    <w:rsid w:val="00343635"/>
    <w:rsid w:val="00344B10"/>
    <w:rsid w:val="00344C24"/>
    <w:rsid w:val="003453B4"/>
    <w:rsid w:val="003460D1"/>
    <w:rsid w:val="003461BF"/>
    <w:rsid w:val="00346EF8"/>
    <w:rsid w:val="00350266"/>
    <w:rsid w:val="00350512"/>
    <w:rsid w:val="00350D52"/>
    <w:rsid w:val="00351036"/>
    <w:rsid w:val="003512AB"/>
    <w:rsid w:val="00351FF4"/>
    <w:rsid w:val="00352166"/>
    <w:rsid w:val="003527DC"/>
    <w:rsid w:val="003529BE"/>
    <w:rsid w:val="00353842"/>
    <w:rsid w:val="003540FA"/>
    <w:rsid w:val="0035469E"/>
    <w:rsid w:val="0035548F"/>
    <w:rsid w:val="00355645"/>
    <w:rsid w:val="00356A8A"/>
    <w:rsid w:val="00356CA2"/>
    <w:rsid w:val="00356DF8"/>
    <w:rsid w:val="00357C75"/>
    <w:rsid w:val="00357E3F"/>
    <w:rsid w:val="00360053"/>
    <w:rsid w:val="003602A6"/>
    <w:rsid w:val="003605C9"/>
    <w:rsid w:val="003610EB"/>
    <w:rsid w:val="00363DDD"/>
    <w:rsid w:val="003643BD"/>
    <w:rsid w:val="003643CB"/>
    <w:rsid w:val="003660AC"/>
    <w:rsid w:val="003661EF"/>
    <w:rsid w:val="00366A83"/>
    <w:rsid w:val="00367148"/>
    <w:rsid w:val="0036796C"/>
    <w:rsid w:val="00367F39"/>
    <w:rsid w:val="00370869"/>
    <w:rsid w:val="00370F4A"/>
    <w:rsid w:val="0037154C"/>
    <w:rsid w:val="0037160E"/>
    <w:rsid w:val="00371725"/>
    <w:rsid w:val="003721C0"/>
    <w:rsid w:val="00372E54"/>
    <w:rsid w:val="003737B5"/>
    <w:rsid w:val="003744A0"/>
    <w:rsid w:val="003747EF"/>
    <w:rsid w:val="00374BF7"/>
    <w:rsid w:val="0037523B"/>
    <w:rsid w:val="0037540C"/>
    <w:rsid w:val="0037660C"/>
    <w:rsid w:val="00381F92"/>
    <w:rsid w:val="00382124"/>
    <w:rsid w:val="00382AC6"/>
    <w:rsid w:val="003837CF"/>
    <w:rsid w:val="00385914"/>
    <w:rsid w:val="00385BBA"/>
    <w:rsid w:val="00385F7D"/>
    <w:rsid w:val="00386342"/>
    <w:rsid w:val="00386EBA"/>
    <w:rsid w:val="003914C3"/>
    <w:rsid w:val="003917FD"/>
    <w:rsid w:val="003918A9"/>
    <w:rsid w:val="00391997"/>
    <w:rsid w:val="00391D10"/>
    <w:rsid w:val="00391E20"/>
    <w:rsid w:val="003924DF"/>
    <w:rsid w:val="0039261D"/>
    <w:rsid w:val="003929FD"/>
    <w:rsid w:val="0039300C"/>
    <w:rsid w:val="00393405"/>
    <w:rsid w:val="00394379"/>
    <w:rsid w:val="00394E05"/>
    <w:rsid w:val="00394ED6"/>
    <w:rsid w:val="0039512F"/>
    <w:rsid w:val="003955F7"/>
    <w:rsid w:val="00396D4D"/>
    <w:rsid w:val="00396EB0"/>
    <w:rsid w:val="00396FCC"/>
    <w:rsid w:val="00397561"/>
    <w:rsid w:val="003979EB"/>
    <w:rsid w:val="003A00F1"/>
    <w:rsid w:val="003A140D"/>
    <w:rsid w:val="003A1A71"/>
    <w:rsid w:val="003A1B02"/>
    <w:rsid w:val="003A2DA6"/>
    <w:rsid w:val="003A38A5"/>
    <w:rsid w:val="003A57D5"/>
    <w:rsid w:val="003A6478"/>
    <w:rsid w:val="003A659F"/>
    <w:rsid w:val="003A6A5A"/>
    <w:rsid w:val="003A736E"/>
    <w:rsid w:val="003A7483"/>
    <w:rsid w:val="003A7590"/>
    <w:rsid w:val="003A7892"/>
    <w:rsid w:val="003A7A7C"/>
    <w:rsid w:val="003A7C92"/>
    <w:rsid w:val="003B09BE"/>
    <w:rsid w:val="003B0BA1"/>
    <w:rsid w:val="003B1C98"/>
    <w:rsid w:val="003B21D5"/>
    <w:rsid w:val="003B2488"/>
    <w:rsid w:val="003B2E5B"/>
    <w:rsid w:val="003B593D"/>
    <w:rsid w:val="003B5D25"/>
    <w:rsid w:val="003B5FB8"/>
    <w:rsid w:val="003B7624"/>
    <w:rsid w:val="003B7A36"/>
    <w:rsid w:val="003B7E7D"/>
    <w:rsid w:val="003C0705"/>
    <w:rsid w:val="003C0896"/>
    <w:rsid w:val="003C112A"/>
    <w:rsid w:val="003C1291"/>
    <w:rsid w:val="003C175F"/>
    <w:rsid w:val="003C33DC"/>
    <w:rsid w:val="003C3795"/>
    <w:rsid w:val="003C4BA6"/>
    <w:rsid w:val="003C569F"/>
    <w:rsid w:val="003C5D42"/>
    <w:rsid w:val="003C7E24"/>
    <w:rsid w:val="003D00C3"/>
    <w:rsid w:val="003D05EA"/>
    <w:rsid w:val="003D0D62"/>
    <w:rsid w:val="003D1357"/>
    <w:rsid w:val="003D1486"/>
    <w:rsid w:val="003D19BF"/>
    <w:rsid w:val="003D19FB"/>
    <w:rsid w:val="003D2B45"/>
    <w:rsid w:val="003D34BB"/>
    <w:rsid w:val="003D380F"/>
    <w:rsid w:val="003D386E"/>
    <w:rsid w:val="003D38F9"/>
    <w:rsid w:val="003D3E12"/>
    <w:rsid w:val="003D3E90"/>
    <w:rsid w:val="003D414C"/>
    <w:rsid w:val="003D4C70"/>
    <w:rsid w:val="003D5144"/>
    <w:rsid w:val="003D557D"/>
    <w:rsid w:val="003D584B"/>
    <w:rsid w:val="003D6DDC"/>
    <w:rsid w:val="003D781C"/>
    <w:rsid w:val="003E00C5"/>
    <w:rsid w:val="003E01E5"/>
    <w:rsid w:val="003E124F"/>
    <w:rsid w:val="003E1352"/>
    <w:rsid w:val="003E16A7"/>
    <w:rsid w:val="003E1F52"/>
    <w:rsid w:val="003E235F"/>
    <w:rsid w:val="003E2BE7"/>
    <w:rsid w:val="003E3263"/>
    <w:rsid w:val="003E32BE"/>
    <w:rsid w:val="003E34D6"/>
    <w:rsid w:val="003E3C93"/>
    <w:rsid w:val="003E469A"/>
    <w:rsid w:val="003E5765"/>
    <w:rsid w:val="003E5A80"/>
    <w:rsid w:val="003E5DD6"/>
    <w:rsid w:val="003E5F93"/>
    <w:rsid w:val="003E6713"/>
    <w:rsid w:val="003E7044"/>
    <w:rsid w:val="003E750E"/>
    <w:rsid w:val="003E7A28"/>
    <w:rsid w:val="003F0528"/>
    <w:rsid w:val="003F0D77"/>
    <w:rsid w:val="003F2286"/>
    <w:rsid w:val="003F2EA6"/>
    <w:rsid w:val="003F326B"/>
    <w:rsid w:val="003F34AC"/>
    <w:rsid w:val="003F354A"/>
    <w:rsid w:val="003F3E4F"/>
    <w:rsid w:val="003F428B"/>
    <w:rsid w:val="003F4736"/>
    <w:rsid w:val="003F48F7"/>
    <w:rsid w:val="003F4C8A"/>
    <w:rsid w:val="003F54A7"/>
    <w:rsid w:val="003F57A2"/>
    <w:rsid w:val="003F5B61"/>
    <w:rsid w:val="00400085"/>
    <w:rsid w:val="004005C5"/>
    <w:rsid w:val="00400BD8"/>
    <w:rsid w:val="00400F44"/>
    <w:rsid w:val="004010F3"/>
    <w:rsid w:val="004022DD"/>
    <w:rsid w:val="00402AE8"/>
    <w:rsid w:val="0040329B"/>
    <w:rsid w:val="004036F3"/>
    <w:rsid w:val="0040462A"/>
    <w:rsid w:val="0040464E"/>
    <w:rsid w:val="00404AB2"/>
    <w:rsid w:val="00404BFA"/>
    <w:rsid w:val="00404DDB"/>
    <w:rsid w:val="00404F99"/>
    <w:rsid w:val="0040537A"/>
    <w:rsid w:val="00405382"/>
    <w:rsid w:val="0040580A"/>
    <w:rsid w:val="00405862"/>
    <w:rsid w:val="004060C7"/>
    <w:rsid w:val="00406E8D"/>
    <w:rsid w:val="004101B1"/>
    <w:rsid w:val="004103ED"/>
    <w:rsid w:val="004107CA"/>
    <w:rsid w:val="00410EE4"/>
    <w:rsid w:val="0041152C"/>
    <w:rsid w:val="00412EB5"/>
    <w:rsid w:val="00413792"/>
    <w:rsid w:val="00413807"/>
    <w:rsid w:val="00413879"/>
    <w:rsid w:val="004154A2"/>
    <w:rsid w:val="0041563A"/>
    <w:rsid w:val="0041626F"/>
    <w:rsid w:val="00417978"/>
    <w:rsid w:val="00417A6E"/>
    <w:rsid w:val="0042094D"/>
    <w:rsid w:val="00420E12"/>
    <w:rsid w:val="00420F26"/>
    <w:rsid w:val="00421275"/>
    <w:rsid w:val="00421418"/>
    <w:rsid w:val="00421798"/>
    <w:rsid w:val="0042269D"/>
    <w:rsid w:val="00422C2B"/>
    <w:rsid w:val="00423189"/>
    <w:rsid w:val="004231E9"/>
    <w:rsid w:val="004234C9"/>
    <w:rsid w:val="00423535"/>
    <w:rsid w:val="00423696"/>
    <w:rsid w:val="00423B0B"/>
    <w:rsid w:val="00423E67"/>
    <w:rsid w:val="0042403D"/>
    <w:rsid w:val="00424744"/>
    <w:rsid w:val="00425AD5"/>
    <w:rsid w:val="004264F3"/>
    <w:rsid w:val="00426A96"/>
    <w:rsid w:val="00426AB9"/>
    <w:rsid w:val="00427170"/>
    <w:rsid w:val="004271FF"/>
    <w:rsid w:val="00427329"/>
    <w:rsid w:val="00427540"/>
    <w:rsid w:val="00427A99"/>
    <w:rsid w:val="004301BB"/>
    <w:rsid w:val="004307F9"/>
    <w:rsid w:val="0043090E"/>
    <w:rsid w:val="00430B25"/>
    <w:rsid w:val="00430D84"/>
    <w:rsid w:val="00430F01"/>
    <w:rsid w:val="004316ED"/>
    <w:rsid w:val="004328B7"/>
    <w:rsid w:val="00433808"/>
    <w:rsid w:val="00433D97"/>
    <w:rsid w:val="00433E95"/>
    <w:rsid w:val="0043497B"/>
    <w:rsid w:val="004352DB"/>
    <w:rsid w:val="00437134"/>
    <w:rsid w:val="00437259"/>
    <w:rsid w:val="0043750A"/>
    <w:rsid w:val="00437697"/>
    <w:rsid w:val="00440103"/>
    <w:rsid w:val="0044049C"/>
    <w:rsid w:val="00440765"/>
    <w:rsid w:val="0044172E"/>
    <w:rsid w:val="00441EC8"/>
    <w:rsid w:val="00442088"/>
    <w:rsid w:val="00442DCA"/>
    <w:rsid w:val="004437E0"/>
    <w:rsid w:val="0044383D"/>
    <w:rsid w:val="00444A31"/>
    <w:rsid w:val="0044501C"/>
    <w:rsid w:val="0044520F"/>
    <w:rsid w:val="004457F1"/>
    <w:rsid w:val="00445AA6"/>
    <w:rsid w:val="00445BB9"/>
    <w:rsid w:val="00446312"/>
    <w:rsid w:val="00446B9D"/>
    <w:rsid w:val="0044727D"/>
    <w:rsid w:val="004477DC"/>
    <w:rsid w:val="00451A80"/>
    <w:rsid w:val="0045210B"/>
    <w:rsid w:val="00452EA6"/>
    <w:rsid w:val="0045353C"/>
    <w:rsid w:val="004539C5"/>
    <w:rsid w:val="00454510"/>
    <w:rsid w:val="00454844"/>
    <w:rsid w:val="00454A50"/>
    <w:rsid w:val="00454C48"/>
    <w:rsid w:val="0045556F"/>
    <w:rsid w:val="00456390"/>
    <w:rsid w:val="004571E8"/>
    <w:rsid w:val="004614AA"/>
    <w:rsid w:val="00461FD2"/>
    <w:rsid w:val="00463890"/>
    <w:rsid w:val="004638E0"/>
    <w:rsid w:val="00463A3E"/>
    <w:rsid w:val="00463ADA"/>
    <w:rsid w:val="00463B8E"/>
    <w:rsid w:val="004648A5"/>
    <w:rsid w:val="00464BC3"/>
    <w:rsid w:val="00464F2E"/>
    <w:rsid w:val="00465660"/>
    <w:rsid w:val="00465ADB"/>
    <w:rsid w:val="00465DD7"/>
    <w:rsid w:val="00465EBF"/>
    <w:rsid w:val="00466194"/>
    <w:rsid w:val="0046636C"/>
    <w:rsid w:val="00466BB3"/>
    <w:rsid w:val="00466C69"/>
    <w:rsid w:val="00467AF7"/>
    <w:rsid w:val="0047003B"/>
    <w:rsid w:val="00470655"/>
    <w:rsid w:val="004716F7"/>
    <w:rsid w:val="00471C39"/>
    <w:rsid w:val="004731D8"/>
    <w:rsid w:val="004732DB"/>
    <w:rsid w:val="00473F42"/>
    <w:rsid w:val="00473F8A"/>
    <w:rsid w:val="004740ED"/>
    <w:rsid w:val="00474247"/>
    <w:rsid w:val="00474294"/>
    <w:rsid w:val="00474345"/>
    <w:rsid w:val="00475A6A"/>
    <w:rsid w:val="00476B77"/>
    <w:rsid w:val="00476C7C"/>
    <w:rsid w:val="004770AA"/>
    <w:rsid w:val="00477379"/>
    <w:rsid w:val="00477524"/>
    <w:rsid w:val="00477FB3"/>
    <w:rsid w:val="004804EC"/>
    <w:rsid w:val="0048105C"/>
    <w:rsid w:val="004826BA"/>
    <w:rsid w:val="00482A7B"/>
    <w:rsid w:val="0048340E"/>
    <w:rsid w:val="00483729"/>
    <w:rsid w:val="00483864"/>
    <w:rsid w:val="00483A49"/>
    <w:rsid w:val="00485DB7"/>
    <w:rsid w:val="00485DFA"/>
    <w:rsid w:val="004862AF"/>
    <w:rsid w:val="00486BD0"/>
    <w:rsid w:val="004871D4"/>
    <w:rsid w:val="00487D18"/>
    <w:rsid w:val="0049052D"/>
    <w:rsid w:val="00490ADF"/>
    <w:rsid w:val="00490B13"/>
    <w:rsid w:val="00490D04"/>
    <w:rsid w:val="00491AEB"/>
    <w:rsid w:val="00492806"/>
    <w:rsid w:val="00492F89"/>
    <w:rsid w:val="0049343B"/>
    <w:rsid w:val="00493B82"/>
    <w:rsid w:val="0049473C"/>
    <w:rsid w:val="00494CBF"/>
    <w:rsid w:val="00495DDC"/>
    <w:rsid w:val="00496A35"/>
    <w:rsid w:val="00496DF5"/>
    <w:rsid w:val="004979F2"/>
    <w:rsid w:val="00497FAB"/>
    <w:rsid w:val="004A1883"/>
    <w:rsid w:val="004A197E"/>
    <w:rsid w:val="004A2072"/>
    <w:rsid w:val="004A2092"/>
    <w:rsid w:val="004A2331"/>
    <w:rsid w:val="004A271B"/>
    <w:rsid w:val="004A27B7"/>
    <w:rsid w:val="004A2C04"/>
    <w:rsid w:val="004A3BFA"/>
    <w:rsid w:val="004A4131"/>
    <w:rsid w:val="004A47AA"/>
    <w:rsid w:val="004A4D4B"/>
    <w:rsid w:val="004A4E99"/>
    <w:rsid w:val="004A531F"/>
    <w:rsid w:val="004A55DC"/>
    <w:rsid w:val="004A6531"/>
    <w:rsid w:val="004A67CC"/>
    <w:rsid w:val="004A6E4A"/>
    <w:rsid w:val="004A6FC8"/>
    <w:rsid w:val="004A7003"/>
    <w:rsid w:val="004B058E"/>
    <w:rsid w:val="004B1118"/>
    <w:rsid w:val="004B23A1"/>
    <w:rsid w:val="004B2CCF"/>
    <w:rsid w:val="004B34AB"/>
    <w:rsid w:val="004B3755"/>
    <w:rsid w:val="004B3F13"/>
    <w:rsid w:val="004B402E"/>
    <w:rsid w:val="004B439B"/>
    <w:rsid w:val="004B5559"/>
    <w:rsid w:val="004B58A4"/>
    <w:rsid w:val="004B5C5C"/>
    <w:rsid w:val="004B6724"/>
    <w:rsid w:val="004B68E2"/>
    <w:rsid w:val="004B6DEF"/>
    <w:rsid w:val="004B7314"/>
    <w:rsid w:val="004B74F7"/>
    <w:rsid w:val="004B7E2B"/>
    <w:rsid w:val="004C0825"/>
    <w:rsid w:val="004C086F"/>
    <w:rsid w:val="004C0B6A"/>
    <w:rsid w:val="004C0F8B"/>
    <w:rsid w:val="004C0FA4"/>
    <w:rsid w:val="004C209C"/>
    <w:rsid w:val="004C398B"/>
    <w:rsid w:val="004C399B"/>
    <w:rsid w:val="004C46DE"/>
    <w:rsid w:val="004C4BC7"/>
    <w:rsid w:val="004C4BF8"/>
    <w:rsid w:val="004C4CFB"/>
    <w:rsid w:val="004C53AE"/>
    <w:rsid w:val="004C55D3"/>
    <w:rsid w:val="004C5606"/>
    <w:rsid w:val="004C5B3E"/>
    <w:rsid w:val="004C6E1C"/>
    <w:rsid w:val="004C7347"/>
    <w:rsid w:val="004C78BB"/>
    <w:rsid w:val="004C7B5C"/>
    <w:rsid w:val="004D0263"/>
    <w:rsid w:val="004D03FB"/>
    <w:rsid w:val="004D09DD"/>
    <w:rsid w:val="004D1485"/>
    <w:rsid w:val="004D1767"/>
    <w:rsid w:val="004D1F32"/>
    <w:rsid w:val="004D2DEA"/>
    <w:rsid w:val="004D2FEF"/>
    <w:rsid w:val="004D34CA"/>
    <w:rsid w:val="004D4632"/>
    <w:rsid w:val="004D4C9F"/>
    <w:rsid w:val="004D5893"/>
    <w:rsid w:val="004D5EC4"/>
    <w:rsid w:val="004D7A97"/>
    <w:rsid w:val="004D7CBB"/>
    <w:rsid w:val="004E0501"/>
    <w:rsid w:val="004E0A6D"/>
    <w:rsid w:val="004E1B73"/>
    <w:rsid w:val="004E1EAA"/>
    <w:rsid w:val="004E1F0C"/>
    <w:rsid w:val="004E263F"/>
    <w:rsid w:val="004E3DD9"/>
    <w:rsid w:val="004E3F8B"/>
    <w:rsid w:val="004E43AD"/>
    <w:rsid w:val="004E43F8"/>
    <w:rsid w:val="004E4433"/>
    <w:rsid w:val="004E45F2"/>
    <w:rsid w:val="004E4899"/>
    <w:rsid w:val="004E4976"/>
    <w:rsid w:val="004E565A"/>
    <w:rsid w:val="004E58CE"/>
    <w:rsid w:val="004E59AB"/>
    <w:rsid w:val="004E5A7C"/>
    <w:rsid w:val="004E73D6"/>
    <w:rsid w:val="004E75A7"/>
    <w:rsid w:val="004F0CFD"/>
    <w:rsid w:val="004F133F"/>
    <w:rsid w:val="004F1BA1"/>
    <w:rsid w:val="004F2B2E"/>
    <w:rsid w:val="004F2C73"/>
    <w:rsid w:val="004F4A8B"/>
    <w:rsid w:val="004F56A2"/>
    <w:rsid w:val="004F5FF7"/>
    <w:rsid w:val="004F69C2"/>
    <w:rsid w:val="004F6BC7"/>
    <w:rsid w:val="004F73C3"/>
    <w:rsid w:val="005007B4"/>
    <w:rsid w:val="00501D63"/>
    <w:rsid w:val="005022D5"/>
    <w:rsid w:val="00502315"/>
    <w:rsid w:val="00502470"/>
    <w:rsid w:val="005027A4"/>
    <w:rsid w:val="005038A4"/>
    <w:rsid w:val="005038C6"/>
    <w:rsid w:val="00503F99"/>
    <w:rsid w:val="0050454E"/>
    <w:rsid w:val="00504818"/>
    <w:rsid w:val="005052F2"/>
    <w:rsid w:val="00505A92"/>
    <w:rsid w:val="00505AF6"/>
    <w:rsid w:val="00506518"/>
    <w:rsid w:val="00506C83"/>
    <w:rsid w:val="005076BF"/>
    <w:rsid w:val="005123AF"/>
    <w:rsid w:val="005123E5"/>
    <w:rsid w:val="00512EA9"/>
    <w:rsid w:val="00513682"/>
    <w:rsid w:val="005144E5"/>
    <w:rsid w:val="00514B64"/>
    <w:rsid w:val="00514B92"/>
    <w:rsid w:val="00515429"/>
    <w:rsid w:val="00516154"/>
    <w:rsid w:val="00516EC0"/>
    <w:rsid w:val="00517EE8"/>
    <w:rsid w:val="005202FC"/>
    <w:rsid w:val="0052083A"/>
    <w:rsid w:val="0052157E"/>
    <w:rsid w:val="005217FF"/>
    <w:rsid w:val="00521B26"/>
    <w:rsid w:val="00521E0E"/>
    <w:rsid w:val="00521F82"/>
    <w:rsid w:val="00521FFB"/>
    <w:rsid w:val="00522783"/>
    <w:rsid w:val="00523161"/>
    <w:rsid w:val="005234B0"/>
    <w:rsid w:val="00523B78"/>
    <w:rsid w:val="00523BBE"/>
    <w:rsid w:val="00523F8E"/>
    <w:rsid w:val="00524697"/>
    <w:rsid w:val="0052492C"/>
    <w:rsid w:val="00524CB0"/>
    <w:rsid w:val="00525AF7"/>
    <w:rsid w:val="00525E5E"/>
    <w:rsid w:val="00525EF6"/>
    <w:rsid w:val="00526037"/>
    <w:rsid w:val="005269D3"/>
    <w:rsid w:val="00526AB7"/>
    <w:rsid w:val="00526EFF"/>
    <w:rsid w:val="00530A08"/>
    <w:rsid w:val="00530A69"/>
    <w:rsid w:val="00531B3A"/>
    <w:rsid w:val="00531C8E"/>
    <w:rsid w:val="005330DB"/>
    <w:rsid w:val="00533DCD"/>
    <w:rsid w:val="00533FDE"/>
    <w:rsid w:val="005346F5"/>
    <w:rsid w:val="00535A4A"/>
    <w:rsid w:val="00535C2A"/>
    <w:rsid w:val="00536AD9"/>
    <w:rsid w:val="00536E22"/>
    <w:rsid w:val="00537266"/>
    <w:rsid w:val="0053738C"/>
    <w:rsid w:val="005376CD"/>
    <w:rsid w:val="00537C46"/>
    <w:rsid w:val="0054056B"/>
    <w:rsid w:val="00541BAC"/>
    <w:rsid w:val="00542095"/>
    <w:rsid w:val="0054345D"/>
    <w:rsid w:val="00543469"/>
    <w:rsid w:val="00543590"/>
    <w:rsid w:val="00544965"/>
    <w:rsid w:val="00544AB1"/>
    <w:rsid w:val="00544AF0"/>
    <w:rsid w:val="00546A22"/>
    <w:rsid w:val="00546A82"/>
    <w:rsid w:val="00546BFF"/>
    <w:rsid w:val="0055002A"/>
    <w:rsid w:val="005505B8"/>
    <w:rsid w:val="005522BC"/>
    <w:rsid w:val="005524EE"/>
    <w:rsid w:val="00552886"/>
    <w:rsid w:val="00552A56"/>
    <w:rsid w:val="00552CF1"/>
    <w:rsid w:val="00552E31"/>
    <w:rsid w:val="005531F2"/>
    <w:rsid w:val="00553C94"/>
    <w:rsid w:val="00554283"/>
    <w:rsid w:val="005544EE"/>
    <w:rsid w:val="00554AB3"/>
    <w:rsid w:val="0055511B"/>
    <w:rsid w:val="005554C3"/>
    <w:rsid w:val="00555FC7"/>
    <w:rsid w:val="005562E7"/>
    <w:rsid w:val="005567DC"/>
    <w:rsid w:val="00556D82"/>
    <w:rsid w:val="00557029"/>
    <w:rsid w:val="0055713D"/>
    <w:rsid w:val="00560750"/>
    <w:rsid w:val="00560EED"/>
    <w:rsid w:val="00561600"/>
    <w:rsid w:val="005627F1"/>
    <w:rsid w:val="00563460"/>
    <w:rsid w:val="005643CC"/>
    <w:rsid w:val="00564970"/>
    <w:rsid w:val="00564A29"/>
    <w:rsid w:val="00565A87"/>
    <w:rsid w:val="00565AC6"/>
    <w:rsid w:val="00565D9E"/>
    <w:rsid w:val="00565E8C"/>
    <w:rsid w:val="005664BD"/>
    <w:rsid w:val="00566F57"/>
    <w:rsid w:val="00567C4D"/>
    <w:rsid w:val="005704E8"/>
    <w:rsid w:val="00570A56"/>
    <w:rsid w:val="005715DA"/>
    <w:rsid w:val="00571C29"/>
    <w:rsid w:val="00572D98"/>
    <w:rsid w:val="0057355B"/>
    <w:rsid w:val="005738C8"/>
    <w:rsid w:val="00573908"/>
    <w:rsid w:val="00574107"/>
    <w:rsid w:val="00574CE7"/>
    <w:rsid w:val="00574F15"/>
    <w:rsid w:val="00575A6F"/>
    <w:rsid w:val="005762A8"/>
    <w:rsid w:val="0057697C"/>
    <w:rsid w:val="00576B7D"/>
    <w:rsid w:val="00576E39"/>
    <w:rsid w:val="00581045"/>
    <w:rsid w:val="005811AC"/>
    <w:rsid w:val="00581D73"/>
    <w:rsid w:val="005821A9"/>
    <w:rsid w:val="00583514"/>
    <w:rsid w:val="00584287"/>
    <w:rsid w:val="00584CC4"/>
    <w:rsid w:val="00585290"/>
    <w:rsid w:val="00586CEB"/>
    <w:rsid w:val="00586E58"/>
    <w:rsid w:val="00586E78"/>
    <w:rsid w:val="005901F3"/>
    <w:rsid w:val="005907DE"/>
    <w:rsid w:val="00590D9E"/>
    <w:rsid w:val="00591595"/>
    <w:rsid w:val="005919DB"/>
    <w:rsid w:val="00591EC4"/>
    <w:rsid w:val="005925D3"/>
    <w:rsid w:val="0059272A"/>
    <w:rsid w:val="00592922"/>
    <w:rsid w:val="0059302F"/>
    <w:rsid w:val="005933BB"/>
    <w:rsid w:val="00593B89"/>
    <w:rsid w:val="00595099"/>
    <w:rsid w:val="005957A1"/>
    <w:rsid w:val="00595A24"/>
    <w:rsid w:val="0059652B"/>
    <w:rsid w:val="005966DC"/>
    <w:rsid w:val="005967BC"/>
    <w:rsid w:val="0059692B"/>
    <w:rsid w:val="00597138"/>
    <w:rsid w:val="00597985"/>
    <w:rsid w:val="00597B2F"/>
    <w:rsid w:val="005A0ABE"/>
    <w:rsid w:val="005A0FB8"/>
    <w:rsid w:val="005A1E40"/>
    <w:rsid w:val="005A2022"/>
    <w:rsid w:val="005A20E6"/>
    <w:rsid w:val="005A28AB"/>
    <w:rsid w:val="005A2D5D"/>
    <w:rsid w:val="005A367F"/>
    <w:rsid w:val="005A4F72"/>
    <w:rsid w:val="005A5C95"/>
    <w:rsid w:val="005A5CEA"/>
    <w:rsid w:val="005A61AB"/>
    <w:rsid w:val="005A6318"/>
    <w:rsid w:val="005A63D0"/>
    <w:rsid w:val="005A6620"/>
    <w:rsid w:val="005A736B"/>
    <w:rsid w:val="005A7D32"/>
    <w:rsid w:val="005A7FA3"/>
    <w:rsid w:val="005B04F9"/>
    <w:rsid w:val="005B1318"/>
    <w:rsid w:val="005B2C37"/>
    <w:rsid w:val="005B2EDD"/>
    <w:rsid w:val="005B4066"/>
    <w:rsid w:val="005B45D8"/>
    <w:rsid w:val="005B46D3"/>
    <w:rsid w:val="005B6A43"/>
    <w:rsid w:val="005B6EEF"/>
    <w:rsid w:val="005B786F"/>
    <w:rsid w:val="005B7C5F"/>
    <w:rsid w:val="005B7C9B"/>
    <w:rsid w:val="005C071A"/>
    <w:rsid w:val="005C08FC"/>
    <w:rsid w:val="005C092D"/>
    <w:rsid w:val="005C2604"/>
    <w:rsid w:val="005C2E95"/>
    <w:rsid w:val="005C2FC9"/>
    <w:rsid w:val="005C4178"/>
    <w:rsid w:val="005C5126"/>
    <w:rsid w:val="005C5901"/>
    <w:rsid w:val="005C5B86"/>
    <w:rsid w:val="005C6037"/>
    <w:rsid w:val="005C6208"/>
    <w:rsid w:val="005C6898"/>
    <w:rsid w:val="005C6926"/>
    <w:rsid w:val="005C6CC7"/>
    <w:rsid w:val="005C777D"/>
    <w:rsid w:val="005D025D"/>
    <w:rsid w:val="005D054F"/>
    <w:rsid w:val="005D060C"/>
    <w:rsid w:val="005D1D2C"/>
    <w:rsid w:val="005D32A2"/>
    <w:rsid w:val="005D4877"/>
    <w:rsid w:val="005D5652"/>
    <w:rsid w:val="005D5BFD"/>
    <w:rsid w:val="005D60CD"/>
    <w:rsid w:val="005D6982"/>
    <w:rsid w:val="005D7415"/>
    <w:rsid w:val="005E04CD"/>
    <w:rsid w:val="005E09F2"/>
    <w:rsid w:val="005E0C6B"/>
    <w:rsid w:val="005E0D71"/>
    <w:rsid w:val="005E3554"/>
    <w:rsid w:val="005E3BCF"/>
    <w:rsid w:val="005E3E9A"/>
    <w:rsid w:val="005E5F11"/>
    <w:rsid w:val="005E615E"/>
    <w:rsid w:val="005E68C3"/>
    <w:rsid w:val="005E68D4"/>
    <w:rsid w:val="005E711C"/>
    <w:rsid w:val="005E7300"/>
    <w:rsid w:val="005E7473"/>
    <w:rsid w:val="005E788D"/>
    <w:rsid w:val="005E795E"/>
    <w:rsid w:val="005F032F"/>
    <w:rsid w:val="005F0547"/>
    <w:rsid w:val="005F0ECA"/>
    <w:rsid w:val="005F1675"/>
    <w:rsid w:val="005F1723"/>
    <w:rsid w:val="005F1C64"/>
    <w:rsid w:val="005F1E97"/>
    <w:rsid w:val="005F2A55"/>
    <w:rsid w:val="005F3564"/>
    <w:rsid w:val="005F392F"/>
    <w:rsid w:val="005F3C89"/>
    <w:rsid w:val="005F40F2"/>
    <w:rsid w:val="005F520A"/>
    <w:rsid w:val="005F54BF"/>
    <w:rsid w:val="005F5AC7"/>
    <w:rsid w:val="005F5C5E"/>
    <w:rsid w:val="005F6C84"/>
    <w:rsid w:val="005F6EC8"/>
    <w:rsid w:val="005F6EE3"/>
    <w:rsid w:val="005F7B79"/>
    <w:rsid w:val="005F7C8A"/>
    <w:rsid w:val="00600EAA"/>
    <w:rsid w:val="006010EB"/>
    <w:rsid w:val="006014C0"/>
    <w:rsid w:val="00601580"/>
    <w:rsid w:val="00602153"/>
    <w:rsid w:val="006043DD"/>
    <w:rsid w:val="00605367"/>
    <w:rsid w:val="00605497"/>
    <w:rsid w:val="00606308"/>
    <w:rsid w:val="00606680"/>
    <w:rsid w:val="00607285"/>
    <w:rsid w:val="00607789"/>
    <w:rsid w:val="00607DF0"/>
    <w:rsid w:val="0061063D"/>
    <w:rsid w:val="006108CE"/>
    <w:rsid w:val="00610909"/>
    <w:rsid w:val="006114F5"/>
    <w:rsid w:val="00611C0F"/>
    <w:rsid w:val="00611CD1"/>
    <w:rsid w:val="00612654"/>
    <w:rsid w:val="006132C8"/>
    <w:rsid w:val="00613328"/>
    <w:rsid w:val="00613B2F"/>
    <w:rsid w:val="00613F3F"/>
    <w:rsid w:val="006149F1"/>
    <w:rsid w:val="006149F8"/>
    <w:rsid w:val="00615E5A"/>
    <w:rsid w:val="00617BDD"/>
    <w:rsid w:val="00621C66"/>
    <w:rsid w:val="00621EB4"/>
    <w:rsid w:val="00621F1B"/>
    <w:rsid w:val="006232D4"/>
    <w:rsid w:val="00623E17"/>
    <w:rsid w:val="00624966"/>
    <w:rsid w:val="006260F9"/>
    <w:rsid w:val="00626766"/>
    <w:rsid w:val="00627BF5"/>
    <w:rsid w:val="00627CDD"/>
    <w:rsid w:val="00627E2D"/>
    <w:rsid w:val="00630082"/>
    <w:rsid w:val="006308ED"/>
    <w:rsid w:val="00630AB4"/>
    <w:rsid w:val="0063115B"/>
    <w:rsid w:val="00631E03"/>
    <w:rsid w:val="006333B9"/>
    <w:rsid w:val="00633E77"/>
    <w:rsid w:val="00634440"/>
    <w:rsid w:val="006346A8"/>
    <w:rsid w:val="006359C4"/>
    <w:rsid w:val="006364CB"/>
    <w:rsid w:val="00636775"/>
    <w:rsid w:val="00636A5C"/>
    <w:rsid w:val="00636D95"/>
    <w:rsid w:val="00637138"/>
    <w:rsid w:val="00637748"/>
    <w:rsid w:val="0063786B"/>
    <w:rsid w:val="00640ABF"/>
    <w:rsid w:val="00641639"/>
    <w:rsid w:val="00641BFA"/>
    <w:rsid w:val="00642143"/>
    <w:rsid w:val="00642157"/>
    <w:rsid w:val="0064215D"/>
    <w:rsid w:val="0064229B"/>
    <w:rsid w:val="006429CB"/>
    <w:rsid w:val="00644511"/>
    <w:rsid w:val="00645840"/>
    <w:rsid w:val="00645C70"/>
    <w:rsid w:val="006461DA"/>
    <w:rsid w:val="00647E5C"/>
    <w:rsid w:val="006505F6"/>
    <w:rsid w:val="006509DC"/>
    <w:rsid w:val="00650D3C"/>
    <w:rsid w:val="00650F39"/>
    <w:rsid w:val="0065143B"/>
    <w:rsid w:val="006515FC"/>
    <w:rsid w:val="0065163A"/>
    <w:rsid w:val="00651869"/>
    <w:rsid w:val="00652287"/>
    <w:rsid w:val="0065237D"/>
    <w:rsid w:val="0065273C"/>
    <w:rsid w:val="006541DF"/>
    <w:rsid w:val="00654420"/>
    <w:rsid w:val="00654C05"/>
    <w:rsid w:val="00654FA3"/>
    <w:rsid w:val="00655623"/>
    <w:rsid w:val="0065581B"/>
    <w:rsid w:val="006564BE"/>
    <w:rsid w:val="0065654F"/>
    <w:rsid w:val="00657CAB"/>
    <w:rsid w:val="00657E9B"/>
    <w:rsid w:val="0066030F"/>
    <w:rsid w:val="006607F4"/>
    <w:rsid w:val="00661061"/>
    <w:rsid w:val="00661328"/>
    <w:rsid w:val="006620D6"/>
    <w:rsid w:val="006623F5"/>
    <w:rsid w:val="006624B7"/>
    <w:rsid w:val="006627A6"/>
    <w:rsid w:val="00662DA2"/>
    <w:rsid w:val="00662E1D"/>
    <w:rsid w:val="006630F8"/>
    <w:rsid w:val="0066332E"/>
    <w:rsid w:val="00663CCD"/>
    <w:rsid w:val="00663D28"/>
    <w:rsid w:val="0066475D"/>
    <w:rsid w:val="006653EC"/>
    <w:rsid w:val="00665588"/>
    <w:rsid w:val="00665B7D"/>
    <w:rsid w:val="00666274"/>
    <w:rsid w:val="00666454"/>
    <w:rsid w:val="00666C3F"/>
    <w:rsid w:val="0066764A"/>
    <w:rsid w:val="006677A5"/>
    <w:rsid w:val="006702C8"/>
    <w:rsid w:val="00670A65"/>
    <w:rsid w:val="00670B34"/>
    <w:rsid w:val="00670BA4"/>
    <w:rsid w:val="0067131D"/>
    <w:rsid w:val="00672A2B"/>
    <w:rsid w:val="00672E3A"/>
    <w:rsid w:val="00672E8C"/>
    <w:rsid w:val="0067305F"/>
    <w:rsid w:val="00675046"/>
    <w:rsid w:val="00675284"/>
    <w:rsid w:val="006756ED"/>
    <w:rsid w:val="0067748D"/>
    <w:rsid w:val="0067749D"/>
    <w:rsid w:val="00677840"/>
    <w:rsid w:val="0068016D"/>
    <w:rsid w:val="00681EB5"/>
    <w:rsid w:val="00682254"/>
    <w:rsid w:val="00684B34"/>
    <w:rsid w:val="00684E46"/>
    <w:rsid w:val="0068586F"/>
    <w:rsid w:val="00687563"/>
    <w:rsid w:val="00687703"/>
    <w:rsid w:val="0068794D"/>
    <w:rsid w:val="006901C8"/>
    <w:rsid w:val="00690B1B"/>
    <w:rsid w:val="00690EAD"/>
    <w:rsid w:val="00691307"/>
    <w:rsid w:val="00691498"/>
    <w:rsid w:val="006915FF"/>
    <w:rsid w:val="0069171E"/>
    <w:rsid w:val="00691BBF"/>
    <w:rsid w:val="00691F84"/>
    <w:rsid w:val="00692489"/>
    <w:rsid w:val="006932AD"/>
    <w:rsid w:val="00693A38"/>
    <w:rsid w:val="00693C35"/>
    <w:rsid w:val="00694B37"/>
    <w:rsid w:val="00694B7A"/>
    <w:rsid w:val="00694BDF"/>
    <w:rsid w:val="00694E1D"/>
    <w:rsid w:val="00694EB7"/>
    <w:rsid w:val="00695142"/>
    <w:rsid w:val="00695153"/>
    <w:rsid w:val="00695261"/>
    <w:rsid w:val="006953F9"/>
    <w:rsid w:val="00695BBB"/>
    <w:rsid w:val="00695C52"/>
    <w:rsid w:val="00695CA4"/>
    <w:rsid w:val="006968AA"/>
    <w:rsid w:val="00696923"/>
    <w:rsid w:val="006969C8"/>
    <w:rsid w:val="006A007E"/>
    <w:rsid w:val="006A0150"/>
    <w:rsid w:val="006A04E7"/>
    <w:rsid w:val="006A1880"/>
    <w:rsid w:val="006A1CAB"/>
    <w:rsid w:val="006A29BC"/>
    <w:rsid w:val="006A2BC4"/>
    <w:rsid w:val="006A2D2E"/>
    <w:rsid w:val="006A3B24"/>
    <w:rsid w:val="006A48EE"/>
    <w:rsid w:val="006A4960"/>
    <w:rsid w:val="006A4CA2"/>
    <w:rsid w:val="006A4EE3"/>
    <w:rsid w:val="006A4FFC"/>
    <w:rsid w:val="006A5125"/>
    <w:rsid w:val="006A6B87"/>
    <w:rsid w:val="006A6F2B"/>
    <w:rsid w:val="006A71B8"/>
    <w:rsid w:val="006A78C9"/>
    <w:rsid w:val="006A7CE0"/>
    <w:rsid w:val="006B000C"/>
    <w:rsid w:val="006B07F1"/>
    <w:rsid w:val="006B105F"/>
    <w:rsid w:val="006B1E61"/>
    <w:rsid w:val="006B1ECA"/>
    <w:rsid w:val="006B25DA"/>
    <w:rsid w:val="006B2689"/>
    <w:rsid w:val="006B2FC7"/>
    <w:rsid w:val="006B3AEA"/>
    <w:rsid w:val="006B3E36"/>
    <w:rsid w:val="006B4425"/>
    <w:rsid w:val="006B47B8"/>
    <w:rsid w:val="006B47CA"/>
    <w:rsid w:val="006B498E"/>
    <w:rsid w:val="006B4F54"/>
    <w:rsid w:val="006B4FE4"/>
    <w:rsid w:val="006B551F"/>
    <w:rsid w:val="006B55D1"/>
    <w:rsid w:val="006B55D6"/>
    <w:rsid w:val="006B588C"/>
    <w:rsid w:val="006B695A"/>
    <w:rsid w:val="006B6F26"/>
    <w:rsid w:val="006B7649"/>
    <w:rsid w:val="006B7845"/>
    <w:rsid w:val="006C0760"/>
    <w:rsid w:val="006C1336"/>
    <w:rsid w:val="006C16FA"/>
    <w:rsid w:val="006C1A4F"/>
    <w:rsid w:val="006C1AF8"/>
    <w:rsid w:val="006C1B18"/>
    <w:rsid w:val="006C1C7F"/>
    <w:rsid w:val="006C2FEC"/>
    <w:rsid w:val="006C3276"/>
    <w:rsid w:val="006C35B0"/>
    <w:rsid w:val="006C4451"/>
    <w:rsid w:val="006C488C"/>
    <w:rsid w:val="006C49E9"/>
    <w:rsid w:val="006C504C"/>
    <w:rsid w:val="006C5712"/>
    <w:rsid w:val="006C5722"/>
    <w:rsid w:val="006C5738"/>
    <w:rsid w:val="006C65C8"/>
    <w:rsid w:val="006C661C"/>
    <w:rsid w:val="006C6D7E"/>
    <w:rsid w:val="006C6D9B"/>
    <w:rsid w:val="006C74BC"/>
    <w:rsid w:val="006D0E11"/>
    <w:rsid w:val="006D195F"/>
    <w:rsid w:val="006D1F84"/>
    <w:rsid w:val="006D217D"/>
    <w:rsid w:val="006D25D1"/>
    <w:rsid w:val="006D2948"/>
    <w:rsid w:val="006D35F8"/>
    <w:rsid w:val="006D5162"/>
    <w:rsid w:val="006D5696"/>
    <w:rsid w:val="006D6A72"/>
    <w:rsid w:val="006D6F41"/>
    <w:rsid w:val="006D74ED"/>
    <w:rsid w:val="006E0AD2"/>
    <w:rsid w:val="006E15E9"/>
    <w:rsid w:val="006E1675"/>
    <w:rsid w:val="006E21CD"/>
    <w:rsid w:val="006E2459"/>
    <w:rsid w:val="006E269F"/>
    <w:rsid w:val="006E292D"/>
    <w:rsid w:val="006E2C2B"/>
    <w:rsid w:val="006E2DB7"/>
    <w:rsid w:val="006E38A3"/>
    <w:rsid w:val="006E3DE5"/>
    <w:rsid w:val="006E3F07"/>
    <w:rsid w:val="006E4518"/>
    <w:rsid w:val="006E52CC"/>
    <w:rsid w:val="006E540C"/>
    <w:rsid w:val="006E7113"/>
    <w:rsid w:val="006E725C"/>
    <w:rsid w:val="006E7C92"/>
    <w:rsid w:val="006F01A2"/>
    <w:rsid w:val="006F0573"/>
    <w:rsid w:val="006F0995"/>
    <w:rsid w:val="006F17AB"/>
    <w:rsid w:val="006F17FA"/>
    <w:rsid w:val="006F1D9D"/>
    <w:rsid w:val="006F22C6"/>
    <w:rsid w:val="006F2329"/>
    <w:rsid w:val="006F2961"/>
    <w:rsid w:val="006F37E7"/>
    <w:rsid w:val="006F3C82"/>
    <w:rsid w:val="006F3F0D"/>
    <w:rsid w:val="006F42D9"/>
    <w:rsid w:val="006F4640"/>
    <w:rsid w:val="006F48B2"/>
    <w:rsid w:val="006F505A"/>
    <w:rsid w:val="006F5200"/>
    <w:rsid w:val="006F7867"/>
    <w:rsid w:val="006F7AB1"/>
    <w:rsid w:val="006F7ADB"/>
    <w:rsid w:val="007003E4"/>
    <w:rsid w:val="00700C53"/>
    <w:rsid w:val="007011B7"/>
    <w:rsid w:val="00701918"/>
    <w:rsid w:val="0070246B"/>
    <w:rsid w:val="00703D0B"/>
    <w:rsid w:val="00704415"/>
    <w:rsid w:val="0070472E"/>
    <w:rsid w:val="0070535B"/>
    <w:rsid w:val="00705F49"/>
    <w:rsid w:val="00706493"/>
    <w:rsid w:val="007064FE"/>
    <w:rsid w:val="00706632"/>
    <w:rsid w:val="0070665D"/>
    <w:rsid w:val="007066D8"/>
    <w:rsid w:val="00707CD9"/>
    <w:rsid w:val="00707EFF"/>
    <w:rsid w:val="00707FA1"/>
    <w:rsid w:val="0071074F"/>
    <w:rsid w:val="00711874"/>
    <w:rsid w:val="0071262E"/>
    <w:rsid w:val="0071300F"/>
    <w:rsid w:val="0071351E"/>
    <w:rsid w:val="00713863"/>
    <w:rsid w:val="00713F02"/>
    <w:rsid w:val="0071487C"/>
    <w:rsid w:val="00715E62"/>
    <w:rsid w:val="0071659F"/>
    <w:rsid w:val="007169F9"/>
    <w:rsid w:val="00716BC3"/>
    <w:rsid w:val="00716FD5"/>
    <w:rsid w:val="00717C5D"/>
    <w:rsid w:val="00717F54"/>
    <w:rsid w:val="00720A65"/>
    <w:rsid w:val="007216E2"/>
    <w:rsid w:val="007218A5"/>
    <w:rsid w:val="007218EA"/>
    <w:rsid w:val="007236D6"/>
    <w:rsid w:val="0072473A"/>
    <w:rsid w:val="00724A6A"/>
    <w:rsid w:val="00724C31"/>
    <w:rsid w:val="00724CCB"/>
    <w:rsid w:val="007252C2"/>
    <w:rsid w:val="00726273"/>
    <w:rsid w:val="00726964"/>
    <w:rsid w:val="00727600"/>
    <w:rsid w:val="00730302"/>
    <w:rsid w:val="00730AE1"/>
    <w:rsid w:val="00730BDF"/>
    <w:rsid w:val="0073164E"/>
    <w:rsid w:val="0073247D"/>
    <w:rsid w:val="00732A33"/>
    <w:rsid w:val="00733B0B"/>
    <w:rsid w:val="007341E9"/>
    <w:rsid w:val="00734421"/>
    <w:rsid w:val="00735C68"/>
    <w:rsid w:val="00736C36"/>
    <w:rsid w:val="007405B6"/>
    <w:rsid w:val="00740BB1"/>
    <w:rsid w:val="00741841"/>
    <w:rsid w:val="00741B45"/>
    <w:rsid w:val="0074270B"/>
    <w:rsid w:val="007427C6"/>
    <w:rsid w:val="00742AA8"/>
    <w:rsid w:val="00742F03"/>
    <w:rsid w:val="007434F5"/>
    <w:rsid w:val="00743E37"/>
    <w:rsid w:val="00744F40"/>
    <w:rsid w:val="007454BA"/>
    <w:rsid w:val="007454F5"/>
    <w:rsid w:val="00745A11"/>
    <w:rsid w:val="00745E57"/>
    <w:rsid w:val="00745F36"/>
    <w:rsid w:val="00745F96"/>
    <w:rsid w:val="00746182"/>
    <w:rsid w:val="007463EA"/>
    <w:rsid w:val="00746951"/>
    <w:rsid w:val="00747237"/>
    <w:rsid w:val="0074777E"/>
    <w:rsid w:val="00747972"/>
    <w:rsid w:val="00747CD5"/>
    <w:rsid w:val="00747FBE"/>
    <w:rsid w:val="00750467"/>
    <w:rsid w:val="007509D4"/>
    <w:rsid w:val="00750B4A"/>
    <w:rsid w:val="00750EA5"/>
    <w:rsid w:val="00751262"/>
    <w:rsid w:val="0075155B"/>
    <w:rsid w:val="00751F0B"/>
    <w:rsid w:val="00752520"/>
    <w:rsid w:val="0075258F"/>
    <w:rsid w:val="00752835"/>
    <w:rsid w:val="007529C5"/>
    <w:rsid w:val="00752E1F"/>
    <w:rsid w:val="0075319B"/>
    <w:rsid w:val="00753CB1"/>
    <w:rsid w:val="0075436B"/>
    <w:rsid w:val="00754577"/>
    <w:rsid w:val="007551B1"/>
    <w:rsid w:val="00755E73"/>
    <w:rsid w:val="00755E92"/>
    <w:rsid w:val="00756120"/>
    <w:rsid w:val="007574FD"/>
    <w:rsid w:val="00757889"/>
    <w:rsid w:val="00760CA0"/>
    <w:rsid w:val="0076128D"/>
    <w:rsid w:val="00761514"/>
    <w:rsid w:val="00761621"/>
    <w:rsid w:val="00761E12"/>
    <w:rsid w:val="007625B5"/>
    <w:rsid w:val="007631E5"/>
    <w:rsid w:val="007638AA"/>
    <w:rsid w:val="007648D1"/>
    <w:rsid w:val="007649D2"/>
    <w:rsid w:val="0076530E"/>
    <w:rsid w:val="00765534"/>
    <w:rsid w:val="00765B34"/>
    <w:rsid w:val="00765D6C"/>
    <w:rsid w:val="00765F71"/>
    <w:rsid w:val="00766322"/>
    <w:rsid w:val="00767302"/>
    <w:rsid w:val="0076742D"/>
    <w:rsid w:val="00767E4A"/>
    <w:rsid w:val="00771AAF"/>
    <w:rsid w:val="00771E50"/>
    <w:rsid w:val="00772688"/>
    <w:rsid w:val="00772726"/>
    <w:rsid w:val="007729CF"/>
    <w:rsid w:val="00772EFB"/>
    <w:rsid w:val="007733D3"/>
    <w:rsid w:val="00773545"/>
    <w:rsid w:val="007737CB"/>
    <w:rsid w:val="00773AB6"/>
    <w:rsid w:val="00775839"/>
    <w:rsid w:val="00775FE7"/>
    <w:rsid w:val="00776E9C"/>
    <w:rsid w:val="0077727E"/>
    <w:rsid w:val="00777306"/>
    <w:rsid w:val="00777455"/>
    <w:rsid w:val="007776D8"/>
    <w:rsid w:val="007809EF"/>
    <w:rsid w:val="00780FB1"/>
    <w:rsid w:val="0078157B"/>
    <w:rsid w:val="00781B4E"/>
    <w:rsid w:val="00781CBA"/>
    <w:rsid w:val="00782074"/>
    <w:rsid w:val="0078269E"/>
    <w:rsid w:val="00782C54"/>
    <w:rsid w:val="007832ED"/>
    <w:rsid w:val="007838DE"/>
    <w:rsid w:val="007839EB"/>
    <w:rsid w:val="007845A8"/>
    <w:rsid w:val="00784690"/>
    <w:rsid w:val="00785085"/>
    <w:rsid w:val="007853CD"/>
    <w:rsid w:val="007863FF"/>
    <w:rsid w:val="00786C2C"/>
    <w:rsid w:val="00786E82"/>
    <w:rsid w:val="00787AC4"/>
    <w:rsid w:val="00790536"/>
    <w:rsid w:val="00790716"/>
    <w:rsid w:val="00790CB1"/>
    <w:rsid w:val="007912EF"/>
    <w:rsid w:val="00791B41"/>
    <w:rsid w:val="0079205E"/>
    <w:rsid w:val="007929E3"/>
    <w:rsid w:val="007930B8"/>
    <w:rsid w:val="00793209"/>
    <w:rsid w:val="007940EE"/>
    <w:rsid w:val="007941B9"/>
    <w:rsid w:val="00794943"/>
    <w:rsid w:val="00794FB8"/>
    <w:rsid w:val="00795B1B"/>
    <w:rsid w:val="0079741D"/>
    <w:rsid w:val="007A0000"/>
    <w:rsid w:val="007A0AA3"/>
    <w:rsid w:val="007A1C2B"/>
    <w:rsid w:val="007A1D7F"/>
    <w:rsid w:val="007A1F92"/>
    <w:rsid w:val="007A235D"/>
    <w:rsid w:val="007A3B90"/>
    <w:rsid w:val="007A40F2"/>
    <w:rsid w:val="007A43F8"/>
    <w:rsid w:val="007A5358"/>
    <w:rsid w:val="007A5782"/>
    <w:rsid w:val="007A5902"/>
    <w:rsid w:val="007A5C38"/>
    <w:rsid w:val="007A6038"/>
    <w:rsid w:val="007A6A9F"/>
    <w:rsid w:val="007A7231"/>
    <w:rsid w:val="007A78B6"/>
    <w:rsid w:val="007A7B57"/>
    <w:rsid w:val="007B00BA"/>
    <w:rsid w:val="007B0AD9"/>
    <w:rsid w:val="007B167C"/>
    <w:rsid w:val="007B21D6"/>
    <w:rsid w:val="007B26D4"/>
    <w:rsid w:val="007B2D16"/>
    <w:rsid w:val="007B4195"/>
    <w:rsid w:val="007B46F6"/>
    <w:rsid w:val="007B581D"/>
    <w:rsid w:val="007B617C"/>
    <w:rsid w:val="007B666D"/>
    <w:rsid w:val="007B684C"/>
    <w:rsid w:val="007B694E"/>
    <w:rsid w:val="007B6F87"/>
    <w:rsid w:val="007B757B"/>
    <w:rsid w:val="007B7E05"/>
    <w:rsid w:val="007C0347"/>
    <w:rsid w:val="007C0451"/>
    <w:rsid w:val="007C0EC1"/>
    <w:rsid w:val="007C0F8F"/>
    <w:rsid w:val="007C2BB1"/>
    <w:rsid w:val="007C2CE4"/>
    <w:rsid w:val="007C2DD7"/>
    <w:rsid w:val="007C332B"/>
    <w:rsid w:val="007C3362"/>
    <w:rsid w:val="007C45E3"/>
    <w:rsid w:val="007C5708"/>
    <w:rsid w:val="007C58C6"/>
    <w:rsid w:val="007C5ADE"/>
    <w:rsid w:val="007C5B1C"/>
    <w:rsid w:val="007C626E"/>
    <w:rsid w:val="007C66DD"/>
    <w:rsid w:val="007C76A0"/>
    <w:rsid w:val="007C7C46"/>
    <w:rsid w:val="007C7E05"/>
    <w:rsid w:val="007D027A"/>
    <w:rsid w:val="007D0394"/>
    <w:rsid w:val="007D0CB3"/>
    <w:rsid w:val="007D0FC1"/>
    <w:rsid w:val="007D10FE"/>
    <w:rsid w:val="007D209E"/>
    <w:rsid w:val="007D218D"/>
    <w:rsid w:val="007D2EFF"/>
    <w:rsid w:val="007D358C"/>
    <w:rsid w:val="007D3646"/>
    <w:rsid w:val="007D3892"/>
    <w:rsid w:val="007D575C"/>
    <w:rsid w:val="007D5B27"/>
    <w:rsid w:val="007D672E"/>
    <w:rsid w:val="007D67AB"/>
    <w:rsid w:val="007D7224"/>
    <w:rsid w:val="007D741F"/>
    <w:rsid w:val="007D7CC2"/>
    <w:rsid w:val="007E07B6"/>
    <w:rsid w:val="007E0D98"/>
    <w:rsid w:val="007E0E2C"/>
    <w:rsid w:val="007E15D0"/>
    <w:rsid w:val="007E1B6A"/>
    <w:rsid w:val="007E25D2"/>
    <w:rsid w:val="007E2E19"/>
    <w:rsid w:val="007E3555"/>
    <w:rsid w:val="007E3626"/>
    <w:rsid w:val="007E3AE7"/>
    <w:rsid w:val="007E4386"/>
    <w:rsid w:val="007E54DA"/>
    <w:rsid w:val="007E5741"/>
    <w:rsid w:val="007E6151"/>
    <w:rsid w:val="007E6667"/>
    <w:rsid w:val="007E6D09"/>
    <w:rsid w:val="007E70B0"/>
    <w:rsid w:val="007F0145"/>
    <w:rsid w:val="007F027A"/>
    <w:rsid w:val="007F0639"/>
    <w:rsid w:val="007F0924"/>
    <w:rsid w:val="007F0E87"/>
    <w:rsid w:val="007F1176"/>
    <w:rsid w:val="007F148F"/>
    <w:rsid w:val="007F190A"/>
    <w:rsid w:val="007F20CF"/>
    <w:rsid w:val="007F294C"/>
    <w:rsid w:val="007F2BE6"/>
    <w:rsid w:val="007F2D4C"/>
    <w:rsid w:val="007F3CFB"/>
    <w:rsid w:val="007F49A6"/>
    <w:rsid w:val="007F4C89"/>
    <w:rsid w:val="007F6408"/>
    <w:rsid w:val="007F6DEE"/>
    <w:rsid w:val="007F6E7D"/>
    <w:rsid w:val="007F7D5E"/>
    <w:rsid w:val="007F7E34"/>
    <w:rsid w:val="0080053E"/>
    <w:rsid w:val="00800ADD"/>
    <w:rsid w:val="00800F22"/>
    <w:rsid w:val="00801235"/>
    <w:rsid w:val="00801472"/>
    <w:rsid w:val="0080186B"/>
    <w:rsid w:val="00801F43"/>
    <w:rsid w:val="0080200C"/>
    <w:rsid w:val="00802EE9"/>
    <w:rsid w:val="00803400"/>
    <w:rsid w:val="008034B6"/>
    <w:rsid w:val="00804030"/>
    <w:rsid w:val="008042B6"/>
    <w:rsid w:val="008056B3"/>
    <w:rsid w:val="00805A02"/>
    <w:rsid w:val="00805D34"/>
    <w:rsid w:val="00805E56"/>
    <w:rsid w:val="008061D1"/>
    <w:rsid w:val="008063D3"/>
    <w:rsid w:val="0080654E"/>
    <w:rsid w:val="00806691"/>
    <w:rsid w:val="0080699B"/>
    <w:rsid w:val="0080709A"/>
    <w:rsid w:val="00810085"/>
    <w:rsid w:val="00810C6A"/>
    <w:rsid w:val="008115D3"/>
    <w:rsid w:val="00811C8A"/>
    <w:rsid w:val="00812FFB"/>
    <w:rsid w:val="0081322A"/>
    <w:rsid w:val="00813600"/>
    <w:rsid w:val="00813E2C"/>
    <w:rsid w:val="008146B7"/>
    <w:rsid w:val="008155DE"/>
    <w:rsid w:val="00815899"/>
    <w:rsid w:val="00815F0E"/>
    <w:rsid w:val="008166B9"/>
    <w:rsid w:val="008167C4"/>
    <w:rsid w:val="00817296"/>
    <w:rsid w:val="00817442"/>
    <w:rsid w:val="008179A8"/>
    <w:rsid w:val="00820555"/>
    <w:rsid w:val="00820613"/>
    <w:rsid w:val="008212F1"/>
    <w:rsid w:val="00821D5A"/>
    <w:rsid w:val="008223AF"/>
    <w:rsid w:val="00822974"/>
    <w:rsid w:val="00822ED7"/>
    <w:rsid w:val="00823A33"/>
    <w:rsid w:val="008241CC"/>
    <w:rsid w:val="00824A1E"/>
    <w:rsid w:val="00824ADF"/>
    <w:rsid w:val="008250AB"/>
    <w:rsid w:val="008250D4"/>
    <w:rsid w:val="008250DA"/>
    <w:rsid w:val="00825A88"/>
    <w:rsid w:val="00825E29"/>
    <w:rsid w:val="00826B82"/>
    <w:rsid w:val="00826E25"/>
    <w:rsid w:val="00827240"/>
    <w:rsid w:val="00830225"/>
    <w:rsid w:val="00830836"/>
    <w:rsid w:val="00830A05"/>
    <w:rsid w:val="00831406"/>
    <w:rsid w:val="00831688"/>
    <w:rsid w:val="008321A1"/>
    <w:rsid w:val="00833A34"/>
    <w:rsid w:val="00834098"/>
    <w:rsid w:val="00834449"/>
    <w:rsid w:val="00834BA2"/>
    <w:rsid w:val="00834FD9"/>
    <w:rsid w:val="0083552F"/>
    <w:rsid w:val="0084004B"/>
    <w:rsid w:val="00840898"/>
    <w:rsid w:val="00840B2E"/>
    <w:rsid w:val="0084255E"/>
    <w:rsid w:val="00842869"/>
    <w:rsid w:val="00842CB4"/>
    <w:rsid w:val="00843985"/>
    <w:rsid w:val="00844DB0"/>
    <w:rsid w:val="00845AB6"/>
    <w:rsid w:val="00845ADC"/>
    <w:rsid w:val="00846192"/>
    <w:rsid w:val="008465E9"/>
    <w:rsid w:val="00847165"/>
    <w:rsid w:val="008473F4"/>
    <w:rsid w:val="00847FF7"/>
    <w:rsid w:val="0085198E"/>
    <w:rsid w:val="008519D0"/>
    <w:rsid w:val="00851A18"/>
    <w:rsid w:val="00852039"/>
    <w:rsid w:val="0085299E"/>
    <w:rsid w:val="008535EA"/>
    <w:rsid w:val="00854239"/>
    <w:rsid w:val="008546A3"/>
    <w:rsid w:val="0085474D"/>
    <w:rsid w:val="0085480B"/>
    <w:rsid w:val="00854AD6"/>
    <w:rsid w:val="008554DD"/>
    <w:rsid w:val="00855771"/>
    <w:rsid w:val="00855DD6"/>
    <w:rsid w:val="00856159"/>
    <w:rsid w:val="00856178"/>
    <w:rsid w:val="00856AF8"/>
    <w:rsid w:val="00856F5B"/>
    <w:rsid w:val="008571D5"/>
    <w:rsid w:val="00857400"/>
    <w:rsid w:val="00857E5D"/>
    <w:rsid w:val="008605D8"/>
    <w:rsid w:val="008636BF"/>
    <w:rsid w:val="00863C7E"/>
    <w:rsid w:val="00863F82"/>
    <w:rsid w:val="00864418"/>
    <w:rsid w:val="00864D02"/>
    <w:rsid w:val="008652C8"/>
    <w:rsid w:val="0086546D"/>
    <w:rsid w:val="00865969"/>
    <w:rsid w:val="00865D0C"/>
    <w:rsid w:val="00865EAA"/>
    <w:rsid w:val="00865FA8"/>
    <w:rsid w:val="0086611C"/>
    <w:rsid w:val="00866B92"/>
    <w:rsid w:val="00866C1E"/>
    <w:rsid w:val="00867082"/>
    <w:rsid w:val="00870564"/>
    <w:rsid w:val="00870BDA"/>
    <w:rsid w:val="00870D25"/>
    <w:rsid w:val="00870D8E"/>
    <w:rsid w:val="0087164A"/>
    <w:rsid w:val="00871743"/>
    <w:rsid w:val="00871F93"/>
    <w:rsid w:val="00872A9C"/>
    <w:rsid w:val="00872BE6"/>
    <w:rsid w:val="00872D37"/>
    <w:rsid w:val="00873180"/>
    <w:rsid w:val="00874A5D"/>
    <w:rsid w:val="00874F77"/>
    <w:rsid w:val="00875EBA"/>
    <w:rsid w:val="00876799"/>
    <w:rsid w:val="008777B8"/>
    <w:rsid w:val="008779F2"/>
    <w:rsid w:val="00877EFB"/>
    <w:rsid w:val="00877F02"/>
    <w:rsid w:val="0088119C"/>
    <w:rsid w:val="0088168C"/>
    <w:rsid w:val="008826BE"/>
    <w:rsid w:val="00882A17"/>
    <w:rsid w:val="00882C0B"/>
    <w:rsid w:val="00882D2A"/>
    <w:rsid w:val="00883130"/>
    <w:rsid w:val="008846B8"/>
    <w:rsid w:val="008850C7"/>
    <w:rsid w:val="00885361"/>
    <w:rsid w:val="0088562B"/>
    <w:rsid w:val="008859D4"/>
    <w:rsid w:val="00885FA7"/>
    <w:rsid w:val="00886C81"/>
    <w:rsid w:val="00887024"/>
    <w:rsid w:val="00887689"/>
    <w:rsid w:val="00887BFA"/>
    <w:rsid w:val="008904D2"/>
    <w:rsid w:val="00890B76"/>
    <w:rsid w:val="0089117D"/>
    <w:rsid w:val="00891820"/>
    <w:rsid w:val="00892828"/>
    <w:rsid w:val="00893256"/>
    <w:rsid w:val="00893660"/>
    <w:rsid w:val="008936C6"/>
    <w:rsid w:val="008970E5"/>
    <w:rsid w:val="008A0629"/>
    <w:rsid w:val="008A0A85"/>
    <w:rsid w:val="008A0D8A"/>
    <w:rsid w:val="008A10DE"/>
    <w:rsid w:val="008A163B"/>
    <w:rsid w:val="008A2B6D"/>
    <w:rsid w:val="008A3585"/>
    <w:rsid w:val="008A3839"/>
    <w:rsid w:val="008A3D82"/>
    <w:rsid w:val="008A49DB"/>
    <w:rsid w:val="008A4A0F"/>
    <w:rsid w:val="008A4D0B"/>
    <w:rsid w:val="008A4FFF"/>
    <w:rsid w:val="008A59CB"/>
    <w:rsid w:val="008A5A33"/>
    <w:rsid w:val="008A6B29"/>
    <w:rsid w:val="008A6E56"/>
    <w:rsid w:val="008A708A"/>
    <w:rsid w:val="008A76EB"/>
    <w:rsid w:val="008A7C3B"/>
    <w:rsid w:val="008B0175"/>
    <w:rsid w:val="008B0B1A"/>
    <w:rsid w:val="008B0F90"/>
    <w:rsid w:val="008B1514"/>
    <w:rsid w:val="008B2057"/>
    <w:rsid w:val="008B2502"/>
    <w:rsid w:val="008B2B36"/>
    <w:rsid w:val="008B30C8"/>
    <w:rsid w:val="008B4258"/>
    <w:rsid w:val="008B42C1"/>
    <w:rsid w:val="008B51D1"/>
    <w:rsid w:val="008B5827"/>
    <w:rsid w:val="008B5C81"/>
    <w:rsid w:val="008B6132"/>
    <w:rsid w:val="008B6671"/>
    <w:rsid w:val="008B66F5"/>
    <w:rsid w:val="008B6C02"/>
    <w:rsid w:val="008B7163"/>
    <w:rsid w:val="008B7258"/>
    <w:rsid w:val="008B75C0"/>
    <w:rsid w:val="008B79E5"/>
    <w:rsid w:val="008C0AFC"/>
    <w:rsid w:val="008C0C5D"/>
    <w:rsid w:val="008C1090"/>
    <w:rsid w:val="008C148C"/>
    <w:rsid w:val="008C248F"/>
    <w:rsid w:val="008C3474"/>
    <w:rsid w:val="008C3570"/>
    <w:rsid w:val="008C4054"/>
    <w:rsid w:val="008C5B21"/>
    <w:rsid w:val="008C5D00"/>
    <w:rsid w:val="008C6B11"/>
    <w:rsid w:val="008C6D09"/>
    <w:rsid w:val="008C6EC7"/>
    <w:rsid w:val="008C73FE"/>
    <w:rsid w:val="008C7A46"/>
    <w:rsid w:val="008C7BDB"/>
    <w:rsid w:val="008D066A"/>
    <w:rsid w:val="008D0EEB"/>
    <w:rsid w:val="008D1586"/>
    <w:rsid w:val="008D16CD"/>
    <w:rsid w:val="008D1A04"/>
    <w:rsid w:val="008D1F83"/>
    <w:rsid w:val="008D22E1"/>
    <w:rsid w:val="008D4DE5"/>
    <w:rsid w:val="008D5015"/>
    <w:rsid w:val="008D50A5"/>
    <w:rsid w:val="008D5360"/>
    <w:rsid w:val="008D55D1"/>
    <w:rsid w:val="008D5CF3"/>
    <w:rsid w:val="008D5F8C"/>
    <w:rsid w:val="008D67E9"/>
    <w:rsid w:val="008D7206"/>
    <w:rsid w:val="008D764E"/>
    <w:rsid w:val="008D798D"/>
    <w:rsid w:val="008E01A0"/>
    <w:rsid w:val="008E1523"/>
    <w:rsid w:val="008E1861"/>
    <w:rsid w:val="008E1B38"/>
    <w:rsid w:val="008E2040"/>
    <w:rsid w:val="008E2627"/>
    <w:rsid w:val="008E2632"/>
    <w:rsid w:val="008E30A0"/>
    <w:rsid w:val="008E36E4"/>
    <w:rsid w:val="008E3F61"/>
    <w:rsid w:val="008E43A9"/>
    <w:rsid w:val="008E620C"/>
    <w:rsid w:val="008E642D"/>
    <w:rsid w:val="008E66CA"/>
    <w:rsid w:val="008E71C8"/>
    <w:rsid w:val="008F1070"/>
    <w:rsid w:val="008F220C"/>
    <w:rsid w:val="008F2A95"/>
    <w:rsid w:val="008F2D93"/>
    <w:rsid w:val="008F2FF2"/>
    <w:rsid w:val="008F4156"/>
    <w:rsid w:val="008F4286"/>
    <w:rsid w:val="008F4694"/>
    <w:rsid w:val="008F53CF"/>
    <w:rsid w:val="008F592A"/>
    <w:rsid w:val="008F5CBA"/>
    <w:rsid w:val="008F60D3"/>
    <w:rsid w:val="00900480"/>
    <w:rsid w:val="00900D51"/>
    <w:rsid w:val="009010B8"/>
    <w:rsid w:val="0090143D"/>
    <w:rsid w:val="009014D8"/>
    <w:rsid w:val="009037DA"/>
    <w:rsid w:val="009044DF"/>
    <w:rsid w:val="00904E40"/>
    <w:rsid w:val="009066D8"/>
    <w:rsid w:val="009067D6"/>
    <w:rsid w:val="00906AB2"/>
    <w:rsid w:val="009079B5"/>
    <w:rsid w:val="00907E45"/>
    <w:rsid w:val="009107A4"/>
    <w:rsid w:val="00910851"/>
    <w:rsid w:val="00910BA5"/>
    <w:rsid w:val="00911085"/>
    <w:rsid w:val="00911145"/>
    <w:rsid w:val="00911254"/>
    <w:rsid w:val="009119C1"/>
    <w:rsid w:val="00911BFF"/>
    <w:rsid w:val="00912333"/>
    <w:rsid w:val="00912A79"/>
    <w:rsid w:val="00912AF0"/>
    <w:rsid w:val="009134E1"/>
    <w:rsid w:val="009144CF"/>
    <w:rsid w:val="00915649"/>
    <w:rsid w:val="00915C1B"/>
    <w:rsid w:val="00915D6C"/>
    <w:rsid w:val="00916115"/>
    <w:rsid w:val="00916191"/>
    <w:rsid w:val="009161B1"/>
    <w:rsid w:val="00916328"/>
    <w:rsid w:val="009164AF"/>
    <w:rsid w:val="00916576"/>
    <w:rsid w:val="00920465"/>
    <w:rsid w:val="00920992"/>
    <w:rsid w:val="009211DD"/>
    <w:rsid w:val="009212B9"/>
    <w:rsid w:val="0092188D"/>
    <w:rsid w:val="00921BC6"/>
    <w:rsid w:val="0092218E"/>
    <w:rsid w:val="00922FFA"/>
    <w:rsid w:val="0092310B"/>
    <w:rsid w:val="00923FA7"/>
    <w:rsid w:val="00924425"/>
    <w:rsid w:val="00924E1C"/>
    <w:rsid w:val="00925A12"/>
    <w:rsid w:val="00925FE7"/>
    <w:rsid w:val="00926A0E"/>
    <w:rsid w:val="009275AA"/>
    <w:rsid w:val="009278F6"/>
    <w:rsid w:val="00927AE5"/>
    <w:rsid w:val="00927D88"/>
    <w:rsid w:val="00930B36"/>
    <w:rsid w:val="009312BC"/>
    <w:rsid w:val="009312F4"/>
    <w:rsid w:val="00931667"/>
    <w:rsid w:val="009317B2"/>
    <w:rsid w:val="00931933"/>
    <w:rsid w:val="00931B91"/>
    <w:rsid w:val="00932534"/>
    <w:rsid w:val="0093290D"/>
    <w:rsid w:val="00932BA2"/>
    <w:rsid w:val="0093438D"/>
    <w:rsid w:val="00936492"/>
    <w:rsid w:val="00936EC7"/>
    <w:rsid w:val="00940AE2"/>
    <w:rsid w:val="00940D07"/>
    <w:rsid w:val="00940F4A"/>
    <w:rsid w:val="0094147D"/>
    <w:rsid w:val="0094164A"/>
    <w:rsid w:val="009423FB"/>
    <w:rsid w:val="00942483"/>
    <w:rsid w:val="00942C45"/>
    <w:rsid w:val="00942C7B"/>
    <w:rsid w:val="00942CD5"/>
    <w:rsid w:val="00942E9C"/>
    <w:rsid w:val="00943188"/>
    <w:rsid w:val="0094389D"/>
    <w:rsid w:val="00943956"/>
    <w:rsid w:val="009441D4"/>
    <w:rsid w:val="009442A3"/>
    <w:rsid w:val="00944B4B"/>
    <w:rsid w:val="00944E22"/>
    <w:rsid w:val="00945401"/>
    <w:rsid w:val="009463ED"/>
    <w:rsid w:val="0094668F"/>
    <w:rsid w:val="00946963"/>
    <w:rsid w:val="00946D07"/>
    <w:rsid w:val="00946D5D"/>
    <w:rsid w:val="009476F5"/>
    <w:rsid w:val="00947E8E"/>
    <w:rsid w:val="00950C4C"/>
    <w:rsid w:val="00950F69"/>
    <w:rsid w:val="00952863"/>
    <w:rsid w:val="00952F45"/>
    <w:rsid w:val="00953BE8"/>
    <w:rsid w:val="00954199"/>
    <w:rsid w:val="00954487"/>
    <w:rsid w:val="00956609"/>
    <w:rsid w:val="00956BE2"/>
    <w:rsid w:val="009574D2"/>
    <w:rsid w:val="00957AEF"/>
    <w:rsid w:val="00957CD1"/>
    <w:rsid w:val="009602DB"/>
    <w:rsid w:val="00960AE1"/>
    <w:rsid w:val="00960F1F"/>
    <w:rsid w:val="0096128F"/>
    <w:rsid w:val="009613A9"/>
    <w:rsid w:val="009618C0"/>
    <w:rsid w:val="00962010"/>
    <w:rsid w:val="00962323"/>
    <w:rsid w:val="00962CEA"/>
    <w:rsid w:val="00963089"/>
    <w:rsid w:val="009631E1"/>
    <w:rsid w:val="009633AC"/>
    <w:rsid w:val="00964083"/>
    <w:rsid w:val="00964DD8"/>
    <w:rsid w:val="00965269"/>
    <w:rsid w:val="00965DFF"/>
    <w:rsid w:val="009661E1"/>
    <w:rsid w:val="009664EB"/>
    <w:rsid w:val="009668D6"/>
    <w:rsid w:val="00966EFF"/>
    <w:rsid w:val="009673AD"/>
    <w:rsid w:val="00967D20"/>
    <w:rsid w:val="00971905"/>
    <w:rsid w:val="00971DD6"/>
    <w:rsid w:val="00972808"/>
    <w:rsid w:val="00973852"/>
    <w:rsid w:val="009743EF"/>
    <w:rsid w:val="009745D7"/>
    <w:rsid w:val="00975596"/>
    <w:rsid w:val="009756E7"/>
    <w:rsid w:val="0097655F"/>
    <w:rsid w:val="00976FDA"/>
    <w:rsid w:val="00977E25"/>
    <w:rsid w:val="009803A1"/>
    <w:rsid w:val="00980610"/>
    <w:rsid w:val="00980A45"/>
    <w:rsid w:val="00980B89"/>
    <w:rsid w:val="00980C80"/>
    <w:rsid w:val="00981EDC"/>
    <w:rsid w:val="0098218C"/>
    <w:rsid w:val="0098402B"/>
    <w:rsid w:val="0098587B"/>
    <w:rsid w:val="0098637D"/>
    <w:rsid w:val="0098650F"/>
    <w:rsid w:val="0098788E"/>
    <w:rsid w:val="00990BCC"/>
    <w:rsid w:val="00990E84"/>
    <w:rsid w:val="0099138A"/>
    <w:rsid w:val="009913D2"/>
    <w:rsid w:val="00992DFA"/>
    <w:rsid w:val="00993408"/>
    <w:rsid w:val="00994217"/>
    <w:rsid w:val="00994C16"/>
    <w:rsid w:val="00994FA9"/>
    <w:rsid w:val="00995452"/>
    <w:rsid w:val="0099578A"/>
    <w:rsid w:val="0099587E"/>
    <w:rsid w:val="00996255"/>
    <w:rsid w:val="00997534"/>
    <w:rsid w:val="0099770E"/>
    <w:rsid w:val="009A0BCB"/>
    <w:rsid w:val="009A0E9B"/>
    <w:rsid w:val="009A1540"/>
    <w:rsid w:val="009A172C"/>
    <w:rsid w:val="009A1CC3"/>
    <w:rsid w:val="009A2B42"/>
    <w:rsid w:val="009A3DCA"/>
    <w:rsid w:val="009A433D"/>
    <w:rsid w:val="009A443D"/>
    <w:rsid w:val="009A4566"/>
    <w:rsid w:val="009A58E7"/>
    <w:rsid w:val="009A5D27"/>
    <w:rsid w:val="009A5F47"/>
    <w:rsid w:val="009A66A9"/>
    <w:rsid w:val="009A6944"/>
    <w:rsid w:val="009A6EB3"/>
    <w:rsid w:val="009A7305"/>
    <w:rsid w:val="009A7942"/>
    <w:rsid w:val="009A7DAB"/>
    <w:rsid w:val="009B1009"/>
    <w:rsid w:val="009B1AF2"/>
    <w:rsid w:val="009B20FC"/>
    <w:rsid w:val="009B214F"/>
    <w:rsid w:val="009B266D"/>
    <w:rsid w:val="009B2870"/>
    <w:rsid w:val="009B2BFF"/>
    <w:rsid w:val="009B2ED8"/>
    <w:rsid w:val="009B31C4"/>
    <w:rsid w:val="009B3934"/>
    <w:rsid w:val="009B3A5B"/>
    <w:rsid w:val="009B3C83"/>
    <w:rsid w:val="009B40E9"/>
    <w:rsid w:val="009B48D7"/>
    <w:rsid w:val="009B4973"/>
    <w:rsid w:val="009B49EC"/>
    <w:rsid w:val="009B563F"/>
    <w:rsid w:val="009B5873"/>
    <w:rsid w:val="009B6261"/>
    <w:rsid w:val="009B6AEB"/>
    <w:rsid w:val="009B6DFC"/>
    <w:rsid w:val="009B7C92"/>
    <w:rsid w:val="009C0859"/>
    <w:rsid w:val="009C0FAD"/>
    <w:rsid w:val="009C11E9"/>
    <w:rsid w:val="009C1C31"/>
    <w:rsid w:val="009C2607"/>
    <w:rsid w:val="009C272E"/>
    <w:rsid w:val="009C3462"/>
    <w:rsid w:val="009C58E8"/>
    <w:rsid w:val="009C5988"/>
    <w:rsid w:val="009C5E1C"/>
    <w:rsid w:val="009C6005"/>
    <w:rsid w:val="009C627C"/>
    <w:rsid w:val="009C69AB"/>
    <w:rsid w:val="009D0352"/>
    <w:rsid w:val="009D04E8"/>
    <w:rsid w:val="009D1EC3"/>
    <w:rsid w:val="009D1FF2"/>
    <w:rsid w:val="009D2981"/>
    <w:rsid w:val="009D2F59"/>
    <w:rsid w:val="009D349C"/>
    <w:rsid w:val="009D382E"/>
    <w:rsid w:val="009D3BC3"/>
    <w:rsid w:val="009D4596"/>
    <w:rsid w:val="009D4624"/>
    <w:rsid w:val="009D53DE"/>
    <w:rsid w:val="009D57CC"/>
    <w:rsid w:val="009D598F"/>
    <w:rsid w:val="009D5F02"/>
    <w:rsid w:val="009D6442"/>
    <w:rsid w:val="009D69AC"/>
    <w:rsid w:val="009D6B6E"/>
    <w:rsid w:val="009D78CB"/>
    <w:rsid w:val="009D78E1"/>
    <w:rsid w:val="009D7B39"/>
    <w:rsid w:val="009D7CDA"/>
    <w:rsid w:val="009D7F59"/>
    <w:rsid w:val="009E11EE"/>
    <w:rsid w:val="009E12B5"/>
    <w:rsid w:val="009E1308"/>
    <w:rsid w:val="009E1E43"/>
    <w:rsid w:val="009E1F75"/>
    <w:rsid w:val="009E413C"/>
    <w:rsid w:val="009E446C"/>
    <w:rsid w:val="009E4880"/>
    <w:rsid w:val="009E4EF6"/>
    <w:rsid w:val="009E5DC3"/>
    <w:rsid w:val="009E67CD"/>
    <w:rsid w:val="009E6C78"/>
    <w:rsid w:val="009E7344"/>
    <w:rsid w:val="009E7908"/>
    <w:rsid w:val="009F19EA"/>
    <w:rsid w:val="009F1E96"/>
    <w:rsid w:val="009F2756"/>
    <w:rsid w:val="009F27D9"/>
    <w:rsid w:val="009F3078"/>
    <w:rsid w:val="009F3AF6"/>
    <w:rsid w:val="009F3FD9"/>
    <w:rsid w:val="009F5265"/>
    <w:rsid w:val="009F5853"/>
    <w:rsid w:val="009F5C2F"/>
    <w:rsid w:val="009F722D"/>
    <w:rsid w:val="009F762A"/>
    <w:rsid w:val="009F7CD9"/>
    <w:rsid w:val="00A00225"/>
    <w:rsid w:val="00A004C5"/>
    <w:rsid w:val="00A015F3"/>
    <w:rsid w:val="00A01E78"/>
    <w:rsid w:val="00A029D3"/>
    <w:rsid w:val="00A03E46"/>
    <w:rsid w:val="00A051ED"/>
    <w:rsid w:val="00A05579"/>
    <w:rsid w:val="00A056B9"/>
    <w:rsid w:val="00A056D7"/>
    <w:rsid w:val="00A06AC1"/>
    <w:rsid w:val="00A06C22"/>
    <w:rsid w:val="00A06F8B"/>
    <w:rsid w:val="00A070B1"/>
    <w:rsid w:val="00A070CE"/>
    <w:rsid w:val="00A0711F"/>
    <w:rsid w:val="00A07365"/>
    <w:rsid w:val="00A10265"/>
    <w:rsid w:val="00A1043A"/>
    <w:rsid w:val="00A11E5B"/>
    <w:rsid w:val="00A11E76"/>
    <w:rsid w:val="00A12095"/>
    <w:rsid w:val="00A1247B"/>
    <w:rsid w:val="00A126CA"/>
    <w:rsid w:val="00A12FE0"/>
    <w:rsid w:val="00A1318D"/>
    <w:rsid w:val="00A1357F"/>
    <w:rsid w:val="00A1571A"/>
    <w:rsid w:val="00A15DE7"/>
    <w:rsid w:val="00A15EA4"/>
    <w:rsid w:val="00A161BC"/>
    <w:rsid w:val="00A16240"/>
    <w:rsid w:val="00A16BD9"/>
    <w:rsid w:val="00A16CB4"/>
    <w:rsid w:val="00A17769"/>
    <w:rsid w:val="00A202B3"/>
    <w:rsid w:val="00A20ACF"/>
    <w:rsid w:val="00A214E7"/>
    <w:rsid w:val="00A21A01"/>
    <w:rsid w:val="00A21A98"/>
    <w:rsid w:val="00A2206D"/>
    <w:rsid w:val="00A2297B"/>
    <w:rsid w:val="00A230EE"/>
    <w:rsid w:val="00A23EEF"/>
    <w:rsid w:val="00A2458D"/>
    <w:rsid w:val="00A24AAA"/>
    <w:rsid w:val="00A25726"/>
    <w:rsid w:val="00A258D4"/>
    <w:rsid w:val="00A2620C"/>
    <w:rsid w:val="00A2654C"/>
    <w:rsid w:val="00A2655C"/>
    <w:rsid w:val="00A2681C"/>
    <w:rsid w:val="00A26F43"/>
    <w:rsid w:val="00A27271"/>
    <w:rsid w:val="00A2753A"/>
    <w:rsid w:val="00A30037"/>
    <w:rsid w:val="00A302E8"/>
    <w:rsid w:val="00A318D3"/>
    <w:rsid w:val="00A31B2C"/>
    <w:rsid w:val="00A32620"/>
    <w:rsid w:val="00A32842"/>
    <w:rsid w:val="00A32A9F"/>
    <w:rsid w:val="00A32E71"/>
    <w:rsid w:val="00A3306F"/>
    <w:rsid w:val="00A33442"/>
    <w:rsid w:val="00A337F8"/>
    <w:rsid w:val="00A3655F"/>
    <w:rsid w:val="00A37481"/>
    <w:rsid w:val="00A37E51"/>
    <w:rsid w:val="00A401C2"/>
    <w:rsid w:val="00A41224"/>
    <w:rsid w:val="00A421EB"/>
    <w:rsid w:val="00A424E4"/>
    <w:rsid w:val="00A42BED"/>
    <w:rsid w:val="00A4341B"/>
    <w:rsid w:val="00A43AB0"/>
    <w:rsid w:val="00A43E98"/>
    <w:rsid w:val="00A441A6"/>
    <w:rsid w:val="00A4433E"/>
    <w:rsid w:val="00A446E9"/>
    <w:rsid w:val="00A4574B"/>
    <w:rsid w:val="00A45D7C"/>
    <w:rsid w:val="00A45E8A"/>
    <w:rsid w:val="00A46663"/>
    <w:rsid w:val="00A4733D"/>
    <w:rsid w:val="00A4735A"/>
    <w:rsid w:val="00A47577"/>
    <w:rsid w:val="00A47659"/>
    <w:rsid w:val="00A47EC8"/>
    <w:rsid w:val="00A508ED"/>
    <w:rsid w:val="00A52074"/>
    <w:rsid w:val="00A532D1"/>
    <w:rsid w:val="00A53D18"/>
    <w:rsid w:val="00A54C70"/>
    <w:rsid w:val="00A55C31"/>
    <w:rsid w:val="00A566E9"/>
    <w:rsid w:val="00A56DB3"/>
    <w:rsid w:val="00A5761B"/>
    <w:rsid w:val="00A6090B"/>
    <w:rsid w:val="00A61632"/>
    <w:rsid w:val="00A62064"/>
    <w:rsid w:val="00A62E48"/>
    <w:rsid w:val="00A63282"/>
    <w:rsid w:val="00A63A25"/>
    <w:rsid w:val="00A64650"/>
    <w:rsid w:val="00A648F2"/>
    <w:rsid w:val="00A649FE"/>
    <w:rsid w:val="00A656EC"/>
    <w:rsid w:val="00A660CD"/>
    <w:rsid w:val="00A66839"/>
    <w:rsid w:val="00A668B8"/>
    <w:rsid w:val="00A668C0"/>
    <w:rsid w:val="00A66D00"/>
    <w:rsid w:val="00A66FAC"/>
    <w:rsid w:val="00A67152"/>
    <w:rsid w:val="00A6734D"/>
    <w:rsid w:val="00A675C3"/>
    <w:rsid w:val="00A67DA4"/>
    <w:rsid w:val="00A70486"/>
    <w:rsid w:val="00A7128E"/>
    <w:rsid w:val="00A71630"/>
    <w:rsid w:val="00A71907"/>
    <w:rsid w:val="00A72199"/>
    <w:rsid w:val="00A72983"/>
    <w:rsid w:val="00A737D4"/>
    <w:rsid w:val="00A73A06"/>
    <w:rsid w:val="00A74A6B"/>
    <w:rsid w:val="00A74EE1"/>
    <w:rsid w:val="00A74FDE"/>
    <w:rsid w:val="00A75231"/>
    <w:rsid w:val="00A754E8"/>
    <w:rsid w:val="00A760B7"/>
    <w:rsid w:val="00A76AE0"/>
    <w:rsid w:val="00A7762D"/>
    <w:rsid w:val="00A77F0A"/>
    <w:rsid w:val="00A805D5"/>
    <w:rsid w:val="00A806E8"/>
    <w:rsid w:val="00A8130C"/>
    <w:rsid w:val="00A81FC0"/>
    <w:rsid w:val="00A8286E"/>
    <w:rsid w:val="00A82C27"/>
    <w:rsid w:val="00A834A3"/>
    <w:rsid w:val="00A834FB"/>
    <w:rsid w:val="00A8367A"/>
    <w:rsid w:val="00A837D7"/>
    <w:rsid w:val="00A83FF8"/>
    <w:rsid w:val="00A844E4"/>
    <w:rsid w:val="00A84CF0"/>
    <w:rsid w:val="00A85081"/>
    <w:rsid w:val="00A8583C"/>
    <w:rsid w:val="00A8602D"/>
    <w:rsid w:val="00A862DF"/>
    <w:rsid w:val="00A86750"/>
    <w:rsid w:val="00A86CD5"/>
    <w:rsid w:val="00A86E2B"/>
    <w:rsid w:val="00A87406"/>
    <w:rsid w:val="00A87AB9"/>
    <w:rsid w:val="00A902A2"/>
    <w:rsid w:val="00A918BB"/>
    <w:rsid w:val="00A9272B"/>
    <w:rsid w:val="00A937DA"/>
    <w:rsid w:val="00A93EB1"/>
    <w:rsid w:val="00A94D72"/>
    <w:rsid w:val="00A9533D"/>
    <w:rsid w:val="00A957AB"/>
    <w:rsid w:val="00A95C4B"/>
    <w:rsid w:val="00A969FB"/>
    <w:rsid w:val="00AA0171"/>
    <w:rsid w:val="00AA0493"/>
    <w:rsid w:val="00AA0F20"/>
    <w:rsid w:val="00AA1054"/>
    <w:rsid w:val="00AA13F8"/>
    <w:rsid w:val="00AA170C"/>
    <w:rsid w:val="00AA1C44"/>
    <w:rsid w:val="00AA1DDB"/>
    <w:rsid w:val="00AA2166"/>
    <w:rsid w:val="00AA2772"/>
    <w:rsid w:val="00AA3DA7"/>
    <w:rsid w:val="00AA471D"/>
    <w:rsid w:val="00AA4FE5"/>
    <w:rsid w:val="00AA5148"/>
    <w:rsid w:val="00AA5896"/>
    <w:rsid w:val="00AA62D0"/>
    <w:rsid w:val="00AA62F6"/>
    <w:rsid w:val="00AA7378"/>
    <w:rsid w:val="00AA7A34"/>
    <w:rsid w:val="00AA7A4B"/>
    <w:rsid w:val="00AA7D2F"/>
    <w:rsid w:val="00AB0381"/>
    <w:rsid w:val="00AB13D1"/>
    <w:rsid w:val="00AB1ED3"/>
    <w:rsid w:val="00AB2983"/>
    <w:rsid w:val="00AB2E34"/>
    <w:rsid w:val="00AB3015"/>
    <w:rsid w:val="00AB301F"/>
    <w:rsid w:val="00AB42B5"/>
    <w:rsid w:val="00AB4CFE"/>
    <w:rsid w:val="00AB4E90"/>
    <w:rsid w:val="00AB53C4"/>
    <w:rsid w:val="00AB5544"/>
    <w:rsid w:val="00AB582E"/>
    <w:rsid w:val="00AB5902"/>
    <w:rsid w:val="00AB6977"/>
    <w:rsid w:val="00AB6A7F"/>
    <w:rsid w:val="00AB6C18"/>
    <w:rsid w:val="00AB6C1B"/>
    <w:rsid w:val="00AB6DDC"/>
    <w:rsid w:val="00AB7541"/>
    <w:rsid w:val="00AB7646"/>
    <w:rsid w:val="00AB7CC2"/>
    <w:rsid w:val="00AC02C6"/>
    <w:rsid w:val="00AC0834"/>
    <w:rsid w:val="00AC0AD4"/>
    <w:rsid w:val="00AC0E72"/>
    <w:rsid w:val="00AC1AC0"/>
    <w:rsid w:val="00AC24AD"/>
    <w:rsid w:val="00AC24CF"/>
    <w:rsid w:val="00AC25D9"/>
    <w:rsid w:val="00AC2BA8"/>
    <w:rsid w:val="00AC343E"/>
    <w:rsid w:val="00AC39E0"/>
    <w:rsid w:val="00AC3A8A"/>
    <w:rsid w:val="00AC3F76"/>
    <w:rsid w:val="00AC5068"/>
    <w:rsid w:val="00AC52E4"/>
    <w:rsid w:val="00AC5593"/>
    <w:rsid w:val="00AC5927"/>
    <w:rsid w:val="00AC6A1A"/>
    <w:rsid w:val="00AC6A3B"/>
    <w:rsid w:val="00AC7C8E"/>
    <w:rsid w:val="00AD07FC"/>
    <w:rsid w:val="00AD0A11"/>
    <w:rsid w:val="00AD1E65"/>
    <w:rsid w:val="00AD20C4"/>
    <w:rsid w:val="00AD25B9"/>
    <w:rsid w:val="00AD362A"/>
    <w:rsid w:val="00AD423A"/>
    <w:rsid w:val="00AD4AFF"/>
    <w:rsid w:val="00AD5186"/>
    <w:rsid w:val="00AD5A7B"/>
    <w:rsid w:val="00AD5AF5"/>
    <w:rsid w:val="00AD6770"/>
    <w:rsid w:val="00AD7AC4"/>
    <w:rsid w:val="00AE025A"/>
    <w:rsid w:val="00AE0EFE"/>
    <w:rsid w:val="00AE1535"/>
    <w:rsid w:val="00AE19A0"/>
    <w:rsid w:val="00AE1AB5"/>
    <w:rsid w:val="00AE1BC2"/>
    <w:rsid w:val="00AE1CB6"/>
    <w:rsid w:val="00AE2111"/>
    <w:rsid w:val="00AE29E2"/>
    <w:rsid w:val="00AE32F1"/>
    <w:rsid w:val="00AE3458"/>
    <w:rsid w:val="00AE4A53"/>
    <w:rsid w:val="00AE4D66"/>
    <w:rsid w:val="00AE53B5"/>
    <w:rsid w:val="00AE5541"/>
    <w:rsid w:val="00AE62EA"/>
    <w:rsid w:val="00AE7EC1"/>
    <w:rsid w:val="00AF0B54"/>
    <w:rsid w:val="00AF0BB8"/>
    <w:rsid w:val="00AF1F2A"/>
    <w:rsid w:val="00AF2229"/>
    <w:rsid w:val="00AF248F"/>
    <w:rsid w:val="00AF26F3"/>
    <w:rsid w:val="00AF2BD8"/>
    <w:rsid w:val="00AF2E66"/>
    <w:rsid w:val="00AF3F42"/>
    <w:rsid w:val="00AF4320"/>
    <w:rsid w:val="00AF4BD4"/>
    <w:rsid w:val="00AF50C5"/>
    <w:rsid w:val="00AF5467"/>
    <w:rsid w:val="00AF581D"/>
    <w:rsid w:val="00AF7840"/>
    <w:rsid w:val="00AF7AA3"/>
    <w:rsid w:val="00AF7CDE"/>
    <w:rsid w:val="00AF7E1A"/>
    <w:rsid w:val="00B00350"/>
    <w:rsid w:val="00B00B18"/>
    <w:rsid w:val="00B0247A"/>
    <w:rsid w:val="00B02770"/>
    <w:rsid w:val="00B028FF"/>
    <w:rsid w:val="00B029F2"/>
    <w:rsid w:val="00B02A68"/>
    <w:rsid w:val="00B02EA4"/>
    <w:rsid w:val="00B03952"/>
    <w:rsid w:val="00B03C89"/>
    <w:rsid w:val="00B0401E"/>
    <w:rsid w:val="00B0410E"/>
    <w:rsid w:val="00B0475D"/>
    <w:rsid w:val="00B04C2E"/>
    <w:rsid w:val="00B054F2"/>
    <w:rsid w:val="00B05DBB"/>
    <w:rsid w:val="00B06068"/>
    <w:rsid w:val="00B06254"/>
    <w:rsid w:val="00B06B5B"/>
    <w:rsid w:val="00B06CB4"/>
    <w:rsid w:val="00B1057B"/>
    <w:rsid w:val="00B10924"/>
    <w:rsid w:val="00B10AB5"/>
    <w:rsid w:val="00B10E02"/>
    <w:rsid w:val="00B1110A"/>
    <w:rsid w:val="00B1147A"/>
    <w:rsid w:val="00B1186E"/>
    <w:rsid w:val="00B11AB9"/>
    <w:rsid w:val="00B11F2F"/>
    <w:rsid w:val="00B12249"/>
    <w:rsid w:val="00B12826"/>
    <w:rsid w:val="00B12A64"/>
    <w:rsid w:val="00B12E63"/>
    <w:rsid w:val="00B14BAB"/>
    <w:rsid w:val="00B15A64"/>
    <w:rsid w:val="00B15FF0"/>
    <w:rsid w:val="00B16513"/>
    <w:rsid w:val="00B16991"/>
    <w:rsid w:val="00B16B7A"/>
    <w:rsid w:val="00B16CAD"/>
    <w:rsid w:val="00B1700F"/>
    <w:rsid w:val="00B17884"/>
    <w:rsid w:val="00B17E0E"/>
    <w:rsid w:val="00B17E90"/>
    <w:rsid w:val="00B204A5"/>
    <w:rsid w:val="00B209F7"/>
    <w:rsid w:val="00B219C3"/>
    <w:rsid w:val="00B21D20"/>
    <w:rsid w:val="00B22D1F"/>
    <w:rsid w:val="00B22D64"/>
    <w:rsid w:val="00B236AD"/>
    <w:rsid w:val="00B243F4"/>
    <w:rsid w:val="00B247D5"/>
    <w:rsid w:val="00B24D17"/>
    <w:rsid w:val="00B252C5"/>
    <w:rsid w:val="00B25AE7"/>
    <w:rsid w:val="00B2636E"/>
    <w:rsid w:val="00B2714D"/>
    <w:rsid w:val="00B272BF"/>
    <w:rsid w:val="00B31438"/>
    <w:rsid w:val="00B31EE4"/>
    <w:rsid w:val="00B325F2"/>
    <w:rsid w:val="00B32B1E"/>
    <w:rsid w:val="00B32C09"/>
    <w:rsid w:val="00B32C3A"/>
    <w:rsid w:val="00B32F4B"/>
    <w:rsid w:val="00B34AD5"/>
    <w:rsid w:val="00B34B4B"/>
    <w:rsid w:val="00B34F4C"/>
    <w:rsid w:val="00B365AD"/>
    <w:rsid w:val="00B36B69"/>
    <w:rsid w:val="00B36D94"/>
    <w:rsid w:val="00B376C4"/>
    <w:rsid w:val="00B37EBF"/>
    <w:rsid w:val="00B4041C"/>
    <w:rsid w:val="00B412DC"/>
    <w:rsid w:val="00B4189D"/>
    <w:rsid w:val="00B42D5F"/>
    <w:rsid w:val="00B432DD"/>
    <w:rsid w:val="00B445BC"/>
    <w:rsid w:val="00B451E1"/>
    <w:rsid w:val="00B45F43"/>
    <w:rsid w:val="00B4650E"/>
    <w:rsid w:val="00B46AF9"/>
    <w:rsid w:val="00B46E1B"/>
    <w:rsid w:val="00B46E32"/>
    <w:rsid w:val="00B47725"/>
    <w:rsid w:val="00B47C5D"/>
    <w:rsid w:val="00B50209"/>
    <w:rsid w:val="00B503A0"/>
    <w:rsid w:val="00B507FB"/>
    <w:rsid w:val="00B50DF5"/>
    <w:rsid w:val="00B51D85"/>
    <w:rsid w:val="00B529C8"/>
    <w:rsid w:val="00B52AA3"/>
    <w:rsid w:val="00B52E2E"/>
    <w:rsid w:val="00B533CF"/>
    <w:rsid w:val="00B53BA9"/>
    <w:rsid w:val="00B545C5"/>
    <w:rsid w:val="00B54771"/>
    <w:rsid w:val="00B54E0C"/>
    <w:rsid w:val="00B55860"/>
    <w:rsid w:val="00B55879"/>
    <w:rsid w:val="00B55916"/>
    <w:rsid w:val="00B55E27"/>
    <w:rsid w:val="00B5613C"/>
    <w:rsid w:val="00B563C8"/>
    <w:rsid w:val="00B56682"/>
    <w:rsid w:val="00B57128"/>
    <w:rsid w:val="00B5727F"/>
    <w:rsid w:val="00B602D3"/>
    <w:rsid w:val="00B6061B"/>
    <w:rsid w:val="00B607C0"/>
    <w:rsid w:val="00B6080B"/>
    <w:rsid w:val="00B613E4"/>
    <w:rsid w:val="00B615A4"/>
    <w:rsid w:val="00B61759"/>
    <w:rsid w:val="00B61C2F"/>
    <w:rsid w:val="00B62160"/>
    <w:rsid w:val="00B62C49"/>
    <w:rsid w:val="00B6331F"/>
    <w:rsid w:val="00B63862"/>
    <w:rsid w:val="00B63D69"/>
    <w:rsid w:val="00B643CE"/>
    <w:rsid w:val="00B64C00"/>
    <w:rsid w:val="00B66576"/>
    <w:rsid w:val="00B66C45"/>
    <w:rsid w:val="00B67638"/>
    <w:rsid w:val="00B70942"/>
    <w:rsid w:val="00B70D10"/>
    <w:rsid w:val="00B72E76"/>
    <w:rsid w:val="00B72F6C"/>
    <w:rsid w:val="00B736BB"/>
    <w:rsid w:val="00B73ED1"/>
    <w:rsid w:val="00B74FE8"/>
    <w:rsid w:val="00B7559E"/>
    <w:rsid w:val="00B757E9"/>
    <w:rsid w:val="00B76F06"/>
    <w:rsid w:val="00B77038"/>
    <w:rsid w:val="00B771D9"/>
    <w:rsid w:val="00B77CBD"/>
    <w:rsid w:val="00B8058A"/>
    <w:rsid w:val="00B807B9"/>
    <w:rsid w:val="00B8092A"/>
    <w:rsid w:val="00B80A73"/>
    <w:rsid w:val="00B80EC6"/>
    <w:rsid w:val="00B8213A"/>
    <w:rsid w:val="00B825BE"/>
    <w:rsid w:val="00B82A45"/>
    <w:rsid w:val="00B83D9C"/>
    <w:rsid w:val="00B85541"/>
    <w:rsid w:val="00B85594"/>
    <w:rsid w:val="00B855B2"/>
    <w:rsid w:val="00B85BDD"/>
    <w:rsid w:val="00B85E2B"/>
    <w:rsid w:val="00B86C0C"/>
    <w:rsid w:val="00B87010"/>
    <w:rsid w:val="00B876DB"/>
    <w:rsid w:val="00B921ED"/>
    <w:rsid w:val="00B92421"/>
    <w:rsid w:val="00B926E1"/>
    <w:rsid w:val="00B927F2"/>
    <w:rsid w:val="00B92D9A"/>
    <w:rsid w:val="00B92E52"/>
    <w:rsid w:val="00B93212"/>
    <w:rsid w:val="00B932EC"/>
    <w:rsid w:val="00B9367E"/>
    <w:rsid w:val="00B9453A"/>
    <w:rsid w:val="00B94616"/>
    <w:rsid w:val="00B9617C"/>
    <w:rsid w:val="00B96295"/>
    <w:rsid w:val="00B96318"/>
    <w:rsid w:val="00B97150"/>
    <w:rsid w:val="00B97305"/>
    <w:rsid w:val="00B979C8"/>
    <w:rsid w:val="00BA09EB"/>
    <w:rsid w:val="00BA170A"/>
    <w:rsid w:val="00BA1A83"/>
    <w:rsid w:val="00BA2492"/>
    <w:rsid w:val="00BA26F2"/>
    <w:rsid w:val="00BA2C91"/>
    <w:rsid w:val="00BA2D3E"/>
    <w:rsid w:val="00BA3119"/>
    <w:rsid w:val="00BA37C6"/>
    <w:rsid w:val="00BA3F2B"/>
    <w:rsid w:val="00BA4101"/>
    <w:rsid w:val="00BA41BD"/>
    <w:rsid w:val="00BA5C46"/>
    <w:rsid w:val="00BA624B"/>
    <w:rsid w:val="00BA62DD"/>
    <w:rsid w:val="00BA632B"/>
    <w:rsid w:val="00BA697D"/>
    <w:rsid w:val="00BA7138"/>
    <w:rsid w:val="00BA767F"/>
    <w:rsid w:val="00BA797C"/>
    <w:rsid w:val="00BB0731"/>
    <w:rsid w:val="00BB080D"/>
    <w:rsid w:val="00BB0FA7"/>
    <w:rsid w:val="00BB1B1F"/>
    <w:rsid w:val="00BB1CB9"/>
    <w:rsid w:val="00BB2C37"/>
    <w:rsid w:val="00BB33FA"/>
    <w:rsid w:val="00BB398B"/>
    <w:rsid w:val="00BB40B9"/>
    <w:rsid w:val="00BB4587"/>
    <w:rsid w:val="00BB5C0D"/>
    <w:rsid w:val="00BB5DF5"/>
    <w:rsid w:val="00BB72B9"/>
    <w:rsid w:val="00BB7B1D"/>
    <w:rsid w:val="00BC02C1"/>
    <w:rsid w:val="00BC0303"/>
    <w:rsid w:val="00BC0589"/>
    <w:rsid w:val="00BC0A1E"/>
    <w:rsid w:val="00BC0CD1"/>
    <w:rsid w:val="00BC173D"/>
    <w:rsid w:val="00BC202B"/>
    <w:rsid w:val="00BC257E"/>
    <w:rsid w:val="00BC3071"/>
    <w:rsid w:val="00BC51D8"/>
    <w:rsid w:val="00BC5436"/>
    <w:rsid w:val="00BC5686"/>
    <w:rsid w:val="00BC5FE1"/>
    <w:rsid w:val="00BC633A"/>
    <w:rsid w:val="00BC6365"/>
    <w:rsid w:val="00BC70CE"/>
    <w:rsid w:val="00BC7A0A"/>
    <w:rsid w:val="00BD0232"/>
    <w:rsid w:val="00BD06A5"/>
    <w:rsid w:val="00BD07D1"/>
    <w:rsid w:val="00BD0A4B"/>
    <w:rsid w:val="00BD16ED"/>
    <w:rsid w:val="00BD16FB"/>
    <w:rsid w:val="00BD2831"/>
    <w:rsid w:val="00BD2A6A"/>
    <w:rsid w:val="00BD2C96"/>
    <w:rsid w:val="00BD2D61"/>
    <w:rsid w:val="00BD38CD"/>
    <w:rsid w:val="00BD4974"/>
    <w:rsid w:val="00BD5EB1"/>
    <w:rsid w:val="00BD7702"/>
    <w:rsid w:val="00BE0437"/>
    <w:rsid w:val="00BE07AE"/>
    <w:rsid w:val="00BE126A"/>
    <w:rsid w:val="00BE15DD"/>
    <w:rsid w:val="00BE1C0C"/>
    <w:rsid w:val="00BE2C2E"/>
    <w:rsid w:val="00BE2D6F"/>
    <w:rsid w:val="00BE2F7F"/>
    <w:rsid w:val="00BE42F0"/>
    <w:rsid w:val="00BE4548"/>
    <w:rsid w:val="00BE75B9"/>
    <w:rsid w:val="00BF1435"/>
    <w:rsid w:val="00BF2E47"/>
    <w:rsid w:val="00BF40E8"/>
    <w:rsid w:val="00BF40EB"/>
    <w:rsid w:val="00BF42B0"/>
    <w:rsid w:val="00BF44A3"/>
    <w:rsid w:val="00BF45B2"/>
    <w:rsid w:val="00BF48DC"/>
    <w:rsid w:val="00BF4AF5"/>
    <w:rsid w:val="00BF4E41"/>
    <w:rsid w:val="00BF59DA"/>
    <w:rsid w:val="00BF6E03"/>
    <w:rsid w:val="00BF727B"/>
    <w:rsid w:val="00BF7E2E"/>
    <w:rsid w:val="00C00486"/>
    <w:rsid w:val="00C008D1"/>
    <w:rsid w:val="00C00A35"/>
    <w:rsid w:val="00C00F13"/>
    <w:rsid w:val="00C01422"/>
    <w:rsid w:val="00C01742"/>
    <w:rsid w:val="00C02554"/>
    <w:rsid w:val="00C031B9"/>
    <w:rsid w:val="00C03626"/>
    <w:rsid w:val="00C04626"/>
    <w:rsid w:val="00C04D9D"/>
    <w:rsid w:val="00C04F8E"/>
    <w:rsid w:val="00C05187"/>
    <w:rsid w:val="00C051F4"/>
    <w:rsid w:val="00C05E8F"/>
    <w:rsid w:val="00C05EA6"/>
    <w:rsid w:val="00C061C8"/>
    <w:rsid w:val="00C07393"/>
    <w:rsid w:val="00C074AB"/>
    <w:rsid w:val="00C0794B"/>
    <w:rsid w:val="00C07AF4"/>
    <w:rsid w:val="00C07FDD"/>
    <w:rsid w:val="00C10664"/>
    <w:rsid w:val="00C10709"/>
    <w:rsid w:val="00C1148A"/>
    <w:rsid w:val="00C11499"/>
    <w:rsid w:val="00C119CB"/>
    <w:rsid w:val="00C11C5B"/>
    <w:rsid w:val="00C11D7F"/>
    <w:rsid w:val="00C12171"/>
    <w:rsid w:val="00C12C91"/>
    <w:rsid w:val="00C13D3A"/>
    <w:rsid w:val="00C14AE2"/>
    <w:rsid w:val="00C16467"/>
    <w:rsid w:val="00C165C3"/>
    <w:rsid w:val="00C16DA4"/>
    <w:rsid w:val="00C16F8A"/>
    <w:rsid w:val="00C20056"/>
    <w:rsid w:val="00C20382"/>
    <w:rsid w:val="00C208DD"/>
    <w:rsid w:val="00C218FE"/>
    <w:rsid w:val="00C21D36"/>
    <w:rsid w:val="00C21D4C"/>
    <w:rsid w:val="00C22309"/>
    <w:rsid w:val="00C2365A"/>
    <w:rsid w:val="00C23BE6"/>
    <w:rsid w:val="00C25061"/>
    <w:rsid w:val="00C2547F"/>
    <w:rsid w:val="00C25F9D"/>
    <w:rsid w:val="00C273C7"/>
    <w:rsid w:val="00C27787"/>
    <w:rsid w:val="00C3023E"/>
    <w:rsid w:val="00C30411"/>
    <w:rsid w:val="00C307C0"/>
    <w:rsid w:val="00C30981"/>
    <w:rsid w:val="00C30BC4"/>
    <w:rsid w:val="00C311FC"/>
    <w:rsid w:val="00C3245D"/>
    <w:rsid w:val="00C32B89"/>
    <w:rsid w:val="00C32CCE"/>
    <w:rsid w:val="00C32F7D"/>
    <w:rsid w:val="00C33571"/>
    <w:rsid w:val="00C336EA"/>
    <w:rsid w:val="00C33F5E"/>
    <w:rsid w:val="00C34042"/>
    <w:rsid w:val="00C34F78"/>
    <w:rsid w:val="00C354BF"/>
    <w:rsid w:val="00C35DBE"/>
    <w:rsid w:val="00C3658D"/>
    <w:rsid w:val="00C369CA"/>
    <w:rsid w:val="00C36B06"/>
    <w:rsid w:val="00C36E62"/>
    <w:rsid w:val="00C400D4"/>
    <w:rsid w:val="00C405F8"/>
    <w:rsid w:val="00C40D35"/>
    <w:rsid w:val="00C41257"/>
    <w:rsid w:val="00C41A3E"/>
    <w:rsid w:val="00C41D10"/>
    <w:rsid w:val="00C42F1F"/>
    <w:rsid w:val="00C42F91"/>
    <w:rsid w:val="00C430C9"/>
    <w:rsid w:val="00C43D99"/>
    <w:rsid w:val="00C444EE"/>
    <w:rsid w:val="00C44D10"/>
    <w:rsid w:val="00C46DDA"/>
    <w:rsid w:val="00C46E32"/>
    <w:rsid w:val="00C479C1"/>
    <w:rsid w:val="00C5057A"/>
    <w:rsid w:val="00C50BD5"/>
    <w:rsid w:val="00C50CC4"/>
    <w:rsid w:val="00C50ECB"/>
    <w:rsid w:val="00C51116"/>
    <w:rsid w:val="00C5174D"/>
    <w:rsid w:val="00C51B94"/>
    <w:rsid w:val="00C52D06"/>
    <w:rsid w:val="00C53389"/>
    <w:rsid w:val="00C54DC1"/>
    <w:rsid w:val="00C55342"/>
    <w:rsid w:val="00C55E68"/>
    <w:rsid w:val="00C56778"/>
    <w:rsid w:val="00C5728C"/>
    <w:rsid w:val="00C575E5"/>
    <w:rsid w:val="00C576C1"/>
    <w:rsid w:val="00C604EA"/>
    <w:rsid w:val="00C61782"/>
    <w:rsid w:val="00C61890"/>
    <w:rsid w:val="00C619CB"/>
    <w:rsid w:val="00C61B31"/>
    <w:rsid w:val="00C629A6"/>
    <w:rsid w:val="00C629CC"/>
    <w:rsid w:val="00C62AC9"/>
    <w:rsid w:val="00C637D7"/>
    <w:rsid w:val="00C64D64"/>
    <w:rsid w:val="00C65010"/>
    <w:rsid w:val="00C6589D"/>
    <w:rsid w:val="00C65D0B"/>
    <w:rsid w:val="00C6619F"/>
    <w:rsid w:val="00C66C34"/>
    <w:rsid w:val="00C66CDC"/>
    <w:rsid w:val="00C66EB0"/>
    <w:rsid w:val="00C67099"/>
    <w:rsid w:val="00C6749B"/>
    <w:rsid w:val="00C67AA4"/>
    <w:rsid w:val="00C67F92"/>
    <w:rsid w:val="00C706D0"/>
    <w:rsid w:val="00C7077F"/>
    <w:rsid w:val="00C707D5"/>
    <w:rsid w:val="00C708A5"/>
    <w:rsid w:val="00C717BC"/>
    <w:rsid w:val="00C7208E"/>
    <w:rsid w:val="00C72402"/>
    <w:rsid w:val="00C7544D"/>
    <w:rsid w:val="00C7547F"/>
    <w:rsid w:val="00C75E81"/>
    <w:rsid w:val="00C76D7C"/>
    <w:rsid w:val="00C77E10"/>
    <w:rsid w:val="00C77F94"/>
    <w:rsid w:val="00C800BB"/>
    <w:rsid w:val="00C808E4"/>
    <w:rsid w:val="00C8143A"/>
    <w:rsid w:val="00C81DD3"/>
    <w:rsid w:val="00C81F7B"/>
    <w:rsid w:val="00C8218B"/>
    <w:rsid w:val="00C82A6E"/>
    <w:rsid w:val="00C82CAF"/>
    <w:rsid w:val="00C83210"/>
    <w:rsid w:val="00C83EDE"/>
    <w:rsid w:val="00C8514E"/>
    <w:rsid w:val="00C85A82"/>
    <w:rsid w:val="00C867DC"/>
    <w:rsid w:val="00C86934"/>
    <w:rsid w:val="00C903E8"/>
    <w:rsid w:val="00C9114F"/>
    <w:rsid w:val="00C91286"/>
    <w:rsid w:val="00C91401"/>
    <w:rsid w:val="00C91ACF"/>
    <w:rsid w:val="00C925F8"/>
    <w:rsid w:val="00C92B17"/>
    <w:rsid w:val="00C93969"/>
    <w:rsid w:val="00C940FA"/>
    <w:rsid w:val="00C94F61"/>
    <w:rsid w:val="00C95367"/>
    <w:rsid w:val="00C95895"/>
    <w:rsid w:val="00C9670D"/>
    <w:rsid w:val="00C96E91"/>
    <w:rsid w:val="00C96FC2"/>
    <w:rsid w:val="00CA0560"/>
    <w:rsid w:val="00CA1437"/>
    <w:rsid w:val="00CA19DB"/>
    <w:rsid w:val="00CA24AD"/>
    <w:rsid w:val="00CA25DC"/>
    <w:rsid w:val="00CA2DE8"/>
    <w:rsid w:val="00CA3AB3"/>
    <w:rsid w:val="00CA4392"/>
    <w:rsid w:val="00CA59FA"/>
    <w:rsid w:val="00CA5CEF"/>
    <w:rsid w:val="00CA5CFF"/>
    <w:rsid w:val="00CA716C"/>
    <w:rsid w:val="00CA76DF"/>
    <w:rsid w:val="00CA7BE3"/>
    <w:rsid w:val="00CB041E"/>
    <w:rsid w:val="00CB0558"/>
    <w:rsid w:val="00CB278F"/>
    <w:rsid w:val="00CB2BC5"/>
    <w:rsid w:val="00CB2E65"/>
    <w:rsid w:val="00CB3D4A"/>
    <w:rsid w:val="00CB4113"/>
    <w:rsid w:val="00CB441B"/>
    <w:rsid w:val="00CB44D8"/>
    <w:rsid w:val="00CB4865"/>
    <w:rsid w:val="00CB48B5"/>
    <w:rsid w:val="00CB5201"/>
    <w:rsid w:val="00CB582B"/>
    <w:rsid w:val="00CB5E29"/>
    <w:rsid w:val="00CB60BA"/>
    <w:rsid w:val="00CB66AE"/>
    <w:rsid w:val="00CB70D9"/>
    <w:rsid w:val="00CB716B"/>
    <w:rsid w:val="00CB7D27"/>
    <w:rsid w:val="00CC12E2"/>
    <w:rsid w:val="00CC1CA1"/>
    <w:rsid w:val="00CC2060"/>
    <w:rsid w:val="00CC2511"/>
    <w:rsid w:val="00CC27BD"/>
    <w:rsid w:val="00CC2EC5"/>
    <w:rsid w:val="00CC3026"/>
    <w:rsid w:val="00CC307C"/>
    <w:rsid w:val="00CC345F"/>
    <w:rsid w:val="00CC3E00"/>
    <w:rsid w:val="00CC411B"/>
    <w:rsid w:val="00CC4776"/>
    <w:rsid w:val="00CC48DA"/>
    <w:rsid w:val="00CC4FF6"/>
    <w:rsid w:val="00CC5444"/>
    <w:rsid w:val="00CC60E1"/>
    <w:rsid w:val="00CC6570"/>
    <w:rsid w:val="00CC66C8"/>
    <w:rsid w:val="00CC6747"/>
    <w:rsid w:val="00CC75C1"/>
    <w:rsid w:val="00CC76C8"/>
    <w:rsid w:val="00CC7C20"/>
    <w:rsid w:val="00CC7FCD"/>
    <w:rsid w:val="00CD00FD"/>
    <w:rsid w:val="00CD0F75"/>
    <w:rsid w:val="00CD1231"/>
    <w:rsid w:val="00CD1467"/>
    <w:rsid w:val="00CD173F"/>
    <w:rsid w:val="00CD2A95"/>
    <w:rsid w:val="00CD32EF"/>
    <w:rsid w:val="00CD5EFA"/>
    <w:rsid w:val="00CD6463"/>
    <w:rsid w:val="00CD6F9B"/>
    <w:rsid w:val="00CD7616"/>
    <w:rsid w:val="00CD7EB2"/>
    <w:rsid w:val="00CE0624"/>
    <w:rsid w:val="00CE18D1"/>
    <w:rsid w:val="00CE1944"/>
    <w:rsid w:val="00CE1DC3"/>
    <w:rsid w:val="00CE1E23"/>
    <w:rsid w:val="00CE2003"/>
    <w:rsid w:val="00CE2AF0"/>
    <w:rsid w:val="00CE2C24"/>
    <w:rsid w:val="00CE2D87"/>
    <w:rsid w:val="00CE2FF9"/>
    <w:rsid w:val="00CE35C2"/>
    <w:rsid w:val="00CE369A"/>
    <w:rsid w:val="00CE3AF6"/>
    <w:rsid w:val="00CE432F"/>
    <w:rsid w:val="00CE43BF"/>
    <w:rsid w:val="00CE60B0"/>
    <w:rsid w:val="00CE62E3"/>
    <w:rsid w:val="00CE6B54"/>
    <w:rsid w:val="00CE750F"/>
    <w:rsid w:val="00CE7D21"/>
    <w:rsid w:val="00CF02BF"/>
    <w:rsid w:val="00CF053E"/>
    <w:rsid w:val="00CF0938"/>
    <w:rsid w:val="00CF098F"/>
    <w:rsid w:val="00CF0FFD"/>
    <w:rsid w:val="00CF1570"/>
    <w:rsid w:val="00CF240D"/>
    <w:rsid w:val="00CF2714"/>
    <w:rsid w:val="00CF2EA7"/>
    <w:rsid w:val="00CF31CE"/>
    <w:rsid w:val="00CF321A"/>
    <w:rsid w:val="00CF4115"/>
    <w:rsid w:val="00CF44CA"/>
    <w:rsid w:val="00CF4C7D"/>
    <w:rsid w:val="00CF5472"/>
    <w:rsid w:val="00CF5538"/>
    <w:rsid w:val="00CF6A7F"/>
    <w:rsid w:val="00CF6AE7"/>
    <w:rsid w:val="00CF6CDE"/>
    <w:rsid w:val="00CF7051"/>
    <w:rsid w:val="00CF7D81"/>
    <w:rsid w:val="00CF7ED4"/>
    <w:rsid w:val="00D00695"/>
    <w:rsid w:val="00D017D9"/>
    <w:rsid w:val="00D01D04"/>
    <w:rsid w:val="00D02B06"/>
    <w:rsid w:val="00D02B5F"/>
    <w:rsid w:val="00D031E1"/>
    <w:rsid w:val="00D03338"/>
    <w:rsid w:val="00D03522"/>
    <w:rsid w:val="00D03772"/>
    <w:rsid w:val="00D048DA"/>
    <w:rsid w:val="00D04A72"/>
    <w:rsid w:val="00D057CB"/>
    <w:rsid w:val="00D0584B"/>
    <w:rsid w:val="00D05EFA"/>
    <w:rsid w:val="00D0622E"/>
    <w:rsid w:val="00D06904"/>
    <w:rsid w:val="00D06A53"/>
    <w:rsid w:val="00D071B9"/>
    <w:rsid w:val="00D0765C"/>
    <w:rsid w:val="00D07C9C"/>
    <w:rsid w:val="00D07E5A"/>
    <w:rsid w:val="00D07FDE"/>
    <w:rsid w:val="00D105FE"/>
    <w:rsid w:val="00D109D8"/>
    <w:rsid w:val="00D11256"/>
    <w:rsid w:val="00D11E94"/>
    <w:rsid w:val="00D122E1"/>
    <w:rsid w:val="00D123FF"/>
    <w:rsid w:val="00D12984"/>
    <w:rsid w:val="00D130F3"/>
    <w:rsid w:val="00D13672"/>
    <w:rsid w:val="00D13EE5"/>
    <w:rsid w:val="00D141C1"/>
    <w:rsid w:val="00D1459A"/>
    <w:rsid w:val="00D15DF4"/>
    <w:rsid w:val="00D160C4"/>
    <w:rsid w:val="00D17B00"/>
    <w:rsid w:val="00D17E9E"/>
    <w:rsid w:val="00D2072A"/>
    <w:rsid w:val="00D207B2"/>
    <w:rsid w:val="00D20C0E"/>
    <w:rsid w:val="00D20D12"/>
    <w:rsid w:val="00D21E43"/>
    <w:rsid w:val="00D2279C"/>
    <w:rsid w:val="00D22F08"/>
    <w:rsid w:val="00D22F89"/>
    <w:rsid w:val="00D23264"/>
    <w:rsid w:val="00D23A65"/>
    <w:rsid w:val="00D23DD5"/>
    <w:rsid w:val="00D24330"/>
    <w:rsid w:val="00D2595B"/>
    <w:rsid w:val="00D26175"/>
    <w:rsid w:val="00D27B10"/>
    <w:rsid w:val="00D27BB2"/>
    <w:rsid w:val="00D27BF4"/>
    <w:rsid w:val="00D30910"/>
    <w:rsid w:val="00D30FD7"/>
    <w:rsid w:val="00D31BC0"/>
    <w:rsid w:val="00D328A0"/>
    <w:rsid w:val="00D32B58"/>
    <w:rsid w:val="00D32EFC"/>
    <w:rsid w:val="00D3327C"/>
    <w:rsid w:val="00D332AE"/>
    <w:rsid w:val="00D35388"/>
    <w:rsid w:val="00D353D2"/>
    <w:rsid w:val="00D365BB"/>
    <w:rsid w:val="00D413CC"/>
    <w:rsid w:val="00D42690"/>
    <w:rsid w:val="00D42D34"/>
    <w:rsid w:val="00D42FB7"/>
    <w:rsid w:val="00D4393B"/>
    <w:rsid w:val="00D43DB0"/>
    <w:rsid w:val="00D44C08"/>
    <w:rsid w:val="00D44DF3"/>
    <w:rsid w:val="00D4553C"/>
    <w:rsid w:val="00D45FFF"/>
    <w:rsid w:val="00D463E8"/>
    <w:rsid w:val="00D465A5"/>
    <w:rsid w:val="00D47221"/>
    <w:rsid w:val="00D47B7A"/>
    <w:rsid w:val="00D50AAA"/>
    <w:rsid w:val="00D50B4A"/>
    <w:rsid w:val="00D50F73"/>
    <w:rsid w:val="00D5110D"/>
    <w:rsid w:val="00D51414"/>
    <w:rsid w:val="00D514BA"/>
    <w:rsid w:val="00D525EE"/>
    <w:rsid w:val="00D5268D"/>
    <w:rsid w:val="00D526EA"/>
    <w:rsid w:val="00D5358E"/>
    <w:rsid w:val="00D5480C"/>
    <w:rsid w:val="00D55D78"/>
    <w:rsid w:val="00D56201"/>
    <w:rsid w:val="00D56349"/>
    <w:rsid w:val="00D5669E"/>
    <w:rsid w:val="00D5673F"/>
    <w:rsid w:val="00D56C8A"/>
    <w:rsid w:val="00D56D7B"/>
    <w:rsid w:val="00D56E1A"/>
    <w:rsid w:val="00D57093"/>
    <w:rsid w:val="00D57318"/>
    <w:rsid w:val="00D57F0B"/>
    <w:rsid w:val="00D60584"/>
    <w:rsid w:val="00D61C0B"/>
    <w:rsid w:val="00D61DDF"/>
    <w:rsid w:val="00D63368"/>
    <w:rsid w:val="00D63782"/>
    <w:rsid w:val="00D63884"/>
    <w:rsid w:val="00D63DB7"/>
    <w:rsid w:val="00D63DBA"/>
    <w:rsid w:val="00D63E60"/>
    <w:rsid w:val="00D63ECB"/>
    <w:rsid w:val="00D64956"/>
    <w:rsid w:val="00D64B72"/>
    <w:rsid w:val="00D665D5"/>
    <w:rsid w:val="00D6672A"/>
    <w:rsid w:val="00D667F2"/>
    <w:rsid w:val="00D66EAA"/>
    <w:rsid w:val="00D677BC"/>
    <w:rsid w:val="00D67C3F"/>
    <w:rsid w:val="00D70AB8"/>
    <w:rsid w:val="00D7142B"/>
    <w:rsid w:val="00D73356"/>
    <w:rsid w:val="00D734B3"/>
    <w:rsid w:val="00D73C82"/>
    <w:rsid w:val="00D74059"/>
    <w:rsid w:val="00D74F91"/>
    <w:rsid w:val="00D75046"/>
    <w:rsid w:val="00D7587C"/>
    <w:rsid w:val="00D75DAF"/>
    <w:rsid w:val="00D776FC"/>
    <w:rsid w:val="00D779ED"/>
    <w:rsid w:val="00D77C13"/>
    <w:rsid w:val="00D813C3"/>
    <w:rsid w:val="00D8147E"/>
    <w:rsid w:val="00D822EC"/>
    <w:rsid w:val="00D82525"/>
    <w:rsid w:val="00D828C5"/>
    <w:rsid w:val="00D830AA"/>
    <w:rsid w:val="00D830EA"/>
    <w:rsid w:val="00D83642"/>
    <w:rsid w:val="00D83730"/>
    <w:rsid w:val="00D840E4"/>
    <w:rsid w:val="00D84736"/>
    <w:rsid w:val="00D84EAA"/>
    <w:rsid w:val="00D8538F"/>
    <w:rsid w:val="00D85BDE"/>
    <w:rsid w:val="00D85C19"/>
    <w:rsid w:val="00D86856"/>
    <w:rsid w:val="00D90B81"/>
    <w:rsid w:val="00D915B5"/>
    <w:rsid w:val="00D91C9D"/>
    <w:rsid w:val="00D92201"/>
    <w:rsid w:val="00D92691"/>
    <w:rsid w:val="00D92846"/>
    <w:rsid w:val="00D92CA0"/>
    <w:rsid w:val="00D9315E"/>
    <w:rsid w:val="00D93521"/>
    <w:rsid w:val="00D9361A"/>
    <w:rsid w:val="00D9392A"/>
    <w:rsid w:val="00D93F64"/>
    <w:rsid w:val="00D9439A"/>
    <w:rsid w:val="00D94A26"/>
    <w:rsid w:val="00DA013A"/>
    <w:rsid w:val="00DA063C"/>
    <w:rsid w:val="00DA0963"/>
    <w:rsid w:val="00DA0F45"/>
    <w:rsid w:val="00DA0FDE"/>
    <w:rsid w:val="00DA1913"/>
    <w:rsid w:val="00DA1C66"/>
    <w:rsid w:val="00DA3614"/>
    <w:rsid w:val="00DA4253"/>
    <w:rsid w:val="00DA46AE"/>
    <w:rsid w:val="00DA56AC"/>
    <w:rsid w:val="00DA5F02"/>
    <w:rsid w:val="00DA6831"/>
    <w:rsid w:val="00DA6E8B"/>
    <w:rsid w:val="00DA7A6B"/>
    <w:rsid w:val="00DA7A9A"/>
    <w:rsid w:val="00DA7CD6"/>
    <w:rsid w:val="00DB0B02"/>
    <w:rsid w:val="00DB0FA2"/>
    <w:rsid w:val="00DB168A"/>
    <w:rsid w:val="00DB2A3A"/>
    <w:rsid w:val="00DB2D2C"/>
    <w:rsid w:val="00DB3213"/>
    <w:rsid w:val="00DB4764"/>
    <w:rsid w:val="00DB48CE"/>
    <w:rsid w:val="00DB5516"/>
    <w:rsid w:val="00DB6DA9"/>
    <w:rsid w:val="00DB6EA0"/>
    <w:rsid w:val="00DB7D38"/>
    <w:rsid w:val="00DB7E0B"/>
    <w:rsid w:val="00DC0FBC"/>
    <w:rsid w:val="00DC1E2D"/>
    <w:rsid w:val="00DC275D"/>
    <w:rsid w:val="00DC2B21"/>
    <w:rsid w:val="00DC35BA"/>
    <w:rsid w:val="00DC59C0"/>
    <w:rsid w:val="00DC689B"/>
    <w:rsid w:val="00DC7F00"/>
    <w:rsid w:val="00DD03DD"/>
    <w:rsid w:val="00DD0B9E"/>
    <w:rsid w:val="00DD0DEC"/>
    <w:rsid w:val="00DD0F8D"/>
    <w:rsid w:val="00DD1748"/>
    <w:rsid w:val="00DD1932"/>
    <w:rsid w:val="00DD1EDD"/>
    <w:rsid w:val="00DD2FEB"/>
    <w:rsid w:val="00DD3DA0"/>
    <w:rsid w:val="00DD4147"/>
    <w:rsid w:val="00DD474B"/>
    <w:rsid w:val="00DD505C"/>
    <w:rsid w:val="00DD5906"/>
    <w:rsid w:val="00DD5D74"/>
    <w:rsid w:val="00DD621C"/>
    <w:rsid w:val="00DD62C8"/>
    <w:rsid w:val="00DD77E1"/>
    <w:rsid w:val="00DD7AB4"/>
    <w:rsid w:val="00DE1AD2"/>
    <w:rsid w:val="00DE24B2"/>
    <w:rsid w:val="00DE261F"/>
    <w:rsid w:val="00DE2805"/>
    <w:rsid w:val="00DE2D12"/>
    <w:rsid w:val="00DE2EA8"/>
    <w:rsid w:val="00DE34D0"/>
    <w:rsid w:val="00DE3D67"/>
    <w:rsid w:val="00DE412E"/>
    <w:rsid w:val="00DE44E3"/>
    <w:rsid w:val="00DE4A14"/>
    <w:rsid w:val="00DE4AAA"/>
    <w:rsid w:val="00DE4F75"/>
    <w:rsid w:val="00DE632D"/>
    <w:rsid w:val="00DE7029"/>
    <w:rsid w:val="00DE79FE"/>
    <w:rsid w:val="00DE7BAC"/>
    <w:rsid w:val="00DF0F34"/>
    <w:rsid w:val="00DF15B3"/>
    <w:rsid w:val="00DF1E7C"/>
    <w:rsid w:val="00DF1F78"/>
    <w:rsid w:val="00DF22AE"/>
    <w:rsid w:val="00DF25D9"/>
    <w:rsid w:val="00DF2E04"/>
    <w:rsid w:val="00DF304F"/>
    <w:rsid w:val="00DF3539"/>
    <w:rsid w:val="00DF3D89"/>
    <w:rsid w:val="00DF44D5"/>
    <w:rsid w:val="00DF4B6E"/>
    <w:rsid w:val="00DF4CA6"/>
    <w:rsid w:val="00DF51A8"/>
    <w:rsid w:val="00DF7BA5"/>
    <w:rsid w:val="00E005FC"/>
    <w:rsid w:val="00E00976"/>
    <w:rsid w:val="00E00EE6"/>
    <w:rsid w:val="00E023B8"/>
    <w:rsid w:val="00E02AE1"/>
    <w:rsid w:val="00E03083"/>
    <w:rsid w:val="00E03213"/>
    <w:rsid w:val="00E03A58"/>
    <w:rsid w:val="00E043BC"/>
    <w:rsid w:val="00E04781"/>
    <w:rsid w:val="00E054BA"/>
    <w:rsid w:val="00E05501"/>
    <w:rsid w:val="00E05F7E"/>
    <w:rsid w:val="00E061D6"/>
    <w:rsid w:val="00E06449"/>
    <w:rsid w:val="00E0718C"/>
    <w:rsid w:val="00E0743F"/>
    <w:rsid w:val="00E115DA"/>
    <w:rsid w:val="00E11C41"/>
    <w:rsid w:val="00E12075"/>
    <w:rsid w:val="00E121C7"/>
    <w:rsid w:val="00E12BFE"/>
    <w:rsid w:val="00E12FF4"/>
    <w:rsid w:val="00E1348A"/>
    <w:rsid w:val="00E13614"/>
    <w:rsid w:val="00E1395A"/>
    <w:rsid w:val="00E14A0C"/>
    <w:rsid w:val="00E14A89"/>
    <w:rsid w:val="00E14BBA"/>
    <w:rsid w:val="00E14FBD"/>
    <w:rsid w:val="00E1500D"/>
    <w:rsid w:val="00E1598F"/>
    <w:rsid w:val="00E15C46"/>
    <w:rsid w:val="00E16CF1"/>
    <w:rsid w:val="00E17617"/>
    <w:rsid w:val="00E17F08"/>
    <w:rsid w:val="00E20155"/>
    <w:rsid w:val="00E202A7"/>
    <w:rsid w:val="00E20C9D"/>
    <w:rsid w:val="00E20D40"/>
    <w:rsid w:val="00E210C7"/>
    <w:rsid w:val="00E21382"/>
    <w:rsid w:val="00E22749"/>
    <w:rsid w:val="00E22C67"/>
    <w:rsid w:val="00E23752"/>
    <w:rsid w:val="00E23A56"/>
    <w:rsid w:val="00E24224"/>
    <w:rsid w:val="00E24C75"/>
    <w:rsid w:val="00E24E20"/>
    <w:rsid w:val="00E262E0"/>
    <w:rsid w:val="00E277E7"/>
    <w:rsid w:val="00E278E4"/>
    <w:rsid w:val="00E27971"/>
    <w:rsid w:val="00E30377"/>
    <w:rsid w:val="00E30394"/>
    <w:rsid w:val="00E30CB1"/>
    <w:rsid w:val="00E30DAE"/>
    <w:rsid w:val="00E30DEC"/>
    <w:rsid w:val="00E3108C"/>
    <w:rsid w:val="00E33266"/>
    <w:rsid w:val="00E335D0"/>
    <w:rsid w:val="00E35007"/>
    <w:rsid w:val="00E354AD"/>
    <w:rsid w:val="00E35B87"/>
    <w:rsid w:val="00E35E6A"/>
    <w:rsid w:val="00E36B70"/>
    <w:rsid w:val="00E36B98"/>
    <w:rsid w:val="00E37B53"/>
    <w:rsid w:val="00E37F00"/>
    <w:rsid w:val="00E426DB"/>
    <w:rsid w:val="00E43F6F"/>
    <w:rsid w:val="00E43FC7"/>
    <w:rsid w:val="00E448FC"/>
    <w:rsid w:val="00E4611E"/>
    <w:rsid w:val="00E470B1"/>
    <w:rsid w:val="00E471A9"/>
    <w:rsid w:val="00E47C6A"/>
    <w:rsid w:val="00E47DE6"/>
    <w:rsid w:val="00E47E51"/>
    <w:rsid w:val="00E511BB"/>
    <w:rsid w:val="00E52329"/>
    <w:rsid w:val="00E5271A"/>
    <w:rsid w:val="00E52E98"/>
    <w:rsid w:val="00E53606"/>
    <w:rsid w:val="00E538E6"/>
    <w:rsid w:val="00E53CBB"/>
    <w:rsid w:val="00E53F7E"/>
    <w:rsid w:val="00E53FA2"/>
    <w:rsid w:val="00E54516"/>
    <w:rsid w:val="00E546E4"/>
    <w:rsid w:val="00E54EFA"/>
    <w:rsid w:val="00E54F0D"/>
    <w:rsid w:val="00E55484"/>
    <w:rsid w:val="00E55BFB"/>
    <w:rsid w:val="00E5686D"/>
    <w:rsid w:val="00E56C17"/>
    <w:rsid w:val="00E57A92"/>
    <w:rsid w:val="00E60D20"/>
    <w:rsid w:val="00E61A7B"/>
    <w:rsid w:val="00E6245D"/>
    <w:rsid w:val="00E62850"/>
    <w:rsid w:val="00E637B8"/>
    <w:rsid w:val="00E6448E"/>
    <w:rsid w:val="00E646D9"/>
    <w:rsid w:val="00E6743F"/>
    <w:rsid w:val="00E67ECB"/>
    <w:rsid w:val="00E67EFC"/>
    <w:rsid w:val="00E707ED"/>
    <w:rsid w:val="00E70F37"/>
    <w:rsid w:val="00E7113F"/>
    <w:rsid w:val="00E71355"/>
    <w:rsid w:val="00E71D5A"/>
    <w:rsid w:val="00E71D9F"/>
    <w:rsid w:val="00E71DA6"/>
    <w:rsid w:val="00E71E81"/>
    <w:rsid w:val="00E72505"/>
    <w:rsid w:val="00E7275F"/>
    <w:rsid w:val="00E7278B"/>
    <w:rsid w:val="00E727FB"/>
    <w:rsid w:val="00E732B1"/>
    <w:rsid w:val="00E73EF0"/>
    <w:rsid w:val="00E74C20"/>
    <w:rsid w:val="00E7501C"/>
    <w:rsid w:val="00E75718"/>
    <w:rsid w:val="00E7628F"/>
    <w:rsid w:val="00E76410"/>
    <w:rsid w:val="00E76589"/>
    <w:rsid w:val="00E77D9A"/>
    <w:rsid w:val="00E801D4"/>
    <w:rsid w:val="00E807F7"/>
    <w:rsid w:val="00E80E59"/>
    <w:rsid w:val="00E80F67"/>
    <w:rsid w:val="00E81746"/>
    <w:rsid w:val="00E81F99"/>
    <w:rsid w:val="00E82F15"/>
    <w:rsid w:val="00E82FCD"/>
    <w:rsid w:val="00E84E9C"/>
    <w:rsid w:val="00E86682"/>
    <w:rsid w:val="00E87B11"/>
    <w:rsid w:val="00E90662"/>
    <w:rsid w:val="00E9095F"/>
    <w:rsid w:val="00E91049"/>
    <w:rsid w:val="00E912B9"/>
    <w:rsid w:val="00E9142B"/>
    <w:rsid w:val="00E92265"/>
    <w:rsid w:val="00E92A79"/>
    <w:rsid w:val="00E92ADD"/>
    <w:rsid w:val="00E936DF"/>
    <w:rsid w:val="00E9509D"/>
    <w:rsid w:val="00E95B16"/>
    <w:rsid w:val="00E96472"/>
    <w:rsid w:val="00E964C7"/>
    <w:rsid w:val="00E96503"/>
    <w:rsid w:val="00E96E04"/>
    <w:rsid w:val="00E96EF3"/>
    <w:rsid w:val="00E96F7D"/>
    <w:rsid w:val="00E976E4"/>
    <w:rsid w:val="00E97D3E"/>
    <w:rsid w:val="00EA0521"/>
    <w:rsid w:val="00EA10A6"/>
    <w:rsid w:val="00EA1564"/>
    <w:rsid w:val="00EA2902"/>
    <w:rsid w:val="00EA2CDB"/>
    <w:rsid w:val="00EA390A"/>
    <w:rsid w:val="00EA3917"/>
    <w:rsid w:val="00EA39D2"/>
    <w:rsid w:val="00EA4213"/>
    <w:rsid w:val="00EA4A42"/>
    <w:rsid w:val="00EA4AC3"/>
    <w:rsid w:val="00EA590B"/>
    <w:rsid w:val="00EA5C9D"/>
    <w:rsid w:val="00EA610F"/>
    <w:rsid w:val="00EA6342"/>
    <w:rsid w:val="00EA64AC"/>
    <w:rsid w:val="00EA66B9"/>
    <w:rsid w:val="00EA6856"/>
    <w:rsid w:val="00EA7809"/>
    <w:rsid w:val="00EA7981"/>
    <w:rsid w:val="00EB0139"/>
    <w:rsid w:val="00EB041E"/>
    <w:rsid w:val="00EB098E"/>
    <w:rsid w:val="00EB0BBF"/>
    <w:rsid w:val="00EB1778"/>
    <w:rsid w:val="00EB19AE"/>
    <w:rsid w:val="00EB1EC8"/>
    <w:rsid w:val="00EB2028"/>
    <w:rsid w:val="00EB2070"/>
    <w:rsid w:val="00EB32C8"/>
    <w:rsid w:val="00EB341B"/>
    <w:rsid w:val="00EB389B"/>
    <w:rsid w:val="00EB3AEE"/>
    <w:rsid w:val="00EB40E3"/>
    <w:rsid w:val="00EB433A"/>
    <w:rsid w:val="00EB4A11"/>
    <w:rsid w:val="00EB4E80"/>
    <w:rsid w:val="00EB54E8"/>
    <w:rsid w:val="00EB54FC"/>
    <w:rsid w:val="00EB56A5"/>
    <w:rsid w:val="00EB5B3C"/>
    <w:rsid w:val="00EB6544"/>
    <w:rsid w:val="00EB68A3"/>
    <w:rsid w:val="00EB6C50"/>
    <w:rsid w:val="00EB6F43"/>
    <w:rsid w:val="00EB6F55"/>
    <w:rsid w:val="00EB6FAB"/>
    <w:rsid w:val="00EB7667"/>
    <w:rsid w:val="00EB7DA1"/>
    <w:rsid w:val="00EC05B3"/>
    <w:rsid w:val="00EC0C39"/>
    <w:rsid w:val="00EC1024"/>
    <w:rsid w:val="00EC1361"/>
    <w:rsid w:val="00EC1EBE"/>
    <w:rsid w:val="00EC2DBB"/>
    <w:rsid w:val="00EC2F12"/>
    <w:rsid w:val="00EC3716"/>
    <w:rsid w:val="00EC3957"/>
    <w:rsid w:val="00EC3AE6"/>
    <w:rsid w:val="00EC3D5C"/>
    <w:rsid w:val="00EC3DB3"/>
    <w:rsid w:val="00EC43A6"/>
    <w:rsid w:val="00EC43F9"/>
    <w:rsid w:val="00EC46D0"/>
    <w:rsid w:val="00EC4909"/>
    <w:rsid w:val="00EC4D21"/>
    <w:rsid w:val="00EC5C7C"/>
    <w:rsid w:val="00EC5ED7"/>
    <w:rsid w:val="00EC6EFC"/>
    <w:rsid w:val="00EC7009"/>
    <w:rsid w:val="00EC74EB"/>
    <w:rsid w:val="00EC76A3"/>
    <w:rsid w:val="00ED0911"/>
    <w:rsid w:val="00ED0CC7"/>
    <w:rsid w:val="00ED0D36"/>
    <w:rsid w:val="00ED1F77"/>
    <w:rsid w:val="00ED29D6"/>
    <w:rsid w:val="00ED3577"/>
    <w:rsid w:val="00ED36F5"/>
    <w:rsid w:val="00ED3EDA"/>
    <w:rsid w:val="00ED435E"/>
    <w:rsid w:val="00ED5D72"/>
    <w:rsid w:val="00ED6A3C"/>
    <w:rsid w:val="00ED6BB2"/>
    <w:rsid w:val="00ED7264"/>
    <w:rsid w:val="00EE005A"/>
    <w:rsid w:val="00EE0AA0"/>
    <w:rsid w:val="00EE0E73"/>
    <w:rsid w:val="00EE1D76"/>
    <w:rsid w:val="00EE34B3"/>
    <w:rsid w:val="00EE3762"/>
    <w:rsid w:val="00EE4284"/>
    <w:rsid w:val="00EE4667"/>
    <w:rsid w:val="00EE4CF5"/>
    <w:rsid w:val="00EE4D0B"/>
    <w:rsid w:val="00EE5282"/>
    <w:rsid w:val="00EE5383"/>
    <w:rsid w:val="00EE58FB"/>
    <w:rsid w:val="00EE5B57"/>
    <w:rsid w:val="00EE5DF2"/>
    <w:rsid w:val="00EE66F3"/>
    <w:rsid w:val="00EE769A"/>
    <w:rsid w:val="00EE7E05"/>
    <w:rsid w:val="00EF0083"/>
    <w:rsid w:val="00EF020D"/>
    <w:rsid w:val="00EF027E"/>
    <w:rsid w:val="00EF0F53"/>
    <w:rsid w:val="00EF105B"/>
    <w:rsid w:val="00EF1086"/>
    <w:rsid w:val="00EF150F"/>
    <w:rsid w:val="00EF2373"/>
    <w:rsid w:val="00EF2F8C"/>
    <w:rsid w:val="00EF3219"/>
    <w:rsid w:val="00EF3F61"/>
    <w:rsid w:val="00EF489A"/>
    <w:rsid w:val="00EF4E2D"/>
    <w:rsid w:val="00EF5270"/>
    <w:rsid w:val="00EF52C1"/>
    <w:rsid w:val="00EF6423"/>
    <w:rsid w:val="00F004DD"/>
    <w:rsid w:val="00F0084E"/>
    <w:rsid w:val="00F011B0"/>
    <w:rsid w:val="00F01F34"/>
    <w:rsid w:val="00F0367E"/>
    <w:rsid w:val="00F03889"/>
    <w:rsid w:val="00F03B3B"/>
    <w:rsid w:val="00F04CB7"/>
    <w:rsid w:val="00F04FF3"/>
    <w:rsid w:val="00F0529A"/>
    <w:rsid w:val="00F05305"/>
    <w:rsid w:val="00F05907"/>
    <w:rsid w:val="00F05A5B"/>
    <w:rsid w:val="00F05EEB"/>
    <w:rsid w:val="00F0698D"/>
    <w:rsid w:val="00F07711"/>
    <w:rsid w:val="00F07D5F"/>
    <w:rsid w:val="00F10675"/>
    <w:rsid w:val="00F11BB2"/>
    <w:rsid w:val="00F12505"/>
    <w:rsid w:val="00F12A3D"/>
    <w:rsid w:val="00F12A46"/>
    <w:rsid w:val="00F12A60"/>
    <w:rsid w:val="00F1307B"/>
    <w:rsid w:val="00F1375B"/>
    <w:rsid w:val="00F13A0E"/>
    <w:rsid w:val="00F13D4E"/>
    <w:rsid w:val="00F13DF1"/>
    <w:rsid w:val="00F145BB"/>
    <w:rsid w:val="00F1529F"/>
    <w:rsid w:val="00F153B4"/>
    <w:rsid w:val="00F155D7"/>
    <w:rsid w:val="00F157DB"/>
    <w:rsid w:val="00F16140"/>
    <w:rsid w:val="00F162D5"/>
    <w:rsid w:val="00F16E57"/>
    <w:rsid w:val="00F173A6"/>
    <w:rsid w:val="00F17827"/>
    <w:rsid w:val="00F17C7C"/>
    <w:rsid w:val="00F209D5"/>
    <w:rsid w:val="00F20B70"/>
    <w:rsid w:val="00F21640"/>
    <w:rsid w:val="00F21754"/>
    <w:rsid w:val="00F217E3"/>
    <w:rsid w:val="00F2238F"/>
    <w:rsid w:val="00F22524"/>
    <w:rsid w:val="00F22CF8"/>
    <w:rsid w:val="00F24616"/>
    <w:rsid w:val="00F24830"/>
    <w:rsid w:val="00F24DB4"/>
    <w:rsid w:val="00F24EE6"/>
    <w:rsid w:val="00F2501D"/>
    <w:rsid w:val="00F250A2"/>
    <w:rsid w:val="00F25452"/>
    <w:rsid w:val="00F25985"/>
    <w:rsid w:val="00F25AF5"/>
    <w:rsid w:val="00F25D50"/>
    <w:rsid w:val="00F25FE7"/>
    <w:rsid w:val="00F27833"/>
    <w:rsid w:val="00F30483"/>
    <w:rsid w:val="00F30A71"/>
    <w:rsid w:val="00F31DDF"/>
    <w:rsid w:val="00F3282C"/>
    <w:rsid w:val="00F32A6B"/>
    <w:rsid w:val="00F32ABD"/>
    <w:rsid w:val="00F337E0"/>
    <w:rsid w:val="00F33A3D"/>
    <w:rsid w:val="00F33C9C"/>
    <w:rsid w:val="00F33E3A"/>
    <w:rsid w:val="00F34641"/>
    <w:rsid w:val="00F34FE3"/>
    <w:rsid w:val="00F35582"/>
    <w:rsid w:val="00F35DA5"/>
    <w:rsid w:val="00F3777B"/>
    <w:rsid w:val="00F37B9B"/>
    <w:rsid w:val="00F40266"/>
    <w:rsid w:val="00F40A04"/>
    <w:rsid w:val="00F41BD0"/>
    <w:rsid w:val="00F423DC"/>
    <w:rsid w:val="00F4279C"/>
    <w:rsid w:val="00F427AA"/>
    <w:rsid w:val="00F43634"/>
    <w:rsid w:val="00F43A2B"/>
    <w:rsid w:val="00F43E4D"/>
    <w:rsid w:val="00F4592A"/>
    <w:rsid w:val="00F45BE4"/>
    <w:rsid w:val="00F45D83"/>
    <w:rsid w:val="00F45EBD"/>
    <w:rsid w:val="00F45FB5"/>
    <w:rsid w:val="00F4694D"/>
    <w:rsid w:val="00F47F51"/>
    <w:rsid w:val="00F50829"/>
    <w:rsid w:val="00F511C7"/>
    <w:rsid w:val="00F51209"/>
    <w:rsid w:val="00F5125A"/>
    <w:rsid w:val="00F5169A"/>
    <w:rsid w:val="00F51FF2"/>
    <w:rsid w:val="00F520EE"/>
    <w:rsid w:val="00F53BA1"/>
    <w:rsid w:val="00F5405F"/>
    <w:rsid w:val="00F54156"/>
    <w:rsid w:val="00F564D2"/>
    <w:rsid w:val="00F5652C"/>
    <w:rsid w:val="00F5690B"/>
    <w:rsid w:val="00F56A05"/>
    <w:rsid w:val="00F5749F"/>
    <w:rsid w:val="00F6020D"/>
    <w:rsid w:val="00F602FD"/>
    <w:rsid w:val="00F6128E"/>
    <w:rsid w:val="00F620AD"/>
    <w:rsid w:val="00F62FA2"/>
    <w:rsid w:val="00F630CB"/>
    <w:rsid w:val="00F640FF"/>
    <w:rsid w:val="00F641A1"/>
    <w:rsid w:val="00F658FF"/>
    <w:rsid w:val="00F662A5"/>
    <w:rsid w:val="00F664CB"/>
    <w:rsid w:val="00F66B12"/>
    <w:rsid w:val="00F66B47"/>
    <w:rsid w:val="00F676C5"/>
    <w:rsid w:val="00F678D6"/>
    <w:rsid w:val="00F70752"/>
    <w:rsid w:val="00F707C2"/>
    <w:rsid w:val="00F717DF"/>
    <w:rsid w:val="00F722FA"/>
    <w:rsid w:val="00F723EE"/>
    <w:rsid w:val="00F724E5"/>
    <w:rsid w:val="00F7264A"/>
    <w:rsid w:val="00F7349F"/>
    <w:rsid w:val="00F738D5"/>
    <w:rsid w:val="00F73A03"/>
    <w:rsid w:val="00F73B9A"/>
    <w:rsid w:val="00F740B6"/>
    <w:rsid w:val="00F74705"/>
    <w:rsid w:val="00F7540A"/>
    <w:rsid w:val="00F754F2"/>
    <w:rsid w:val="00F76399"/>
    <w:rsid w:val="00F76C6D"/>
    <w:rsid w:val="00F80A0F"/>
    <w:rsid w:val="00F81024"/>
    <w:rsid w:val="00F81032"/>
    <w:rsid w:val="00F810D2"/>
    <w:rsid w:val="00F82168"/>
    <w:rsid w:val="00F829BB"/>
    <w:rsid w:val="00F84DF6"/>
    <w:rsid w:val="00F85409"/>
    <w:rsid w:val="00F8558C"/>
    <w:rsid w:val="00F87CE1"/>
    <w:rsid w:val="00F90179"/>
    <w:rsid w:val="00F9059D"/>
    <w:rsid w:val="00F90655"/>
    <w:rsid w:val="00F90CF5"/>
    <w:rsid w:val="00F91A33"/>
    <w:rsid w:val="00F91C75"/>
    <w:rsid w:val="00F925E9"/>
    <w:rsid w:val="00F9272C"/>
    <w:rsid w:val="00F9310F"/>
    <w:rsid w:val="00F93633"/>
    <w:rsid w:val="00F94230"/>
    <w:rsid w:val="00F948C4"/>
    <w:rsid w:val="00F94B7D"/>
    <w:rsid w:val="00F94B7E"/>
    <w:rsid w:val="00F95533"/>
    <w:rsid w:val="00F955FB"/>
    <w:rsid w:val="00F957D7"/>
    <w:rsid w:val="00F95B2B"/>
    <w:rsid w:val="00F9631A"/>
    <w:rsid w:val="00F96F58"/>
    <w:rsid w:val="00F9755B"/>
    <w:rsid w:val="00FA0198"/>
    <w:rsid w:val="00FA0272"/>
    <w:rsid w:val="00FA09FA"/>
    <w:rsid w:val="00FA0B52"/>
    <w:rsid w:val="00FA0FB6"/>
    <w:rsid w:val="00FA1D0C"/>
    <w:rsid w:val="00FA2519"/>
    <w:rsid w:val="00FA2813"/>
    <w:rsid w:val="00FA298C"/>
    <w:rsid w:val="00FA2CB0"/>
    <w:rsid w:val="00FA33EF"/>
    <w:rsid w:val="00FA3E48"/>
    <w:rsid w:val="00FA43C2"/>
    <w:rsid w:val="00FA4495"/>
    <w:rsid w:val="00FA507E"/>
    <w:rsid w:val="00FA5CF8"/>
    <w:rsid w:val="00FA630E"/>
    <w:rsid w:val="00FA7128"/>
    <w:rsid w:val="00FB01E1"/>
    <w:rsid w:val="00FB0A00"/>
    <w:rsid w:val="00FB0C09"/>
    <w:rsid w:val="00FB0C43"/>
    <w:rsid w:val="00FB0F54"/>
    <w:rsid w:val="00FB18B3"/>
    <w:rsid w:val="00FB2E76"/>
    <w:rsid w:val="00FB319A"/>
    <w:rsid w:val="00FB3E18"/>
    <w:rsid w:val="00FB3E70"/>
    <w:rsid w:val="00FB3F09"/>
    <w:rsid w:val="00FB4618"/>
    <w:rsid w:val="00FB4670"/>
    <w:rsid w:val="00FB53E9"/>
    <w:rsid w:val="00FB5ED0"/>
    <w:rsid w:val="00FB6664"/>
    <w:rsid w:val="00FB6EB6"/>
    <w:rsid w:val="00FB70BD"/>
    <w:rsid w:val="00FB75B8"/>
    <w:rsid w:val="00FB7A48"/>
    <w:rsid w:val="00FC0323"/>
    <w:rsid w:val="00FC075C"/>
    <w:rsid w:val="00FC2486"/>
    <w:rsid w:val="00FC2895"/>
    <w:rsid w:val="00FC3345"/>
    <w:rsid w:val="00FC3673"/>
    <w:rsid w:val="00FC38A5"/>
    <w:rsid w:val="00FC38F7"/>
    <w:rsid w:val="00FC452F"/>
    <w:rsid w:val="00FC4604"/>
    <w:rsid w:val="00FC580C"/>
    <w:rsid w:val="00FC5D87"/>
    <w:rsid w:val="00FC6053"/>
    <w:rsid w:val="00FC7293"/>
    <w:rsid w:val="00FD0F09"/>
    <w:rsid w:val="00FD1AD7"/>
    <w:rsid w:val="00FD1EEB"/>
    <w:rsid w:val="00FD258B"/>
    <w:rsid w:val="00FD2D1F"/>
    <w:rsid w:val="00FD2DB4"/>
    <w:rsid w:val="00FD2E79"/>
    <w:rsid w:val="00FD316C"/>
    <w:rsid w:val="00FD3491"/>
    <w:rsid w:val="00FD4419"/>
    <w:rsid w:val="00FD4512"/>
    <w:rsid w:val="00FD465C"/>
    <w:rsid w:val="00FD4C4E"/>
    <w:rsid w:val="00FD4FFA"/>
    <w:rsid w:val="00FD5A34"/>
    <w:rsid w:val="00FD634B"/>
    <w:rsid w:val="00FD666A"/>
    <w:rsid w:val="00FD684B"/>
    <w:rsid w:val="00FD72BD"/>
    <w:rsid w:val="00FD7B9C"/>
    <w:rsid w:val="00FD7E07"/>
    <w:rsid w:val="00FE06EC"/>
    <w:rsid w:val="00FE0711"/>
    <w:rsid w:val="00FE094C"/>
    <w:rsid w:val="00FE09A9"/>
    <w:rsid w:val="00FE0A7D"/>
    <w:rsid w:val="00FE0C6F"/>
    <w:rsid w:val="00FE1233"/>
    <w:rsid w:val="00FE1985"/>
    <w:rsid w:val="00FE1C41"/>
    <w:rsid w:val="00FE1E28"/>
    <w:rsid w:val="00FE201F"/>
    <w:rsid w:val="00FE38D5"/>
    <w:rsid w:val="00FE3AA6"/>
    <w:rsid w:val="00FE4E52"/>
    <w:rsid w:val="00FE52C9"/>
    <w:rsid w:val="00FE5664"/>
    <w:rsid w:val="00FE5878"/>
    <w:rsid w:val="00FE5B6F"/>
    <w:rsid w:val="00FE64FD"/>
    <w:rsid w:val="00FE6743"/>
    <w:rsid w:val="00FE69CF"/>
    <w:rsid w:val="00FF044E"/>
    <w:rsid w:val="00FF1B38"/>
    <w:rsid w:val="00FF1D0C"/>
    <w:rsid w:val="00FF214B"/>
    <w:rsid w:val="00FF2698"/>
    <w:rsid w:val="00FF335C"/>
    <w:rsid w:val="00FF4923"/>
    <w:rsid w:val="00FF5D49"/>
    <w:rsid w:val="00FF6D1C"/>
    <w:rsid w:val="00FF6D5A"/>
    <w:rsid w:val="00FF6E60"/>
    <w:rsid w:val="00FF6F85"/>
    <w:rsid w:val="00FF7798"/>
    <w:rsid w:val="00FF7A00"/>
    <w:rsid w:val="00FF7A07"/>
    <w:rsid w:val="00FF7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B08E8"/>
  <w15:docId w15:val="{1F271B9A-71C8-4DEA-8F59-57321416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1E"/>
    <w:pPr>
      <w:widowControl w:val="0"/>
      <w:jc w:val="both"/>
    </w:pPr>
    <w:rPr>
      <w:rFonts w:ascii="Times New Roman" w:hAnsi="Times New Roman"/>
      <w:sz w:val="24"/>
      <w:szCs w:val="24"/>
    </w:rPr>
  </w:style>
  <w:style w:type="paragraph" w:styleId="Heading1">
    <w:name w:val="heading 1"/>
    <w:basedOn w:val="Normal"/>
    <w:next w:val="Normal"/>
    <w:link w:val="Heading1Char"/>
    <w:qFormat/>
    <w:rsid w:val="00D915B5"/>
    <w:pPr>
      <w:keepNext/>
      <w:widowControl/>
      <w:numPr>
        <w:numId w:val="21"/>
      </w:numPr>
      <w:autoSpaceDE w:val="0"/>
      <w:autoSpaceDN w:val="0"/>
      <w:adjustRightInd w:val="0"/>
      <w:spacing w:after="240"/>
      <w:jc w:val="center"/>
      <w:outlineLvl w:val="0"/>
    </w:pPr>
    <w:rPr>
      <w:rFonts w:eastAsia="Times New Roman"/>
      <w:b/>
      <w:bCs/>
      <w:kern w:val="32"/>
      <w:sz w:val="26"/>
      <w:szCs w:val="26"/>
    </w:rPr>
  </w:style>
  <w:style w:type="paragraph" w:styleId="Heading2">
    <w:name w:val="heading 2"/>
    <w:basedOn w:val="Normal"/>
    <w:next w:val="Normal"/>
    <w:link w:val="Heading2Char"/>
    <w:unhideWhenUsed/>
    <w:qFormat/>
    <w:rsid w:val="00517EE8"/>
    <w:pPr>
      <w:keepNext/>
      <w:keepLines/>
      <w:numPr>
        <w:ilvl w:val="1"/>
        <w:numId w:val="21"/>
      </w:numPr>
      <w:spacing w:before="200"/>
      <w:ind w:left="720" w:hanging="720"/>
      <w:outlineLvl w:val="1"/>
    </w:pPr>
    <w:rPr>
      <w:rFonts w:eastAsia="Times New Roman"/>
      <w:b/>
      <w:bCs/>
      <w:u w:val="single"/>
    </w:rPr>
  </w:style>
  <w:style w:type="paragraph" w:styleId="Heading3">
    <w:name w:val="heading 3"/>
    <w:basedOn w:val="Normal"/>
    <w:next w:val="Normal"/>
    <w:link w:val="Heading3Char"/>
    <w:unhideWhenUsed/>
    <w:qFormat/>
    <w:rsid w:val="00222D08"/>
    <w:pPr>
      <w:keepNext/>
      <w:keepLines/>
      <w:spacing w:before="40"/>
      <w:outlineLvl w:val="2"/>
    </w:pPr>
    <w:rPr>
      <w:rFonts w:ascii="Calibri Light" w:eastAsia="Times New Roman" w:hAnsi="Calibri Light"/>
      <w:color w:val="1F4D78"/>
    </w:rPr>
  </w:style>
  <w:style w:type="paragraph" w:styleId="Heading4">
    <w:name w:val="heading 4"/>
    <w:basedOn w:val="Normal"/>
    <w:next w:val="Normal"/>
    <w:link w:val="Heading4Char"/>
    <w:qFormat/>
    <w:rsid w:val="00FA507E"/>
    <w:pPr>
      <w:keepNext/>
      <w:widowControl/>
      <w:spacing w:before="240" w:after="60"/>
      <w:jc w:val="left"/>
      <w:outlineLvl w:val="3"/>
    </w:pPr>
    <w:rPr>
      <w:rFonts w:eastAsia="Times New Roman"/>
      <w:b/>
      <w:bCs/>
      <w:color w:val="000000"/>
      <w:sz w:val="28"/>
      <w:szCs w:val="28"/>
    </w:rPr>
  </w:style>
  <w:style w:type="paragraph" w:styleId="Heading5">
    <w:name w:val="heading 5"/>
    <w:basedOn w:val="Normal"/>
    <w:next w:val="Normal"/>
    <w:link w:val="Heading5Char"/>
    <w:unhideWhenUsed/>
    <w:qFormat/>
    <w:rsid w:val="00321FB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FA507E"/>
    <w:pPr>
      <w:widowControl/>
      <w:spacing w:before="240" w:after="60"/>
      <w:jc w:val="left"/>
      <w:outlineLvl w:val="5"/>
    </w:pPr>
    <w:rPr>
      <w:rFonts w:eastAsia="Times New Roman"/>
      <w:b/>
      <w:bCs/>
      <w:color w:val="000000"/>
      <w:sz w:val="22"/>
      <w:szCs w:val="22"/>
    </w:rPr>
  </w:style>
  <w:style w:type="paragraph" w:styleId="Heading7">
    <w:name w:val="heading 7"/>
    <w:basedOn w:val="Normal"/>
    <w:next w:val="Normal"/>
    <w:link w:val="Heading7Char"/>
    <w:qFormat/>
    <w:rsid w:val="00FA507E"/>
    <w:pPr>
      <w:widowControl/>
      <w:spacing w:before="240" w:after="60"/>
      <w:jc w:val="left"/>
      <w:outlineLvl w:val="6"/>
    </w:pPr>
    <w:rPr>
      <w:rFonts w:eastAsia="Times New Roman"/>
      <w:color w:val="000000"/>
    </w:rPr>
  </w:style>
  <w:style w:type="paragraph" w:styleId="Heading8">
    <w:name w:val="heading 8"/>
    <w:basedOn w:val="Normal"/>
    <w:next w:val="Normal"/>
    <w:link w:val="Heading8Char"/>
    <w:qFormat/>
    <w:rsid w:val="00FA507E"/>
    <w:pPr>
      <w:widowControl/>
      <w:spacing w:before="240" w:after="60"/>
      <w:jc w:val="left"/>
      <w:outlineLvl w:val="7"/>
    </w:pPr>
    <w:rPr>
      <w:rFonts w:eastAsia="Times New Roman"/>
      <w:i/>
      <w:iCs/>
      <w:color w:val="000000"/>
    </w:rPr>
  </w:style>
  <w:style w:type="paragraph" w:styleId="Heading9">
    <w:name w:val="heading 9"/>
    <w:basedOn w:val="Normal"/>
    <w:next w:val="Normal"/>
    <w:link w:val="Heading9Char"/>
    <w:qFormat/>
    <w:rsid w:val="00FA507E"/>
    <w:pPr>
      <w:widowControl/>
      <w:spacing w:before="240" w:after="60"/>
      <w:jc w:val="left"/>
      <w:outlineLvl w:val="8"/>
    </w:pPr>
    <w:rPr>
      <w:rFonts w:ascii="Arial" w:eastAsia="Times New Roman" w:hAnsi="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15B5"/>
    <w:rPr>
      <w:rFonts w:ascii="Times New Roman" w:eastAsia="Times New Roman" w:hAnsi="Times New Roman"/>
      <w:b/>
      <w:bCs/>
      <w:kern w:val="32"/>
      <w:sz w:val="26"/>
      <w:szCs w:val="26"/>
    </w:rPr>
  </w:style>
  <w:style w:type="character" w:customStyle="1" w:styleId="Heading2Char">
    <w:name w:val="Heading 2 Char"/>
    <w:link w:val="Heading2"/>
    <w:rsid w:val="00517EE8"/>
    <w:rPr>
      <w:rFonts w:ascii="Times New Roman" w:eastAsia="Times New Roman" w:hAnsi="Times New Roman"/>
      <w:b/>
      <w:bCs/>
      <w:sz w:val="24"/>
      <w:szCs w:val="24"/>
      <w:u w:val="single"/>
    </w:rPr>
  </w:style>
  <w:style w:type="character" w:customStyle="1" w:styleId="Heading3Char">
    <w:name w:val="Heading 3 Char"/>
    <w:link w:val="Heading3"/>
    <w:rsid w:val="00E1395A"/>
    <w:rPr>
      <w:rFonts w:ascii="Calibri Light" w:eastAsia="Times New Roman" w:hAnsi="Calibri Light"/>
      <w:color w:val="1F4D78"/>
      <w:sz w:val="24"/>
      <w:szCs w:val="24"/>
    </w:rPr>
  </w:style>
  <w:style w:type="character" w:customStyle="1" w:styleId="Heading4Char">
    <w:name w:val="Heading 4 Char"/>
    <w:link w:val="Heading4"/>
    <w:rsid w:val="00FA507E"/>
    <w:rPr>
      <w:rFonts w:ascii="Times New Roman" w:eastAsia="Times New Roman" w:hAnsi="Times New Roman"/>
      <w:b/>
      <w:bCs/>
      <w:color w:val="000000"/>
      <w:sz w:val="28"/>
      <w:szCs w:val="28"/>
    </w:rPr>
  </w:style>
  <w:style w:type="character" w:customStyle="1" w:styleId="Heading5Char">
    <w:name w:val="Heading 5 Char"/>
    <w:link w:val="Heading5"/>
    <w:rsid w:val="00321FBA"/>
    <w:rPr>
      <w:rFonts w:eastAsia="Times New Roman"/>
      <w:b/>
      <w:bCs/>
      <w:i/>
      <w:iCs/>
      <w:sz w:val="26"/>
      <w:szCs w:val="26"/>
    </w:rPr>
  </w:style>
  <w:style w:type="character" w:customStyle="1" w:styleId="Heading6Char">
    <w:name w:val="Heading 6 Char"/>
    <w:link w:val="Heading6"/>
    <w:rsid w:val="00FA507E"/>
    <w:rPr>
      <w:rFonts w:ascii="Times New Roman" w:eastAsia="Times New Roman" w:hAnsi="Times New Roman"/>
      <w:b/>
      <w:bCs/>
      <w:color w:val="000000"/>
      <w:sz w:val="22"/>
      <w:szCs w:val="22"/>
    </w:rPr>
  </w:style>
  <w:style w:type="character" w:customStyle="1" w:styleId="Heading7Char">
    <w:name w:val="Heading 7 Char"/>
    <w:link w:val="Heading7"/>
    <w:rsid w:val="00FA507E"/>
    <w:rPr>
      <w:rFonts w:ascii="Times New Roman" w:eastAsia="Times New Roman" w:hAnsi="Times New Roman"/>
      <w:color w:val="000000"/>
      <w:sz w:val="24"/>
      <w:szCs w:val="24"/>
    </w:rPr>
  </w:style>
  <w:style w:type="character" w:customStyle="1" w:styleId="Heading8Char">
    <w:name w:val="Heading 8 Char"/>
    <w:link w:val="Heading8"/>
    <w:rsid w:val="00FA507E"/>
    <w:rPr>
      <w:rFonts w:ascii="Times New Roman" w:eastAsia="Times New Roman" w:hAnsi="Times New Roman"/>
      <w:i/>
      <w:iCs/>
      <w:color w:val="000000"/>
      <w:sz w:val="24"/>
      <w:szCs w:val="24"/>
    </w:rPr>
  </w:style>
  <w:style w:type="character" w:customStyle="1" w:styleId="Heading9Char">
    <w:name w:val="Heading 9 Char"/>
    <w:link w:val="Heading9"/>
    <w:rsid w:val="00FA507E"/>
    <w:rPr>
      <w:rFonts w:ascii="Arial" w:eastAsia="Times New Roman" w:hAnsi="Arial" w:cs="Arial"/>
      <w:color w:val="000000"/>
      <w:sz w:val="22"/>
      <w:szCs w:val="22"/>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rsid w:val="00B97150"/>
    <w:pPr>
      <w:keepLines/>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rsid w:val="00B97150"/>
    <w:rPr>
      <w:rFonts w:ascii="Times New Roman" w:hAnsi="Times New Roman"/>
    </w:rPr>
  </w:style>
  <w:style w:type="character" w:styleId="FootnoteReference">
    <w:name w:val="footnote reference"/>
    <w:uiPriority w:val="99"/>
    <w:rsid w:val="00BC0A1E"/>
    <w:rPr>
      <w:vertAlign w:val="superscript"/>
    </w:rPr>
  </w:style>
  <w:style w:type="paragraph" w:styleId="Header">
    <w:name w:val="header"/>
    <w:basedOn w:val="Normal"/>
    <w:link w:val="HeaderChar"/>
    <w:uiPriority w:val="99"/>
    <w:rsid w:val="00BC0A1E"/>
    <w:pPr>
      <w:tabs>
        <w:tab w:val="center" w:pos="4320"/>
        <w:tab w:val="right" w:pos="8640"/>
      </w:tabs>
    </w:pPr>
  </w:style>
  <w:style w:type="character" w:customStyle="1" w:styleId="HeaderChar">
    <w:name w:val="Header Char"/>
    <w:link w:val="Header"/>
    <w:uiPriority w:val="99"/>
    <w:rsid w:val="00BC0A1E"/>
    <w:rPr>
      <w:rFonts w:ascii="Times New Roman" w:eastAsia="Calibri" w:hAnsi="Times New Roman" w:cs="Times New Roman"/>
      <w:sz w:val="24"/>
      <w:szCs w:val="24"/>
    </w:rPr>
  </w:style>
  <w:style w:type="paragraph" w:styleId="Footer">
    <w:name w:val="footer"/>
    <w:basedOn w:val="Normal"/>
    <w:link w:val="FooterChar"/>
    <w:uiPriority w:val="99"/>
    <w:rsid w:val="00BC0A1E"/>
    <w:pPr>
      <w:tabs>
        <w:tab w:val="center" w:pos="4320"/>
        <w:tab w:val="right" w:pos="8640"/>
      </w:tabs>
    </w:pPr>
  </w:style>
  <w:style w:type="character" w:customStyle="1" w:styleId="FooterChar">
    <w:name w:val="Footer Char"/>
    <w:link w:val="Footer"/>
    <w:uiPriority w:val="99"/>
    <w:rsid w:val="00BC0A1E"/>
    <w:rPr>
      <w:rFonts w:ascii="Times New Roman" w:eastAsia="Calibri" w:hAnsi="Times New Roman" w:cs="Times New Roman"/>
      <w:sz w:val="24"/>
      <w:szCs w:val="24"/>
    </w:rPr>
  </w:style>
  <w:style w:type="character" w:styleId="PageNumber">
    <w:name w:val="page number"/>
    <w:basedOn w:val="DefaultParagraphFont"/>
    <w:uiPriority w:val="99"/>
    <w:rsid w:val="00BC0A1E"/>
  </w:style>
  <w:style w:type="paragraph" w:styleId="ListParagraph">
    <w:name w:val="List Paragraph"/>
    <w:basedOn w:val="Normal"/>
    <w:uiPriority w:val="34"/>
    <w:qFormat/>
    <w:rsid w:val="00BC0A1E"/>
    <w:pPr>
      <w:ind w:left="720"/>
    </w:pPr>
  </w:style>
  <w:style w:type="paragraph" w:styleId="BodyText">
    <w:name w:val="Body Text"/>
    <w:basedOn w:val="Normal"/>
    <w:link w:val="BodyTextChar"/>
    <w:uiPriority w:val="99"/>
    <w:rsid w:val="00BC0A1E"/>
    <w:pPr>
      <w:spacing w:after="120"/>
    </w:pPr>
  </w:style>
  <w:style w:type="character" w:customStyle="1" w:styleId="BodyTextChar">
    <w:name w:val="Body Text Char"/>
    <w:link w:val="BodyText"/>
    <w:uiPriority w:val="99"/>
    <w:rsid w:val="00BC0A1E"/>
    <w:rPr>
      <w:rFonts w:ascii="Times New Roman" w:eastAsia="Calibri" w:hAnsi="Times New Roman" w:cs="Times New Roman"/>
      <w:sz w:val="24"/>
      <w:szCs w:val="24"/>
    </w:rPr>
  </w:style>
  <w:style w:type="character" w:styleId="CommentReference">
    <w:name w:val="annotation reference"/>
    <w:uiPriority w:val="99"/>
    <w:semiHidden/>
    <w:rsid w:val="00BC0A1E"/>
    <w:rPr>
      <w:sz w:val="16"/>
      <w:szCs w:val="16"/>
    </w:rPr>
  </w:style>
  <w:style w:type="paragraph" w:styleId="CommentText">
    <w:name w:val="annotation text"/>
    <w:basedOn w:val="Normal"/>
    <w:link w:val="CommentTextChar"/>
    <w:uiPriority w:val="99"/>
    <w:semiHidden/>
    <w:rsid w:val="00BC0A1E"/>
    <w:rPr>
      <w:sz w:val="20"/>
      <w:szCs w:val="20"/>
    </w:rPr>
  </w:style>
  <w:style w:type="character" w:customStyle="1" w:styleId="CommentTextChar">
    <w:name w:val="Comment Text Char"/>
    <w:link w:val="CommentText"/>
    <w:uiPriority w:val="99"/>
    <w:semiHidden/>
    <w:rsid w:val="00BC0A1E"/>
    <w:rPr>
      <w:rFonts w:ascii="Times New Roman" w:eastAsia="Calibri" w:hAnsi="Times New Roman" w:cs="Times New Roman"/>
      <w:sz w:val="20"/>
      <w:szCs w:val="20"/>
    </w:rPr>
  </w:style>
  <w:style w:type="character" w:styleId="Hyperlink">
    <w:name w:val="Hyperlink"/>
    <w:uiPriority w:val="99"/>
    <w:unhideWhenUsed/>
    <w:rsid w:val="00BC0A1E"/>
    <w:rPr>
      <w:color w:val="0000FF"/>
      <w:u w:val="single"/>
    </w:rPr>
  </w:style>
  <w:style w:type="paragraph" w:styleId="TOC2">
    <w:name w:val="toc 2"/>
    <w:basedOn w:val="Normal"/>
    <w:next w:val="Normal"/>
    <w:autoRedefine/>
    <w:uiPriority w:val="39"/>
    <w:rsid w:val="003A7590"/>
    <w:pPr>
      <w:tabs>
        <w:tab w:val="left" w:pos="900"/>
        <w:tab w:val="right" w:leader="dot" w:pos="9350"/>
      </w:tabs>
      <w:spacing w:after="80"/>
      <w:ind w:left="634" w:hanging="360"/>
    </w:pPr>
    <w:rPr>
      <w:noProof/>
    </w:rPr>
  </w:style>
  <w:style w:type="paragraph" w:customStyle="1" w:styleId="Style1">
    <w:name w:val="Style1"/>
    <w:basedOn w:val="Heading2"/>
    <w:link w:val="Style1Char"/>
    <w:qFormat/>
    <w:rsid w:val="00BC0A1E"/>
    <w:pPr>
      <w:numPr>
        <w:numId w:val="4"/>
      </w:numPr>
      <w:jc w:val="center"/>
    </w:pPr>
    <w:rPr>
      <w:color w:val="4F81BD"/>
      <w:sz w:val="26"/>
      <w:szCs w:val="26"/>
      <w:u w:val="none"/>
    </w:rPr>
  </w:style>
  <w:style w:type="character" w:customStyle="1" w:styleId="Style1Char">
    <w:name w:val="Style1 Char"/>
    <w:link w:val="Style1"/>
    <w:rsid w:val="00BC0A1E"/>
    <w:rPr>
      <w:rFonts w:ascii="Times New Roman" w:eastAsia="Times New Roman" w:hAnsi="Times New Roman" w:cs="Times New Roman"/>
      <w:b/>
      <w:bCs/>
      <w:color w:val="4F81BD"/>
      <w:sz w:val="26"/>
      <w:szCs w:val="26"/>
    </w:rPr>
  </w:style>
  <w:style w:type="paragraph" w:styleId="BalloonText">
    <w:name w:val="Balloon Text"/>
    <w:basedOn w:val="Normal"/>
    <w:link w:val="BalloonTextChar"/>
    <w:uiPriority w:val="99"/>
    <w:semiHidden/>
    <w:unhideWhenUsed/>
    <w:rsid w:val="00BC0A1E"/>
    <w:rPr>
      <w:rFonts w:ascii="Segoe UI" w:hAnsi="Segoe UI"/>
      <w:sz w:val="18"/>
      <w:szCs w:val="18"/>
    </w:rPr>
  </w:style>
  <w:style w:type="character" w:customStyle="1" w:styleId="BalloonTextChar">
    <w:name w:val="Balloon Text Char"/>
    <w:link w:val="BalloonText"/>
    <w:uiPriority w:val="99"/>
    <w:semiHidden/>
    <w:rsid w:val="00BC0A1E"/>
    <w:rPr>
      <w:rFonts w:ascii="Segoe UI" w:eastAsia="Calibri" w:hAnsi="Segoe UI" w:cs="Segoe UI"/>
      <w:sz w:val="18"/>
      <w:szCs w:val="18"/>
    </w:rPr>
  </w:style>
  <w:style w:type="character" w:styleId="LineNumber">
    <w:name w:val="line number"/>
    <w:basedOn w:val="DefaultParagraphFont"/>
    <w:uiPriority w:val="99"/>
    <w:semiHidden/>
    <w:unhideWhenUsed/>
    <w:rsid w:val="00BC0A1E"/>
  </w:style>
  <w:style w:type="paragraph" w:styleId="CommentSubject">
    <w:name w:val="annotation subject"/>
    <w:basedOn w:val="CommentText"/>
    <w:next w:val="CommentText"/>
    <w:link w:val="CommentSubjectChar"/>
    <w:uiPriority w:val="99"/>
    <w:semiHidden/>
    <w:unhideWhenUsed/>
    <w:rsid w:val="00297BC6"/>
    <w:rPr>
      <w:b/>
      <w:bCs/>
    </w:rPr>
  </w:style>
  <w:style w:type="character" w:customStyle="1" w:styleId="CommentSubjectChar">
    <w:name w:val="Comment Subject Char"/>
    <w:link w:val="CommentSubject"/>
    <w:uiPriority w:val="99"/>
    <w:semiHidden/>
    <w:rsid w:val="00297BC6"/>
    <w:rPr>
      <w:rFonts w:ascii="Times New Roman" w:eastAsia="Calibri" w:hAnsi="Times New Roman" w:cs="Times New Roman"/>
      <w:b/>
      <w:bCs/>
      <w:sz w:val="20"/>
      <w:szCs w:val="20"/>
    </w:rPr>
  </w:style>
  <w:style w:type="paragraph" w:styleId="NoSpacing">
    <w:name w:val="No Spacing"/>
    <w:uiPriority w:val="1"/>
    <w:qFormat/>
    <w:rsid w:val="00391E20"/>
    <w:pPr>
      <w:widowControl w:val="0"/>
      <w:jc w:val="both"/>
    </w:pPr>
    <w:rPr>
      <w:rFonts w:ascii="Times New Roman" w:hAnsi="Times New Roman"/>
      <w:sz w:val="24"/>
      <w:szCs w:val="24"/>
    </w:rPr>
  </w:style>
  <w:style w:type="paragraph" w:styleId="Revision">
    <w:name w:val="Revision"/>
    <w:hidden/>
    <w:uiPriority w:val="99"/>
    <w:semiHidden/>
    <w:rsid w:val="004F2B2E"/>
    <w:rPr>
      <w:rFonts w:ascii="Times New Roman" w:hAnsi="Times New Roman"/>
      <w:sz w:val="24"/>
      <w:szCs w:val="24"/>
    </w:rPr>
  </w:style>
  <w:style w:type="paragraph" w:customStyle="1" w:styleId="Default">
    <w:name w:val="Default"/>
    <w:rsid w:val="008A2B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A10A6"/>
    <w:rPr>
      <w:color w:val="954F72"/>
      <w:u w:val="single"/>
    </w:rPr>
  </w:style>
  <w:style w:type="paragraph" w:styleId="BodyTextIndent">
    <w:name w:val="Body Text Indent"/>
    <w:basedOn w:val="Normal"/>
    <w:link w:val="BodyTextIndentChar"/>
    <w:uiPriority w:val="99"/>
    <w:unhideWhenUsed/>
    <w:rsid w:val="00321FBA"/>
    <w:pPr>
      <w:spacing w:after="120"/>
      <w:ind w:left="360"/>
    </w:pPr>
  </w:style>
  <w:style w:type="character" w:customStyle="1" w:styleId="BodyTextIndentChar">
    <w:name w:val="Body Text Indent Char"/>
    <w:link w:val="BodyTextIndent"/>
    <w:uiPriority w:val="99"/>
    <w:rsid w:val="00321FBA"/>
    <w:rPr>
      <w:rFonts w:ascii="Times New Roman" w:hAnsi="Times New Roman"/>
      <w:sz w:val="24"/>
      <w:szCs w:val="24"/>
    </w:rPr>
  </w:style>
  <w:style w:type="paragraph" w:styleId="TOC1">
    <w:name w:val="toc 1"/>
    <w:basedOn w:val="Normal"/>
    <w:next w:val="Normal"/>
    <w:autoRedefine/>
    <w:uiPriority w:val="39"/>
    <w:unhideWhenUsed/>
    <w:rsid w:val="003A7590"/>
    <w:pPr>
      <w:tabs>
        <w:tab w:val="left" w:pos="450"/>
        <w:tab w:val="right" w:leader="dot" w:pos="9350"/>
      </w:tabs>
      <w:spacing w:after="200"/>
      <w:ind w:left="446" w:hanging="446"/>
    </w:pPr>
  </w:style>
  <w:style w:type="table" w:styleId="TableGrid">
    <w:name w:val="Table Grid"/>
    <w:basedOn w:val="TableNormal"/>
    <w:uiPriority w:val="59"/>
    <w:rsid w:val="0082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395A"/>
    <w:pPr>
      <w:widowControl/>
      <w:spacing w:before="100" w:beforeAutospacing="1" w:after="100" w:afterAutospacing="1"/>
      <w:jc w:val="left"/>
    </w:pPr>
    <w:rPr>
      <w:rFonts w:eastAsia="Times New Roman"/>
    </w:rPr>
  </w:style>
  <w:style w:type="character" w:styleId="Strong">
    <w:name w:val="Strong"/>
    <w:uiPriority w:val="22"/>
    <w:qFormat/>
    <w:rsid w:val="00E1395A"/>
    <w:rPr>
      <w:b/>
      <w:bCs/>
    </w:rPr>
  </w:style>
  <w:style w:type="character" w:styleId="Emphasis">
    <w:name w:val="Emphasis"/>
    <w:uiPriority w:val="20"/>
    <w:qFormat/>
    <w:rsid w:val="00E1395A"/>
    <w:rPr>
      <w:i/>
      <w:iCs/>
    </w:rPr>
  </w:style>
  <w:style w:type="paragraph" w:customStyle="1" w:styleId="DecimalAligned">
    <w:name w:val="Decimal Aligned"/>
    <w:basedOn w:val="Normal"/>
    <w:uiPriority w:val="40"/>
    <w:qFormat/>
    <w:rsid w:val="00222D08"/>
    <w:pPr>
      <w:widowControl/>
      <w:tabs>
        <w:tab w:val="decimal" w:pos="360"/>
      </w:tabs>
      <w:spacing w:after="200" w:line="276" w:lineRule="auto"/>
      <w:jc w:val="left"/>
    </w:pPr>
    <w:rPr>
      <w:rFonts w:ascii="Calibri" w:eastAsia="Times New Roman" w:hAnsi="Calibri"/>
      <w:sz w:val="22"/>
      <w:szCs w:val="22"/>
    </w:rPr>
  </w:style>
  <w:style w:type="character" w:styleId="SubtleEmphasis">
    <w:name w:val="Subtle Emphasis"/>
    <w:uiPriority w:val="19"/>
    <w:qFormat/>
    <w:rsid w:val="009107A4"/>
    <w:rPr>
      <w:i/>
      <w:iCs/>
    </w:rPr>
  </w:style>
  <w:style w:type="table" w:styleId="MediumShading2-Accent5">
    <w:name w:val="Medium Shading 2 Accent 5"/>
    <w:basedOn w:val="TableNormal"/>
    <w:uiPriority w:val="64"/>
    <w:rsid w:val="009107A4"/>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1E4800"/>
    <w:rPr>
      <w:rFonts w:eastAsia="Times New Roman"/>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List-Accent3">
    <w:name w:val="Light List Accent 3"/>
    <w:basedOn w:val="TableNormal"/>
    <w:uiPriority w:val="61"/>
    <w:rsid w:val="001E4800"/>
    <w:rPr>
      <w:rFonts w:eastAsia="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21">
    <w:name w:val="Plain Table 21"/>
    <w:basedOn w:val="TableNormal"/>
    <w:uiPriority w:val="42"/>
    <w:rsid w:val="001E48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1E48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LGAnswer">
    <w:name w:val="LG Answer"/>
    <w:basedOn w:val="Normal"/>
    <w:next w:val="Normal"/>
    <w:qFormat/>
    <w:rsid w:val="00FA507E"/>
    <w:pPr>
      <w:widowControl/>
      <w:spacing w:after="240" w:line="480" w:lineRule="auto"/>
      <w:jc w:val="left"/>
    </w:pPr>
    <w:rPr>
      <w:rFonts w:eastAsia="Times New Roman"/>
      <w:color w:val="000000"/>
    </w:rPr>
  </w:style>
  <w:style w:type="paragraph" w:customStyle="1" w:styleId="LGBlockText">
    <w:name w:val="LG BlockText"/>
    <w:basedOn w:val="BlockText"/>
    <w:next w:val="Normal"/>
    <w:qFormat/>
    <w:rsid w:val="00FA507E"/>
    <w:pPr>
      <w:pBdr>
        <w:top w:val="none" w:sz="0" w:space="0" w:color="auto"/>
        <w:left w:val="none" w:sz="0" w:space="0" w:color="auto"/>
        <w:bottom w:val="none" w:sz="0" w:space="0" w:color="auto"/>
        <w:right w:val="none" w:sz="0" w:space="0" w:color="auto"/>
      </w:pBdr>
      <w:spacing w:after="240"/>
      <w:ind w:left="1440" w:right="1440"/>
      <w:jc w:val="both"/>
    </w:pPr>
    <w:rPr>
      <w:rFonts w:ascii="Times New Roman" w:hAnsi="Times New Roman"/>
      <w:i w:val="0"/>
      <w:iCs w:val="0"/>
      <w:color w:val="000000"/>
      <w:szCs w:val="20"/>
    </w:rPr>
  </w:style>
  <w:style w:type="paragraph" w:styleId="BlockText">
    <w:name w:val="Block Text"/>
    <w:basedOn w:val="Normal"/>
    <w:uiPriority w:val="99"/>
    <w:semiHidden/>
    <w:unhideWhenUsed/>
    <w:rsid w:val="00FA507E"/>
    <w:pPr>
      <w:widowControl/>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jc w:val="left"/>
    </w:pPr>
    <w:rPr>
      <w:rFonts w:ascii="Calibri" w:eastAsia="Times New Roman" w:hAnsi="Calibri"/>
      <w:i/>
      <w:iCs/>
      <w:color w:val="4F81BD"/>
    </w:rPr>
  </w:style>
  <w:style w:type="paragraph" w:customStyle="1" w:styleId="LGBodyTextDD">
    <w:name w:val="LG BodyTextDD"/>
    <w:basedOn w:val="BodyText"/>
    <w:qFormat/>
    <w:rsid w:val="00FA507E"/>
    <w:pPr>
      <w:widowControl/>
      <w:tabs>
        <w:tab w:val="left" w:pos="720"/>
      </w:tabs>
      <w:spacing w:after="0" w:line="480" w:lineRule="auto"/>
      <w:ind w:firstLine="720"/>
    </w:pPr>
    <w:rPr>
      <w:rFonts w:eastAsia="Times New Roman"/>
      <w:color w:val="000000"/>
      <w:szCs w:val="20"/>
    </w:rPr>
  </w:style>
  <w:style w:type="paragraph" w:customStyle="1" w:styleId="LGBodyTextSS">
    <w:name w:val="LG BodyTextSS"/>
    <w:basedOn w:val="BodyText"/>
    <w:qFormat/>
    <w:rsid w:val="00FA507E"/>
    <w:pPr>
      <w:widowControl/>
      <w:tabs>
        <w:tab w:val="left" w:pos="720"/>
      </w:tabs>
      <w:spacing w:after="240"/>
      <w:ind w:firstLine="720"/>
    </w:pPr>
    <w:rPr>
      <w:rFonts w:eastAsia="Times New Roman"/>
      <w:color w:val="000000"/>
      <w:szCs w:val="20"/>
    </w:rPr>
  </w:style>
  <w:style w:type="paragraph" w:customStyle="1" w:styleId="LGCaption">
    <w:name w:val="LG Caption"/>
    <w:basedOn w:val="Caption"/>
    <w:next w:val="BodyText"/>
    <w:qFormat/>
    <w:rsid w:val="00FA507E"/>
    <w:pPr>
      <w:spacing w:after="240"/>
      <w:jc w:val="center"/>
    </w:pPr>
    <w:rPr>
      <w:rFonts w:ascii="Times New Roman Bold" w:eastAsia="Times New Roman" w:hAnsi="Times New Roman Bold"/>
      <w:b w:val="0"/>
      <w:bCs w:val="0"/>
      <w:caps/>
      <w:color w:val="000000"/>
      <w:sz w:val="24"/>
      <w:szCs w:val="20"/>
    </w:rPr>
  </w:style>
  <w:style w:type="paragraph" w:styleId="Caption">
    <w:name w:val="caption"/>
    <w:basedOn w:val="Normal"/>
    <w:next w:val="Normal"/>
    <w:uiPriority w:val="35"/>
    <w:semiHidden/>
    <w:unhideWhenUsed/>
    <w:rsid w:val="00FA507E"/>
    <w:pPr>
      <w:widowControl/>
      <w:spacing w:after="200"/>
      <w:jc w:val="left"/>
    </w:pPr>
    <w:rPr>
      <w:b/>
      <w:bCs/>
      <w:color w:val="4F81BD"/>
      <w:sz w:val="18"/>
      <w:szCs w:val="18"/>
    </w:rPr>
  </w:style>
  <w:style w:type="paragraph" w:customStyle="1" w:styleId="LGFiledisk">
    <w:name w:val="LG 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FileIndex">
    <w:name w:val="LG FileIndex"/>
    <w:basedOn w:val="Normal"/>
    <w:qFormat/>
    <w:rsid w:val="00FA507E"/>
    <w:pPr>
      <w:widowControl/>
      <w:tabs>
        <w:tab w:val="left" w:pos="720"/>
        <w:tab w:val="left" w:pos="1440"/>
        <w:tab w:val="left" w:pos="2160"/>
        <w:tab w:val="left" w:pos="2880"/>
        <w:tab w:val="left" w:pos="3600"/>
        <w:tab w:val="left" w:pos="4320"/>
        <w:tab w:val="left" w:pos="5040"/>
      </w:tabs>
    </w:pPr>
    <w:rPr>
      <w:rFonts w:eastAsia="Times New Roman"/>
      <w:color w:val="000000"/>
      <w:szCs w:val="20"/>
    </w:rPr>
  </w:style>
  <w:style w:type="paragraph" w:customStyle="1" w:styleId="LGFooter">
    <w:name w:val="LG Footer"/>
    <w:basedOn w:val="Footer"/>
    <w:next w:val="LGBodyTextSS"/>
    <w:qFormat/>
    <w:rsid w:val="00FA507E"/>
    <w:pPr>
      <w:widowControl/>
      <w:spacing w:before="120"/>
    </w:pPr>
    <w:rPr>
      <w:rFonts w:eastAsia="Times New Roman"/>
      <w:color w:val="000000"/>
      <w:sz w:val="20"/>
      <w:szCs w:val="20"/>
    </w:rPr>
  </w:style>
  <w:style w:type="paragraph" w:customStyle="1" w:styleId="LGHeader">
    <w:name w:val="LG Header"/>
    <w:basedOn w:val="Header"/>
    <w:next w:val="LGBodyTextSS"/>
    <w:qFormat/>
    <w:rsid w:val="00FA507E"/>
    <w:pPr>
      <w:widowControl/>
    </w:pPr>
    <w:rPr>
      <w:rFonts w:eastAsia="Times New Roman"/>
      <w:color w:val="000000"/>
      <w:szCs w:val="20"/>
    </w:rPr>
  </w:style>
  <w:style w:type="paragraph" w:customStyle="1" w:styleId="LGHeading1">
    <w:name w:val="LG Heading1"/>
    <w:basedOn w:val="Heading1"/>
    <w:next w:val="LGBodyTextSS"/>
    <w:qFormat/>
    <w:rsid w:val="00FA507E"/>
    <w:rPr>
      <w:rFonts w:ascii="Times New Roman Bold" w:hAnsi="Times New Roman Bold" w:cs="Arial"/>
      <w:color w:val="000000"/>
      <w:sz w:val="24"/>
      <w:szCs w:val="24"/>
    </w:rPr>
  </w:style>
  <w:style w:type="paragraph" w:customStyle="1" w:styleId="LGHeading2">
    <w:name w:val="LG Heading2"/>
    <w:basedOn w:val="Heading2"/>
    <w:next w:val="LGBodyTextSS"/>
    <w:qFormat/>
    <w:rsid w:val="00FA507E"/>
    <w:pPr>
      <w:keepLines w:val="0"/>
      <w:widowControl/>
      <w:spacing w:before="0" w:after="240"/>
      <w:jc w:val="left"/>
    </w:pPr>
    <w:rPr>
      <w:rFonts w:ascii="Times New Roman Bold" w:hAnsi="Times New Roman Bold" w:cs="Arial"/>
      <w:i/>
      <w:iCs/>
      <w:color w:val="000000"/>
    </w:rPr>
  </w:style>
  <w:style w:type="paragraph" w:customStyle="1" w:styleId="LGHeading3">
    <w:name w:val="LG Heading3"/>
    <w:basedOn w:val="Heading3"/>
    <w:next w:val="LGBodyTextSS"/>
    <w:qFormat/>
    <w:rsid w:val="00FA507E"/>
    <w:pPr>
      <w:keepLines w:val="0"/>
      <w:widowControl/>
      <w:spacing w:before="0" w:after="240"/>
      <w:ind w:left="720"/>
      <w:jc w:val="left"/>
    </w:pPr>
    <w:rPr>
      <w:rFonts w:ascii="Times New Roman" w:hAnsi="Times New Roman" w:cs="Arial"/>
      <w:b/>
      <w:bCs/>
      <w:color w:val="000000"/>
      <w:szCs w:val="26"/>
    </w:rPr>
  </w:style>
  <w:style w:type="paragraph" w:customStyle="1" w:styleId="LGIndentDD">
    <w:name w:val="LG Indent DD"/>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styleId="BodyTextFirstIndent">
    <w:name w:val="Body Text First Indent"/>
    <w:basedOn w:val="BodyText"/>
    <w:link w:val="BodyTextFirstIndentChar"/>
    <w:uiPriority w:val="99"/>
    <w:semiHidden/>
    <w:unhideWhenUsed/>
    <w:rsid w:val="00FA507E"/>
    <w:pPr>
      <w:widowControl/>
      <w:spacing w:after="0"/>
      <w:ind w:firstLine="360"/>
      <w:jc w:val="left"/>
    </w:pPr>
    <w:rPr>
      <w:color w:val="000000"/>
    </w:rPr>
  </w:style>
  <w:style w:type="character" w:customStyle="1" w:styleId="BodyTextFirstIndentChar">
    <w:name w:val="Body Text First Indent Char"/>
    <w:link w:val="BodyTextFirstIndent"/>
    <w:uiPriority w:val="99"/>
    <w:semiHidden/>
    <w:rsid w:val="00FA507E"/>
    <w:rPr>
      <w:rFonts w:ascii="Times New Roman" w:eastAsia="Calibri" w:hAnsi="Times New Roman" w:cs="Times New Roman"/>
      <w:color w:val="000000"/>
      <w:sz w:val="24"/>
      <w:szCs w:val="24"/>
    </w:rPr>
  </w:style>
  <w:style w:type="paragraph" w:customStyle="1" w:styleId="LGIndentSS">
    <w:name w:val="LG Indent SS"/>
    <w:basedOn w:val="BodyTextFirstIndent"/>
    <w:next w:val="Normal"/>
    <w:qFormat/>
    <w:rsid w:val="00FA507E"/>
    <w:pPr>
      <w:tabs>
        <w:tab w:val="left" w:pos="720"/>
      </w:tabs>
      <w:spacing w:line="480" w:lineRule="auto"/>
      <w:ind w:left="720" w:firstLine="720"/>
      <w:jc w:val="both"/>
    </w:pPr>
    <w:rPr>
      <w:rFonts w:eastAsia="Times New Roman"/>
      <w:szCs w:val="20"/>
    </w:rPr>
  </w:style>
  <w:style w:type="paragraph" w:customStyle="1" w:styleId="LGListBullet">
    <w:name w:val="LG List Bullet"/>
    <w:basedOn w:val="ListBullet"/>
    <w:qFormat/>
    <w:rsid w:val="00FA507E"/>
    <w:pPr>
      <w:numPr>
        <w:numId w:val="32"/>
      </w:numPr>
      <w:tabs>
        <w:tab w:val="clear" w:pos="720"/>
      </w:tabs>
      <w:ind w:left="765" w:hanging="765"/>
      <w:contextualSpacing w:val="0"/>
    </w:pPr>
    <w:rPr>
      <w:rFonts w:eastAsia="Times New Roman"/>
    </w:rPr>
  </w:style>
  <w:style w:type="paragraph" w:styleId="ListBullet">
    <w:name w:val="List Bullet"/>
    <w:basedOn w:val="Normal"/>
    <w:uiPriority w:val="99"/>
    <w:unhideWhenUsed/>
    <w:rsid w:val="00FA507E"/>
    <w:pPr>
      <w:widowControl/>
      <w:numPr>
        <w:numId w:val="31"/>
      </w:numPr>
      <w:tabs>
        <w:tab w:val="clear" w:pos="360"/>
        <w:tab w:val="num" w:pos="1710"/>
      </w:tabs>
      <w:ind w:left="1710" w:hanging="720"/>
      <w:contextualSpacing/>
      <w:jc w:val="left"/>
    </w:pPr>
    <w:rPr>
      <w:color w:val="000000"/>
    </w:rPr>
  </w:style>
  <w:style w:type="paragraph" w:customStyle="1" w:styleId="LGListBullet1">
    <w:name w:val="LG List Bullet1"/>
    <w:basedOn w:val="Normal"/>
    <w:qFormat/>
    <w:rsid w:val="00FA507E"/>
    <w:pPr>
      <w:widowControl/>
      <w:numPr>
        <w:ilvl w:val="1"/>
        <w:numId w:val="32"/>
      </w:numPr>
      <w:tabs>
        <w:tab w:val="clear" w:pos="1440"/>
      </w:tabs>
      <w:ind w:left="765" w:hanging="765"/>
      <w:jc w:val="left"/>
    </w:pPr>
    <w:rPr>
      <w:rFonts w:eastAsia="Times New Roman"/>
      <w:color w:val="000000"/>
    </w:rPr>
  </w:style>
  <w:style w:type="paragraph" w:customStyle="1" w:styleId="LGListBullet2">
    <w:name w:val="LG List Bullet2"/>
    <w:basedOn w:val="Normal"/>
    <w:qFormat/>
    <w:rsid w:val="00FA507E"/>
    <w:pPr>
      <w:widowControl/>
      <w:numPr>
        <w:ilvl w:val="2"/>
        <w:numId w:val="32"/>
      </w:numPr>
      <w:tabs>
        <w:tab w:val="clear" w:pos="2160"/>
      </w:tabs>
      <w:ind w:left="765" w:hanging="765"/>
      <w:jc w:val="left"/>
    </w:pPr>
    <w:rPr>
      <w:rFonts w:eastAsia="Times New Roman"/>
      <w:color w:val="000000"/>
    </w:rPr>
  </w:style>
  <w:style w:type="paragraph" w:customStyle="1" w:styleId="LGListNumber">
    <w:name w:val="LG List Number"/>
    <w:basedOn w:val="ListNumber"/>
    <w:autoRedefine/>
    <w:qFormat/>
    <w:rsid w:val="00FA507E"/>
    <w:pPr>
      <w:numPr>
        <w:numId w:val="34"/>
      </w:numPr>
      <w:tabs>
        <w:tab w:val="clear" w:pos="720"/>
        <w:tab w:val="num" w:pos="360"/>
      </w:tabs>
      <w:ind w:left="360" w:hanging="360"/>
      <w:contextualSpacing w:val="0"/>
    </w:pPr>
    <w:rPr>
      <w:rFonts w:eastAsia="Times New Roman"/>
    </w:rPr>
  </w:style>
  <w:style w:type="paragraph" w:styleId="ListNumber">
    <w:name w:val="List Number"/>
    <w:basedOn w:val="Normal"/>
    <w:uiPriority w:val="99"/>
    <w:semiHidden/>
    <w:unhideWhenUsed/>
    <w:rsid w:val="00FA507E"/>
    <w:pPr>
      <w:widowControl/>
      <w:numPr>
        <w:numId w:val="33"/>
      </w:numPr>
      <w:tabs>
        <w:tab w:val="clear" w:pos="360"/>
      </w:tabs>
      <w:ind w:left="720"/>
      <w:contextualSpacing/>
      <w:jc w:val="left"/>
    </w:pPr>
    <w:rPr>
      <w:color w:val="000000"/>
    </w:rPr>
  </w:style>
  <w:style w:type="paragraph" w:customStyle="1" w:styleId="LGListNumber1">
    <w:name w:val="LG List Number1"/>
    <w:basedOn w:val="Normal"/>
    <w:qFormat/>
    <w:rsid w:val="00FA507E"/>
    <w:pPr>
      <w:widowControl/>
      <w:numPr>
        <w:ilvl w:val="1"/>
        <w:numId w:val="34"/>
      </w:numPr>
      <w:tabs>
        <w:tab w:val="clear" w:pos="1440"/>
        <w:tab w:val="num" w:pos="360"/>
      </w:tabs>
      <w:ind w:left="360" w:hanging="360"/>
      <w:jc w:val="left"/>
    </w:pPr>
    <w:rPr>
      <w:rFonts w:eastAsia="Times New Roman"/>
      <w:color w:val="000000"/>
    </w:rPr>
  </w:style>
  <w:style w:type="paragraph" w:customStyle="1" w:styleId="LGListNumber2">
    <w:name w:val="LG List Number2"/>
    <w:basedOn w:val="Normal"/>
    <w:qFormat/>
    <w:rsid w:val="00FA507E"/>
    <w:pPr>
      <w:widowControl/>
      <w:numPr>
        <w:ilvl w:val="2"/>
        <w:numId w:val="34"/>
      </w:numPr>
      <w:tabs>
        <w:tab w:val="clear" w:pos="2160"/>
        <w:tab w:val="num" w:pos="360"/>
      </w:tabs>
      <w:ind w:left="360" w:hanging="360"/>
      <w:jc w:val="left"/>
    </w:pPr>
    <w:rPr>
      <w:rFonts w:eastAsia="Times New Roman"/>
      <w:color w:val="000000"/>
    </w:rPr>
  </w:style>
  <w:style w:type="paragraph" w:customStyle="1" w:styleId="LGPleading">
    <w:name w:val="LG Pleading"/>
    <w:basedOn w:val="Normal"/>
    <w:next w:val="LGBodyTextDD"/>
    <w:qFormat/>
    <w:rsid w:val="00FA507E"/>
    <w:pPr>
      <w:widowControl/>
      <w:tabs>
        <w:tab w:val="left" w:pos="4680"/>
      </w:tabs>
      <w:spacing w:after="360"/>
      <w:jc w:val="left"/>
    </w:pPr>
    <w:rPr>
      <w:rFonts w:ascii="Times New Roman Bold" w:eastAsia="Times New Roman" w:hAnsi="Times New Roman Bold"/>
      <w:caps/>
      <w:color w:val="000000"/>
      <w:szCs w:val="20"/>
    </w:rPr>
  </w:style>
  <w:style w:type="paragraph" w:customStyle="1" w:styleId="LGPleadingsIndex">
    <w:name w:val="LG Pleadings Index"/>
    <w:basedOn w:val="Normal"/>
    <w:qFormat/>
    <w:rsid w:val="00FA507E"/>
    <w:pPr>
      <w:tabs>
        <w:tab w:val="left" w:pos="720"/>
        <w:tab w:val="left" w:pos="1440"/>
        <w:tab w:val="left" w:pos="2160"/>
        <w:tab w:val="left" w:pos="2880"/>
      </w:tabs>
      <w:ind w:left="2880" w:hanging="2880"/>
    </w:pPr>
    <w:rPr>
      <w:rFonts w:eastAsia="Times New Roman"/>
      <w:snapToGrid w:val="0"/>
      <w:color w:val="000000"/>
      <w:szCs w:val="20"/>
    </w:rPr>
  </w:style>
  <w:style w:type="paragraph" w:customStyle="1" w:styleId="PUCFootnote">
    <w:name w:val="PUC Footnote"/>
    <w:basedOn w:val="Normal"/>
    <w:next w:val="Normal"/>
    <w:qFormat/>
    <w:rsid w:val="00FA507E"/>
    <w:pPr>
      <w:tabs>
        <w:tab w:val="left" w:pos="1080"/>
      </w:tabs>
      <w:spacing w:after="120" w:line="240" w:lineRule="exact"/>
      <w:ind w:firstLine="720"/>
    </w:pPr>
    <w:rPr>
      <w:rFonts w:eastAsia="Times New Roman"/>
      <w:color w:val="000000"/>
      <w:sz w:val="20"/>
      <w:szCs w:val="20"/>
    </w:rPr>
  </w:style>
  <w:style w:type="paragraph" w:customStyle="1" w:styleId="LGPUCFootnote">
    <w:name w:val="LG PUC Footnote"/>
    <w:basedOn w:val="PUCFootnote"/>
    <w:qFormat/>
    <w:rsid w:val="00FA507E"/>
  </w:style>
  <w:style w:type="paragraph" w:customStyle="1" w:styleId="LGQuestion">
    <w:name w:val="LG Question"/>
    <w:basedOn w:val="Normal"/>
    <w:next w:val="LGAnswer"/>
    <w:qFormat/>
    <w:rsid w:val="00FA507E"/>
    <w:pPr>
      <w:widowControl/>
      <w:spacing w:after="240" w:line="480" w:lineRule="auto"/>
      <w:jc w:val="left"/>
    </w:pPr>
    <w:rPr>
      <w:rFonts w:eastAsia="Times New Roman"/>
      <w:b/>
      <w:color w:val="000000"/>
    </w:rPr>
  </w:style>
  <w:style w:type="paragraph" w:customStyle="1" w:styleId="LGSignature">
    <w:name w:val="LG Signature"/>
    <w:basedOn w:val="Signature"/>
    <w:next w:val="LGBodyTextSS"/>
    <w:qFormat/>
    <w:rsid w:val="00FA507E"/>
    <w:pPr>
      <w:jc w:val="both"/>
    </w:pPr>
    <w:rPr>
      <w:rFonts w:eastAsia="Times New Roman"/>
      <w:szCs w:val="20"/>
    </w:rPr>
  </w:style>
  <w:style w:type="paragraph" w:styleId="Signature">
    <w:name w:val="Signature"/>
    <w:basedOn w:val="Normal"/>
    <w:link w:val="SignatureChar"/>
    <w:uiPriority w:val="99"/>
    <w:semiHidden/>
    <w:unhideWhenUsed/>
    <w:rsid w:val="00FA507E"/>
    <w:pPr>
      <w:widowControl/>
      <w:ind w:left="4320"/>
      <w:jc w:val="left"/>
    </w:pPr>
    <w:rPr>
      <w:color w:val="000000"/>
    </w:rPr>
  </w:style>
  <w:style w:type="character" w:customStyle="1" w:styleId="SignatureChar">
    <w:name w:val="Signature Char"/>
    <w:link w:val="Signature"/>
    <w:uiPriority w:val="99"/>
    <w:semiHidden/>
    <w:rsid w:val="00FA507E"/>
    <w:rPr>
      <w:rFonts w:ascii="Times New Roman" w:hAnsi="Times New Roman"/>
      <w:color w:val="000000"/>
      <w:sz w:val="24"/>
      <w:szCs w:val="24"/>
    </w:rPr>
  </w:style>
  <w:style w:type="paragraph" w:customStyle="1" w:styleId="LGSubtitle">
    <w:name w:val="LG Subtitle"/>
    <w:basedOn w:val="Subtitle"/>
    <w:next w:val="BodyText"/>
    <w:qFormat/>
    <w:rsid w:val="00FA507E"/>
    <w:pPr>
      <w:numPr>
        <w:ilvl w:val="0"/>
      </w:numPr>
      <w:spacing w:after="240"/>
    </w:pPr>
    <w:rPr>
      <w:rFonts w:ascii="Times New Roman Bold" w:hAnsi="Times New Roman Bold"/>
      <w:b/>
      <w:i w:val="0"/>
      <w:iCs w:val="0"/>
      <w:color w:val="000000"/>
      <w:spacing w:val="0"/>
      <w:szCs w:val="20"/>
      <w:u w:val="single"/>
    </w:rPr>
  </w:style>
  <w:style w:type="paragraph" w:styleId="Subtitle">
    <w:name w:val="Subtitle"/>
    <w:basedOn w:val="Normal"/>
    <w:next w:val="Normal"/>
    <w:link w:val="SubtitleChar"/>
    <w:uiPriority w:val="11"/>
    <w:rsid w:val="00FA507E"/>
    <w:pPr>
      <w:widowControl/>
      <w:numPr>
        <w:ilvl w:val="1"/>
      </w:numPr>
      <w:jc w:val="left"/>
    </w:pPr>
    <w:rPr>
      <w:rFonts w:ascii="Cambria" w:eastAsia="Times New Roman" w:hAnsi="Cambria"/>
      <w:i/>
      <w:iCs/>
      <w:color w:val="4F81BD"/>
      <w:spacing w:val="15"/>
    </w:rPr>
  </w:style>
  <w:style w:type="character" w:customStyle="1" w:styleId="SubtitleChar">
    <w:name w:val="Subtitle Char"/>
    <w:link w:val="Subtitle"/>
    <w:uiPriority w:val="11"/>
    <w:rsid w:val="00FA507E"/>
    <w:rPr>
      <w:rFonts w:ascii="Cambria" w:eastAsia="Times New Roman" w:hAnsi="Cambria"/>
      <w:i/>
      <w:iCs/>
      <w:color w:val="4F81BD"/>
      <w:spacing w:val="15"/>
      <w:sz w:val="24"/>
      <w:szCs w:val="24"/>
    </w:rPr>
  </w:style>
  <w:style w:type="paragraph" w:customStyle="1" w:styleId="LGTitle">
    <w:name w:val="LG Title"/>
    <w:basedOn w:val="Title"/>
    <w:next w:val="BodyText"/>
    <w:qFormat/>
    <w:rsid w:val="00FA507E"/>
    <w:pPr>
      <w:pBdr>
        <w:bottom w:val="none" w:sz="0" w:space="0" w:color="auto"/>
      </w:pBdr>
      <w:spacing w:after="360"/>
      <w:contextualSpacing w:val="0"/>
      <w:jc w:val="center"/>
      <w:outlineLvl w:val="0"/>
    </w:pPr>
    <w:rPr>
      <w:rFonts w:ascii="Times New Roman" w:hAnsi="Times New Roman"/>
      <w:b/>
      <w:caps/>
      <w:color w:val="000000"/>
      <w:spacing w:val="0"/>
      <w:kern w:val="0"/>
      <w:sz w:val="24"/>
      <w:szCs w:val="20"/>
    </w:rPr>
  </w:style>
  <w:style w:type="paragraph" w:styleId="Title">
    <w:name w:val="Title"/>
    <w:basedOn w:val="Normal"/>
    <w:next w:val="BodyText"/>
    <w:link w:val="TitleChar"/>
    <w:uiPriority w:val="10"/>
    <w:rsid w:val="00FA507E"/>
    <w:pPr>
      <w:widowControl/>
      <w:pBdr>
        <w:bottom w:val="single" w:sz="8" w:space="4" w:color="4F81BD"/>
      </w:pBdr>
      <w:spacing w:after="300"/>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10"/>
    <w:rsid w:val="00FA507E"/>
    <w:rPr>
      <w:rFonts w:ascii="Cambria" w:eastAsia="Times New Roman" w:hAnsi="Cambria"/>
      <w:color w:val="17365D"/>
      <w:spacing w:val="5"/>
      <w:kern w:val="28"/>
      <w:sz w:val="52"/>
      <w:szCs w:val="52"/>
    </w:rPr>
  </w:style>
  <w:style w:type="paragraph" w:customStyle="1" w:styleId="LGFiledisk0">
    <w:name w:val="LGFiledisk"/>
    <w:basedOn w:val="Normal"/>
    <w:qFormat/>
    <w:rsid w:val="00FA507E"/>
    <w:pPr>
      <w:widowControl/>
      <w:tabs>
        <w:tab w:val="left" w:pos="720"/>
        <w:tab w:val="left" w:pos="1440"/>
        <w:tab w:val="left" w:pos="2160"/>
        <w:tab w:val="left" w:pos="2880"/>
        <w:tab w:val="left" w:pos="3600"/>
        <w:tab w:val="left" w:pos="4320"/>
        <w:tab w:val="left" w:pos="5040"/>
        <w:tab w:val="left" w:pos="5760"/>
        <w:tab w:val="left" w:pos="6480"/>
      </w:tabs>
    </w:pPr>
    <w:rPr>
      <w:rFonts w:eastAsia="Times New Roman"/>
      <w:color w:val="000000"/>
      <w:szCs w:val="20"/>
    </w:rPr>
  </w:style>
  <w:style w:type="paragraph" w:customStyle="1" w:styleId="LGPleadingsIndex0">
    <w:name w:val="LG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PleadingsIndex">
    <w:name w:val="Pleadings Index"/>
    <w:basedOn w:val="Normal"/>
    <w:qFormat/>
    <w:rsid w:val="00FA507E"/>
    <w:pPr>
      <w:widowControl/>
      <w:tabs>
        <w:tab w:val="left" w:pos="720"/>
        <w:tab w:val="left" w:pos="1440"/>
        <w:tab w:val="left" w:pos="2160"/>
        <w:tab w:val="left" w:pos="2880"/>
      </w:tabs>
      <w:ind w:left="2880" w:hanging="2880"/>
    </w:pPr>
    <w:rPr>
      <w:rFonts w:eastAsia="Times New Roman"/>
      <w:color w:val="000000"/>
    </w:rPr>
  </w:style>
  <w:style w:type="paragraph" w:customStyle="1" w:styleId="RFI">
    <w:name w:val="RFI"/>
    <w:basedOn w:val="Normal"/>
    <w:rsid w:val="00FA507E"/>
    <w:pPr>
      <w:widowControl/>
      <w:numPr>
        <w:numId w:val="35"/>
      </w:numPr>
      <w:jc w:val="left"/>
    </w:pPr>
    <w:rPr>
      <w:color w:val="000000"/>
    </w:rPr>
  </w:style>
  <w:style w:type="character" w:customStyle="1" w:styleId="DocID">
    <w:name w:val="DocID"/>
    <w:rsid w:val="00FA507E"/>
    <w:rPr>
      <w:rFonts w:ascii="Times New Roman" w:hAnsi="Times New Roman" w:cs="Times New Roman"/>
      <w:b w:val="0"/>
      <w:i w:val="0"/>
      <w:vanish w:val="0"/>
      <w:color w:val="000000"/>
      <w:spacing w:val="-2"/>
      <w:sz w:val="18"/>
      <w:u w:val="none"/>
    </w:rPr>
  </w:style>
  <w:style w:type="table" w:customStyle="1" w:styleId="PlainTable22">
    <w:name w:val="Plain Table 22"/>
    <w:basedOn w:val="TableNormal"/>
    <w:uiPriority w:val="42"/>
    <w:rsid w:val="004555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2">
    <w:name w:val="Grid Table 1 Light2"/>
    <w:basedOn w:val="TableNormal"/>
    <w:uiPriority w:val="46"/>
    <w:rsid w:val="0045556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SCQuestion">
    <w:name w:val="PSC Question"/>
    <w:basedOn w:val="BodyText"/>
    <w:link w:val="PSCQuestionChar"/>
    <w:qFormat/>
    <w:rsid w:val="00E426DB"/>
    <w:pPr>
      <w:keepNext/>
      <w:keepLines/>
      <w:widowControl/>
      <w:spacing w:after="240" w:line="360" w:lineRule="auto"/>
      <w:ind w:left="720" w:hanging="720"/>
    </w:pPr>
    <w:rPr>
      <w:rFonts w:ascii="Times New Roman Bold" w:eastAsia="MS Mincho" w:hAnsi="Times New Roman Bold"/>
      <w:b/>
      <w:caps/>
    </w:rPr>
  </w:style>
  <w:style w:type="character" w:customStyle="1" w:styleId="PSCQuestionChar">
    <w:name w:val="PSC Question Char"/>
    <w:link w:val="PSCQuestion"/>
    <w:rsid w:val="00E426DB"/>
    <w:rPr>
      <w:rFonts w:ascii="Times New Roman Bold" w:eastAsia="MS Mincho" w:hAnsi="Times New Roman Bold"/>
      <w:b/>
      <w:caps/>
      <w:sz w:val="24"/>
      <w:szCs w:val="24"/>
    </w:rPr>
  </w:style>
  <w:style w:type="paragraph" w:customStyle="1" w:styleId="PSCAnswer">
    <w:name w:val="PSC Answer"/>
    <w:basedOn w:val="Normal"/>
    <w:link w:val="PSCAnswerChar"/>
    <w:autoRedefine/>
    <w:qFormat/>
    <w:rsid w:val="00E426DB"/>
    <w:pPr>
      <w:widowControl/>
      <w:spacing w:after="200" w:line="360" w:lineRule="auto"/>
      <w:ind w:left="720" w:hanging="720"/>
    </w:pPr>
    <w:rPr>
      <w:rFonts w:eastAsia="MS Mincho"/>
    </w:rPr>
  </w:style>
  <w:style w:type="character" w:customStyle="1" w:styleId="PSCAnswerChar">
    <w:name w:val="PSC Answer Char"/>
    <w:link w:val="PSCAnswer"/>
    <w:rsid w:val="00E426DB"/>
    <w:rPr>
      <w:rFonts w:ascii="Times New Roman" w:eastAsia="MS Mincho" w:hAnsi="Times New Roman"/>
      <w:sz w:val="24"/>
      <w:szCs w:val="24"/>
    </w:rPr>
  </w:style>
  <w:style w:type="character" w:customStyle="1" w:styleId="UnresolvedMention1">
    <w:name w:val="Unresolved Mention1"/>
    <w:uiPriority w:val="99"/>
    <w:semiHidden/>
    <w:unhideWhenUsed/>
    <w:rsid w:val="000C5FF9"/>
    <w:rPr>
      <w:color w:val="605E5C"/>
      <w:shd w:val="clear" w:color="auto" w:fill="E1DFDD"/>
    </w:rPr>
  </w:style>
  <w:style w:type="character" w:customStyle="1" w:styleId="UnresolvedMention">
    <w:name w:val="Unresolved Mention"/>
    <w:uiPriority w:val="99"/>
    <w:semiHidden/>
    <w:unhideWhenUsed/>
    <w:rsid w:val="006D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41">
      <w:bodyDiv w:val="1"/>
      <w:marLeft w:val="0"/>
      <w:marRight w:val="0"/>
      <w:marTop w:val="0"/>
      <w:marBottom w:val="0"/>
      <w:divBdr>
        <w:top w:val="none" w:sz="0" w:space="0" w:color="auto"/>
        <w:left w:val="none" w:sz="0" w:space="0" w:color="auto"/>
        <w:bottom w:val="none" w:sz="0" w:space="0" w:color="auto"/>
        <w:right w:val="none" w:sz="0" w:space="0" w:color="auto"/>
      </w:divBdr>
    </w:div>
    <w:div w:id="21367273">
      <w:bodyDiv w:val="1"/>
      <w:marLeft w:val="0"/>
      <w:marRight w:val="0"/>
      <w:marTop w:val="0"/>
      <w:marBottom w:val="0"/>
      <w:divBdr>
        <w:top w:val="none" w:sz="0" w:space="0" w:color="auto"/>
        <w:left w:val="none" w:sz="0" w:space="0" w:color="auto"/>
        <w:bottom w:val="none" w:sz="0" w:space="0" w:color="auto"/>
        <w:right w:val="none" w:sz="0" w:space="0" w:color="auto"/>
      </w:divBdr>
    </w:div>
    <w:div w:id="217671292">
      <w:bodyDiv w:val="1"/>
      <w:marLeft w:val="0"/>
      <w:marRight w:val="0"/>
      <w:marTop w:val="0"/>
      <w:marBottom w:val="0"/>
      <w:divBdr>
        <w:top w:val="none" w:sz="0" w:space="0" w:color="auto"/>
        <w:left w:val="none" w:sz="0" w:space="0" w:color="auto"/>
        <w:bottom w:val="none" w:sz="0" w:space="0" w:color="auto"/>
        <w:right w:val="none" w:sz="0" w:space="0" w:color="auto"/>
      </w:divBdr>
    </w:div>
    <w:div w:id="239681464">
      <w:bodyDiv w:val="1"/>
      <w:marLeft w:val="0"/>
      <w:marRight w:val="0"/>
      <w:marTop w:val="0"/>
      <w:marBottom w:val="0"/>
      <w:divBdr>
        <w:top w:val="none" w:sz="0" w:space="0" w:color="auto"/>
        <w:left w:val="none" w:sz="0" w:space="0" w:color="auto"/>
        <w:bottom w:val="none" w:sz="0" w:space="0" w:color="auto"/>
        <w:right w:val="none" w:sz="0" w:space="0" w:color="auto"/>
      </w:divBdr>
    </w:div>
    <w:div w:id="291905529">
      <w:bodyDiv w:val="1"/>
      <w:marLeft w:val="0"/>
      <w:marRight w:val="0"/>
      <w:marTop w:val="0"/>
      <w:marBottom w:val="0"/>
      <w:divBdr>
        <w:top w:val="none" w:sz="0" w:space="0" w:color="auto"/>
        <w:left w:val="none" w:sz="0" w:space="0" w:color="auto"/>
        <w:bottom w:val="none" w:sz="0" w:space="0" w:color="auto"/>
        <w:right w:val="none" w:sz="0" w:space="0" w:color="auto"/>
      </w:divBdr>
    </w:div>
    <w:div w:id="333145352">
      <w:bodyDiv w:val="1"/>
      <w:marLeft w:val="0"/>
      <w:marRight w:val="0"/>
      <w:marTop w:val="0"/>
      <w:marBottom w:val="0"/>
      <w:divBdr>
        <w:top w:val="none" w:sz="0" w:space="0" w:color="auto"/>
        <w:left w:val="none" w:sz="0" w:space="0" w:color="auto"/>
        <w:bottom w:val="none" w:sz="0" w:space="0" w:color="auto"/>
        <w:right w:val="none" w:sz="0" w:space="0" w:color="auto"/>
      </w:divBdr>
    </w:div>
    <w:div w:id="341785395">
      <w:bodyDiv w:val="1"/>
      <w:marLeft w:val="0"/>
      <w:marRight w:val="0"/>
      <w:marTop w:val="0"/>
      <w:marBottom w:val="0"/>
      <w:divBdr>
        <w:top w:val="none" w:sz="0" w:space="0" w:color="auto"/>
        <w:left w:val="none" w:sz="0" w:space="0" w:color="auto"/>
        <w:bottom w:val="none" w:sz="0" w:space="0" w:color="auto"/>
        <w:right w:val="none" w:sz="0" w:space="0" w:color="auto"/>
      </w:divBdr>
    </w:div>
    <w:div w:id="400105793">
      <w:bodyDiv w:val="1"/>
      <w:marLeft w:val="0"/>
      <w:marRight w:val="0"/>
      <w:marTop w:val="0"/>
      <w:marBottom w:val="0"/>
      <w:divBdr>
        <w:top w:val="none" w:sz="0" w:space="0" w:color="auto"/>
        <w:left w:val="none" w:sz="0" w:space="0" w:color="auto"/>
        <w:bottom w:val="none" w:sz="0" w:space="0" w:color="auto"/>
        <w:right w:val="none" w:sz="0" w:space="0" w:color="auto"/>
      </w:divBdr>
    </w:div>
    <w:div w:id="436874228">
      <w:bodyDiv w:val="1"/>
      <w:marLeft w:val="0"/>
      <w:marRight w:val="0"/>
      <w:marTop w:val="0"/>
      <w:marBottom w:val="0"/>
      <w:divBdr>
        <w:top w:val="none" w:sz="0" w:space="0" w:color="auto"/>
        <w:left w:val="none" w:sz="0" w:space="0" w:color="auto"/>
        <w:bottom w:val="none" w:sz="0" w:space="0" w:color="auto"/>
        <w:right w:val="none" w:sz="0" w:space="0" w:color="auto"/>
      </w:divBdr>
    </w:div>
    <w:div w:id="565259274">
      <w:bodyDiv w:val="1"/>
      <w:marLeft w:val="0"/>
      <w:marRight w:val="0"/>
      <w:marTop w:val="0"/>
      <w:marBottom w:val="0"/>
      <w:divBdr>
        <w:top w:val="none" w:sz="0" w:space="0" w:color="auto"/>
        <w:left w:val="none" w:sz="0" w:space="0" w:color="auto"/>
        <w:bottom w:val="none" w:sz="0" w:space="0" w:color="auto"/>
        <w:right w:val="none" w:sz="0" w:space="0" w:color="auto"/>
      </w:divBdr>
    </w:div>
    <w:div w:id="664864633">
      <w:bodyDiv w:val="1"/>
      <w:marLeft w:val="0"/>
      <w:marRight w:val="0"/>
      <w:marTop w:val="0"/>
      <w:marBottom w:val="0"/>
      <w:divBdr>
        <w:top w:val="none" w:sz="0" w:space="0" w:color="auto"/>
        <w:left w:val="none" w:sz="0" w:space="0" w:color="auto"/>
        <w:bottom w:val="none" w:sz="0" w:space="0" w:color="auto"/>
        <w:right w:val="none" w:sz="0" w:space="0" w:color="auto"/>
      </w:divBdr>
    </w:div>
    <w:div w:id="695039314">
      <w:bodyDiv w:val="1"/>
      <w:marLeft w:val="0"/>
      <w:marRight w:val="0"/>
      <w:marTop w:val="0"/>
      <w:marBottom w:val="0"/>
      <w:divBdr>
        <w:top w:val="none" w:sz="0" w:space="0" w:color="auto"/>
        <w:left w:val="none" w:sz="0" w:space="0" w:color="auto"/>
        <w:bottom w:val="none" w:sz="0" w:space="0" w:color="auto"/>
        <w:right w:val="none" w:sz="0" w:space="0" w:color="auto"/>
      </w:divBdr>
    </w:div>
    <w:div w:id="702174594">
      <w:bodyDiv w:val="1"/>
      <w:marLeft w:val="0"/>
      <w:marRight w:val="0"/>
      <w:marTop w:val="0"/>
      <w:marBottom w:val="0"/>
      <w:divBdr>
        <w:top w:val="none" w:sz="0" w:space="0" w:color="auto"/>
        <w:left w:val="none" w:sz="0" w:space="0" w:color="auto"/>
        <w:bottom w:val="none" w:sz="0" w:space="0" w:color="auto"/>
        <w:right w:val="none" w:sz="0" w:space="0" w:color="auto"/>
      </w:divBdr>
    </w:div>
    <w:div w:id="716394746">
      <w:bodyDiv w:val="1"/>
      <w:marLeft w:val="0"/>
      <w:marRight w:val="0"/>
      <w:marTop w:val="0"/>
      <w:marBottom w:val="0"/>
      <w:divBdr>
        <w:top w:val="none" w:sz="0" w:space="0" w:color="auto"/>
        <w:left w:val="none" w:sz="0" w:space="0" w:color="auto"/>
        <w:bottom w:val="none" w:sz="0" w:space="0" w:color="auto"/>
        <w:right w:val="none" w:sz="0" w:space="0" w:color="auto"/>
      </w:divBdr>
    </w:div>
    <w:div w:id="852038218">
      <w:bodyDiv w:val="1"/>
      <w:marLeft w:val="0"/>
      <w:marRight w:val="0"/>
      <w:marTop w:val="0"/>
      <w:marBottom w:val="0"/>
      <w:divBdr>
        <w:top w:val="none" w:sz="0" w:space="0" w:color="auto"/>
        <w:left w:val="none" w:sz="0" w:space="0" w:color="auto"/>
        <w:bottom w:val="none" w:sz="0" w:space="0" w:color="auto"/>
        <w:right w:val="none" w:sz="0" w:space="0" w:color="auto"/>
      </w:divBdr>
    </w:div>
    <w:div w:id="912744161">
      <w:bodyDiv w:val="1"/>
      <w:marLeft w:val="0"/>
      <w:marRight w:val="0"/>
      <w:marTop w:val="0"/>
      <w:marBottom w:val="0"/>
      <w:divBdr>
        <w:top w:val="none" w:sz="0" w:space="0" w:color="auto"/>
        <w:left w:val="none" w:sz="0" w:space="0" w:color="auto"/>
        <w:bottom w:val="none" w:sz="0" w:space="0" w:color="auto"/>
        <w:right w:val="none" w:sz="0" w:space="0" w:color="auto"/>
      </w:divBdr>
    </w:div>
    <w:div w:id="922757481">
      <w:bodyDiv w:val="1"/>
      <w:marLeft w:val="0"/>
      <w:marRight w:val="0"/>
      <w:marTop w:val="0"/>
      <w:marBottom w:val="0"/>
      <w:divBdr>
        <w:top w:val="none" w:sz="0" w:space="0" w:color="auto"/>
        <w:left w:val="none" w:sz="0" w:space="0" w:color="auto"/>
        <w:bottom w:val="none" w:sz="0" w:space="0" w:color="auto"/>
        <w:right w:val="none" w:sz="0" w:space="0" w:color="auto"/>
      </w:divBdr>
    </w:div>
    <w:div w:id="1001083667">
      <w:bodyDiv w:val="1"/>
      <w:marLeft w:val="0"/>
      <w:marRight w:val="0"/>
      <w:marTop w:val="0"/>
      <w:marBottom w:val="0"/>
      <w:divBdr>
        <w:top w:val="none" w:sz="0" w:space="0" w:color="auto"/>
        <w:left w:val="none" w:sz="0" w:space="0" w:color="auto"/>
        <w:bottom w:val="none" w:sz="0" w:space="0" w:color="auto"/>
        <w:right w:val="none" w:sz="0" w:space="0" w:color="auto"/>
      </w:divBdr>
    </w:div>
    <w:div w:id="1012492605">
      <w:bodyDiv w:val="1"/>
      <w:marLeft w:val="0"/>
      <w:marRight w:val="0"/>
      <w:marTop w:val="0"/>
      <w:marBottom w:val="0"/>
      <w:divBdr>
        <w:top w:val="none" w:sz="0" w:space="0" w:color="auto"/>
        <w:left w:val="none" w:sz="0" w:space="0" w:color="auto"/>
        <w:bottom w:val="none" w:sz="0" w:space="0" w:color="auto"/>
        <w:right w:val="none" w:sz="0" w:space="0" w:color="auto"/>
      </w:divBdr>
    </w:div>
    <w:div w:id="1025595943">
      <w:bodyDiv w:val="1"/>
      <w:marLeft w:val="0"/>
      <w:marRight w:val="0"/>
      <w:marTop w:val="0"/>
      <w:marBottom w:val="0"/>
      <w:divBdr>
        <w:top w:val="none" w:sz="0" w:space="0" w:color="auto"/>
        <w:left w:val="none" w:sz="0" w:space="0" w:color="auto"/>
        <w:bottom w:val="none" w:sz="0" w:space="0" w:color="auto"/>
        <w:right w:val="none" w:sz="0" w:space="0" w:color="auto"/>
      </w:divBdr>
    </w:div>
    <w:div w:id="1059204532">
      <w:bodyDiv w:val="1"/>
      <w:marLeft w:val="0"/>
      <w:marRight w:val="0"/>
      <w:marTop w:val="0"/>
      <w:marBottom w:val="0"/>
      <w:divBdr>
        <w:top w:val="none" w:sz="0" w:space="0" w:color="auto"/>
        <w:left w:val="none" w:sz="0" w:space="0" w:color="auto"/>
        <w:bottom w:val="none" w:sz="0" w:space="0" w:color="auto"/>
        <w:right w:val="none" w:sz="0" w:space="0" w:color="auto"/>
      </w:divBdr>
    </w:div>
    <w:div w:id="1060176516">
      <w:bodyDiv w:val="1"/>
      <w:marLeft w:val="0"/>
      <w:marRight w:val="0"/>
      <w:marTop w:val="0"/>
      <w:marBottom w:val="0"/>
      <w:divBdr>
        <w:top w:val="none" w:sz="0" w:space="0" w:color="auto"/>
        <w:left w:val="none" w:sz="0" w:space="0" w:color="auto"/>
        <w:bottom w:val="none" w:sz="0" w:space="0" w:color="auto"/>
        <w:right w:val="none" w:sz="0" w:space="0" w:color="auto"/>
      </w:divBdr>
    </w:div>
    <w:div w:id="1067649649">
      <w:bodyDiv w:val="1"/>
      <w:marLeft w:val="0"/>
      <w:marRight w:val="0"/>
      <w:marTop w:val="0"/>
      <w:marBottom w:val="0"/>
      <w:divBdr>
        <w:top w:val="none" w:sz="0" w:space="0" w:color="auto"/>
        <w:left w:val="none" w:sz="0" w:space="0" w:color="auto"/>
        <w:bottom w:val="none" w:sz="0" w:space="0" w:color="auto"/>
        <w:right w:val="none" w:sz="0" w:space="0" w:color="auto"/>
      </w:divBdr>
    </w:div>
    <w:div w:id="1096101049">
      <w:bodyDiv w:val="1"/>
      <w:marLeft w:val="0"/>
      <w:marRight w:val="0"/>
      <w:marTop w:val="0"/>
      <w:marBottom w:val="0"/>
      <w:divBdr>
        <w:top w:val="none" w:sz="0" w:space="0" w:color="auto"/>
        <w:left w:val="none" w:sz="0" w:space="0" w:color="auto"/>
        <w:bottom w:val="none" w:sz="0" w:space="0" w:color="auto"/>
        <w:right w:val="none" w:sz="0" w:space="0" w:color="auto"/>
      </w:divBdr>
    </w:div>
    <w:div w:id="1247492865">
      <w:bodyDiv w:val="1"/>
      <w:marLeft w:val="0"/>
      <w:marRight w:val="0"/>
      <w:marTop w:val="0"/>
      <w:marBottom w:val="0"/>
      <w:divBdr>
        <w:top w:val="none" w:sz="0" w:space="0" w:color="auto"/>
        <w:left w:val="none" w:sz="0" w:space="0" w:color="auto"/>
        <w:bottom w:val="none" w:sz="0" w:space="0" w:color="auto"/>
        <w:right w:val="none" w:sz="0" w:space="0" w:color="auto"/>
      </w:divBdr>
    </w:div>
    <w:div w:id="1265185320">
      <w:bodyDiv w:val="1"/>
      <w:marLeft w:val="0"/>
      <w:marRight w:val="0"/>
      <w:marTop w:val="0"/>
      <w:marBottom w:val="0"/>
      <w:divBdr>
        <w:top w:val="none" w:sz="0" w:space="0" w:color="auto"/>
        <w:left w:val="none" w:sz="0" w:space="0" w:color="auto"/>
        <w:bottom w:val="none" w:sz="0" w:space="0" w:color="auto"/>
        <w:right w:val="none" w:sz="0" w:space="0" w:color="auto"/>
      </w:divBdr>
    </w:div>
    <w:div w:id="1275206504">
      <w:bodyDiv w:val="1"/>
      <w:marLeft w:val="0"/>
      <w:marRight w:val="0"/>
      <w:marTop w:val="0"/>
      <w:marBottom w:val="0"/>
      <w:divBdr>
        <w:top w:val="none" w:sz="0" w:space="0" w:color="auto"/>
        <w:left w:val="none" w:sz="0" w:space="0" w:color="auto"/>
        <w:bottom w:val="none" w:sz="0" w:space="0" w:color="auto"/>
        <w:right w:val="none" w:sz="0" w:space="0" w:color="auto"/>
      </w:divBdr>
    </w:div>
    <w:div w:id="1282106118">
      <w:bodyDiv w:val="1"/>
      <w:marLeft w:val="0"/>
      <w:marRight w:val="0"/>
      <w:marTop w:val="0"/>
      <w:marBottom w:val="0"/>
      <w:divBdr>
        <w:top w:val="none" w:sz="0" w:space="0" w:color="auto"/>
        <w:left w:val="none" w:sz="0" w:space="0" w:color="auto"/>
        <w:bottom w:val="none" w:sz="0" w:space="0" w:color="auto"/>
        <w:right w:val="none" w:sz="0" w:space="0" w:color="auto"/>
      </w:divBdr>
    </w:div>
    <w:div w:id="1294093051">
      <w:bodyDiv w:val="1"/>
      <w:marLeft w:val="0"/>
      <w:marRight w:val="0"/>
      <w:marTop w:val="0"/>
      <w:marBottom w:val="0"/>
      <w:divBdr>
        <w:top w:val="none" w:sz="0" w:space="0" w:color="auto"/>
        <w:left w:val="none" w:sz="0" w:space="0" w:color="auto"/>
        <w:bottom w:val="none" w:sz="0" w:space="0" w:color="auto"/>
        <w:right w:val="none" w:sz="0" w:space="0" w:color="auto"/>
      </w:divBdr>
    </w:div>
    <w:div w:id="1299139991">
      <w:bodyDiv w:val="1"/>
      <w:marLeft w:val="0"/>
      <w:marRight w:val="0"/>
      <w:marTop w:val="0"/>
      <w:marBottom w:val="0"/>
      <w:divBdr>
        <w:top w:val="none" w:sz="0" w:space="0" w:color="auto"/>
        <w:left w:val="none" w:sz="0" w:space="0" w:color="auto"/>
        <w:bottom w:val="none" w:sz="0" w:space="0" w:color="auto"/>
        <w:right w:val="none" w:sz="0" w:space="0" w:color="auto"/>
      </w:divBdr>
    </w:div>
    <w:div w:id="1312516381">
      <w:bodyDiv w:val="1"/>
      <w:marLeft w:val="0"/>
      <w:marRight w:val="0"/>
      <w:marTop w:val="0"/>
      <w:marBottom w:val="0"/>
      <w:divBdr>
        <w:top w:val="none" w:sz="0" w:space="0" w:color="auto"/>
        <w:left w:val="none" w:sz="0" w:space="0" w:color="auto"/>
        <w:bottom w:val="none" w:sz="0" w:space="0" w:color="auto"/>
        <w:right w:val="none" w:sz="0" w:space="0" w:color="auto"/>
      </w:divBdr>
    </w:div>
    <w:div w:id="1364091587">
      <w:bodyDiv w:val="1"/>
      <w:marLeft w:val="0"/>
      <w:marRight w:val="0"/>
      <w:marTop w:val="0"/>
      <w:marBottom w:val="0"/>
      <w:divBdr>
        <w:top w:val="none" w:sz="0" w:space="0" w:color="auto"/>
        <w:left w:val="none" w:sz="0" w:space="0" w:color="auto"/>
        <w:bottom w:val="none" w:sz="0" w:space="0" w:color="auto"/>
        <w:right w:val="none" w:sz="0" w:space="0" w:color="auto"/>
      </w:divBdr>
    </w:div>
    <w:div w:id="1368410542">
      <w:bodyDiv w:val="1"/>
      <w:marLeft w:val="0"/>
      <w:marRight w:val="0"/>
      <w:marTop w:val="0"/>
      <w:marBottom w:val="0"/>
      <w:divBdr>
        <w:top w:val="none" w:sz="0" w:space="0" w:color="auto"/>
        <w:left w:val="none" w:sz="0" w:space="0" w:color="auto"/>
        <w:bottom w:val="none" w:sz="0" w:space="0" w:color="auto"/>
        <w:right w:val="none" w:sz="0" w:space="0" w:color="auto"/>
      </w:divBdr>
    </w:div>
    <w:div w:id="1376077690">
      <w:bodyDiv w:val="1"/>
      <w:marLeft w:val="0"/>
      <w:marRight w:val="0"/>
      <w:marTop w:val="0"/>
      <w:marBottom w:val="0"/>
      <w:divBdr>
        <w:top w:val="none" w:sz="0" w:space="0" w:color="auto"/>
        <w:left w:val="none" w:sz="0" w:space="0" w:color="auto"/>
        <w:bottom w:val="none" w:sz="0" w:space="0" w:color="auto"/>
        <w:right w:val="none" w:sz="0" w:space="0" w:color="auto"/>
      </w:divBdr>
    </w:div>
    <w:div w:id="1396665563">
      <w:bodyDiv w:val="1"/>
      <w:marLeft w:val="0"/>
      <w:marRight w:val="0"/>
      <w:marTop w:val="0"/>
      <w:marBottom w:val="0"/>
      <w:divBdr>
        <w:top w:val="none" w:sz="0" w:space="0" w:color="auto"/>
        <w:left w:val="none" w:sz="0" w:space="0" w:color="auto"/>
        <w:bottom w:val="none" w:sz="0" w:space="0" w:color="auto"/>
        <w:right w:val="none" w:sz="0" w:space="0" w:color="auto"/>
      </w:divBdr>
    </w:div>
    <w:div w:id="1418551709">
      <w:bodyDiv w:val="1"/>
      <w:marLeft w:val="0"/>
      <w:marRight w:val="0"/>
      <w:marTop w:val="0"/>
      <w:marBottom w:val="0"/>
      <w:divBdr>
        <w:top w:val="none" w:sz="0" w:space="0" w:color="auto"/>
        <w:left w:val="none" w:sz="0" w:space="0" w:color="auto"/>
        <w:bottom w:val="none" w:sz="0" w:space="0" w:color="auto"/>
        <w:right w:val="none" w:sz="0" w:space="0" w:color="auto"/>
      </w:divBdr>
    </w:div>
    <w:div w:id="1470320986">
      <w:bodyDiv w:val="1"/>
      <w:marLeft w:val="0"/>
      <w:marRight w:val="0"/>
      <w:marTop w:val="0"/>
      <w:marBottom w:val="0"/>
      <w:divBdr>
        <w:top w:val="none" w:sz="0" w:space="0" w:color="auto"/>
        <w:left w:val="none" w:sz="0" w:space="0" w:color="auto"/>
        <w:bottom w:val="none" w:sz="0" w:space="0" w:color="auto"/>
        <w:right w:val="none" w:sz="0" w:space="0" w:color="auto"/>
      </w:divBdr>
    </w:div>
    <w:div w:id="1497720073">
      <w:bodyDiv w:val="1"/>
      <w:marLeft w:val="0"/>
      <w:marRight w:val="0"/>
      <w:marTop w:val="0"/>
      <w:marBottom w:val="0"/>
      <w:divBdr>
        <w:top w:val="none" w:sz="0" w:space="0" w:color="auto"/>
        <w:left w:val="none" w:sz="0" w:space="0" w:color="auto"/>
        <w:bottom w:val="none" w:sz="0" w:space="0" w:color="auto"/>
        <w:right w:val="none" w:sz="0" w:space="0" w:color="auto"/>
      </w:divBdr>
    </w:div>
    <w:div w:id="1532692584">
      <w:bodyDiv w:val="1"/>
      <w:marLeft w:val="0"/>
      <w:marRight w:val="0"/>
      <w:marTop w:val="0"/>
      <w:marBottom w:val="0"/>
      <w:divBdr>
        <w:top w:val="none" w:sz="0" w:space="0" w:color="auto"/>
        <w:left w:val="none" w:sz="0" w:space="0" w:color="auto"/>
        <w:bottom w:val="none" w:sz="0" w:space="0" w:color="auto"/>
        <w:right w:val="none" w:sz="0" w:space="0" w:color="auto"/>
      </w:divBdr>
    </w:div>
    <w:div w:id="1569456378">
      <w:bodyDiv w:val="1"/>
      <w:marLeft w:val="0"/>
      <w:marRight w:val="0"/>
      <w:marTop w:val="0"/>
      <w:marBottom w:val="0"/>
      <w:divBdr>
        <w:top w:val="none" w:sz="0" w:space="0" w:color="auto"/>
        <w:left w:val="none" w:sz="0" w:space="0" w:color="auto"/>
        <w:bottom w:val="none" w:sz="0" w:space="0" w:color="auto"/>
        <w:right w:val="none" w:sz="0" w:space="0" w:color="auto"/>
      </w:divBdr>
    </w:div>
    <w:div w:id="1584754922">
      <w:bodyDiv w:val="1"/>
      <w:marLeft w:val="0"/>
      <w:marRight w:val="0"/>
      <w:marTop w:val="0"/>
      <w:marBottom w:val="0"/>
      <w:divBdr>
        <w:top w:val="none" w:sz="0" w:space="0" w:color="auto"/>
        <w:left w:val="none" w:sz="0" w:space="0" w:color="auto"/>
        <w:bottom w:val="none" w:sz="0" w:space="0" w:color="auto"/>
        <w:right w:val="none" w:sz="0" w:space="0" w:color="auto"/>
      </w:divBdr>
    </w:div>
    <w:div w:id="1599289640">
      <w:bodyDiv w:val="1"/>
      <w:marLeft w:val="0"/>
      <w:marRight w:val="0"/>
      <w:marTop w:val="0"/>
      <w:marBottom w:val="0"/>
      <w:divBdr>
        <w:top w:val="none" w:sz="0" w:space="0" w:color="auto"/>
        <w:left w:val="none" w:sz="0" w:space="0" w:color="auto"/>
        <w:bottom w:val="none" w:sz="0" w:space="0" w:color="auto"/>
        <w:right w:val="none" w:sz="0" w:space="0" w:color="auto"/>
      </w:divBdr>
    </w:div>
    <w:div w:id="160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08889">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1013343233">
          <w:marLeft w:val="0"/>
          <w:marRight w:val="0"/>
          <w:marTop w:val="0"/>
          <w:marBottom w:val="0"/>
          <w:divBdr>
            <w:top w:val="none" w:sz="0" w:space="0" w:color="auto"/>
            <w:left w:val="none" w:sz="0" w:space="0" w:color="auto"/>
            <w:bottom w:val="none" w:sz="0" w:space="0" w:color="auto"/>
            <w:right w:val="none" w:sz="0" w:space="0" w:color="auto"/>
          </w:divBdr>
        </w:div>
        <w:div w:id="1948002359">
          <w:marLeft w:val="0"/>
          <w:marRight w:val="0"/>
          <w:marTop w:val="0"/>
          <w:marBottom w:val="0"/>
          <w:divBdr>
            <w:top w:val="none" w:sz="0" w:space="0" w:color="auto"/>
            <w:left w:val="none" w:sz="0" w:space="0" w:color="auto"/>
            <w:bottom w:val="none" w:sz="0" w:space="0" w:color="auto"/>
            <w:right w:val="none" w:sz="0" w:space="0" w:color="auto"/>
          </w:divBdr>
        </w:div>
        <w:div w:id="2118063315">
          <w:marLeft w:val="0"/>
          <w:marRight w:val="0"/>
          <w:marTop w:val="0"/>
          <w:marBottom w:val="0"/>
          <w:divBdr>
            <w:top w:val="none" w:sz="0" w:space="0" w:color="auto"/>
            <w:left w:val="none" w:sz="0" w:space="0" w:color="auto"/>
            <w:bottom w:val="none" w:sz="0" w:space="0" w:color="auto"/>
            <w:right w:val="none" w:sz="0" w:space="0" w:color="auto"/>
          </w:divBdr>
        </w:div>
      </w:divsChild>
    </w:div>
    <w:div w:id="1679694105">
      <w:bodyDiv w:val="1"/>
      <w:marLeft w:val="0"/>
      <w:marRight w:val="0"/>
      <w:marTop w:val="0"/>
      <w:marBottom w:val="0"/>
      <w:divBdr>
        <w:top w:val="none" w:sz="0" w:space="0" w:color="auto"/>
        <w:left w:val="none" w:sz="0" w:space="0" w:color="auto"/>
        <w:bottom w:val="none" w:sz="0" w:space="0" w:color="auto"/>
        <w:right w:val="none" w:sz="0" w:space="0" w:color="auto"/>
      </w:divBdr>
    </w:div>
    <w:div w:id="1770930721">
      <w:bodyDiv w:val="1"/>
      <w:marLeft w:val="0"/>
      <w:marRight w:val="0"/>
      <w:marTop w:val="0"/>
      <w:marBottom w:val="0"/>
      <w:divBdr>
        <w:top w:val="none" w:sz="0" w:space="0" w:color="auto"/>
        <w:left w:val="none" w:sz="0" w:space="0" w:color="auto"/>
        <w:bottom w:val="none" w:sz="0" w:space="0" w:color="auto"/>
        <w:right w:val="none" w:sz="0" w:space="0" w:color="auto"/>
      </w:divBdr>
      <w:divsChild>
        <w:div w:id="59645053">
          <w:marLeft w:val="0"/>
          <w:marRight w:val="0"/>
          <w:marTop w:val="0"/>
          <w:marBottom w:val="0"/>
          <w:divBdr>
            <w:top w:val="none" w:sz="0" w:space="0" w:color="auto"/>
            <w:left w:val="none" w:sz="0" w:space="0" w:color="auto"/>
            <w:bottom w:val="none" w:sz="0" w:space="0" w:color="auto"/>
            <w:right w:val="none" w:sz="0" w:space="0" w:color="auto"/>
          </w:divBdr>
        </w:div>
        <w:div w:id="639961654">
          <w:marLeft w:val="0"/>
          <w:marRight w:val="0"/>
          <w:marTop w:val="0"/>
          <w:marBottom w:val="0"/>
          <w:divBdr>
            <w:top w:val="none" w:sz="0" w:space="0" w:color="auto"/>
            <w:left w:val="none" w:sz="0" w:space="0" w:color="auto"/>
            <w:bottom w:val="none" w:sz="0" w:space="0" w:color="auto"/>
            <w:right w:val="none" w:sz="0" w:space="0" w:color="auto"/>
          </w:divBdr>
        </w:div>
        <w:div w:id="1191142374">
          <w:marLeft w:val="0"/>
          <w:marRight w:val="0"/>
          <w:marTop w:val="0"/>
          <w:marBottom w:val="0"/>
          <w:divBdr>
            <w:top w:val="none" w:sz="0" w:space="0" w:color="auto"/>
            <w:left w:val="none" w:sz="0" w:space="0" w:color="auto"/>
            <w:bottom w:val="none" w:sz="0" w:space="0" w:color="auto"/>
            <w:right w:val="none" w:sz="0" w:space="0" w:color="auto"/>
          </w:divBdr>
        </w:div>
        <w:div w:id="1344940234">
          <w:marLeft w:val="0"/>
          <w:marRight w:val="0"/>
          <w:marTop w:val="0"/>
          <w:marBottom w:val="0"/>
          <w:divBdr>
            <w:top w:val="none" w:sz="0" w:space="0" w:color="auto"/>
            <w:left w:val="none" w:sz="0" w:space="0" w:color="auto"/>
            <w:bottom w:val="none" w:sz="0" w:space="0" w:color="auto"/>
            <w:right w:val="none" w:sz="0" w:space="0" w:color="auto"/>
          </w:divBdr>
        </w:div>
        <w:div w:id="1670058171">
          <w:marLeft w:val="0"/>
          <w:marRight w:val="0"/>
          <w:marTop w:val="0"/>
          <w:marBottom w:val="0"/>
          <w:divBdr>
            <w:top w:val="none" w:sz="0" w:space="0" w:color="auto"/>
            <w:left w:val="none" w:sz="0" w:space="0" w:color="auto"/>
            <w:bottom w:val="none" w:sz="0" w:space="0" w:color="auto"/>
            <w:right w:val="none" w:sz="0" w:space="0" w:color="auto"/>
          </w:divBdr>
        </w:div>
        <w:div w:id="1697463856">
          <w:marLeft w:val="0"/>
          <w:marRight w:val="0"/>
          <w:marTop w:val="0"/>
          <w:marBottom w:val="0"/>
          <w:divBdr>
            <w:top w:val="none" w:sz="0" w:space="0" w:color="auto"/>
            <w:left w:val="none" w:sz="0" w:space="0" w:color="auto"/>
            <w:bottom w:val="none" w:sz="0" w:space="0" w:color="auto"/>
            <w:right w:val="none" w:sz="0" w:space="0" w:color="auto"/>
          </w:divBdr>
        </w:div>
      </w:divsChild>
    </w:div>
    <w:div w:id="1807772563">
      <w:bodyDiv w:val="1"/>
      <w:marLeft w:val="0"/>
      <w:marRight w:val="0"/>
      <w:marTop w:val="0"/>
      <w:marBottom w:val="0"/>
      <w:divBdr>
        <w:top w:val="none" w:sz="0" w:space="0" w:color="auto"/>
        <w:left w:val="none" w:sz="0" w:space="0" w:color="auto"/>
        <w:bottom w:val="none" w:sz="0" w:space="0" w:color="auto"/>
        <w:right w:val="none" w:sz="0" w:space="0" w:color="auto"/>
      </w:divBdr>
    </w:div>
    <w:div w:id="1931354831">
      <w:bodyDiv w:val="1"/>
      <w:marLeft w:val="0"/>
      <w:marRight w:val="0"/>
      <w:marTop w:val="0"/>
      <w:marBottom w:val="0"/>
      <w:divBdr>
        <w:top w:val="none" w:sz="0" w:space="0" w:color="auto"/>
        <w:left w:val="none" w:sz="0" w:space="0" w:color="auto"/>
        <w:bottom w:val="none" w:sz="0" w:space="0" w:color="auto"/>
        <w:right w:val="none" w:sz="0" w:space="0" w:color="auto"/>
      </w:divBdr>
    </w:div>
    <w:div w:id="1994945979">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47752764">
      <w:bodyDiv w:val="1"/>
      <w:marLeft w:val="0"/>
      <w:marRight w:val="0"/>
      <w:marTop w:val="0"/>
      <w:marBottom w:val="0"/>
      <w:divBdr>
        <w:top w:val="none" w:sz="0" w:space="0" w:color="auto"/>
        <w:left w:val="none" w:sz="0" w:space="0" w:color="auto"/>
        <w:bottom w:val="none" w:sz="0" w:space="0" w:color="auto"/>
        <w:right w:val="none" w:sz="0" w:space="0" w:color="auto"/>
      </w:divBdr>
    </w:div>
    <w:div w:id="2049984492">
      <w:bodyDiv w:val="1"/>
      <w:marLeft w:val="0"/>
      <w:marRight w:val="0"/>
      <w:marTop w:val="0"/>
      <w:marBottom w:val="0"/>
      <w:divBdr>
        <w:top w:val="none" w:sz="0" w:space="0" w:color="auto"/>
        <w:left w:val="none" w:sz="0" w:space="0" w:color="auto"/>
        <w:bottom w:val="none" w:sz="0" w:space="0" w:color="auto"/>
        <w:right w:val="none" w:sz="0" w:space="0" w:color="auto"/>
      </w:divBdr>
    </w:div>
    <w:div w:id="2078477343">
      <w:bodyDiv w:val="1"/>
      <w:marLeft w:val="0"/>
      <w:marRight w:val="0"/>
      <w:marTop w:val="0"/>
      <w:marBottom w:val="0"/>
      <w:divBdr>
        <w:top w:val="none" w:sz="0" w:space="0" w:color="auto"/>
        <w:left w:val="none" w:sz="0" w:space="0" w:color="auto"/>
        <w:bottom w:val="none" w:sz="0" w:space="0" w:color="auto"/>
        <w:right w:val="none" w:sz="0" w:space="0" w:color="auto"/>
      </w:divBdr>
    </w:div>
    <w:div w:id="2106726441">
      <w:bodyDiv w:val="1"/>
      <w:marLeft w:val="0"/>
      <w:marRight w:val="0"/>
      <w:marTop w:val="0"/>
      <w:marBottom w:val="0"/>
      <w:divBdr>
        <w:top w:val="none" w:sz="0" w:space="0" w:color="auto"/>
        <w:left w:val="none" w:sz="0" w:space="0" w:color="auto"/>
        <w:bottom w:val="none" w:sz="0" w:space="0" w:color="auto"/>
        <w:right w:val="none" w:sz="0" w:space="0" w:color="auto"/>
      </w:divBdr>
    </w:div>
    <w:div w:id="2107916882">
      <w:bodyDiv w:val="1"/>
      <w:marLeft w:val="0"/>
      <w:marRight w:val="0"/>
      <w:marTop w:val="0"/>
      <w:marBottom w:val="0"/>
      <w:divBdr>
        <w:top w:val="none" w:sz="0" w:space="0" w:color="auto"/>
        <w:left w:val="none" w:sz="0" w:space="0" w:color="auto"/>
        <w:bottom w:val="none" w:sz="0" w:space="0" w:color="auto"/>
        <w:right w:val="none" w:sz="0" w:space="0" w:color="auto"/>
      </w:divBdr>
    </w:div>
    <w:div w:id="2123454510">
      <w:bodyDiv w:val="1"/>
      <w:marLeft w:val="0"/>
      <w:marRight w:val="0"/>
      <w:marTop w:val="0"/>
      <w:marBottom w:val="0"/>
      <w:divBdr>
        <w:top w:val="none" w:sz="0" w:space="0" w:color="auto"/>
        <w:left w:val="none" w:sz="0" w:space="0" w:color="auto"/>
        <w:bottom w:val="none" w:sz="0" w:space="0" w:color="auto"/>
        <w:right w:val="none" w:sz="0" w:space="0" w:color="auto"/>
      </w:divBdr>
    </w:div>
    <w:div w:id="21299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6.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www.entergy-louisiana.com/userfiles/content/irp/2019/ELL_2019_IRP_Assumptions.pdf" TargetMode="External"/><Relationship Id="rId2" Type="http://schemas.openxmlformats.org/officeDocument/2006/relationships/hyperlink" Target="http://lpscstar.louisiana.gov/star/ViewFile.aspx?Id=c33b4da2-6ac0-459c-ae6d-a0620eed2809" TargetMode="External"/><Relationship Id="rId1" Type="http://schemas.openxmlformats.org/officeDocument/2006/relationships/hyperlink" Target="https://www.tva.gov/file_source/TVA/Site%20Content/Environment/Environmental%20Stewardship/IRP/2019%20Documents/TVA%20Draft%20IRP%20Vol%20I-reduced.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LJUSTIN\Public\Documents\GPSC%20-%20VCM\20th-21st%20VCM\7%20-%20Staff%20Testimony\20-21VCM%20CO2\CO2%20Analysis%2020th-21st%20VCM.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LJUSTIN\Public\Documents\GPSC%20-%20VCM\20th-21st%20VCM\5%20-%20Analysis\5%20-%20CTC%20Analysis\STAFF_MATRIX_20-21stVCM.SMW.11-21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JUSTIN\Public\Documents\GPSC%20-%20VCM\20th-21st%20VCM\5%20-%20Analysis\5%20-%20CTC%20Analysis\STAFF_MATRIX_20-21stVCM.SMW.11-21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LJUSTIN\Public\Documents\GPSC%20-%20VCM\20th-21st%20VCM\5%20-%20Analysis\5%20-%20CTC%20Analysis\STAFF_MATRIX_20-21stVCM.SMW.11-21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GPC $10</c:v>
          </c:tx>
          <c:spPr>
            <a:ln w="28575" cap="rnd">
              <a:solidFill>
                <a:srgbClr val="0070C0"/>
              </a:solidFill>
              <a:round/>
            </a:ln>
            <a:effectLst/>
          </c:spPr>
          <c:marker>
            <c:symbol val="none"/>
          </c:marker>
          <c:cat>
            <c:numRef>
              <c:f>'20-21 CO2'!$T$12:$T$44</c:f>
              <c:numCache>
                <c:formatCode>General</c:formatCode>
                <c:ptCount val="33"/>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numCache>
            </c:numRef>
          </c:cat>
          <c:val>
            <c:numRef>
              <c:f>'20-21 CO2'!$I$12:$I$44</c:f>
              <c:numCache>
                <c:formatCode>0.00</c:formatCode>
                <c:ptCount val="33"/>
                <c:pt idx="0">
                  <c:v>11.212405119117888</c:v>
                </c:pt>
                <c:pt idx="1">
                  <c:v>12.032239321915277</c:v>
                </c:pt>
                <c:pt idx="2">
                  <c:v>12.907651205117508</c:v>
                </c:pt>
                <c:pt idx="3">
                  <c:v>13.845627428252303</c:v>
                </c:pt>
                <c:pt idx="4">
                  <c:v>14.853623935698172</c:v>
                </c:pt>
                <c:pt idx="5">
                  <c:v>15.928243185372386</c:v>
                </c:pt>
                <c:pt idx="6">
                  <c:v>17.074645965467163</c:v>
                </c:pt>
                <c:pt idx="7">
                  <c:v>18.3013188474321</c:v>
                </c:pt>
                <c:pt idx="8">
                  <c:v>19.613351128646809</c:v>
                </c:pt>
                <c:pt idx="9">
                  <c:v>21.017182303797362</c:v>
                </c:pt>
                <c:pt idx="10">
                  <c:v>22.516861230463906</c:v>
                </c:pt>
                <c:pt idx="11">
                  <c:v>24.119063503256882</c:v>
                </c:pt>
                <c:pt idx="12">
                  <c:v>25.831066344134729</c:v>
                </c:pt>
                <c:pt idx="13">
                  <c:v>27.667567803797034</c:v>
                </c:pt>
                <c:pt idx="14">
                  <c:v>29.636856735804919</c:v>
                </c:pt>
                <c:pt idx="15">
                  <c:v>31.753175662410367</c:v>
                </c:pt>
                <c:pt idx="16">
                  <c:v>34.028426103342269</c:v>
                </c:pt>
                <c:pt idx="17">
                  <c:v>36.476387021108337</c:v>
                </c:pt>
                <c:pt idx="18">
                  <c:v>39.109774358819649</c:v>
                </c:pt>
                <c:pt idx="19">
                  <c:v>41.940225262027809</c:v>
                </c:pt>
                <c:pt idx="20">
                  <c:v>44.980503730849691</c:v>
                </c:pt>
                <c:pt idx="21">
                  <c:v>48.243766495247762</c:v>
                </c:pt>
                <c:pt idx="22">
                  <c:v>51.743773693039167</c:v>
                </c:pt>
                <c:pt idx="23">
                  <c:v>55.497700749799264</c:v>
                </c:pt>
                <c:pt idx="24">
                  <c:v>59.523969140437977</c:v>
                </c:pt>
                <c:pt idx="25">
                  <c:v>63.842336788062838</c:v>
                </c:pt>
                <c:pt idx="26">
                  <c:v>68.473995021133305</c:v>
                </c:pt>
                <c:pt idx="27">
                  <c:v>73.44167256469963</c:v>
                </c:pt>
                <c:pt idx="28">
                  <c:v>78.769747076037959</c:v>
                </c:pt>
                <c:pt idx="29">
                  <c:v>84.484364772015311</c:v>
                </c:pt>
                <c:pt idx="30">
                  <c:v>90.613568735226096</c:v>
                </c:pt>
                <c:pt idx="31">
                  <c:v>97.187436528531563</c:v>
                </c:pt>
                <c:pt idx="32">
                  <c:v>104.0018599298343</c:v>
                </c:pt>
              </c:numCache>
            </c:numRef>
          </c:val>
          <c:smooth val="0"/>
          <c:extLst>
            <c:ext xmlns:c16="http://schemas.microsoft.com/office/drawing/2014/chart" uri="{C3380CC4-5D6E-409C-BE32-E72D297353CC}">
              <c16:uniqueId val="{00000000-BB3A-4CC9-AC9A-97FF66B03665}"/>
            </c:ext>
          </c:extLst>
        </c:ser>
        <c:ser>
          <c:idx val="1"/>
          <c:order val="1"/>
          <c:tx>
            <c:v>GPC $20</c:v>
          </c:tx>
          <c:spPr>
            <a:ln w="28575" cap="rnd">
              <a:solidFill>
                <a:srgbClr val="FF0000"/>
              </a:solidFill>
              <a:round/>
            </a:ln>
            <a:effectLst/>
          </c:spPr>
          <c:marker>
            <c:symbol val="none"/>
          </c:marker>
          <c:cat>
            <c:numRef>
              <c:f>'20-21 CO2'!$T$12:$T$44</c:f>
              <c:numCache>
                <c:formatCode>General</c:formatCode>
                <c:ptCount val="33"/>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numCache>
            </c:numRef>
          </c:cat>
          <c:val>
            <c:numRef>
              <c:f>'20-21 CO2'!$M$12:$M$44</c:f>
              <c:numCache>
                <c:formatCode>0.00</c:formatCode>
                <c:ptCount val="33"/>
                <c:pt idx="0">
                  <c:v>22.424810238235775</c:v>
                </c:pt>
                <c:pt idx="1">
                  <c:v>24.064478643830554</c:v>
                </c:pt>
                <c:pt idx="2">
                  <c:v>25.815302410235017</c:v>
                </c:pt>
                <c:pt idx="3">
                  <c:v>27.691254856504607</c:v>
                </c:pt>
                <c:pt idx="4">
                  <c:v>29.707247871396341</c:v>
                </c:pt>
                <c:pt idx="5">
                  <c:v>31.856486370744772</c:v>
                </c:pt>
                <c:pt idx="6">
                  <c:v>34.149291930934311</c:v>
                </c:pt>
                <c:pt idx="7">
                  <c:v>36.6026376948642</c:v>
                </c:pt>
                <c:pt idx="8">
                  <c:v>39.226702257293603</c:v>
                </c:pt>
                <c:pt idx="9">
                  <c:v>42.034364607594704</c:v>
                </c:pt>
                <c:pt idx="10">
                  <c:v>45.033722460927798</c:v>
                </c:pt>
                <c:pt idx="11">
                  <c:v>48.238127006513764</c:v>
                </c:pt>
                <c:pt idx="12">
                  <c:v>51.662132688269438</c:v>
                </c:pt>
                <c:pt idx="13">
                  <c:v>55.335135607594054</c:v>
                </c:pt>
                <c:pt idx="14">
                  <c:v>59.273713471609803</c:v>
                </c:pt>
                <c:pt idx="15">
                  <c:v>63.506351324820699</c:v>
                </c:pt>
                <c:pt idx="16">
                  <c:v>68.056852206684511</c:v>
                </c:pt>
                <c:pt idx="17">
                  <c:v>72.952774042216632</c:v>
                </c:pt>
                <c:pt idx="18">
                  <c:v>78.219548717639242</c:v>
                </c:pt>
                <c:pt idx="19">
                  <c:v>83.880450524055561</c:v>
                </c:pt>
                <c:pt idx="20">
                  <c:v>89.96100746169931</c:v>
                </c:pt>
                <c:pt idx="21">
                  <c:v>96.487532990495438</c:v>
                </c:pt>
                <c:pt idx="22">
                  <c:v>103.48754738607826</c:v>
                </c:pt>
                <c:pt idx="23">
                  <c:v>110.99540149959844</c:v>
                </c:pt>
                <c:pt idx="24">
                  <c:v>119.04793828087584</c:v>
                </c:pt>
                <c:pt idx="25">
                  <c:v>127.68467357612558</c:v>
                </c:pt>
                <c:pt idx="26">
                  <c:v>136.9479900422665</c:v>
                </c:pt>
                <c:pt idx="27">
                  <c:v>146.88334512939912</c:v>
                </c:pt>
                <c:pt idx="28">
                  <c:v>157.53949415207575</c:v>
                </c:pt>
                <c:pt idx="29">
                  <c:v>168.96872954403048</c:v>
                </c:pt>
                <c:pt idx="30">
                  <c:v>181.22713747045196</c:v>
                </c:pt>
                <c:pt idx="31">
                  <c:v>194.37487305706293</c:v>
                </c:pt>
                <c:pt idx="32">
                  <c:v>208.47645558662197</c:v>
                </c:pt>
              </c:numCache>
            </c:numRef>
          </c:val>
          <c:smooth val="0"/>
          <c:extLst>
            <c:ext xmlns:c16="http://schemas.microsoft.com/office/drawing/2014/chart" uri="{C3380CC4-5D6E-409C-BE32-E72D297353CC}">
              <c16:uniqueId val="{00000001-BB3A-4CC9-AC9A-97FF66B03665}"/>
            </c:ext>
          </c:extLst>
        </c:ser>
        <c:ser>
          <c:idx val="2"/>
          <c:order val="2"/>
          <c:tx>
            <c:v>Staff $10</c:v>
          </c:tx>
          <c:spPr>
            <a:ln w="28575" cap="rnd">
              <a:solidFill>
                <a:srgbClr val="7030A0"/>
              </a:solidFill>
              <a:prstDash val="dash"/>
              <a:round/>
            </a:ln>
            <a:effectLst/>
          </c:spPr>
          <c:marker>
            <c:symbol val="none"/>
          </c:marker>
          <c:cat>
            <c:numRef>
              <c:f>'20-21 CO2'!$T$12:$T$44</c:f>
              <c:numCache>
                <c:formatCode>General</c:formatCode>
                <c:ptCount val="33"/>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numCache>
            </c:numRef>
          </c:cat>
          <c:val>
            <c:numRef>
              <c:f>'20-21 CO2'!$Q$12:$Q$44</c:f>
              <c:numCache>
                <c:formatCode>0.00</c:formatCode>
                <c:ptCount val="33"/>
                <c:pt idx="0">
                  <c:v>11.212405119117888</c:v>
                </c:pt>
                <c:pt idx="1">
                  <c:v>11.745757433298246</c:v>
                </c:pt>
                <c:pt idx="2">
                  <c:v>12.300318410318894</c:v>
                </c:pt>
                <c:pt idx="3">
                  <c:v>12.880014145105507</c:v>
                </c:pt>
                <c:pt idx="4">
                  <c:v>13.488718443627654</c:v>
                </c:pt>
                <c:pt idx="5">
                  <c:v>14.120195485351172</c:v>
                </c:pt>
                <c:pt idx="6">
                  <c:v>14.776075635342336</c:v>
                </c:pt>
                <c:pt idx="7">
                  <c:v>15.460529068859955</c:v>
                </c:pt>
                <c:pt idx="8">
                  <c:v>16.174405763287751</c:v>
                </c:pt>
                <c:pt idx="9">
                  <c:v>16.919424556006</c:v>
                </c:pt>
                <c:pt idx="10">
                  <c:v>17.695120096230262</c:v>
                </c:pt>
                <c:pt idx="11">
                  <c:v>18.502937017211913</c:v>
                </c:pt>
                <c:pt idx="12">
                  <c:v>19.344483153360763</c:v>
                </c:pt>
                <c:pt idx="13">
                  <c:v>20.226481663893992</c:v>
                </c:pt>
                <c:pt idx="14">
                  <c:v>21.150277471958749</c:v>
                </c:pt>
                <c:pt idx="15">
                  <c:v>22.121046098563379</c:v>
                </c:pt>
                <c:pt idx="16">
                  <c:v>23.141682111059296</c:v>
                </c:pt>
                <c:pt idx="17">
                  <c:v>24.215834647574162</c:v>
                </c:pt>
                <c:pt idx="18">
                  <c:v>25.345887572216174</c:v>
                </c:pt>
                <c:pt idx="19">
                  <c:v>26.533070981773612</c:v>
                </c:pt>
                <c:pt idx="20">
                  <c:v>27.778938173054275</c:v>
                </c:pt>
                <c:pt idx="21">
                  <c:v>29.084868161125669</c:v>
                </c:pt>
                <c:pt idx="22">
                  <c:v>30.452191897335307</c:v>
                </c:pt>
                <c:pt idx="23">
                  <c:v>31.883795594837689</c:v>
                </c:pt>
                <c:pt idx="24">
                  <c:v>33.382701152042401</c:v>
                </c:pt>
                <c:pt idx="25">
                  <c:v>34.952072531383493</c:v>
                </c:pt>
                <c:pt idx="26">
                  <c:v>36.595222437964736</c:v>
                </c:pt>
                <c:pt idx="27">
                  <c:v>38.315619312177816</c:v>
                </c:pt>
                <c:pt idx="28">
                  <c:v>40.116894651054409</c:v>
                </c:pt>
                <c:pt idx="29">
                  <c:v>42.002850673805895</c:v>
                </c:pt>
                <c:pt idx="30">
                  <c:v>43.977468347731786</c:v>
                </c:pt>
                <c:pt idx="31">
                  <c:v>46.044915791438342</c:v>
                </c:pt>
                <c:pt idx="32">
                  <c:v>48.209557073105081</c:v>
                </c:pt>
              </c:numCache>
            </c:numRef>
          </c:val>
          <c:smooth val="0"/>
          <c:extLst>
            <c:ext xmlns:c16="http://schemas.microsoft.com/office/drawing/2014/chart" uri="{C3380CC4-5D6E-409C-BE32-E72D297353CC}">
              <c16:uniqueId val="{00000002-BB3A-4CC9-AC9A-97FF66B03665}"/>
            </c:ext>
          </c:extLst>
        </c:ser>
        <c:ser>
          <c:idx val="3"/>
          <c:order val="3"/>
          <c:tx>
            <c:v>Staff $20</c:v>
          </c:tx>
          <c:spPr>
            <a:ln w="28575" cap="rnd">
              <a:solidFill>
                <a:schemeClr val="accent4"/>
              </a:solidFill>
              <a:prstDash val="dash"/>
              <a:round/>
            </a:ln>
            <a:effectLst/>
          </c:spPr>
          <c:marker>
            <c:symbol val="none"/>
          </c:marker>
          <c:cat>
            <c:numRef>
              <c:f>'20-21 CO2'!$T$12:$T$44</c:f>
              <c:numCache>
                <c:formatCode>General</c:formatCode>
                <c:ptCount val="33"/>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numCache>
            </c:numRef>
          </c:cat>
          <c:val>
            <c:numRef>
              <c:f>'20-21 CO2'!$V$12:$V$44</c:f>
              <c:numCache>
                <c:formatCode>0.00</c:formatCode>
                <c:ptCount val="33"/>
                <c:pt idx="0">
                  <c:v>22.424810238235775</c:v>
                </c:pt>
                <c:pt idx="1">
                  <c:v>23.491514866596493</c:v>
                </c:pt>
                <c:pt idx="2">
                  <c:v>24.600636820637789</c:v>
                </c:pt>
                <c:pt idx="3">
                  <c:v>25.760028290211014</c:v>
                </c:pt>
                <c:pt idx="4">
                  <c:v>26.977436887255308</c:v>
                </c:pt>
                <c:pt idx="5">
                  <c:v>28.240390970702343</c:v>
                </c:pt>
                <c:pt idx="6">
                  <c:v>29.552151270684671</c:v>
                </c:pt>
                <c:pt idx="7">
                  <c:v>30.921058137719911</c:v>
                </c:pt>
                <c:pt idx="8">
                  <c:v>32.348811526575503</c:v>
                </c:pt>
                <c:pt idx="9">
                  <c:v>33.838849112011999</c:v>
                </c:pt>
                <c:pt idx="10">
                  <c:v>35.390240192460524</c:v>
                </c:pt>
                <c:pt idx="11">
                  <c:v>37.005874034423826</c:v>
                </c:pt>
                <c:pt idx="12">
                  <c:v>38.688966306721525</c:v>
                </c:pt>
                <c:pt idx="13">
                  <c:v>40.452963327787984</c:v>
                </c:pt>
                <c:pt idx="14">
                  <c:v>42.300554943917497</c:v>
                </c:pt>
                <c:pt idx="15">
                  <c:v>44.242092197126759</c:v>
                </c:pt>
                <c:pt idx="16">
                  <c:v>46.283364222118593</c:v>
                </c:pt>
                <c:pt idx="17">
                  <c:v>48.431669295148325</c:v>
                </c:pt>
                <c:pt idx="18">
                  <c:v>50.691775144432349</c:v>
                </c:pt>
                <c:pt idx="19">
                  <c:v>53.066141963547224</c:v>
                </c:pt>
                <c:pt idx="20">
                  <c:v>55.55787634610855</c:v>
                </c:pt>
                <c:pt idx="21">
                  <c:v>58.169736322251339</c:v>
                </c:pt>
                <c:pt idx="22">
                  <c:v>60.904383794670615</c:v>
                </c:pt>
                <c:pt idx="23">
                  <c:v>63.767591189675379</c:v>
                </c:pt>
                <c:pt idx="24">
                  <c:v>66.765402304084802</c:v>
                </c:pt>
                <c:pt idx="25">
                  <c:v>69.904145062766986</c:v>
                </c:pt>
                <c:pt idx="26">
                  <c:v>73.190444875929472</c:v>
                </c:pt>
                <c:pt idx="27">
                  <c:v>76.631238624355632</c:v>
                </c:pt>
                <c:pt idx="28">
                  <c:v>80.233789302108818</c:v>
                </c:pt>
                <c:pt idx="29">
                  <c:v>84.00570134761179</c:v>
                </c:pt>
                <c:pt idx="30">
                  <c:v>87.954936695463573</c:v>
                </c:pt>
                <c:pt idx="31">
                  <c:v>92.089831582876684</c:v>
                </c:pt>
                <c:pt idx="32">
                  <c:v>96.419114146210163</c:v>
                </c:pt>
              </c:numCache>
            </c:numRef>
          </c:val>
          <c:smooth val="0"/>
          <c:extLst>
            <c:ext xmlns:c16="http://schemas.microsoft.com/office/drawing/2014/chart" uri="{C3380CC4-5D6E-409C-BE32-E72D297353CC}">
              <c16:uniqueId val="{00000003-BB3A-4CC9-AC9A-97FF66B03665}"/>
            </c:ext>
          </c:extLst>
        </c:ser>
        <c:dLbls>
          <c:showLegendKey val="0"/>
          <c:showVal val="0"/>
          <c:showCatName val="0"/>
          <c:showSerName val="0"/>
          <c:showPercent val="0"/>
          <c:showBubbleSize val="0"/>
        </c:dLbls>
        <c:smooth val="0"/>
        <c:axId val="470984152"/>
        <c:axId val="470986896"/>
      </c:lineChart>
      <c:catAx>
        <c:axId val="470984152"/>
        <c:scaling>
          <c:orientation val="minMax"/>
        </c:scaling>
        <c:delete val="1"/>
        <c:axPos val="b"/>
        <c:numFmt formatCode="General" sourceLinked="1"/>
        <c:majorTickMark val="none"/>
        <c:minorTickMark val="none"/>
        <c:tickLblPos val="nextTo"/>
        <c:crossAx val="470986896"/>
        <c:crosses val="autoZero"/>
        <c:auto val="1"/>
        <c:lblAlgn val="ctr"/>
        <c:lblOffset val="100"/>
        <c:noMultiLvlLbl val="0"/>
      </c:catAx>
      <c:valAx>
        <c:axId val="470986896"/>
        <c:scaling>
          <c:orientation val="minMax"/>
        </c:scaling>
        <c:delete val="1"/>
        <c:axPos val="l"/>
        <c:majorGridlines>
          <c:spPr>
            <a:ln w="9525" cap="flat" cmpd="sng" algn="ctr">
              <a:noFill/>
              <a:round/>
            </a:ln>
            <a:effectLst/>
          </c:spPr>
        </c:majorGridlines>
        <c:numFmt formatCode="0" sourceLinked="0"/>
        <c:majorTickMark val="none"/>
        <c:minorTickMark val="none"/>
        <c:tickLblPos val="nextTo"/>
        <c:crossAx val="470984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317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300" b="1" i="0" baseline="0">
                <a:effectLst/>
              </a:rPr>
              <a:t>Vogtle 3&amp;4 Versus Combined Cycle </a:t>
            </a:r>
            <a:endParaRPr lang="en-US" sz="1300">
              <a:effectLst/>
            </a:endParaRPr>
          </a:p>
          <a:p>
            <a:pPr>
              <a:defRPr/>
            </a:pPr>
            <a:r>
              <a:rPr lang="en-US" sz="1300" b="1" i="0" baseline="0">
                <a:effectLst/>
              </a:rPr>
              <a:t>Low Gas Price Forecast</a:t>
            </a:r>
            <a:endParaRPr lang="en-US" sz="1300">
              <a:effectLst/>
            </a:endParaRPr>
          </a:p>
          <a:p>
            <a:pPr>
              <a:defRPr/>
            </a:pPr>
            <a:r>
              <a:rPr lang="en-US" sz="1300" b="1" i="0" baseline="0">
                <a:effectLst/>
              </a:rPr>
              <a:t>Cumulative Nominal Revenue Requirements</a:t>
            </a:r>
            <a:endParaRPr lang="en-US" sz="1300">
              <a:effectLst/>
            </a:endParaRPr>
          </a:p>
          <a:p>
            <a:pPr>
              <a:defRPr/>
            </a:pPr>
            <a:r>
              <a:rPr lang="en-US" sz="1300" b="1" i="0" baseline="0">
                <a:effectLst/>
              </a:rPr>
              <a:t>(Millions of Dollars)</a:t>
            </a:r>
            <a:endParaRPr lang="en-US" sz="1300">
              <a:effectLst/>
            </a:endParaRPr>
          </a:p>
        </c:rich>
      </c:tx>
      <c:layout>
        <c:manualLayout>
          <c:xMode val="edge"/>
          <c:yMode val="edge"/>
          <c:x val="0.27459221186667193"/>
          <c:y val="1.35811759535250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2195755467285719"/>
          <c:w val="0.9109395967142333"/>
          <c:h val="0.68687020969693413"/>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2303.2535933369004</c:v>
                </c:pt>
                <c:pt idx="7">
                  <c:v>2671.1457531905908</c:v>
                </c:pt>
                <c:pt idx="8">
                  <c:v>3103.2609092361186</c:v>
                </c:pt>
                <c:pt idx="9">
                  <c:v>3470.7052176408197</c:v>
                </c:pt>
                <c:pt idx="10">
                  <c:v>3745.9978143193512</c:v>
                </c:pt>
                <c:pt idx="11">
                  <c:v>4175.5272536606017</c:v>
                </c:pt>
                <c:pt idx="12">
                  <c:v>5261.6451715604808</c:v>
                </c:pt>
                <c:pt idx="13">
                  <c:v>6317.913404800287</c:v>
                </c:pt>
                <c:pt idx="14">
                  <c:v>7368.64974544293</c:v>
                </c:pt>
                <c:pt idx="15">
                  <c:v>8378.9810135591379</c:v>
                </c:pt>
                <c:pt idx="16">
                  <c:v>9373.3063692584965</c:v>
                </c:pt>
                <c:pt idx="17">
                  <c:v>10379.734901608685</c:v>
                </c:pt>
                <c:pt idx="18">
                  <c:v>11348.032012865173</c:v>
                </c:pt>
                <c:pt idx="19">
                  <c:v>12385.479496613352</c:v>
                </c:pt>
                <c:pt idx="20">
                  <c:v>13510.927889538259</c:v>
                </c:pt>
                <c:pt idx="21">
                  <c:v>14595.143756065925</c:v>
                </c:pt>
                <c:pt idx="22">
                  <c:v>15661.763814903694</c:v>
                </c:pt>
                <c:pt idx="23">
                  <c:v>16742.880232849348</c:v>
                </c:pt>
                <c:pt idx="24">
                  <c:v>17783.944409333766</c:v>
                </c:pt>
                <c:pt idx="25">
                  <c:v>18812.1655905148</c:v>
                </c:pt>
                <c:pt idx="26">
                  <c:v>19867.753350491905</c:v>
                </c:pt>
                <c:pt idx="27">
                  <c:v>20898.727355614799</c:v>
                </c:pt>
                <c:pt idx="28">
                  <c:v>21931.685856830263</c:v>
                </c:pt>
                <c:pt idx="29">
                  <c:v>23001.47798708854</c:v>
                </c:pt>
                <c:pt idx="30">
                  <c:v>24045.226963554389</c:v>
                </c:pt>
                <c:pt idx="31">
                  <c:v>25089.27058677885</c:v>
                </c:pt>
                <c:pt idx="32">
                  <c:v>26171.538585924165</c:v>
                </c:pt>
                <c:pt idx="33">
                  <c:v>27225.86394516685</c:v>
                </c:pt>
                <c:pt idx="34">
                  <c:v>28280.359051785108</c:v>
                </c:pt>
                <c:pt idx="35">
                  <c:v>29376.514558342849</c:v>
                </c:pt>
                <c:pt idx="36">
                  <c:v>30441.882229776678</c:v>
                </c:pt>
                <c:pt idx="37">
                  <c:v>31509.071313591707</c:v>
                </c:pt>
                <c:pt idx="38">
                  <c:v>32621.035850818469</c:v>
                </c:pt>
                <c:pt idx="39">
                  <c:v>33697.974931391407</c:v>
                </c:pt>
                <c:pt idx="40">
                  <c:v>34779.18026269682</c:v>
                </c:pt>
                <c:pt idx="41">
                  <c:v>35908.830021456481</c:v>
                </c:pt>
                <c:pt idx="42">
                  <c:v>36998.554114807324</c:v>
                </c:pt>
                <c:pt idx="43">
                  <c:v>38093.579033776463</c:v>
                </c:pt>
                <c:pt idx="44">
                  <c:v>39245.134212183526</c:v>
                </c:pt>
                <c:pt idx="45">
                  <c:v>40358.006222372249</c:v>
                </c:pt>
                <c:pt idx="46">
                  <c:v>41473.736668083402</c:v>
                </c:pt>
                <c:pt idx="47">
                  <c:v>42652.349966712565</c:v>
                </c:pt>
                <c:pt idx="48">
                  <c:v>43788.587959499229</c:v>
                </c:pt>
                <c:pt idx="49">
                  <c:v>44930.551352668932</c:v>
                </c:pt>
                <c:pt idx="50">
                  <c:v>46139.710859597704</c:v>
                </c:pt>
                <c:pt idx="51">
                  <c:v>47298.908714739046</c:v>
                </c:pt>
                <c:pt idx="52">
                  <c:v>48472.705135825425</c:v>
                </c:pt>
                <c:pt idx="53">
                  <c:v>49721.818989856889</c:v>
                </c:pt>
                <c:pt idx="54">
                  <c:v>50914.062084307632</c:v>
                </c:pt>
                <c:pt idx="55">
                  <c:v>52127.606207069686</c:v>
                </c:pt>
                <c:pt idx="56">
                  <c:v>53419.687760517867</c:v>
                </c:pt>
                <c:pt idx="57">
                  <c:v>54651.803712241919</c:v>
                </c:pt>
                <c:pt idx="58">
                  <c:v>55906.109376429849</c:v>
                </c:pt>
                <c:pt idx="59">
                  <c:v>57247.303612324162</c:v>
                </c:pt>
                <c:pt idx="60">
                  <c:v>58523.7853638007</c:v>
                </c:pt>
                <c:pt idx="61">
                  <c:v>59827.231825383176</c:v>
                </c:pt>
                <c:pt idx="62">
                  <c:v>61229.93743123395</c:v>
                </c:pt>
                <c:pt idx="63">
                  <c:v>62563.547671653527</c:v>
                </c:pt>
                <c:pt idx="64">
                  <c:v>63927.803660452264</c:v>
                </c:pt>
                <c:pt idx="65">
                  <c:v>65404.095564570503</c:v>
                </c:pt>
                <c:pt idx="66">
                  <c:v>66807.486884922939</c:v>
                </c:pt>
                <c:pt idx="67">
                  <c:v>68248.605780474667</c:v>
                </c:pt>
                <c:pt idx="68">
                  <c:v>69804.450507626258</c:v>
                </c:pt>
                <c:pt idx="69">
                  <c:v>71286.434220326089</c:v>
                </c:pt>
                <c:pt idx="70">
                  <c:v>72862.790489955369</c:v>
                </c:pt>
                <c:pt idx="71">
                  <c:v>74044.232469521201</c:v>
                </c:pt>
              </c:numCache>
            </c:numRef>
          </c:val>
          <c:smooth val="0"/>
          <c:extLst>
            <c:ext xmlns:c16="http://schemas.microsoft.com/office/drawing/2014/chart" uri="{C3380CC4-5D6E-409C-BE32-E72D297353CC}">
              <c16:uniqueId val="{00000000-E83A-4AB4-9A96-471A0103777F}"/>
            </c:ext>
          </c:extLst>
        </c:ser>
        <c:ser>
          <c:idx val="1"/>
          <c:order val="1"/>
          <c:tx>
            <c:v>CCGT $0 CO2</c:v>
          </c:tx>
          <c:spPr>
            <a:ln w="28575" cap="rnd">
              <a:solidFill>
                <a:schemeClr val="accent2"/>
              </a:solidFill>
              <a:prstDash val="sysDot"/>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Charts.SMW'!$X$6:$X$77</c:f>
              <c:numCache>
                <c:formatCode>General</c:formatCode>
                <c:ptCount val="72"/>
                <c:pt idx="13" formatCode="_(* #,##0.0_);_(* \(#,##0.0\);_(* &quot;-&quot;??_);_(@_)">
                  <c:v>358.29869578644764</c:v>
                </c:pt>
                <c:pt idx="14" formatCode="_(* #,##0.0_);_(* \(#,##0.0\);_(* &quot;-&quot;??_);_(@_)">
                  <c:v>760.1407519531117</c:v>
                </c:pt>
                <c:pt idx="15" formatCode="_(* #,##0.0_);_(* \(#,##0.0\);_(* &quot;-&quot;??_);_(@_)">
                  <c:v>1165.7046545417609</c:v>
                </c:pt>
                <c:pt idx="16" formatCode="_(* #,##0.0_);_(* \(#,##0.0\);_(* &quot;-&quot;??_);_(@_)">
                  <c:v>1568.4712135096386</c:v>
                </c:pt>
                <c:pt idx="17" formatCode="_(* #,##0.0_);_(* \(#,##0.0\);_(* &quot;-&quot;??_);_(@_)">
                  <c:v>1991.3722665127361</c:v>
                </c:pt>
                <c:pt idx="18" formatCode="_(* #,##0.0_);_(* \(#,##0.0\);_(* &quot;-&quot;??_);_(@_)">
                  <c:v>2421.8759766359062</c:v>
                </c:pt>
                <c:pt idx="19" formatCode="_(* #,##0.0_);_(* \(#,##0.0\);_(* &quot;-&quot;??_);_(@_)">
                  <c:v>2849.6158657351284</c:v>
                </c:pt>
                <c:pt idx="20" formatCode="_(* #,##0.0_);_(* \(#,##0.0\);_(* &quot;-&quot;??_);_(@_)">
                  <c:v>3291.2417441026923</c:v>
                </c:pt>
                <c:pt idx="21" formatCode="_(* #,##0.0_);_(* \(#,##0.0\);_(* &quot;-&quot;??_);_(@_)">
                  <c:v>3742.4227293769163</c:v>
                </c:pt>
                <c:pt idx="22" formatCode="_(* #,##0.0_);_(* \(#,##0.0\);_(* &quot;-&quot;??_);_(@_)">
                  <c:v>4189.3529479469034</c:v>
                </c:pt>
                <c:pt idx="23" formatCode="_(* #,##0.0_);_(* \(#,##0.0\);_(* &quot;-&quot;??_);_(@_)">
                  <c:v>4649.3718673162348</c:v>
                </c:pt>
                <c:pt idx="24" formatCode="_(* #,##0.0_);_(* \(#,##0.0\);_(* &quot;-&quot;??_);_(@_)">
                  <c:v>5124.388718732198</c:v>
                </c:pt>
                <c:pt idx="25" formatCode="_(* #,##0.0_);_(* \(#,##0.0\);_(* &quot;-&quot;??_);_(@_)">
                  <c:v>5606.2905299952345</c:v>
                </c:pt>
                <c:pt idx="26" formatCode="_(* #,##0.0_);_(* \(#,##0.0\);_(* &quot;-&quot;??_);_(@_)">
                  <c:v>6095.8986309562788</c:v>
                </c:pt>
                <c:pt idx="27" formatCode="_(* #,##0.0_);_(* \(#,##0.0\);_(* &quot;-&quot;??_);_(@_)">
                  <c:v>6593.911057966503</c:v>
                </c:pt>
                <c:pt idx="28" formatCode="_(* #,##0.0_);_(* \(#,##0.0\);_(* &quot;-&quot;??_);_(@_)">
                  <c:v>7090.4754316806675</c:v>
                </c:pt>
                <c:pt idx="29" formatCode="_(* #,##0.0_);_(* \(#,##0.0\);_(* &quot;-&quot;??_);_(@_)">
                  <c:v>7609.2790314995518</c:v>
                </c:pt>
                <c:pt idx="30" formatCode="_(* #,##0.0_);_(* \(#,##0.0\);_(* &quot;-&quot;??_);_(@_)">
                  <c:v>8139.6767705881321</c:v>
                </c:pt>
                <c:pt idx="31" formatCode="_(* #,##0.0_);_(* \(#,##0.0\);_(* &quot;-&quot;??_);_(@_)">
                  <c:v>8664.1780011276605</c:v>
                </c:pt>
                <c:pt idx="32" formatCode="_(* #,##0.0_);_(* \(#,##0.0\);_(* &quot;-&quot;??_);_(@_)">
                  <c:v>9212.9757765411814</c:v>
                </c:pt>
                <c:pt idx="33" formatCode="_(* #,##0.0_);_(* \(#,##0.0\);_(* &quot;-&quot;??_);_(@_)">
                  <c:v>9769.4720441671179</c:v>
                </c:pt>
                <c:pt idx="34" formatCode="_(* #,##0.0_);_(* \(#,##0.0\);_(* &quot;-&quot;??_);_(@_)">
                  <c:v>10316.807469796266</c:v>
                </c:pt>
                <c:pt idx="35" formatCode="_(* #,##0.0_);_(* \(#,##0.0\);_(* &quot;-&quot;??_);_(@_)">
                  <c:v>10920.662294864072</c:v>
                </c:pt>
                <c:pt idx="36" formatCode="_(* #,##0.0_);_(* \(#,##0.0\);_(* &quot;-&quot;??_);_(@_)">
                  <c:v>11532.261355067969</c:v>
                </c:pt>
                <c:pt idx="37" formatCode="_(* #,##0.0_);_(* \(#,##0.0\);_(* &quot;-&quot;??_);_(@_)">
                  <c:v>12138.069083423625</c:v>
                </c:pt>
                <c:pt idx="38" formatCode="_(* #,##0.0_);_(* \(#,##0.0\);_(* &quot;-&quot;??_);_(@_)">
                  <c:v>12774.084794540191</c:v>
                </c:pt>
                <c:pt idx="39" formatCode="_(* #,##0.0_);_(* \(#,##0.0\);_(* &quot;-&quot;??_);_(@_)">
                  <c:v>13421.303289671254</c:v>
                </c:pt>
                <c:pt idx="40" formatCode="_(* #,##0.0_);_(* \(#,##0.0\);_(* &quot;-&quot;??_);_(@_)">
                  <c:v>14059.927152134793</c:v>
                </c:pt>
                <c:pt idx="41" formatCode="_(* #,##0.0_);_(* \(#,##0.0\);_(* &quot;-&quot;??_);_(@_)">
                  <c:v>14729.258188233984</c:v>
                </c:pt>
                <c:pt idx="42" formatCode="_(* #,##0.0_);_(* \(#,##0.0\);_(* &quot;-&quot;??_);_(@_)">
                  <c:v>15406.670527729379</c:v>
                </c:pt>
                <c:pt idx="43" formatCode="_(* #,##0.0_);_(* \(#,##0.0\);_(* &quot;-&quot;??_);_(@_)">
                  <c:v>16094.595465113185</c:v>
                </c:pt>
                <c:pt idx="44" formatCode="_(* #,##0.0_);_(* \(#,##0.0\);_(* &quot;-&quot;??_);_(@_)">
                  <c:v>16794.714464508783</c:v>
                </c:pt>
                <c:pt idx="45" formatCode="_(* #,##0.0_);_(* \(#,##0.0\);_(* &quot;-&quot;??_);_(@_)">
                  <c:v>17507.426614448581</c:v>
                </c:pt>
                <c:pt idx="46" formatCode="_(* #,##0.0_);_(* \(#,##0.0\);_(* &quot;-&quot;??_);_(@_)">
                  <c:v>18233.176541511835</c:v>
                </c:pt>
                <c:pt idx="47" formatCode="_(* #,##0.0_);_(* \(#,##0.0\);_(* &quot;-&quot;??_);_(@_)">
                  <c:v>18972.474188966426</c:v>
                </c:pt>
                <c:pt idx="48" formatCode="_(* #,##0.0_);_(* \(#,##0.0\);_(* &quot;-&quot;??_);_(@_)">
                  <c:v>19725.928904113047</c:v>
                </c:pt>
                <c:pt idx="49" formatCode="_(* #,##0.0_);_(* \(#,##0.0\);_(* &quot;-&quot;??_);_(@_)">
                  <c:v>20494.312446147971</c:v>
                </c:pt>
                <c:pt idx="50" formatCode="_(* #,##0.0_);_(* \(#,##0.0\);_(* &quot;-&quot;??_);_(@_)">
                  <c:v>21278.688789322059</c:v>
                </c:pt>
                <c:pt idx="51" formatCode="_(* #,##0.0_);_(* \(#,##0.0\);_(* &quot;-&quot;??_);_(@_)">
                  <c:v>22080.725973664179</c:v>
                </c:pt>
                <c:pt idx="52" formatCode="_(* #,##0.0_);_(* \(#,##0.0\);_(* &quot;-&quot;??_);_(@_)">
                  <c:v>22924.621884078326</c:v>
                </c:pt>
                <c:pt idx="53" formatCode="_(* #,##0.0_);_(* \(#,##0.0\);_(* &quot;-&quot;??_);_(@_)">
                  <c:v>23786.313362060228</c:v>
                </c:pt>
                <c:pt idx="54" formatCode="_(* #,##0.0_);_(* \(#,##0.0\);_(* &quot;-&quot;??_);_(@_)">
                  <c:v>24723.903852685082</c:v>
                </c:pt>
                <c:pt idx="55" formatCode="_(* #,##0.0_);_(* \(#,##0.0\);_(* &quot;-&quot;??_);_(@_)">
                  <c:v>25680.946597837836</c:v>
                </c:pt>
                <c:pt idx="56" formatCode="_(* #,##0.0_);_(* \(#,##0.0\);_(* &quot;-&quot;??_);_(@_)">
                  <c:v>26703.876442360026</c:v>
                </c:pt>
                <c:pt idx="57" formatCode="_(* #,##0.0_);_(* \(#,##0.0\);_(* &quot;-&quot;??_);_(@_)">
                  <c:v>27747.14712212118</c:v>
                </c:pt>
                <c:pt idx="58" formatCode="_(* #,##0.0_);_(* \(#,##0.0\);_(* &quot;-&quot;??_);_(@_)">
                  <c:v>28811.218054061297</c:v>
                </c:pt>
                <c:pt idx="59" formatCode="_(* #,##0.0_);_(* \(#,##0.0\);_(* &quot;-&quot;??_);_(@_)">
                  <c:v>29896.559044494785</c:v>
                </c:pt>
                <c:pt idx="60" formatCode="_(* #,##0.0_);_(* \(#,##0.0\);_(* &quot;-&quot;??_);_(@_)">
                  <c:v>31003.650524336892</c:v>
                </c:pt>
                <c:pt idx="61" formatCode="_(* #,##0.0_);_(* \(#,##0.0\);_(* &quot;-&quot;??_);_(@_)">
                  <c:v>32132.983789661899</c:v>
                </c:pt>
                <c:pt idx="62" formatCode="_(* #,##0.0_);_(* \(#,##0.0\);_(* &quot;-&quot;??_);_(@_)">
                  <c:v>33285.06124771398</c:v>
                </c:pt>
                <c:pt idx="63" formatCode="_(* #,##0.0_);_(* \(#,##0.0\);_(* &quot;-&quot;??_);_(@_)">
                  <c:v>34460.396668494519</c:v>
                </c:pt>
                <c:pt idx="64" formatCode="_(* #,##0.0_);_(* \(#,##0.0\);_(* &quot;-&quot;??_);_(@_)">
                  <c:v>35659.51544205239</c:v>
                </c:pt>
                <c:pt idx="65" formatCode="_(* #,##0.0_);_(* \(#,##0.0\);_(* &quot;-&quot;??_);_(@_)">
                  <c:v>36882.95484160661</c:v>
                </c:pt>
                <c:pt idx="66" formatCode="_(* #,##0.0_);_(* \(#,##0.0\);_(* &quot;-&quot;??_);_(@_)">
                  <c:v>38131.264292633721</c:v>
                </c:pt>
                <c:pt idx="67" formatCode="_(* #,##0.0_);_(* \(#,##0.0\);_(* &quot;-&quot;??_);_(@_)">
                  <c:v>39405.005648055245</c:v>
                </c:pt>
                <c:pt idx="68" formatCode="_(* #,##0.0_);_(* \(#,##0.0\);_(* &quot;-&quot;??_);_(@_)">
                  <c:v>40704.753469663658</c:v>
                </c:pt>
                <c:pt idx="69" formatCode="_(* #,##0.0_);_(* \(#,##0.0\);_(* &quot;-&quot;??_);_(@_)">
                  <c:v>42031.095315928469</c:v>
                </c:pt>
                <c:pt idx="70" formatCode="_(* #,##0.0_);_(* \(#,##0.0\);_(* &quot;-&quot;??_);_(@_)">
                  <c:v>43343.566037438999</c:v>
                </c:pt>
                <c:pt idx="71" formatCode="_(* #,##0.0_);_(* \(#,##0.0\);_(* &quot;-&quot;??_);_(@_)">
                  <c:v>44162.111271402602</c:v>
                </c:pt>
              </c:numCache>
            </c:numRef>
          </c:val>
          <c:smooth val="0"/>
          <c:extLst>
            <c:ext xmlns:c16="http://schemas.microsoft.com/office/drawing/2014/chart" uri="{C3380CC4-5D6E-409C-BE32-E72D297353CC}">
              <c16:uniqueId val="{00000001-E83A-4AB4-9A96-471A0103777F}"/>
            </c:ext>
          </c:extLst>
        </c:ser>
        <c:ser>
          <c:idx val="2"/>
          <c:order val="2"/>
          <c:tx>
            <c:v>CCGT $10 CO2</c:v>
          </c:tx>
          <c:spPr>
            <a:ln w="28575" cap="rnd">
              <a:solidFill>
                <a:schemeClr val="accent3"/>
              </a:solidFill>
              <a:prstDash val="dash"/>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Charts.SMW'!$X$84:$X$155</c:f>
              <c:numCache>
                <c:formatCode>General</c:formatCode>
                <c:ptCount val="72"/>
                <c:pt idx="13" formatCode="_(* #,##0.0_);_(* \(#,##0.0\);_(* &quot;-&quot;??_);_(@_)">
                  <c:v>357.91544578644766</c:v>
                </c:pt>
                <c:pt idx="14" formatCode="_(* #,##0.0_);_(* \(#,##0.0\);_(* &quot;-&quot;??_);_(@_)">
                  <c:v>759.74600195311166</c:v>
                </c:pt>
                <c:pt idx="15" formatCode="_(* #,##0.0_);_(* \(#,##0.0\);_(* &quot;-&quot;??_);_(@_)">
                  <c:v>1206.8001545417608</c:v>
                </c:pt>
                <c:pt idx="16" formatCode="_(* #,##0.0_);_(* \(#,##0.0\);_(* &quot;-&quot;??_);_(@_)">
                  <c:v>1648.2967135096383</c:v>
                </c:pt>
                <c:pt idx="17" formatCode="_(* #,##0.0_);_(* \(#,##0.0\);_(* &quot;-&quot;??_);_(@_)">
                  <c:v>2119.1957665127361</c:v>
                </c:pt>
                <c:pt idx="18" formatCode="_(* #,##0.0_);_(* \(#,##0.0\);_(* &quot;-&quot;??_);_(@_)">
                  <c:v>2596.981976635906</c:v>
                </c:pt>
                <c:pt idx="19" formatCode="_(* #,##0.0_);_(* \(#,##0.0\);_(* &quot;-&quot;??_);_(@_)">
                  <c:v>3067.832365735128</c:v>
                </c:pt>
                <c:pt idx="20" formatCode="_(* #,##0.0_);_(* \(#,##0.0\);_(* &quot;-&quot;??_);_(@_)">
                  <c:v>3560.2122441026922</c:v>
                </c:pt>
                <c:pt idx="21" formatCode="_(* #,##0.0_);_(* \(#,##0.0\);_(* &quot;-&quot;??_);_(@_)">
                  <c:v>4062.4632293769159</c:v>
                </c:pt>
                <c:pt idx="22" formatCode="_(* #,##0.0_);_(* \(#,##0.0\);_(* &quot;-&quot;??_);_(@_)">
                  <c:v>4564.525417946903</c:v>
                </c:pt>
                <c:pt idx="23" formatCode="_(* #,##0.0_);_(* \(#,##0.0\);_(* &quot;-&quot;??_);_(@_)">
                  <c:v>5087.9645273162341</c:v>
                </c:pt>
                <c:pt idx="24" formatCode="_(* #,##0.0_);_(* \(#,##0.0\);_(* &quot;-&quot;??_);_(@_)">
                  <c:v>5623.9291287321976</c:v>
                </c:pt>
                <c:pt idx="25" formatCode="_(* #,##0.0_);_(* \(#,##0.0\);_(* &quot;-&quot;??_);_(@_)">
                  <c:v>6173.8966199952347</c:v>
                </c:pt>
                <c:pt idx="26" formatCode="_(* #,##0.0_);_(* \(#,##0.0\);_(* &quot;-&quot;??_);_(@_)">
                  <c:v>6731.9792209562793</c:v>
                </c:pt>
                <c:pt idx="27" formatCode="_(* #,##0.0_);_(* \(#,##0.0\);_(* &quot;-&quot;??_);_(@_)">
                  <c:v>7302.411017966504</c:v>
                </c:pt>
                <c:pt idx="28" formatCode="_(* #,##0.0_);_(* \(#,##0.0\);_(* &quot;-&quot;??_);_(@_)">
                  <c:v>7865.6610216806675</c:v>
                </c:pt>
                <c:pt idx="29" formatCode="_(* #,##0.0_);_(* \(#,##0.0\);_(* &quot;-&quot;??_);_(@_)">
                  <c:v>8458.8857414995528</c:v>
                </c:pt>
                <c:pt idx="30" formatCode="_(* #,##0.0_);_(* \(#,##0.0\);_(* &quot;-&quot;??_);_(@_)">
                  <c:v>9066.5233605881313</c:v>
                </c:pt>
                <c:pt idx="31" formatCode="_(* #,##0.0_);_(* \(#,##0.0\);_(* &quot;-&quot;??_);_(@_)">
                  <c:v>9666.5368511276574</c:v>
                </c:pt>
                <c:pt idx="32" formatCode="_(* #,##0.0_);_(* \(#,##0.0\);_(* &quot;-&quot;??_);_(@_)">
                  <c:v>10295.919136541175</c:v>
                </c:pt>
                <c:pt idx="33" formatCode="_(* #,##0.0_);_(* \(#,##0.0\);_(* &quot;-&quot;??_);_(@_)">
                  <c:v>10939.808284167109</c:v>
                </c:pt>
                <c:pt idx="34" formatCode="_(* #,##0.0_);_(* \(#,##0.0\);_(* &quot;-&quot;??_);_(@_)">
                  <c:v>11579.815719796254</c:v>
                </c:pt>
                <c:pt idx="35" formatCode="_(* #,##0.0_);_(* \(#,##0.0\);_(* &quot;-&quot;??_);_(@_)">
                  <c:v>12278.991794864061</c:v>
                </c:pt>
                <c:pt idx="36" formatCode="_(* #,##0.0_);_(* \(#,##0.0\);_(* &quot;-&quot;??_);_(@_)">
                  <c:v>13003.546105067959</c:v>
                </c:pt>
                <c:pt idx="37" formatCode="_(* #,##0.0_);_(* \(#,##0.0\);_(* &quot;-&quot;??_);_(@_)">
                  <c:v>13713.040203423616</c:v>
                </c:pt>
                <c:pt idx="38" formatCode="_(* #,##0.0_);_(* \(#,##0.0\);_(* &quot;-&quot;??_);_(@_)">
                  <c:v>14461.773914540181</c:v>
                </c:pt>
                <c:pt idx="39" formatCode="_(* #,##0.0_);_(* \(#,##0.0\);_(* &quot;-&quot;??_);_(@_)">
                  <c:v>15239.144909671244</c:v>
                </c:pt>
                <c:pt idx="40" formatCode="_(* #,##0.0_);_(* \(#,##0.0\);_(* &quot;-&quot;??_);_(@_)">
                  <c:v>15992.100022134784</c:v>
                </c:pt>
                <c:pt idx="41" formatCode="_(* #,##0.0_);_(* \(#,##0.0\);_(* &quot;-&quot;??_);_(@_)">
                  <c:v>16793.440058233973</c:v>
                </c:pt>
                <c:pt idx="42" formatCode="_(* #,##0.0_);_(* \(#,##0.0\);_(* &quot;-&quot;??_);_(@_)">
                  <c:v>17600.658397729367</c:v>
                </c:pt>
                <c:pt idx="43" formatCode="_(* #,##0.0_);_(* \(#,##0.0\);_(* &quot;-&quot;??_);_(@_)">
                  <c:v>18421.019825423584</c:v>
                </c:pt>
                <c:pt idx="44" formatCode="_(* #,##0.0_);_(* \(#,##0.0\);_(* &quot;-&quot;??_);_(@_)">
                  <c:v>19256.621354406736</c:v>
                </c:pt>
                <c:pt idx="45" formatCode="_(* #,##0.0_);_(* \(#,##0.0\);_(* &quot;-&quot;??_);_(@_)">
                  <c:v>20107.932132114602</c:v>
                </c:pt>
                <c:pt idx="46" formatCode="_(* #,##0.0_);_(* \(#,##0.0\);_(* &quot;-&quot;??_);_(@_)">
                  <c:v>20975.468455384587</c:v>
                </c:pt>
                <c:pt idx="47" formatCode="_(* #,##0.0_);_(* \(#,##0.0\);_(* &quot;-&quot;??_);_(@_)">
                  <c:v>21859.813586158663</c:v>
                </c:pt>
                <c:pt idx="48" formatCode="_(* #,##0.0_);_(* \(#,##0.0\);_(* &quot;-&quot;??_);_(@_)">
                  <c:v>22761.651876741125</c:v>
                </c:pt>
                <c:pt idx="49" formatCode="_(* #,##0.0_);_(* \(#,##0.0\);_(* &quot;-&quot;??_);_(@_)">
                  <c:v>23681.831816446913</c:v>
                </c:pt>
                <c:pt idx="50" formatCode="_(* #,##0.0_);_(* \(#,##0.0\);_(* &quot;-&quot;??_);_(@_)">
                  <c:v>24621.495874438293</c:v>
                </c:pt>
                <c:pt idx="51" formatCode="_(* #,##0.0_);_(* \(#,##0.0\);_(* &quot;-&quot;??_);_(@_)">
                  <c:v>25582.392391038506</c:v>
                </c:pt>
                <c:pt idx="52" formatCode="_(* #,##0.0_);_(* \(#,##0.0\);_(* &quot;-&quot;??_);_(@_)">
                  <c:v>26588.801398352676</c:v>
                </c:pt>
                <c:pt idx="53" formatCode="_(* #,##0.0_);_(* \(#,##0.0\);_(* &quot;-&quot;??_);_(@_)">
                  <c:v>27616.743774463303</c:v>
                </c:pt>
                <c:pt idx="54" formatCode="_(* #,##0.0_);_(* \(#,##0.0\);_(* &quot;-&quot;??_);_(@_)">
                  <c:v>28724.408933873841</c:v>
                </c:pt>
                <c:pt idx="55" formatCode="_(* #,##0.0_);_(* \(#,##0.0\);_(* &quot;-&quot;??_);_(@_)">
                  <c:v>29855.43806519435</c:v>
                </c:pt>
                <c:pt idx="56" formatCode="_(* #,##0.0_);_(* \(#,##0.0\);_(* &quot;-&quot;??_);_(@_)">
                  <c:v>31056.355982766156</c:v>
                </c:pt>
                <c:pt idx="57" formatCode="_(* #,##0.0_);_(* \(#,##0.0\);_(* &quot;-&quot;??_);_(@_)">
                  <c:v>32281.708461257062</c:v>
                </c:pt>
                <c:pt idx="58" formatCode="_(* #,##0.0_);_(* \(#,##0.0\);_(* &quot;-&quot;??_);_(@_)">
                  <c:v>33532.04907329772</c:v>
                </c:pt>
                <c:pt idx="59" formatCode="_(* #,##0.0_);_(* \(#,##0.0\);_(* &quot;-&quot;??_);_(@_)">
                  <c:v>34807.943946474057</c:v>
                </c:pt>
                <c:pt idx="60" formatCode="_(* #,##0.0_);_(* \(#,##0.0\);_(* &quot;-&quot;??_);_(@_)">
                  <c:v>36109.972048362106</c:v>
                </c:pt>
                <c:pt idx="61" formatCode="_(* #,##0.0_);_(* \(#,##0.0\);_(* &quot;-&quot;??_);_(@_)">
                  <c:v>37438.725478040105</c:v>
                </c:pt>
                <c:pt idx="62" formatCode="_(* #,##0.0_);_(* \(#,##0.0\);_(* &quot;-&quot;??_);_(@_)">
                  <c:v>38794.809764225298</c:v>
                </c:pt>
                <c:pt idx="63" formatCode="_(* #,##0.0_);_(* \(#,##0.0\);_(* &quot;-&quot;??_);_(@_)">
                  <c:v>40178.844170186007</c:v>
                </c:pt>
                <c:pt idx="64" formatCode="_(* #,##0.0_);_(* \(#,##0.0\);_(* &quot;-&quot;??_);_(@_)">
                  <c:v>41591.462005583198</c:v>
                </c:pt>
                <c:pt idx="65" formatCode="_(* #,##0.0_);_(* \(#,##0.0\);_(* &quot;-&quot;??_);_(@_)">
                  <c:v>43033.31094539904</c:v>
                </c:pt>
                <c:pt idx="66" formatCode="_(* #,##0.0_);_(* \(#,##0.0\);_(* &quot;-&quot;??_);_(@_)">
                  <c:v>44505.053356113793</c:v>
                </c:pt>
                <c:pt idx="67" formatCode="_(* #,##0.0_);_(* \(#,##0.0\);_(* &quot;-&quot;??_);_(@_)">
                  <c:v>46007.366629295771</c:v>
                </c:pt>
                <c:pt idx="68" formatCode="_(* #,##0.0_);_(* \(#,##0.0\);_(* &quot;-&quot;??_);_(@_)">
                  <c:v>47540.94352277313</c:v>
                </c:pt>
                <c:pt idx="69" formatCode="_(* #,##0.0_);_(* \(#,##0.0\);_(* &quot;-&quot;??_);_(@_)">
                  <c:v>49106.492509559866</c:v>
                </c:pt>
                <c:pt idx="70" formatCode="_(* #,##0.0_);_(* \(#,##0.0\);_(* &quot;-&quot;??_);_(@_)">
                  <c:v>50653.136057980759</c:v>
                </c:pt>
                <c:pt idx="71" formatCode="_(* #,##0.0_);_(* \(#,##0.0\);_(* &quot;-&quot;??_);_(@_)">
                  <c:v>51586.071489092028</c:v>
                </c:pt>
              </c:numCache>
            </c:numRef>
          </c:val>
          <c:smooth val="0"/>
          <c:extLst>
            <c:ext xmlns:c16="http://schemas.microsoft.com/office/drawing/2014/chart" uri="{C3380CC4-5D6E-409C-BE32-E72D297353CC}">
              <c16:uniqueId val="{00000002-E83A-4AB4-9A96-471A0103777F}"/>
            </c:ext>
          </c:extLst>
        </c:ser>
        <c:ser>
          <c:idx val="3"/>
          <c:order val="3"/>
          <c:tx>
            <c:v>CCGT $20 CO2</c:v>
          </c:tx>
          <c:spPr>
            <a:ln w="28575" cap="rnd">
              <a:solidFill>
                <a:schemeClr val="accent4"/>
              </a:solidFill>
              <a:prstDash val="lgDashDot"/>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Charts.SMW'!$X$162:$X$233</c:f>
              <c:numCache>
                <c:formatCode>General</c:formatCode>
                <c:ptCount val="72"/>
                <c:pt idx="13" formatCode="_(* #,##0.0_);_(* \(#,##0.0\);_(* &quot;-&quot;??_);_(@_)">
                  <c:v>355.46444578644764</c:v>
                </c:pt>
                <c:pt idx="14" formatCode="_(* #,##0.0_);_(* \(#,##0.0\);_(* &quot;-&quot;??_);_(@_)">
                  <c:v>756.73700195311164</c:v>
                </c:pt>
                <c:pt idx="15" formatCode="_(* #,##0.0_);_(* \(#,##0.0\);_(* &quot;-&quot;??_);_(@_)">
                  <c:v>1244.6151545417608</c:v>
                </c:pt>
                <c:pt idx="16" formatCode="_(* #,##0.0_);_(* \(#,##0.0\);_(* &quot;-&quot;??_);_(@_)">
                  <c:v>1728.1982135096384</c:v>
                </c:pt>
                <c:pt idx="17" formatCode="_(* #,##0.0_);_(* \(#,##0.0\);_(* &quot;-&quot;??_);_(@_)">
                  <c:v>2243.6012665127359</c:v>
                </c:pt>
                <c:pt idx="18" formatCode="_(* #,##0.0_);_(* \(#,##0.0\);_(* &quot;-&quot;??_);_(@_)">
                  <c:v>2768.2934766359062</c:v>
                </c:pt>
                <c:pt idx="19" formatCode="_(* #,##0.0_);_(* \(#,##0.0\);_(* &quot;-&quot;??_);_(@_)">
                  <c:v>3286.3868657351281</c:v>
                </c:pt>
                <c:pt idx="20" formatCode="_(* #,##0.0_);_(* \(#,##0.0\);_(* &quot;-&quot;??_);_(@_)">
                  <c:v>3830.0337441026923</c:v>
                </c:pt>
                <c:pt idx="21" formatCode="_(* #,##0.0_);_(* \(#,##0.0\);_(* &quot;-&quot;??_);_(@_)">
                  <c:v>4387.8062293769162</c:v>
                </c:pt>
                <c:pt idx="22" formatCode="_(* #,##0.0_);_(* \(#,##0.0\);_(* &quot;-&quot;??_);_(@_)">
                  <c:v>4938.6094179469028</c:v>
                </c:pt>
                <c:pt idx="23" formatCode="_(* #,##0.0_);_(* \(#,##0.0\);_(* &quot;-&quot;??_);_(@_)">
                  <c:v>5517.1360273162354</c:v>
                </c:pt>
                <c:pt idx="24" formatCode="_(* #,##0.0_);_(* \(#,##0.0\);_(* &quot;-&quot;??_);_(@_)">
                  <c:v>6109.5856287321994</c:v>
                </c:pt>
                <c:pt idx="25" formatCode="_(* #,##0.0_);_(* \(#,##0.0\);_(* &quot;-&quot;??_);_(@_)">
                  <c:v>6724.5296199952372</c:v>
                </c:pt>
                <c:pt idx="26" formatCode="_(* #,##0.0_);_(* \(#,##0.0\);_(* &quot;-&quot;??_);_(@_)">
                  <c:v>7347.9622209562813</c:v>
                </c:pt>
                <c:pt idx="27" formatCode="_(* #,##0.0_);_(* \(#,##0.0\);_(* &quot;-&quot;??_);_(@_)">
                  <c:v>7984.943017966506</c:v>
                </c:pt>
                <c:pt idx="28" formatCode="_(* #,##0.0_);_(* \(#,##0.0\);_(* &quot;-&quot;??_);_(@_)">
                  <c:v>8616.3140216806696</c:v>
                </c:pt>
                <c:pt idx="29" formatCode="_(* #,##0.0_);_(* \(#,##0.0\);_(* &quot;-&quot;??_);_(@_)">
                  <c:v>9290.3147414995547</c:v>
                </c:pt>
                <c:pt idx="30" formatCode="_(* #,##0.0_);_(* \(#,##0.0\);_(* &quot;-&quot;??_);_(@_)">
                  <c:v>9978.5653605881325</c:v>
                </c:pt>
                <c:pt idx="31" formatCode="_(* #,##0.0_);_(* \(#,##0.0\);_(* &quot;-&quot;??_);_(@_)">
                  <c:v>10653.94885112766</c:v>
                </c:pt>
                <c:pt idx="32" formatCode="_(* #,##0.0_);_(* \(#,##0.0\);_(* &quot;-&quot;??_);_(@_)">
                  <c:v>11375.947136541179</c:v>
                </c:pt>
                <c:pt idx="33" formatCode="_(* #,##0.0_);_(* \(#,##0.0\);_(* &quot;-&quot;??_);_(@_)">
                  <c:v>12121.393284167114</c:v>
                </c:pt>
                <c:pt idx="34" formatCode="_(* #,##0.0_);_(* \(#,##0.0\);_(* &quot;-&quot;??_);_(@_)">
                  <c:v>12844.307719796259</c:v>
                </c:pt>
                <c:pt idx="35" formatCode="_(* #,##0.0_);_(* \(#,##0.0\);_(* &quot;-&quot;??_);_(@_)">
                  <c:v>13649.982794864067</c:v>
                </c:pt>
                <c:pt idx="36" formatCode="_(* #,##0.0_);_(* \(#,##0.0\);_(* &quot;-&quot;??_);_(@_)">
                  <c:v>14487.273105067965</c:v>
                </c:pt>
                <c:pt idx="37" formatCode="_(* #,##0.0_);_(* \(#,##0.0\);_(* &quot;-&quot;??_);_(@_)">
                  <c:v>15296.621203423623</c:v>
                </c:pt>
                <c:pt idx="38" formatCode="_(* #,##0.0_);_(* \(#,##0.0\);_(* &quot;-&quot;??_);_(@_)">
                  <c:v>16156.205914540189</c:v>
                </c:pt>
                <c:pt idx="39" formatCode="_(* #,##0.0_);_(* \(#,##0.0\);_(* &quot;-&quot;??_);_(@_)">
                  <c:v>17040.017909671253</c:v>
                </c:pt>
                <c:pt idx="40" formatCode="_(* #,##0.0_);_(* \(#,##0.0\);_(* &quot;-&quot;??_);_(@_)">
                  <c:v>17907.049022134794</c:v>
                </c:pt>
                <c:pt idx="41" formatCode="_(* #,##0.0_);_(* \(#,##0.0\);_(* &quot;-&quot;??_);_(@_)">
                  <c:v>18829.654058233984</c:v>
                </c:pt>
                <c:pt idx="42" formatCode="_(* #,##0.0_);_(* \(#,##0.0\);_(* &quot;-&quot;??_);_(@_)">
                  <c:v>19760.894397729378</c:v>
                </c:pt>
                <c:pt idx="43" formatCode="_(* #,##0.0_);_(* \(#,##0.0\);_(* &quot;-&quot;??_);_(@_)">
                  <c:v>20704.593235703345</c:v>
                </c:pt>
                <c:pt idx="44" formatCode="_(* #,##0.0_);_(* \(#,##0.0\);_(* &quot;-&quot;??_);_(@_)">
                  <c:v>21666.368935402683</c:v>
                </c:pt>
                <c:pt idx="45" formatCode="_(* #,##0.0_);_(* \(#,##0.0\);_(* &quot;-&quot;??_);_(@_)">
                  <c:v>22646.755889753207</c:v>
                </c:pt>
                <c:pt idx="46" formatCode="_(* #,##0.0_);_(* \(#,##0.0\);_(* &quot;-&quot;??_);_(@_)">
                  <c:v>23646.337141728633</c:v>
                </c:pt>
                <c:pt idx="47" formatCode="_(* #,##0.0_);_(* \(#,##0.0\);_(* &quot;-&quot;??_);_(@_)">
                  <c:v>24665.764234568374</c:v>
                </c:pt>
                <c:pt idx="48" formatCode="_(* #,##0.0_);_(* \(#,##0.0\);_(* &quot;-&quot;??_);_(@_)">
                  <c:v>25705.791372344003</c:v>
                </c:pt>
                <c:pt idx="49" formatCode="_(* #,##0.0_);_(* \(#,##0.0\);_(* &quot;-&quot;??_);_(@_)">
                  <c:v>26767.338502728406</c:v>
                </c:pt>
                <c:pt idx="50" formatCode="_(* #,##0.0_);_(* \(#,##0.0\);_(* &quot;-&quot;??_);_(@_)">
                  <c:v>27851.62119678401</c:v>
                </c:pt>
                <c:pt idx="51" formatCode="_(* #,##0.0_);_(* \(#,##0.0\);_(* &quot;-&quot;??_);_(@_)">
                  <c:v>28960.462578077924</c:v>
                </c:pt>
                <c:pt idx="52" formatCode="_(* #,##0.0_);_(* \(#,##0.0\);_(* &quot;-&quot;??_);_(@_)">
                  <c:v>30118.219181973749</c:v>
                </c:pt>
                <c:pt idx="53" formatCode="_(* #,##0.0_);_(* \(#,##0.0\);_(* &quot;-&quot;??_);_(@_)">
                  <c:v>31300.990149387409</c:v>
                </c:pt>
                <c:pt idx="54" formatCode="_(* #,##0.0_);_(* \(#,##0.0\);_(* &quot;-&quot;??_);_(@_)">
                  <c:v>32567.044957700953</c:v>
                </c:pt>
                <c:pt idx="55" formatCode="_(* #,##0.0_);_(* \(#,##0.0\);_(* &quot;-&quot;??_);_(@_)">
                  <c:v>33860.106699849232</c:v>
                </c:pt>
                <c:pt idx="56" formatCode="_(* #,##0.0_);_(* \(#,##0.0\);_(* &quot;-&quot;??_);_(@_)">
                  <c:v>35226.783978297848</c:v>
                </c:pt>
                <c:pt idx="57" formatCode="_(* #,##0.0_);_(* \(#,##0.0\);_(* &quot;-&quot;??_);_(@_)">
                  <c:v>36621.708282965737</c:v>
                </c:pt>
                <c:pt idx="58" formatCode="_(* #,##0.0_);_(* \(#,##0.0\);_(* &quot;-&quot;??_);_(@_)">
                  <c:v>38045.520873185444</c:v>
                </c:pt>
                <c:pt idx="59" formatCode="_(* #,##0.0_);_(* \(#,##0.0\);_(* &quot;-&quot;??_);_(@_)">
                  <c:v>39498.877580038941</c:v>
                </c:pt>
                <c:pt idx="60" formatCode="_(* #,##0.0_);_(* \(#,##0.0\);_(* &quot;-&quot;??_);_(@_)">
                  <c:v>40982.449137778727</c:v>
                </c:pt>
                <c:pt idx="61" formatCode="_(* #,##0.0_);_(* \(#,##0.0\);_(* &quot;-&quot;??_);_(@_)">
                  <c:v>42496.921522793062</c:v>
                </c:pt>
                <c:pt idx="62" formatCode="_(* #,##0.0_);_(* \(#,##0.0\);_(* &quot;-&quot;??_);_(@_)">
                  <c:v>44042.996300287319</c:v>
                </c:pt>
                <c:pt idx="63" formatCode="_(* #,##0.0_);_(* \(#,##0.0\);_(* &quot;-&quot;??_);_(@_)">
                  <c:v>45621.390978857205</c:v>
                </c:pt>
                <c:pt idx="64" formatCode="_(* #,##0.0_);_(* \(#,##0.0\);_(* &quot;-&quot;??_);_(@_)">
                  <c:v>47232.839373133582</c:v>
                </c:pt>
                <c:pt idx="65" formatCode="_(* #,##0.0_);_(* \(#,##0.0\);_(* &quot;-&quot;??_);_(@_)">
                  <c:v>48878.091974682829</c:v>
                </c:pt>
                <c:pt idx="66" formatCode="_(* #,##0.0_);_(* \(#,##0.0\);_(* &quot;-&quot;??_);_(@_)">
                  <c:v>50557.916331350862</c:v>
                </c:pt>
                <c:pt idx="67" formatCode="_(* #,##0.0_);_(* \(#,##0.0\);_(* &quot;-&quot;??_);_(@_)">
                  <c:v>52273.097435243042</c:v>
                </c:pt>
                <c:pt idx="68" formatCode="_(* #,##0.0_);_(* \(#,##0.0\);_(* &quot;-&quot;??_);_(@_)">
                  <c:v>54024.438119536942</c:v>
                </c:pt>
                <c:pt idx="69" formatCode="_(* #,##0.0_);_(* \(#,##0.0\);_(* &quot;-&quot;??_);_(@_)">
                  <c:v>55812.759464328999</c:v>
                </c:pt>
                <c:pt idx="70" formatCode="_(* #,##0.0_);_(* \(#,##0.0\);_(* &quot;-&quot;??_);_(@_)">
                  <c:v>57577.486940837356</c:v>
                </c:pt>
                <c:pt idx="71" formatCode="_(* #,##0.0_);_(* \(#,##0.0\);_(* &quot;-&quot;??_);_(@_)">
                  <c:v>58616.953363856628</c:v>
                </c:pt>
              </c:numCache>
            </c:numRef>
          </c:val>
          <c:smooth val="0"/>
          <c:extLst>
            <c:ext xmlns:c16="http://schemas.microsoft.com/office/drawing/2014/chart" uri="{C3380CC4-5D6E-409C-BE32-E72D297353CC}">
              <c16:uniqueId val="{00000003-E83A-4AB4-9A96-471A0103777F}"/>
            </c:ext>
          </c:extLst>
        </c:ser>
        <c:dLbls>
          <c:showLegendKey val="0"/>
          <c:showVal val="0"/>
          <c:showCatName val="0"/>
          <c:showSerName val="0"/>
          <c:showPercent val="0"/>
          <c:showBubbleSize val="0"/>
        </c:dLbls>
        <c:smooth val="0"/>
        <c:axId val="483085104"/>
        <c:axId val="483078440"/>
      </c:lineChart>
      <c:catAx>
        <c:axId val="483085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78440"/>
        <c:crosses val="autoZero"/>
        <c:auto val="1"/>
        <c:lblAlgn val="ctr"/>
        <c:lblOffset val="100"/>
        <c:noMultiLvlLbl val="0"/>
      </c:catAx>
      <c:valAx>
        <c:axId val="48307844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85104"/>
        <c:crosses val="autoZero"/>
        <c:crossBetween val="between"/>
      </c:valAx>
      <c:spPr>
        <a:noFill/>
        <a:ln>
          <a:noFill/>
        </a:ln>
        <a:effectLst/>
      </c:spPr>
    </c:plotArea>
    <c:legend>
      <c:legendPos val="b"/>
      <c:layout>
        <c:manualLayout>
          <c:xMode val="edge"/>
          <c:yMode val="edge"/>
          <c:x val="0.12295072452552767"/>
          <c:y val="0.25516491354611209"/>
          <c:w val="0.20710660553180238"/>
          <c:h val="0.150381919817274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300" b="1" i="0" baseline="0">
                <a:effectLst/>
              </a:rPr>
              <a:t>Vogtle 3&amp;4 Versus Combined Cycle </a:t>
            </a:r>
            <a:endParaRPr lang="en-US" sz="1300">
              <a:effectLst/>
            </a:endParaRPr>
          </a:p>
          <a:p>
            <a:pPr>
              <a:defRPr/>
            </a:pPr>
            <a:r>
              <a:rPr lang="en-US" sz="1300" b="1" i="0" baseline="0">
                <a:effectLst/>
              </a:rPr>
              <a:t>Mod Gas Price Forecast</a:t>
            </a:r>
            <a:endParaRPr lang="en-US" sz="1300">
              <a:effectLst/>
            </a:endParaRPr>
          </a:p>
          <a:p>
            <a:pPr>
              <a:defRPr/>
            </a:pPr>
            <a:r>
              <a:rPr lang="en-US" sz="1300" b="1" i="0" baseline="0">
                <a:effectLst/>
              </a:rPr>
              <a:t>Cumulative Nominal Revenue Requirements</a:t>
            </a:r>
            <a:endParaRPr lang="en-US" sz="1300">
              <a:effectLst/>
            </a:endParaRPr>
          </a:p>
          <a:p>
            <a:pPr>
              <a:defRPr/>
            </a:pPr>
            <a:r>
              <a:rPr lang="en-US" sz="1300" b="1" i="0" baseline="0">
                <a:effectLst/>
              </a:rPr>
              <a:t>(Millions of Dollars)</a:t>
            </a:r>
            <a:endParaRPr lang="en-US" sz="1300">
              <a:effectLst/>
            </a:endParaRPr>
          </a:p>
        </c:rich>
      </c:tx>
      <c:layout>
        <c:manualLayout>
          <c:xMode val="edge"/>
          <c:yMode val="edge"/>
          <c:x val="0.27332004172555352"/>
          <c:y val="1.962058347142836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6173339738368245"/>
          <c:w val="0.9109395967142333"/>
          <c:h val="0.61288331001065199"/>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2303.2535933369004</c:v>
                </c:pt>
                <c:pt idx="7">
                  <c:v>2671.1457531905908</c:v>
                </c:pt>
                <c:pt idx="8">
                  <c:v>3103.2609092361186</c:v>
                </c:pt>
                <c:pt idx="9">
                  <c:v>3470.7052176408197</c:v>
                </c:pt>
                <c:pt idx="10">
                  <c:v>3745.9978143193512</c:v>
                </c:pt>
                <c:pt idx="11">
                  <c:v>4175.5272536606017</c:v>
                </c:pt>
                <c:pt idx="12">
                  <c:v>5261.6451715604808</c:v>
                </c:pt>
                <c:pt idx="13">
                  <c:v>6317.913404800287</c:v>
                </c:pt>
                <c:pt idx="14">
                  <c:v>7368.64974544293</c:v>
                </c:pt>
                <c:pt idx="15">
                  <c:v>8378.9810135591379</c:v>
                </c:pt>
                <c:pt idx="16">
                  <c:v>9373.3063692584965</c:v>
                </c:pt>
                <c:pt idx="17">
                  <c:v>10379.734901608685</c:v>
                </c:pt>
                <c:pt idx="18">
                  <c:v>11348.032012865173</c:v>
                </c:pt>
                <c:pt idx="19">
                  <c:v>12385.479496613352</c:v>
                </c:pt>
                <c:pt idx="20">
                  <c:v>13510.927889538259</c:v>
                </c:pt>
                <c:pt idx="21">
                  <c:v>14595.143756065925</c:v>
                </c:pt>
                <c:pt idx="22">
                  <c:v>15661.763814903694</c:v>
                </c:pt>
                <c:pt idx="23">
                  <c:v>16742.880232849348</c:v>
                </c:pt>
                <c:pt idx="24">
                  <c:v>17783.944409333766</c:v>
                </c:pt>
                <c:pt idx="25">
                  <c:v>18812.1655905148</c:v>
                </c:pt>
                <c:pt idx="26">
                  <c:v>19867.753350491905</c:v>
                </c:pt>
                <c:pt idx="27">
                  <c:v>20898.727355614799</c:v>
                </c:pt>
                <c:pt idx="28">
                  <c:v>21931.685856830263</c:v>
                </c:pt>
                <c:pt idx="29">
                  <c:v>23001.47798708854</c:v>
                </c:pt>
                <c:pt idx="30">
                  <c:v>24045.226963554389</c:v>
                </c:pt>
                <c:pt idx="31">
                  <c:v>25089.27058677885</c:v>
                </c:pt>
                <c:pt idx="32">
                  <c:v>26171.538585924165</c:v>
                </c:pt>
                <c:pt idx="33">
                  <c:v>27225.86394516685</c:v>
                </c:pt>
                <c:pt idx="34">
                  <c:v>28280.359051785108</c:v>
                </c:pt>
                <c:pt idx="35">
                  <c:v>29376.514558342849</c:v>
                </c:pt>
                <c:pt idx="36">
                  <c:v>30441.882229776678</c:v>
                </c:pt>
                <c:pt idx="37">
                  <c:v>31509.071313591707</c:v>
                </c:pt>
                <c:pt idx="38">
                  <c:v>32621.035850818469</c:v>
                </c:pt>
                <c:pt idx="39">
                  <c:v>33697.974931391407</c:v>
                </c:pt>
                <c:pt idx="40">
                  <c:v>34779.18026269682</c:v>
                </c:pt>
                <c:pt idx="41">
                  <c:v>35908.830021456481</c:v>
                </c:pt>
                <c:pt idx="42">
                  <c:v>36998.554114807324</c:v>
                </c:pt>
                <c:pt idx="43">
                  <c:v>38093.579033776463</c:v>
                </c:pt>
                <c:pt idx="44">
                  <c:v>39245.134212183526</c:v>
                </c:pt>
                <c:pt idx="45">
                  <c:v>40358.006222372249</c:v>
                </c:pt>
                <c:pt idx="46">
                  <c:v>41473.736668083402</c:v>
                </c:pt>
                <c:pt idx="47">
                  <c:v>42652.349966712565</c:v>
                </c:pt>
                <c:pt idx="48">
                  <c:v>43788.587959499229</c:v>
                </c:pt>
                <c:pt idx="49">
                  <c:v>44930.551352668932</c:v>
                </c:pt>
                <c:pt idx="50">
                  <c:v>46139.710859597704</c:v>
                </c:pt>
                <c:pt idx="51">
                  <c:v>47298.908714739046</c:v>
                </c:pt>
                <c:pt idx="52">
                  <c:v>48472.705135825425</c:v>
                </c:pt>
                <c:pt idx="53">
                  <c:v>49721.818989856889</c:v>
                </c:pt>
                <c:pt idx="54">
                  <c:v>50914.062084307632</c:v>
                </c:pt>
                <c:pt idx="55">
                  <c:v>52127.606207069686</c:v>
                </c:pt>
                <c:pt idx="56">
                  <c:v>53419.687760517867</c:v>
                </c:pt>
                <c:pt idx="57">
                  <c:v>54651.803712241919</c:v>
                </c:pt>
                <c:pt idx="58">
                  <c:v>55906.109376429849</c:v>
                </c:pt>
                <c:pt idx="59">
                  <c:v>57247.303612324162</c:v>
                </c:pt>
                <c:pt idx="60">
                  <c:v>58523.7853638007</c:v>
                </c:pt>
                <c:pt idx="61">
                  <c:v>59827.231825383176</c:v>
                </c:pt>
                <c:pt idx="62">
                  <c:v>61229.93743123395</c:v>
                </c:pt>
                <c:pt idx="63">
                  <c:v>62563.547671653527</c:v>
                </c:pt>
                <c:pt idx="64">
                  <c:v>63927.803660452264</c:v>
                </c:pt>
                <c:pt idx="65">
                  <c:v>65404.095564570503</c:v>
                </c:pt>
                <c:pt idx="66">
                  <c:v>66807.486884922939</c:v>
                </c:pt>
                <c:pt idx="67">
                  <c:v>68248.605780474667</c:v>
                </c:pt>
                <c:pt idx="68">
                  <c:v>69804.450507626258</c:v>
                </c:pt>
                <c:pt idx="69">
                  <c:v>71286.434220326089</c:v>
                </c:pt>
                <c:pt idx="70">
                  <c:v>72862.790489955369</c:v>
                </c:pt>
                <c:pt idx="71">
                  <c:v>74044.232469521201</c:v>
                </c:pt>
              </c:numCache>
            </c:numRef>
          </c:val>
          <c:smooth val="0"/>
          <c:extLst>
            <c:ext xmlns:c16="http://schemas.microsoft.com/office/drawing/2014/chart" uri="{C3380CC4-5D6E-409C-BE32-E72D297353CC}">
              <c16:uniqueId val="{00000000-F244-40FF-822E-06C3BDB11AC7}"/>
            </c:ext>
          </c:extLst>
        </c:ser>
        <c:ser>
          <c:idx val="1"/>
          <c:order val="1"/>
          <c:tx>
            <c:v>CCGT $0 CO2</c:v>
          </c:tx>
          <c:spPr>
            <a:ln w="28575" cap="rnd">
              <a:solidFill>
                <a:schemeClr val="accent2"/>
              </a:solidFill>
              <a:prstDash val="sysDot"/>
              <a:round/>
            </a:ln>
            <a:effectLst/>
          </c:spPr>
          <c:marker>
            <c:symbol val="none"/>
          </c:marker>
          <c:val>
            <c:numRef>
              <c:f>'TN Rev Req Charts.SMW'!$Y$6:$Y$77</c:f>
              <c:numCache>
                <c:formatCode>General</c:formatCode>
                <c:ptCount val="72"/>
                <c:pt idx="13" formatCode="_(* #,##0.0_);_(* \(#,##0.0\);_(* &quot;-&quot;??_);_(@_)">
                  <c:v>386.78369578644765</c:v>
                </c:pt>
                <c:pt idx="14" formatCode="_(* #,##0.0_);_(* \(#,##0.0\);_(* &quot;-&quot;??_);_(@_)">
                  <c:v>828.74600195311166</c:v>
                </c:pt>
                <c:pt idx="15" formatCode="_(* #,##0.0_);_(* \(#,##0.0\);_(* &quot;-&quot;??_);_(@_)">
                  <c:v>1278.7171545417609</c:v>
                </c:pt>
                <c:pt idx="16" formatCode="_(* #,##0.0_);_(* \(#,##0.0\);_(* &quot;-&quot;??_);_(@_)">
                  <c:v>1728.3502135096385</c:v>
                </c:pt>
                <c:pt idx="17" formatCode="_(* #,##0.0_);_(* \(#,##0.0\);_(* &quot;-&quot;??_);_(@_)">
                  <c:v>2205.0402665127363</c:v>
                </c:pt>
                <c:pt idx="18" formatCode="_(* #,##0.0_);_(* \(#,##0.0\);_(* &quot;-&quot;??_);_(@_)">
                  <c:v>2690.5759766359065</c:v>
                </c:pt>
                <c:pt idx="19" formatCode="_(* #,##0.0_);_(* \(#,##0.0\);_(* &quot;-&quot;??_);_(@_)">
                  <c:v>3173.8692457351285</c:v>
                </c:pt>
                <c:pt idx="20" formatCode="_(* #,##0.0_);_(* \(#,##0.0\);_(* &quot;-&quot;??_);_(@_)">
                  <c:v>3679.0069041026927</c:v>
                </c:pt>
                <c:pt idx="21" formatCode="_(* #,##0.0_);_(* \(#,##0.0\);_(* &quot;-&quot;??_);_(@_)">
                  <c:v>4196.3354093769167</c:v>
                </c:pt>
                <c:pt idx="22" formatCode="_(* #,##0.0_);_(* \(#,##0.0\);_(* &quot;-&quot;??_);_(@_)">
                  <c:v>4712.5781779469035</c:v>
                </c:pt>
                <c:pt idx="23" formatCode="_(* #,##0.0_);_(* \(#,##0.0\);_(* &quot;-&quot;??_);_(@_)">
                  <c:v>5255.642667316235</c:v>
                </c:pt>
                <c:pt idx="24" formatCode="_(* #,##0.0_);_(* \(#,##0.0\);_(* &quot;-&quot;??_);_(@_)">
                  <c:v>5808.7382687321988</c:v>
                </c:pt>
                <c:pt idx="25" formatCode="_(* #,##0.0_);_(* \(#,##0.0\);_(* &quot;-&quot;??_);_(@_)">
                  <c:v>6378.3129199952364</c:v>
                </c:pt>
                <c:pt idx="26" formatCode="_(* #,##0.0_);_(* \(#,##0.0\);_(* &quot;-&quot;??_);_(@_)">
                  <c:v>6960.6521409562802</c:v>
                </c:pt>
                <c:pt idx="27" formatCode="_(* #,##0.0_);_(* \(#,##0.0\);_(* &quot;-&quot;??_);_(@_)">
                  <c:v>7560.133687966505</c:v>
                </c:pt>
                <c:pt idx="28" formatCode="_(* #,##0.0_);_(* \(#,##0.0\);_(* &quot;-&quot;??_);_(@_)">
                  <c:v>8155.4796316806687</c:v>
                </c:pt>
                <c:pt idx="29" formatCode="_(* #,##0.0_);_(* \(#,##0.0\);_(* &quot;-&quot;??_);_(@_)">
                  <c:v>8784.1689714995537</c:v>
                </c:pt>
                <c:pt idx="30" formatCode="_(* #,##0.0_);_(* \(#,##0.0\);_(* &quot;-&quot;??_);_(@_)">
                  <c:v>9424.2167205881306</c:v>
                </c:pt>
                <c:pt idx="31" formatCode="_(* #,##0.0_);_(* \(#,##0.0\);_(* &quot;-&quot;??_);_(@_)">
                  <c:v>10059.417591127656</c:v>
                </c:pt>
                <c:pt idx="32" formatCode="_(* #,##0.0_);_(* \(#,##0.0\);_(* &quot;-&quot;??_);_(@_)">
                  <c:v>10729.443256541173</c:v>
                </c:pt>
                <c:pt idx="33" formatCode="_(* #,##0.0_);_(* \(#,##0.0\);_(* &quot;-&quot;??_);_(@_)">
                  <c:v>11412.805654167109</c:v>
                </c:pt>
                <c:pt idx="34" formatCode="_(* #,##0.0_);_(* \(#,##0.0\);_(* &quot;-&quot;??_);_(@_)">
                  <c:v>12089.337089796254</c:v>
                </c:pt>
                <c:pt idx="35" formatCode="_(* #,##0.0_);_(* \(#,##0.0\);_(* &quot;-&quot;??_);_(@_)">
                  <c:v>12827.709914864061</c:v>
                </c:pt>
                <c:pt idx="36" formatCode="_(* #,##0.0_);_(* \(#,##0.0\);_(* &quot;-&quot;??_);_(@_)">
                  <c:v>13583.19684506796</c:v>
                </c:pt>
                <c:pt idx="37" formatCode="_(* #,##0.0_);_(* \(#,##0.0\);_(* &quot;-&quot;??_);_(@_)">
                  <c:v>14333.263443423617</c:v>
                </c:pt>
                <c:pt idx="38" formatCode="_(* #,##0.0_);_(* \(#,##0.0\);_(* &quot;-&quot;??_);_(@_)">
                  <c:v>15120.209654540184</c:v>
                </c:pt>
                <c:pt idx="39" formatCode="_(* #,##0.0_);_(* \(#,##0.0\);_(* &quot;-&quot;??_);_(@_)">
                  <c:v>15923.992529671244</c:v>
                </c:pt>
                <c:pt idx="40" formatCode="_(* #,##0.0_);_(* \(#,##0.0\);_(* &quot;-&quot;??_);_(@_)">
                  <c:v>16719.761142134783</c:v>
                </c:pt>
                <c:pt idx="41" formatCode="_(* #,##0.0_);_(* \(#,##0.0\);_(* &quot;-&quot;??_);_(@_)">
                  <c:v>17558.563678233972</c:v>
                </c:pt>
                <c:pt idx="42" formatCode="_(* #,##0.0_);_(* \(#,##0.0\);_(* &quot;-&quot;??_);_(@_)">
                  <c:v>18411.140017729365</c:v>
                </c:pt>
                <c:pt idx="43" formatCode="_(* #,##0.0_);_(* \(#,##0.0\);_(* &quot;-&quot;??_);_(@_)">
                  <c:v>19272.138166588265</c:v>
                </c:pt>
                <c:pt idx="44" formatCode="_(* #,##0.0_);_(* \(#,##0.0\);_(* &quot;-&quot;??_);_(@_)">
                  <c:v>20149.311061322889</c:v>
                </c:pt>
                <c:pt idx="45" formatCode="_(* #,##0.0_);_(* \(#,##0.0\);_(* &quot;-&quot;??_);_(@_)">
                  <c:v>21043.149346194507</c:v>
                </c:pt>
                <c:pt idx="46" formatCode="_(* #,##0.0_);_(* \(#,##0.0\);_(* &quot;-&quot;??_);_(@_)">
                  <c:v>21954.191309293012</c:v>
                </c:pt>
                <c:pt idx="47" formatCode="_(* #,##0.0_);_(* \(#,##0.0\);_(* &quot;-&quot;??_);_(@_)">
                  <c:v>22883.042709611669</c:v>
                </c:pt>
                <c:pt idx="48" formatCode="_(* #,##0.0_);_(* \(#,##0.0\);_(* &quot;-&quot;??_);_(@_)">
                  <c:v>23830.410913938231</c:v>
                </c:pt>
                <c:pt idx="49" formatCode="_(* #,##0.0_);_(* \(#,##0.0\);_(* &quot;-&quot;??_);_(@_)">
                  <c:v>24797.167955404235</c:v>
                </c:pt>
                <c:pt idx="50" formatCode="_(* #,##0.0_);_(* \(#,##0.0\);_(* &quot;-&quot;??_);_(@_)">
                  <c:v>25784.480388496318</c:v>
                </c:pt>
                <c:pt idx="51" formatCode="_(* #,##0.0_);_(* \(#,##0.0\);_(* &quot;-&quot;??_);_(@_)">
                  <c:v>26794.12119282455</c:v>
                </c:pt>
                <c:pt idx="52" formatCode="_(* #,##0.0_);_(* \(#,##0.0\);_(* &quot;-&quot;??_);_(@_)">
                  <c:v>27850.395606484482</c:v>
                </c:pt>
                <c:pt idx="53" formatCode="_(* #,##0.0_);_(* \(#,##0.0\);_(* &quot;-&quot;??_);_(@_)">
                  <c:v>28929.350293286825</c:v>
                </c:pt>
                <c:pt idx="54" formatCode="_(* #,##0.0_);_(* \(#,##0.0\);_(* &quot;-&quot;??_);_(@_)">
                  <c:v>30089.201046534989</c:v>
                </c:pt>
                <c:pt idx="55" formatCode="_(* #,##0.0_);_(* \(#,##0.0\);_(* &quot;-&quot;??_);_(@_)">
                  <c:v>31273.616040351382</c:v>
                </c:pt>
                <c:pt idx="56" formatCode="_(* #,##0.0_);_(* \(#,##0.0\);_(* &quot;-&quot;??_);_(@_)">
                  <c:v>32529.147695256484</c:v>
                </c:pt>
                <c:pt idx="57" formatCode="_(* #,##0.0_);_(* \(#,##0.0\);_(* &quot;-&quot;??_);_(@_)">
                  <c:v>33810.370027039353</c:v>
                </c:pt>
                <c:pt idx="58" formatCode="_(* #,##0.0_);_(* \(#,##0.0\);_(* &quot;-&quot;??_);_(@_)">
                  <c:v>35117.865498997686</c:v>
                </c:pt>
                <c:pt idx="59" formatCode="_(* #,##0.0_);_(* \(#,##0.0\);_(* &quot;-&quot;??_);_(@_)">
                  <c:v>36452.229793869803</c:v>
                </c:pt>
                <c:pt idx="60" formatCode="_(* #,##0.0_);_(* \(#,##0.0\);_(* &quot;-&quot;??_);_(@_)">
                  <c:v>37814.07211415263</c:v>
                </c:pt>
                <c:pt idx="61" formatCode="_(* #,##0.0_);_(* \(#,##0.0\);_(* &quot;-&quot;??_);_(@_)">
                  <c:v>39204.015489248501</c:v>
                </c:pt>
                <c:pt idx="62" formatCode="_(* #,##0.0_);_(* \(#,##0.0\);_(* &quot;-&quot;??_);_(@_)">
                  <c:v>40622.697089596171</c:v>
                </c:pt>
                <c:pt idx="63" formatCode="_(* #,##0.0_);_(* \(#,##0.0\);_(* &quot;-&quot;??_);_(@_)">
                  <c:v>42070.768547945096</c:v>
                </c:pt>
                <c:pt idx="64" formatCode="_(* #,##0.0_);_(* \(#,##0.0\);_(* &quot;-&quot;??_);_(@_)">
                  <c:v>43548.896287935429</c:v>
                </c:pt>
                <c:pt idx="65" formatCode="_(* #,##0.0_);_(* \(#,##0.0\);_(* &quot;-&quot;??_);_(@_)">
                  <c:v>45057.761860150058</c:v>
                </c:pt>
                <c:pt idx="66" formatCode="_(* #,##0.0_);_(* \(#,##0.0\);_(* &quot;-&quot;??_);_(@_)">
                  <c:v>46598.062285808766</c:v>
                </c:pt>
                <c:pt idx="67" formatCode="_(* #,##0.0_);_(* \(#,##0.0\);_(* &quot;-&quot;??_);_(@_)">
                  <c:v>48170.510408278409</c:v>
                </c:pt>
                <c:pt idx="68" formatCode="_(* #,##0.0_);_(* \(#,##0.0\);_(* &quot;-&quot;??_);_(@_)">
                  <c:v>49775.835252577053</c:v>
                </c:pt>
                <c:pt idx="69" formatCode="_(* #,##0.0_);_(* \(#,##0.0\);_(* &quot;-&quot;??_);_(@_)">
                  <c:v>51414.782393053967</c:v>
                </c:pt>
                <c:pt idx="70" formatCode="_(* #,##0.0_);_(* \(#,##0.0\);_(* &quot;-&quot;??_);_(@_)">
                  <c:v>53033.279369855496</c:v>
                </c:pt>
                <c:pt idx="71" formatCode="_(* #,##0.0_);_(* \(#,##0.0\);_(* &quot;-&quot;??_);_(@_)">
                  <c:v>54001.314210008546</c:v>
                </c:pt>
              </c:numCache>
            </c:numRef>
          </c:val>
          <c:smooth val="0"/>
          <c:extLst>
            <c:ext xmlns:c16="http://schemas.microsoft.com/office/drawing/2014/chart" uri="{C3380CC4-5D6E-409C-BE32-E72D297353CC}">
              <c16:uniqueId val="{00000001-F244-40FF-822E-06C3BDB11AC7}"/>
            </c:ext>
          </c:extLst>
        </c:ser>
        <c:ser>
          <c:idx val="2"/>
          <c:order val="2"/>
          <c:tx>
            <c:v>CCGT $10 CO2</c:v>
          </c:tx>
          <c:spPr>
            <a:ln w="28575" cap="rnd">
              <a:solidFill>
                <a:schemeClr val="accent3"/>
              </a:solidFill>
              <a:prstDash val="dash"/>
              <a:round/>
            </a:ln>
            <a:effectLst/>
          </c:spPr>
          <c:marker>
            <c:symbol val="none"/>
          </c:marker>
          <c:val>
            <c:numRef>
              <c:f>'TN Rev Req Charts.SMW'!$Y$84:$Y$155</c:f>
              <c:numCache>
                <c:formatCode>General</c:formatCode>
                <c:ptCount val="72"/>
                <c:pt idx="13" formatCode="_(* #,##0.0_);_(* \(#,##0.0\);_(* &quot;-&quot;??_);_(@_)">
                  <c:v>382.01819578644762</c:v>
                </c:pt>
                <c:pt idx="14" formatCode="_(* #,##0.0_);_(* \(#,##0.0\);_(* &quot;-&quot;??_);_(@_)">
                  <c:v>823.01075195311159</c:v>
                </c:pt>
                <c:pt idx="15" formatCode="_(* #,##0.0_);_(* \(#,##0.0\);_(* &quot;-&quot;??_);_(@_)">
                  <c:v>1313.2479045417608</c:v>
                </c:pt>
                <c:pt idx="16" formatCode="_(* #,##0.0_);_(* \(#,##0.0\);_(* &quot;-&quot;??_);_(@_)">
                  <c:v>1799.9664635096385</c:v>
                </c:pt>
                <c:pt idx="17" formatCode="_(* #,##0.0_);_(* \(#,##0.0\);_(* &quot;-&quot;??_);_(@_)">
                  <c:v>2319.7560165127361</c:v>
                </c:pt>
                <c:pt idx="18" formatCode="_(* #,##0.0_);_(* \(#,##0.0\);_(* &quot;-&quot;??_);_(@_)">
                  <c:v>2853.0967266359062</c:v>
                </c:pt>
                <c:pt idx="19" formatCode="_(* #,##0.0_);_(* \(#,##0.0\);_(* &quot;-&quot;??_);_(@_)">
                  <c:v>3381.7896157351283</c:v>
                </c:pt>
                <c:pt idx="20" formatCode="_(* #,##0.0_);_(* \(#,##0.0\);_(* &quot;-&quot;??_);_(@_)">
                  <c:v>3939.7094941026926</c:v>
                </c:pt>
                <c:pt idx="21" formatCode="_(* #,##0.0_);_(* \(#,##0.0\);_(* &quot;-&quot;??_);_(@_)">
                  <c:v>4511.5969793769164</c:v>
                </c:pt>
                <c:pt idx="22" formatCode="_(* #,##0.0_);_(* \(#,##0.0\);_(* &quot;-&quot;??_);_(@_)">
                  <c:v>5079.9136679469029</c:v>
                </c:pt>
                <c:pt idx="23" formatCode="_(* #,##0.0_);_(* \(#,##0.0\);_(* &quot;-&quot;??_);_(@_)">
                  <c:v>5682.3417773162346</c:v>
                </c:pt>
                <c:pt idx="24" formatCode="_(* #,##0.0_);_(* \(#,##0.0\);_(* &quot;-&quot;??_);_(@_)">
                  <c:v>6300.551878732198</c:v>
                </c:pt>
                <c:pt idx="25" formatCode="_(* #,##0.0_);_(* \(#,##0.0\);_(* &quot;-&quot;??_);_(@_)">
                  <c:v>6935.1578699952361</c:v>
                </c:pt>
                <c:pt idx="26" formatCode="_(* #,##0.0_);_(* \(#,##0.0\);_(* &quot;-&quot;??_);_(@_)">
                  <c:v>7581.3289709562796</c:v>
                </c:pt>
                <c:pt idx="27" formatCode="_(* #,##0.0_);_(* \(#,##0.0\);_(* &quot;-&quot;??_);_(@_)">
                  <c:v>8250.1227679665044</c:v>
                </c:pt>
                <c:pt idx="28" formatCode="_(* #,##0.0_);_(* \(#,##0.0\);_(* &quot;-&quot;??_);_(@_)">
                  <c:v>8911.4647716806685</c:v>
                </c:pt>
                <c:pt idx="29" formatCode="_(* #,##0.0_);_(* \(#,##0.0\);_(* &quot;-&quot;??_);_(@_)">
                  <c:v>9617.2384914995546</c:v>
                </c:pt>
                <c:pt idx="30" formatCode="_(* #,##0.0_);_(* \(#,##0.0\);_(* &quot;-&quot;??_);_(@_)">
                  <c:v>10341.894110588133</c:v>
                </c:pt>
                <c:pt idx="31" formatCode="_(* #,##0.0_);_(* \(#,##0.0\);_(* &quot;-&quot;??_);_(@_)">
                  <c:v>11054.59860112766</c:v>
                </c:pt>
                <c:pt idx="32" formatCode="_(* #,##0.0_);_(* \(#,##0.0\);_(* &quot;-&quot;??_);_(@_)">
                  <c:v>11816.734886541179</c:v>
                </c:pt>
                <c:pt idx="33" formatCode="_(* #,##0.0_);_(* \(#,##0.0\);_(* &quot;-&quot;??_);_(@_)">
                  <c:v>12593.851034167114</c:v>
                </c:pt>
                <c:pt idx="34" formatCode="_(* #,##0.0_);_(* \(#,##0.0\);_(* &quot;-&quot;??_);_(@_)">
                  <c:v>13357.867469796258</c:v>
                </c:pt>
                <c:pt idx="35" formatCode="_(* #,##0.0_);_(* \(#,##0.0\);_(* &quot;-&quot;??_);_(@_)">
                  <c:v>14192.792544864065</c:v>
                </c:pt>
                <c:pt idx="36" formatCode="_(* #,##0.0_);_(* \(#,##0.0\);_(* &quot;-&quot;??_);_(@_)">
                  <c:v>15054.947855067963</c:v>
                </c:pt>
                <c:pt idx="37" formatCode="_(* #,##0.0_);_(* \(#,##0.0\);_(* &quot;-&quot;??_);_(@_)">
                  <c:v>15909.51395342362</c:v>
                </c:pt>
                <c:pt idx="38" formatCode="_(* #,##0.0_);_(* \(#,##0.0\);_(* &quot;-&quot;??_);_(@_)">
                  <c:v>16806.137664540187</c:v>
                </c:pt>
                <c:pt idx="39" formatCode="_(* #,##0.0_);_(* \(#,##0.0\);_(* &quot;-&quot;??_);_(@_)">
                  <c:v>17730.769659671249</c:v>
                </c:pt>
                <c:pt idx="40" formatCode="_(* #,##0.0_);_(* \(#,##0.0\);_(* &quot;-&quot;??_);_(@_)">
                  <c:v>18638.898772134788</c:v>
                </c:pt>
                <c:pt idx="41" formatCode="_(* #,##0.0_);_(* \(#,##0.0\);_(* &quot;-&quot;??_);_(@_)">
                  <c:v>19602.045808233979</c:v>
                </c:pt>
                <c:pt idx="42" formatCode="_(* #,##0.0_);_(* \(#,##0.0\);_(* &quot;-&quot;??_);_(@_)">
                  <c:v>20586.398147729375</c:v>
                </c:pt>
                <c:pt idx="43" formatCode="_(* #,##0.0_);_(* \(#,##0.0\);_(* &quot;-&quot;??_);_(@_)">
                  <c:v>21575.490469687928</c:v>
                </c:pt>
                <c:pt idx="44" formatCode="_(* #,##0.0_);_(* \(#,##0.0\);_(* &quot;-&quot;??_);_(@_)">
                  <c:v>22583.703703503492</c:v>
                </c:pt>
                <c:pt idx="45" formatCode="_(* #,##0.0_);_(* \(#,##0.0\);_(* &quot;-&quot;??_);_(@_)">
                  <c:v>23611.596255254917</c:v>
                </c:pt>
                <c:pt idx="46" formatCode="_(* #,##0.0_);_(* \(#,##0.0\);_(* &quot;-&quot;??_);_(@_)">
                  <c:v>24659.775733371465</c:v>
                </c:pt>
                <c:pt idx="47" formatCode="_(* #,##0.0_);_(* \(#,##0.0\);_(* &quot;-&quot;??_);_(@_)">
                  <c:v>25728.918811553573</c:v>
                </c:pt>
                <c:pt idx="48" formatCode="_(* #,##0.0_);_(* \(#,##0.0\);_(* &quot;-&quot;??_);_(@_)">
                  <c:v>26819.805402334448</c:v>
                </c:pt>
                <c:pt idx="49" formatCode="_(* #,##0.0_);_(* \(#,##0.0\);_(* &quot;-&quot;??_);_(@_)">
                  <c:v>27933.381753143214</c:v>
                </c:pt>
                <c:pt idx="50" formatCode="_(* #,##0.0_);_(* \(#,##0.0\);_(* &quot;-&quot;??_);_(@_)">
                  <c:v>29070.890339692942</c:v>
                </c:pt>
                <c:pt idx="51" formatCode="_(* #,##0.0_);_(* \(#,##0.0\);_(* &quot;-&quot;??_);_(@_)">
                  <c:v>30234.18180900834</c:v>
                </c:pt>
                <c:pt idx="52" formatCode="_(* #,##0.0_);_(* \(#,##0.0\);_(* &quot;-&quot;??_);_(@_)">
                  <c:v>31447.64085295015</c:v>
                </c:pt>
                <c:pt idx="53" formatCode="_(* #,##0.0_);_(* \(#,##0.0\);_(* &quot;-&quot;??_);_(@_)">
                  <c:v>32687.395416530853</c:v>
                </c:pt>
                <c:pt idx="54" formatCode="_(* #,##0.0_);_(* \(#,##0.0\);_(* &quot;-&quot;??_);_(@_)">
                  <c:v>34011.744443723277</c:v>
                </c:pt>
                <c:pt idx="55" formatCode="_(* #,##0.0_);_(* \(#,##0.0\);_(* &quot;-&quot;??_);_(@_)">
                  <c:v>35364.441171784652</c:v>
                </c:pt>
                <c:pt idx="56" formatCode="_(* #,##0.0_);_(* \(#,##0.0\);_(* &quot;-&quot;??_);_(@_)">
                  <c:v>36792.125040822371</c:v>
                </c:pt>
                <c:pt idx="57" formatCode="_(* #,##0.0_);_(* \(#,##0.0\);_(* &quot;-&quot;??_);_(@_)">
                  <c:v>38249.459087662908</c:v>
                </c:pt>
                <c:pt idx="58" formatCode="_(* #,##0.0_);_(* \(#,##0.0\);_(* &quot;-&quot;??_);_(@_)">
                  <c:v>39737.11684412523</c:v>
                </c:pt>
                <c:pt idx="59" formatCode="_(* #,##0.0_);_(* \(#,##0.0\);_(* &quot;-&quot;??_);_(@_)">
                  <c:v>41255.787156044935</c:v>
                </c:pt>
                <c:pt idx="60" formatCode="_(* #,##0.0_);_(* \(#,##0.0\);_(* &quot;-&quot;??_);_(@_)">
                  <c:v>42806.174531767443</c:v>
                </c:pt>
                <c:pt idx="61" formatCode="_(* #,##0.0_);_(* \(#,##0.0\);_(* &quot;-&quot;??_);_(@_)">
                  <c:v>44388.999498578101</c:v>
                </c:pt>
                <c:pt idx="62" formatCode="_(* #,##0.0_);_(* \(#,##0.0\);_(* &quot;-&quot;??_);_(@_)">
                  <c:v>46004.998967250001</c:v>
                </c:pt>
                <c:pt idx="63" formatCode="_(* #,##0.0_);_(* \(#,##0.0\);_(* &quot;-&quot;??_);_(@_)">
                  <c:v>47654.926604894616</c:v>
                </c:pt>
                <c:pt idx="64" formatCode="_(* #,##0.0_);_(* \(#,##0.0\);_(* &quot;-&quot;??_);_(@_)">
                  <c:v>49339.553216304434</c:v>
                </c:pt>
                <c:pt idx="65" formatCode="_(* #,##0.0_);_(* \(#,##0.0\);_(* &quot;-&quot;??_);_(@_)">
                  <c:v>51059.667133981202</c:v>
                </c:pt>
                <c:pt idx="66" formatCode="_(* #,##0.0_);_(* \(#,##0.0\);_(* &quot;-&quot;??_);_(@_)">
                  <c:v>52816.074617047678</c:v>
                </c:pt>
                <c:pt idx="67" formatCode="_(* #,##0.0_);_(* \(#,##0.0\);_(* &quot;-&quot;??_);_(@_)">
                  <c:v>54609.600259245468</c:v>
                </c:pt>
                <c:pt idx="68" formatCode="_(* #,##0.0_);_(* \(#,##0.0\);_(* &quot;-&quot;??_);_(@_)">
                  <c:v>56441.087406226012</c:v>
                </c:pt>
                <c:pt idx="69" formatCode="_(* #,##0.0_);_(* \(#,##0.0\);_(* &quot;-&quot;??_);_(@_)">
                  <c:v>58311.398582346497</c:v>
                </c:pt>
                <c:pt idx="70" formatCode="_(* #,##0.0_);_(* \(#,##0.0\);_(* &quot;-&quot;??_);_(@_)">
                  <c:v>60156.390345858119</c:v>
                </c:pt>
                <c:pt idx="71" formatCode="_(* #,##0.0_);_(* \(#,##0.0\);_(* &quot;-&quot;??_);_(@_)">
                  <c:v>61235.064766386575</c:v>
                </c:pt>
              </c:numCache>
            </c:numRef>
          </c:val>
          <c:smooth val="0"/>
          <c:extLst>
            <c:ext xmlns:c16="http://schemas.microsoft.com/office/drawing/2014/chart" uri="{C3380CC4-5D6E-409C-BE32-E72D297353CC}">
              <c16:uniqueId val="{00000002-F244-40FF-822E-06C3BDB11AC7}"/>
            </c:ext>
          </c:extLst>
        </c:ser>
        <c:ser>
          <c:idx val="3"/>
          <c:order val="3"/>
          <c:tx>
            <c:v>CCGT $20 CO2</c:v>
          </c:tx>
          <c:spPr>
            <a:ln w="28575" cap="rnd">
              <a:solidFill>
                <a:schemeClr val="accent4"/>
              </a:solidFill>
              <a:prstDash val="lgDashDot"/>
              <a:round/>
            </a:ln>
            <a:effectLst/>
          </c:spPr>
          <c:marker>
            <c:symbol val="none"/>
          </c:marker>
          <c:val>
            <c:numRef>
              <c:f>'TN Rev Req Charts.SMW'!$Y$162:$Y$233</c:f>
              <c:numCache>
                <c:formatCode>General</c:formatCode>
                <c:ptCount val="72"/>
                <c:pt idx="13" formatCode="_(* #,##0.0_);_(* \(#,##0.0\);_(* &quot;-&quot;??_);_(@_)">
                  <c:v>380.49169578644762</c:v>
                </c:pt>
                <c:pt idx="14" formatCode="_(* #,##0.0_);_(* \(#,##0.0\);_(* &quot;-&quot;??_);_(@_)">
                  <c:v>820.8997519531116</c:v>
                </c:pt>
                <c:pt idx="15" formatCode="_(* #,##0.0_);_(* \(#,##0.0\);_(* &quot;-&quot;??_);_(@_)">
                  <c:v>1351.9189045417606</c:v>
                </c:pt>
                <c:pt idx="16" formatCode="_(* #,##0.0_);_(* \(#,##0.0\);_(* &quot;-&quot;??_);_(@_)">
                  <c:v>1880.7479635096383</c:v>
                </c:pt>
                <c:pt idx="17" formatCode="_(* #,##0.0_);_(* \(#,##0.0\);_(* &quot;-&quot;??_);_(@_)">
                  <c:v>2446.4360165127359</c:v>
                </c:pt>
                <c:pt idx="18" formatCode="_(* #,##0.0_);_(* \(#,##0.0\);_(* &quot;-&quot;??_);_(@_)">
                  <c:v>3027.9222266359061</c:v>
                </c:pt>
                <c:pt idx="19" formatCode="_(* #,##0.0_);_(* \(#,##0.0\);_(* &quot;-&quot;??_);_(@_)">
                  <c:v>3601.9011157351283</c:v>
                </c:pt>
                <c:pt idx="20" formatCode="_(* #,##0.0_);_(* \(#,##0.0\);_(* &quot;-&quot;??_);_(@_)">
                  <c:v>4207.7069941026921</c:v>
                </c:pt>
                <c:pt idx="21" formatCode="_(* #,##0.0_);_(* \(#,##0.0\);_(* &quot;-&quot;??_);_(@_)">
                  <c:v>4834.4674793769154</c:v>
                </c:pt>
                <c:pt idx="22" formatCode="_(* #,##0.0_);_(* \(#,##0.0\);_(* &quot;-&quot;??_);_(@_)">
                  <c:v>5456.5196679469027</c:v>
                </c:pt>
                <c:pt idx="23" formatCode="_(* #,##0.0_);_(* \(#,##0.0\);_(* &quot;-&quot;??_);_(@_)">
                  <c:v>6116.5377773162345</c:v>
                </c:pt>
                <c:pt idx="24" formatCode="_(* #,##0.0_);_(* \(#,##0.0\);_(* &quot;-&quot;??_);_(@_)">
                  <c:v>6795.5813787321986</c:v>
                </c:pt>
                <c:pt idx="25" formatCode="_(* #,##0.0_);_(* \(#,##0.0\);_(* &quot;-&quot;??_);_(@_)">
                  <c:v>7495.4593699952356</c:v>
                </c:pt>
                <c:pt idx="26" formatCode="_(* #,##0.0_);_(* \(#,##0.0\);_(* &quot;-&quot;??_);_(@_)">
                  <c:v>8211.7699709562803</c:v>
                </c:pt>
                <c:pt idx="27" formatCode="_(* #,##0.0_);_(* \(#,##0.0\);_(* &quot;-&quot;??_);_(@_)">
                  <c:v>8947.7797679665055</c:v>
                </c:pt>
                <c:pt idx="28" formatCode="_(* #,##0.0_);_(* \(#,##0.0\);_(* &quot;-&quot;??_);_(@_)">
                  <c:v>9679.5507716806696</c:v>
                </c:pt>
                <c:pt idx="29" formatCode="_(* #,##0.0_);_(* \(#,##0.0\);_(* &quot;-&quot;??_);_(@_)">
                  <c:v>10455.845491499555</c:v>
                </c:pt>
                <c:pt idx="30" formatCode="_(* #,##0.0_);_(* \(#,##0.0\);_(* &quot;-&quot;??_);_(@_)">
                  <c:v>11258.775110588133</c:v>
                </c:pt>
                <c:pt idx="31" formatCode="_(* #,##0.0_);_(* \(#,##0.0\);_(* &quot;-&quot;??_);_(@_)">
                  <c:v>12052.530601127659</c:v>
                </c:pt>
                <c:pt idx="32" formatCode="_(* #,##0.0_);_(* \(#,##0.0\);_(* &quot;-&quot;??_);_(@_)">
                  <c:v>12893.559886541178</c:v>
                </c:pt>
                <c:pt idx="33" formatCode="_(* #,##0.0_);_(* \(#,##0.0\);_(* &quot;-&quot;??_);_(@_)">
                  <c:v>13760.606034167113</c:v>
                </c:pt>
                <c:pt idx="34" formatCode="_(* #,##0.0_);_(* \(#,##0.0\);_(* &quot;-&quot;??_);_(@_)">
                  <c:v>14614.477469796258</c:v>
                </c:pt>
                <c:pt idx="35" formatCode="_(* #,##0.0_);_(* \(#,##0.0\);_(* &quot;-&quot;??_);_(@_)">
                  <c:v>15559.367544864066</c:v>
                </c:pt>
                <c:pt idx="36" formatCode="_(* #,##0.0_);_(* \(#,##0.0\);_(* &quot;-&quot;??_);_(@_)">
                  <c:v>16529.401855067965</c:v>
                </c:pt>
                <c:pt idx="37" formatCode="_(* #,##0.0_);_(* \(#,##0.0\);_(* &quot;-&quot;??_);_(@_)">
                  <c:v>17488.029953423622</c:v>
                </c:pt>
                <c:pt idx="38" formatCode="_(* #,##0.0_);_(* \(#,##0.0\);_(* &quot;-&quot;??_);_(@_)">
                  <c:v>18501.923664540187</c:v>
                </c:pt>
                <c:pt idx="39" formatCode="_(* #,##0.0_);_(* \(#,##0.0\);_(* &quot;-&quot;??_);_(@_)">
                  <c:v>19546.033659671251</c:v>
                </c:pt>
                <c:pt idx="40" formatCode="_(* #,##0.0_);_(* \(#,##0.0\);_(* &quot;-&quot;??_);_(@_)">
                  <c:v>20575.264772134789</c:v>
                </c:pt>
                <c:pt idx="41" formatCode="_(* #,##0.0_);_(* \(#,##0.0\);_(* &quot;-&quot;??_);_(@_)">
                  <c:v>21669.88780823398</c:v>
                </c:pt>
                <c:pt idx="42" formatCode="_(* #,##0.0_);_(* \(#,##0.0\);_(* &quot;-&quot;??_);_(@_)">
                  <c:v>22796.502147729374</c:v>
                </c:pt>
                <c:pt idx="43" formatCode="_(* #,##0.0_);_(* \(#,##0.0\);_(* &quot;-&quot;??_);_(@_)">
                  <c:v>23920.599482061654</c:v>
                </c:pt>
                <c:pt idx="44" formatCode="_(* #,##0.0_);_(* \(#,##0.0\);_(* &quot;-&quot;??_);_(@_)">
                  <c:v>25066.922843535544</c:v>
                </c:pt>
                <c:pt idx="45" formatCode="_(* #,##0.0_);_(* \(#,##0.0\);_(* &quot;-&quot;??_);_(@_)">
                  <c:v>26236.102055881434</c:v>
                </c:pt>
                <c:pt idx="46" formatCode="_(* #,##0.0_);_(* \(#,##0.0\);_(* &quot;-&quot;??_);_(@_)">
                  <c:v>27428.817787786124</c:v>
                </c:pt>
                <c:pt idx="47" formatCode="_(* #,##0.0_);_(* \(#,##0.0\);_(* &quot;-&quot;??_);_(@_)">
                  <c:v>28645.821453593497</c:v>
                </c:pt>
                <c:pt idx="48" formatCode="_(* #,##0.0_);_(* \(#,##0.0\);_(* &quot;-&quot;??_);_(@_)">
                  <c:v>29887.969425515017</c:v>
                </c:pt>
                <c:pt idx="49" formatCode="_(* #,##0.0_);_(* \(#,##0.0\);_(* &quot;-&quot;??_);_(@_)">
                  <c:v>31156.286169230661</c:v>
                </c:pt>
                <c:pt idx="50" formatCode="_(* #,##0.0_);_(* \(#,##0.0\);_(* &quot;-&quot;??_);_(@_)">
                  <c:v>32452.094177724131</c:v>
                </c:pt>
                <c:pt idx="51" formatCode="_(* #,##0.0_);_(* \(#,##0.0\);_(* &quot;-&quot;??_);_(@_)">
                  <c:v>33777.325955687978</c:v>
                </c:pt>
                <c:pt idx="52" formatCode="_(* #,##0.0_);_(* \(#,##0.0\);_(* &quot;-&quot;??_);_(@_)">
                  <c:v>35156.449935377146</c:v>
                </c:pt>
                <c:pt idx="53" formatCode="_(* #,##0.0_);_(* \(#,##0.0\);_(* &quot;-&quot;??_);_(@_)">
                  <c:v>36565.679728227391</c:v>
                </c:pt>
                <c:pt idx="54" formatCode="_(* #,##0.0_);_(* \(#,##0.0\);_(* &quot;-&quot;??_);_(@_)">
                  <c:v>38063.401914962567</c:v>
                </c:pt>
                <c:pt idx="55" formatCode="_(* #,##0.0_);_(* \(#,##0.0\);_(* &quot;-&quot;??_);_(@_)">
                  <c:v>39593.459385236172</c:v>
                </c:pt>
                <c:pt idx="56" formatCode="_(* #,##0.0_);_(* \(#,##0.0\);_(* &quot;-&quot;??_);_(@_)">
                  <c:v>41202.583293557</c:v>
                </c:pt>
                <c:pt idx="57" formatCode="_(* #,##0.0_);_(* \(#,##0.0\);_(* &quot;-&quot;??_);_(@_)">
                  <c:v>42845.530500584158</c:v>
                </c:pt>
                <c:pt idx="58" formatCode="_(* #,##0.0_);_(* \(#,##0.0\);_(* &quot;-&quot;??_);_(@_)">
                  <c:v>44523.070519917397</c:v>
                </c:pt>
                <c:pt idx="59" formatCode="_(* #,##0.0_);_(* \(#,##0.0\);_(* &quot;-&quot;??_);_(@_)">
                  <c:v>46235.990386754042</c:v>
                </c:pt>
                <c:pt idx="60" formatCode="_(* #,##0.0_);_(* \(#,##0.0\);_(* &quot;-&quot;??_);_(@_)">
                  <c:v>47985.095057156585</c:v>
                </c:pt>
                <c:pt idx="61" formatCode="_(* #,##0.0_);_(* \(#,##0.0\);_(* &quot;-&quot;??_);_(@_)">
                  <c:v>49771.207816424918</c:v>
                </c:pt>
                <c:pt idx="62" formatCode="_(* #,##0.0_);_(* \(#,##0.0\);_(* &quot;-&quot;??_);_(@_)">
                  <c:v>51595.170696781024</c:v>
                </c:pt>
                <c:pt idx="63" formatCode="_(* #,##0.0_);_(* \(#,##0.0\);_(* &quot;-&quot;??_);_(@_)">
                  <c:v>53457.844904578582</c:v>
                </c:pt>
                <c:pt idx="64" formatCode="_(* #,##0.0_);_(* \(#,##0.0\);_(* &quot;-&quot;??_);_(@_)">
                  <c:v>55360.111257254866</c:v>
                </c:pt>
                <c:pt idx="65" formatCode="_(* #,##0.0_);_(* \(#,##0.0\);_(* &quot;-&quot;??_);_(@_)">
                  <c:v>57302.870630247213</c:v>
                </c:pt>
                <c:pt idx="66" formatCode="_(* #,##0.0_);_(* \(#,##0.0\);_(* &quot;-&quot;??_);_(@_)">
                  <c:v>59287.04441410154</c:v>
                </c:pt>
                <c:pt idx="67" formatCode="_(* #,##0.0_);_(* \(#,##0.0\);_(* &quot;-&quot;??_);_(@_)">
                  <c:v>61313.574982005295</c:v>
                </c:pt>
                <c:pt idx="68" formatCode="_(* #,##0.0_);_(* \(#,##0.0\);_(* &quot;-&quot;??_);_(@_)">
                  <c:v>63383.426167983038</c:v>
                </c:pt>
                <c:pt idx="69" formatCode="_(* #,##0.0_);_(* \(#,##0.0\);_(* &quot;-&quot;??_);_(@_)">
                  <c:v>65497.583755997664</c:v>
                </c:pt>
                <c:pt idx="70" formatCode="_(* #,##0.0_);_(* \(#,##0.0\);_(* &quot;-&quot;??_);_(@_)">
                  <c:v>67581.289980459769</c:v>
                </c:pt>
                <c:pt idx="71" formatCode="_(* #,##0.0_);_(* \(#,##0.0\);_(* &quot;-&quot;??_);_(@_)">
                  <c:v>68776.57312374399</c:v>
                </c:pt>
              </c:numCache>
            </c:numRef>
          </c:val>
          <c:smooth val="0"/>
          <c:extLst>
            <c:ext xmlns:c16="http://schemas.microsoft.com/office/drawing/2014/chart" uri="{C3380CC4-5D6E-409C-BE32-E72D297353CC}">
              <c16:uniqueId val="{00000003-F244-40FF-822E-06C3BDB11AC7}"/>
            </c:ext>
          </c:extLst>
        </c:ser>
        <c:dLbls>
          <c:showLegendKey val="0"/>
          <c:showVal val="0"/>
          <c:showCatName val="0"/>
          <c:showSerName val="0"/>
          <c:showPercent val="0"/>
          <c:showBubbleSize val="0"/>
        </c:dLbls>
        <c:smooth val="0"/>
        <c:axId val="483079616"/>
        <c:axId val="483080400"/>
      </c:lineChart>
      <c:catAx>
        <c:axId val="4830796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80400"/>
        <c:crosses val="autoZero"/>
        <c:auto val="1"/>
        <c:lblAlgn val="ctr"/>
        <c:lblOffset val="100"/>
        <c:noMultiLvlLbl val="0"/>
      </c:catAx>
      <c:valAx>
        <c:axId val="48308040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79616"/>
        <c:crosses val="autoZero"/>
        <c:crossBetween val="between"/>
      </c:valAx>
      <c:spPr>
        <a:noFill/>
        <a:ln>
          <a:noFill/>
        </a:ln>
        <a:effectLst/>
      </c:spPr>
    </c:plotArea>
    <c:legend>
      <c:legendPos val="b"/>
      <c:layout>
        <c:manualLayout>
          <c:xMode val="edge"/>
          <c:yMode val="edge"/>
          <c:x val="0.12531486755644905"/>
          <c:y val="0.28752981474132705"/>
          <c:w val="0.2038306022557991"/>
          <c:h val="0.179107333068777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300" b="1" i="0" baseline="0">
                <a:effectLst/>
              </a:rPr>
              <a:t>Vogtle 3&amp;4 Versus Combined Cycle </a:t>
            </a:r>
            <a:endParaRPr lang="en-US" sz="1300">
              <a:effectLst/>
            </a:endParaRPr>
          </a:p>
          <a:p>
            <a:pPr>
              <a:defRPr/>
            </a:pPr>
            <a:r>
              <a:rPr lang="en-US" sz="1300" b="1" i="0" baseline="0">
                <a:effectLst/>
              </a:rPr>
              <a:t>High Gas Price Forecast</a:t>
            </a:r>
            <a:endParaRPr lang="en-US" sz="1300">
              <a:effectLst/>
            </a:endParaRPr>
          </a:p>
          <a:p>
            <a:pPr>
              <a:defRPr/>
            </a:pPr>
            <a:r>
              <a:rPr lang="en-US" sz="1300" b="1" i="0" baseline="0">
                <a:effectLst/>
              </a:rPr>
              <a:t>Cumulative Nominal Revenue Requirements</a:t>
            </a:r>
            <a:endParaRPr lang="en-US" sz="1300">
              <a:effectLst/>
            </a:endParaRPr>
          </a:p>
          <a:p>
            <a:pPr>
              <a:defRPr/>
            </a:pPr>
            <a:r>
              <a:rPr lang="en-US" sz="1300" b="1" i="0" baseline="0">
                <a:effectLst/>
              </a:rPr>
              <a:t>(Millions of Dollars)</a:t>
            </a:r>
            <a:endParaRPr lang="en-US" sz="1300">
              <a:effectLst/>
            </a:endParaRPr>
          </a:p>
        </c:rich>
      </c:tx>
      <c:layout>
        <c:manualLayout>
          <c:xMode val="edge"/>
          <c:yMode val="edge"/>
          <c:x val="0.28576288564931057"/>
          <c:y val="5.3200391975990883E-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7431434551909683E-2"/>
          <c:y val="0.23971733778288257"/>
          <c:w val="0.9109395967142333"/>
          <c:h val="0.66911042658690867"/>
        </c:manualLayout>
      </c:layout>
      <c:lineChart>
        <c:grouping val="standard"/>
        <c:varyColors val="0"/>
        <c:ser>
          <c:idx val="0"/>
          <c:order val="0"/>
          <c:tx>
            <c:v>Vogtle 3&amp;4</c:v>
          </c:tx>
          <c:spPr>
            <a:ln w="28575" cap="rnd">
              <a:solidFill>
                <a:schemeClr val="accent1"/>
              </a:solidFill>
              <a:round/>
            </a:ln>
            <a:effectLst/>
          </c:spPr>
          <c:marker>
            <c:symbol val="none"/>
          </c:marker>
          <c:cat>
            <c:numRef>
              <c:f>'TN Rev Req Charts.SMW'!$Q$6:$Q$77</c:f>
              <c:numCache>
                <c:formatCode>General</c:formatCode>
                <c:ptCount val="72"/>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pt idx="30">
                  <c:v>2041</c:v>
                </c:pt>
                <c:pt idx="31">
                  <c:v>2042</c:v>
                </c:pt>
                <c:pt idx="32">
                  <c:v>2043</c:v>
                </c:pt>
                <c:pt idx="33">
                  <c:v>2044</c:v>
                </c:pt>
                <c:pt idx="34">
                  <c:v>2045</c:v>
                </c:pt>
                <c:pt idx="35">
                  <c:v>2046</c:v>
                </c:pt>
                <c:pt idx="36">
                  <c:v>2047</c:v>
                </c:pt>
                <c:pt idx="37">
                  <c:v>2048</c:v>
                </c:pt>
                <c:pt idx="38">
                  <c:v>2049</c:v>
                </c:pt>
                <c:pt idx="39">
                  <c:v>2050</c:v>
                </c:pt>
                <c:pt idx="40">
                  <c:v>2051</c:v>
                </c:pt>
                <c:pt idx="41">
                  <c:v>2052</c:v>
                </c:pt>
                <c:pt idx="42">
                  <c:v>2053</c:v>
                </c:pt>
                <c:pt idx="43">
                  <c:v>2054</c:v>
                </c:pt>
                <c:pt idx="44">
                  <c:v>2055</c:v>
                </c:pt>
                <c:pt idx="45">
                  <c:v>2056</c:v>
                </c:pt>
                <c:pt idx="46">
                  <c:v>2057</c:v>
                </c:pt>
                <c:pt idx="47">
                  <c:v>2058</c:v>
                </c:pt>
                <c:pt idx="48">
                  <c:v>2059</c:v>
                </c:pt>
                <c:pt idx="49">
                  <c:v>2060</c:v>
                </c:pt>
                <c:pt idx="50">
                  <c:v>2061</c:v>
                </c:pt>
                <c:pt idx="51">
                  <c:v>2062</c:v>
                </c:pt>
                <c:pt idx="52">
                  <c:v>2063</c:v>
                </c:pt>
                <c:pt idx="53">
                  <c:v>2064</c:v>
                </c:pt>
                <c:pt idx="54">
                  <c:v>2065</c:v>
                </c:pt>
                <c:pt idx="55">
                  <c:v>2066</c:v>
                </c:pt>
                <c:pt idx="56">
                  <c:v>2067</c:v>
                </c:pt>
                <c:pt idx="57">
                  <c:v>2068</c:v>
                </c:pt>
                <c:pt idx="58">
                  <c:v>2069</c:v>
                </c:pt>
                <c:pt idx="59">
                  <c:v>2070</c:v>
                </c:pt>
                <c:pt idx="60">
                  <c:v>2071</c:v>
                </c:pt>
                <c:pt idx="61">
                  <c:v>2072</c:v>
                </c:pt>
                <c:pt idx="62">
                  <c:v>2073</c:v>
                </c:pt>
                <c:pt idx="63">
                  <c:v>2074</c:v>
                </c:pt>
                <c:pt idx="64">
                  <c:v>2075</c:v>
                </c:pt>
                <c:pt idx="65">
                  <c:v>2076</c:v>
                </c:pt>
                <c:pt idx="66">
                  <c:v>2077</c:v>
                </c:pt>
                <c:pt idx="67">
                  <c:v>2078</c:v>
                </c:pt>
                <c:pt idx="68">
                  <c:v>2079</c:v>
                </c:pt>
                <c:pt idx="69">
                  <c:v>2080</c:v>
                </c:pt>
                <c:pt idx="70">
                  <c:v>2081</c:v>
                </c:pt>
                <c:pt idx="71">
                  <c:v>2082</c:v>
                </c:pt>
              </c:numCache>
            </c:numRef>
          </c:cat>
          <c:val>
            <c:numRef>
              <c:f>'TN Rev Req Charts.SMW'!$W$6:$W$77</c:f>
              <c:numCache>
                <c:formatCode>_(* #,##0.0_);_(* \(#,##0.0\);_(* "-"??_);_(@_)</c:formatCode>
                <c:ptCount val="72"/>
                <c:pt idx="0">
                  <c:v>202.28677771812656</c:v>
                </c:pt>
                <c:pt idx="1">
                  <c:v>453.10290078529658</c:v>
                </c:pt>
                <c:pt idx="2">
                  <c:v>749.73955141377689</c:v>
                </c:pt>
                <c:pt idx="3">
                  <c:v>1087.9323298017794</c:v>
                </c:pt>
                <c:pt idx="4">
                  <c:v>1467.2521601179437</c:v>
                </c:pt>
                <c:pt idx="5">
                  <c:v>1856.3847558603911</c:v>
                </c:pt>
                <c:pt idx="6">
                  <c:v>2303.2535933369004</c:v>
                </c:pt>
                <c:pt idx="7">
                  <c:v>2671.1457531905908</c:v>
                </c:pt>
                <c:pt idx="8">
                  <c:v>3103.2609092361186</c:v>
                </c:pt>
                <c:pt idx="9">
                  <c:v>3470.7052176408197</c:v>
                </c:pt>
                <c:pt idx="10">
                  <c:v>3745.9978143193512</c:v>
                </c:pt>
                <c:pt idx="11">
                  <c:v>4175.5272536606017</c:v>
                </c:pt>
                <c:pt idx="12">
                  <c:v>5261.6451715604808</c:v>
                </c:pt>
                <c:pt idx="13">
                  <c:v>6317.913404800287</c:v>
                </c:pt>
                <c:pt idx="14">
                  <c:v>7368.64974544293</c:v>
                </c:pt>
                <c:pt idx="15">
                  <c:v>8378.9810135591379</c:v>
                </c:pt>
                <c:pt idx="16">
                  <c:v>9373.3063692584965</c:v>
                </c:pt>
                <c:pt idx="17">
                  <c:v>10379.734901608685</c:v>
                </c:pt>
                <c:pt idx="18">
                  <c:v>11348.032012865173</c:v>
                </c:pt>
                <c:pt idx="19">
                  <c:v>12385.479496613352</c:v>
                </c:pt>
                <c:pt idx="20">
                  <c:v>13510.927889538259</c:v>
                </c:pt>
                <c:pt idx="21">
                  <c:v>14595.143756065925</c:v>
                </c:pt>
                <c:pt idx="22">
                  <c:v>15661.763814903694</c:v>
                </c:pt>
                <c:pt idx="23">
                  <c:v>16742.880232849348</c:v>
                </c:pt>
                <c:pt idx="24">
                  <c:v>17783.944409333766</c:v>
                </c:pt>
                <c:pt idx="25">
                  <c:v>18812.1655905148</c:v>
                </c:pt>
                <c:pt idx="26">
                  <c:v>19867.753350491905</c:v>
                </c:pt>
                <c:pt idx="27">
                  <c:v>20898.727355614799</c:v>
                </c:pt>
                <c:pt idx="28">
                  <c:v>21931.685856830263</c:v>
                </c:pt>
                <c:pt idx="29">
                  <c:v>23001.47798708854</c:v>
                </c:pt>
                <c:pt idx="30">
                  <c:v>24045.226963554389</c:v>
                </c:pt>
                <c:pt idx="31">
                  <c:v>25089.27058677885</c:v>
                </c:pt>
                <c:pt idx="32">
                  <c:v>26171.538585924165</c:v>
                </c:pt>
                <c:pt idx="33">
                  <c:v>27225.86394516685</c:v>
                </c:pt>
                <c:pt idx="34">
                  <c:v>28280.359051785108</c:v>
                </c:pt>
                <c:pt idx="35">
                  <c:v>29376.514558342849</c:v>
                </c:pt>
                <c:pt idx="36">
                  <c:v>30441.882229776678</c:v>
                </c:pt>
                <c:pt idx="37">
                  <c:v>31509.071313591707</c:v>
                </c:pt>
                <c:pt idx="38">
                  <c:v>32621.035850818469</c:v>
                </c:pt>
                <c:pt idx="39">
                  <c:v>33697.974931391407</c:v>
                </c:pt>
                <c:pt idx="40">
                  <c:v>34779.18026269682</c:v>
                </c:pt>
                <c:pt idx="41">
                  <c:v>35908.830021456481</c:v>
                </c:pt>
                <c:pt idx="42">
                  <c:v>36998.554114807324</c:v>
                </c:pt>
                <c:pt idx="43">
                  <c:v>38093.579033776463</c:v>
                </c:pt>
                <c:pt idx="44">
                  <c:v>39245.134212183526</c:v>
                </c:pt>
                <c:pt idx="45">
                  <c:v>40358.006222372249</c:v>
                </c:pt>
                <c:pt idx="46">
                  <c:v>41473.736668083402</c:v>
                </c:pt>
                <c:pt idx="47">
                  <c:v>42652.349966712565</c:v>
                </c:pt>
                <c:pt idx="48">
                  <c:v>43788.587959499229</c:v>
                </c:pt>
                <c:pt idx="49">
                  <c:v>44930.551352668932</c:v>
                </c:pt>
                <c:pt idx="50">
                  <c:v>46139.710859597704</c:v>
                </c:pt>
                <c:pt idx="51">
                  <c:v>47298.908714739046</c:v>
                </c:pt>
                <c:pt idx="52">
                  <c:v>48472.705135825425</c:v>
                </c:pt>
                <c:pt idx="53">
                  <c:v>49721.818989856889</c:v>
                </c:pt>
                <c:pt idx="54">
                  <c:v>50914.062084307632</c:v>
                </c:pt>
                <c:pt idx="55">
                  <c:v>52127.606207069686</c:v>
                </c:pt>
                <c:pt idx="56">
                  <c:v>53419.687760517867</c:v>
                </c:pt>
                <c:pt idx="57">
                  <c:v>54651.803712241919</c:v>
                </c:pt>
                <c:pt idx="58">
                  <c:v>55906.109376429849</c:v>
                </c:pt>
                <c:pt idx="59">
                  <c:v>57247.303612324162</c:v>
                </c:pt>
                <c:pt idx="60">
                  <c:v>58523.7853638007</c:v>
                </c:pt>
                <c:pt idx="61">
                  <c:v>59827.231825383176</c:v>
                </c:pt>
                <c:pt idx="62">
                  <c:v>61229.93743123395</c:v>
                </c:pt>
                <c:pt idx="63">
                  <c:v>62563.547671653527</c:v>
                </c:pt>
                <c:pt idx="64">
                  <c:v>63927.803660452264</c:v>
                </c:pt>
                <c:pt idx="65">
                  <c:v>65404.095564570503</c:v>
                </c:pt>
                <c:pt idx="66">
                  <c:v>66807.486884922939</c:v>
                </c:pt>
                <c:pt idx="67">
                  <c:v>68248.605780474667</c:v>
                </c:pt>
                <c:pt idx="68">
                  <c:v>69804.450507626258</c:v>
                </c:pt>
                <c:pt idx="69">
                  <c:v>71286.434220326089</c:v>
                </c:pt>
                <c:pt idx="70">
                  <c:v>72862.790489955369</c:v>
                </c:pt>
                <c:pt idx="71">
                  <c:v>74044.232469521201</c:v>
                </c:pt>
              </c:numCache>
            </c:numRef>
          </c:val>
          <c:smooth val="0"/>
          <c:extLst>
            <c:ext xmlns:c16="http://schemas.microsoft.com/office/drawing/2014/chart" uri="{C3380CC4-5D6E-409C-BE32-E72D297353CC}">
              <c16:uniqueId val="{00000000-7526-49A1-BA06-1E8B5BB3B7EF}"/>
            </c:ext>
          </c:extLst>
        </c:ser>
        <c:ser>
          <c:idx val="1"/>
          <c:order val="1"/>
          <c:tx>
            <c:v>CCGT $0 CO2</c:v>
          </c:tx>
          <c:spPr>
            <a:ln w="28575" cap="rnd">
              <a:solidFill>
                <a:schemeClr val="accent2"/>
              </a:solidFill>
              <a:prstDash val="sysDot"/>
              <a:round/>
            </a:ln>
            <a:effectLst/>
          </c:spPr>
          <c:marker>
            <c:symbol val="none"/>
          </c:marker>
          <c:val>
            <c:numRef>
              <c:f>'TN Rev Req Charts.SMW'!$Z$6:$Z$77</c:f>
              <c:numCache>
                <c:formatCode>General</c:formatCode>
                <c:ptCount val="72"/>
                <c:pt idx="13" formatCode="_(* #,##0.0_);_(* \(#,##0.0\);_(* &quot;-&quot;??_);_(@_)">
                  <c:v>413.75469578644766</c:v>
                </c:pt>
                <c:pt idx="14" formatCode="_(* #,##0.0_);_(* \(#,##0.0\);_(* &quot;-&quot;??_);_(@_)">
                  <c:v>901.3595019531117</c:v>
                </c:pt>
                <c:pt idx="15" formatCode="_(* #,##0.0_);_(* \(#,##0.0\);_(* &quot;-&quot;??_);_(@_)">
                  <c:v>1406.4466545417608</c:v>
                </c:pt>
                <c:pt idx="16" formatCode="_(* #,##0.0_);_(* \(#,##0.0\);_(* &quot;-&quot;??_);_(@_)">
                  <c:v>1915.2937135096386</c:v>
                </c:pt>
                <c:pt idx="17" formatCode="_(* #,##0.0_);_(* \(#,##0.0\);_(* &quot;-&quot;??_);_(@_)">
                  <c:v>2457.1627665127362</c:v>
                </c:pt>
                <c:pt idx="18" formatCode="_(* #,##0.0_);_(* \(#,##0.0\);_(* &quot;-&quot;??_);_(@_)">
                  <c:v>3013.1029766359061</c:v>
                </c:pt>
                <c:pt idx="19" formatCode="_(* #,##0.0_);_(* \(#,##0.0\);_(* &quot;-&quot;??_);_(@_)">
                  <c:v>3574.0593657351283</c:v>
                </c:pt>
                <c:pt idx="20" formatCode="_(* #,##0.0_);_(* \(#,##0.0\);_(* &quot;-&quot;??_);_(@_)">
                  <c:v>4165.2357441026925</c:v>
                </c:pt>
                <c:pt idx="21" formatCode="_(* #,##0.0_);_(* \(#,##0.0\);_(* &quot;-&quot;??_);_(@_)">
                  <c:v>4775.220229376916</c:v>
                </c:pt>
                <c:pt idx="22" formatCode="_(* #,##0.0_);_(* \(#,##0.0\);_(* &quot;-&quot;??_);_(@_)">
                  <c:v>5386.8279179469027</c:v>
                </c:pt>
                <c:pt idx="23" formatCode="_(* #,##0.0_);_(* \(#,##0.0\);_(* &quot;-&quot;??_);_(@_)">
                  <c:v>6032.8270273162343</c:v>
                </c:pt>
                <c:pt idx="24" formatCode="_(* #,##0.0_);_(* \(#,##0.0\);_(* &quot;-&quot;??_);_(@_)">
                  <c:v>6697.2506287321976</c:v>
                </c:pt>
                <c:pt idx="25" formatCode="_(* #,##0.0_);_(* \(#,##0.0\);_(* &quot;-&quot;??_);_(@_)">
                  <c:v>7381.7846199952364</c:v>
                </c:pt>
                <c:pt idx="26" formatCode="_(* #,##0.0_);_(* \(#,##0.0\);_(* &quot;-&quot;??_);_(@_)">
                  <c:v>8088.2692209562802</c:v>
                </c:pt>
                <c:pt idx="27" formatCode="_(* #,##0.0_);_(* \(#,##0.0\);_(* &quot;-&quot;??_);_(@_)">
                  <c:v>8817.3150179665045</c:v>
                </c:pt>
                <c:pt idx="28" formatCode="_(* #,##0.0_);_(* \(#,##0.0\);_(* &quot;-&quot;??_);_(@_)">
                  <c:v>9548.5290216806679</c:v>
                </c:pt>
                <c:pt idx="29" formatCode="_(* #,##0.0_);_(* \(#,##0.0\);_(* &quot;-&quot;??_);_(@_)">
                  <c:v>10330.975741499553</c:v>
                </c:pt>
                <c:pt idx="30" formatCode="_(* #,##0.0_);_(* \(#,##0.0\);_(* &quot;-&quot;??_);_(@_)">
                  <c:v>11134.503360588131</c:v>
                </c:pt>
                <c:pt idx="31" formatCode="_(* #,##0.0_);_(* \(#,##0.0\);_(* &quot;-&quot;??_);_(@_)">
                  <c:v>11935.270851127658</c:v>
                </c:pt>
                <c:pt idx="32" formatCode="_(* #,##0.0_);_(* \(#,##0.0\);_(* &quot;-&quot;??_);_(@_)">
                  <c:v>12784.323136541178</c:v>
                </c:pt>
                <c:pt idx="33" formatCode="_(* #,##0.0_);_(* \(#,##0.0\);_(* &quot;-&quot;??_);_(@_)">
                  <c:v>13655.208284167113</c:v>
                </c:pt>
                <c:pt idx="34" formatCode="_(* #,##0.0_);_(* \(#,##0.0\);_(* &quot;-&quot;??_);_(@_)">
                  <c:v>14521.625719796257</c:v>
                </c:pt>
                <c:pt idx="35" formatCode="_(* #,##0.0_);_(* \(#,##0.0\);_(* &quot;-&quot;??_);_(@_)">
                  <c:v>15464.004794864064</c:v>
                </c:pt>
                <c:pt idx="36" formatCode="_(* #,##0.0_);_(* \(#,##0.0\);_(* &quot;-&quot;??_);_(@_)">
                  <c:v>16435.48210506796</c:v>
                </c:pt>
                <c:pt idx="37" formatCode="_(* #,##0.0_);_(* \(#,##0.0\);_(* &quot;-&quot;??_);_(@_)">
                  <c:v>17407.256203423618</c:v>
                </c:pt>
                <c:pt idx="38" formatCode="_(* #,##0.0_);_(* \(#,##0.0\);_(* &quot;-&quot;??_);_(@_)">
                  <c:v>18431.926914540185</c:v>
                </c:pt>
                <c:pt idx="39" formatCode="_(* #,##0.0_);_(* \(#,##0.0\);_(* &quot;-&quot;??_);_(@_)">
                  <c:v>19482.078909671247</c:v>
                </c:pt>
                <c:pt idx="40" formatCode="_(* #,##0.0_);_(* \(#,##0.0\);_(* &quot;-&quot;??_);_(@_)">
                  <c:v>20528.556022134788</c:v>
                </c:pt>
                <c:pt idx="41" formatCode="_(* #,##0.0_);_(* \(#,##0.0\);_(* &quot;-&quot;??_);_(@_)">
                  <c:v>21635.689058233977</c:v>
                </c:pt>
                <c:pt idx="42" formatCode="_(* #,##0.0_);_(* \(#,##0.0\);_(* &quot;-&quot;??_);_(@_)">
                  <c:v>22764.191397729373</c:v>
                </c:pt>
                <c:pt idx="43" formatCode="_(* #,##0.0_);_(* \(#,##0.0\);_(* &quot;-&quot;??_);_(@_)">
                  <c:v>23898.724548819879</c:v>
                </c:pt>
                <c:pt idx="44" formatCode="_(* #,##0.0_);_(* \(#,##0.0\);_(* &quot;-&quot;??_);_(@_)">
                  <c:v>25055.723750837435</c:v>
                </c:pt>
                <c:pt idx="45" formatCode="_(* #,##0.0_);_(* \(#,##0.0\);_(* &quot;-&quot;??_);_(@_)">
                  <c:v>26235.824348059494</c:v>
                </c:pt>
                <c:pt idx="46" formatCode="_(* #,##0.0_);_(* \(#,##0.0\);_(* &quot;-&quot;??_);_(@_)">
                  <c:v>27439.7126566925</c:v>
                </c:pt>
                <c:pt idx="47" formatCode="_(* #,##0.0_);_(* \(#,##0.0\);_(* &quot;-&quot;??_);_(@_)">
                  <c:v>28668.145868492946</c:v>
                </c:pt>
                <c:pt idx="48" formatCode="_(* #,##0.0_);_(* \(#,##0.0\);_(* &quot;-&quot;??_);_(@_)">
                  <c:v>29921.986265965381</c:v>
                </c:pt>
                <c:pt idx="49" formatCode="_(* #,##0.0_);_(* \(#,##0.0\);_(* &quot;-&quot;??_);_(@_)">
                  <c:v>31202.264361019614</c:v>
                </c:pt>
                <c:pt idx="50" formatCode="_(* #,##0.0_);_(* \(#,##0.0\);_(* &quot;-&quot;??_);_(@_)">
                  <c:v>32510.308831932452</c:v>
                </c:pt>
                <c:pt idx="51" formatCode="_(* #,##0.0_);_(* \(#,##0.0\);_(* &quot;-&quot;??_);_(@_)">
                  <c:v>33848.058510951319</c:v>
                </c:pt>
                <c:pt idx="52" formatCode="_(* #,##0.0_);_(* \(#,##0.0\);_(* &quot;-&quot;??_);_(@_)">
                  <c:v>35239.98830341977</c:v>
                </c:pt>
                <c:pt idx="53" formatCode="_(* #,##0.0_);_(* \(#,##0.0\);_(* &quot;-&quot;??_);_(@_)">
                  <c:v>36662.318442743228</c:v>
                </c:pt>
                <c:pt idx="54" formatCode="_(* #,##0.0_);_(* \(#,##0.0\);_(* &quot;-&quot;??_);_(@_)">
                  <c:v>38173.442283920493</c:v>
                </c:pt>
                <c:pt idx="55" formatCode="_(* #,##0.0_);_(* \(#,##0.0\);_(* &quot;-&quot;??_);_(@_)">
                  <c:v>39717.209646688359</c:v>
                </c:pt>
                <c:pt idx="56" formatCode="_(* #,##0.0_);_(* \(#,##0.0\);_(* &quot;-&quot;??_);_(@_)">
                  <c:v>41340.358775030814</c:v>
                </c:pt>
                <c:pt idx="57" formatCode="_(* #,##0.0_);_(* \(#,##0.0\);_(* &quot;-&quot;??_);_(@_)">
                  <c:v>42997.6537821401</c:v>
                </c:pt>
                <c:pt idx="58" formatCode="_(* #,##0.0_);_(* \(#,##0.0\);_(* &quot;-&quot;??_);_(@_)">
                  <c:v>44689.871600957355</c:v>
                </c:pt>
                <c:pt idx="59" formatCode="_(* #,##0.0_);_(* \(#,##0.0\);_(* &quot;-&quot;??_);_(@_)">
                  <c:v>46417.806856666153</c:v>
                </c:pt>
                <c:pt idx="60" formatCode="_(* #,##0.0_);_(* \(#,##0.0\);_(* &quot;-&quot;??_);_(@_)">
                  <c:v>48182.272269884903</c:v>
                </c:pt>
                <c:pt idx="61" formatCode="_(* #,##0.0_);_(* \(#,##0.0\);_(* &quot;-&quot;??_);_(@_)">
                  <c:v>49984.099069054217</c:v>
                </c:pt>
                <c:pt idx="62" formatCode="_(* #,##0.0_);_(* \(#,##0.0\);_(* &quot;-&quot;??_);_(@_)">
                  <c:v>51824.137412229022</c:v>
                </c:pt>
                <c:pt idx="63" formatCode="_(* #,##0.0_);_(* \(#,##0.0\);_(* &quot;-&quot;??_);_(@_)">
                  <c:v>53703.25681849011</c:v>
                </c:pt>
                <c:pt idx="64" formatCode="_(* #,##0.0_);_(* \(#,##0.0\);_(* &quot;-&quot;??_);_(@_)">
                  <c:v>55622.346609194588</c:v>
                </c:pt>
                <c:pt idx="65" formatCode="_(* #,##0.0_);_(* \(#,##0.0\);_(* &quot;-&quot;??_);_(@_)">
                  <c:v>57582.316359289784</c:v>
                </c:pt>
                <c:pt idx="66" formatCode="_(* #,##0.0_);_(* \(#,##0.0\);_(* &quot;-&quot;??_);_(@_)">
                  <c:v>59584.096358920317</c:v>
                </c:pt>
                <c:pt idx="67" formatCode="_(* #,##0.0_);_(* \(#,##0.0\);_(* &quot;-&quot;??_);_(@_)">
                  <c:v>61628.638085563129</c:v>
                </c:pt>
                <c:pt idx="68" formatCode="_(* #,##0.0_);_(* \(#,##0.0\);_(* &quot;-&quot;??_);_(@_)">
                  <c:v>63716.914686930926</c:v>
                </c:pt>
                <c:pt idx="69" formatCode="_(* #,##0.0_);_(* \(#,##0.0\);_(* &quot;-&quot;??_);_(@_)">
                  <c:v>65849.92147488959</c:v>
                </c:pt>
                <c:pt idx="70" formatCode="_(* #,##0.0_);_(* \(#,##0.0\);_(* &quot;-&quot;??_);_(@_)">
                  <c:v>67952.080202175232</c:v>
                </c:pt>
                <c:pt idx="71" formatCode="_(* #,##0.0_);_(* \(#,##0.0\);_(* &quot;-&quot;??_);_(@_)">
                  <c:v>69156.377138663825</c:v>
                </c:pt>
              </c:numCache>
            </c:numRef>
          </c:val>
          <c:smooth val="0"/>
          <c:extLst>
            <c:ext xmlns:c16="http://schemas.microsoft.com/office/drawing/2014/chart" uri="{C3380CC4-5D6E-409C-BE32-E72D297353CC}">
              <c16:uniqueId val="{00000001-7526-49A1-BA06-1E8B5BB3B7EF}"/>
            </c:ext>
          </c:extLst>
        </c:ser>
        <c:ser>
          <c:idx val="2"/>
          <c:order val="2"/>
          <c:tx>
            <c:v>CCGT $10 CO2</c:v>
          </c:tx>
          <c:spPr>
            <a:ln w="28575" cap="rnd">
              <a:solidFill>
                <a:schemeClr val="accent3"/>
              </a:solidFill>
              <a:prstDash val="dash"/>
              <a:round/>
            </a:ln>
            <a:effectLst/>
          </c:spPr>
          <c:marker>
            <c:symbol val="none"/>
          </c:marker>
          <c:val>
            <c:numRef>
              <c:f>'TN Rev Req Charts.SMW'!$Z$84:$Z$155</c:f>
              <c:numCache>
                <c:formatCode>General</c:formatCode>
                <c:ptCount val="72"/>
                <c:pt idx="13" formatCode="_(* #,##0.0_);_(* \(#,##0.0\);_(* &quot;-&quot;??_);_(@_)">
                  <c:v>409.66919578644763</c:v>
                </c:pt>
                <c:pt idx="14" formatCode="_(* #,##0.0_);_(* \(#,##0.0\);_(* &quot;-&quot;??_);_(@_)">
                  <c:v>895.82525195311166</c:v>
                </c:pt>
                <c:pt idx="15" formatCode="_(* #,##0.0_);_(* \(#,##0.0\);_(* &quot;-&quot;??_);_(@_)">
                  <c:v>1443.5129045417607</c:v>
                </c:pt>
                <c:pt idx="16" formatCode="_(* #,##0.0_);_(* \(#,##0.0\);_(* &quot;-&quot;??_);_(@_)">
                  <c:v>1989.5514635096383</c:v>
                </c:pt>
                <c:pt idx="17" formatCode="_(* #,##0.0_);_(* \(#,##0.0\);_(* &quot;-&quot;??_);_(@_)">
                  <c:v>2579.0710165127357</c:v>
                </c:pt>
                <c:pt idx="18" formatCode="_(* #,##0.0_);_(* \(#,##0.0\);_(* &quot;-&quot;??_);_(@_)">
                  <c:v>3183.6127266359058</c:v>
                </c:pt>
                <c:pt idx="19" formatCode="_(* #,##0.0_);_(* \(#,##0.0\);_(* &quot;-&quot;??_);_(@_)">
                  <c:v>3790.379615735128</c:v>
                </c:pt>
                <c:pt idx="20" formatCode="_(* #,##0.0_);_(* \(#,##0.0\);_(* &quot;-&quot;??_);_(@_)">
                  <c:v>4427.6969941026919</c:v>
                </c:pt>
                <c:pt idx="21" formatCode="_(* #,##0.0_);_(* \(#,##0.0\);_(* &quot;-&quot;??_);_(@_)">
                  <c:v>5086.5824793769152</c:v>
                </c:pt>
                <c:pt idx="22" formatCode="_(* #,##0.0_);_(* \(#,##0.0\);_(* &quot;-&quot;??_);_(@_)">
                  <c:v>5751.9771679469013</c:v>
                </c:pt>
                <c:pt idx="23" formatCode="_(* #,##0.0_);_(* \(#,##0.0\);_(* &quot;-&quot;??_);_(@_)">
                  <c:v>6452.579277316232</c:v>
                </c:pt>
                <c:pt idx="24" formatCode="_(* #,##0.0_);_(* \(#,##0.0\);_(* &quot;-&quot;??_);_(@_)">
                  <c:v>7173.3198787321953</c:v>
                </c:pt>
                <c:pt idx="25" formatCode="_(* #,##0.0_);_(* \(#,##0.0\);_(* &quot;-&quot;??_);_(@_)">
                  <c:v>7918.7168699952326</c:v>
                </c:pt>
                <c:pt idx="26" formatCode="_(* #,##0.0_);_(* \(#,##0.0\);_(* &quot;-&quot;??_);_(@_)">
                  <c:v>8686.8904709562757</c:v>
                </c:pt>
                <c:pt idx="27" formatCode="_(* #,##0.0_);_(* \(#,##0.0\);_(* &quot;-&quot;??_);_(@_)">
                  <c:v>9479.2492679665011</c:v>
                </c:pt>
                <c:pt idx="28" formatCode="_(* #,##0.0_);_(* \(#,##0.0\);_(* &quot;-&quot;??_);_(@_)">
                  <c:v>10272.443271680664</c:v>
                </c:pt>
                <c:pt idx="29" formatCode="_(* #,##0.0_);_(* \(#,##0.0\);_(* &quot;-&quot;??_);_(@_)">
                  <c:v>11121.72599149955</c:v>
                </c:pt>
                <c:pt idx="30" formatCode="_(* #,##0.0_);_(* \(#,##0.0\);_(* &quot;-&quot;??_);_(@_)">
                  <c:v>11991.64561058813</c:v>
                </c:pt>
                <c:pt idx="31" formatCode="_(* #,##0.0_);_(* \(#,##0.0\);_(* &quot;-&quot;??_);_(@_)">
                  <c:v>12862.764101127656</c:v>
                </c:pt>
                <c:pt idx="32" formatCode="_(* #,##0.0_);_(* \(#,##0.0\);_(* &quot;-&quot;??_);_(@_)">
                  <c:v>13787.700386541175</c:v>
                </c:pt>
                <c:pt idx="33" formatCode="_(* #,##0.0_);_(* \(#,##0.0\);_(* &quot;-&quot;??_);_(@_)">
                  <c:v>14736.312534167109</c:v>
                </c:pt>
                <c:pt idx="34" formatCode="_(* #,##0.0_);_(* \(#,##0.0\);_(* &quot;-&quot;??_);_(@_)">
                  <c:v>15678.896969796255</c:v>
                </c:pt>
                <c:pt idx="35" formatCode="_(* #,##0.0_);_(* \(#,##0.0\);_(* &quot;-&quot;??_);_(@_)">
                  <c:v>16706.325044864061</c:v>
                </c:pt>
                <c:pt idx="36" formatCode="_(* #,##0.0_);_(* \(#,##0.0\);_(* &quot;-&quot;??_);_(@_)">
                  <c:v>17767.980355067957</c:v>
                </c:pt>
                <c:pt idx="37" formatCode="_(* #,##0.0_);_(* \(#,##0.0\);_(* &quot;-&quot;??_);_(@_)">
                  <c:v>18831.414453423615</c:v>
                </c:pt>
                <c:pt idx="38" formatCode="_(* #,##0.0_);_(* \(#,##0.0\);_(* &quot;-&quot;??_);_(@_)">
                  <c:v>19955.63216454018</c:v>
                </c:pt>
                <c:pt idx="39" formatCode="_(* #,##0.0_);_(* \(#,##0.0\);_(* &quot;-&quot;??_);_(@_)">
                  <c:v>21110.198159671243</c:v>
                </c:pt>
                <c:pt idx="40" formatCode="_(* #,##0.0_);_(* \(#,##0.0\);_(* &quot;-&quot;??_);_(@_)">
                  <c:v>22259.579272134783</c:v>
                </c:pt>
                <c:pt idx="41" formatCode="_(* #,##0.0_);_(* \(#,##0.0\);_(* &quot;-&quot;??_);_(@_)">
                  <c:v>23479.488308233973</c:v>
                </c:pt>
                <c:pt idx="42" formatCode="_(* #,##0.0_);_(* \(#,##0.0\);_(* &quot;-&quot;??_);_(@_)">
                  <c:v>24726.054647729368</c:v>
                </c:pt>
                <c:pt idx="43" formatCode="_(* #,##0.0_);_(* \(#,##0.0\);_(* &quot;-&quot;??_);_(@_)">
                  <c:v>25975.560225320216</c:v>
                </c:pt>
                <c:pt idx="44" formatCode="_(* #,##0.0_);_(* \(#,##0.0\);_(* &quot;-&quot;??_);_(@_)">
                  <c:v>27250.176219647623</c:v>
                </c:pt>
                <c:pt idx="45" formatCode="_(* #,##0.0_);_(* \(#,##0.0\);_(* &quot;-&quot;??_);_(@_)">
                  <c:v>28550.59879540266</c:v>
                </c:pt>
                <c:pt idx="46" formatCode="_(* #,##0.0_);_(* \(#,##0.0\);_(* &quot;-&quot;??_);_(@_)">
                  <c:v>29877.576488074901</c:v>
                </c:pt>
                <c:pt idx="47" formatCode="_(* #,##0.0_);_(* \(#,##0.0\);_(* &quot;-&quot;??_);_(@_)">
                  <c:v>31231.930139747485</c:v>
                </c:pt>
                <c:pt idx="48" formatCode="_(* #,##0.0_);_(* \(#,##0.0\);_(* &quot;-&quot;??_);_(@_)">
                  <c:v>32614.587147209113</c:v>
                </c:pt>
                <c:pt idx="49" formatCode="_(* #,##0.0_);_(* \(#,##0.0\);_(* &quot;-&quot;??_);_(@_)">
                  <c:v>34026.644634282289</c:v>
                </c:pt>
                <c:pt idx="50" formatCode="_(* #,##0.0_);_(* \(#,##0.0\);_(* &quot;-&quot;??_);_(@_)">
                  <c:v>35469.499423230511</c:v>
                </c:pt>
                <c:pt idx="51" formatCode="_(* #,##0.0_);_(* \(#,##0.0\);_(* &quot;-&quot;??_);_(@_)">
                  <c:v>36945.160057599569</c:v>
                </c:pt>
                <c:pt idx="52" formatCode="_(* #,##0.0_);_(* \(#,##0.0\);_(* &quot;-&quot;??_);_(@_)">
                  <c:v>38478.172757391272</c:v>
                </c:pt>
                <c:pt idx="53" formatCode="_(* #,##0.0_);_(* \(#,##0.0\);_(* &quot;-&quot;??_);_(@_)">
                  <c:v>40044.830710906412</c:v>
                </c:pt>
                <c:pt idx="54" formatCode="_(* #,##0.0_);_(* \(#,##0.0\);_(* &quot;-&quot;??_);_(@_)">
                  <c:v>41703.601906001772</c:v>
                </c:pt>
                <c:pt idx="55" formatCode="_(* #,##0.0_);_(* \(#,##0.0\);_(* &quot;-&quot;??_);_(@_)">
                  <c:v>43398.412511827853</c:v>
                </c:pt>
                <c:pt idx="56" formatCode="_(* #,##0.0_);_(* \(#,##0.0\);_(* &quot;-&quot;??_);_(@_)">
                  <c:v>45176.078877818858</c:v>
                </c:pt>
                <c:pt idx="57" formatCode="_(* #,##0.0_);_(* \(#,##0.0\);_(* &quot;-&quot;??_);_(@_)">
                  <c:v>46991.445019042607</c:v>
                </c:pt>
                <c:pt idx="58" formatCode="_(* #,##0.0_);_(* \(#,##0.0\);_(* &quot;-&quot;??_);_(@_)">
                  <c:v>48845.369608058951</c:v>
                </c:pt>
                <c:pt idx="59" formatCode="_(* #,##0.0_);_(* \(#,##0.0\);_(* &quot;-&quot;??_);_(@_)">
                  <c:v>50738.730889681421</c:v>
                </c:pt>
                <c:pt idx="60" formatCode="_(* #,##0.0_);_(* \(#,##0.0\);_(* &quot;-&quot;??_);_(@_)">
                  <c:v>52672.427127409865</c:v>
                </c:pt>
                <c:pt idx="61" formatCode="_(* #,##0.0_);_(* \(#,##0.0\);_(* &quot;-&quot;??_);_(@_)">
                  <c:v>54647.377060052597</c:v>
                </c:pt>
                <c:pt idx="62" formatCode="_(* #,##0.0_);_(* \(#,##0.0\);_(* &quot;-&quot;??_);_(@_)">
                  <c:v>56664.520368770703</c:v>
                </c:pt>
                <c:pt idx="63" formatCode="_(* #,##0.0_);_(* \(#,##0.0\);_(* &quot;-&quot;??_);_(@_)">
                  <c:v>58724.818154782595</c:v>
                </c:pt>
                <c:pt idx="64" formatCode="_(* #,##0.0_);_(* \(#,##0.0\);_(* &quot;-&quot;??_);_(@_)">
                  <c:v>60829.253427972137</c:v>
                </c:pt>
                <c:pt idx="65" formatCode="_(* #,##0.0_);_(* \(#,##0.0\);_(* &quot;-&quot;??_);_(@_)">
                  <c:v>62978.831606649561</c:v>
                </c:pt>
                <c:pt idx="66" formatCode="_(* #,##0.0_);_(* \(#,##0.0\);_(* &quot;-&quot;??_);_(@_)">
                  <c:v>65174.581028719702</c:v>
                </c:pt>
                <c:pt idx="67" formatCode="_(* #,##0.0_);_(* \(#,##0.0\);_(* &quot;-&quot;??_);_(@_)">
                  <c:v>67417.553474518238</c:v>
                </c:pt>
                <c:pt idx="68" formatCode="_(* #,##0.0_);_(* \(#,##0.0\);_(* &quot;-&quot;??_);_(@_)">
                  <c:v>69708.824701582344</c:v>
                </c:pt>
                <c:pt idx="69" formatCode="_(* #,##0.0_);_(* \(#,##0.0\);_(* &quot;-&quot;??_);_(@_)">
                  <c:v>72049.494991628337</c:v>
                </c:pt>
                <c:pt idx="70" formatCode="_(* #,##0.0_);_(* \(#,##0.0\);_(* &quot;-&quot;??_);_(@_)">
                  <c:v>74354.946769546965</c:v>
                </c:pt>
                <c:pt idx="71" formatCode="_(* #,##0.0_);_(* \(#,##0.0\);_(* &quot;-&quot;??_);_(@_)">
                  <c:v>75658.549558245126</c:v>
                </c:pt>
              </c:numCache>
            </c:numRef>
          </c:val>
          <c:smooth val="0"/>
          <c:extLst>
            <c:ext xmlns:c16="http://schemas.microsoft.com/office/drawing/2014/chart" uri="{C3380CC4-5D6E-409C-BE32-E72D297353CC}">
              <c16:uniqueId val="{00000002-7526-49A1-BA06-1E8B5BB3B7EF}"/>
            </c:ext>
          </c:extLst>
        </c:ser>
        <c:ser>
          <c:idx val="3"/>
          <c:order val="3"/>
          <c:tx>
            <c:v>CCGT $20 CO2</c:v>
          </c:tx>
          <c:spPr>
            <a:ln w="28575" cap="rnd">
              <a:solidFill>
                <a:schemeClr val="accent4"/>
              </a:solidFill>
              <a:prstDash val="lgDashDot"/>
              <a:round/>
            </a:ln>
            <a:effectLst/>
          </c:spPr>
          <c:marker>
            <c:symbol val="none"/>
          </c:marker>
          <c:val>
            <c:numRef>
              <c:f>'TN Rev Req Charts.SMW'!$Z$162:$Z$233</c:f>
              <c:numCache>
                <c:formatCode>General</c:formatCode>
                <c:ptCount val="72"/>
                <c:pt idx="13" formatCode="_(* #,##0.0_);_(* \(#,##0.0\);_(* &quot;-&quot;??_);_(@_)">
                  <c:v>402.15369578644766</c:v>
                </c:pt>
                <c:pt idx="14" formatCode="_(* #,##0.0_);_(* \(#,##0.0\);_(* &quot;-&quot;??_);_(@_)">
                  <c:v>888.79125195311167</c:v>
                </c:pt>
                <c:pt idx="15" formatCode="_(* #,##0.0_);_(* \(#,##0.0\);_(* &quot;-&quot;??_);_(@_)">
                  <c:v>1480.2504045417609</c:v>
                </c:pt>
                <c:pt idx="16" formatCode="_(* #,##0.0_);_(* \(#,##0.0\);_(* &quot;-&quot;??_);_(@_)">
                  <c:v>2071.6524635096384</c:v>
                </c:pt>
                <c:pt idx="17" formatCode="_(* #,##0.0_);_(* \(#,##0.0\);_(* &quot;-&quot;??_);_(@_)">
                  <c:v>2706.8675165127361</c:v>
                </c:pt>
                <c:pt idx="18" formatCode="_(* #,##0.0_);_(* \(#,##0.0\);_(* &quot;-&quot;??_);_(@_)">
                  <c:v>3362.7057266359061</c:v>
                </c:pt>
                <c:pt idx="19" formatCode="_(* #,##0.0_);_(* \(#,##0.0\);_(* &quot;-&quot;??_);_(@_)">
                  <c:v>4018.6371157351282</c:v>
                </c:pt>
                <c:pt idx="20" formatCode="_(* #,##0.0_);_(* \(#,##0.0\);_(* &quot;-&quot;??_);_(@_)">
                  <c:v>4711.0774941026921</c:v>
                </c:pt>
                <c:pt idx="21" formatCode="_(* #,##0.0_);_(* \(#,##0.0\);_(* &quot;-&quot;??_);_(@_)">
                  <c:v>5427.1069793769166</c:v>
                </c:pt>
                <c:pt idx="22" formatCode="_(* #,##0.0_);_(* \(#,##0.0\);_(* &quot;-&quot;??_);_(@_)">
                  <c:v>6146.5001679469033</c:v>
                </c:pt>
                <c:pt idx="23" formatCode="_(* #,##0.0_);_(* \(#,##0.0\);_(* &quot;-&quot;??_);_(@_)">
                  <c:v>6911.906277316235</c:v>
                </c:pt>
                <c:pt idx="24" formatCode="_(* #,##0.0_);_(* \(#,##0.0\);_(* &quot;-&quot;??_);_(@_)">
                  <c:v>7696.953878732199</c:v>
                </c:pt>
                <c:pt idx="25" formatCode="_(* #,##0.0_);_(* \(#,##0.0\);_(* &quot;-&quot;??_);_(@_)">
                  <c:v>8507.8588699952361</c:v>
                </c:pt>
                <c:pt idx="26" formatCode="_(* #,##0.0_);_(* \(#,##0.0\);_(* &quot;-&quot;??_);_(@_)">
                  <c:v>9345.8644709562795</c:v>
                </c:pt>
                <c:pt idx="27" formatCode="_(* #,##0.0_);_(* \(#,##0.0\);_(* &quot;-&quot;??_);_(@_)">
                  <c:v>10211.879267966504</c:v>
                </c:pt>
                <c:pt idx="28" formatCode="_(* #,##0.0_);_(* \(#,##0.0\);_(* &quot;-&quot;??_);_(@_)">
                  <c:v>11078.198271680667</c:v>
                </c:pt>
                <c:pt idx="29" formatCode="_(* #,##0.0_);_(* \(#,##0.0\);_(* &quot;-&quot;??_);_(@_)">
                  <c:v>12009.546991499552</c:v>
                </c:pt>
                <c:pt idx="30" formatCode="_(* #,##0.0_);_(* \(#,##0.0\);_(* &quot;-&quot;??_);_(@_)">
                  <c:v>12962.196610588131</c:v>
                </c:pt>
                <c:pt idx="31" formatCode="_(* #,##0.0_);_(* \(#,##0.0\);_(* &quot;-&quot;??_);_(@_)">
                  <c:v>13914.621101127657</c:v>
                </c:pt>
                <c:pt idx="32" formatCode="_(* #,##0.0_);_(* \(#,##0.0\);_(* &quot;-&quot;??_);_(@_)">
                  <c:v>14934.553386541176</c:v>
                </c:pt>
                <c:pt idx="33" formatCode="_(* #,##0.0_);_(* \(#,##0.0\);_(* &quot;-&quot;??_);_(@_)">
                  <c:v>15978.981534167111</c:v>
                </c:pt>
                <c:pt idx="34" formatCode="_(* #,##0.0_);_(* \(#,##0.0\);_(* &quot;-&quot;??_);_(@_)">
                  <c:v>17017.832969796254</c:v>
                </c:pt>
                <c:pt idx="35" formatCode="_(* #,##0.0_);_(* \(#,##0.0\);_(* &quot;-&quot;??_);_(@_)">
                  <c:v>18147.314044864062</c:v>
                </c:pt>
                <c:pt idx="36" formatCode="_(* #,##0.0_);_(* \(#,##0.0\);_(* &quot;-&quot;??_);_(@_)">
                  <c:v>19317.484355067958</c:v>
                </c:pt>
                <c:pt idx="37" formatCode="_(* #,##0.0_);_(* \(#,##0.0\);_(* &quot;-&quot;??_);_(@_)">
                  <c:v>20486.888453423617</c:v>
                </c:pt>
                <c:pt idx="38" formatCode="_(* #,##0.0_);_(* \(#,##0.0\);_(* &quot;-&quot;??_);_(@_)">
                  <c:v>21734.850164540181</c:v>
                </c:pt>
                <c:pt idx="39" formatCode="_(* #,##0.0_);_(* \(#,##0.0\);_(* &quot;-&quot;??_);_(@_)">
                  <c:v>23015.220159671244</c:v>
                </c:pt>
                <c:pt idx="40" formatCode="_(* #,##0.0_);_(* \(#,##0.0\);_(* &quot;-&quot;??_);_(@_)">
                  <c:v>24286.819272134784</c:v>
                </c:pt>
                <c:pt idx="41" formatCode="_(* #,##0.0_);_(* \(#,##0.0\);_(* &quot;-&quot;??_);_(@_)">
                  <c:v>25653.086308233975</c:v>
                </c:pt>
                <c:pt idx="42" formatCode="_(* #,##0.0_);_(* \(#,##0.0\);_(* &quot;-&quot;??_);_(@_)">
                  <c:v>27045.498647729371</c:v>
                </c:pt>
                <c:pt idx="43" formatCode="_(* #,##0.0_);_(* \(#,##0.0\);_(* &quot;-&quot;??_);_(@_)">
                  <c:v>28436.932757667575</c:v>
                </c:pt>
                <c:pt idx="44" formatCode="_(* #,##0.0_);_(* \(#,##0.0\);_(* &quot;-&quot;??_);_(@_)">
                  <c:v>29856.741640586319</c:v>
                </c:pt>
                <c:pt idx="45" formatCode="_(* #,##0.0_);_(* \(#,##0.0\);_(* &quot;-&quot;??_);_(@_)">
                  <c:v>31305.6965413703</c:v>
                </c:pt>
                <c:pt idx="46" formatCode="_(* #,##0.0_);_(* \(#,##0.0\);_(* &quot;-&quot;??_);_(@_)">
                  <c:v>32784.622802547157</c:v>
                </c:pt>
                <c:pt idx="47" formatCode="_(* #,##0.0_);_(* \(#,##0.0\);_(* &quot;-&quot;??_);_(@_)">
                  <c:v>34294.419839799957</c:v>
                </c:pt>
                <c:pt idx="48" formatCode="_(* #,##0.0_);_(* \(#,##0.0\);_(* &quot;-&quot;??_);_(@_)">
                  <c:v>35836.095430710149</c:v>
                </c:pt>
                <c:pt idx="49" formatCode="_(* #,##0.0_);_(* \(#,##0.0\);_(* &quot;-&quot;??_);_(@_)">
                  <c:v>37410.828928651208</c:v>
                </c:pt>
                <c:pt idx="50" formatCode="_(* #,##0.0_);_(* \(#,##0.0\);_(* &quot;-&quot;??_);_(@_)">
                  <c:v>39020.101276717272</c:v>
                </c:pt>
                <c:pt idx="51" formatCode="_(* #,##0.0_);_(* \(#,##0.0\);_(* &quot;-&quot;??_);_(@_)">
                  <c:v>40666.007074063884</c:v>
                </c:pt>
                <c:pt idx="52" formatCode="_(* #,##0.0_);_(* \(#,##0.0\);_(* &quot;-&quot;??_);_(@_)">
                  <c:v>42373.180575581617</c:v>
                </c:pt>
                <c:pt idx="53" formatCode="_(* #,##0.0_);_(* \(#,##0.0\);_(* &quot;-&quot;??_);_(@_)">
                  <c:v>44118.005029262495</c:v>
                </c:pt>
                <c:pt idx="54" formatCode="_(* #,##0.0_);_(* \(#,##0.0\);_(* &quot;-&quot;??_);_(@_)">
                  <c:v>45959.040554027401</c:v>
                </c:pt>
                <c:pt idx="55" formatCode="_(* #,##0.0_);_(* \(#,##0.0\);_(* &quot;-&quot;??_);_(@_)">
                  <c:v>47840.307569105418</c:v>
                </c:pt>
                <c:pt idx="56" formatCode="_(* #,##0.0_);_(* \(#,##0.0\);_(* &quot;-&quot;??_);_(@_)">
                  <c:v>49808.718841761161</c:v>
                </c:pt>
                <c:pt idx="57" formatCode="_(* #,##0.0_);_(* \(#,##0.0\);_(* &quot;-&quot;??_);_(@_)">
                  <c:v>51819.21702250294</c:v>
                </c:pt>
                <c:pt idx="58" formatCode="_(* #,##0.0_);_(* \(#,##0.0\);_(* &quot;-&quot;??_);_(@_)">
                  <c:v>53872.761687946229</c:v>
                </c:pt>
                <c:pt idx="59" formatCode="_(* #,##0.0_);_(* \(#,##0.0\);_(* &quot;-&quot;??_);_(@_)">
                  <c:v>55970.334307753466</c:v>
                </c:pt>
                <c:pt idx="60" formatCode="_(* #,##0.0_);_(* \(#,##0.0\);_(* &quot;-&quot;??_);_(@_)">
                  <c:v>58112.938744444917</c:v>
                </c:pt>
                <c:pt idx="61" formatCode="_(* #,##0.0_);_(* \(#,##0.0\);_(* &quot;-&quot;??_);_(@_)">
                  <c:v>60301.601764626801</c:v>
                </c:pt>
                <c:pt idx="62" formatCode="_(* #,##0.0_);_(* \(#,##0.0\);_(* &quot;-&quot;??_);_(@_)">
                  <c:v>62537.373561897461</c:v>
                </c:pt>
                <c:pt idx="63" formatCode="_(* #,##0.0_);_(* \(#,##0.0\);_(* &quot;-&quot;??_);_(@_)">
                  <c:v>64821.328291698614</c:v>
                </c:pt>
                <c:pt idx="64" formatCode="_(* #,##0.0_);_(* \(#,##0.0\);_(* &quot;-&quot;??_);_(@_)">
                  <c:v>67154.564618384567</c:v>
                </c:pt>
                <c:pt idx="65" formatCode="_(* #,##0.0_);_(* \(#,##0.0\);_(* &quot;-&quot;??_);_(@_)">
                  <c:v>69538.206274788827</c:v>
                </c:pt>
                <c:pt idx="66" formatCode="_(* #,##0.0_);_(* \(#,##0.0\);_(* &quot;-&quot;??_);_(@_)">
                  <c:v>71973.402634573518</c:v>
                </c:pt>
                <c:pt idx="67" formatCode="_(* #,##0.0_);_(* \(#,##0.0\);_(* &quot;-&quot;??_);_(@_)">
                  <c:v>74461.329297654054</c:v>
                </c:pt>
                <c:pt idx="68" formatCode="_(* #,##0.0_);_(* \(#,##0.0\);_(* &quot;-&quot;??_);_(@_)">
                  <c:v>77003.18868899763</c:v>
                </c:pt>
                <c:pt idx="69" formatCode="_(* #,##0.0_);_(* \(#,##0.0\);_(* &quot;-&quot;??_);_(@_)">
                  <c:v>79600.210671101522</c:v>
                </c:pt>
                <c:pt idx="70" formatCode="_(* #,##0.0_);_(* \(#,##0.0\);_(* &quot;-&quot;??_);_(@_)">
                  <c:v>82156.619006092282</c:v>
                </c:pt>
                <c:pt idx="71" formatCode="_(* #,##0.0_);_(* \(#,##0.0\);_(* &quot;-&quot;??_);_(@_)">
                  <c:v>83582.810612706395</c:v>
                </c:pt>
              </c:numCache>
            </c:numRef>
          </c:val>
          <c:smooth val="0"/>
          <c:extLst>
            <c:ext xmlns:c16="http://schemas.microsoft.com/office/drawing/2014/chart" uri="{C3380CC4-5D6E-409C-BE32-E72D297353CC}">
              <c16:uniqueId val="{00000003-7526-49A1-BA06-1E8B5BB3B7EF}"/>
            </c:ext>
          </c:extLst>
        </c:ser>
        <c:dLbls>
          <c:showLegendKey val="0"/>
          <c:showVal val="0"/>
          <c:showCatName val="0"/>
          <c:showSerName val="0"/>
          <c:showPercent val="0"/>
          <c:showBubbleSize val="0"/>
        </c:dLbls>
        <c:smooth val="0"/>
        <c:axId val="483083536"/>
        <c:axId val="483083928"/>
      </c:lineChart>
      <c:catAx>
        <c:axId val="4830835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83928"/>
        <c:crosses val="autoZero"/>
        <c:auto val="1"/>
        <c:lblAlgn val="ctr"/>
        <c:lblOffset val="100"/>
        <c:noMultiLvlLbl val="0"/>
      </c:catAx>
      <c:valAx>
        <c:axId val="48308392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3083536"/>
        <c:crosses val="autoZero"/>
        <c:crossBetween val="between"/>
      </c:valAx>
      <c:spPr>
        <a:noFill/>
        <a:ln>
          <a:noFill/>
        </a:ln>
        <a:effectLst/>
      </c:spPr>
    </c:plotArea>
    <c:legend>
      <c:legendPos val="b"/>
      <c:layout>
        <c:manualLayout>
          <c:xMode val="edge"/>
          <c:yMode val="edge"/>
          <c:x val="0.1180367979878976"/>
          <c:y val="0.3014234043395882"/>
          <c:w val="0.2038306022557991"/>
          <c:h val="0.18321709056204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AC6F-56B6-43C3-9EC5-A0ADE604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9558</Words>
  <Characters>54487</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63918</CharactersWithSpaces>
  <SharedDoc>false</SharedDoc>
  <HLinks>
    <vt:vector size="48" baseType="variant">
      <vt:variant>
        <vt:i4>1179704</vt:i4>
      </vt:variant>
      <vt:variant>
        <vt:i4>26</vt:i4>
      </vt:variant>
      <vt:variant>
        <vt:i4>0</vt:i4>
      </vt:variant>
      <vt:variant>
        <vt:i4>5</vt:i4>
      </vt:variant>
      <vt:variant>
        <vt:lpwstr/>
      </vt:variant>
      <vt:variant>
        <vt:lpwstr>_Toc24142491</vt:lpwstr>
      </vt:variant>
      <vt:variant>
        <vt:i4>1245240</vt:i4>
      </vt:variant>
      <vt:variant>
        <vt:i4>20</vt:i4>
      </vt:variant>
      <vt:variant>
        <vt:i4>0</vt:i4>
      </vt:variant>
      <vt:variant>
        <vt:i4>5</vt:i4>
      </vt:variant>
      <vt:variant>
        <vt:lpwstr/>
      </vt:variant>
      <vt:variant>
        <vt:lpwstr>_Toc24142490</vt:lpwstr>
      </vt:variant>
      <vt:variant>
        <vt:i4>1703993</vt:i4>
      </vt:variant>
      <vt:variant>
        <vt:i4>14</vt:i4>
      </vt:variant>
      <vt:variant>
        <vt:i4>0</vt:i4>
      </vt:variant>
      <vt:variant>
        <vt:i4>5</vt:i4>
      </vt:variant>
      <vt:variant>
        <vt:lpwstr/>
      </vt:variant>
      <vt:variant>
        <vt:lpwstr>_Toc24142489</vt:lpwstr>
      </vt:variant>
      <vt:variant>
        <vt:i4>1769529</vt:i4>
      </vt:variant>
      <vt:variant>
        <vt:i4>8</vt:i4>
      </vt:variant>
      <vt:variant>
        <vt:i4>0</vt:i4>
      </vt:variant>
      <vt:variant>
        <vt:i4>5</vt:i4>
      </vt:variant>
      <vt:variant>
        <vt:lpwstr/>
      </vt:variant>
      <vt:variant>
        <vt:lpwstr>_Toc24142488</vt:lpwstr>
      </vt:variant>
      <vt:variant>
        <vt:i4>1310777</vt:i4>
      </vt:variant>
      <vt:variant>
        <vt:i4>2</vt:i4>
      </vt:variant>
      <vt:variant>
        <vt:i4>0</vt:i4>
      </vt:variant>
      <vt:variant>
        <vt:i4>5</vt:i4>
      </vt:variant>
      <vt:variant>
        <vt:lpwstr/>
      </vt:variant>
      <vt:variant>
        <vt:lpwstr>_Toc24142487</vt:lpwstr>
      </vt:variant>
      <vt:variant>
        <vt:i4>589882</vt:i4>
      </vt:variant>
      <vt:variant>
        <vt:i4>6</vt:i4>
      </vt:variant>
      <vt:variant>
        <vt:i4>0</vt:i4>
      </vt:variant>
      <vt:variant>
        <vt:i4>5</vt:i4>
      </vt:variant>
      <vt:variant>
        <vt:lpwstr>https://www.entergy-louisiana.com/userfiles/content/irp/2019/ELL_2019_IRP_Assumptions.pdf</vt:lpwstr>
      </vt:variant>
      <vt:variant>
        <vt:lpwstr/>
      </vt:variant>
      <vt:variant>
        <vt:i4>5767258</vt:i4>
      </vt:variant>
      <vt:variant>
        <vt:i4>3</vt:i4>
      </vt:variant>
      <vt:variant>
        <vt:i4>0</vt:i4>
      </vt:variant>
      <vt:variant>
        <vt:i4>5</vt:i4>
      </vt:variant>
      <vt:variant>
        <vt:lpwstr>http://lpscstar.louisiana.gov/star/ViewFile.aspx?Id=c33b4da2-6ac0-459c-ae6d-a0620eed2809</vt:lpwstr>
      </vt:variant>
      <vt:variant>
        <vt:lpwstr/>
      </vt:variant>
      <vt:variant>
        <vt:i4>4915303</vt:i4>
      </vt:variant>
      <vt:variant>
        <vt:i4>0</vt:i4>
      </vt:variant>
      <vt:variant>
        <vt:i4>0</vt:i4>
      </vt:variant>
      <vt:variant>
        <vt:i4>5</vt:i4>
      </vt:variant>
      <vt:variant>
        <vt:lpwstr>https://www.tva.gov/file_source/TVA/Site Content/Environment/Environmental Stewardship/IRP/2019 Documents/TVA Draft IRP Vol I-reduced.pdf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Hayet</dc:creator>
  <cp:keywords/>
  <cp:lastModifiedBy>Steve Roetger</cp:lastModifiedBy>
  <cp:revision>2</cp:revision>
  <cp:lastPrinted>2019-11-21T21:02:00Z</cp:lastPrinted>
  <dcterms:created xsi:type="dcterms:W3CDTF">2019-11-22T16:15:00Z</dcterms:created>
  <dcterms:modified xsi:type="dcterms:W3CDTF">2019-11-22T16:15:00Z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ABAAVOAfoSrQoyxYJYVnaiUgnpp0Cdmj/CeLjidTjBHEYRDnUGTDVaeqyonnPDDXK1lx</vt:lpwstr>
  </property>
  <property fmtid="{D5CDD505-2E9C-101B-9397-08002B2CF9AE}" pid="3" name="MAIL_MSG_ID2">
    <vt:lpwstr>H64u/+DmxHQMIeDkUjfM+S0XnIqXaX+wXtCPBigbK5/Kt7pDLm+md54sOyy_x000d_
wsqBgVxBEmSbb5uimSklm6CFyw8N8p+Pa++jvg==</vt:lpwstr>
  </property>
  <property fmtid="{D5CDD505-2E9C-101B-9397-08002B2CF9AE}" pid="4" name="RESPONSE_SENDER_NAME">
    <vt:lpwstr>gAAAdya76B99d4hLGUR1rQ+8TxTv0GGEPdix</vt:lpwstr>
  </property>
  <property fmtid="{D5CDD505-2E9C-101B-9397-08002B2CF9AE}" pid="5" name="EMAIL_OWNER_ADDRESS">
    <vt:lpwstr>ABAAgoCixPcRe8l1dQ4Kei7iDb/bXS6cUImDv+rW4+QlT4ceU+ntJDH+eZLKmXauu8l5</vt:lpwstr>
  </property>
</Properties>
</file>