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695BE" w14:textId="77777777" w:rsidR="00600639" w:rsidRPr="005F4AA9" w:rsidRDefault="00B01F23" w:rsidP="00B01F23">
      <w:pPr>
        <w:jc w:val="center"/>
        <w:rPr>
          <w:rFonts w:cstheme="minorHAnsi"/>
          <w:sz w:val="24"/>
          <w:szCs w:val="24"/>
        </w:rPr>
      </w:pPr>
      <w:bookmarkStart w:id="0" w:name="_GoBack"/>
      <w:bookmarkEnd w:id="0"/>
      <w:r w:rsidRPr="005F4AA9">
        <w:rPr>
          <w:rFonts w:cstheme="minorHAnsi"/>
          <w:sz w:val="24"/>
          <w:szCs w:val="24"/>
        </w:rPr>
        <w:t>BEFORE THE PUBLIC SERVICE COMMISSION</w:t>
      </w:r>
    </w:p>
    <w:p w14:paraId="7AEB5BCF" w14:textId="77777777" w:rsidR="00CF5ADA" w:rsidRPr="005F4AA9" w:rsidRDefault="00CF5ADA" w:rsidP="00B01F23">
      <w:pPr>
        <w:jc w:val="center"/>
        <w:rPr>
          <w:rFonts w:cstheme="minorHAnsi"/>
          <w:sz w:val="24"/>
          <w:szCs w:val="24"/>
        </w:rPr>
      </w:pPr>
      <w:r w:rsidRPr="005F4AA9">
        <w:rPr>
          <w:rFonts w:cstheme="minorHAnsi"/>
          <w:sz w:val="24"/>
          <w:szCs w:val="24"/>
        </w:rPr>
        <w:t>STATE OF GEORGIA</w:t>
      </w:r>
    </w:p>
    <w:p w14:paraId="322E0079" w14:textId="77777777" w:rsidR="00CF5ADA" w:rsidRPr="005F4AA9" w:rsidRDefault="00CF5ADA" w:rsidP="00B01F23">
      <w:pPr>
        <w:jc w:val="center"/>
        <w:rPr>
          <w:rFonts w:cstheme="minorHAnsi"/>
          <w:sz w:val="24"/>
          <w:szCs w:val="24"/>
        </w:rPr>
      </w:pPr>
    </w:p>
    <w:p w14:paraId="29D4E791" w14:textId="77777777" w:rsidR="00B01F23" w:rsidRPr="005F4AA9" w:rsidRDefault="00B01F23" w:rsidP="00B01F23">
      <w:pPr>
        <w:jc w:val="center"/>
        <w:rPr>
          <w:rFonts w:cstheme="minorHAnsi"/>
          <w:sz w:val="24"/>
          <w:szCs w:val="24"/>
        </w:rPr>
      </w:pPr>
    </w:p>
    <w:p w14:paraId="67C475B2" w14:textId="77777777" w:rsidR="00CF5ADA" w:rsidRPr="005F4AA9" w:rsidRDefault="00B01F23" w:rsidP="00B01F23">
      <w:pPr>
        <w:rPr>
          <w:rFonts w:cstheme="minorHAnsi"/>
          <w:sz w:val="24"/>
          <w:szCs w:val="24"/>
        </w:rPr>
      </w:pPr>
      <w:r w:rsidRPr="005F4AA9">
        <w:rPr>
          <w:rFonts w:cstheme="minorHAnsi"/>
          <w:sz w:val="24"/>
          <w:szCs w:val="24"/>
        </w:rPr>
        <w:t xml:space="preserve">IN RE: </w:t>
      </w:r>
      <w:r w:rsidR="00CF5ADA" w:rsidRPr="005F4AA9">
        <w:rPr>
          <w:rFonts w:cstheme="minorHAnsi"/>
          <w:sz w:val="24"/>
          <w:szCs w:val="24"/>
        </w:rPr>
        <w:tab/>
      </w:r>
      <w:r w:rsidR="00CF5ADA" w:rsidRPr="005F4AA9">
        <w:rPr>
          <w:rFonts w:cstheme="minorHAnsi"/>
          <w:sz w:val="24"/>
          <w:szCs w:val="24"/>
        </w:rPr>
        <w:tab/>
      </w:r>
      <w:r w:rsidR="00CF5ADA" w:rsidRPr="005F4AA9">
        <w:rPr>
          <w:rFonts w:cstheme="minorHAnsi"/>
          <w:sz w:val="24"/>
          <w:szCs w:val="24"/>
        </w:rPr>
        <w:tab/>
      </w:r>
      <w:r w:rsidR="00CF5ADA" w:rsidRPr="005F4AA9">
        <w:rPr>
          <w:rFonts w:cstheme="minorHAnsi"/>
          <w:sz w:val="24"/>
          <w:szCs w:val="24"/>
        </w:rPr>
        <w:tab/>
      </w:r>
      <w:r w:rsidR="00CF5ADA" w:rsidRPr="005F4AA9">
        <w:rPr>
          <w:rFonts w:cstheme="minorHAnsi"/>
          <w:sz w:val="24"/>
          <w:szCs w:val="24"/>
        </w:rPr>
        <w:tab/>
      </w:r>
      <w:r w:rsidR="00CF5ADA" w:rsidRPr="005F4AA9">
        <w:rPr>
          <w:rFonts w:cstheme="minorHAnsi"/>
          <w:sz w:val="24"/>
          <w:szCs w:val="24"/>
        </w:rPr>
        <w:tab/>
        <w:t>)</w:t>
      </w:r>
    </w:p>
    <w:p w14:paraId="76E42D90" w14:textId="77777777" w:rsidR="00CF5ADA" w:rsidRPr="005F4AA9" w:rsidRDefault="00CF5ADA" w:rsidP="00B01F23">
      <w:pPr>
        <w:rPr>
          <w:rFonts w:cstheme="minorHAnsi"/>
          <w:sz w:val="24"/>
          <w:szCs w:val="24"/>
        </w:rPr>
      </w:pPr>
      <w:r w:rsidRPr="005F4AA9">
        <w:rPr>
          <w:rFonts w:cstheme="minorHAnsi"/>
          <w:sz w:val="24"/>
          <w:szCs w:val="24"/>
        </w:rPr>
        <w:tab/>
      </w:r>
      <w:r w:rsidRPr="005F4AA9">
        <w:rPr>
          <w:rFonts w:cstheme="minorHAnsi"/>
          <w:sz w:val="24"/>
          <w:szCs w:val="24"/>
        </w:rPr>
        <w:tab/>
      </w:r>
      <w:r w:rsidRPr="005F4AA9">
        <w:rPr>
          <w:rFonts w:cstheme="minorHAnsi"/>
          <w:sz w:val="24"/>
          <w:szCs w:val="24"/>
        </w:rPr>
        <w:tab/>
      </w:r>
      <w:r w:rsidRPr="005F4AA9">
        <w:rPr>
          <w:rFonts w:cstheme="minorHAnsi"/>
          <w:sz w:val="24"/>
          <w:szCs w:val="24"/>
        </w:rPr>
        <w:tab/>
      </w:r>
      <w:r w:rsidRPr="005F4AA9">
        <w:rPr>
          <w:rFonts w:cstheme="minorHAnsi"/>
          <w:sz w:val="24"/>
          <w:szCs w:val="24"/>
        </w:rPr>
        <w:tab/>
      </w:r>
      <w:r w:rsidRPr="005F4AA9">
        <w:rPr>
          <w:rFonts w:cstheme="minorHAnsi"/>
          <w:sz w:val="24"/>
          <w:szCs w:val="24"/>
        </w:rPr>
        <w:tab/>
        <w:t>)</w:t>
      </w:r>
    </w:p>
    <w:p w14:paraId="2AB4EFD7" w14:textId="77777777" w:rsidR="00CF5ADA" w:rsidRPr="005F4AA9" w:rsidRDefault="00CF5ADA" w:rsidP="00B01F23">
      <w:pPr>
        <w:rPr>
          <w:rFonts w:cstheme="minorHAnsi"/>
          <w:sz w:val="24"/>
          <w:szCs w:val="24"/>
        </w:rPr>
      </w:pPr>
      <w:r w:rsidRPr="005F4AA9">
        <w:rPr>
          <w:rFonts w:cstheme="minorHAnsi"/>
          <w:sz w:val="24"/>
          <w:szCs w:val="24"/>
        </w:rPr>
        <w:t xml:space="preserve">NOTICE OF INQUIRY ON </w:t>
      </w:r>
      <w:r w:rsidRPr="005F4AA9">
        <w:rPr>
          <w:rFonts w:cstheme="minorHAnsi"/>
          <w:sz w:val="24"/>
          <w:szCs w:val="24"/>
        </w:rPr>
        <w:tab/>
      </w:r>
      <w:r w:rsidRPr="005F4AA9">
        <w:rPr>
          <w:rFonts w:cstheme="minorHAnsi"/>
          <w:sz w:val="24"/>
          <w:szCs w:val="24"/>
        </w:rPr>
        <w:tab/>
      </w:r>
      <w:r w:rsidRPr="005F4AA9">
        <w:rPr>
          <w:rFonts w:cstheme="minorHAnsi"/>
          <w:sz w:val="24"/>
          <w:szCs w:val="24"/>
        </w:rPr>
        <w:tab/>
        <w:t>)</w:t>
      </w:r>
      <w:r w:rsidRPr="005F4AA9">
        <w:rPr>
          <w:rFonts w:cstheme="minorHAnsi"/>
          <w:sz w:val="24"/>
          <w:szCs w:val="24"/>
        </w:rPr>
        <w:tab/>
      </w:r>
      <w:r w:rsidRPr="005F4AA9">
        <w:rPr>
          <w:rFonts w:cstheme="minorHAnsi"/>
          <w:sz w:val="24"/>
          <w:szCs w:val="24"/>
        </w:rPr>
        <w:tab/>
        <w:t>DOCKET NO.  42744</w:t>
      </w:r>
    </w:p>
    <w:p w14:paraId="7A61CEC3" w14:textId="1F6F5A95" w:rsidR="00CF5ADA" w:rsidRPr="005F4AA9" w:rsidRDefault="00CF5ADA" w:rsidP="00B01F23">
      <w:pPr>
        <w:rPr>
          <w:rFonts w:cstheme="minorHAnsi"/>
          <w:sz w:val="24"/>
          <w:szCs w:val="24"/>
        </w:rPr>
      </w:pPr>
      <w:r w:rsidRPr="005F4AA9">
        <w:rPr>
          <w:rFonts w:cstheme="minorHAnsi"/>
          <w:sz w:val="24"/>
          <w:szCs w:val="24"/>
        </w:rPr>
        <w:t>GEORGIA SENATE BILL 2</w:t>
      </w:r>
      <w:r w:rsidRPr="005F4AA9">
        <w:rPr>
          <w:rFonts w:cstheme="minorHAnsi"/>
          <w:sz w:val="24"/>
          <w:szCs w:val="24"/>
        </w:rPr>
        <w:tab/>
      </w:r>
      <w:r w:rsidRPr="005F4AA9">
        <w:rPr>
          <w:rFonts w:cstheme="minorHAnsi"/>
          <w:sz w:val="24"/>
          <w:szCs w:val="24"/>
        </w:rPr>
        <w:tab/>
      </w:r>
      <w:r w:rsidRPr="005F4AA9">
        <w:rPr>
          <w:rFonts w:cstheme="minorHAnsi"/>
          <w:sz w:val="24"/>
          <w:szCs w:val="24"/>
        </w:rPr>
        <w:tab/>
        <w:t>)</w:t>
      </w:r>
    </w:p>
    <w:p w14:paraId="15460FDF" w14:textId="77777777" w:rsidR="00CF5ADA" w:rsidRPr="005F4AA9" w:rsidRDefault="00CF5ADA" w:rsidP="00B01F23">
      <w:pPr>
        <w:rPr>
          <w:rFonts w:cstheme="minorHAnsi"/>
          <w:sz w:val="24"/>
          <w:szCs w:val="24"/>
        </w:rPr>
      </w:pPr>
      <w:r w:rsidRPr="005F4AA9">
        <w:rPr>
          <w:rFonts w:cstheme="minorHAnsi"/>
          <w:sz w:val="24"/>
          <w:szCs w:val="24"/>
        </w:rPr>
        <w:tab/>
      </w:r>
      <w:r w:rsidRPr="005F4AA9">
        <w:rPr>
          <w:rFonts w:cstheme="minorHAnsi"/>
          <w:sz w:val="24"/>
          <w:szCs w:val="24"/>
        </w:rPr>
        <w:tab/>
      </w:r>
      <w:r w:rsidRPr="005F4AA9">
        <w:rPr>
          <w:rFonts w:cstheme="minorHAnsi"/>
          <w:sz w:val="24"/>
          <w:szCs w:val="24"/>
        </w:rPr>
        <w:tab/>
      </w:r>
      <w:r w:rsidRPr="005F4AA9">
        <w:rPr>
          <w:rFonts w:cstheme="minorHAnsi"/>
          <w:sz w:val="24"/>
          <w:szCs w:val="24"/>
        </w:rPr>
        <w:tab/>
      </w:r>
      <w:r w:rsidRPr="005F4AA9">
        <w:rPr>
          <w:rFonts w:cstheme="minorHAnsi"/>
          <w:sz w:val="24"/>
          <w:szCs w:val="24"/>
        </w:rPr>
        <w:tab/>
      </w:r>
      <w:r w:rsidRPr="005F4AA9">
        <w:rPr>
          <w:rFonts w:cstheme="minorHAnsi"/>
          <w:sz w:val="24"/>
          <w:szCs w:val="24"/>
        </w:rPr>
        <w:tab/>
        <w:t>)</w:t>
      </w:r>
    </w:p>
    <w:p w14:paraId="3BDB8965" w14:textId="77777777" w:rsidR="00CF5ADA" w:rsidRPr="005F4AA9" w:rsidRDefault="00CF5ADA" w:rsidP="00B01F23">
      <w:pPr>
        <w:rPr>
          <w:rFonts w:cstheme="minorHAnsi"/>
          <w:sz w:val="24"/>
          <w:szCs w:val="24"/>
        </w:rPr>
      </w:pPr>
    </w:p>
    <w:p w14:paraId="7032C80C" w14:textId="77777777" w:rsidR="00CF5ADA" w:rsidRPr="005F4AA9" w:rsidRDefault="00CF5ADA" w:rsidP="00CF5ADA">
      <w:pPr>
        <w:jc w:val="center"/>
        <w:rPr>
          <w:rFonts w:cstheme="minorHAnsi"/>
          <w:b/>
          <w:sz w:val="24"/>
          <w:szCs w:val="24"/>
          <w:u w:val="single"/>
        </w:rPr>
      </w:pPr>
      <w:r w:rsidRPr="005F4AA9">
        <w:rPr>
          <w:rFonts w:cstheme="minorHAnsi"/>
          <w:b/>
          <w:sz w:val="24"/>
          <w:szCs w:val="24"/>
          <w:u w:val="single"/>
        </w:rPr>
        <w:t>WINDSTREAM RESPONSE TO NOTICE OF INQUIRY ON GEORGIA SENATE BILL 2</w:t>
      </w:r>
    </w:p>
    <w:p w14:paraId="673164D3" w14:textId="77777777" w:rsidR="00CF5ADA" w:rsidRPr="005F4AA9" w:rsidRDefault="00CF5ADA" w:rsidP="00CF5ADA">
      <w:pPr>
        <w:rPr>
          <w:rFonts w:cstheme="minorHAnsi"/>
          <w:b/>
          <w:sz w:val="24"/>
          <w:szCs w:val="24"/>
        </w:rPr>
      </w:pPr>
    </w:p>
    <w:p w14:paraId="6CF5E537" w14:textId="205C153C" w:rsidR="00CF5ADA" w:rsidRPr="005F4AA9" w:rsidRDefault="00CF5ADA" w:rsidP="005F4AA9">
      <w:pPr>
        <w:ind w:firstLine="720"/>
        <w:jc w:val="both"/>
        <w:rPr>
          <w:rFonts w:cstheme="minorHAnsi"/>
          <w:sz w:val="24"/>
          <w:szCs w:val="24"/>
        </w:rPr>
      </w:pPr>
      <w:r w:rsidRPr="005F4AA9">
        <w:rPr>
          <w:rFonts w:cstheme="minorHAnsi"/>
          <w:sz w:val="24"/>
          <w:szCs w:val="24"/>
        </w:rPr>
        <w:t xml:space="preserve">Comes now </w:t>
      </w:r>
      <w:r w:rsidR="00766174" w:rsidRPr="005F4AA9">
        <w:rPr>
          <w:rFonts w:cstheme="minorHAnsi"/>
          <w:sz w:val="24"/>
          <w:szCs w:val="24"/>
        </w:rPr>
        <w:t xml:space="preserve">Georgia Windstream, LLC; Windstream Accucomm Telecommunications, LLC; </w:t>
      </w:r>
      <w:r w:rsidR="00BB4A25" w:rsidRPr="005F4AA9">
        <w:rPr>
          <w:rFonts w:cstheme="minorHAnsi"/>
          <w:sz w:val="24"/>
          <w:szCs w:val="24"/>
        </w:rPr>
        <w:t>Windstream Communications, LLC; Windstream Georgia Communications, LLC; Windstream Georgia Telephone, LLC, Windstream Georgia, LLC and Windstream Standard LLC</w:t>
      </w:r>
      <w:r w:rsidRPr="005F4AA9">
        <w:rPr>
          <w:rFonts w:cstheme="minorHAnsi"/>
          <w:sz w:val="24"/>
          <w:szCs w:val="24"/>
        </w:rPr>
        <w:t xml:space="preserve"> (</w:t>
      </w:r>
      <w:r w:rsidR="00BB4A25" w:rsidRPr="005F4AA9">
        <w:rPr>
          <w:rFonts w:cstheme="minorHAnsi"/>
          <w:sz w:val="24"/>
          <w:szCs w:val="24"/>
        </w:rPr>
        <w:t xml:space="preserve">collectively </w:t>
      </w:r>
      <w:r w:rsidRPr="005F4AA9">
        <w:rPr>
          <w:rFonts w:cstheme="minorHAnsi"/>
          <w:sz w:val="24"/>
          <w:szCs w:val="24"/>
        </w:rPr>
        <w:t xml:space="preserve">“Windstream”) and for its Response to the Georgia Public Service Commission’s </w:t>
      </w:r>
      <w:r w:rsidR="005F392D" w:rsidRPr="005F4AA9">
        <w:rPr>
          <w:rFonts w:cstheme="minorHAnsi"/>
          <w:sz w:val="24"/>
          <w:szCs w:val="24"/>
        </w:rPr>
        <w:t xml:space="preserve">(“GPSC” or “Commission”), </w:t>
      </w:r>
      <w:r w:rsidRPr="005F4AA9">
        <w:rPr>
          <w:rFonts w:cstheme="minorHAnsi"/>
          <w:sz w:val="24"/>
          <w:szCs w:val="24"/>
        </w:rPr>
        <w:t>Notice of Inquiry on Georgia Senate Bill 2</w:t>
      </w:r>
      <w:r w:rsidR="00036455" w:rsidRPr="005F4AA9">
        <w:rPr>
          <w:rFonts w:cstheme="minorHAnsi"/>
          <w:sz w:val="24"/>
          <w:szCs w:val="24"/>
        </w:rPr>
        <w:t xml:space="preserve"> (Act 51 as enrolled)</w:t>
      </w:r>
      <w:r w:rsidRPr="005F4AA9">
        <w:rPr>
          <w:rFonts w:cstheme="minorHAnsi"/>
          <w:sz w:val="24"/>
          <w:szCs w:val="24"/>
        </w:rPr>
        <w:t>, states:</w:t>
      </w:r>
    </w:p>
    <w:p w14:paraId="306764C5" w14:textId="3AC9A5C4" w:rsidR="00CF5ADA" w:rsidRPr="005F4AA9" w:rsidRDefault="00CF5ADA" w:rsidP="00CF5ADA">
      <w:pPr>
        <w:rPr>
          <w:rFonts w:cstheme="minorHAnsi"/>
          <w:sz w:val="24"/>
          <w:szCs w:val="24"/>
        </w:rPr>
      </w:pPr>
    </w:p>
    <w:p w14:paraId="64E91A4E" w14:textId="6BF3E7D1" w:rsidR="003A41A6" w:rsidRPr="005F4AA9" w:rsidRDefault="003A41A6" w:rsidP="003A41A6">
      <w:pPr>
        <w:jc w:val="center"/>
        <w:rPr>
          <w:rFonts w:cstheme="minorHAnsi"/>
          <w:b/>
          <w:sz w:val="24"/>
          <w:szCs w:val="24"/>
          <w:u w:val="single"/>
        </w:rPr>
      </w:pPr>
      <w:r w:rsidRPr="005F4AA9">
        <w:rPr>
          <w:rFonts w:cstheme="minorHAnsi"/>
          <w:b/>
          <w:sz w:val="24"/>
          <w:szCs w:val="24"/>
          <w:u w:val="single"/>
        </w:rPr>
        <w:t>General Response</w:t>
      </w:r>
    </w:p>
    <w:p w14:paraId="07112BAC" w14:textId="77777777" w:rsidR="003A41A6" w:rsidRPr="005F4AA9" w:rsidRDefault="003A41A6" w:rsidP="003A41A6">
      <w:pPr>
        <w:jc w:val="center"/>
        <w:rPr>
          <w:rFonts w:cstheme="minorHAnsi"/>
          <w:b/>
          <w:sz w:val="24"/>
          <w:szCs w:val="24"/>
          <w:u w:val="single"/>
        </w:rPr>
      </w:pPr>
    </w:p>
    <w:p w14:paraId="3EB00BE6" w14:textId="12FD7FB5" w:rsidR="003A41A6" w:rsidRPr="005F4AA9" w:rsidRDefault="003A41A6" w:rsidP="005F392D">
      <w:pPr>
        <w:ind w:firstLine="720"/>
        <w:jc w:val="both"/>
        <w:rPr>
          <w:rFonts w:cstheme="minorHAnsi"/>
          <w:sz w:val="24"/>
          <w:szCs w:val="24"/>
        </w:rPr>
      </w:pPr>
      <w:r w:rsidRPr="005F4AA9">
        <w:rPr>
          <w:rFonts w:cstheme="minorHAnsi"/>
          <w:sz w:val="24"/>
          <w:szCs w:val="24"/>
        </w:rPr>
        <w:t xml:space="preserve">Senate Bill 2 of 2019 (SB2), now Act </w:t>
      </w:r>
      <w:r w:rsidR="004E3C72" w:rsidRPr="005F4AA9">
        <w:rPr>
          <w:rFonts w:cstheme="minorHAnsi"/>
          <w:sz w:val="24"/>
          <w:szCs w:val="24"/>
        </w:rPr>
        <w:t>51</w:t>
      </w:r>
      <w:r w:rsidRPr="005F4AA9">
        <w:rPr>
          <w:rFonts w:cstheme="minorHAnsi"/>
          <w:sz w:val="24"/>
          <w:szCs w:val="24"/>
        </w:rPr>
        <w:t>, amended Chapter 3 of Title 46 of the Official Code of Georgia Annotated, specifically Code Section 46-3-171</w:t>
      </w:r>
      <w:r w:rsidR="005F392D" w:rsidRPr="005F4AA9">
        <w:rPr>
          <w:rFonts w:cstheme="minorHAnsi"/>
          <w:sz w:val="24"/>
          <w:szCs w:val="24"/>
        </w:rPr>
        <w:t>,</w:t>
      </w:r>
      <w:r w:rsidRPr="005F4AA9">
        <w:rPr>
          <w:rFonts w:cstheme="minorHAnsi"/>
          <w:sz w:val="24"/>
          <w:szCs w:val="24"/>
        </w:rPr>
        <w:t xml:space="preserve"> to allow </w:t>
      </w:r>
      <w:r w:rsidR="000870E0" w:rsidRPr="005F4AA9">
        <w:rPr>
          <w:rFonts w:cstheme="minorHAnsi"/>
          <w:sz w:val="24"/>
          <w:szCs w:val="24"/>
        </w:rPr>
        <w:t xml:space="preserve">the electric membership corporations (“EMCs”) </w:t>
      </w:r>
      <w:r w:rsidRPr="005F4AA9">
        <w:rPr>
          <w:rFonts w:cstheme="minorHAnsi"/>
          <w:sz w:val="24"/>
          <w:szCs w:val="24"/>
        </w:rPr>
        <w:t>to have broadband affiliates</w:t>
      </w:r>
      <w:r w:rsidR="005F392D" w:rsidRPr="005F4AA9">
        <w:rPr>
          <w:rFonts w:cstheme="minorHAnsi"/>
          <w:sz w:val="24"/>
          <w:szCs w:val="24"/>
        </w:rPr>
        <w:t xml:space="preserve"> which</w:t>
      </w:r>
      <w:r w:rsidRPr="005F4AA9">
        <w:rPr>
          <w:rFonts w:cstheme="minorHAnsi"/>
          <w:sz w:val="24"/>
          <w:szCs w:val="24"/>
        </w:rPr>
        <w:t xml:space="preserve"> provide retail broadband services. Windstream </w:t>
      </w:r>
      <w:r w:rsidR="003A662B" w:rsidRPr="005F4AA9">
        <w:rPr>
          <w:rFonts w:cstheme="minorHAnsi"/>
          <w:sz w:val="24"/>
          <w:szCs w:val="24"/>
        </w:rPr>
        <w:t xml:space="preserve">understands </w:t>
      </w:r>
      <w:r w:rsidRPr="005F4AA9">
        <w:rPr>
          <w:rFonts w:cstheme="minorHAnsi"/>
          <w:sz w:val="24"/>
          <w:szCs w:val="24"/>
        </w:rPr>
        <w:t>that the intent of the Georgia Legislature was to provide EMCs the opportunity to expand broadband while protecting their member ratepayers from increased costs from subsidization and to provide a competitive</w:t>
      </w:r>
      <w:r w:rsidR="003A662B" w:rsidRPr="005F4AA9">
        <w:rPr>
          <w:rFonts w:cstheme="minorHAnsi"/>
          <w:sz w:val="24"/>
          <w:szCs w:val="24"/>
        </w:rPr>
        <w:t>,</w:t>
      </w:r>
      <w:r w:rsidRPr="005F4AA9">
        <w:rPr>
          <w:rFonts w:cstheme="minorHAnsi"/>
          <w:sz w:val="24"/>
          <w:szCs w:val="24"/>
        </w:rPr>
        <w:t xml:space="preserve"> level</w:t>
      </w:r>
      <w:r w:rsidR="003A662B" w:rsidRPr="005F4AA9">
        <w:rPr>
          <w:rFonts w:cstheme="minorHAnsi"/>
          <w:sz w:val="24"/>
          <w:szCs w:val="24"/>
        </w:rPr>
        <w:t xml:space="preserve"> </w:t>
      </w:r>
      <w:r w:rsidRPr="005F4AA9">
        <w:rPr>
          <w:rFonts w:cstheme="minorHAnsi"/>
          <w:sz w:val="24"/>
          <w:szCs w:val="24"/>
        </w:rPr>
        <w:t xml:space="preserve">playing field.  </w:t>
      </w:r>
      <w:r w:rsidR="003A662B" w:rsidRPr="005F4AA9">
        <w:rPr>
          <w:rFonts w:cstheme="minorHAnsi"/>
          <w:sz w:val="24"/>
          <w:szCs w:val="24"/>
        </w:rPr>
        <w:t>Because the Commission in now tasked with establishing</w:t>
      </w:r>
      <w:r w:rsidRPr="005F4AA9">
        <w:rPr>
          <w:rFonts w:cstheme="minorHAnsi"/>
          <w:sz w:val="24"/>
          <w:szCs w:val="24"/>
        </w:rPr>
        <w:t xml:space="preserve"> the framework for the cost allocation manuals for EMCs with broadband affiliates, </w:t>
      </w:r>
      <w:r w:rsidR="003A662B" w:rsidRPr="005F4AA9">
        <w:rPr>
          <w:rFonts w:cstheme="minorHAnsi"/>
          <w:sz w:val="24"/>
          <w:szCs w:val="24"/>
        </w:rPr>
        <w:t>it has</w:t>
      </w:r>
      <w:r w:rsidRPr="005F4AA9">
        <w:rPr>
          <w:rFonts w:cstheme="minorHAnsi"/>
          <w:sz w:val="24"/>
          <w:szCs w:val="24"/>
        </w:rPr>
        <w:t xml:space="preserve"> the opportunity to ensure that EMC member ratepayers are protected and that a level playing field is</w:t>
      </w:r>
      <w:r w:rsidR="003A662B" w:rsidRPr="005F4AA9">
        <w:rPr>
          <w:rFonts w:cstheme="minorHAnsi"/>
          <w:sz w:val="24"/>
          <w:szCs w:val="24"/>
        </w:rPr>
        <w:t xml:space="preserve"> thus</w:t>
      </w:r>
      <w:r w:rsidRPr="005F4AA9">
        <w:rPr>
          <w:rFonts w:cstheme="minorHAnsi"/>
          <w:sz w:val="24"/>
          <w:szCs w:val="24"/>
        </w:rPr>
        <w:t xml:space="preserve"> </w:t>
      </w:r>
      <w:r w:rsidR="003A662B" w:rsidRPr="005F4AA9">
        <w:rPr>
          <w:rFonts w:cstheme="minorHAnsi"/>
          <w:sz w:val="24"/>
          <w:szCs w:val="24"/>
        </w:rPr>
        <w:t xml:space="preserve">preserved </w:t>
      </w:r>
      <w:r w:rsidRPr="005F4AA9">
        <w:rPr>
          <w:rFonts w:cstheme="minorHAnsi"/>
          <w:sz w:val="24"/>
          <w:szCs w:val="24"/>
        </w:rPr>
        <w:t xml:space="preserve">for all broadband providers.  </w:t>
      </w:r>
      <w:r w:rsidR="005F392D" w:rsidRPr="005F4AA9">
        <w:rPr>
          <w:rFonts w:cstheme="minorHAnsi"/>
          <w:sz w:val="24"/>
          <w:szCs w:val="24"/>
        </w:rPr>
        <w:t xml:space="preserve">Windstream appreciates the opportunity to </w:t>
      </w:r>
      <w:r w:rsidR="003A662B" w:rsidRPr="005F4AA9">
        <w:rPr>
          <w:rFonts w:cstheme="minorHAnsi"/>
          <w:sz w:val="24"/>
          <w:szCs w:val="24"/>
        </w:rPr>
        <w:t xml:space="preserve">comment on </w:t>
      </w:r>
      <w:r w:rsidR="005F392D" w:rsidRPr="005F4AA9">
        <w:rPr>
          <w:rFonts w:cstheme="minorHAnsi"/>
          <w:sz w:val="24"/>
          <w:szCs w:val="24"/>
        </w:rPr>
        <w:t xml:space="preserve">this important issue.  </w:t>
      </w:r>
    </w:p>
    <w:p w14:paraId="02C53B58" w14:textId="77777777" w:rsidR="003A41A6" w:rsidRPr="005F4AA9" w:rsidRDefault="003A41A6" w:rsidP="003A41A6">
      <w:pPr>
        <w:rPr>
          <w:rFonts w:cstheme="minorHAnsi"/>
          <w:sz w:val="24"/>
          <w:szCs w:val="24"/>
        </w:rPr>
      </w:pPr>
    </w:p>
    <w:p w14:paraId="638248B4" w14:textId="47E73420" w:rsidR="003A41A6" w:rsidRPr="005F4AA9" w:rsidRDefault="003A41A6" w:rsidP="003A41A6">
      <w:pPr>
        <w:jc w:val="center"/>
        <w:rPr>
          <w:rFonts w:cstheme="minorHAnsi"/>
          <w:b/>
          <w:sz w:val="24"/>
          <w:szCs w:val="24"/>
          <w:u w:val="single"/>
        </w:rPr>
      </w:pPr>
      <w:r w:rsidRPr="005F4AA9">
        <w:rPr>
          <w:rFonts w:cstheme="minorHAnsi"/>
          <w:b/>
          <w:sz w:val="24"/>
          <w:szCs w:val="24"/>
          <w:u w:val="single"/>
        </w:rPr>
        <w:t xml:space="preserve">NOI </w:t>
      </w:r>
      <w:r w:rsidR="004E3C72" w:rsidRPr="005F4AA9">
        <w:rPr>
          <w:rFonts w:cstheme="minorHAnsi"/>
          <w:b/>
          <w:sz w:val="24"/>
          <w:szCs w:val="24"/>
          <w:u w:val="single"/>
        </w:rPr>
        <w:t>Responses</w:t>
      </w:r>
    </w:p>
    <w:p w14:paraId="1A002221" w14:textId="77777777" w:rsidR="004E3C72" w:rsidRPr="005F4AA9" w:rsidRDefault="004E3C72" w:rsidP="004E3C72">
      <w:pPr>
        <w:rPr>
          <w:rFonts w:cstheme="minorHAnsi"/>
          <w:sz w:val="24"/>
          <w:szCs w:val="24"/>
        </w:rPr>
      </w:pPr>
    </w:p>
    <w:p w14:paraId="32F60CFA" w14:textId="047F12C7" w:rsidR="00222614" w:rsidRPr="005F4AA9" w:rsidRDefault="004E3C72" w:rsidP="004E3C72">
      <w:pPr>
        <w:rPr>
          <w:rFonts w:cstheme="minorHAnsi"/>
          <w:b/>
          <w:sz w:val="24"/>
          <w:szCs w:val="24"/>
        </w:rPr>
      </w:pPr>
      <w:r w:rsidRPr="005F4AA9">
        <w:rPr>
          <w:rFonts w:cstheme="minorHAnsi"/>
          <w:b/>
          <w:sz w:val="24"/>
          <w:szCs w:val="24"/>
        </w:rPr>
        <w:t>Question No. 1:</w:t>
      </w:r>
    </w:p>
    <w:p w14:paraId="245C9356" w14:textId="77777777" w:rsidR="00222614" w:rsidRPr="005F4AA9" w:rsidRDefault="00222614" w:rsidP="005F392D">
      <w:pPr>
        <w:spacing w:line="240" w:lineRule="auto"/>
        <w:ind w:left="360"/>
        <w:jc w:val="both"/>
        <w:rPr>
          <w:rFonts w:cstheme="minorHAnsi"/>
          <w:b/>
          <w:sz w:val="24"/>
          <w:szCs w:val="24"/>
        </w:rPr>
      </w:pPr>
      <w:r w:rsidRPr="005F4AA9">
        <w:rPr>
          <w:rFonts w:cstheme="minorHAnsi"/>
          <w:b/>
          <w:sz w:val="24"/>
          <w:szCs w:val="24"/>
        </w:rPr>
        <w:t>With regard to the cost allocation manual identified in O.C.G.A. § 46-3-200.2(b)(5), what types of rules should be included for the pricing of transactions between an electric membership corporation and its gas affiliates and broadband affiliates?  Your response may discuss the general framework and subject matter of the rules and may also suggest specific rules that should be incorporated.</w:t>
      </w:r>
    </w:p>
    <w:p w14:paraId="0E8D0CC8" w14:textId="3C97E6FF" w:rsidR="00222614" w:rsidRPr="005F4AA9" w:rsidRDefault="00222614" w:rsidP="006C6E7E">
      <w:pPr>
        <w:spacing w:line="240" w:lineRule="auto"/>
        <w:rPr>
          <w:rFonts w:cstheme="minorHAnsi"/>
          <w:sz w:val="24"/>
          <w:szCs w:val="24"/>
        </w:rPr>
      </w:pPr>
    </w:p>
    <w:p w14:paraId="4B3B8378" w14:textId="19E7352D" w:rsidR="00B411AE" w:rsidRPr="005F4AA9" w:rsidRDefault="00B411AE" w:rsidP="00B411AE">
      <w:pPr>
        <w:spacing w:line="240" w:lineRule="auto"/>
        <w:ind w:firstLine="720"/>
        <w:rPr>
          <w:rFonts w:cstheme="minorHAnsi"/>
          <w:sz w:val="24"/>
          <w:szCs w:val="24"/>
        </w:rPr>
      </w:pPr>
      <w:r w:rsidRPr="005F4AA9">
        <w:rPr>
          <w:rFonts w:cstheme="minorHAnsi"/>
          <w:sz w:val="24"/>
          <w:szCs w:val="24"/>
        </w:rPr>
        <w:t xml:space="preserve">O.C.G.A. § 46-3-200.2(b)(5) provides: </w:t>
      </w:r>
    </w:p>
    <w:p w14:paraId="2FE02155" w14:textId="420E5C80" w:rsidR="00CE082B" w:rsidRPr="005F4AA9" w:rsidRDefault="00B411AE" w:rsidP="00537843">
      <w:pPr>
        <w:autoSpaceDE w:val="0"/>
        <w:autoSpaceDN w:val="0"/>
        <w:adjustRightInd w:val="0"/>
        <w:spacing w:line="240" w:lineRule="auto"/>
        <w:ind w:left="720"/>
        <w:jc w:val="both"/>
        <w:rPr>
          <w:rFonts w:cstheme="minorHAnsi"/>
          <w:i/>
          <w:sz w:val="24"/>
          <w:szCs w:val="24"/>
          <w:lang w:val="en"/>
        </w:rPr>
      </w:pPr>
      <w:r w:rsidRPr="005F4AA9">
        <w:rPr>
          <w:rFonts w:cstheme="minorHAnsi"/>
          <w:i/>
          <w:sz w:val="24"/>
          <w:szCs w:val="24"/>
          <w:lang w:val="en"/>
        </w:rPr>
        <w:lastRenderedPageBreak/>
        <w:t>Develop and maintain a cost allocation manual, to be approved by the commission, describing the electric membership corporation's methods of cost allocation and such other information and policies reasonably required to ensure compliance with this article. Such manual shall:</w:t>
      </w:r>
      <w:r w:rsidR="000C5DAD" w:rsidRPr="005F4AA9">
        <w:rPr>
          <w:rFonts w:cstheme="minorHAnsi"/>
          <w:i/>
          <w:sz w:val="24"/>
          <w:szCs w:val="24"/>
          <w:lang w:val="en"/>
        </w:rPr>
        <w:t xml:space="preserve"> </w:t>
      </w:r>
      <w:r w:rsidR="00170952" w:rsidRPr="005F4AA9">
        <w:rPr>
          <w:rFonts w:cstheme="minorHAnsi"/>
          <w:i/>
          <w:sz w:val="24"/>
          <w:szCs w:val="24"/>
        </w:rPr>
        <w:t>A) Establish rules for the pricing of transactions between an electric membership corporation and its gas affiliates and broadband affiliates, as applicable, including the transfer of assets between such electric membership corporation and its gas affiliates and broadband affiliates;</w:t>
      </w:r>
      <w:r w:rsidR="00170952" w:rsidRPr="005F4AA9">
        <w:rPr>
          <w:rFonts w:cstheme="minorHAnsi"/>
          <w:b/>
          <w:bCs/>
          <w:sz w:val="24"/>
          <w:szCs w:val="24"/>
          <w:lang w:val="en"/>
        </w:rPr>
        <w:t xml:space="preserve"> </w:t>
      </w:r>
      <w:r w:rsidRPr="005F4AA9">
        <w:rPr>
          <w:rFonts w:cstheme="minorHAnsi"/>
          <w:bCs/>
          <w:sz w:val="24"/>
          <w:szCs w:val="24"/>
          <w:lang w:val="en"/>
        </w:rPr>
        <w:t>(B)</w:t>
      </w:r>
      <w:r w:rsidRPr="005F4AA9">
        <w:rPr>
          <w:rFonts w:cstheme="minorHAnsi"/>
          <w:sz w:val="24"/>
          <w:szCs w:val="24"/>
          <w:lang w:val="en"/>
        </w:rPr>
        <w:t xml:space="preserve"> </w:t>
      </w:r>
      <w:r w:rsidRPr="005F4AA9">
        <w:rPr>
          <w:rFonts w:cstheme="minorHAnsi"/>
          <w:i/>
          <w:sz w:val="24"/>
          <w:szCs w:val="24"/>
          <w:lang w:val="en"/>
        </w:rPr>
        <w:t>Require the electric membership corporation and its gas affiliates and broadband affiliates, as applicable, to maintain separate books of accounts and records which shall be subject to inspection to confirm compliance with this article and the cost allocation manua</w:t>
      </w:r>
      <w:r w:rsidR="00CE082B" w:rsidRPr="005F4AA9">
        <w:rPr>
          <w:rFonts w:cstheme="minorHAnsi"/>
          <w:i/>
          <w:sz w:val="24"/>
          <w:szCs w:val="24"/>
          <w:lang w:val="en"/>
        </w:rPr>
        <w:t xml:space="preserve">l; and </w:t>
      </w:r>
      <w:r w:rsidR="00CE082B" w:rsidRPr="005F4AA9">
        <w:rPr>
          <w:rFonts w:cstheme="minorHAnsi"/>
          <w:sz w:val="24"/>
          <w:szCs w:val="24"/>
        </w:rPr>
        <w:t>(</w:t>
      </w:r>
      <w:r w:rsidR="00CE082B" w:rsidRPr="005F4AA9">
        <w:rPr>
          <w:rFonts w:cstheme="minorHAnsi"/>
          <w:i/>
          <w:sz w:val="24"/>
          <w:szCs w:val="24"/>
        </w:rPr>
        <w:t>C) Require that all services that an electric membership corporation provides to its gas affiliates and broadband affiliates, as applicable, be provided at the same rates and on the same terms and conditions as any other similarly situated retail customer or communications service provider. Any such services provided to any communications service provider shall be on a strictly confidential basis, such that the electric membership corporation does not share information regarding any communications service provider with any other communications service provider, including a broadband affiliate.</w:t>
      </w:r>
    </w:p>
    <w:p w14:paraId="126F8E7D" w14:textId="77777777" w:rsidR="00B411AE" w:rsidRPr="005F4AA9" w:rsidRDefault="00B411AE" w:rsidP="00B411AE">
      <w:pPr>
        <w:pStyle w:val="NormalWeb"/>
        <w:jc w:val="both"/>
        <w:rPr>
          <w:rFonts w:asciiTheme="minorHAnsi" w:hAnsiTheme="minorHAnsi" w:cstheme="minorHAnsi"/>
          <w:b/>
        </w:rPr>
      </w:pPr>
      <w:r w:rsidRPr="005F4AA9">
        <w:rPr>
          <w:rFonts w:asciiTheme="minorHAnsi" w:hAnsiTheme="minorHAnsi" w:cstheme="minorHAnsi"/>
          <w:b/>
        </w:rPr>
        <w:t>Response No. 1:</w:t>
      </w:r>
    </w:p>
    <w:p w14:paraId="0FA68218" w14:textId="73E57E23" w:rsidR="000870E0" w:rsidRPr="005F4AA9" w:rsidRDefault="00B411AE" w:rsidP="00C4478A">
      <w:pPr>
        <w:pStyle w:val="NormalWeb"/>
        <w:ind w:firstLine="720"/>
        <w:jc w:val="both"/>
        <w:rPr>
          <w:rFonts w:asciiTheme="minorHAnsi" w:hAnsiTheme="minorHAnsi" w:cstheme="minorHAnsi"/>
        </w:rPr>
      </w:pPr>
      <w:r w:rsidRPr="005F4AA9">
        <w:rPr>
          <w:rFonts w:asciiTheme="minorHAnsi" w:hAnsiTheme="minorHAnsi" w:cstheme="minorHAnsi"/>
          <w:b/>
        </w:rPr>
        <w:t xml:space="preserve"> </w:t>
      </w:r>
      <w:r w:rsidR="004E3C72" w:rsidRPr="005F4AA9">
        <w:rPr>
          <w:rFonts w:asciiTheme="minorHAnsi" w:hAnsiTheme="minorHAnsi" w:cstheme="minorHAnsi"/>
        </w:rPr>
        <w:t>Act 51</w:t>
      </w:r>
      <w:r w:rsidR="003A41A6" w:rsidRPr="005F4AA9">
        <w:rPr>
          <w:rFonts w:asciiTheme="minorHAnsi" w:hAnsiTheme="minorHAnsi" w:cstheme="minorHAnsi"/>
        </w:rPr>
        <w:t xml:space="preserve"> specifically prohibits cross</w:t>
      </w:r>
      <w:r w:rsidR="003A662B" w:rsidRPr="005F4AA9">
        <w:rPr>
          <w:rFonts w:asciiTheme="minorHAnsi" w:hAnsiTheme="minorHAnsi" w:cstheme="minorHAnsi"/>
        </w:rPr>
        <w:t>-</w:t>
      </w:r>
      <w:r w:rsidR="003A41A6" w:rsidRPr="005F4AA9">
        <w:rPr>
          <w:rFonts w:asciiTheme="minorHAnsi" w:hAnsiTheme="minorHAnsi" w:cstheme="minorHAnsi"/>
        </w:rPr>
        <w:t xml:space="preserve">subsidization between electric, broadband, and gas providers.  O.C.G.A. § 46-3-200.2(a).  To prevent cross-subsidization by the gas/electric EMCs and their broadband affiliates, the EMCs must fully allocate costs </w:t>
      </w:r>
      <w:r w:rsidR="003A662B" w:rsidRPr="005F4AA9">
        <w:rPr>
          <w:rFonts w:asciiTheme="minorHAnsi" w:hAnsiTheme="minorHAnsi" w:cstheme="minorHAnsi"/>
        </w:rPr>
        <w:t xml:space="preserve">according to </w:t>
      </w:r>
      <w:r w:rsidR="003A41A6" w:rsidRPr="005F4AA9">
        <w:rPr>
          <w:rFonts w:asciiTheme="minorHAnsi" w:hAnsiTheme="minorHAnsi" w:cstheme="minorHAnsi"/>
        </w:rPr>
        <w:t xml:space="preserve">a Commission-approved cost allocation manual. </w:t>
      </w:r>
      <w:r w:rsidR="005F392D" w:rsidRPr="005F4AA9">
        <w:rPr>
          <w:rFonts w:asciiTheme="minorHAnsi" w:hAnsiTheme="minorHAnsi" w:cstheme="minorHAnsi"/>
        </w:rPr>
        <w:t>EMCs</w:t>
      </w:r>
      <w:r w:rsidR="003A41A6" w:rsidRPr="005F4AA9">
        <w:rPr>
          <w:rFonts w:asciiTheme="minorHAnsi" w:hAnsiTheme="minorHAnsi" w:cstheme="minorHAnsi"/>
        </w:rPr>
        <w:t xml:space="preserve"> </w:t>
      </w:r>
      <w:r w:rsidR="0004228B" w:rsidRPr="005F4AA9">
        <w:rPr>
          <w:rFonts w:asciiTheme="minorHAnsi" w:hAnsiTheme="minorHAnsi" w:cstheme="minorHAnsi"/>
        </w:rPr>
        <w:t>must</w:t>
      </w:r>
      <w:r w:rsidR="003A41A6" w:rsidRPr="005F4AA9">
        <w:rPr>
          <w:rFonts w:asciiTheme="minorHAnsi" w:hAnsiTheme="minorHAnsi" w:cstheme="minorHAnsi"/>
        </w:rPr>
        <w:t xml:space="preserve"> establish pricing rules; maintain separate books and accounts; and provide service from the EMC to the broadband affiliate at the same rates, terms</w:t>
      </w:r>
      <w:r w:rsidR="00297099" w:rsidRPr="005F4AA9">
        <w:rPr>
          <w:rFonts w:asciiTheme="minorHAnsi" w:hAnsiTheme="minorHAnsi" w:cstheme="minorHAnsi"/>
        </w:rPr>
        <w:t>,</w:t>
      </w:r>
      <w:r w:rsidR="003A41A6" w:rsidRPr="005F4AA9">
        <w:rPr>
          <w:rFonts w:asciiTheme="minorHAnsi" w:hAnsiTheme="minorHAnsi" w:cstheme="minorHAnsi"/>
        </w:rPr>
        <w:t xml:space="preserve"> and conditions as any other similarly situation customer.  This would include not only service costs but mechanical costs as well.</w:t>
      </w:r>
      <w:r w:rsidR="003A662B" w:rsidRPr="005F4AA9">
        <w:rPr>
          <w:rFonts w:asciiTheme="minorHAnsi" w:hAnsiTheme="minorHAnsi" w:cstheme="minorHAnsi"/>
        </w:rPr>
        <w:t xml:space="preserve"> </w:t>
      </w:r>
      <w:r w:rsidR="005F392D" w:rsidRPr="005F4AA9">
        <w:rPr>
          <w:rFonts w:asciiTheme="minorHAnsi" w:hAnsiTheme="minorHAnsi" w:cstheme="minorHAnsi"/>
        </w:rPr>
        <w:t xml:space="preserve">The cost allocation manual </w:t>
      </w:r>
      <w:r w:rsidR="003A662B" w:rsidRPr="005F4AA9">
        <w:rPr>
          <w:rFonts w:asciiTheme="minorHAnsi" w:hAnsiTheme="minorHAnsi" w:cstheme="minorHAnsi"/>
        </w:rPr>
        <w:t>should require that no</w:t>
      </w:r>
      <w:r w:rsidR="005F392D" w:rsidRPr="005F4AA9">
        <w:rPr>
          <w:rFonts w:asciiTheme="minorHAnsi" w:hAnsiTheme="minorHAnsi" w:cstheme="minorHAnsi"/>
        </w:rPr>
        <w:t xml:space="preserve"> asset, cost, transaction, or rate </w:t>
      </w:r>
      <w:r w:rsidR="003A662B" w:rsidRPr="005F4AA9">
        <w:rPr>
          <w:rFonts w:asciiTheme="minorHAnsi" w:hAnsiTheme="minorHAnsi" w:cstheme="minorHAnsi"/>
        </w:rPr>
        <w:t>provides</w:t>
      </w:r>
      <w:r w:rsidR="005F392D" w:rsidRPr="005F4AA9">
        <w:rPr>
          <w:rFonts w:asciiTheme="minorHAnsi" w:hAnsiTheme="minorHAnsi" w:cstheme="minorHAnsi"/>
        </w:rPr>
        <w:t xml:space="preserve"> an unfair competitive advantage in favor of the EMCs</w:t>
      </w:r>
      <w:r w:rsidR="00FA08DD" w:rsidRPr="005F4AA9">
        <w:rPr>
          <w:rFonts w:asciiTheme="minorHAnsi" w:hAnsiTheme="minorHAnsi" w:cstheme="minorHAnsi"/>
        </w:rPr>
        <w:t xml:space="preserve"> or their broadband affiliates</w:t>
      </w:r>
      <w:r w:rsidR="005F392D" w:rsidRPr="005F4AA9">
        <w:rPr>
          <w:rFonts w:asciiTheme="minorHAnsi" w:hAnsiTheme="minorHAnsi" w:cstheme="minorHAnsi"/>
        </w:rPr>
        <w:t xml:space="preserve">.  </w:t>
      </w:r>
    </w:p>
    <w:p w14:paraId="5369BE5D" w14:textId="67DCC2C4" w:rsidR="00A017BE" w:rsidRPr="005F4AA9" w:rsidRDefault="000870E0" w:rsidP="00C4478A">
      <w:pPr>
        <w:pStyle w:val="NormalWeb"/>
        <w:ind w:firstLine="720"/>
        <w:jc w:val="both"/>
        <w:rPr>
          <w:rFonts w:asciiTheme="minorHAnsi" w:hAnsiTheme="minorHAnsi" w:cstheme="minorHAnsi"/>
          <w:i/>
          <w:lang w:val="en"/>
        </w:rPr>
      </w:pPr>
      <w:r w:rsidRPr="005F4AA9">
        <w:rPr>
          <w:rFonts w:asciiTheme="minorHAnsi" w:hAnsiTheme="minorHAnsi" w:cstheme="minorHAnsi"/>
        </w:rPr>
        <w:t>Windstream recommends that</w:t>
      </w:r>
      <w:r w:rsidR="003A662B" w:rsidRPr="005F4AA9">
        <w:rPr>
          <w:rFonts w:asciiTheme="minorHAnsi" w:hAnsiTheme="minorHAnsi" w:cstheme="minorHAnsi"/>
        </w:rPr>
        <w:t>,</w:t>
      </w:r>
      <w:r w:rsidRPr="005F4AA9">
        <w:rPr>
          <w:rFonts w:asciiTheme="minorHAnsi" w:hAnsiTheme="minorHAnsi" w:cstheme="minorHAnsi"/>
        </w:rPr>
        <w:t xml:space="preserve"> at a minimum, </w:t>
      </w:r>
      <w:r w:rsidR="004E3C72" w:rsidRPr="005F4AA9">
        <w:rPr>
          <w:rFonts w:asciiTheme="minorHAnsi" w:hAnsiTheme="minorHAnsi" w:cstheme="minorHAnsi"/>
        </w:rPr>
        <w:t xml:space="preserve">the cost allocation manual </w:t>
      </w:r>
      <w:r w:rsidRPr="005F4AA9">
        <w:rPr>
          <w:rFonts w:asciiTheme="minorHAnsi" w:hAnsiTheme="minorHAnsi" w:cstheme="minorHAnsi"/>
        </w:rPr>
        <w:t xml:space="preserve">should </w:t>
      </w:r>
      <w:r w:rsidR="004E3C72" w:rsidRPr="005F4AA9">
        <w:rPr>
          <w:rFonts w:asciiTheme="minorHAnsi" w:hAnsiTheme="minorHAnsi" w:cstheme="minorHAnsi"/>
        </w:rPr>
        <w:t>address the following:</w:t>
      </w:r>
    </w:p>
    <w:p w14:paraId="6A8C3F5C" w14:textId="7BF1E2C8" w:rsidR="00507CAC" w:rsidRPr="005F4AA9" w:rsidRDefault="00540A4B" w:rsidP="004E6D62">
      <w:pPr>
        <w:pStyle w:val="NormalWeb"/>
        <w:numPr>
          <w:ilvl w:val="0"/>
          <w:numId w:val="2"/>
        </w:numPr>
        <w:rPr>
          <w:rFonts w:asciiTheme="minorHAnsi" w:eastAsiaTheme="minorHAnsi" w:hAnsiTheme="minorHAnsi" w:cstheme="minorHAnsi"/>
          <w:b/>
          <w:lang w:val="en"/>
        </w:rPr>
      </w:pPr>
      <w:r w:rsidRPr="005F4AA9">
        <w:rPr>
          <w:rFonts w:asciiTheme="minorHAnsi" w:eastAsiaTheme="minorHAnsi" w:hAnsiTheme="minorHAnsi" w:cstheme="minorHAnsi"/>
          <w:b/>
          <w:lang w:val="en"/>
        </w:rPr>
        <w:t xml:space="preserve">No costs of </w:t>
      </w:r>
      <w:r w:rsidR="003001F7" w:rsidRPr="005F4AA9">
        <w:rPr>
          <w:rFonts w:asciiTheme="minorHAnsi" w:eastAsiaTheme="minorHAnsi" w:hAnsiTheme="minorHAnsi" w:cstheme="minorHAnsi"/>
          <w:b/>
          <w:lang w:val="en"/>
        </w:rPr>
        <w:t>any</w:t>
      </w:r>
      <w:r w:rsidRPr="005F4AA9">
        <w:rPr>
          <w:rFonts w:asciiTheme="minorHAnsi" w:eastAsiaTheme="minorHAnsi" w:hAnsiTheme="minorHAnsi" w:cstheme="minorHAnsi"/>
          <w:b/>
          <w:lang w:val="en"/>
        </w:rPr>
        <w:t xml:space="preserve"> </w:t>
      </w:r>
      <w:r w:rsidR="002D2F24" w:rsidRPr="005F4AA9">
        <w:rPr>
          <w:rFonts w:asciiTheme="minorHAnsi" w:eastAsiaTheme="minorHAnsi" w:hAnsiTheme="minorHAnsi" w:cstheme="minorHAnsi"/>
          <w:b/>
          <w:lang w:val="en"/>
        </w:rPr>
        <w:t>proposed transaction</w:t>
      </w:r>
      <w:r w:rsidR="007D095F" w:rsidRPr="005F4AA9">
        <w:rPr>
          <w:rFonts w:asciiTheme="minorHAnsi" w:eastAsiaTheme="minorHAnsi" w:hAnsiTheme="minorHAnsi" w:cstheme="minorHAnsi"/>
          <w:b/>
          <w:lang w:val="en"/>
        </w:rPr>
        <w:t xml:space="preserve"> forming the broadband affiliate</w:t>
      </w:r>
      <w:r w:rsidR="002D2F24" w:rsidRPr="005F4AA9">
        <w:rPr>
          <w:rFonts w:asciiTheme="minorHAnsi" w:eastAsiaTheme="minorHAnsi" w:hAnsiTheme="minorHAnsi" w:cstheme="minorHAnsi"/>
          <w:b/>
          <w:lang w:val="en"/>
        </w:rPr>
        <w:t xml:space="preserve"> shall be borne by the EMC ratepayers. </w:t>
      </w:r>
    </w:p>
    <w:p w14:paraId="59ACC0BF" w14:textId="11FF5E77" w:rsidR="002D2F24" w:rsidRPr="005F4AA9" w:rsidRDefault="00790194" w:rsidP="00831EE2">
      <w:pPr>
        <w:pStyle w:val="NormalWeb"/>
        <w:ind w:firstLine="720"/>
        <w:jc w:val="both"/>
        <w:rPr>
          <w:rFonts w:asciiTheme="minorHAnsi" w:eastAsiaTheme="minorHAnsi" w:hAnsiTheme="minorHAnsi" w:cstheme="minorHAnsi"/>
          <w:lang w:val="en"/>
        </w:rPr>
      </w:pPr>
      <w:r w:rsidRPr="005F4AA9">
        <w:rPr>
          <w:rFonts w:asciiTheme="minorHAnsi" w:eastAsiaTheme="minorHAnsi" w:hAnsiTheme="minorHAnsi" w:cstheme="minorHAnsi"/>
          <w:lang w:val="en"/>
        </w:rPr>
        <w:t xml:space="preserve">The EMC and </w:t>
      </w:r>
      <w:r w:rsidR="00831EE2" w:rsidRPr="005F4AA9">
        <w:rPr>
          <w:rFonts w:asciiTheme="minorHAnsi" w:eastAsiaTheme="minorHAnsi" w:hAnsiTheme="minorHAnsi" w:cstheme="minorHAnsi"/>
          <w:lang w:val="en"/>
        </w:rPr>
        <w:t>i</w:t>
      </w:r>
      <w:r w:rsidR="003A662B" w:rsidRPr="005F4AA9">
        <w:rPr>
          <w:rFonts w:asciiTheme="minorHAnsi" w:eastAsiaTheme="minorHAnsi" w:hAnsiTheme="minorHAnsi" w:cstheme="minorHAnsi"/>
          <w:lang w:val="en"/>
        </w:rPr>
        <w:t>t</w:t>
      </w:r>
      <w:r w:rsidR="00831EE2" w:rsidRPr="005F4AA9">
        <w:rPr>
          <w:rFonts w:asciiTheme="minorHAnsi" w:eastAsiaTheme="minorHAnsi" w:hAnsiTheme="minorHAnsi" w:cstheme="minorHAnsi"/>
          <w:lang w:val="en"/>
        </w:rPr>
        <w:t xml:space="preserve">s </w:t>
      </w:r>
      <w:r w:rsidRPr="005F4AA9">
        <w:rPr>
          <w:rFonts w:asciiTheme="minorHAnsi" w:eastAsiaTheme="minorHAnsi" w:hAnsiTheme="minorHAnsi" w:cstheme="minorHAnsi"/>
          <w:lang w:val="en"/>
        </w:rPr>
        <w:t xml:space="preserve">broadband affiliate must </w:t>
      </w:r>
      <w:r w:rsidR="00831EE2" w:rsidRPr="005F4AA9">
        <w:rPr>
          <w:rFonts w:asciiTheme="minorHAnsi" w:eastAsiaTheme="minorHAnsi" w:hAnsiTheme="minorHAnsi" w:cstheme="minorHAnsi"/>
          <w:lang w:val="en"/>
        </w:rPr>
        <w:t>be</w:t>
      </w:r>
      <w:r w:rsidRPr="005F4AA9">
        <w:rPr>
          <w:rFonts w:asciiTheme="minorHAnsi" w:eastAsiaTheme="minorHAnsi" w:hAnsiTheme="minorHAnsi" w:cstheme="minorHAnsi"/>
          <w:lang w:val="en"/>
        </w:rPr>
        <w:t xml:space="preserve"> separate legal entities</w:t>
      </w:r>
      <w:r w:rsidR="007D095F" w:rsidRPr="005F4AA9">
        <w:rPr>
          <w:rFonts w:asciiTheme="minorHAnsi" w:eastAsiaTheme="minorHAnsi" w:hAnsiTheme="minorHAnsi" w:cstheme="minorHAnsi"/>
          <w:lang w:val="en"/>
        </w:rPr>
        <w:t xml:space="preserve">. </w:t>
      </w:r>
      <w:r w:rsidR="00D105E0" w:rsidRPr="005F4AA9">
        <w:rPr>
          <w:rFonts w:asciiTheme="minorHAnsi" w:eastAsiaTheme="minorHAnsi" w:hAnsiTheme="minorHAnsi" w:cstheme="minorHAnsi"/>
          <w:lang w:val="en"/>
        </w:rPr>
        <w:t xml:space="preserve">The EMC must use proper accounting procedures to protect against cross-subsidization. </w:t>
      </w:r>
      <w:r w:rsidRPr="005F4AA9">
        <w:rPr>
          <w:rFonts w:asciiTheme="minorHAnsi" w:eastAsiaTheme="minorHAnsi" w:hAnsiTheme="minorHAnsi" w:cstheme="minorHAnsi"/>
          <w:lang w:val="en"/>
        </w:rPr>
        <w:t xml:space="preserve"> </w:t>
      </w:r>
      <w:r w:rsidR="0063184E" w:rsidRPr="005F4AA9">
        <w:rPr>
          <w:rFonts w:asciiTheme="minorHAnsi" w:eastAsiaTheme="minorHAnsi" w:hAnsiTheme="minorHAnsi" w:cstheme="minorHAnsi"/>
          <w:lang w:val="en"/>
        </w:rPr>
        <w:t>R</w:t>
      </w:r>
      <w:r w:rsidR="006967B4" w:rsidRPr="005F4AA9">
        <w:rPr>
          <w:rFonts w:asciiTheme="minorHAnsi" w:eastAsiaTheme="minorHAnsi" w:hAnsiTheme="minorHAnsi" w:cstheme="minorHAnsi"/>
          <w:lang w:val="en"/>
        </w:rPr>
        <w:t xml:space="preserve">egulated activities should </w:t>
      </w:r>
      <w:r w:rsidR="0063184E" w:rsidRPr="005F4AA9">
        <w:rPr>
          <w:rFonts w:asciiTheme="minorHAnsi" w:eastAsiaTheme="minorHAnsi" w:hAnsiTheme="minorHAnsi" w:cstheme="minorHAnsi"/>
          <w:lang w:val="en"/>
        </w:rPr>
        <w:t xml:space="preserve">be separated from unregulated activities, if any.   </w:t>
      </w:r>
      <w:r w:rsidR="00546D6E" w:rsidRPr="005F4AA9">
        <w:rPr>
          <w:rFonts w:asciiTheme="minorHAnsi" w:eastAsiaTheme="minorHAnsi" w:hAnsiTheme="minorHAnsi" w:cstheme="minorHAnsi"/>
          <w:lang w:val="en"/>
        </w:rPr>
        <w:t>All costs rela</w:t>
      </w:r>
      <w:r w:rsidR="003A662B" w:rsidRPr="005F4AA9">
        <w:rPr>
          <w:rFonts w:asciiTheme="minorHAnsi" w:eastAsiaTheme="minorHAnsi" w:hAnsiTheme="minorHAnsi" w:cstheme="minorHAnsi"/>
          <w:lang w:val="en"/>
        </w:rPr>
        <w:t>ting</w:t>
      </w:r>
      <w:r w:rsidR="00546D6E" w:rsidRPr="005F4AA9">
        <w:rPr>
          <w:rFonts w:asciiTheme="minorHAnsi" w:eastAsiaTheme="minorHAnsi" w:hAnsiTheme="minorHAnsi" w:cstheme="minorHAnsi"/>
          <w:lang w:val="en"/>
        </w:rPr>
        <w:t xml:space="preserve"> to the </w:t>
      </w:r>
      <w:r w:rsidR="005B2363" w:rsidRPr="005F4AA9">
        <w:rPr>
          <w:rFonts w:asciiTheme="minorHAnsi" w:eastAsiaTheme="minorHAnsi" w:hAnsiTheme="minorHAnsi" w:cstheme="minorHAnsi"/>
          <w:lang w:val="en"/>
        </w:rPr>
        <w:t xml:space="preserve">creation or </w:t>
      </w:r>
      <w:r w:rsidR="00A8352F" w:rsidRPr="005F4AA9">
        <w:rPr>
          <w:rFonts w:asciiTheme="minorHAnsi" w:eastAsiaTheme="minorHAnsi" w:hAnsiTheme="minorHAnsi" w:cstheme="minorHAnsi"/>
          <w:lang w:val="en"/>
        </w:rPr>
        <w:t>acquisition</w:t>
      </w:r>
      <w:r w:rsidR="005B2363" w:rsidRPr="005F4AA9">
        <w:rPr>
          <w:rFonts w:asciiTheme="minorHAnsi" w:eastAsiaTheme="minorHAnsi" w:hAnsiTheme="minorHAnsi" w:cstheme="minorHAnsi"/>
          <w:lang w:val="en"/>
        </w:rPr>
        <w:t xml:space="preserve"> of a broadband affiliate</w:t>
      </w:r>
      <w:r w:rsidR="003206BC" w:rsidRPr="005F4AA9">
        <w:rPr>
          <w:rFonts w:asciiTheme="minorHAnsi" w:eastAsiaTheme="minorHAnsi" w:hAnsiTheme="minorHAnsi" w:cstheme="minorHAnsi"/>
          <w:lang w:val="en"/>
        </w:rPr>
        <w:t xml:space="preserve">, including one-time, temporary costs, </w:t>
      </w:r>
      <w:r w:rsidR="0063184E" w:rsidRPr="005F4AA9">
        <w:rPr>
          <w:rFonts w:asciiTheme="minorHAnsi" w:eastAsiaTheme="minorHAnsi" w:hAnsiTheme="minorHAnsi" w:cstheme="minorHAnsi"/>
          <w:lang w:val="en"/>
        </w:rPr>
        <w:t>should</w:t>
      </w:r>
      <w:r w:rsidR="003206BC" w:rsidRPr="005F4AA9">
        <w:rPr>
          <w:rFonts w:asciiTheme="minorHAnsi" w:eastAsiaTheme="minorHAnsi" w:hAnsiTheme="minorHAnsi" w:cstheme="minorHAnsi"/>
          <w:lang w:val="en"/>
        </w:rPr>
        <w:t xml:space="preserve"> be recorded in separate accounts </w:t>
      </w:r>
      <w:r w:rsidR="00C3234D" w:rsidRPr="005F4AA9">
        <w:rPr>
          <w:rFonts w:asciiTheme="minorHAnsi" w:eastAsiaTheme="minorHAnsi" w:hAnsiTheme="minorHAnsi" w:cstheme="minorHAnsi"/>
          <w:lang w:val="en"/>
        </w:rPr>
        <w:t xml:space="preserve">specifically maintained to account for the </w:t>
      </w:r>
      <w:r w:rsidR="00A8352F" w:rsidRPr="005F4AA9">
        <w:rPr>
          <w:rFonts w:asciiTheme="minorHAnsi" w:eastAsiaTheme="minorHAnsi" w:hAnsiTheme="minorHAnsi" w:cstheme="minorHAnsi"/>
          <w:lang w:val="en"/>
        </w:rPr>
        <w:t xml:space="preserve">creation or acquisition. </w:t>
      </w:r>
      <w:r w:rsidR="00F75357" w:rsidRPr="005F4AA9">
        <w:rPr>
          <w:rFonts w:asciiTheme="minorHAnsi" w:eastAsiaTheme="minorHAnsi" w:hAnsiTheme="minorHAnsi" w:cstheme="minorHAnsi"/>
          <w:lang w:val="en"/>
        </w:rPr>
        <w:t>The</w:t>
      </w:r>
      <w:r w:rsidR="00D2769A" w:rsidRPr="005F4AA9">
        <w:rPr>
          <w:rFonts w:asciiTheme="minorHAnsi" w:eastAsiaTheme="minorHAnsi" w:hAnsiTheme="minorHAnsi" w:cstheme="minorHAnsi"/>
          <w:lang w:val="en"/>
        </w:rPr>
        <w:t xml:space="preserve"> detailed journal</w:t>
      </w:r>
      <w:r w:rsidR="003A662B" w:rsidRPr="005F4AA9">
        <w:rPr>
          <w:rFonts w:asciiTheme="minorHAnsi" w:eastAsiaTheme="minorHAnsi" w:hAnsiTheme="minorHAnsi" w:cstheme="minorHAnsi"/>
          <w:lang w:val="en"/>
        </w:rPr>
        <w:t xml:space="preserve"> </w:t>
      </w:r>
      <w:r w:rsidR="00D2769A" w:rsidRPr="005F4AA9">
        <w:rPr>
          <w:rFonts w:asciiTheme="minorHAnsi" w:eastAsiaTheme="minorHAnsi" w:hAnsiTheme="minorHAnsi" w:cstheme="minorHAnsi"/>
          <w:lang w:val="en"/>
        </w:rPr>
        <w:t xml:space="preserve">entries recorded to reflect the creation or acquisition </w:t>
      </w:r>
      <w:r w:rsidR="00D161CB" w:rsidRPr="005F4AA9">
        <w:rPr>
          <w:rFonts w:asciiTheme="minorHAnsi" w:eastAsiaTheme="minorHAnsi" w:hAnsiTheme="minorHAnsi" w:cstheme="minorHAnsi"/>
          <w:lang w:val="en"/>
        </w:rPr>
        <w:t>must</w:t>
      </w:r>
      <w:r w:rsidR="00D2769A" w:rsidRPr="005F4AA9">
        <w:rPr>
          <w:rFonts w:asciiTheme="minorHAnsi" w:eastAsiaTheme="minorHAnsi" w:hAnsiTheme="minorHAnsi" w:cstheme="minorHAnsi"/>
          <w:lang w:val="en"/>
        </w:rPr>
        <w:t xml:space="preserve"> be submitted to the </w:t>
      </w:r>
      <w:r w:rsidR="00DC21B3" w:rsidRPr="005F4AA9">
        <w:rPr>
          <w:rFonts w:asciiTheme="minorHAnsi" w:eastAsiaTheme="minorHAnsi" w:hAnsiTheme="minorHAnsi" w:cstheme="minorHAnsi"/>
          <w:lang w:val="en"/>
        </w:rPr>
        <w:t>Commission</w:t>
      </w:r>
      <w:r w:rsidR="00852252" w:rsidRPr="005F4AA9">
        <w:rPr>
          <w:rFonts w:asciiTheme="minorHAnsi" w:eastAsiaTheme="minorHAnsi" w:hAnsiTheme="minorHAnsi" w:cstheme="minorHAnsi"/>
          <w:lang w:val="en"/>
        </w:rPr>
        <w:t xml:space="preserve"> </w:t>
      </w:r>
      <w:r w:rsidR="008519EE" w:rsidRPr="005F4AA9">
        <w:rPr>
          <w:rFonts w:asciiTheme="minorHAnsi" w:eastAsiaTheme="minorHAnsi" w:hAnsiTheme="minorHAnsi" w:cstheme="minorHAnsi"/>
          <w:lang w:val="en"/>
        </w:rPr>
        <w:t>within three months of the</w:t>
      </w:r>
      <w:r w:rsidR="00852252" w:rsidRPr="005F4AA9">
        <w:rPr>
          <w:rFonts w:asciiTheme="minorHAnsi" w:eastAsiaTheme="minorHAnsi" w:hAnsiTheme="minorHAnsi" w:cstheme="minorHAnsi"/>
          <w:lang w:val="en"/>
        </w:rPr>
        <w:t xml:space="preserve"> completion of the transaction.  </w:t>
      </w:r>
      <w:r w:rsidR="00DC21B3" w:rsidRPr="005F4AA9">
        <w:rPr>
          <w:rFonts w:asciiTheme="minorHAnsi" w:eastAsiaTheme="minorHAnsi" w:hAnsiTheme="minorHAnsi" w:cstheme="minorHAnsi"/>
          <w:lang w:val="en"/>
        </w:rPr>
        <w:t xml:space="preserve"> </w:t>
      </w:r>
    </w:p>
    <w:p w14:paraId="4CE72784" w14:textId="31216E2B" w:rsidR="004E6D62" w:rsidRPr="005F4AA9" w:rsidRDefault="000C17A1" w:rsidP="004E6D62">
      <w:pPr>
        <w:pStyle w:val="NormalWeb"/>
        <w:numPr>
          <w:ilvl w:val="0"/>
          <w:numId w:val="2"/>
        </w:numPr>
        <w:rPr>
          <w:rFonts w:asciiTheme="minorHAnsi" w:eastAsiaTheme="minorHAnsi" w:hAnsiTheme="minorHAnsi" w:cstheme="minorHAnsi"/>
          <w:lang w:val="en"/>
        </w:rPr>
      </w:pPr>
      <w:r w:rsidRPr="005F4AA9">
        <w:rPr>
          <w:rFonts w:asciiTheme="minorHAnsi" w:eastAsiaTheme="minorHAnsi" w:hAnsiTheme="minorHAnsi" w:cstheme="minorHAnsi"/>
          <w:b/>
          <w:lang w:val="en"/>
        </w:rPr>
        <w:lastRenderedPageBreak/>
        <w:t>Transfer of assets must be at rates equal to those which would be available on the market.</w:t>
      </w:r>
      <w:r w:rsidRPr="005F4AA9">
        <w:rPr>
          <w:rFonts w:asciiTheme="minorHAnsi" w:eastAsiaTheme="minorHAnsi" w:hAnsiTheme="minorHAnsi" w:cstheme="minorHAnsi"/>
          <w:lang w:val="en"/>
        </w:rPr>
        <w:t xml:space="preserve">  </w:t>
      </w:r>
    </w:p>
    <w:p w14:paraId="692C8229" w14:textId="05E715B8" w:rsidR="00A35380" w:rsidRPr="005F4AA9" w:rsidRDefault="004E6D62" w:rsidP="004E6D62">
      <w:pPr>
        <w:pStyle w:val="NormalWeb"/>
        <w:ind w:firstLine="720"/>
        <w:jc w:val="both"/>
        <w:rPr>
          <w:rFonts w:asciiTheme="minorHAnsi" w:eastAsiaTheme="minorHAnsi" w:hAnsiTheme="minorHAnsi" w:cstheme="minorHAnsi"/>
          <w:lang w:val="en"/>
        </w:rPr>
      </w:pPr>
      <w:r w:rsidRPr="005F4AA9">
        <w:rPr>
          <w:rFonts w:asciiTheme="minorHAnsi" w:eastAsiaTheme="minorHAnsi" w:hAnsiTheme="minorHAnsi" w:cstheme="minorHAnsi"/>
          <w:lang w:val="en"/>
        </w:rPr>
        <w:t>O</w:t>
      </w:r>
      <w:r w:rsidR="00A35380" w:rsidRPr="005F4AA9">
        <w:rPr>
          <w:rFonts w:asciiTheme="minorHAnsi" w:eastAsiaTheme="minorHAnsi" w:hAnsiTheme="minorHAnsi" w:cstheme="minorHAnsi"/>
          <w:lang w:val="en"/>
        </w:rPr>
        <w:t xml:space="preserve">.C.G.A § 46-3-200.2(a)(4) prohibits the use of below-market loans or below-market funding from programs that are not intended to support the deployment of broadband facilities or broadband services in order to support broadband facilities or to provide broadband services unless the EMC or its broadband affiliate imputes the difference between market rates and the below-market loans or below-market funding into the costs of its broadband facilities and broadband services.   </w:t>
      </w:r>
      <w:r w:rsidR="00400DFB" w:rsidRPr="005F4AA9">
        <w:rPr>
          <w:rFonts w:asciiTheme="minorHAnsi" w:eastAsiaTheme="minorHAnsi" w:hAnsiTheme="minorHAnsi" w:cstheme="minorHAnsi"/>
          <w:lang w:val="en"/>
        </w:rPr>
        <w:t xml:space="preserve">Below-market loans </w:t>
      </w:r>
      <w:r w:rsidR="003A662B" w:rsidRPr="005F4AA9">
        <w:rPr>
          <w:rFonts w:asciiTheme="minorHAnsi" w:eastAsiaTheme="minorHAnsi" w:hAnsiTheme="minorHAnsi" w:cstheme="minorHAnsi"/>
          <w:lang w:val="en"/>
        </w:rPr>
        <w:t xml:space="preserve">that </w:t>
      </w:r>
      <w:r w:rsidR="00400DFB" w:rsidRPr="005F4AA9">
        <w:rPr>
          <w:rFonts w:asciiTheme="minorHAnsi" w:eastAsiaTheme="minorHAnsi" w:hAnsiTheme="minorHAnsi" w:cstheme="minorHAnsi"/>
          <w:lang w:val="en"/>
        </w:rPr>
        <w:t xml:space="preserve">are available to EMCs by their nature as cooperatives should not be available to the EMCs </w:t>
      </w:r>
      <w:r w:rsidR="003A662B" w:rsidRPr="005F4AA9">
        <w:rPr>
          <w:rFonts w:asciiTheme="minorHAnsi" w:eastAsiaTheme="minorHAnsi" w:hAnsiTheme="minorHAnsi" w:cstheme="minorHAnsi"/>
          <w:lang w:val="en"/>
        </w:rPr>
        <w:t>for the deployment of broadband, such that they are able to g</w:t>
      </w:r>
      <w:r w:rsidR="00400DFB" w:rsidRPr="005F4AA9">
        <w:rPr>
          <w:rFonts w:asciiTheme="minorHAnsi" w:eastAsiaTheme="minorHAnsi" w:hAnsiTheme="minorHAnsi" w:cstheme="minorHAnsi"/>
          <w:lang w:val="en"/>
        </w:rPr>
        <w:t>a</w:t>
      </w:r>
      <w:r w:rsidR="003A662B" w:rsidRPr="005F4AA9">
        <w:rPr>
          <w:rFonts w:asciiTheme="minorHAnsi" w:eastAsiaTheme="minorHAnsi" w:hAnsiTheme="minorHAnsi" w:cstheme="minorHAnsi"/>
          <w:lang w:val="en"/>
        </w:rPr>
        <w:t>in a</w:t>
      </w:r>
      <w:r w:rsidR="00400DFB" w:rsidRPr="005F4AA9">
        <w:rPr>
          <w:rFonts w:asciiTheme="minorHAnsi" w:eastAsiaTheme="minorHAnsi" w:hAnsiTheme="minorHAnsi" w:cstheme="minorHAnsi"/>
          <w:lang w:val="en"/>
        </w:rPr>
        <w:t xml:space="preserve"> competitive advantage. </w:t>
      </w:r>
      <w:r w:rsidR="00A35380" w:rsidRPr="005F4AA9">
        <w:rPr>
          <w:rFonts w:asciiTheme="minorHAnsi" w:eastAsiaTheme="minorHAnsi" w:hAnsiTheme="minorHAnsi" w:cstheme="minorHAnsi"/>
          <w:lang w:val="en"/>
        </w:rPr>
        <w:t xml:space="preserve">The cost allocation manual should indicate a preference for sources </w:t>
      </w:r>
      <w:r w:rsidR="00400DFB" w:rsidRPr="005F4AA9">
        <w:rPr>
          <w:rFonts w:asciiTheme="minorHAnsi" w:eastAsiaTheme="minorHAnsi" w:hAnsiTheme="minorHAnsi" w:cstheme="minorHAnsi"/>
          <w:lang w:val="en"/>
        </w:rPr>
        <w:t>of broadband</w:t>
      </w:r>
      <w:r w:rsidR="00A35380" w:rsidRPr="005F4AA9">
        <w:rPr>
          <w:rFonts w:asciiTheme="minorHAnsi" w:eastAsiaTheme="minorHAnsi" w:hAnsiTheme="minorHAnsi" w:cstheme="minorHAnsi"/>
          <w:lang w:val="en"/>
        </w:rPr>
        <w:t xml:space="preserve"> funding that are not below-market.  </w:t>
      </w:r>
      <w:r w:rsidR="00400DFB" w:rsidRPr="005F4AA9">
        <w:rPr>
          <w:rFonts w:asciiTheme="minorHAnsi" w:eastAsiaTheme="minorHAnsi" w:hAnsiTheme="minorHAnsi" w:cstheme="minorHAnsi"/>
          <w:lang w:val="en"/>
        </w:rPr>
        <w:t>However, i</w:t>
      </w:r>
      <w:r w:rsidR="00A35380" w:rsidRPr="005F4AA9">
        <w:rPr>
          <w:rFonts w:asciiTheme="minorHAnsi" w:eastAsiaTheme="minorHAnsi" w:hAnsiTheme="minorHAnsi" w:cstheme="minorHAnsi"/>
          <w:lang w:val="en"/>
        </w:rPr>
        <w:t xml:space="preserve">f used, the cost allocation </w:t>
      </w:r>
      <w:r w:rsidR="00400DFB" w:rsidRPr="005F4AA9">
        <w:rPr>
          <w:rFonts w:asciiTheme="minorHAnsi" w:eastAsiaTheme="minorHAnsi" w:hAnsiTheme="minorHAnsi" w:cstheme="minorHAnsi"/>
          <w:lang w:val="en"/>
        </w:rPr>
        <w:t xml:space="preserve">manual </w:t>
      </w:r>
      <w:r w:rsidR="00A35380" w:rsidRPr="005F4AA9">
        <w:rPr>
          <w:rFonts w:asciiTheme="minorHAnsi" w:eastAsiaTheme="minorHAnsi" w:hAnsiTheme="minorHAnsi" w:cstheme="minorHAnsi"/>
          <w:lang w:val="en"/>
        </w:rPr>
        <w:t xml:space="preserve">should clearly list sources of funding and denote in </w:t>
      </w:r>
      <w:r w:rsidR="003A662B" w:rsidRPr="005F4AA9">
        <w:rPr>
          <w:rFonts w:asciiTheme="minorHAnsi" w:eastAsiaTheme="minorHAnsi" w:hAnsiTheme="minorHAnsi" w:cstheme="minorHAnsi"/>
          <w:lang w:val="en"/>
        </w:rPr>
        <w:t xml:space="preserve">a </w:t>
      </w:r>
      <w:r w:rsidR="00A35380" w:rsidRPr="005F4AA9">
        <w:rPr>
          <w:rFonts w:asciiTheme="minorHAnsi" w:eastAsiaTheme="minorHAnsi" w:hAnsiTheme="minorHAnsi" w:cstheme="minorHAnsi"/>
          <w:lang w:val="en"/>
        </w:rPr>
        <w:t xml:space="preserve">clear and easily followed </w:t>
      </w:r>
      <w:r w:rsidR="00400DFB" w:rsidRPr="005F4AA9">
        <w:rPr>
          <w:rFonts w:asciiTheme="minorHAnsi" w:eastAsiaTheme="minorHAnsi" w:hAnsiTheme="minorHAnsi" w:cstheme="minorHAnsi"/>
          <w:lang w:val="en"/>
        </w:rPr>
        <w:t xml:space="preserve">accounting </w:t>
      </w:r>
      <w:r w:rsidR="00A35380" w:rsidRPr="005F4AA9">
        <w:rPr>
          <w:rFonts w:asciiTheme="minorHAnsi" w:eastAsiaTheme="minorHAnsi" w:hAnsiTheme="minorHAnsi" w:cstheme="minorHAnsi"/>
          <w:lang w:val="en"/>
        </w:rPr>
        <w:t>methodology how the difference between the below-market loan and market</w:t>
      </w:r>
      <w:r w:rsidR="0007413D" w:rsidRPr="005F4AA9">
        <w:rPr>
          <w:rFonts w:asciiTheme="minorHAnsi" w:eastAsiaTheme="minorHAnsi" w:hAnsiTheme="minorHAnsi" w:cstheme="minorHAnsi"/>
          <w:lang w:val="en"/>
        </w:rPr>
        <w:t>-</w:t>
      </w:r>
      <w:r w:rsidR="00A35380" w:rsidRPr="005F4AA9">
        <w:rPr>
          <w:rFonts w:asciiTheme="minorHAnsi" w:eastAsiaTheme="minorHAnsi" w:hAnsiTheme="minorHAnsi" w:cstheme="minorHAnsi"/>
          <w:lang w:val="en"/>
        </w:rPr>
        <w:t>rate loan were imputed into the cost of broadband services or affiliates.  Due to the potential misuse of this section placing the EMC in an anti-competitive position, Windstream recommends that</w:t>
      </w:r>
      <w:r w:rsidR="0007413D" w:rsidRPr="005F4AA9">
        <w:rPr>
          <w:rFonts w:asciiTheme="minorHAnsi" w:eastAsiaTheme="minorHAnsi" w:hAnsiTheme="minorHAnsi" w:cstheme="minorHAnsi"/>
          <w:lang w:val="en"/>
        </w:rPr>
        <w:t>,</w:t>
      </w:r>
      <w:r w:rsidR="00A35380" w:rsidRPr="005F4AA9">
        <w:rPr>
          <w:rFonts w:asciiTheme="minorHAnsi" w:eastAsiaTheme="minorHAnsi" w:hAnsiTheme="minorHAnsi" w:cstheme="minorHAnsi"/>
          <w:lang w:val="en"/>
        </w:rPr>
        <w:t xml:space="preserve"> should the EMC desire to use below-market funds to develop or support its broadband affiliates and impute the costs, the EMC </w:t>
      </w:r>
      <w:r w:rsidR="0007413D" w:rsidRPr="005F4AA9">
        <w:rPr>
          <w:rFonts w:asciiTheme="minorHAnsi" w:eastAsiaTheme="minorHAnsi" w:hAnsiTheme="minorHAnsi" w:cstheme="minorHAnsi"/>
          <w:lang w:val="en"/>
        </w:rPr>
        <w:t xml:space="preserve">must </w:t>
      </w:r>
      <w:r w:rsidR="00A35380" w:rsidRPr="005F4AA9">
        <w:rPr>
          <w:rFonts w:asciiTheme="minorHAnsi" w:eastAsiaTheme="minorHAnsi" w:hAnsiTheme="minorHAnsi" w:cstheme="minorHAnsi"/>
          <w:lang w:val="en"/>
        </w:rPr>
        <w:t xml:space="preserve">file a report with the Commission indicating that the cost allocation manual has been compiled with.  </w:t>
      </w:r>
    </w:p>
    <w:p w14:paraId="42CD9316" w14:textId="0C229913" w:rsidR="000C17A1" w:rsidRPr="005F4AA9" w:rsidRDefault="000C17A1" w:rsidP="004E6D62">
      <w:pPr>
        <w:pStyle w:val="NormalWeb"/>
        <w:numPr>
          <w:ilvl w:val="0"/>
          <w:numId w:val="2"/>
        </w:numPr>
        <w:rPr>
          <w:rFonts w:asciiTheme="minorHAnsi" w:eastAsiaTheme="minorHAnsi" w:hAnsiTheme="minorHAnsi" w:cstheme="minorHAnsi"/>
          <w:b/>
          <w:lang w:val="en"/>
        </w:rPr>
      </w:pPr>
      <w:r w:rsidRPr="005F4AA9">
        <w:rPr>
          <w:rFonts w:asciiTheme="minorHAnsi" w:eastAsiaTheme="minorHAnsi" w:hAnsiTheme="minorHAnsi" w:cstheme="minorHAnsi"/>
          <w:b/>
          <w:lang w:val="en"/>
        </w:rPr>
        <w:t xml:space="preserve">Transfers should not include assets that reduce book value of assets on the electric membership corporation.  </w:t>
      </w:r>
    </w:p>
    <w:p w14:paraId="2657328A" w14:textId="4ACC7408" w:rsidR="00C80D67" w:rsidRPr="005F4AA9" w:rsidRDefault="00C80D67" w:rsidP="008C4AB1">
      <w:pPr>
        <w:pStyle w:val="NormalWeb"/>
        <w:ind w:firstLine="720"/>
        <w:jc w:val="both"/>
        <w:rPr>
          <w:rFonts w:asciiTheme="minorHAnsi" w:eastAsiaTheme="minorHAnsi" w:hAnsiTheme="minorHAnsi" w:cstheme="minorHAnsi"/>
          <w:lang w:val="en"/>
        </w:rPr>
      </w:pPr>
      <w:r w:rsidRPr="005F4AA9">
        <w:rPr>
          <w:rFonts w:asciiTheme="minorHAnsi" w:eastAsiaTheme="minorHAnsi" w:hAnsiTheme="minorHAnsi" w:cstheme="minorHAnsi"/>
          <w:lang w:val="en"/>
        </w:rPr>
        <w:t xml:space="preserve">The EMC should not </w:t>
      </w:r>
      <w:r w:rsidR="00EF376A" w:rsidRPr="005F4AA9">
        <w:rPr>
          <w:rFonts w:asciiTheme="minorHAnsi" w:eastAsiaTheme="minorHAnsi" w:hAnsiTheme="minorHAnsi" w:cstheme="minorHAnsi"/>
          <w:lang w:val="en"/>
        </w:rPr>
        <w:t xml:space="preserve">allow or grant any </w:t>
      </w:r>
      <w:r w:rsidR="00E26B9A" w:rsidRPr="005F4AA9">
        <w:rPr>
          <w:rFonts w:asciiTheme="minorHAnsi" w:eastAsiaTheme="minorHAnsi" w:hAnsiTheme="minorHAnsi" w:cstheme="minorHAnsi"/>
          <w:lang w:val="en"/>
        </w:rPr>
        <w:t xml:space="preserve">lien, encumbrance, claim, security interest, pledge, or other right </w:t>
      </w:r>
      <w:r w:rsidR="00C201AB" w:rsidRPr="005F4AA9">
        <w:rPr>
          <w:rFonts w:asciiTheme="minorHAnsi" w:eastAsiaTheme="minorHAnsi" w:hAnsiTheme="minorHAnsi" w:cstheme="minorHAnsi"/>
          <w:lang w:val="en"/>
        </w:rPr>
        <w:t xml:space="preserve">in favor of any person or entity in its assets, </w:t>
      </w:r>
      <w:r w:rsidR="002A3986" w:rsidRPr="005F4AA9">
        <w:rPr>
          <w:rFonts w:asciiTheme="minorHAnsi" w:eastAsiaTheme="minorHAnsi" w:hAnsiTheme="minorHAnsi" w:cstheme="minorHAnsi"/>
          <w:lang w:val="en"/>
        </w:rPr>
        <w:t xml:space="preserve">for </w:t>
      </w:r>
      <w:r w:rsidR="00416061" w:rsidRPr="005F4AA9">
        <w:rPr>
          <w:rFonts w:asciiTheme="minorHAnsi" w:eastAsiaTheme="minorHAnsi" w:hAnsiTheme="minorHAnsi" w:cstheme="minorHAnsi"/>
          <w:lang w:val="en"/>
        </w:rPr>
        <w:t xml:space="preserve">security for the debts of </w:t>
      </w:r>
      <w:r w:rsidR="003C0995" w:rsidRPr="005F4AA9">
        <w:rPr>
          <w:rFonts w:asciiTheme="minorHAnsi" w:eastAsiaTheme="minorHAnsi" w:hAnsiTheme="minorHAnsi" w:cstheme="minorHAnsi"/>
          <w:lang w:val="en"/>
        </w:rPr>
        <w:t xml:space="preserve">the broadband affiliate.  </w:t>
      </w:r>
      <w:r w:rsidR="00C201AB" w:rsidRPr="005F4AA9">
        <w:rPr>
          <w:rFonts w:asciiTheme="minorHAnsi" w:eastAsiaTheme="minorHAnsi" w:hAnsiTheme="minorHAnsi" w:cstheme="minorHAnsi"/>
          <w:lang w:val="en"/>
        </w:rPr>
        <w:t xml:space="preserve"> </w:t>
      </w:r>
    </w:p>
    <w:p w14:paraId="7907033C" w14:textId="43198DEA" w:rsidR="0019093F" w:rsidRPr="005F4AA9" w:rsidRDefault="000C17A1" w:rsidP="008C4AB1">
      <w:pPr>
        <w:pStyle w:val="NormalWeb"/>
        <w:numPr>
          <w:ilvl w:val="0"/>
          <w:numId w:val="2"/>
        </w:numPr>
        <w:jc w:val="both"/>
        <w:rPr>
          <w:rFonts w:asciiTheme="minorHAnsi" w:eastAsiaTheme="minorHAnsi" w:hAnsiTheme="minorHAnsi" w:cstheme="minorHAnsi"/>
          <w:b/>
          <w:lang w:val="en"/>
        </w:rPr>
      </w:pPr>
      <w:r w:rsidRPr="005F4AA9">
        <w:rPr>
          <w:rFonts w:asciiTheme="minorHAnsi" w:eastAsiaTheme="minorHAnsi" w:hAnsiTheme="minorHAnsi" w:cstheme="minorHAnsi"/>
          <w:b/>
          <w:lang w:val="en"/>
        </w:rPr>
        <w:t xml:space="preserve">Transactions between the electric membership corporation and the broadband affiliate should be </w:t>
      </w:r>
      <w:r w:rsidR="004A3822" w:rsidRPr="005F4AA9">
        <w:rPr>
          <w:rFonts w:asciiTheme="minorHAnsi" w:eastAsiaTheme="minorHAnsi" w:hAnsiTheme="minorHAnsi" w:cstheme="minorHAnsi"/>
          <w:b/>
          <w:lang w:val="en"/>
        </w:rPr>
        <w:t>on</w:t>
      </w:r>
      <w:r w:rsidRPr="005F4AA9">
        <w:rPr>
          <w:rFonts w:asciiTheme="minorHAnsi" w:eastAsiaTheme="minorHAnsi" w:hAnsiTheme="minorHAnsi" w:cstheme="minorHAnsi"/>
          <w:b/>
          <w:lang w:val="en"/>
        </w:rPr>
        <w:t xml:space="preserve"> </w:t>
      </w:r>
      <w:r w:rsidR="00C4478A" w:rsidRPr="005F4AA9">
        <w:rPr>
          <w:rFonts w:asciiTheme="minorHAnsi" w:eastAsiaTheme="minorHAnsi" w:hAnsiTheme="minorHAnsi" w:cstheme="minorHAnsi"/>
          <w:b/>
          <w:lang w:val="en"/>
        </w:rPr>
        <w:t>the same terms and conditions as any other similarly situated retail customer or communications service provider</w:t>
      </w:r>
      <w:r w:rsidRPr="005F4AA9">
        <w:rPr>
          <w:rFonts w:asciiTheme="minorHAnsi" w:eastAsiaTheme="minorHAnsi" w:hAnsiTheme="minorHAnsi" w:cstheme="minorHAnsi"/>
          <w:b/>
          <w:lang w:val="en"/>
        </w:rPr>
        <w:t>.</w:t>
      </w:r>
    </w:p>
    <w:p w14:paraId="6390808B" w14:textId="6C0CDBF9" w:rsidR="000C17A1" w:rsidRPr="005F4AA9" w:rsidRDefault="00397DBB" w:rsidP="0019093F">
      <w:pPr>
        <w:pStyle w:val="NormalWeb"/>
        <w:ind w:left="1110"/>
        <w:jc w:val="both"/>
        <w:rPr>
          <w:rFonts w:asciiTheme="minorHAnsi" w:eastAsiaTheme="minorHAnsi" w:hAnsiTheme="minorHAnsi" w:cstheme="minorHAnsi"/>
          <w:lang w:val="en"/>
        </w:rPr>
      </w:pPr>
      <w:r w:rsidRPr="005F4AA9">
        <w:rPr>
          <w:rFonts w:asciiTheme="minorHAnsi" w:eastAsiaTheme="minorHAnsi" w:hAnsiTheme="minorHAnsi" w:cstheme="minorHAnsi"/>
          <w:lang w:val="en"/>
        </w:rPr>
        <w:t>Rates, t</w:t>
      </w:r>
      <w:r w:rsidR="009778A7" w:rsidRPr="005F4AA9">
        <w:rPr>
          <w:rFonts w:asciiTheme="minorHAnsi" w:eastAsiaTheme="minorHAnsi" w:hAnsiTheme="minorHAnsi" w:cstheme="minorHAnsi"/>
          <w:lang w:val="en"/>
        </w:rPr>
        <w:t xml:space="preserve">erms and conditions </w:t>
      </w:r>
      <w:r w:rsidR="005E570D" w:rsidRPr="005F4AA9">
        <w:rPr>
          <w:rFonts w:asciiTheme="minorHAnsi" w:eastAsiaTheme="minorHAnsi" w:hAnsiTheme="minorHAnsi" w:cstheme="minorHAnsi"/>
          <w:lang w:val="en"/>
        </w:rPr>
        <w:t>include,</w:t>
      </w:r>
      <w:r w:rsidR="000C17A1" w:rsidRPr="005F4AA9">
        <w:rPr>
          <w:rFonts w:asciiTheme="minorHAnsi" w:eastAsiaTheme="minorHAnsi" w:hAnsiTheme="minorHAnsi" w:cstheme="minorHAnsi"/>
          <w:lang w:val="en"/>
        </w:rPr>
        <w:t xml:space="preserve"> but are not limited to:</w:t>
      </w:r>
    </w:p>
    <w:p w14:paraId="39A02E43" w14:textId="2B89B227" w:rsidR="000C17A1" w:rsidRPr="005F4AA9" w:rsidRDefault="000C17A1" w:rsidP="004E3C72">
      <w:pPr>
        <w:pStyle w:val="NormalWeb"/>
        <w:numPr>
          <w:ilvl w:val="2"/>
          <w:numId w:val="2"/>
        </w:numPr>
        <w:ind w:left="2160" w:hanging="720"/>
        <w:rPr>
          <w:rFonts w:asciiTheme="minorHAnsi" w:eastAsiaTheme="minorHAnsi" w:hAnsiTheme="minorHAnsi" w:cstheme="minorHAnsi"/>
          <w:lang w:val="en"/>
        </w:rPr>
      </w:pPr>
      <w:r w:rsidRPr="005F4AA9">
        <w:rPr>
          <w:rFonts w:asciiTheme="minorHAnsi" w:eastAsiaTheme="minorHAnsi" w:hAnsiTheme="minorHAnsi" w:cstheme="minorHAnsi"/>
          <w:lang w:val="en"/>
        </w:rPr>
        <w:t xml:space="preserve">Pole </w:t>
      </w:r>
      <w:r w:rsidR="00397DBB" w:rsidRPr="005F4AA9">
        <w:rPr>
          <w:rFonts w:asciiTheme="minorHAnsi" w:eastAsiaTheme="minorHAnsi" w:hAnsiTheme="minorHAnsi" w:cstheme="minorHAnsi"/>
          <w:lang w:val="en"/>
        </w:rPr>
        <w:t>A</w:t>
      </w:r>
      <w:r w:rsidRPr="005F4AA9">
        <w:rPr>
          <w:rFonts w:asciiTheme="minorHAnsi" w:eastAsiaTheme="minorHAnsi" w:hAnsiTheme="minorHAnsi" w:cstheme="minorHAnsi"/>
          <w:lang w:val="en"/>
        </w:rPr>
        <w:t>ttachment</w:t>
      </w:r>
      <w:r w:rsidR="008F7AE9" w:rsidRPr="005F4AA9">
        <w:rPr>
          <w:rFonts w:asciiTheme="minorHAnsi" w:eastAsiaTheme="minorHAnsi" w:hAnsiTheme="minorHAnsi" w:cstheme="minorHAnsi"/>
          <w:lang w:val="en"/>
        </w:rPr>
        <w:t>;</w:t>
      </w:r>
    </w:p>
    <w:p w14:paraId="511B8B0B" w14:textId="5FAB9B16" w:rsidR="000C17A1" w:rsidRPr="005F4AA9" w:rsidRDefault="000C17A1" w:rsidP="004E3C72">
      <w:pPr>
        <w:pStyle w:val="NormalWeb"/>
        <w:numPr>
          <w:ilvl w:val="2"/>
          <w:numId w:val="2"/>
        </w:numPr>
        <w:ind w:left="2160" w:hanging="720"/>
        <w:rPr>
          <w:rFonts w:asciiTheme="minorHAnsi" w:eastAsiaTheme="minorHAnsi" w:hAnsiTheme="minorHAnsi" w:cstheme="minorHAnsi"/>
          <w:lang w:val="en"/>
        </w:rPr>
      </w:pPr>
      <w:r w:rsidRPr="005F4AA9">
        <w:rPr>
          <w:rFonts w:asciiTheme="minorHAnsi" w:eastAsiaTheme="minorHAnsi" w:hAnsiTheme="minorHAnsi" w:cstheme="minorHAnsi"/>
          <w:lang w:val="en"/>
        </w:rPr>
        <w:t xml:space="preserve">Pole </w:t>
      </w:r>
      <w:r w:rsidR="00585FC2" w:rsidRPr="005F4AA9">
        <w:rPr>
          <w:rFonts w:asciiTheme="minorHAnsi" w:eastAsiaTheme="minorHAnsi" w:hAnsiTheme="minorHAnsi" w:cstheme="minorHAnsi"/>
          <w:lang w:val="en"/>
        </w:rPr>
        <w:t>I</w:t>
      </w:r>
      <w:r w:rsidRPr="005F4AA9">
        <w:rPr>
          <w:rFonts w:asciiTheme="minorHAnsi" w:eastAsiaTheme="minorHAnsi" w:hAnsiTheme="minorHAnsi" w:cstheme="minorHAnsi"/>
          <w:lang w:val="en"/>
        </w:rPr>
        <w:t>nspection for make-ready</w:t>
      </w:r>
      <w:r w:rsidR="008F7AE9" w:rsidRPr="005F4AA9">
        <w:rPr>
          <w:rFonts w:asciiTheme="minorHAnsi" w:eastAsiaTheme="minorHAnsi" w:hAnsiTheme="minorHAnsi" w:cstheme="minorHAnsi"/>
          <w:lang w:val="en"/>
        </w:rPr>
        <w:t>;</w:t>
      </w:r>
    </w:p>
    <w:p w14:paraId="28B20282" w14:textId="44EA31B8" w:rsidR="000C17A1" w:rsidRPr="005F4AA9" w:rsidRDefault="000C17A1" w:rsidP="004E3C72">
      <w:pPr>
        <w:pStyle w:val="NormalWeb"/>
        <w:numPr>
          <w:ilvl w:val="2"/>
          <w:numId w:val="2"/>
        </w:numPr>
        <w:ind w:left="2160" w:hanging="720"/>
        <w:rPr>
          <w:rFonts w:asciiTheme="minorHAnsi" w:eastAsiaTheme="minorHAnsi" w:hAnsiTheme="minorHAnsi" w:cstheme="minorHAnsi"/>
          <w:lang w:val="en"/>
        </w:rPr>
      </w:pPr>
      <w:r w:rsidRPr="005F4AA9">
        <w:rPr>
          <w:rFonts w:asciiTheme="minorHAnsi" w:eastAsiaTheme="minorHAnsi" w:hAnsiTheme="minorHAnsi" w:cstheme="minorHAnsi"/>
          <w:lang w:val="en"/>
        </w:rPr>
        <w:t xml:space="preserve">Pole </w:t>
      </w:r>
      <w:r w:rsidR="00585FC2" w:rsidRPr="005F4AA9">
        <w:rPr>
          <w:rFonts w:asciiTheme="minorHAnsi" w:eastAsiaTheme="minorHAnsi" w:hAnsiTheme="minorHAnsi" w:cstheme="minorHAnsi"/>
          <w:lang w:val="en"/>
        </w:rPr>
        <w:t>R</w:t>
      </w:r>
      <w:r w:rsidRPr="005F4AA9">
        <w:rPr>
          <w:rFonts w:asciiTheme="minorHAnsi" w:eastAsiaTheme="minorHAnsi" w:hAnsiTheme="minorHAnsi" w:cstheme="minorHAnsi"/>
          <w:lang w:val="en"/>
        </w:rPr>
        <w:t>eplacement</w:t>
      </w:r>
      <w:r w:rsidR="008F7AE9" w:rsidRPr="005F4AA9">
        <w:rPr>
          <w:rFonts w:asciiTheme="minorHAnsi" w:eastAsiaTheme="minorHAnsi" w:hAnsiTheme="minorHAnsi" w:cstheme="minorHAnsi"/>
          <w:lang w:val="en"/>
        </w:rPr>
        <w:t>;</w:t>
      </w:r>
    </w:p>
    <w:p w14:paraId="50170314" w14:textId="6782472B" w:rsidR="000C17A1" w:rsidRPr="005F4AA9" w:rsidRDefault="000C17A1" w:rsidP="004E3C72">
      <w:pPr>
        <w:pStyle w:val="NormalWeb"/>
        <w:numPr>
          <w:ilvl w:val="2"/>
          <w:numId w:val="2"/>
        </w:numPr>
        <w:ind w:left="2160" w:hanging="720"/>
        <w:rPr>
          <w:rFonts w:asciiTheme="minorHAnsi" w:eastAsiaTheme="minorHAnsi" w:hAnsiTheme="minorHAnsi" w:cstheme="minorHAnsi"/>
          <w:lang w:val="en"/>
        </w:rPr>
      </w:pPr>
      <w:r w:rsidRPr="005F4AA9">
        <w:rPr>
          <w:rFonts w:asciiTheme="minorHAnsi" w:eastAsiaTheme="minorHAnsi" w:hAnsiTheme="minorHAnsi" w:cstheme="minorHAnsi"/>
          <w:lang w:val="en"/>
        </w:rPr>
        <w:t xml:space="preserve">Vehicle </w:t>
      </w:r>
      <w:r w:rsidR="00585FC2" w:rsidRPr="005F4AA9">
        <w:rPr>
          <w:rFonts w:asciiTheme="minorHAnsi" w:eastAsiaTheme="minorHAnsi" w:hAnsiTheme="minorHAnsi" w:cstheme="minorHAnsi"/>
          <w:lang w:val="en"/>
        </w:rPr>
        <w:t>U</w:t>
      </w:r>
      <w:r w:rsidRPr="005F4AA9">
        <w:rPr>
          <w:rFonts w:asciiTheme="minorHAnsi" w:eastAsiaTheme="minorHAnsi" w:hAnsiTheme="minorHAnsi" w:cstheme="minorHAnsi"/>
          <w:lang w:val="en"/>
        </w:rPr>
        <w:t>sage</w:t>
      </w:r>
      <w:r w:rsidR="00585FC2" w:rsidRPr="005F4AA9">
        <w:rPr>
          <w:rFonts w:asciiTheme="minorHAnsi" w:eastAsiaTheme="minorHAnsi" w:hAnsiTheme="minorHAnsi" w:cstheme="minorHAnsi"/>
          <w:lang w:val="en"/>
        </w:rPr>
        <w:t>,</w:t>
      </w:r>
      <w:r w:rsidRPr="005F4AA9">
        <w:rPr>
          <w:rFonts w:asciiTheme="minorHAnsi" w:eastAsiaTheme="minorHAnsi" w:hAnsiTheme="minorHAnsi" w:cstheme="minorHAnsi"/>
          <w:lang w:val="en"/>
        </w:rPr>
        <w:t xml:space="preserve"> </w:t>
      </w:r>
      <w:r w:rsidR="00585FC2" w:rsidRPr="005F4AA9">
        <w:rPr>
          <w:rFonts w:asciiTheme="minorHAnsi" w:eastAsiaTheme="minorHAnsi" w:hAnsiTheme="minorHAnsi" w:cstheme="minorHAnsi"/>
          <w:lang w:val="en"/>
        </w:rPr>
        <w:t xml:space="preserve">Maintenance, </w:t>
      </w:r>
      <w:r w:rsidRPr="005F4AA9">
        <w:rPr>
          <w:rFonts w:asciiTheme="minorHAnsi" w:eastAsiaTheme="minorHAnsi" w:hAnsiTheme="minorHAnsi" w:cstheme="minorHAnsi"/>
          <w:lang w:val="en"/>
        </w:rPr>
        <w:t xml:space="preserve">or </w:t>
      </w:r>
      <w:r w:rsidR="00585FC2" w:rsidRPr="005F4AA9">
        <w:rPr>
          <w:rFonts w:asciiTheme="minorHAnsi" w:eastAsiaTheme="minorHAnsi" w:hAnsiTheme="minorHAnsi" w:cstheme="minorHAnsi"/>
          <w:lang w:val="en"/>
        </w:rPr>
        <w:t>L</w:t>
      </w:r>
      <w:r w:rsidRPr="005F4AA9">
        <w:rPr>
          <w:rFonts w:asciiTheme="minorHAnsi" w:eastAsiaTheme="minorHAnsi" w:hAnsiTheme="minorHAnsi" w:cstheme="minorHAnsi"/>
          <w:lang w:val="en"/>
        </w:rPr>
        <w:t>ease</w:t>
      </w:r>
      <w:r w:rsidR="008F7AE9" w:rsidRPr="005F4AA9">
        <w:rPr>
          <w:rFonts w:asciiTheme="minorHAnsi" w:eastAsiaTheme="minorHAnsi" w:hAnsiTheme="minorHAnsi" w:cstheme="minorHAnsi"/>
          <w:lang w:val="en"/>
        </w:rPr>
        <w:t>;</w:t>
      </w:r>
    </w:p>
    <w:p w14:paraId="1DDDE58B" w14:textId="0BF128F9" w:rsidR="000C17A1" w:rsidRPr="005F4AA9" w:rsidRDefault="000C17A1" w:rsidP="004E3C72">
      <w:pPr>
        <w:pStyle w:val="NormalWeb"/>
        <w:numPr>
          <w:ilvl w:val="2"/>
          <w:numId w:val="2"/>
        </w:numPr>
        <w:ind w:left="2160" w:hanging="720"/>
        <w:rPr>
          <w:rFonts w:asciiTheme="minorHAnsi" w:eastAsiaTheme="minorHAnsi" w:hAnsiTheme="minorHAnsi" w:cstheme="minorHAnsi"/>
          <w:lang w:val="en"/>
        </w:rPr>
      </w:pPr>
      <w:r w:rsidRPr="005F4AA9">
        <w:rPr>
          <w:rFonts w:asciiTheme="minorHAnsi" w:eastAsiaTheme="minorHAnsi" w:hAnsiTheme="minorHAnsi" w:cstheme="minorHAnsi"/>
          <w:lang w:val="en"/>
        </w:rPr>
        <w:t>Engineering</w:t>
      </w:r>
      <w:r w:rsidR="008F7AE9" w:rsidRPr="005F4AA9">
        <w:rPr>
          <w:rFonts w:asciiTheme="minorHAnsi" w:eastAsiaTheme="minorHAnsi" w:hAnsiTheme="minorHAnsi" w:cstheme="minorHAnsi"/>
          <w:lang w:val="en"/>
        </w:rPr>
        <w:t>;</w:t>
      </w:r>
    </w:p>
    <w:p w14:paraId="64BBBFB7" w14:textId="3DBD7E99" w:rsidR="000C17A1" w:rsidRPr="005F4AA9" w:rsidRDefault="00F50C1C" w:rsidP="004E3C72">
      <w:pPr>
        <w:pStyle w:val="NormalWeb"/>
        <w:numPr>
          <w:ilvl w:val="2"/>
          <w:numId w:val="2"/>
        </w:numPr>
        <w:ind w:left="2160" w:hanging="720"/>
        <w:rPr>
          <w:rFonts w:asciiTheme="minorHAnsi" w:eastAsiaTheme="minorHAnsi" w:hAnsiTheme="minorHAnsi" w:cstheme="minorHAnsi"/>
          <w:lang w:val="en"/>
        </w:rPr>
      </w:pPr>
      <w:r w:rsidRPr="005F4AA9">
        <w:rPr>
          <w:rFonts w:asciiTheme="minorHAnsi" w:eastAsiaTheme="minorHAnsi" w:hAnsiTheme="minorHAnsi" w:cstheme="minorHAnsi"/>
          <w:lang w:val="en"/>
        </w:rPr>
        <w:t>Accounting/</w:t>
      </w:r>
      <w:r w:rsidR="000C17A1" w:rsidRPr="005F4AA9">
        <w:rPr>
          <w:rFonts w:asciiTheme="minorHAnsi" w:eastAsiaTheme="minorHAnsi" w:hAnsiTheme="minorHAnsi" w:cstheme="minorHAnsi"/>
          <w:lang w:val="en"/>
        </w:rPr>
        <w:t>Bookkeeping</w:t>
      </w:r>
      <w:r w:rsidR="008F7AE9" w:rsidRPr="005F4AA9">
        <w:rPr>
          <w:rFonts w:asciiTheme="minorHAnsi" w:eastAsiaTheme="minorHAnsi" w:hAnsiTheme="minorHAnsi" w:cstheme="minorHAnsi"/>
          <w:lang w:val="en"/>
        </w:rPr>
        <w:t>;</w:t>
      </w:r>
    </w:p>
    <w:p w14:paraId="11B6AE7E" w14:textId="29AE7885" w:rsidR="000C17A1" w:rsidRPr="005F4AA9" w:rsidRDefault="00D07160" w:rsidP="004E3C72">
      <w:pPr>
        <w:pStyle w:val="NormalWeb"/>
        <w:numPr>
          <w:ilvl w:val="2"/>
          <w:numId w:val="2"/>
        </w:numPr>
        <w:ind w:left="2160" w:hanging="720"/>
        <w:rPr>
          <w:rFonts w:asciiTheme="minorHAnsi" w:eastAsiaTheme="minorHAnsi" w:hAnsiTheme="minorHAnsi" w:cstheme="minorHAnsi"/>
          <w:lang w:val="en"/>
        </w:rPr>
      </w:pPr>
      <w:r w:rsidRPr="005F4AA9">
        <w:rPr>
          <w:rFonts w:asciiTheme="minorHAnsi" w:eastAsiaTheme="minorHAnsi" w:hAnsiTheme="minorHAnsi" w:cstheme="minorHAnsi"/>
          <w:lang w:val="en"/>
        </w:rPr>
        <w:t>Vehicle</w:t>
      </w:r>
      <w:r w:rsidR="008F7AE9" w:rsidRPr="005F4AA9">
        <w:rPr>
          <w:rFonts w:asciiTheme="minorHAnsi" w:eastAsiaTheme="minorHAnsi" w:hAnsiTheme="minorHAnsi" w:cstheme="minorHAnsi"/>
          <w:lang w:val="en"/>
        </w:rPr>
        <w:t>;</w:t>
      </w:r>
    </w:p>
    <w:p w14:paraId="2850D78A" w14:textId="25523DFD" w:rsidR="000C17A1" w:rsidRPr="005F4AA9" w:rsidRDefault="000C17A1" w:rsidP="004E3C72">
      <w:pPr>
        <w:pStyle w:val="NormalWeb"/>
        <w:numPr>
          <w:ilvl w:val="2"/>
          <w:numId w:val="2"/>
        </w:numPr>
        <w:ind w:left="2160" w:hanging="720"/>
        <w:rPr>
          <w:rFonts w:asciiTheme="minorHAnsi" w:eastAsiaTheme="minorHAnsi" w:hAnsiTheme="minorHAnsi" w:cstheme="minorHAnsi"/>
          <w:lang w:val="en"/>
        </w:rPr>
      </w:pPr>
      <w:r w:rsidRPr="005F4AA9">
        <w:rPr>
          <w:rFonts w:asciiTheme="minorHAnsi" w:eastAsiaTheme="minorHAnsi" w:hAnsiTheme="minorHAnsi" w:cstheme="minorHAnsi"/>
          <w:lang w:val="en"/>
        </w:rPr>
        <w:t xml:space="preserve">Facility </w:t>
      </w:r>
      <w:r w:rsidR="00754B11" w:rsidRPr="005F4AA9">
        <w:rPr>
          <w:rFonts w:asciiTheme="minorHAnsi" w:eastAsiaTheme="minorHAnsi" w:hAnsiTheme="minorHAnsi" w:cstheme="minorHAnsi"/>
          <w:lang w:val="en"/>
        </w:rPr>
        <w:t>L</w:t>
      </w:r>
      <w:r w:rsidRPr="005F4AA9">
        <w:rPr>
          <w:rFonts w:asciiTheme="minorHAnsi" w:eastAsiaTheme="minorHAnsi" w:hAnsiTheme="minorHAnsi" w:cstheme="minorHAnsi"/>
          <w:lang w:val="en"/>
        </w:rPr>
        <w:t>ease</w:t>
      </w:r>
      <w:r w:rsidR="008F7AE9" w:rsidRPr="005F4AA9">
        <w:rPr>
          <w:rFonts w:asciiTheme="minorHAnsi" w:eastAsiaTheme="minorHAnsi" w:hAnsiTheme="minorHAnsi" w:cstheme="minorHAnsi"/>
          <w:lang w:val="en"/>
        </w:rPr>
        <w:t>;</w:t>
      </w:r>
    </w:p>
    <w:p w14:paraId="406992B6" w14:textId="5F20EB2D" w:rsidR="000C17A1" w:rsidRPr="005F4AA9" w:rsidRDefault="000C17A1" w:rsidP="004E3C72">
      <w:pPr>
        <w:pStyle w:val="NormalWeb"/>
        <w:numPr>
          <w:ilvl w:val="2"/>
          <w:numId w:val="2"/>
        </w:numPr>
        <w:ind w:left="2160" w:hanging="720"/>
        <w:rPr>
          <w:rFonts w:asciiTheme="minorHAnsi" w:eastAsiaTheme="minorHAnsi" w:hAnsiTheme="minorHAnsi" w:cstheme="minorHAnsi"/>
          <w:lang w:val="en"/>
        </w:rPr>
      </w:pPr>
      <w:r w:rsidRPr="005F4AA9">
        <w:rPr>
          <w:rFonts w:asciiTheme="minorHAnsi" w:eastAsiaTheme="minorHAnsi" w:hAnsiTheme="minorHAnsi" w:cstheme="minorHAnsi"/>
          <w:lang w:val="en"/>
        </w:rPr>
        <w:t xml:space="preserve">Call </w:t>
      </w:r>
      <w:r w:rsidR="00D04CB1" w:rsidRPr="005F4AA9">
        <w:rPr>
          <w:rFonts w:asciiTheme="minorHAnsi" w:eastAsiaTheme="minorHAnsi" w:hAnsiTheme="minorHAnsi" w:cstheme="minorHAnsi"/>
          <w:lang w:val="en"/>
        </w:rPr>
        <w:t>C</w:t>
      </w:r>
      <w:r w:rsidRPr="005F4AA9">
        <w:rPr>
          <w:rFonts w:asciiTheme="minorHAnsi" w:eastAsiaTheme="minorHAnsi" w:hAnsiTheme="minorHAnsi" w:cstheme="minorHAnsi"/>
          <w:lang w:val="en"/>
        </w:rPr>
        <w:t>enter</w:t>
      </w:r>
      <w:r w:rsidR="00D04CB1" w:rsidRPr="005F4AA9">
        <w:rPr>
          <w:rFonts w:asciiTheme="minorHAnsi" w:eastAsiaTheme="minorHAnsi" w:hAnsiTheme="minorHAnsi" w:cstheme="minorHAnsi"/>
          <w:lang w:val="en"/>
        </w:rPr>
        <w:t>/IT</w:t>
      </w:r>
      <w:r w:rsidRPr="005F4AA9">
        <w:rPr>
          <w:rFonts w:asciiTheme="minorHAnsi" w:eastAsiaTheme="minorHAnsi" w:hAnsiTheme="minorHAnsi" w:cstheme="minorHAnsi"/>
          <w:lang w:val="en"/>
        </w:rPr>
        <w:t xml:space="preserve"> </w:t>
      </w:r>
      <w:r w:rsidR="00D04CB1" w:rsidRPr="005F4AA9">
        <w:rPr>
          <w:rFonts w:asciiTheme="minorHAnsi" w:eastAsiaTheme="minorHAnsi" w:hAnsiTheme="minorHAnsi" w:cstheme="minorHAnsi"/>
          <w:lang w:val="en"/>
        </w:rPr>
        <w:t>S</w:t>
      </w:r>
      <w:r w:rsidRPr="005F4AA9">
        <w:rPr>
          <w:rFonts w:asciiTheme="minorHAnsi" w:eastAsiaTheme="minorHAnsi" w:hAnsiTheme="minorHAnsi" w:cstheme="minorHAnsi"/>
          <w:lang w:val="en"/>
        </w:rPr>
        <w:t>upport</w:t>
      </w:r>
      <w:r w:rsidR="008F7AE9" w:rsidRPr="005F4AA9">
        <w:rPr>
          <w:rFonts w:asciiTheme="minorHAnsi" w:eastAsiaTheme="minorHAnsi" w:hAnsiTheme="minorHAnsi" w:cstheme="minorHAnsi"/>
          <w:lang w:val="en"/>
        </w:rPr>
        <w:t>;</w:t>
      </w:r>
    </w:p>
    <w:p w14:paraId="2D2E3832" w14:textId="0CEAF624" w:rsidR="000C17A1" w:rsidRPr="005F4AA9" w:rsidRDefault="000C17A1" w:rsidP="004E3C72">
      <w:pPr>
        <w:pStyle w:val="NormalWeb"/>
        <w:numPr>
          <w:ilvl w:val="2"/>
          <w:numId w:val="2"/>
        </w:numPr>
        <w:ind w:left="2160" w:hanging="720"/>
        <w:rPr>
          <w:rFonts w:asciiTheme="minorHAnsi" w:eastAsiaTheme="minorHAnsi" w:hAnsiTheme="minorHAnsi" w:cstheme="minorHAnsi"/>
          <w:lang w:val="en"/>
        </w:rPr>
      </w:pPr>
      <w:r w:rsidRPr="005F4AA9">
        <w:rPr>
          <w:rFonts w:asciiTheme="minorHAnsi" w:eastAsiaTheme="minorHAnsi" w:hAnsiTheme="minorHAnsi" w:cstheme="minorHAnsi"/>
          <w:lang w:val="en"/>
        </w:rPr>
        <w:t xml:space="preserve">Office </w:t>
      </w:r>
      <w:r w:rsidR="00754B11" w:rsidRPr="005F4AA9">
        <w:rPr>
          <w:rFonts w:asciiTheme="minorHAnsi" w:eastAsiaTheme="minorHAnsi" w:hAnsiTheme="minorHAnsi" w:cstheme="minorHAnsi"/>
          <w:lang w:val="en"/>
        </w:rPr>
        <w:t>S</w:t>
      </w:r>
      <w:r w:rsidRPr="005F4AA9">
        <w:rPr>
          <w:rFonts w:asciiTheme="minorHAnsi" w:eastAsiaTheme="minorHAnsi" w:hAnsiTheme="minorHAnsi" w:cstheme="minorHAnsi"/>
          <w:lang w:val="en"/>
        </w:rPr>
        <w:t xml:space="preserve">upplies and </w:t>
      </w:r>
      <w:r w:rsidR="00754B11" w:rsidRPr="005F4AA9">
        <w:rPr>
          <w:rFonts w:asciiTheme="minorHAnsi" w:eastAsiaTheme="minorHAnsi" w:hAnsiTheme="minorHAnsi" w:cstheme="minorHAnsi"/>
          <w:lang w:val="en"/>
        </w:rPr>
        <w:t>E</w:t>
      </w:r>
      <w:r w:rsidRPr="005F4AA9">
        <w:rPr>
          <w:rFonts w:asciiTheme="minorHAnsi" w:eastAsiaTheme="minorHAnsi" w:hAnsiTheme="minorHAnsi" w:cstheme="minorHAnsi"/>
          <w:lang w:val="en"/>
        </w:rPr>
        <w:t>quipment</w:t>
      </w:r>
      <w:r w:rsidR="008F7AE9" w:rsidRPr="005F4AA9">
        <w:rPr>
          <w:rFonts w:asciiTheme="minorHAnsi" w:eastAsiaTheme="minorHAnsi" w:hAnsiTheme="minorHAnsi" w:cstheme="minorHAnsi"/>
          <w:lang w:val="en"/>
        </w:rPr>
        <w:t>;</w:t>
      </w:r>
    </w:p>
    <w:p w14:paraId="612E951A" w14:textId="2237A16E" w:rsidR="000C17A1" w:rsidRPr="005F4AA9" w:rsidRDefault="000C17A1" w:rsidP="004E3C72">
      <w:pPr>
        <w:pStyle w:val="NormalWeb"/>
        <w:numPr>
          <w:ilvl w:val="2"/>
          <w:numId w:val="2"/>
        </w:numPr>
        <w:ind w:left="2160" w:hanging="720"/>
        <w:rPr>
          <w:rFonts w:asciiTheme="minorHAnsi" w:eastAsiaTheme="minorHAnsi" w:hAnsiTheme="minorHAnsi" w:cstheme="minorHAnsi"/>
          <w:lang w:val="en"/>
        </w:rPr>
      </w:pPr>
      <w:r w:rsidRPr="005F4AA9">
        <w:rPr>
          <w:rFonts w:asciiTheme="minorHAnsi" w:eastAsiaTheme="minorHAnsi" w:hAnsiTheme="minorHAnsi" w:cstheme="minorHAnsi"/>
          <w:lang w:val="en"/>
        </w:rPr>
        <w:t xml:space="preserve">Salary </w:t>
      </w:r>
      <w:r w:rsidR="00754B11" w:rsidRPr="005F4AA9">
        <w:rPr>
          <w:rFonts w:asciiTheme="minorHAnsi" w:eastAsiaTheme="minorHAnsi" w:hAnsiTheme="minorHAnsi" w:cstheme="minorHAnsi"/>
          <w:lang w:val="en"/>
        </w:rPr>
        <w:t>A</w:t>
      </w:r>
      <w:r w:rsidRPr="005F4AA9">
        <w:rPr>
          <w:rFonts w:asciiTheme="minorHAnsi" w:eastAsiaTheme="minorHAnsi" w:hAnsiTheme="minorHAnsi" w:cstheme="minorHAnsi"/>
          <w:lang w:val="en"/>
        </w:rPr>
        <w:t>llocation</w:t>
      </w:r>
      <w:r w:rsidR="00EF48DE" w:rsidRPr="005F4AA9">
        <w:rPr>
          <w:rFonts w:asciiTheme="minorHAnsi" w:eastAsiaTheme="minorHAnsi" w:hAnsiTheme="minorHAnsi" w:cstheme="minorHAnsi"/>
          <w:lang w:val="en"/>
        </w:rPr>
        <w:t>s</w:t>
      </w:r>
      <w:r w:rsidR="008F7AE9" w:rsidRPr="005F4AA9">
        <w:rPr>
          <w:rFonts w:asciiTheme="minorHAnsi" w:eastAsiaTheme="minorHAnsi" w:hAnsiTheme="minorHAnsi" w:cstheme="minorHAnsi"/>
          <w:lang w:val="en"/>
        </w:rPr>
        <w:t>;</w:t>
      </w:r>
    </w:p>
    <w:p w14:paraId="42C632EF" w14:textId="33C27A2F" w:rsidR="002F0546" w:rsidRPr="005F4AA9" w:rsidRDefault="00397DBB" w:rsidP="004E3C72">
      <w:pPr>
        <w:pStyle w:val="NormalWeb"/>
        <w:numPr>
          <w:ilvl w:val="2"/>
          <w:numId w:val="2"/>
        </w:numPr>
        <w:ind w:left="2160" w:hanging="720"/>
        <w:rPr>
          <w:rFonts w:asciiTheme="minorHAnsi" w:eastAsiaTheme="minorHAnsi" w:hAnsiTheme="minorHAnsi" w:cstheme="minorHAnsi"/>
          <w:lang w:val="en"/>
        </w:rPr>
      </w:pPr>
      <w:r w:rsidRPr="005F4AA9">
        <w:rPr>
          <w:rFonts w:asciiTheme="minorHAnsi" w:eastAsiaTheme="minorHAnsi" w:hAnsiTheme="minorHAnsi" w:cstheme="minorHAnsi"/>
          <w:lang w:val="en"/>
        </w:rPr>
        <w:lastRenderedPageBreak/>
        <w:t xml:space="preserve">Programs </w:t>
      </w:r>
      <w:r w:rsidR="0053153F" w:rsidRPr="005F4AA9">
        <w:rPr>
          <w:rFonts w:asciiTheme="minorHAnsi" w:eastAsiaTheme="minorHAnsi" w:hAnsiTheme="minorHAnsi" w:cstheme="minorHAnsi"/>
          <w:lang w:val="en"/>
        </w:rPr>
        <w:t>Loans or Funding</w:t>
      </w:r>
      <w:r w:rsidR="008F7AE9" w:rsidRPr="005F4AA9">
        <w:rPr>
          <w:rFonts w:asciiTheme="minorHAnsi" w:eastAsiaTheme="minorHAnsi" w:hAnsiTheme="minorHAnsi" w:cstheme="minorHAnsi"/>
          <w:lang w:val="en"/>
        </w:rPr>
        <w:t>;</w:t>
      </w:r>
    </w:p>
    <w:p w14:paraId="20A8EB53" w14:textId="323D2EF5" w:rsidR="0053153F" w:rsidRPr="005F4AA9" w:rsidRDefault="002F0546" w:rsidP="004E3C72">
      <w:pPr>
        <w:pStyle w:val="NormalWeb"/>
        <w:numPr>
          <w:ilvl w:val="2"/>
          <w:numId w:val="2"/>
        </w:numPr>
        <w:ind w:left="2160" w:hanging="720"/>
        <w:rPr>
          <w:rFonts w:asciiTheme="minorHAnsi" w:eastAsiaTheme="minorHAnsi" w:hAnsiTheme="minorHAnsi" w:cstheme="minorHAnsi"/>
          <w:lang w:val="en"/>
        </w:rPr>
      </w:pPr>
      <w:r w:rsidRPr="005F4AA9">
        <w:rPr>
          <w:rFonts w:asciiTheme="minorHAnsi" w:eastAsiaTheme="minorHAnsi" w:hAnsiTheme="minorHAnsi" w:cstheme="minorHAnsi"/>
          <w:lang w:val="en"/>
        </w:rPr>
        <w:t>Fiber Lease Rate and Structure</w:t>
      </w:r>
      <w:r w:rsidR="008F7AE9" w:rsidRPr="005F4AA9">
        <w:rPr>
          <w:rFonts w:asciiTheme="minorHAnsi" w:eastAsiaTheme="minorHAnsi" w:hAnsiTheme="minorHAnsi" w:cstheme="minorHAnsi"/>
          <w:lang w:val="en"/>
        </w:rPr>
        <w:t>;</w:t>
      </w:r>
      <w:r w:rsidR="00FE414D" w:rsidRPr="005F4AA9">
        <w:rPr>
          <w:rFonts w:asciiTheme="minorHAnsi" w:eastAsiaTheme="minorHAnsi" w:hAnsiTheme="minorHAnsi" w:cstheme="minorHAnsi"/>
          <w:lang w:val="en"/>
        </w:rPr>
        <w:t xml:space="preserve">  </w:t>
      </w:r>
    </w:p>
    <w:p w14:paraId="157A1B0D" w14:textId="3523F614" w:rsidR="00F50C1C" w:rsidRPr="005F4AA9" w:rsidRDefault="00F50C1C" w:rsidP="004E3C72">
      <w:pPr>
        <w:pStyle w:val="NormalWeb"/>
        <w:numPr>
          <w:ilvl w:val="2"/>
          <w:numId w:val="2"/>
        </w:numPr>
        <w:ind w:left="2160" w:hanging="720"/>
        <w:rPr>
          <w:rFonts w:asciiTheme="minorHAnsi" w:eastAsiaTheme="minorHAnsi" w:hAnsiTheme="minorHAnsi" w:cstheme="minorHAnsi"/>
          <w:lang w:val="en"/>
        </w:rPr>
      </w:pPr>
      <w:r w:rsidRPr="005F4AA9">
        <w:rPr>
          <w:rFonts w:asciiTheme="minorHAnsi" w:eastAsiaTheme="minorHAnsi" w:hAnsiTheme="minorHAnsi" w:cstheme="minorHAnsi"/>
          <w:lang w:val="en"/>
        </w:rPr>
        <w:t xml:space="preserve">Marketing </w:t>
      </w:r>
      <w:r w:rsidR="00FB366F" w:rsidRPr="005F4AA9">
        <w:rPr>
          <w:rFonts w:asciiTheme="minorHAnsi" w:eastAsiaTheme="minorHAnsi" w:hAnsiTheme="minorHAnsi" w:cstheme="minorHAnsi"/>
          <w:lang w:val="en"/>
        </w:rPr>
        <w:t>S</w:t>
      </w:r>
      <w:r w:rsidRPr="005F4AA9">
        <w:rPr>
          <w:rFonts w:asciiTheme="minorHAnsi" w:eastAsiaTheme="minorHAnsi" w:hAnsiTheme="minorHAnsi" w:cstheme="minorHAnsi"/>
          <w:lang w:val="en"/>
        </w:rPr>
        <w:t>upport</w:t>
      </w:r>
      <w:r w:rsidR="008F7AE9" w:rsidRPr="005F4AA9">
        <w:rPr>
          <w:rFonts w:asciiTheme="minorHAnsi" w:eastAsiaTheme="minorHAnsi" w:hAnsiTheme="minorHAnsi" w:cstheme="minorHAnsi"/>
          <w:lang w:val="en"/>
        </w:rPr>
        <w:t>;</w:t>
      </w:r>
    </w:p>
    <w:p w14:paraId="29469015" w14:textId="38F70D88" w:rsidR="00F50C1C" w:rsidRPr="005F4AA9" w:rsidRDefault="00D04CB1" w:rsidP="004E3C72">
      <w:pPr>
        <w:pStyle w:val="NormalWeb"/>
        <w:numPr>
          <w:ilvl w:val="2"/>
          <w:numId w:val="2"/>
        </w:numPr>
        <w:ind w:left="2160" w:hanging="720"/>
        <w:rPr>
          <w:rFonts w:asciiTheme="minorHAnsi" w:eastAsiaTheme="minorHAnsi" w:hAnsiTheme="minorHAnsi" w:cstheme="minorHAnsi"/>
          <w:lang w:val="en"/>
        </w:rPr>
      </w:pPr>
      <w:r w:rsidRPr="005F4AA9">
        <w:rPr>
          <w:rFonts w:asciiTheme="minorHAnsi" w:eastAsiaTheme="minorHAnsi" w:hAnsiTheme="minorHAnsi" w:cstheme="minorHAnsi"/>
          <w:lang w:val="en"/>
        </w:rPr>
        <w:t xml:space="preserve">Phone </w:t>
      </w:r>
      <w:r w:rsidR="00FB366F" w:rsidRPr="005F4AA9">
        <w:rPr>
          <w:rFonts w:asciiTheme="minorHAnsi" w:eastAsiaTheme="minorHAnsi" w:hAnsiTheme="minorHAnsi" w:cstheme="minorHAnsi"/>
          <w:lang w:val="en"/>
        </w:rPr>
        <w:t>S</w:t>
      </w:r>
      <w:r w:rsidRPr="005F4AA9">
        <w:rPr>
          <w:rFonts w:asciiTheme="minorHAnsi" w:eastAsiaTheme="minorHAnsi" w:hAnsiTheme="minorHAnsi" w:cstheme="minorHAnsi"/>
          <w:lang w:val="en"/>
        </w:rPr>
        <w:t>ystems and IT infrastructure</w:t>
      </w:r>
      <w:r w:rsidR="008F7AE9" w:rsidRPr="005F4AA9">
        <w:rPr>
          <w:rFonts w:asciiTheme="minorHAnsi" w:eastAsiaTheme="minorHAnsi" w:hAnsiTheme="minorHAnsi" w:cstheme="minorHAnsi"/>
          <w:lang w:val="en"/>
        </w:rPr>
        <w:t>;</w:t>
      </w:r>
    </w:p>
    <w:p w14:paraId="60A0CCD7" w14:textId="6DA2F28C" w:rsidR="00D04CB1" w:rsidRPr="005F4AA9" w:rsidRDefault="00D04CB1" w:rsidP="004E3C72">
      <w:pPr>
        <w:pStyle w:val="NormalWeb"/>
        <w:numPr>
          <w:ilvl w:val="2"/>
          <w:numId w:val="2"/>
        </w:numPr>
        <w:ind w:left="2160" w:hanging="720"/>
        <w:rPr>
          <w:rFonts w:asciiTheme="minorHAnsi" w:eastAsiaTheme="minorHAnsi" w:hAnsiTheme="minorHAnsi" w:cstheme="minorHAnsi"/>
          <w:lang w:val="en"/>
        </w:rPr>
      </w:pPr>
      <w:r w:rsidRPr="005F4AA9">
        <w:rPr>
          <w:rFonts w:asciiTheme="minorHAnsi" w:eastAsiaTheme="minorHAnsi" w:hAnsiTheme="minorHAnsi" w:cstheme="minorHAnsi"/>
          <w:lang w:val="en"/>
        </w:rPr>
        <w:t>Support Staff</w:t>
      </w:r>
      <w:r w:rsidR="008F7AE9" w:rsidRPr="005F4AA9">
        <w:rPr>
          <w:rFonts w:asciiTheme="minorHAnsi" w:eastAsiaTheme="minorHAnsi" w:hAnsiTheme="minorHAnsi" w:cstheme="minorHAnsi"/>
          <w:lang w:val="en"/>
        </w:rPr>
        <w:t>;</w:t>
      </w:r>
    </w:p>
    <w:p w14:paraId="4E5A7D5D" w14:textId="2029FD5A" w:rsidR="00C464B2" w:rsidRPr="005F4AA9" w:rsidRDefault="00C464B2" w:rsidP="004E3C72">
      <w:pPr>
        <w:pStyle w:val="NormalWeb"/>
        <w:numPr>
          <w:ilvl w:val="2"/>
          <w:numId w:val="2"/>
        </w:numPr>
        <w:ind w:left="2160" w:hanging="720"/>
        <w:rPr>
          <w:rFonts w:asciiTheme="minorHAnsi" w:eastAsiaTheme="minorHAnsi" w:hAnsiTheme="minorHAnsi" w:cstheme="minorHAnsi"/>
          <w:lang w:val="en"/>
        </w:rPr>
      </w:pPr>
      <w:r w:rsidRPr="005F4AA9">
        <w:rPr>
          <w:rFonts w:asciiTheme="minorHAnsi" w:eastAsiaTheme="minorHAnsi" w:hAnsiTheme="minorHAnsi" w:cstheme="minorHAnsi"/>
          <w:lang w:val="en"/>
        </w:rPr>
        <w:t xml:space="preserve">Maintenance and </w:t>
      </w:r>
      <w:r w:rsidR="00FB366F" w:rsidRPr="005F4AA9">
        <w:rPr>
          <w:rFonts w:asciiTheme="minorHAnsi" w:eastAsiaTheme="minorHAnsi" w:hAnsiTheme="minorHAnsi" w:cstheme="minorHAnsi"/>
          <w:lang w:val="en"/>
        </w:rPr>
        <w:t>R</w:t>
      </w:r>
      <w:r w:rsidRPr="005F4AA9">
        <w:rPr>
          <w:rFonts w:asciiTheme="minorHAnsi" w:eastAsiaTheme="minorHAnsi" w:hAnsiTheme="minorHAnsi" w:cstheme="minorHAnsi"/>
          <w:lang w:val="en"/>
        </w:rPr>
        <w:t xml:space="preserve">epairs of </w:t>
      </w:r>
      <w:r w:rsidR="00FB366F" w:rsidRPr="005F4AA9">
        <w:rPr>
          <w:rFonts w:asciiTheme="minorHAnsi" w:eastAsiaTheme="minorHAnsi" w:hAnsiTheme="minorHAnsi" w:cstheme="minorHAnsi"/>
          <w:lang w:val="en"/>
        </w:rPr>
        <w:t>B</w:t>
      </w:r>
      <w:r w:rsidRPr="005F4AA9">
        <w:rPr>
          <w:rFonts w:asciiTheme="minorHAnsi" w:eastAsiaTheme="minorHAnsi" w:hAnsiTheme="minorHAnsi" w:cstheme="minorHAnsi"/>
          <w:lang w:val="en"/>
        </w:rPr>
        <w:t xml:space="preserve">roadband </w:t>
      </w:r>
      <w:r w:rsidR="00FB366F" w:rsidRPr="005F4AA9">
        <w:rPr>
          <w:rFonts w:asciiTheme="minorHAnsi" w:eastAsiaTheme="minorHAnsi" w:hAnsiTheme="minorHAnsi" w:cstheme="minorHAnsi"/>
          <w:lang w:val="en"/>
        </w:rPr>
        <w:t>I</w:t>
      </w:r>
      <w:r w:rsidRPr="005F4AA9">
        <w:rPr>
          <w:rFonts w:asciiTheme="minorHAnsi" w:eastAsiaTheme="minorHAnsi" w:hAnsiTheme="minorHAnsi" w:cstheme="minorHAnsi"/>
          <w:lang w:val="en"/>
        </w:rPr>
        <w:t>nfrastructure</w:t>
      </w:r>
      <w:r w:rsidR="008F7AE9" w:rsidRPr="005F4AA9">
        <w:rPr>
          <w:rFonts w:asciiTheme="minorHAnsi" w:eastAsiaTheme="minorHAnsi" w:hAnsiTheme="minorHAnsi" w:cstheme="minorHAnsi"/>
          <w:lang w:val="en"/>
        </w:rPr>
        <w:t>;</w:t>
      </w:r>
    </w:p>
    <w:p w14:paraId="0E5501ED" w14:textId="5D1260A7" w:rsidR="00C464B2" w:rsidRPr="005F4AA9" w:rsidRDefault="00C464B2" w:rsidP="004E3C72">
      <w:pPr>
        <w:pStyle w:val="NormalWeb"/>
        <w:numPr>
          <w:ilvl w:val="2"/>
          <w:numId w:val="2"/>
        </w:numPr>
        <w:ind w:left="2160" w:hanging="720"/>
        <w:rPr>
          <w:rFonts w:asciiTheme="minorHAnsi" w:eastAsiaTheme="minorHAnsi" w:hAnsiTheme="minorHAnsi" w:cstheme="minorHAnsi"/>
          <w:lang w:val="en"/>
        </w:rPr>
      </w:pPr>
      <w:r w:rsidRPr="005F4AA9">
        <w:rPr>
          <w:rFonts w:asciiTheme="minorHAnsi" w:eastAsiaTheme="minorHAnsi" w:hAnsiTheme="minorHAnsi" w:cstheme="minorHAnsi"/>
          <w:lang w:val="en"/>
        </w:rPr>
        <w:t xml:space="preserve">Contractor </w:t>
      </w:r>
      <w:r w:rsidR="00FB366F" w:rsidRPr="005F4AA9">
        <w:rPr>
          <w:rFonts w:asciiTheme="minorHAnsi" w:eastAsiaTheme="minorHAnsi" w:hAnsiTheme="minorHAnsi" w:cstheme="minorHAnsi"/>
          <w:lang w:val="en"/>
        </w:rPr>
        <w:t>M</w:t>
      </w:r>
      <w:r w:rsidRPr="005F4AA9">
        <w:rPr>
          <w:rFonts w:asciiTheme="minorHAnsi" w:eastAsiaTheme="minorHAnsi" w:hAnsiTheme="minorHAnsi" w:cstheme="minorHAnsi"/>
          <w:lang w:val="en"/>
        </w:rPr>
        <w:t>anagement</w:t>
      </w:r>
      <w:r w:rsidR="008F7AE9" w:rsidRPr="005F4AA9">
        <w:rPr>
          <w:rFonts w:asciiTheme="minorHAnsi" w:eastAsiaTheme="minorHAnsi" w:hAnsiTheme="minorHAnsi" w:cstheme="minorHAnsi"/>
          <w:lang w:val="en"/>
        </w:rPr>
        <w:t>;</w:t>
      </w:r>
    </w:p>
    <w:p w14:paraId="6BF3E91D" w14:textId="5BD1C880" w:rsidR="00C464B2" w:rsidRPr="005F4AA9" w:rsidRDefault="00C464B2" w:rsidP="004E3C72">
      <w:pPr>
        <w:pStyle w:val="NormalWeb"/>
        <w:numPr>
          <w:ilvl w:val="2"/>
          <w:numId w:val="2"/>
        </w:numPr>
        <w:ind w:left="2160" w:hanging="720"/>
        <w:rPr>
          <w:rFonts w:asciiTheme="minorHAnsi" w:eastAsiaTheme="minorHAnsi" w:hAnsiTheme="minorHAnsi" w:cstheme="minorHAnsi"/>
          <w:lang w:val="en"/>
        </w:rPr>
      </w:pPr>
      <w:r w:rsidRPr="005F4AA9">
        <w:rPr>
          <w:rFonts w:asciiTheme="minorHAnsi" w:eastAsiaTheme="minorHAnsi" w:hAnsiTheme="minorHAnsi" w:cstheme="minorHAnsi"/>
          <w:lang w:val="en"/>
        </w:rPr>
        <w:t xml:space="preserve">Inventory </w:t>
      </w:r>
      <w:r w:rsidR="00FB366F" w:rsidRPr="005F4AA9">
        <w:rPr>
          <w:rFonts w:asciiTheme="minorHAnsi" w:eastAsiaTheme="minorHAnsi" w:hAnsiTheme="minorHAnsi" w:cstheme="minorHAnsi"/>
          <w:lang w:val="en"/>
        </w:rPr>
        <w:t>M</w:t>
      </w:r>
      <w:r w:rsidRPr="005F4AA9">
        <w:rPr>
          <w:rFonts w:asciiTheme="minorHAnsi" w:eastAsiaTheme="minorHAnsi" w:hAnsiTheme="minorHAnsi" w:cstheme="minorHAnsi"/>
          <w:lang w:val="en"/>
        </w:rPr>
        <w:t>anagement; and</w:t>
      </w:r>
    </w:p>
    <w:p w14:paraId="79852BC9" w14:textId="6D08882C" w:rsidR="00C464B2" w:rsidRPr="005F4AA9" w:rsidRDefault="008F7AE9" w:rsidP="004E3C72">
      <w:pPr>
        <w:pStyle w:val="NormalWeb"/>
        <w:numPr>
          <w:ilvl w:val="2"/>
          <w:numId w:val="2"/>
        </w:numPr>
        <w:ind w:left="2160" w:hanging="720"/>
        <w:rPr>
          <w:rFonts w:asciiTheme="minorHAnsi" w:eastAsiaTheme="minorHAnsi" w:hAnsiTheme="minorHAnsi" w:cstheme="minorHAnsi"/>
          <w:lang w:val="en"/>
        </w:rPr>
      </w:pPr>
      <w:r w:rsidRPr="005F4AA9">
        <w:rPr>
          <w:rFonts w:asciiTheme="minorHAnsi" w:eastAsiaTheme="minorHAnsi" w:hAnsiTheme="minorHAnsi" w:cstheme="minorHAnsi"/>
          <w:lang w:val="en"/>
        </w:rPr>
        <w:t xml:space="preserve">Billing and </w:t>
      </w:r>
      <w:r w:rsidR="00FB366F" w:rsidRPr="005F4AA9">
        <w:rPr>
          <w:rFonts w:asciiTheme="minorHAnsi" w:eastAsiaTheme="minorHAnsi" w:hAnsiTheme="minorHAnsi" w:cstheme="minorHAnsi"/>
          <w:lang w:val="en"/>
        </w:rPr>
        <w:t>S</w:t>
      </w:r>
      <w:r w:rsidRPr="005F4AA9">
        <w:rPr>
          <w:rFonts w:asciiTheme="minorHAnsi" w:eastAsiaTheme="minorHAnsi" w:hAnsiTheme="minorHAnsi" w:cstheme="minorHAnsi"/>
          <w:lang w:val="en"/>
        </w:rPr>
        <w:t xml:space="preserve">upport </w:t>
      </w:r>
      <w:r w:rsidR="00FB366F" w:rsidRPr="005F4AA9">
        <w:rPr>
          <w:rFonts w:asciiTheme="minorHAnsi" w:eastAsiaTheme="minorHAnsi" w:hAnsiTheme="minorHAnsi" w:cstheme="minorHAnsi"/>
          <w:lang w:val="en"/>
        </w:rPr>
        <w:t>S</w:t>
      </w:r>
      <w:r w:rsidRPr="005F4AA9">
        <w:rPr>
          <w:rFonts w:asciiTheme="minorHAnsi" w:eastAsiaTheme="minorHAnsi" w:hAnsiTheme="minorHAnsi" w:cstheme="minorHAnsi"/>
          <w:lang w:val="en"/>
        </w:rPr>
        <w:t>oftware.</w:t>
      </w:r>
    </w:p>
    <w:p w14:paraId="0D7C9F52" w14:textId="77777777" w:rsidR="00287CC0" w:rsidRPr="005F4AA9" w:rsidRDefault="00287CC0" w:rsidP="00287CC0">
      <w:pPr>
        <w:pStyle w:val="ListParagraph"/>
        <w:autoSpaceDE w:val="0"/>
        <w:autoSpaceDN w:val="0"/>
        <w:adjustRightInd w:val="0"/>
        <w:spacing w:line="240" w:lineRule="auto"/>
        <w:ind w:left="1110"/>
        <w:rPr>
          <w:rFonts w:cstheme="minorHAnsi"/>
          <w:b/>
          <w:sz w:val="24"/>
          <w:szCs w:val="24"/>
          <w:lang w:val="en"/>
        </w:rPr>
      </w:pPr>
    </w:p>
    <w:p w14:paraId="78E357BF" w14:textId="2A580320" w:rsidR="0009226E" w:rsidRPr="005F4AA9" w:rsidRDefault="00B72A07" w:rsidP="000B55AC">
      <w:pPr>
        <w:pStyle w:val="ListParagraph"/>
        <w:numPr>
          <w:ilvl w:val="0"/>
          <w:numId w:val="2"/>
        </w:numPr>
        <w:autoSpaceDE w:val="0"/>
        <w:autoSpaceDN w:val="0"/>
        <w:adjustRightInd w:val="0"/>
        <w:spacing w:line="240" w:lineRule="auto"/>
        <w:rPr>
          <w:rFonts w:cstheme="minorHAnsi"/>
          <w:b/>
          <w:sz w:val="24"/>
          <w:szCs w:val="24"/>
          <w:lang w:val="en"/>
        </w:rPr>
      </w:pPr>
      <w:r w:rsidRPr="005F4AA9">
        <w:rPr>
          <w:rFonts w:cstheme="minorHAnsi"/>
          <w:b/>
          <w:sz w:val="24"/>
          <w:szCs w:val="24"/>
          <w:lang w:val="en"/>
        </w:rPr>
        <w:t>D</w:t>
      </w:r>
      <w:r w:rsidR="007878BD" w:rsidRPr="005F4AA9">
        <w:rPr>
          <w:rFonts w:cstheme="minorHAnsi"/>
          <w:b/>
          <w:sz w:val="24"/>
          <w:szCs w:val="24"/>
          <w:lang w:val="en"/>
        </w:rPr>
        <w:t>irections for informing customers</w:t>
      </w:r>
      <w:r w:rsidR="004C2C1C" w:rsidRPr="005F4AA9">
        <w:rPr>
          <w:rFonts w:cstheme="minorHAnsi"/>
          <w:b/>
          <w:sz w:val="24"/>
          <w:szCs w:val="24"/>
          <w:lang w:val="en"/>
        </w:rPr>
        <w:t xml:space="preserve"> or potential </w:t>
      </w:r>
      <w:r w:rsidR="00A03B82" w:rsidRPr="005F4AA9">
        <w:rPr>
          <w:rFonts w:cstheme="minorHAnsi"/>
          <w:b/>
          <w:sz w:val="24"/>
          <w:szCs w:val="24"/>
          <w:lang w:val="en"/>
        </w:rPr>
        <w:t xml:space="preserve">EMC </w:t>
      </w:r>
      <w:r w:rsidR="004C2C1C" w:rsidRPr="005F4AA9">
        <w:rPr>
          <w:rFonts w:cstheme="minorHAnsi"/>
          <w:b/>
          <w:sz w:val="24"/>
          <w:szCs w:val="24"/>
          <w:lang w:val="en"/>
        </w:rPr>
        <w:t>custome</w:t>
      </w:r>
      <w:r w:rsidR="00A47AA8" w:rsidRPr="005F4AA9">
        <w:rPr>
          <w:rFonts w:cstheme="minorHAnsi"/>
          <w:b/>
          <w:sz w:val="24"/>
          <w:szCs w:val="24"/>
          <w:lang w:val="en"/>
        </w:rPr>
        <w:t>rs</w:t>
      </w:r>
      <w:r w:rsidR="00A03B82" w:rsidRPr="005F4AA9">
        <w:rPr>
          <w:rFonts w:cstheme="minorHAnsi"/>
          <w:b/>
          <w:sz w:val="24"/>
          <w:szCs w:val="24"/>
          <w:lang w:val="en"/>
        </w:rPr>
        <w:t xml:space="preserve"> </w:t>
      </w:r>
      <w:r w:rsidR="00A831CB" w:rsidRPr="005F4AA9">
        <w:rPr>
          <w:rFonts w:cstheme="minorHAnsi"/>
          <w:b/>
          <w:sz w:val="24"/>
          <w:szCs w:val="24"/>
          <w:lang w:val="en"/>
        </w:rPr>
        <w:t xml:space="preserve">of broadband services </w:t>
      </w:r>
      <w:r w:rsidR="004D1C25" w:rsidRPr="005F4AA9">
        <w:rPr>
          <w:rFonts w:cstheme="minorHAnsi"/>
          <w:b/>
          <w:sz w:val="24"/>
          <w:szCs w:val="24"/>
          <w:lang w:val="en"/>
        </w:rPr>
        <w:t>not only from its affiliate but its competitors as well</w:t>
      </w:r>
      <w:r w:rsidR="0009226E" w:rsidRPr="005F4AA9">
        <w:rPr>
          <w:rFonts w:cstheme="minorHAnsi"/>
          <w:b/>
          <w:sz w:val="24"/>
          <w:szCs w:val="24"/>
          <w:lang w:val="en"/>
        </w:rPr>
        <w:t>.</w:t>
      </w:r>
    </w:p>
    <w:p w14:paraId="70FAF484" w14:textId="77777777" w:rsidR="0009226E" w:rsidRPr="005F4AA9" w:rsidRDefault="0009226E" w:rsidP="0009226E">
      <w:pPr>
        <w:pStyle w:val="ListParagraph"/>
        <w:autoSpaceDE w:val="0"/>
        <w:autoSpaceDN w:val="0"/>
        <w:adjustRightInd w:val="0"/>
        <w:spacing w:line="240" w:lineRule="auto"/>
        <w:ind w:left="1110"/>
        <w:rPr>
          <w:rFonts w:cstheme="minorHAnsi"/>
          <w:sz w:val="24"/>
          <w:szCs w:val="24"/>
          <w:lang w:val="en"/>
        </w:rPr>
      </w:pPr>
    </w:p>
    <w:p w14:paraId="62021963" w14:textId="0EB2FE57" w:rsidR="00C75974" w:rsidRPr="00CF4D6C" w:rsidRDefault="007B1374" w:rsidP="00CF4D6C">
      <w:pPr>
        <w:autoSpaceDE w:val="0"/>
        <w:autoSpaceDN w:val="0"/>
        <w:adjustRightInd w:val="0"/>
        <w:spacing w:line="240" w:lineRule="auto"/>
        <w:ind w:firstLine="720"/>
        <w:rPr>
          <w:rFonts w:cstheme="minorHAnsi"/>
          <w:sz w:val="24"/>
          <w:szCs w:val="24"/>
          <w:lang w:val="en"/>
        </w:rPr>
      </w:pPr>
      <w:r w:rsidRPr="00CF4D6C">
        <w:rPr>
          <w:rFonts w:cstheme="minorHAnsi"/>
          <w:sz w:val="24"/>
          <w:szCs w:val="24"/>
          <w:lang w:val="en"/>
        </w:rPr>
        <w:t>O.</w:t>
      </w:r>
      <w:r w:rsidR="008F4615" w:rsidRPr="00CF4D6C">
        <w:rPr>
          <w:rFonts w:cstheme="minorHAnsi"/>
          <w:sz w:val="24"/>
          <w:szCs w:val="24"/>
          <w:lang w:val="en"/>
        </w:rPr>
        <w:t>C.G.A. 46-3-200.2(b)(4) requires</w:t>
      </w:r>
      <w:r w:rsidR="00C75974" w:rsidRPr="00CF4D6C">
        <w:rPr>
          <w:rFonts w:cstheme="minorHAnsi"/>
          <w:sz w:val="24"/>
          <w:szCs w:val="24"/>
          <w:lang w:val="en"/>
        </w:rPr>
        <w:t>:</w:t>
      </w:r>
    </w:p>
    <w:p w14:paraId="52D766A6" w14:textId="503950BE" w:rsidR="00955E7D" w:rsidRPr="005F4AA9" w:rsidRDefault="00C75974" w:rsidP="0009226E">
      <w:pPr>
        <w:autoSpaceDE w:val="0"/>
        <w:autoSpaceDN w:val="0"/>
        <w:adjustRightInd w:val="0"/>
        <w:spacing w:line="240" w:lineRule="auto"/>
        <w:ind w:left="720"/>
        <w:jc w:val="both"/>
        <w:rPr>
          <w:rFonts w:cstheme="minorHAnsi"/>
          <w:sz w:val="24"/>
          <w:szCs w:val="24"/>
          <w:lang w:val="en"/>
        </w:rPr>
      </w:pPr>
      <w:r w:rsidRPr="005F4AA9">
        <w:rPr>
          <w:rFonts w:cstheme="minorHAnsi"/>
          <w:sz w:val="24"/>
          <w:szCs w:val="24"/>
        </w:rPr>
        <w:t>W</w:t>
      </w:r>
      <w:r w:rsidRPr="005F4AA9">
        <w:rPr>
          <w:rFonts w:cstheme="minorHAnsi"/>
          <w:i/>
          <w:sz w:val="24"/>
          <w:szCs w:val="24"/>
        </w:rPr>
        <w:t>hen such electric membership corporation is assisting a customer or potential customer seeking to initiate electricity services and there is any inquiry or discussion regarding the availability of retail broadband services, in the course of the same discussion or transaction in which such assistance is being provided, inform such customer or potential customer of other providers offering broadband services in such customer's area based on any service map of a provider of broadband services or similar resource maintained by any department of the state or federal government and inform such customer or potential customer that broadband services may be obtained from such electric membership corporation's broadband affiliate or such other providers of broadband services. Such information shall be provided only with regard to other providers of broadband services that have notified the electric membership corporation's broadband affiliate, in writing and in a commercially reasonable manner, that such provider of broadband services is able and willing to provide broadband services to customers located within all or a portion of the electric membership corporation's designated electricity service</w:t>
      </w:r>
      <w:r w:rsidRPr="005F4AA9">
        <w:rPr>
          <w:rFonts w:cstheme="minorHAnsi"/>
          <w:sz w:val="24"/>
          <w:szCs w:val="24"/>
        </w:rPr>
        <w:t xml:space="preserve"> territory.</w:t>
      </w:r>
    </w:p>
    <w:p w14:paraId="3C34CC19" w14:textId="76D8A396" w:rsidR="00955E7D" w:rsidRPr="005F4AA9" w:rsidRDefault="00065CB5" w:rsidP="003E20B1">
      <w:pPr>
        <w:pStyle w:val="NormalWeb"/>
        <w:ind w:firstLine="720"/>
        <w:jc w:val="both"/>
        <w:rPr>
          <w:rFonts w:asciiTheme="minorHAnsi" w:hAnsiTheme="minorHAnsi" w:cstheme="minorHAnsi"/>
        </w:rPr>
      </w:pPr>
      <w:r w:rsidRPr="005F4AA9">
        <w:rPr>
          <w:rFonts w:asciiTheme="minorHAnsi" w:hAnsiTheme="minorHAnsi" w:cstheme="minorHAnsi"/>
        </w:rPr>
        <w:t xml:space="preserve">Should a competitor inform the </w:t>
      </w:r>
      <w:r w:rsidR="007702B8" w:rsidRPr="005F4AA9">
        <w:rPr>
          <w:rFonts w:asciiTheme="minorHAnsi" w:hAnsiTheme="minorHAnsi" w:cstheme="minorHAnsi"/>
        </w:rPr>
        <w:t>EMC</w:t>
      </w:r>
      <w:r w:rsidR="00EC6038" w:rsidRPr="005F4AA9">
        <w:rPr>
          <w:rFonts w:asciiTheme="minorHAnsi" w:hAnsiTheme="minorHAnsi" w:cstheme="minorHAnsi"/>
        </w:rPr>
        <w:t xml:space="preserve"> that </w:t>
      </w:r>
      <w:r w:rsidR="00B17065" w:rsidRPr="005F4AA9">
        <w:rPr>
          <w:rFonts w:asciiTheme="minorHAnsi" w:hAnsiTheme="minorHAnsi" w:cstheme="minorHAnsi"/>
        </w:rPr>
        <w:t>it offers broadband</w:t>
      </w:r>
      <w:r w:rsidR="0030507D" w:rsidRPr="005F4AA9">
        <w:rPr>
          <w:rFonts w:asciiTheme="minorHAnsi" w:hAnsiTheme="minorHAnsi" w:cstheme="minorHAnsi"/>
        </w:rPr>
        <w:t xml:space="preserve"> services</w:t>
      </w:r>
      <w:r w:rsidR="00B17065" w:rsidRPr="005F4AA9">
        <w:rPr>
          <w:rFonts w:asciiTheme="minorHAnsi" w:hAnsiTheme="minorHAnsi" w:cstheme="minorHAnsi"/>
        </w:rPr>
        <w:t xml:space="preserve"> within its territory</w:t>
      </w:r>
      <w:r w:rsidR="003E20B1" w:rsidRPr="005F4AA9">
        <w:rPr>
          <w:rFonts w:asciiTheme="minorHAnsi" w:hAnsiTheme="minorHAnsi" w:cstheme="minorHAnsi"/>
        </w:rPr>
        <w:t xml:space="preserve"> in accordance with the statutory requirements</w:t>
      </w:r>
      <w:r w:rsidR="00685B0E" w:rsidRPr="005F4AA9">
        <w:rPr>
          <w:rFonts w:asciiTheme="minorHAnsi" w:hAnsiTheme="minorHAnsi" w:cstheme="minorHAnsi"/>
        </w:rPr>
        <w:t xml:space="preserve">, it should be clear that the duty to inform applies </w:t>
      </w:r>
      <w:r w:rsidR="007206CD" w:rsidRPr="005F4AA9">
        <w:rPr>
          <w:rFonts w:asciiTheme="minorHAnsi" w:hAnsiTheme="minorHAnsi" w:cstheme="minorHAnsi"/>
        </w:rPr>
        <w:t>to</w:t>
      </w:r>
      <w:r w:rsidR="008212FF" w:rsidRPr="005F4AA9">
        <w:rPr>
          <w:rFonts w:asciiTheme="minorHAnsi" w:hAnsiTheme="minorHAnsi" w:cstheme="minorHAnsi"/>
        </w:rPr>
        <w:t xml:space="preserve"> EMC</w:t>
      </w:r>
      <w:r w:rsidR="007206CD" w:rsidRPr="005F4AA9">
        <w:rPr>
          <w:rFonts w:asciiTheme="minorHAnsi" w:hAnsiTheme="minorHAnsi" w:cstheme="minorHAnsi"/>
        </w:rPr>
        <w:t xml:space="preserve"> customer service representatives</w:t>
      </w:r>
      <w:r w:rsidR="003E20B1" w:rsidRPr="005F4AA9">
        <w:rPr>
          <w:rFonts w:asciiTheme="minorHAnsi" w:hAnsiTheme="minorHAnsi" w:cstheme="minorHAnsi"/>
        </w:rPr>
        <w:t>, not only in-person</w:t>
      </w:r>
      <w:r w:rsidR="00FB2C2A" w:rsidRPr="005F4AA9">
        <w:rPr>
          <w:rFonts w:asciiTheme="minorHAnsi" w:hAnsiTheme="minorHAnsi" w:cstheme="minorHAnsi"/>
        </w:rPr>
        <w:t xml:space="preserve"> and telephonically, but that any </w:t>
      </w:r>
      <w:r w:rsidR="00855FF3" w:rsidRPr="005F4AA9">
        <w:rPr>
          <w:rFonts w:asciiTheme="minorHAnsi" w:hAnsiTheme="minorHAnsi" w:cstheme="minorHAnsi"/>
        </w:rPr>
        <w:t>automat</w:t>
      </w:r>
      <w:r w:rsidR="00351196" w:rsidRPr="005F4AA9">
        <w:rPr>
          <w:rFonts w:asciiTheme="minorHAnsi" w:hAnsiTheme="minorHAnsi" w:cstheme="minorHAnsi"/>
        </w:rPr>
        <w:t>ed</w:t>
      </w:r>
      <w:r w:rsidR="00EB5217" w:rsidRPr="005F4AA9">
        <w:rPr>
          <w:rFonts w:asciiTheme="minorHAnsi" w:hAnsiTheme="minorHAnsi" w:cstheme="minorHAnsi"/>
        </w:rPr>
        <w:t xml:space="preserve"> sign-up method</w:t>
      </w:r>
      <w:r w:rsidR="00351196" w:rsidRPr="005F4AA9">
        <w:rPr>
          <w:rFonts w:asciiTheme="minorHAnsi" w:hAnsiTheme="minorHAnsi" w:cstheme="minorHAnsi"/>
        </w:rPr>
        <w:t>, including websites,</w:t>
      </w:r>
      <w:r w:rsidR="00EB5217" w:rsidRPr="005F4AA9">
        <w:rPr>
          <w:rFonts w:asciiTheme="minorHAnsi" w:hAnsiTheme="minorHAnsi" w:cstheme="minorHAnsi"/>
        </w:rPr>
        <w:t xml:space="preserve"> which refer to </w:t>
      </w:r>
      <w:r w:rsidR="00351196" w:rsidRPr="005F4AA9">
        <w:rPr>
          <w:rFonts w:asciiTheme="minorHAnsi" w:hAnsiTheme="minorHAnsi" w:cstheme="minorHAnsi"/>
        </w:rPr>
        <w:t>the EMC’s broadband affiliate</w:t>
      </w:r>
      <w:r w:rsidR="00855FF3" w:rsidRPr="005F4AA9">
        <w:rPr>
          <w:rFonts w:asciiTheme="minorHAnsi" w:hAnsiTheme="minorHAnsi" w:cstheme="minorHAnsi"/>
        </w:rPr>
        <w:t xml:space="preserve"> include reference to those broadband service providers</w:t>
      </w:r>
      <w:r w:rsidR="00764366" w:rsidRPr="005F4AA9">
        <w:rPr>
          <w:rFonts w:asciiTheme="minorHAnsi" w:hAnsiTheme="minorHAnsi" w:cstheme="minorHAnsi"/>
        </w:rPr>
        <w:t xml:space="preserve">.  </w:t>
      </w:r>
      <w:r w:rsidR="008B3E86" w:rsidRPr="005F4AA9">
        <w:rPr>
          <w:rFonts w:asciiTheme="minorHAnsi" w:hAnsiTheme="minorHAnsi" w:cstheme="minorHAnsi"/>
        </w:rPr>
        <w:t xml:space="preserve">The duty to inform should also apply to </w:t>
      </w:r>
      <w:r w:rsidR="00067B63">
        <w:rPr>
          <w:rFonts w:asciiTheme="minorHAnsi" w:hAnsiTheme="minorHAnsi" w:cstheme="minorHAnsi"/>
        </w:rPr>
        <w:t xml:space="preserve">all </w:t>
      </w:r>
      <w:r w:rsidR="00373455" w:rsidRPr="005F4AA9">
        <w:rPr>
          <w:rFonts w:asciiTheme="minorHAnsi" w:hAnsiTheme="minorHAnsi" w:cstheme="minorHAnsi"/>
        </w:rPr>
        <w:t xml:space="preserve">EMC </w:t>
      </w:r>
      <w:r w:rsidR="00067B63">
        <w:rPr>
          <w:rFonts w:asciiTheme="minorHAnsi" w:hAnsiTheme="minorHAnsi" w:cstheme="minorHAnsi"/>
        </w:rPr>
        <w:t xml:space="preserve">employees, contractors, and board members. </w:t>
      </w:r>
    </w:p>
    <w:p w14:paraId="08BF1EA3" w14:textId="73CA43D5" w:rsidR="008074FE" w:rsidRPr="005F4AA9" w:rsidRDefault="00852AAC" w:rsidP="006E1E6B">
      <w:pPr>
        <w:pStyle w:val="ListParagraph"/>
        <w:numPr>
          <w:ilvl w:val="0"/>
          <w:numId w:val="2"/>
        </w:numPr>
        <w:tabs>
          <w:tab w:val="left" w:pos="720"/>
        </w:tabs>
        <w:autoSpaceDE w:val="0"/>
        <w:autoSpaceDN w:val="0"/>
        <w:adjustRightInd w:val="0"/>
        <w:spacing w:line="240" w:lineRule="auto"/>
        <w:rPr>
          <w:rStyle w:val="CommentReference"/>
          <w:rFonts w:cstheme="minorHAnsi"/>
          <w:sz w:val="24"/>
          <w:szCs w:val="24"/>
        </w:rPr>
      </w:pPr>
      <w:r w:rsidRPr="005F4AA9">
        <w:rPr>
          <w:rStyle w:val="CommentReference"/>
          <w:rFonts w:cstheme="minorHAnsi"/>
          <w:b/>
          <w:sz w:val="24"/>
          <w:szCs w:val="24"/>
        </w:rPr>
        <w:t>The prohibition against c</w:t>
      </w:r>
      <w:r w:rsidR="008074FE" w:rsidRPr="005F4AA9">
        <w:rPr>
          <w:rStyle w:val="CommentReference"/>
          <w:rFonts w:cstheme="minorHAnsi"/>
          <w:b/>
          <w:sz w:val="24"/>
          <w:szCs w:val="24"/>
        </w:rPr>
        <w:t>onditional ser</w:t>
      </w:r>
      <w:r w:rsidRPr="005F4AA9">
        <w:rPr>
          <w:rStyle w:val="CommentReference"/>
          <w:rFonts w:cstheme="minorHAnsi"/>
          <w:b/>
          <w:sz w:val="24"/>
          <w:szCs w:val="24"/>
        </w:rPr>
        <w:t xml:space="preserve">vice applies to </w:t>
      </w:r>
      <w:r w:rsidR="00344557" w:rsidRPr="005F4AA9">
        <w:rPr>
          <w:rStyle w:val="CommentReference"/>
          <w:rFonts w:cstheme="minorHAnsi"/>
          <w:b/>
          <w:sz w:val="24"/>
          <w:szCs w:val="24"/>
        </w:rPr>
        <w:t xml:space="preserve">the </w:t>
      </w:r>
      <w:r w:rsidR="0078027D" w:rsidRPr="005F4AA9">
        <w:rPr>
          <w:rStyle w:val="CommentReference"/>
          <w:rFonts w:cstheme="minorHAnsi"/>
          <w:b/>
          <w:sz w:val="24"/>
          <w:szCs w:val="24"/>
        </w:rPr>
        <w:t>affiliate</w:t>
      </w:r>
      <w:r w:rsidR="00196123" w:rsidRPr="005F4AA9">
        <w:rPr>
          <w:rStyle w:val="CommentReference"/>
          <w:rFonts w:cstheme="minorHAnsi"/>
          <w:b/>
          <w:sz w:val="24"/>
          <w:szCs w:val="24"/>
        </w:rPr>
        <w:t>→</w:t>
      </w:r>
      <w:r w:rsidR="0078027D" w:rsidRPr="005F4AA9">
        <w:rPr>
          <w:rStyle w:val="CommentReference"/>
          <w:rFonts w:cstheme="minorHAnsi"/>
          <w:b/>
          <w:sz w:val="24"/>
          <w:szCs w:val="24"/>
        </w:rPr>
        <w:t>EMC relationship as well as the EMC</w:t>
      </w:r>
      <w:r w:rsidR="00196123" w:rsidRPr="005F4AA9">
        <w:rPr>
          <w:rStyle w:val="CommentReference"/>
          <w:rFonts w:cstheme="minorHAnsi"/>
          <w:b/>
          <w:sz w:val="24"/>
          <w:szCs w:val="24"/>
        </w:rPr>
        <w:t>→</w:t>
      </w:r>
      <w:r w:rsidR="0078027D" w:rsidRPr="005F4AA9">
        <w:rPr>
          <w:rStyle w:val="CommentReference"/>
          <w:rFonts w:cstheme="minorHAnsi"/>
          <w:b/>
          <w:sz w:val="24"/>
          <w:szCs w:val="24"/>
        </w:rPr>
        <w:t>affiliate relationship.</w:t>
      </w:r>
      <w:r w:rsidR="0078027D" w:rsidRPr="005F4AA9">
        <w:rPr>
          <w:rStyle w:val="CommentReference"/>
          <w:rFonts w:cstheme="minorHAnsi"/>
          <w:sz w:val="24"/>
          <w:szCs w:val="24"/>
        </w:rPr>
        <w:t xml:space="preserve">  </w:t>
      </w:r>
    </w:p>
    <w:p w14:paraId="1C22CE48" w14:textId="77777777" w:rsidR="00EA18E6" w:rsidRPr="005F4AA9" w:rsidRDefault="00EA18E6" w:rsidP="001256B0">
      <w:pPr>
        <w:autoSpaceDE w:val="0"/>
        <w:autoSpaceDN w:val="0"/>
        <w:adjustRightInd w:val="0"/>
        <w:spacing w:line="240" w:lineRule="auto"/>
        <w:rPr>
          <w:rStyle w:val="CommentReference"/>
          <w:rFonts w:cstheme="minorHAnsi"/>
          <w:sz w:val="24"/>
          <w:szCs w:val="24"/>
        </w:rPr>
      </w:pPr>
    </w:p>
    <w:p w14:paraId="27836A04" w14:textId="6FF16E56" w:rsidR="001256B0" w:rsidRPr="005F4AA9" w:rsidRDefault="00B65BBD" w:rsidP="00CF4D6C">
      <w:pPr>
        <w:autoSpaceDE w:val="0"/>
        <w:autoSpaceDN w:val="0"/>
        <w:adjustRightInd w:val="0"/>
        <w:spacing w:line="240" w:lineRule="auto"/>
        <w:ind w:firstLine="720"/>
        <w:rPr>
          <w:rStyle w:val="CommentReference"/>
          <w:rFonts w:cstheme="minorHAnsi"/>
          <w:sz w:val="24"/>
          <w:szCs w:val="24"/>
        </w:rPr>
      </w:pPr>
      <w:r w:rsidRPr="005F4AA9">
        <w:rPr>
          <w:rStyle w:val="CommentReference"/>
          <w:rFonts w:cstheme="minorHAnsi"/>
          <w:sz w:val="24"/>
          <w:szCs w:val="24"/>
        </w:rPr>
        <w:t xml:space="preserve">O.C.G.A § </w:t>
      </w:r>
      <w:r w:rsidR="004E47BF" w:rsidRPr="005F4AA9">
        <w:rPr>
          <w:rStyle w:val="CommentReference"/>
          <w:rFonts w:cstheme="minorHAnsi"/>
          <w:sz w:val="24"/>
          <w:szCs w:val="24"/>
        </w:rPr>
        <w:t>46-3-200.2(b)(1)</w:t>
      </w:r>
      <w:r w:rsidR="001256B0" w:rsidRPr="005F4AA9">
        <w:rPr>
          <w:rStyle w:val="CommentReference"/>
          <w:rFonts w:cstheme="minorHAnsi"/>
          <w:sz w:val="24"/>
          <w:szCs w:val="24"/>
        </w:rPr>
        <w:t xml:space="preserve"> provides:</w:t>
      </w:r>
    </w:p>
    <w:p w14:paraId="16C6D924" w14:textId="0CA35BBB" w:rsidR="00E15AD9" w:rsidRPr="005F4AA9" w:rsidRDefault="001256B0" w:rsidP="00C140B3">
      <w:pPr>
        <w:autoSpaceDE w:val="0"/>
        <w:autoSpaceDN w:val="0"/>
        <w:adjustRightInd w:val="0"/>
        <w:spacing w:line="240" w:lineRule="auto"/>
        <w:ind w:left="720"/>
        <w:jc w:val="both"/>
        <w:rPr>
          <w:rFonts w:cstheme="minorHAnsi"/>
          <w:i/>
          <w:sz w:val="24"/>
          <w:szCs w:val="24"/>
        </w:rPr>
      </w:pPr>
      <w:r w:rsidRPr="005F4AA9">
        <w:rPr>
          <w:rFonts w:cstheme="minorHAnsi"/>
          <w:i/>
          <w:sz w:val="24"/>
          <w:szCs w:val="24"/>
        </w:rPr>
        <w:t xml:space="preserve">An electric membership corporation that has a broadband affiliate that provides retail broadband services shall: (1) Not condition the receipt of electricity services upon, nor </w:t>
      </w:r>
      <w:r w:rsidRPr="005F4AA9">
        <w:rPr>
          <w:rFonts w:cstheme="minorHAnsi"/>
          <w:i/>
          <w:sz w:val="24"/>
          <w:szCs w:val="24"/>
        </w:rPr>
        <w:lastRenderedPageBreak/>
        <w:t>provide more favorable terms for electricity services in exchange for, persons that receive broadband services from the electric membership corporation or its broadband affiliate;</w:t>
      </w:r>
    </w:p>
    <w:p w14:paraId="0927F6CE" w14:textId="1109958C" w:rsidR="00204300" w:rsidRPr="005F4AA9" w:rsidRDefault="00E224E8" w:rsidP="00C140B3">
      <w:pPr>
        <w:pStyle w:val="NormalWeb"/>
        <w:tabs>
          <w:tab w:val="left" w:pos="720"/>
        </w:tabs>
        <w:ind w:firstLine="720"/>
        <w:jc w:val="both"/>
        <w:rPr>
          <w:rFonts w:asciiTheme="minorHAnsi" w:hAnsiTheme="minorHAnsi" w:cstheme="minorHAnsi"/>
          <w:i/>
        </w:rPr>
      </w:pPr>
      <w:r w:rsidRPr="005F4AA9">
        <w:rPr>
          <w:rFonts w:asciiTheme="minorHAnsi" w:hAnsiTheme="minorHAnsi" w:cstheme="minorHAnsi"/>
        </w:rPr>
        <w:t>While the above section</w:t>
      </w:r>
      <w:r w:rsidR="00762AAB" w:rsidRPr="005F4AA9">
        <w:rPr>
          <w:rFonts w:asciiTheme="minorHAnsi" w:hAnsiTheme="minorHAnsi" w:cstheme="minorHAnsi"/>
        </w:rPr>
        <w:t xml:space="preserve"> states that the EMC may </w:t>
      </w:r>
      <w:r w:rsidR="0007413D" w:rsidRPr="005F4AA9">
        <w:rPr>
          <w:rFonts w:asciiTheme="minorHAnsi" w:hAnsiTheme="minorHAnsi" w:cstheme="minorHAnsi"/>
        </w:rPr>
        <w:t>“</w:t>
      </w:r>
      <w:r w:rsidR="00762AAB" w:rsidRPr="005F4AA9">
        <w:rPr>
          <w:rFonts w:asciiTheme="minorHAnsi" w:hAnsiTheme="minorHAnsi" w:cstheme="minorHAnsi"/>
        </w:rPr>
        <w:t>not condition the receipt of electricity for services upon</w:t>
      </w:r>
      <w:r w:rsidR="0007413D" w:rsidRPr="005F4AA9">
        <w:rPr>
          <w:rFonts w:asciiTheme="minorHAnsi" w:hAnsiTheme="minorHAnsi" w:cstheme="minorHAnsi"/>
        </w:rPr>
        <w:t>,</w:t>
      </w:r>
      <w:r w:rsidR="00762AAB" w:rsidRPr="005F4AA9">
        <w:rPr>
          <w:rFonts w:asciiTheme="minorHAnsi" w:hAnsiTheme="minorHAnsi" w:cstheme="minorHAnsi"/>
        </w:rPr>
        <w:t xml:space="preserve"> nor provide more favorable terms for</w:t>
      </w:r>
      <w:r w:rsidR="0007413D" w:rsidRPr="005F4AA9">
        <w:rPr>
          <w:rFonts w:asciiTheme="minorHAnsi" w:hAnsiTheme="minorHAnsi" w:cstheme="minorHAnsi"/>
        </w:rPr>
        <w:t xml:space="preserve"> </w:t>
      </w:r>
      <w:r w:rsidR="00762AAB" w:rsidRPr="005F4AA9">
        <w:rPr>
          <w:rFonts w:asciiTheme="minorHAnsi" w:hAnsiTheme="minorHAnsi" w:cstheme="minorHAnsi"/>
        </w:rPr>
        <w:t>electricity services</w:t>
      </w:r>
      <w:r w:rsidR="0007413D" w:rsidRPr="005F4AA9">
        <w:rPr>
          <w:rFonts w:asciiTheme="minorHAnsi" w:hAnsiTheme="minorHAnsi" w:cstheme="minorHAnsi"/>
        </w:rPr>
        <w:t>”</w:t>
      </w:r>
      <w:r w:rsidR="00463A35" w:rsidRPr="005F4AA9">
        <w:rPr>
          <w:rFonts w:asciiTheme="minorHAnsi" w:hAnsiTheme="minorHAnsi" w:cstheme="minorHAnsi"/>
        </w:rPr>
        <w:t xml:space="preserve"> to customers of </w:t>
      </w:r>
      <w:r w:rsidR="003E18FA" w:rsidRPr="005F4AA9">
        <w:rPr>
          <w:rFonts w:asciiTheme="minorHAnsi" w:hAnsiTheme="minorHAnsi" w:cstheme="minorHAnsi"/>
        </w:rPr>
        <w:t>its broadband affiliate</w:t>
      </w:r>
      <w:r w:rsidR="007D479A" w:rsidRPr="005F4AA9">
        <w:rPr>
          <w:rFonts w:asciiTheme="minorHAnsi" w:hAnsiTheme="minorHAnsi" w:cstheme="minorHAnsi"/>
        </w:rPr>
        <w:t>,</w:t>
      </w:r>
      <w:r w:rsidR="003E18FA" w:rsidRPr="005F4AA9">
        <w:rPr>
          <w:rFonts w:asciiTheme="minorHAnsi" w:hAnsiTheme="minorHAnsi" w:cstheme="minorHAnsi"/>
        </w:rPr>
        <w:t xml:space="preserve"> </w:t>
      </w:r>
      <w:r w:rsidR="007D479A" w:rsidRPr="005F4AA9">
        <w:rPr>
          <w:rFonts w:asciiTheme="minorHAnsi" w:hAnsiTheme="minorHAnsi" w:cstheme="minorHAnsi"/>
        </w:rPr>
        <w:t>t</w:t>
      </w:r>
      <w:r w:rsidR="00090415" w:rsidRPr="005F4AA9">
        <w:rPr>
          <w:rFonts w:asciiTheme="minorHAnsi" w:hAnsiTheme="minorHAnsi" w:cstheme="minorHAnsi"/>
        </w:rPr>
        <w:t>h</w:t>
      </w:r>
      <w:r w:rsidR="007E73B8" w:rsidRPr="005F4AA9">
        <w:rPr>
          <w:rFonts w:asciiTheme="minorHAnsi" w:hAnsiTheme="minorHAnsi" w:cstheme="minorHAnsi"/>
        </w:rPr>
        <w:t xml:space="preserve">e same should apply to the affiliate to EMC relationship.  </w:t>
      </w:r>
      <w:r w:rsidR="003E18FA" w:rsidRPr="005F4AA9">
        <w:rPr>
          <w:rFonts w:asciiTheme="minorHAnsi" w:hAnsiTheme="minorHAnsi" w:cstheme="minorHAnsi"/>
        </w:rPr>
        <w:t>While not specifically stated</w:t>
      </w:r>
      <w:r w:rsidR="008A3334" w:rsidRPr="005F4AA9">
        <w:rPr>
          <w:rFonts w:asciiTheme="minorHAnsi" w:hAnsiTheme="minorHAnsi" w:cstheme="minorHAnsi"/>
        </w:rPr>
        <w:t>, i</w:t>
      </w:r>
      <w:r w:rsidR="00A905BD" w:rsidRPr="005F4AA9">
        <w:rPr>
          <w:rFonts w:asciiTheme="minorHAnsi" w:hAnsiTheme="minorHAnsi" w:cstheme="minorHAnsi"/>
        </w:rPr>
        <w:t xml:space="preserve">mplied in the section is the </w:t>
      </w:r>
      <w:r w:rsidR="005D17DB" w:rsidRPr="005F4AA9">
        <w:rPr>
          <w:rFonts w:asciiTheme="minorHAnsi" w:hAnsiTheme="minorHAnsi" w:cstheme="minorHAnsi"/>
        </w:rPr>
        <w:t xml:space="preserve">idea </w:t>
      </w:r>
      <w:r w:rsidR="00563A6F" w:rsidRPr="005F4AA9">
        <w:rPr>
          <w:rFonts w:asciiTheme="minorHAnsi" w:hAnsiTheme="minorHAnsi" w:cstheme="minorHAnsi"/>
        </w:rPr>
        <w:t xml:space="preserve">that </w:t>
      </w:r>
      <w:r w:rsidR="00B1630E" w:rsidRPr="005F4AA9">
        <w:rPr>
          <w:rFonts w:asciiTheme="minorHAnsi" w:hAnsiTheme="minorHAnsi" w:cstheme="minorHAnsi"/>
        </w:rPr>
        <w:t xml:space="preserve">a broadband affiliate should </w:t>
      </w:r>
      <w:r w:rsidR="00587AA8" w:rsidRPr="005F4AA9">
        <w:rPr>
          <w:rFonts w:asciiTheme="minorHAnsi" w:hAnsiTheme="minorHAnsi" w:cstheme="minorHAnsi"/>
        </w:rPr>
        <w:t xml:space="preserve">not </w:t>
      </w:r>
      <w:r w:rsidR="00446791" w:rsidRPr="005F4AA9">
        <w:rPr>
          <w:rFonts w:asciiTheme="minorHAnsi" w:hAnsiTheme="minorHAnsi" w:cstheme="minorHAnsi"/>
        </w:rPr>
        <w:t xml:space="preserve">condition services </w:t>
      </w:r>
      <w:r w:rsidR="00695506" w:rsidRPr="005F4AA9">
        <w:rPr>
          <w:rFonts w:asciiTheme="minorHAnsi" w:hAnsiTheme="minorHAnsi" w:cstheme="minorHAnsi"/>
        </w:rPr>
        <w:t>u</w:t>
      </w:r>
      <w:r w:rsidR="00EE026F" w:rsidRPr="005F4AA9">
        <w:rPr>
          <w:rFonts w:asciiTheme="minorHAnsi" w:hAnsiTheme="minorHAnsi" w:cstheme="minorHAnsi"/>
        </w:rPr>
        <w:t xml:space="preserve">pon </w:t>
      </w:r>
      <w:r w:rsidR="007E66D9" w:rsidRPr="005F4AA9">
        <w:rPr>
          <w:rFonts w:asciiTheme="minorHAnsi" w:hAnsiTheme="minorHAnsi" w:cstheme="minorHAnsi"/>
        </w:rPr>
        <w:t xml:space="preserve">good standing with the EMC.  </w:t>
      </w:r>
      <w:r w:rsidR="00B81B67" w:rsidRPr="005F4AA9">
        <w:rPr>
          <w:rFonts w:asciiTheme="minorHAnsi" w:hAnsiTheme="minorHAnsi" w:cstheme="minorHAnsi"/>
        </w:rPr>
        <w:t>For example</w:t>
      </w:r>
      <w:r w:rsidR="007E66D9" w:rsidRPr="005F4AA9">
        <w:rPr>
          <w:rFonts w:asciiTheme="minorHAnsi" w:hAnsiTheme="minorHAnsi" w:cstheme="minorHAnsi"/>
        </w:rPr>
        <w:t xml:space="preserve">, if the </w:t>
      </w:r>
      <w:r w:rsidR="006A0282" w:rsidRPr="005F4AA9">
        <w:rPr>
          <w:rFonts w:asciiTheme="minorHAnsi" w:hAnsiTheme="minorHAnsi" w:cstheme="minorHAnsi"/>
        </w:rPr>
        <w:t>customer has not paid their electric bill</w:t>
      </w:r>
      <w:r w:rsidR="0057644C" w:rsidRPr="005F4AA9">
        <w:rPr>
          <w:rFonts w:asciiTheme="minorHAnsi" w:hAnsiTheme="minorHAnsi" w:cstheme="minorHAnsi"/>
        </w:rPr>
        <w:t xml:space="preserve"> or the bill is in dispute</w:t>
      </w:r>
      <w:r w:rsidR="006A0282" w:rsidRPr="005F4AA9">
        <w:rPr>
          <w:rFonts w:asciiTheme="minorHAnsi" w:hAnsiTheme="minorHAnsi" w:cstheme="minorHAnsi"/>
        </w:rPr>
        <w:t>, the broadband affiliate may not threaten to shut off broadband services</w:t>
      </w:r>
      <w:r w:rsidR="00F62D5B" w:rsidRPr="005F4AA9">
        <w:rPr>
          <w:rFonts w:asciiTheme="minorHAnsi" w:hAnsiTheme="minorHAnsi" w:cstheme="minorHAnsi"/>
        </w:rPr>
        <w:t xml:space="preserve"> </w:t>
      </w:r>
      <w:r w:rsidR="00E47F15" w:rsidRPr="005F4AA9">
        <w:rPr>
          <w:rFonts w:asciiTheme="minorHAnsi" w:hAnsiTheme="minorHAnsi" w:cstheme="minorHAnsi"/>
        </w:rPr>
        <w:t xml:space="preserve">for the EMC to gain </w:t>
      </w:r>
      <w:r w:rsidR="00F62D5B" w:rsidRPr="005F4AA9">
        <w:rPr>
          <w:rFonts w:asciiTheme="minorHAnsi" w:hAnsiTheme="minorHAnsi" w:cstheme="minorHAnsi"/>
        </w:rPr>
        <w:t>an advantage in the dispute.  This does not mean</w:t>
      </w:r>
      <w:r w:rsidR="00516D6C" w:rsidRPr="005F4AA9">
        <w:rPr>
          <w:rFonts w:asciiTheme="minorHAnsi" w:hAnsiTheme="minorHAnsi" w:cstheme="minorHAnsi"/>
        </w:rPr>
        <w:t xml:space="preserve"> that the broadband provider may not shut off services if consistent with </w:t>
      </w:r>
      <w:r w:rsidR="00AC3A7B" w:rsidRPr="005F4AA9">
        <w:rPr>
          <w:rFonts w:asciiTheme="minorHAnsi" w:hAnsiTheme="minorHAnsi" w:cstheme="minorHAnsi"/>
        </w:rPr>
        <w:t xml:space="preserve">legitimate, </w:t>
      </w:r>
      <w:r w:rsidR="00204300" w:rsidRPr="005F4AA9">
        <w:rPr>
          <w:rFonts w:asciiTheme="minorHAnsi" w:hAnsiTheme="minorHAnsi" w:cstheme="minorHAnsi"/>
        </w:rPr>
        <w:t>reasons</w:t>
      </w:r>
      <w:r w:rsidR="00382FEB" w:rsidRPr="005F4AA9">
        <w:rPr>
          <w:rFonts w:asciiTheme="minorHAnsi" w:hAnsiTheme="minorHAnsi" w:cstheme="minorHAnsi"/>
        </w:rPr>
        <w:t xml:space="preserve"> not rel</w:t>
      </w:r>
      <w:r w:rsidR="00E25BAA" w:rsidRPr="005F4AA9">
        <w:rPr>
          <w:rFonts w:asciiTheme="minorHAnsi" w:hAnsiTheme="minorHAnsi" w:cstheme="minorHAnsi"/>
        </w:rPr>
        <w:t>ated to the subject of the dispute</w:t>
      </w:r>
      <w:r w:rsidR="00204300" w:rsidRPr="005F4AA9">
        <w:rPr>
          <w:rFonts w:asciiTheme="minorHAnsi" w:hAnsiTheme="minorHAnsi" w:cstheme="minorHAnsi"/>
        </w:rPr>
        <w:t>.</w:t>
      </w:r>
    </w:p>
    <w:p w14:paraId="5789BDAB" w14:textId="77777777" w:rsidR="006C6E7E" w:rsidRPr="005F4AA9" w:rsidRDefault="006C6E7E" w:rsidP="006C6E7E">
      <w:pPr>
        <w:spacing w:line="240" w:lineRule="auto"/>
        <w:rPr>
          <w:rFonts w:cstheme="minorHAnsi"/>
          <w:b/>
          <w:sz w:val="24"/>
          <w:szCs w:val="24"/>
        </w:rPr>
      </w:pPr>
      <w:r w:rsidRPr="005F4AA9">
        <w:rPr>
          <w:rFonts w:cstheme="minorHAnsi"/>
          <w:b/>
          <w:sz w:val="24"/>
          <w:szCs w:val="24"/>
        </w:rPr>
        <w:t>Question No. 2:</w:t>
      </w:r>
    </w:p>
    <w:p w14:paraId="7C046F9A" w14:textId="7A242419" w:rsidR="00222614" w:rsidRPr="005F4AA9" w:rsidRDefault="00222614" w:rsidP="006C6E7E">
      <w:pPr>
        <w:spacing w:line="240" w:lineRule="auto"/>
        <w:rPr>
          <w:rFonts w:cstheme="minorHAnsi"/>
          <w:b/>
          <w:sz w:val="24"/>
          <w:szCs w:val="24"/>
        </w:rPr>
      </w:pPr>
      <w:r w:rsidRPr="005F4AA9">
        <w:rPr>
          <w:rFonts w:cstheme="minorHAnsi"/>
          <w:b/>
          <w:sz w:val="24"/>
          <w:szCs w:val="24"/>
        </w:rPr>
        <w:t>What should the cost allocation manual include to demonstrate compliance with O.C.G.A. § 46-3-200.2(b)(5)(B)?  (type of information, level of detail, etc.)</w:t>
      </w:r>
    </w:p>
    <w:p w14:paraId="513A7336" w14:textId="5A3E1E9D" w:rsidR="00DD41D0" w:rsidRPr="005F4AA9" w:rsidRDefault="00DD41D0" w:rsidP="00DD41D0">
      <w:pPr>
        <w:spacing w:line="240" w:lineRule="auto"/>
        <w:rPr>
          <w:rFonts w:cstheme="minorHAnsi"/>
          <w:sz w:val="24"/>
          <w:szCs w:val="24"/>
        </w:rPr>
      </w:pPr>
    </w:p>
    <w:p w14:paraId="1C29508B" w14:textId="3A82051C" w:rsidR="006C6E7E" w:rsidRPr="005F4AA9" w:rsidRDefault="00C55FC4" w:rsidP="00DD41D0">
      <w:pPr>
        <w:spacing w:line="240" w:lineRule="auto"/>
        <w:rPr>
          <w:rFonts w:cstheme="minorHAnsi"/>
          <w:b/>
          <w:sz w:val="24"/>
          <w:szCs w:val="24"/>
        </w:rPr>
      </w:pPr>
      <w:r w:rsidRPr="005F4AA9">
        <w:rPr>
          <w:rFonts w:cstheme="minorHAnsi"/>
          <w:b/>
          <w:sz w:val="24"/>
          <w:szCs w:val="24"/>
        </w:rPr>
        <w:t>Response</w:t>
      </w:r>
      <w:r w:rsidR="006C6E7E" w:rsidRPr="005F4AA9">
        <w:rPr>
          <w:rFonts w:cstheme="minorHAnsi"/>
          <w:b/>
          <w:sz w:val="24"/>
          <w:szCs w:val="24"/>
        </w:rPr>
        <w:t xml:space="preserve"> No. 2:</w:t>
      </w:r>
    </w:p>
    <w:p w14:paraId="5491E445" w14:textId="7BEF0CEB" w:rsidR="006C6E7E" w:rsidRPr="005F4AA9" w:rsidRDefault="006C6E7E" w:rsidP="00DD41D0">
      <w:pPr>
        <w:spacing w:line="240" w:lineRule="auto"/>
        <w:rPr>
          <w:rFonts w:cstheme="minorHAnsi"/>
          <w:sz w:val="24"/>
          <w:szCs w:val="24"/>
        </w:rPr>
      </w:pPr>
    </w:p>
    <w:p w14:paraId="1CCF9C1E" w14:textId="0E97302D" w:rsidR="006C6E7E" w:rsidRPr="005F4AA9" w:rsidRDefault="006C6E7E" w:rsidP="006C6E7E">
      <w:pPr>
        <w:spacing w:line="240" w:lineRule="auto"/>
        <w:ind w:firstLine="720"/>
        <w:rPr>
          <w:rFonts w:cstheme="minorHAnsi"/>
          <w:sz w:val="24"/>
          <w:szCs w:val="24"/>
        </w:rPr>
      </w:pPr>
      <w:r w:rsidRPr="005F4AA9">
        <w:rPr>
          <w:rFonts w:cstheme="minorHAnsi"/>
          <w:sz w:val="24"/>
          <w:szCs w:val="24"/>
        </w:rPr>
        <w:t xml:space="preserve">O.C.G.A. § 46-3-200.2(b)(5)(B) provides: </w:t>
      </w:r>
    </w:p>
    <w:p w14:paraId="5298544A" w14:textId="108AB398" w:rsidR="006C6E7E" w:rsidRPr="005F4AA9" w:rsidRDefault="00BC688C" w:rsidP="007D479A">
      <w:pPr>
        <w:pStyle w:val="NormalWeb"/>
        <w:ind w:left="720"/>
        <w:jc w:val="both"/>
        <w:rPr>
          <w:rFonts w:asciiTheme="minorHAnsi" w:hAnsiTheme="minorHAnsi" w:cstheme="minorHAnsi"/>
          <w:lang w:val="en"/>
        </w:rPr>
      </w:pPr>
      <w:r w:rsidRPr="005F4AA9">
        <w:rPr>
          <w:rFonts w:asciiTheme="minorHAnsi" w:hAnsiTheme="minorHAnsi" w:cstheme="minorHAnsi"/>
          <w:b/>
          <w:bCs/>
          <w:lang w:val="en"/>
        </w:rPr>
        <w:t>(5</w:t>
      </w:r>
      <w:r w:rsidRPr="005F4AA9">
        <w:rPr>
          <w:rFonts w:asciiTheme="minorHAnsi" w:hAnsiTheme="minorHAnsi" w:cstheme="minorHAnsi"/>
          <w:b/>
          <w:bCs/>
          <w:i/>
          <w:lang w:val="en"/>
        </w:rPr>
        <w:t>)</w:t>
      </w:r>
      <w:r w:rsidRPr="005F4AA9">
        <w:rPr>
          <w:rFonts w:asciiTheme="minorHAnsi" w:hAnsiTheme="minorHAnsi" w:cstheme="minorHAnsi"/>
          <w:i/>
          <w:lang w:val="en"/>
        </w:rPr>
        <w:t xml:space="preserve"> Develop and maintain a cost allocation manual, to be approved by the commission, describing the electric membership corporation's methods of cost allocation and such other information and policies reasonably required to ensure compliance with this article. Such manual shall:</w:t>
      </w:r>
      <w:r w:rsidR="006C6E7E" w:rsidRPr="005F4AA9">
        <w:rPr>
          <w:rFonts w:asciiTheme="minorHAnsi" w:hAnsiTheme="minorHAnsi" w:cstheme="minorHAnsi"/>
          <w:i/>
          <w:lang w:val="en"/>
        </w:rPr>
        <w:t xml:space="preserve">… </w:t>
      </w:r>
      <w:r w:rsidR="006C6E7E" w:rsidRPr="005F4AA9">
        <w:rPr>
          <w:rFonts w:asciiTheme="minorHAnsi" w:hAnsiTheme="minorHAnsi" w:cstheme="minorHAnsi"/>
          <w:b/>
          <w:bCs/>
          <w:lang w:val="en"/>
        </w:rPr>
        <w:t>(B)</w:t>
      </w:r>
      <w:r w:rsidR="006C6E7E" w:rsidRPr="005F4AA9">
        <w:rPr>
          <w:rFonts w:asciiTheme="minorHAnsi" w:hAnsiTheme="minorHAnsi" w:cstheme="minorHAnsi"/>
          <w:lang w:val="en"/>
        </w:rPr>
        <w:t xml:space="preserve"> </w:t>
      </w:r>
      <w:r w:rsidR="006C6E7E" w:rsidRPr="005F4AA9">
        <w:rPr>
          <w:rFonts w:asciiTheme="minorHAnsi" w:hAnsiTheme="minorHAnsi" w:cstheme="minorHAnsi"/>
          <w:i/>
          <w:lang w:val="en"/>
        </w:rPr>
        <w:t>Require the electric membership corporation and its gas affiliates and broadband affiliates, as applicable, to maintain separate books of accounts and records which shall be subject to inspection to confirm compliance with this article and the cost allocation manual…</w:t>
      </w:r>
    </w:p>
    <w:p w14:paraId="6B7E80DB" w14:textId="2D55D5C5" w:rsidR="00F14078" w:rsidRPr="005F4AA9" w:rsidRDefault="00393E4F" w:rsidP="007F4BEA">
      <w:pPr>
        <w:spacing w:line="240" w:lineRule="auto"/>
        <w:ind w:firstLine="720"/>
        <w:jc w:val="both"/>
        <w:rPr>
          <w:rFonts w:cstheme="minorHAnsi"/>
          <w:sz w:val="24"/>
          <w:szCs w:val="24"/>
          <w:lang w:val="en"/>
        </w:rPr>
      </w:pPr>
      <w:r w:rsidRPr="005F4AA9">
        <w:rPr>
          <w:rFonts w:cstheme="minorHAnsi"/>
          <w:sz w:val="24"/>
          <w:szCs w:val="24"/>
          <w:lang w:val="en"/>
        </w:rPr>
        <w:t xml:space="preserve">Using </w:t>
      </w:r>
      <w:r w:rsidR="00B81BA7" w:rsidRPr="005F4AA9">
        <w:rPr>
          <w:rFonts w:cstheme="minorHAnsi"/>
          <w:sz w:val="24"/>
          <w:szCs w:val="24"/>
          <w:lang w:val="en"/>
        </w:rPr>
        <w:t>accounting records maintained in accordance with the NARUC Uniform System of Accounts</w:t>
      </w:r>
      <w:r w:rsidR="0065053E" w:rsidRPr="005F4AA9">
        <w:rPr>
          <w:rFonts w:cstheme="minorHAnsi"/>
          <w:sz w:val="24"/>
          <w:szCs w:val="24"/>
          <w:lang w:val="en"/>
        </w:rPr>
        <w:t>, c</w:t>
      </w:r>
      <w:r w:rsidR="00145F14" w:rsidRPr="005F4AA9">
        <w:rPr>
          <w:rFonts w:cstheme="minorHAnsi"/>
          <w:sz w:val="24"/>
          <w:szCs w:val="24"/>
          <w:lang w:val="en"/>
        </w:rPr>
        <w:t xml:space="preserve">ost allocation should </w:t>
      </w:r>
      <w:r w:rsidR="008E4750" w:rsidRPr="005F4AA9">
        <w:rPr>
          <w:rFonts w:cstheme="minorHAnsi"/>
          <w:sz w:val="24"/>
          <w:szCs w:val="24"/>
          <w:lang w:val="en"/>
        </w:rPr>
        <w:t>distinguish</w:t>
      </w:r>
      <w:r w:rsidR="00145F14" w:rsidRPr="005F4AA9">
        <w:rPr>
          <w:rFonts w:cstheme="minorHAnsi"/>
          <w:sz w:val="24"/>
          <w:szCs w:val="24"/>
          <w:lang w:val="en"/>
        </w:rPr>
        <w:t xml:space="preserve"> between costs </w:t>
      </w:r>
      <w:r w:rsidR="005E5E73" w:rsidRPr="005F4AA9">
        <w:rPr>
          <w:rFonts w:cstheme="minorHAnsi"/>
          <w:sz w:val="24"/>
          <w:szCs w:val="24"/>
          <w:lang w:val="en"/>
        </w:rPr>
        <w:t xml:space="preserve">and revenues associated with </w:t>
      </w:r>
      <w:r w:rsidR="002F39D1" w:rsidRPr="005F4AA9">
        <w:rPr>
          <w:rFonts w:cstheme="minorHAnsi"/>
          <w:sz w:val="24"/>
          <w:szCs w:val="24"/>
          <w:lang w:val="en"/>
        </w:rPr>
        <w:t>the EMC’s electrical or gas services</w:t>
      </w:r>
      <w:r w:rsidR="00145F14" w:rsidRPr="005F4AA9">
        <w:rPr>
          <w:rFonts w:cstheme="minorHAnsi"/>
          <w:sz w:val="24"/>
          <w:szCs w:val="24"/>
          <w:lang w:val="en"/>
        </w:rPr>
        <w:t xml:space="preserve"> and cost</w:t>
      </w:r>
      <w:r w:rsidR="00A205C6" w:rsidRPr="005F4AA9">
        <w:rPr>
          <w:rFonts w:cstheme="minorHAnsi"/>
          <w:sz w:val="24"/>
          <w:szCs w:val="24"/>
          <w:lang w:val="en"/>
        </w:rPr>
        <w:t>s and revenues</w:t>
      </w:r>
      <w:r w:rsidR="00145F14" w:rsidRPr="005F4AA9">
        <w:rPr>
          <w:rFonts w:cstheme="minorHAnsi"/>
          <w:sz w:val="24"/>
          <w:szCs w:val="24"/>
          <w:lang w:val="en"/>
        </w:rPr>
        <w:t xml:space="preserve"> allocated to </w:t>
      </w:r>
      <w:r w:rsidR="002612B5" w:rsidRPr="005F4AA9">
        <w:rPr>
          <w:rFonts w:cstheme="minorHAnsi"/>
          <w:sz w:val="24"/>
          <w:szCs w:val="24"/>
          <w:lang w:val="en"/>
        </w:rPr>
        <w:t xml:space="preserve">the affiliate providing </w:t>
      </w:r>
      <w:r w:rsidR="00AB0F5D" w:rsidRPr="005F4AA9">
        <w:rPr>
          <w:rFonts w:cstheme="minorHAnsi"/>
          <w:sz w:val="24"/>
          <w:szCs w:val="24"/>
          <w:lang w:val="en"/>
        </w:rPr>
        <w:t xml:space="preserve">retail </w:t>
      </w:r>
      <w:r w:rsidR="00145F14" w:rsidRPr="005F4AA9">
        <w:rPr>
          <w:rFonts w:cstheme="minorHAnsi"/>
          <w:sz w:val="24"/>
          <w:szCs w:val="24"/>
          <w:lang w:val="en"/>
        </w:rPr>
        <w:t>broadband</w:t>
      </w:r>
      <w:r w:rsidR="002612B5" w:rsidRPr="005F4AA9">
        <w:rPr>
          <w:rFonts w:cstheme="minorHAnsi"/>
          <w:sz w:val="24"/>
          <w:szCs w:val="24"/>
          <w:lang w:val="en"/>
        </w:rPr>
        <w:t xml:space="preserve"> services.</w:t>
      </w:r>
      <w:r w:rsidR="00145F14" w:rsidRPr="005F4AA9">
        <w:rPr>
          <w:rFonts w:cstheme="minorHAnsi"/>
          <w:sz w:val="24"/>
          <w:szCs w:val="24"/>
          <w:lang w:val="en"/>
        </w:rPr>
        <w:t xml:space="preserve">  </w:t>
      </w:r>
      <w:r w:rsidR="00EC1574" w:rsidRPr="005F4AA9">
        <w:rPr>
          <w:rFonts w:cstheme="minorHAnsi"/>
          <w:sz w:val="24"/>
          <w:szCs w:val="24"/>
          <w:lang w:val="en"/>
        </w:rPr>
        <w:t>These records sho</w:t>
      </w:r>
      <w:r w:rsidR="004D54A7" w:rsidRPr="005F4AA9">
        <w:rPr>
          <w:rFonts w:cstheme="minorHAnsi"/>
          <w:sz w:val="24"/>
          <w:szCs w:val="24"/>
          <w:lang w:val="en"/>
        </w:rPr>
        <w:t xml:space="preserve">uld enable the audit and examination of all centralized costs that are allocated </w:t>
      </w:r>
      <w:r w:rsidR="00F14078" w:rsidRPr="005F4AA9">
        <w:rPr>
          <w:rFonts w:cstheme="minorHAnsi"/>
          <w:sz w:val="24"/>
          <w:szCs w:val="24"/>
          <w:lang w:val="en"/>
        </w:rPr>
        <w:t xml:space="preserve">to or directly charged to/from the broadband affiliate.  </w:t>
      </w:r>
      <w:r w:rsidR="000C50A2" w:rsidRPr="005F4AA9">
        <w:rPr>
          <w:rFonts w:cstheme="minorHAnsi"/>
          <w:sz w:val="24"/>
          <w:szCs w:val="24"/>
          <w:lang w:val="en"/>
        </w:rPr>
        <w:t>If conducted by an independent auditor</w:t>
      </w:r>
      <w:r w:rsidR="00D07C82" w:rsidRPr="005F4AA9">
        <w:rPr>
          <w:rFonts w:cstheme="minorHAnsi"/>
          <w:sz w:val="24"/>
          <w:szCs w:val="24"/>
          <w:lang w:val="en"/>
        </w:rPr>
        <w:t xml:space="preserve">, the EMC and the broadband affiliate should </w:t>
      </w:r>
      <w:r w:rsidR="00633226" w:rsidRPr="005F4AA9">
        <w:rPr>
          <w:rFonts w:cstheme="minorHAnsi"/>
          <w:sz w:val="24"/>
          <w:szCs w:val="24"/>
          <w:lang w:val="en"/>
        </w:rPr>
        <w:t xml:space="preserve">commit to the Commission that it will have access to all the workpapers and reports of the </w:t>
      </w:r>
      <w:r w:rsidR="00AE76F1" w:rsidRPr="005F4AA9">
        <w:rPr>
          <w:rFonts w:cstheme="minorHAnsi"/>
          <w:sz w:val="24"/>
          <w:szCs w:val="24"/>
          <w:lang w:val="en"/>
        </w:rPr>
        <w:t xml:space="preserve">auditor and all entities who may allocate, assign, or direct costs to either </w:t>
      </w:r>
      <w:r w:rsidR="00106ED0" w:rsidRPr="005F4AA9">
        <w:rPr>
          <w:rFonts w:cstheme="minorHAnsi"/>
          <w:sz w:val="24"/>
          <w:szCs w:val="24"/>
          <w:lang w:val="en"/>
        </w:rPr>
        <w:t xml:space="preserve">the EMC or the broadband affiliate.  </w:t>
      </w:r>
    </w:p>
    <w:p w14:paraId="0DAE10CE" w14:textId="77777777" w:rsidR="00F14078" w:rsidRPr="005F4AA9" w:rsidRDefault="00F14078" w:rsidP="007F4BEA">
      <w:pPr>
        <w:spacing w:line="240" w:lineRule="auto"/>
        <w:ind w:firstLine="720"/>
        <w:jc w:val="both"/>
        <w:rPr>
          <w:rFonts w:cstheme="minorHAnsi"/>
          <w:sz w:val="24"/>
          <w:szCs w:val="24"/>
          <w:lang w:val="en"/>
        </w:rPr>
      </w:pPr>
    </w:p>
    <w:p w14:paraId="507D0894" w14:textId="409A3EA2" w:rsidR="00F97F3C" w:rsidRPr="005F4AA9" w:rsidRDefault="00145F14" w:rsidP="007F4BEA">
      <w:pPr>
        <w:spacing w:line="240" w:lineRule="auto"/>
        <w:ind w:firstLine="720"/>
        <w:jc w:val="both"/>
        <w:rPr>
          <w:rFonts w:cstheme="minorHAnsi"/>
          <w:sz w:val="24"/>
          <w:szCs w:val="24"/>
          <w:lang w:val="en"/>
        </w:rPr>
      </w:pPr>
      <w:r w:rsidRPr="005F4AA9">
        <w:rPr>
          <w:rFonts w:cstheme="minorHAnsi"/>
          <w:sz w:val="24"/>
          <w:szCs w:val="24"/>
          <w:lang w:val="en"/>
        </w:rPr>
        <w:t>Cost allocation</w:t>
      </w:r>
      <w:r w:rsidRPr="005F4AA9">
        <w:rPr>
          <w:rFonts w:cstheme="minorHAnsi"/>
          <w:b/>
          <w:bCs/>
          <w:sz w:val="24"/>
          <w:szCs w:val="24"/>
          <w:lang w:val="en"/>
        </w:rPr>
        <w:t xml:space="preserve"> </w:t>
      </w:r>
      <w:r w:rsidR="00276CC6" w:rsidRPr="00CF4D6C">
        <w:rPr>
          <w:rFonts w:cstheme="minorHAnsi"/>
          <w:bCs/>
          <w:sz w:val="24"/>
          <w:szCs w:val="24"/>
          <w:lang w:val="en"/>
        </w:rPr>
        <w:t>should show</w:t>
      </w:r>
      <w:r w:rsidR="0007413D" w:rsidRPr="005F4AA9">
        <w:rPr>
          <w:rFonts w:cstheme="minorHAnsi"/>
          <w:sz w:val="24"/>
          <w:szCs w:val="24"/>
          <w:lang w:val="en"/>
        </w:rPr>
        <w:t xml:space="preserve"> that</w:t>
      </w:r>
      <w:r w:rsidRPr="005F4AA9">
        <w:rPr>
          <w:rFonts w:cstheme="minorHAnsi"/>
          <w:sz w:val="24"/>
          <w:szCs w:val="24"/>
          <w:lang w:val="en"/>
        </w:rPr>
        <w:t xml:space="preserve"> no costs that </w:t>
      </w:r>
      <w:r w:rsidR="00622191" w:rsidRPr="005F4AA9">
        <w:rPr>
          <w:rFonts w:cstheme="minorHAnsi"/>
          <w:sz w:val="24"/>
          <w:szCs w:val="24"/>
          <w:lang w:val="en"/>
        </w:rPr>
        <w:t>should be allocated to the</w:t>
      </w:r>
      <w:r w:rsidRPr="005F4AA9">
        <w:rPr>
          <w:rFonts w:cstheme="minorHAnsi"/>
          <w:sz w:val="24"/>
          <w:szCs w:val="24"/>
          <w:lang w:val="en"/>
        </w:rPr>
        <w:t xml:space="preserve"> broadband</w:t>
      </w:r>
      <w:r w:rsidR="00622191" w:rsidRPr="005F4AA9">
        <w:rPr>
          <w:rFonts w:cstheme="minorHAnsi"/>
          <w:sz w:val="24"/>
          <w:szCs w:val="24"/>
          <w:lang w:val="en"/>
        </w:rPr>
        <w:t xml:space="preserve"> aff</w:t>
      </w:r>
      <w:r w:rsidR="00FA44B0" w:rsidRPr="005F4AA9">
        <w:rPr>
          <w:rFonts w:cstheme="minorHAnsi"/>
          <w:sz w:val="24"/>
          <w:szCs w:val="24"/>
          <w:lang w:val="en"/>
        </w:rPr>
        <w:t>iliate</w:t>
      </w:r>
      <w:r w:rsidRPr="005F4AA9">
        <w:rPr>
          <w:rFonts w:cstheme="minorHAnsi"/>
          <w:sz w:val="24"/>
          <w:szCs w:val="24"/>
          <w:lang w:val="en"/>
        </w:rPr>
        <w:t xml:space="preserve"> are being charged to the </w:t>
      </w:r>
      <w:r w:rsidR="0049370E" w:rsidRPr="005F4AA9">
        <w:rPr>
          <w:rFonts w:cstheme="minorHAnsi"/>
          <w:sz w:val="24"/>
          <w:szCs w:val="24"/>
          <w:lang w:val="en"/>
        </w:rPr>
        <w:t>EMC</w:t>
      </w:r>
      <w:r w:rsidRPr="005F4AA9">
        <w:rPr>
          <w:rFonts w:cstheme="minorHAnsi"/>
          <w:sz w:val="24"/>
          <w:szCs w:val="24"/>
          <w:lang w:val="en"/>
        </w:rPr>
        <w:t xml:space="preserve"> resulting in excess debt to the electric membership.  </w:t>
      </w:r>
      <w:r w:rsidR="00544D40" w:rsidRPr="005F4AA9">
        <w:rPr>
          <w:rFonts w:cstheme="minorHAnsi"/>
          <w:sz w:val="24"/>
          <w:szCs w:val="24"/>
          <w:lang w:val="en"/>
        </w:rPr>
        <w:t xml:space="preserve">For example, </w:t>
      </w:r>
      <w:r w:rsidR="00276CC6">
        <w:rPr>
          <w:rFonts w:cstheme="minorHAnsi"/>
          <w:sz w:val="24"/>
          <w:szCs w:val="24"/>
          <w:lang w:val="en"/>
        </w:rPr>
        <w:t xml:space="preserve">all costs associated with </w:t>
      </w:r>
      <w:r w:rsidR="00544D40" w:rsidRPr="005F4AA9">
        <w:rPr>
          <w:rFonts w:cstheme="minorHAnsi"/>
          <w:sz w:val="24"/>
          <w:szCs w:val="24"/>
          <w:lang w:val="en"/>
        </w:rPr>
        <w:t xml:space="preserve">make ready on utility poles and </w:t>
      </w:r>
      <w:r w:rsidR="00622768" w:rsidRPr="005F4AA9">
        <w:rPr>
          <w:rFonts w:cstheme="minorHAnsi"/>
          <w:sz w:val="24"/>
          <w:szCs w:val="24"/>
          <w:lang w:val="en"/>
        </w:rPr>
        <w:t>“</w:t>
      </w:r>
      <w:r w:rsidR="00544D40" w:rsidRPr="005F4AA9">
        <w:rPr>
          <w:rFonts w:cstheme="minorHAnsi"/>
          <w:sz w:val="24"/>
          <w:szCs w:val="24"/>
          <w:lang w:val="en"/>
        </w:rPr>
        <w:t>change out</w:t>
      </w:r>
      <w:r w:rsidR="00622768" w:rsidRPr="005F4AA9">
        <w:rPr>
          <w:rFonts w:cstheme="minorHAnsi"/>
          <w:sz w:val="24"/>
          <w:szCs w:val="24"/>
          <w:lang w:val="en"/>
        </w:rPr>
        <w:t>”</w:t>
      </w:r>
      <w:r w:rsidR="00544D40" w:rsidRPr="005F4AA9">
        <w:rPr>
          <w:rFonts w:cstheme="minorHAnsi"/>
          <w:sz w:val="24"/>
          <w:szCs w:val="24"/>
          <w:lang w:val="en"/>
        </w:rPr>
        <w:t xml:space="preserve"> of utility poles should be charged to the broadband affiliate.  </w:t>
      </w:r>
      <w:r w:rsidR="008F5E9C" w:rsidRPr="005F4AA9">
        <w:rPr>
          <w:rFonts w:cstheme="minorHAnsi"/>
          <w:sz w:val="24"/>
          <w:szCs w:val="24"/>
          <w:lang w:val="en"/>
        </w:rPr>
        <w:t xml:space="preserve"> </w:t>
      </w:r>
    </w:p>
    <w:p w14:paraId="67BEE4F6" w14:textId="77777777" w:rsidR="00F97F3C" w:rsidRPr="005F4AA9" w:rsidRDefault="00F97F3C" w:rsidP="00F97F3C">
      <w:pPr>
        <w:spacing w:line="240" w:lineRule="auto"/>
        <w:ind w:left="2160"/>
        <w:rPr>
          <w:rFonts w:cstheme="minorHAnsi"/>
          <w:color w:val="4472C4" w:themeColor="accent1"/>
          <w:sz w:val="24"/>
          <w:szCs w:val="24"/>
          <w:lang w:val="en"/>
        </w:rPr>
      </w:pPr>
    </w:p>
    <w:p w14:paraId="49C7BD39" w14:textId="77777777" w:rsidR="00CF4D6C" w:rsidRDefault="00CF4D6C" w:rsidP="006C6E7E">
      <w:pPr>
        <w:spacing w:line="240" w:lineRule="auto"/>
        <w:rPr>
          <w:rFonts w:cstheme="minorHAnsi"/>
          <w:b/>
          <w:sz w:val="24"/>
          <w:szCs w:val="24"/>
        </w:rPr>
      </w:pPr>
    </w:p>
    <w:p w14:paraId="36672C0A" w14:textId="44E2BF0A" w:rsidR="006C6E7E" w:rsidRPr="005F4AA9" w:rsidRDefault="006C6E7E" w:rsidP="006C6E7E">
      <w:pPr>
        <w:spacing w:line="240" w:lineRule="auto"/>
        <w:rPr>
          <w:rFonts w:cstheme="minorHAnsi"/>
          <w:b/>
          <w:sz w:val="24"/>
          <w:szCs w:val="24"/>
        </w:rPr>
      </w:pPr>
      <w:r w:rsidRPr="005F4AA9">
        <w:rPr>
          <w:rFonts w:cstheme="minorHAnsi"/>
          <w:b/>
          <w:sz w:val="24"/>
          <w:szCs w:val="24"/>
        </w:rPr>
        <w:lastRenderedPageBreak/>
        <w:t>Question No. 3:</w:t>
      </w:r>
    </w:p>
    <w:p w14:paraId="2A2DA852" w14:textId="0E679260" w:rsidR="00222614" w:rsidRPr="005F4AA9" w:rsidRDefault="00222614" w:rsidP="006C6E7E">
      <w:pPr>
        <w:spacing w:line="240" w:lineRule="auto"/>
        <w:rPr>
          <w:rFonts w:cstheme="minorHAnsi"/>
          <w:b/>
          <w:sz w:val="24"/>
          <w:szCs w:val="24"/>
        </w:rPr>
      </w:pPr>
      <w:r w:rsidRPr="005F4AA9">
        <w:rPr>
          <w:rFonts w:cstheme="minorHAnsi"/>
          <w:b/>
          <w:sz w:val="24"/>
          <w:szCs w:val="24"/>
        </w:rPr>
        <w:t>What should the cost allocation manual include to demonstrate compliance with O.C.G.A. § 46-3-200.2(b)(5)(C)? (type of information, level of detail, etc.)</w:t>
      </w:r>
    </w:p>
    <w:p w14:paraId="349F28EF" w14:textId="77777777" w:rsidR="00BC688C" w:rsidRPr="005F4AA9" w:rsidRDefault="00BC688C" w:rsidP="00BC688C">
      <w:pPr>
        <w:spacing w:line="240" w:lineRule="auto"/>
        <w:rPr>
          <w:rFonts w:cstheme="minorHAnsi"/>
          <w:sz w:val="24"/>
          <w:szCs w:val="24"/>
        </w:rPr>
      </w:pPr>
    </w:p>
    <w:p w14:paraId="58F215D1" w14:textId="2DB7FAF7" w:rsidR="00BC688C" w:rsidRPr="005F4AA9" w:rsidRDefault="00C55FC4" w:rsidP="00BC688C">
      <w:pPr>
        <w:spacing w:line="240" w:lineRule="auto"/>
        <w:rPr>
          <w:rFonts w:cstheme="minorHAnsi"/>
          <w:b/>
          <w:sz w:val="24"/>
          <w:szCs w:val="24"/>
        </w:rPr>
      </w:pPr>
      <w:r w:rsidRPr="005F4AA9">
        <w:rPr>
          <w:rFonts w:cstheme="minorHAnsi"/>
          <w:b/>
          <w:sz w:val="24"/>
          <w:szCs w:val="24"/>
        </w:rPr>
        <w:t>Response</w:t>
      </w:r>
      <w:r w:rsidR="006C6E7E" w:rsidRPr="005F4AA9">
        <w:rPr>
          <w:rFonts w:cstheme="minorHAnsi"/>
          <w:b/>
          <w:sz w:val="24"/>
          <w:szCs w:val="24"/>
        </w:rPr>
        <w:t xml:space="preserve"> No. 3:</w:t>
      </w:r>
    </w:p>
    <w:p w14:paraId="2EDC2649" w14:textId="5C636288" w:rsidR="006C6E7E" w:rsidRPr="005F4AA9" w:rsidRDefault="006C6E7E" w:rsidP="00BC688C">
      <w:pPr>
        <w:spacing w:line="240" w:lineRule="auto"/>
        <w:rPr>
          <w:rFonts w:cstheme="minorHAnsi"/>
          <w:sz w:val="24"/>
          <w:szCs w:val="24"/>
        </w:rPr>
      </w:pPr>
    </w:p>
    <w:p w14:paraId="6BC7DB2A" w14:textId="19A6AB33" w:rsidR="005F392D" w:rsidRPr="005F4AA9" w:rsidRDefault="005F392D" w:rsidP="005F392D">
      <w:pPr>
        <w:spacing w:line="240" w:lineRule="auto"/>
        <w:ind w:firstLine="720"/>
        <w:rPr>
          <w:rFonts w:cstheme="minorHAnsi"/>
          <w:sz w:val="24"/>
          <w:szCs w:val="24"/>
        </w:rPr>
      </w:pPr>
      <w:r w:rsidRPr="005F4AA9">
        <w:rPr>
          <w:rFonts w:cstheme="minorHAnsi"/>
          <w:sz w:val="24"/>
          <w:szCs w:val="24"/>
        </w:rPr>
        <w:t xml:space="preserve">O.C.G.A. § 46-3-200.2(b)(5)(C) provides:  </w:t>
      </w:r>
    </w:p>
    <w:p w14:paraId="2A0282B2" w14:textId="77777777" w:rsidR="005F392D" w:rsidRPr="005F4AA9" w:rsidRDefault="005F392D" w:rsidP="00BC688C">
      <w:pPr>
        <w:spacing w:line="240" w:lineRule="auto"/>
        <w:rPr>
          <w:rFonts w:cstheme="minorHAnsi"/>
          <w:sz w:val="24"/>
          <w:szCs w:val="24"/>
        </w:rPr>
      </w:pPr>
    </w:p>
    <w:p w14:paraId="5A3BC738" w14:textId="4176B4BA" w:rsidR="00BC688C" w:rsidRPr="005F4AA9" w:rsidRDefault="00A668EA" w:rsidP="00E01994">
      <w:pPr>
        <w:spacing w:line="240" w:lineRule="auto"/>
        <w:ind w:left="720"/>
        <w:jc w:val="both"/>
        <w:rPr>
          <w:rFonts w:cstheme="minorHAnsi"/>
          <w:i/>
          <w:sz w:val="24"/>
          <w:szCs w:val="24"/>
          <w:lang w:val="en"/>
        </w:rPr>
      </w:pPr>
      <w:r w:rsidRPr="005F4AA9">
        <w:rPr>
          <w:rFonts w:cstheme="minorHAnsi"/>
          <w:bCs/>
          <w:sz w:val="24"/>
          <w:szCs w:val="24"/>
          <w:lang w:val="en"/>
        </w:rPr>
        <w:t>(5</w:t>
      </w:r>
      <w:r w:rsidRPr="005F4AA9">
        <w:rPr>
          <w:rFonts w:cstheme="minorHAnsi"/>
          <w:bCs/>
          <w:i/>
          <w:sz w:val="24"/>
          <w:szCs w:val="24"/>
          <w:lang w:val="en"/>
        </w:rPr>
        <w:t>)</w:t>
      </w:r>
      <w:r w:rsidRPr="005F4AA9">
        <w:rPr>
          <w:rFonts w:cstheme="minorHAnsi"/>
          <w:i/>
          <w:sz w:val="24"/>
          <w:szCs w:val="24"/>
          <w:lang w:val="en"/>
        </w:rPr>
        <w:t xml:space="preserve"> Develop and maintain a cost allocation manual, to be approved by the commission, describing the electric membership corporation's methods of cost allocation and such other information and policies reasonably required to ensure compliance with this article. Such manual shall:… </w:t>
      </w:r>
      <w:r w:rsidR="002B7BD3" w:rsidRPr="005F4AA9">
        <w:rPr>
          <w:rFonts w:cstheme="minorHAnsi"/>
          <w:i/>
          <w:sz w:val="24"/>
          <w:szCs w:val="24"/>
          <w:lang w:val="en"/>
        </w:rPr>
        <w:t xml:space="preserve">(C) </w:t>
      </w:r>
      <w:r w:rsidR="00BC688C" w:rsidRPr="005F4AA9">
        <w:rPr>
          <w:rFonts w:cstheme="minorHAnsi"/>
          <w:i/>
          <w:sz w:val="24"/>
          <w:szCs w:val="24"/>
          <w:lang w:val="en"/>
        </w:rPr>
        <w:t>Require that all services that an electric membership corporation provides to its gas affiliates and broadband affiliates, as applicable, be provided at the same rates and on the same terms and conditions as any other similarly situated retail customer or communications service provider. Any such services provided to any communications service provider shall be on a strictly confidential basis, such that the electric membership corporation does not share information regarding any communications service provider with any other communications service provider, including a broadband affiliate.</w:t>
      </w:r>
    </w:p>
    <w:p w14:paraId="28FC1315" w14:textId="77777777" w:rsidR="00E01994" w:rsidRPr="005F4AA9" w:rsidRDefault="00E01994" w:rsidP="00E01994">
      <w:pPr>
        <w:spacing w:line="240" w:lineRule="auto"/>
        <w:rPr>
          <w:rFonts w:cstheme="minorHAnsi"/>
          <w:sz w:val="24"/>
          <w:szCs w:val="24"/>
        </w:rPr>
      </w:pPr>
    </w:p>
    <w:p w14:paraId="482B394E" w14:textId="439A19C0" w:rsidR="00E01994" w:rsidRPr="005F4AA9" w:rsidRDefault="00E01994" w:rsidP="00E01994">
      <w:pPr>
        <w:spacing w:line="240" w:lineRule="auto"/>
        <w:ind w:firstLine="720"/>
        <w:jc w:val="both"/>
        <w:rPr>
          <w:rFonts w:cstheme="minorHAnsi"/>
          <w:sz w:val="24"/>
          <w:szCs w:val="24"/>
        </w:rPr>
      </w:pPr>
      <w:r w:rsidRPr="005F4AA9">
        <w:rPr>
          <w:rFonts w:cstheme="minorHAnsi"/>
          <w:sz w:val="24"/>
          <w:szCs w:val="24"/>
        </w:rPr>
        <w:t xml:space="preserve">The cost allocation manual must include terms to make sure that cooperatives are not able to exclude competitors either explicitly or by excessive rates. Attachment fees can amount to 20% of the total cost of broadband deployment. Rules must be clear to </w:t>
      </w:r>
      <w:r w:rsidR="00276CC6">
        <w:rPr>
          <w:rFonts w:cstheme="minorHAnsi"/>
          <w:sz w:val="24"/>
          <w:szCs w:val="24"/>
        </w:rPr>
        <w:t>prevent</w:t>
      </w:r>
      <w:r w:rsidRPr="005F4AA9">
        <w:rPr>
          <w:rFonts w:cstheme="minorHAnsi"/>
          <w:sz w:val="24"/>
          <w:szCs w:val="24"/>
        </w:rPr>
        <w:t xml:space="preserve"> the EMCs </w:t>
      </w:r>
      <w:r w:rsidR="00276CC6">
        <w:rPr>
          <w:rFonts w:cstheme="minorHAnsi"/>
          <w:sz w:val="24"/>
          <w:szCs w:val="24"/>
        </w:rPr>
        <w:t xml:space="preserve">from </w:t>
      </w:r>
      <w:r w:rsidRPr="005F4AA9">
        <w:rPr>
          <w:rFonts w:cstheme="minorHAnsi"/>
          <w:sz w:val="24"/>
          <w:szCs w:val="24"/>
        </w:rPr>
        <w:t>undercutting competition by providing lower attachment fees for their affiliates.</w:t>
      </w:r>
      <w:r w:rsidR="003D1E14" w:rsidRPr="005F4AA9">
        <w:rPr>
          <w:rStyle w:val="FootnoteReference"/>
          <w:rFonts w:cstheme="minorHAnsi"/>
          <w:sz w:val="24"/>
          <w:szCs w:val="24"/>
        </w:rPr>
        <w:footnoteReference w:id="2"/>
      </w:r>
      <w:r w:rsidRPr="005F4AA9">
        <w:rPr>
          <w:rFonts w:cstheme="minorHAnsi"/>
          <w:sz w:val="24"/>
          <w:szCs w:val="24"/>
        </w:rPr>
        <w:t xml:space="preserve"> Testimony before various </w:t>
      </w:r>
      <w:r w:rsidR="000B19A5" w:rsidRPr="005F4AA9">
        <w:rPr>
          <w:rFonts w:cstheme="minorHAnsi"/>
          <w:sz w:val="24"/>
          <w:szCs w:val="24"/>
        </w:rPr>
        <w:t xml:space="preserve">legislative </w:t>
      </w:r>
      <w:r w:rsidRPr="005F4AA9">
        <w:rPr>
          <w:rFonts w:cstheme="minorHAnsi"/>
          <w:sz w:val="24"/>
          <w:szCs w:val="24"/>
        </w:rPr>
        <w:t>committees while SB2 was pending explained that the average pole rates currently charged by the Georgia EMCs are over three times that which the FCC says is just and reasonable. Rates and fees charged by EMC</w:t>
      </w:r>
      <w:r w:rsidR="00622768" w:rsidRPr="005F4AA9">
        <w:rPr>
          <w:rFonts w:cstheme="minorHAnsi"/>
          <w:sz w:val="24"/>
          <w:szCs w:val="24"/>
        </w:rPr>
        <w:t>s</w:t>
      </w:r>
      <w:r w:rsidRPr="005F4AA9">
        <w:rPr>
          <w:rFonts w:cstheme="minorHAnsi"/>
          <w:sz w:val="24"/>
          <w:szCs w:val="24"/>
        </w:rPr>
        <w:t xml:space="preserve"> for attachments to its utility poles by all communication service providers, including its broadband affiliates, should be nondiscriminatory, competitively neutral, and commercially reasonable. </w:t>
      </w:r>
    </w:p>
    <w:p w14:paraId="7848EA68" w14:textId="7C433F89" w:rsidR="00F95295" w:rsidRPr="005F4AA9" w:rsidRDefault="00F95295" w:rsidP="00E01994">
      <w:pPr>
        <w:spacing w:line="240" w:lineRule="auto"/>
        <w:ind w:firstLine="720"/>
        <w:jc w:val="both"/>
        <w:rPr>
          <w:rFonts w:cstheme="minorHAnsi"/>
          <w:sz w:val="24"/>
          <w:szCs w:val="24"/>
        </w:rPr>
      </w:pPr>
    </w:p>
    <w:p w14:paraId="264F7480" w14:textId="3004D5DA" w:rsidR="00F95295" w:rsidRPr="005F4AA9" w:rsidRDefault="007E1E8A" w:rsidP="00F80C5F">
      <w:pPr>
        <w:ind w:firstLine="720"/>
        <w:jc w:val="both"/>
        <w:rPr>
          <w:rFonts w:cstheme="minorHAnsi"/>
          <w:sz w:val="24"/>
          <w:szCs w:val="24"/>
        </w:rPr>
      </w:pPr>
      <w:r w:rsidRPr="005F4AA9">
        <w:rPr>
          <w:rFonts w:cstheme="minorHAnsi"/>
          <w:sz w:val="24"/>
          <w:szCs w:val="24"/>
        </w:rPr>
        <w:t>While the</w:t>
      </w:r>
      <w:r w:rsidR="00BC39A5" w:rsidRPr="005F4AA9">
        <w:rPr>
          <w:rFonts w:cstheme="minorHAnsi"/>
          <w:sz w:val="24"/>
          <w:szCs w:val="24"/>
        </w:rPr>
        <w:t xml:space="preserve"> cost allocation manual should be structure</w:t>
      </w:r>
      <w:r w:rsidR="001764A1" w:rsidRPr="005F4AA9">
        <w:rPr>
          <w:rFonts w:cstheme="minorHAnsi"/>
          <w:sz w:val="24"/>
          <w:szCs w:val="24"/>
        </w:rPr>
        <w:t>d</w:t>
      </w:r>
      <w:r w:rsidR="00BC39A5" w:rsidRPr="005F4AA9">
        <w:rPr>
          <w:rFonts w:cstheme="minorHAnsi"/>
          <w:sz w:val="24"/>
          <w:szCs w:val="24"/>
        </w:rPr>
        <w:t xml:space="preserve"> to aid the EMCs and broadband affiliates </w:t>
      </w:r>
      <w:r w:rsidR="00C21AFC" w:rsidRPr="005F4AA9">
        <w:rPr>
          <w:rFonts w:cstheme="minorHAnsi"/>
          <w:sz w:val="24"/>
          <w:szCs w:val="24"/>
        </w:rPr>
        <w:t xml:space="preserve">in </w:t>
      </w:r>
      <w:r w:rsidR="00BC39A5" w:rsidRPr="005F4AA9">
        <w:rPr>
          <w:rFonts w:cstheme="minorHAnsi"/>
          <w:sz w:val="24"/>
          <w:szCs w:val="24"/>
        </w:rPr>
        <w:t>resist</w:t>
      </w:r>
      <w:r w:rsidR="00C21AFC" w:rsidRPr="005F4AA9">
        <w:rPr>
          <w:rFonts w:cstheme="minorHAnsi"/>
          <w:sz w:val="24"/>
          <w:szCs w:val="24"/>
        </w:rPr>
        <w:t>ing</w:t>
      </w:r>
      <w:r w:rsidR="00BC39A5" w:rsidRPr="005F4AA9">
        <w:rPr>
          <w:rFonts w:cstheme="minorHAnsi"/>
          <w:sz w:val="24"/>
          <w:szCs w:val="24"/>
        </w:rPr>
        <w:t xml:space="preserve"> the temptation</w:t>
      </w:r>
      <w:r w:rsidR="00C21AFC" w:rsidRPr="005F4AA9">
        <w:rPr>
          <w:rFonts w:cstheme="minorHAnsi"/>
          <w:sz w:val="24"/>
          <w:szCs w:val="24"/>
        </w:rPr>
        <w:t xml:space="preserve"> to undercut prices, it should also </w:t>
      </w:r>
      <w:r w:rsidR="00EF5DF1" w:rsidRPr="005F4AA9">
        <w:rPr>
          <w:rFonts w:cstheme="minorHAnsi"/>
          <w:sz w:val="24"/>
          <w:szCs w:val="24"/>
        </w:rPr>
        <w:t>give</w:t>
      </w:r>
      <w:r w:rsidR="00C049C8" w:rsidRPr="005F4AA9">
        <w:rPr>
          <w:rFonts w:cstheme="minorHAnsi"/>
          <w:sz w:val="24"/>
          <w:szCs w:val="24"/>
        </w:rPr>
        <w:t xml:space="preserve"> them </w:t>
      </w:r>
      <w:r w:rsidR="00EF5DF1" w:rsidRPr="005F4AA9">
        <w:rPr>
          <w:rFonts w:cstheme="minorHAnsi"/>
          <w:sz w:val="24"/>
          <w:szCs w:val="24"/>
        </w:rPr>
        <w:t xml:space="preserve">another reason for </w:t>
      </w:r>
      <w:r w:rsidR="001764A1" w:rsidRPr="005F4AA9">
        <w:rPr>
          <w:rFonts w:cstheme="minorHAnsi"/>
          <w:sz w:val="24"/>
          <w:szCs w:val="24"/>
        </w:rPr>
        <w:t xml:space="preserve">resisting </w:t>
      </w:r>
      <w:r w:rsidR="00C049C8" w:rsidRPr="005F4AA9">
        <w:rPr>
          <w:rFonts w:cstheme="minorHAnsi"/>
          <w:sz w:val="24"/>
          <w:szCs w:val="24"/>
        </w:rPr>
        <w:t xml:space="preserve">setting higher </w:t>
      </w:r>
      <w:r w:rsidR="001F2AC4" w:rsidRPr="005F4AA9">
        <w:rPr>
          <w:rFonts w:cstheme="minorHAnsi"/>
          <w:sz w:val="24"/>
          <w:szCs w:val="24"/>
        </w:rPr>
        <w:t xml:space="preserve">attachment </w:t>
      </w:r>
      <w:r w:rsidR="00C049C8" w:rsidRPr="005F4AA9">
        <w:rPr>
          <w:rFonts w:cstheme="minorHAnsi"/>
          <w:sz w:val="24"/>
          <w:szCs w:val="24"/>
        </w:rPr>
        <w:t xml:space="preserve">rates </w:t>
      </w:r>
      <w:r w:rsidR="001F2AC4" w:rsidRPr="005F4AA9">
        <w:rPr>
          <w:rFonts w:cstheme="minorHAnsi"/>
          <w:sz w:val="24"/>
          <w:szCs w:val="24"/>
        </w:rPr>
        <w:t>for its broadband affiliate.</w:t>
      </w:r>
      <w:r w:rsidR="00C049C8" w:rsidRPr="005F4AA9">
        <w:rPr>
          <w:rFonts w:cstheme="minorHAnsi"/>
          <w:sz w:val="24"/>
          <w:szCs w:val="24"/>
        </w:rPr>
        <w:t xml:space="preserve"> </w:t>
      </w:r>
      <w:r w:rsidR="00BC39A5" w:rsidRPr="005F4AA9">
        <w:rPr>
          <w:rFonts w:cstheme="minorHAnsi"/>
          <w:sz w:val="24"/>
          <w:szCs w:val="24"/>
        </w:rPr>
        <w:t xml:space="preserve"> </w:t>
      </w:r>
      <w:r w:rsidR="00F95295" w:rsidRPr="005F4AA9">
        <w:rPr>
          <w:rFonts w:cstheme="minorHAnsi"/>
          <w:sz w:val="24"/>
          <w:szCs w:val="24"/>
        </w:rPr>
        <w:t>O.C.G.A § 46-3-200.4(c) provides:</w:t>
      </w:r>
    </w:p>
    <w:p w14:paraId="51352106" w14:textId="77777777" w:rsidR="00F95295" w:rsidRPr="005F4AA9" w:rsidRDefault="00F95295" w:rsidP="00F95295">
      <w:pPr>
        <w:rPr>
          <w:rFonts w:cstheme="minorHAnsi"/>
          <w:sz w:val="24"/>
          <w:szCs w:val="24"/>
        </w:rPr>
      </w:pPr>
    </w:p>
    <w:p w14:paraId="7E40CACD" w14:textId="6396AA28" w:rsidR="00F95295" w:rsidRPr="005F4AA9" w:rsidRDefault="00F95295" w:rsidP="00F80C5F">
      <w:pPr>
        <w:ind w:left="720"/>
        <w:jc w:val="both"/>
        <w:rPr>
          <w:rFonts w:cstheme="minorHAnsi"/>
          <w:i/>
          <w:sz w:val="24"/>
          <w:szCs w:val="24"/>
        </w:rPr>
      </w:pPr>
      <w:r w:rsidRPr="005F4AA9">
        <w:rPr>
          <w:rFonts w:cstheme="minorHAnsi"/>
          <w:i/>
          <w:sz w:val="24"/>
          <w:szCs w:val="24"/>
        </w:rPr>
        <w:t>Except as required by the Tennessee Valley Authority f</w:t>
      </w:r>
      <w:r w:rsidR="003576F5" w:rsidRPr="005F4AA9">
        <w:rPr>
          <w:rFonts w:cstheme="minorHAnsi"/>
          <w:i/>
          <w:sz w:val="24"/>
          <w:szCs w:val="24"/>
        </w:rPr>
        <w:t>o</w:t>
      </w:r>
      <w:r w:rsidRPr="005F4AA9">
        <w:rPr>
          <w:rFonts w:cstheme="minorHAnsi"/>
          <w:i/>
          <w:sz w:val="24"/>
          <w:szCs w:val="24"/>
        </w:rPr>
        <w:t xml:space="preserve">r it distributors in this state, any new agreement between and electric membership corporation and a communications service provider shall provide for attachments to poles of the electric membership cooperation and its broadband affiliate: </w:t>
      </w:r>
    </w:p>
    <w:p w14:paraId="16B122B2" w14:textId="77777777" w:rsidR="00F95295" w:rsidRPr="005F4AA9" w:rsidRDefault="00F95295" w:rsidP="00F80C5F">
      <w:pPr>
        <w:pStyle w:val="ListParagraph"/>
        <w:numPr>
          <w:ilvl w:val="0"/>
          <w:numId w:val="10"/>
        </w:numPr>
        <w:ind w:left="1440"/>
        <w:jc w:val="both"/>
        <w:rPr>
          <w:rFonts w:cstheme="minorHAnsi"/>
          <w:i/>
          <w:sz w:val="24"/>
          <w:szCs w:val="24"/>
        </w:rPr>
      </w:pPr>
      <w:r w:rsidRPr="005F4AA9">
        <w:rPr>
          <w:rFonts w:cstheme="minorHAnsi"/>
          <w:i/>
          <w:sz w:val="24"/>
          <w:szCs w:val="24"/>
        </w:rPr>
        <w:lastRenderedPageBreak/>
        <w:t xml:space="preserve">Upon terms and conditions that are no less favorable than those in existing agreements; and </w:t>
      </w:r>
    </w:p>
    <w:p w14:paraId="248CC2D5" w14:textId="77777777" w:rsidR="00F95295" w:rsidRPr="005F4AA9" w:rsidRDefault="00F95295" w:rsidP="00F80C5F">
      <w:pPr>
        <w:pStyle w:val="ListParagraph"/>
        <w:numPr>
          <w:ilvl w:val="0"/>
          <w:numId w:val="10"/>
        </w:numPr>
        <w:ind w:left="1440"/>
        <w:jc w:val="both"/>
        <w:rPr>
          <w:rFonts w:cstheme="minorHAnsi"/>
          <w:sz w:val="24"/>
          <w:szCs w:val="24"/>
        </w:rPr>
      </w:pPr>
      <w:r w:rsidRPr="005F4AA9">
        <w:rPr>
          <w:rFonts w:cstheme="minorHAnsi"/>
          <w:i/>
          <w:sz w:val="24"/>
          <w:szCs w:val="24"/>
        </w:rPr>
        <w:t>At rates that shall not exceed the highest of those rates in any existing agreement subject to annual rate adjustments….</w:t>
      </w:r>
    </w:p>
    <w:p w14:paraId="471B39C0" w14:textId="77777777" w:rsidR="00F95295" w:rsidRPr="005F4AA9" w:rsidRDefault="00F95295" w:rsidP="00F80C5F">
      <w:pPr>
        <w:ind w:firstLine="720"/>
        <w:jc w:val="both"/>
        <w:rPr>
          <w:rFonts w:cstheme="minorHAnsi"/>
          <w:sz w:val="24"/>
          <w:szCs w:val="24"/>
        </w:rPr>
      </w:pPr>
    </w:p>
    <w:p w14:paraId="3AE96188" w14:textId="14BF9A47" w:rsidR="00F95295" w:rsidRPr="005F4AA9" w:rsidRDefault="00F95295" w:rsidP="00F95295">
      <w:pPr>
        <w:spacing w:line="240" w:lineRule="auto"/>
        <w:ind w:firstLine="720"/>
        <w:jc w:val="both"/>
        <w:rPr>
          <w:rFonts w:cstheme="minorHAnsi"/>
          <w:sz w:val="24"/>
          <w:szCs w:val="24"/>
        </w:rPr>
      </w:pPr>
      <w:r w:rsidRPr="005F4AA9">
        <w:rPr>
          <w:rFonts w:cstheme="minorHAnsi"/>
          <w:sz w:val="24"/>
          <w:szCs w:val="24"/>
        </w:rPr>
        <w:t>Because the statute provides that the upper limit for a new pole attachment rates is based on the highest existing contract, including that of the EMC’s broadband affiliate, an EMC and its broadband affiliate may be tempted to enter into a pole attachment contract which is artificially high in order to establish higher rates</w:t>
      </w:r>
      <w:r w:rsidR="003576F5" w:rsidRPr="005F4AA9">
        <w:rPr>
          <w:rFonts w:cstheme="minorHAnsi"/>
          <w:sz w:val="24"/>
          <w:szCs w:val="24"/>
        </w:rPr>
        <w:t xml:space="preserve"> for the remainder </w:t>
      </w:r>
      <w:r w:rsidR="00A55262" w:rsidRPr="005F4AA9">
        <w:rPr>
          <w:rFonts w:cstheme="minorHAnsi"/>
          <w:sz w:val="24"/>
          <w:szCs w:val="24"/>
        </w:rPr>
        <w:t>of the broadband competitors</w:t>
      </w:r>
      <w:r w:rsidRPr="005F4AA9">
        <w:rPr>
          <w:rFonts w:cstheme="minorHAnsi"/>
          <w:sz w:val="24"/>
          <w:szCs w:val="24"/>
        </w:rPr>
        <w:t>.  The Commission should include a prohibition against such artificial rate setting mechanisms.</w:t>
      </w:r>
    </w:p>
    <w:p w14:paraId="158E58C8" w14:textId="77777777" w:rsidR="00A55262" w:rsidRPr="005F4AA9" w:rsidRDefault="00A55262" w:rsidP="00F95295">
      <w:pPr>
        <w:spacing w:line="240" w:lineRule="auto"/>
        <w:ind w:firstLine="720"/>
        <w:jc w:val="both"/>
        <w:rPr>
          <w:rFonts w:cstheme="minorHAnsi"/>
          <w:sz w:val="24"/>
          <w:szCs w:val="24"/>
        </w:rPr>
      </w:pPr>
    </w:p>
    <w:p w14:paraId="67224942" w14:textId="273D6BCC" w:rsidR="00C4478A" w:rsidRPr="005F4AA9" w:rsidRDefault="00F21411" w:rsidP="00A55262">
      <w:pPr>
        <w:spacing w:line="240" w:lineRule="auto"/>
        <w:ind w:firstLine="720"/>
        <w:jc w:val="both"/>
        <w:rPr>
          <w:rFonts w:cstheme="minorHAnsi"/>
          <w:sz w:val="24"/>
          <w:szCs w:val="24"/>
        </w:rPr>
      </w:pPr>
      <w:r w:rsidRPr="005F4AA9">
        <w:rPr>
          <w:rFonts w:cstheme="minorHAnsi"/>
          <w:sz w:val="24"/>
          <w:szCs w:val="24"/>
        </w:rPr>
        <w:t xml:space="preserve">In addition to including </w:t>
      </w:r>
      <w:r w:rsidR="000C624B" w:rsidRPr="005F4AA9">
        <w:rPr>
          <w:rFonts w:cstheme="minorHAnsi"/>
          <w:sz w:val="24"/>
          <w:szCs w:val="24"/>
        </w:rPr>
        <w:t>a prohibition against disclosing information from other co</w:t>
      </w:r>
      <w:r w:rsidR="00144442" w:rsidRPr="005F4AA9">
        <w:rPr>
          <w:rFonts w:cstheme="minorHAnsi"/>
          <w:sz w:val="24"/>
          <w:szCs w:val="24"/>
        </w:rPr>
        <w:t xml:space="preserve">mmunications service providers in the pole attachment request and approval process as </w:t>
      </w:r>
      <w:r w:rsidR="00FB69BE" w:rsidRPr="005F4AA9">
        <w:rPr>
          <w:rFonts w:cstheme="minorHAnsi"/>
          <w:sz w:val="24"/>
          <w:szCs w:val="24"/>
        </w:rPr>
        <w:t>outlined in O.C.</w:t>
      </w:r>
      <w:r w:rsidR="00F95907" w:rsidRPr="005F4AA9">
        <w:rPr>
          <w:rFonts w:cstheme="minorHAnsi"/>
          <w:sz w:val="24"/>
          <w:szCs w:val="24"/>
        </w:rPr>
        <w:t>G.A. § 46-3-200.2</w:t>
      </w:r>
      <w:r w:rsidR="00FB69BE" w:rsidRPr="005F4AA9">
        <w:rPr>
          <w:rFonts w:cstheme="minorHAnsi"/>
          <w:sz w:val="24"/>
          <w:szCs w:val="24"/>
        </w:rPr>
        <w:t>(b)(3)</w:t>
      </w:r>
      <w:r w:rsidR="007D4B0E" w:rsidRPr="005F4AA9">
        <w:rPr>
          <w:rFonts w:cstheme="minorHAnsi"/>
          <w:sz w:val="24"/>
          <w:szCs w:val="24"/>
        </w:rPr>
        <w:t xml:space="preserve">, </w:t>
      </w:r>
      <w:r w:rsidR="00F30A98" w:rsidRPr="005F4AA9">
        <w:rPr>
          <w:rFonts w:cstheme="minorHAnsi"/>
          <w:sz w:val="24"/>
          <w:szCs w:val="24"/>
        </w:rPr>
        <w:t xml:space="preserve">discussed below, </w:t>
      </w:r>
      <w:r w:rsidR="007D4B0E" w:rsidRPr="005F4AA9">
        <w:rPr>
          <w:rFonts w:cstheme="minorHAnsi"/>
          <w:sz w:val="24"/>
          <w:szCs w:val="24"/>
        </w:rPr>
        <w:t>t</w:t>
      </w:r>
      <w:r w:rsidR="00E01994" w:rsidRPr="005F4AA9">
        <w:rPr>
          <w:rFonts w:cstheme="minorHAnsi"/>
          <w:sz w:val="24"/>
          <w:szCs w:val="24"/>
        </w:rPr>
        <w:t>he cost allocation manual should contain a</w:t>
      </w:r>
      <w:r w:rsidR="00C4478A" w:rsidRPr="005F4AA9">
        <w:rPr>
          <w:rFonts w:cstheme="minorHAnsi"/>
          <w:sz w:val="24"/>
          <w:szCs w:val="24"/>
        </w:rPr>
        <w:t xml:space="preserve"> description of </w:t>
      </w:r>
      <w:r w:rsidR="00276CC6">
        <w:rPr>
          <w:rFonts w:cstheme="minorHAnsi"/>
          <w:sz w:val="24"/>
          <w:szCs w:val="24"/>
        </w:rPr>
        <w:t xml:space="preserve">what safeguards EMCs will use </w:t>
      </w:r>
      <w:r w:rsidR="00C4478A" w:rsidRPr="005F4AA9">
        <w:rPr>
          <w:rFonts w:cstheme="minorHAnsi"/>
          <w:sz w:val="24"/>
          <w:szCs w:val="24"/>
        </w:rPr>
        <w:t>to prevent information related to rates, terms, and conditions of services by or to a retail customer or communications service provider from being shared with its broadband affiliate</w:t>
      </w:r>
      <w:r w:rsidR="00A225BA" w:rsidRPr="005F4AA9">
        <w:rPr>
          <w:rFonts w:cstheme="minorHAnsi"/>
          <w:sz w:val="24"/>
          <w:szCs w:val="24"/>
        </w:rPr>
        <w:t xml:space="preserve"> </w:t>
      </w:r>
      <w:r w:rsidR="00E16425" w:rsidRPr="005F4AA9">
        <w:rPr>
          <w:rFonts w:cstheme="minorHAnsi"/>
          <w:sz w:val="24"/>
          <w:szCs w:val="24"/>
        </w:rPr>
        <w:t xml:space="preserve">outright </w:t>
      </w:r>
      <w:r w:rsidR="00A225BA" w:rsidRPr="005F4AA9">
        <w:rPr>
          <w:rFonts w:cstheme="minorHAnsi"/>
          <w:sz w:val="24"/>
          <w:szCs w:val="24"/>
        </w:rPr>
        <w:t xml:space="preserve">or </w:t>
      </w:r>
      <w:r w:rsidR="00E16425" w:rsidRPr="005F4AA9">
        <w:rPr>
          <w:rFonts w:cstheme="minorHAnsi"/>
          <w:sz w:val="24"/>
          <w:szCs w:val="24"/>
        </w:rPr>
        <w:t xml:space="preserve">through </w:t>
      </w:r>
      <w:r w:rsidR="00A225BA" w:rsidRPr="005F4AA9">
        <w:rPr>
          <w:rFonts w:cstheme="minorHAnsi"/>
          <w:sz w:val="24"/>
          <w:szCs w:val="24"/>
        </w:rPr>
        <w:t>shared services</w:t>
      </w:r>
      <w:r w:rsidR="00C4478A" w:rsidRPr="005F4AA9">
        <w:rPr>
          <w:rFonts w:cstheme="minorHAnsi"/>
          <w:sz w:val="24"/>
          <w:szCs w:val="24"/>
        </w:rPr>
        <w:t xml:space="preserve">. </w:t>
      </w:r>
      <w:r w:rsidR="000B598C" w:rsidRPr="005F4AA9">
        <w:rPr>
          <w:rFonts w:cstheme="minorHAnsi"/>
          <w:sz w:val="24"/>
          <w:szCs w:val="24"/>
        </w:rPr>
        <w:t xml:space="preserve"> This description should include a description of penalties for violating the non-disclosure clause. </w:t>
      </w:r>
    </w:p>
    <w:p w14:paraId="45C5ABDD" w14:textId="2969BFE8" w:rsidR="00C4478A" w:rsidRPr="005F4AA9" w:rsidRDefault="00C4478A" w:rsidP="00BC688C">
      <w:pPr>
        <w:spacing w:line="240" w:lineRule="auto"/>
        <w:ind w:left="720"/>
        <w:rPr>
          <w:rFonts w:cstheme="minorHAnsi"/>
          <w:sz w:val="24"/>
          <w:szCs w:val="24"/>
        </w:rPr>
      </w:pPr>
    </w:p>
    <w:p w14:paraId="1A304781" w14:textId="77777777" w:rsidR="006C6E7E" w:rsidRPr="005F4AA9" w:rsidRDefault="006C6E7E" w:rsidP="006C6E7E">
      <w:pPr>
        <w:spacing w:line="240" w:lineRule="auto"/>
        <w:rPr>
          <w:rFonts w:cstheme="minorHAnsi"/>
          <w:b/>
          <w:sz w:val="24"/>
          <w:szCs w:val="24"/>
        </w:rPr>
      </w:pPr>
      <w:r w:rsidRPr="005F4AA9">
        <w:rPr>
          <w:rFonts w:cstheme="minorHAnsi"/>
          <w:b/>
          <w:sz w:val="24"/>
          <w:szCs w:val="24"/>
        </w:rPr>
        <w:t>Question No. 4:</w:t>
      </w:r>
    </w:p>
    <w:p w14:paraId="26B34E97" w14:textId="4933DD14" w:rsidR="00222614" w:rsidRPr="005F4AA9" w:rsidRDefault="00222614" w:rsidP="006C6E7E">
      <w:pPr>
        <w:spacing w:line="240" w:lineRule="auto"/>
        <w:rPr>
          <w:rFonts w:cstheme="minorHAnsi"/>
          <w:b/>
          <w:sz w:val="24"/>
          <w:szCs w:val="24"/>
        </w:rPr>
      </w:pPr>
      <w:r w:rsidRPr="005F4AA9">
        <w:rPr>
          <w:rFonts w:cstheme="minorHAnsi"/>
          <w:b/>
          <w:sz w:val="24"/>
          <w:szCs w:val="24"/>
        </w:rPr>
        <w:t xml:space="preserve">With regard to the expedited adjudication of complaints for failure to comply with O.C.G.A. § 46-3-200.2, are there any specific procedures that the Commission should follow?  </w:t>
      </w:r>
    </w:p>
    <w:p w14:paraId="47DAB2A6" w14:textId="73377CF7" w:rsidR="00222614" w:rsidRPr="005F4AA9" w:rsidRDefault="00222614" w:rsidP="00CF5ADA">
      <w:pPr>
        <w:rPr>
          <w:rFonts w:cstheme="minorHAnsi"/>
          <w:sz w:val="24"/>
          <w:szCs w:val="24"/>
        </w:rPr>
      </w:pPr>
    </w:p>
    <w:p w14:paraId="32C20EA9" w14:textId="3133EF71" w:rsidR="006C6E7E" w:rsidRPr="005F4AA9" w:rsidRDefault="00C55FC4" w:rsidP="00CF5ADA">
      <w:pPr>
        <w:rPr>
          <w:rFonts w:cstheme="minorHAnsi"/>
          <w:b/>
          <w:sz w:val="24"/>
          <w:szCs w:val="24"/>
        </w:rPr>
      </w:pPr>
      <w:r w:rsidRPr="005F4AA9">
        <w:rPr>
          <w:rFonts w:cstheme="minorHAnsi"/>
          <w:b/>
          <w:sz w:val="24"/>
          <w:szCs w:val="24"/>
        </w:rPr>
        <w:t>Response</w:t>
      </w:r>
      <w:r w:rsidR="006C6E7E" w:rsidRPr="005F4AA9">
        <w:rPr>
          <w:rFonts w:cstheme="minorHAnsi"/>
          <w:b/>
          <w:sz w:val="24"/>
          <w:szCs w:val="24"/>
        </w:rPr>
        <w:t xml:space="preserve"> No. </w:t>
      </w:r>
      <w:r w:rsidR="006A2EAC" w:rsidRPr="005F4AA9">
        <w:rPr>
          <w:rFonts w:cstheme="minorHAnsi"/>
          <w:b/>
          <w:sz w:val="24"/>
          <w:szCs w:val="24"/>
        </w:rPr>
        <w:t>4</w:t>
      </w:r>
      <w:r w:rsidR="006C6E7E" w:rsidRPr="005F4AA9">
        <w:rPr>
          <w:rFonts w:cstheme="minorHAnsi"/>
          <w:b/>
          <w:sz w:val="24"/>
          <w:szCs w:val="24"/>
        </w:rPr>
        <w:t>:</w:t>
      </w:r>
    </w:p>
    <w:p w14:paraId="1F23794B" w14:textId="77777777" w:rsidR="000B598C" w:rsidRPr="005F4AA9" w:rsidRDefault="000B598C" w:rsidP="00CF5ADA">
      <w:pPr>
        <w:rPr>
          <w:rFonts w:cstheme="minorHAnsi"/>
          <w:b/>
          <w:sz w:val="24"/>
          <w:szCs w:val="24"/>
        </w:rPr>
      </w:pPr>
    </w:p>
    <w:p w14:paraId="756E92CE" w14:textId="1E9F9B61" w:rsidR="006C6E7E" w:rsidRPr="005F4AA9" w:rsidRDefault="000B598C" w:rsidP="000B598C">
      <w:pPr>
        <w:ind w:firstLine="720"/>
        <w:rPr>
          <w:rFonts w:cstheme="minorHAnsi"/>
          <w:sz w:val="24"/>
          <w:szCs w:val="24"/>
        </w:rPr>
      </w:pPr>
      <w:r w:rsidRPr="005F4AA9">
        <w:rPr>
          <w:rFonts w:cstheme="minorHAnsi"/>
          <w:sz w:val="24"/>
          <w:szCs w:val="24"/>
        </w:rPr>
        <w:t>O.C.G.A. § 46-3-200.2 provides:</w:t>
      </w:r>
    </w:p>
    <w:p w14:paraId="6C188964" w14:textId="77777777" w:rsidR="000B598C" w:rsidRPr="005F4AA9" w:rsidRDefault="000B598C" w:rsidP="00CF5ADA">
      <w:pPr>
        <w:rPr>
          <w:rFonts w:cstheme="minorHAnsi"/>
          <w:sz w:val="24"/>
          <w:szCs w:val="24"/>
        </w:rPr>
      </w:pPr>
    </w:p>
    <w:p w14:paraId="2C046232" w14:textId="71CFD4C9" w:rsidR="00BC688C" w:rsidRPr="005F4AA9" w:rsidRDefault="00BC688C" w:rsidP="000B598C">
      <w:pPr>
        <w:ind w:left="720"/>
        <w:jc w:val="both"/>
        <w:rPr>
          <w:rFonts w:cstheme="minorHAnsi"/>
          <w:i/>
          <w:sz w:val="24"/>
          <w:szCs w:val="24"/>
          <w:lang w:val="en"/>
        </w:rPr>
      </w:pPr>
      <w:r w:rsidRPr="005F4AA9">
        <w:rPr>
          <w:rFonts w:cstheme="minorHAnsi"/>
          <w:i/>
          <w:sz w:val="24"/>
          <w:szCs w:val="24"/>
          <w:lang w:val="en"/>
        </w:rPr>
        <w:t>The commission shall have jurisdiction over each broadband affiliate and each electric membership corporation that has a broadband affiliate that provides retail broadband services to enforce compliance within the provisions of this Code section. The commission shall provide for an expedited adjudication of any complaint as to a failure to comply with this Code section and may engage an administrative law judge for purposes of such adjudication.</w:t>
      </w:r>
    </w:p>
    <w:p w14:paraId="3F37F47A" w14:textId="77777777" w:rsidR="00BC688C" w:rsidRPr="005F4AA9" w:rsidRDefault="00BC688C" w:rsidP="00BC688C">
      <w:pPr>
        <w:rPr>
          <w:rFonts w:cstheme="minorHAnsi"/>
          <w:b/>
          <w:bCs/>
          <w:sz w:val="24"/>
          <w:szCs w:val="24"/>
          <w:lang w:val="en"/>
        </w:rPr>
      </w:pPr>
    </w:p>
    <w:p w14:paraId="60AABDC4" w14:textId="19BAA256" w:rsidR="00BC688C" w:rsidRPr="005F4AA9" w:rsidRDefault="006A2EAC" w:rsidP="00DD53B5">
      <w:pPr>
        <w:ind w:firstLine="720"/>
        <w:jc w:val="both"/>
        <w:rPr>
          <w:rFonts w:cstheme="minorHAnsi"/>
          <w:bCs/>
          <w:sz w:val="24"/>
          <w:szCs w:val="24"/>
          <w:lang w:val="en"/>
        </w:rPr>
      </w:pPr>
      <w:r w:rsidRPr="005F4AA9">
        <w:rPr>
          <w:rFonts w:cstheme="minorHAnsi"/>
          <w:bCs/>
          <w:sz w:val="24"/>
          <w:szCs w:val="24"/>
          <w:lang w:val="en"/>
        </w:rPr>
        <w:t>The cost allocation manual should make it clear that an EMC or its broadband affiliate is subject to the telecommunications rules when engaging in broadband activity</w:t>
      </w:r>
      <w:r w:rsidR="00BA7808" w:rsidRPr="005F4AA9">
        <w:rPr>
          <w:rFonts w:cstheme="minorHAnsi"/>
          <w:bCs/>
          <w:sz w:val="24"/>
          <w:szCs w:val="24"/>
          <w:lang w:val="en"/>
        </w:rPr>
        <w:t xml:space="preserve"> </w:t>
      </w:r>
      <w:r w:rsidR="00CB5F68" w:rsidRPr="005F4AA9">
        <w:rPr>
          <w:rFonts w:cstheme="minorHAnsi"/>
          <w:bCs/>
          <w:sz w:val="24"/>
          <w:szCs w:val="24"/>
          <w:lang w:val="en"/>
        </w:rPr>
        <w:t>including reporting requirements</w:t>
      </w:r>
      <w:r w:rsidR="00EF7949" w:rsidRPr="005F4AA9">
        <w:rPr>
          <w:rFonts w:cstheme="minorHAnsi"/>
          <w:bCs/>
          <w:sz w:val="24"/>
          <w:szCs w:val="24"/>
          <w:lang w:val="en"/>
        </w:rPr>
        <w:t xml:space="preserve">, annual inspections, complaint-driven processes, </w:t>
      </w:r>
      <w:r w:rsidR="008B472F" w:rsidRPr="005F4AA9">
        <w:rPr>
          <w:rFonts w:cstheme="minorHAnsi"/>
          <w:bCs/>
          <w:sz w:val="24"/>
          <w:szCs w:val="24"/>
          <w:lang w:val="en"/>
        </w:rPr>
        <w:t xml:space="preserve">and </w:t>
      </w:r>
      <w:r w:rsidR="00EF7949" w:rsidRPr="005F4AA9">
        <w:rPr>
          <w:rFonts w:cstheme="minorHAnsi"/>
          <w:bCs/>
          <w:sz w:val="24"/>
          <w:szCs w:val="24"/>
          <w:lang w:val="en"/>
        </w:rPr>
        <w:t>certifications</w:t>
      </w:r>
      <w:r w:rsidR="008B472F" w:rsidRPr="005F4AA9">
        <w:rPr>
          <w:rFonts w:cstheme="minorHAnsi"/>
          <w:bCs/>
          <w:sz w:val="24"/>
          <w:szCs w:val="24"/>
          <w:lang w:val="en"/>
        </w:rPr>
        <w:t>, among other things</w:t>
      </w:r>
      <w:r w:rsidRPr="005F4AA9">
        <w:rPr>
          <w:rFonts w:cstheme="minorHAnsi"/>
          <w:bCs/>
          <w:sz w:val="24"/>
          <w:szCs w:val="24"/>
          <w:lang w:val="en"/>
        </w:rPr>
        <w:t xml:space="preserve">.  </w:t>
      </w:r>
      <w:r w:rsidR="003D7F7F" w:rsidRPr="005F4AA9">
        <w:rPr>
          <w:rFonts w:cstheme="minorHAnsi"/>
          <w:bCs/>
          <w:sz w:val="24"/>
          <w:szCs w:val="24"/>
          <w:lang w:val="en"/>
        </w:rPr>
        <w:t xml:space="preserve"> The burden of demonstrating compliance should rest solely with the EMC or its broadband affiliate.  </w:t>
      </w:r>
      <w:r w:rsidR="00FA2701" w:rsidRPr="005F4AA9">
        <w:rPr>
          <w:rFonts w:cstheme="minorHAnsi"/>
          <w:bCs/>
          <w:sz w:val="24"/>
          <w:szCs w:val="24"/>
          <w:lang w:val="en"/>
        </w:rPr>
        <w:t>Th</w:t>
      </w:r>
      <w:r w:rsidR="00A5180E" w:rsidRPr="005F4AA9">
        <w:rPr>
          <w:rFonts w:cstheme="minorHAnsi"/>
          <w:bCs/>
          <w:sz w:val="24"/>
          <w:szCs w:val="24"/>
          <w:lang w:val="en"/>
        </w:rPr>
        <w:t xml:space="preserve">ese entities are in the best position to demonstrate compliance because they have, or should have, the </w:t>
      </w:r>
      <w:r w:rsidR="008774E9" w:rsidRPr="005F4AA9">
        <w:rPr>
          <w:rFonts w:cstheme="minorHAnsi"/>
          <w:bCs/>
          <w:sz w:val="24"/>
          <w:szCs w:val="24"/>
          <w:lang w:val="en"/>
        </w:rPr>
        <w:t>records</w:t>
      </w:r>
      <w:r w:rsidR="001D6220" w:rsidRPr="005F4AA9">
        <w:rPr>
          <w:rFonts w:cstheme="minorHAnsi"/>
          <w:bCs/>
          <w:sz w:val="24"/>
          <w:szCs w:val="24"/>
          <w:lang w:val="en"/>
        </w:rPr>
        <w:t xml:space="preserve"> </w:t>
      </w:r>
      <w:r w:rsidR="00637DDC" w:rsidRPr="005F4AA9">
        <w:rPr>
          <w:rFonts w:cstheme="minorHAnsi"/>
          <w:bCs/>
          <w:sz w:val="24"/>
          <w:szCs w:val="24"/>
          <w:lang w:val="en"/>
        </w:rPr>
        <w:t>supporting their activities</w:t>
      </w:r>
      <w:r w:rsidR="008774E9" w:rsidRPr="005F4AA9">
        <w:rPr>
          <w:rFonts w:cstheme="minorHAnsi"/>
          <w:bCs/>
          <w:sz w:val="24"/>
          <w:szCs w:val="24"/>
          <w:lang w:val="en"/>
        </w:rPr>
        <w:t xml:space="preserve">. This burden of proof will expedite </w:t>
      </w:r>
      <w:r w:rsidR="001A7A60" w:rsidRPr="005F4AA9">
        <w:rPr>
          <w:rFonts w:cstheme="minorHAnsi"/>
          <w:bCs/>
          <w:sz w:val="24"/>
          <w:szCs w:val="24"/>
          <w:lang w:val="en"/>
        </w:rPr>
        <w:t>the hearing on the matter, consistent with the statute, by avoiding overly long discovery process</w:t>
      </w:r>
      <w:r w:rsidR="00A26A71" w:rsidRPr="005F4AA9">
        <w:rPr>
          <w:rFonts w:cstheme="minorHAnsi"/>
          <w:bCs/>
          <w:sz w:val="24"/>
          <w:szCs w:val="24"/>
          <w:lang w:val="en"/>
        </w:rPr>
        <w:t xml:space="preserve">es.  </w:t>
      </w:r>
      <w:r w:rsidR="004A5559" w:rsidRPr="005F4AA9">
        <w:rPr>
          <w:rFonts w:cstheme="minorHAnsi"/>
          <w:bCs/>
          <w:sz w:val="24"/>
          <w:szCs w:val="24"/>
          <w:lang w:val="en"/>
        </w:rPr>
        <w:t xml:space="preserve">This reallocation of the burden of proof is also consistent with </w:t>
      </w:r>
      <w:r w:rsidR="004A5559" w:rsidRPr="005F4AA9">
        <w:rPr>
          <w:rFonts w:cstheme="minorHAnsi"/>
          <w:sz w:val="24"/>
          <w:szCs w:val="24"/>
        </w:rPr>
        <w:t>Rule 515-3-1-.07.</w:t>
      </w:r>
    </w:p>
    <w:p w14:paraId="113EF30E" w14:textId="77777777" w:rsidR="00FF0EFF" w:rsidRPr="005F4AA9" w:rsidRDefault="00FF0EFF" w:rsidP="00BC688C">
      <w:pPr>
        <w:rPr>
          <w:rFonts w:cstheme="minorHAnsi"/>
          <w:b/>
          <w:bCs/>
          <w:sz w:val="24"/>
          <w:szCs w:val="24"/>
          <w:lang w:val="en"/>
        </w:rPr>
      </w:pPr>
    </w:p>
    <w:p w14:paraId="36FF1450" w14:textId="31CF6DBB" w:rsidR="00FF0EFF" w:rsidRPr="005F4AA9" w:rsidRDefault="000B598C" w:rsidP="00C9299F">
      <w:pPr>
        <w:ind w:firstLine="720"/>
        <w:jc w:val="both"/>
        <w:rPr>
          <w:rFonts w:cstheme="minorHAnsi"/>
          <w:sz w:val="24"/>
          <w:szCs w:val="24"/>
        </w:rPr>
      </w:pPr>
      <w:r w:rsidRPr="005F4AA9">
        <w:rPr>
          <w:rFonts w:cstheme="minorHAnsi"/>
          <w:sz w:val="24"/>
          <w:szCs w:val="24"/>
        </w:rPr>
        <w:t xml:space="preserve">O.C.G.A. </w:t>
      </w:r>
      <w:r w:rsidR="00FF0EFF" w:rsidRPr="005F4AA9">
        <w:rPr>
          <w:rFonts w:cstheme="minorHAnsi"/>
          <w:sz w:val="24"/>
          <w:szCs w:val="24"/>
        </w:rPr>
        <w:t>§ 46-3-200.4(d)</w:t>
      </w:r>
      <w:r w:rsidR="00FF0EFF" w:rsidRPr="005F4AA9">
        <w:rPr>
          <w:rFonts w:cstheme="minorHAnsi"/>
          <w:sz w:val="24"/>
          <w:szCs w:val="24"/>
          <w:u w:val="words"/>
        </w:rPr>
        <w:t xml:space="preserve"> </w:t>
      </w:r>
      <w:r w:rsidRPr="005F4AA9">
        <w:rPr>
          <w:rFonts w:cstheme="minorHAnsi"/>
          <w:sz w:val="24"/>
          <w:szCs w:val="24"/>
        </w:rPr>
        <w:t>describes</w:t>
      </w:r>
      <w:r w:rsidR="00FF0EFF" w:rsidRPr="005F4AA9">
        <w:rPr>
          <w:rFonts w:cstheme="minorHAnsi"/>
          <w:sz w:val="24"/>
          <w:szCs w:val="24"/>
        </w:rPr>
        <w:t xml:space="preserve"> penalties for termination of a pole attachment agreement without cause. In essence, if the EMC terminates a contract without cause and the number of poles under the pole attachment agreement is greater than one half of all the EMC’s poles containing an attachment by a communications service provider, then the EMC may not be permitted to form or </w:t>
      </w:r>
      <w:r w:rsidR="00FF0EFF" w:rsidRPr="005F4AA9">
        <w:rPr>
          <w:rFonts w:cstheme="minorHAnsi"/>
          <w:i/>
          <w:sz w:val="24"/>
          <w:szCs w:val="24"/>
        </w:rPr>
        <w:t xml:space="preserve">utilize </w:t>
      </w:r>
      <w:r w:rsidR="00FF0EFF" w:rsidRPr="005F4AA9">
        <w:rPr>
          <w:rFonts w:cstheme="minorHAnsi"/>
          <w:sz w:val="24"/>
          <w:szCs w:val="24"/>
        </w:rPr>
        <w:t xml:space="preserve">a broadband affiliate for a period of one year from the date of the termination.  </w:t>
      </w:r>
      <w:r w:rsidRPr="005F4AA9">
        <w:rPr>
          <w:rFonts w:cstheme="minorHAnsi"/>
          <w:sz w:val="24"/>
          <w:szCs w:val="24"/>
        </w:rPr>
        <w:t>The section</w:t>
      </w:r>
      <w:r w:rsidR="00FF0EFF" w:rsidRPr="005F4AA9">
        <w:rPr>
          <w:rFonts w:cstheme="minorHAnsi"/>
          <w:sz w:val="24"/>
          <w:szCs w:val="24"/>
        </w:rPr>
        <w:t xml:space="preserve"> does not state that the EMC cannot form and operate broadband facilities itself.  Contrarily, the law does not prohibit the EMC from forming a broadband affiliate if it terminates a pole attachment agreement without cause and the number of poles under the pole attachment agreement represent less than one half of all the EMC’s poles containing an attachment by a communications service provider.  </w:t>
      </w:r>
    </w:p>
    <w:p w14:paraId="1DC5694E" w14:textId="77777777" w:rsidR="00037C81" w:rsidRPr="005F4AA9" w:rsidRDefault="00037C81" w:rsidP="00037C81">
      <w:pPr>
        <w:spacing w:line="240" w:lineRule="auto"/>
        <w:rPr>
          <w:rFonts w:cstheme="minorHAnsi"/>
          <w:sz w:val="24"/>
          <w:szCs w:val="24"/>
        </w:rPr>
      </w:pPr>
    </w:p>
    <w:p w14:paraId="5324946F" w14:textId="77777777" w:rsidR="00037C81" w:rsidRPr="005F4AA9" w:rsidRDefault="00037C81" w:rsidP="00037C81">
      <w:pPr>
        <w:spacing w:line="240" w:lineRule="auto"/>
        <w:rPr>
          <w:rFonts w:cstheme="minorHAnsi"/>
          <w:b/>
          <w:sz w:val="24"/>
          <w:szCs w:val="24"/>
        </w:rPr>
      </w:pPr>
      <w:r w:rsidRPr="005F4AA9">
        <w:rPr>
          <w:rFonts w:cstheme="minorHAnsi"/>
          <w:b/>
          <w:sz w:val="24"/>
          <w:szCs w:val="24"/>
        </w:rPr>
        <w:t xml:space="preserve">Question No. 5: </w:t>
      </w:r>
    </w:p>
    <w:p w14:paraId="1FE8F65A" w14:textId="6B55BC45" w:rsidR="00A55C76" w:rsidRPr="005F4AA9" w:rsidRDefault="00A55C76" w:rsidP="00F80C5F">
      <w:pPr>
        <w:spacing w:line="240" w:lineRule="auto"/>
        <w:jc w:val="both"/>
        <w:rPr>
          <w:rFonts w:cstheme="minorHAnsi"/>
          <w:b/>
          <w:sz w:val="24"/>
          <w:szCs w:val="24"/>
        </w:rPr>
      </w:pPr>
      <w:r w:rsidRPr="005F4AA9">
        <w:rPr>
          <w:rFonts w:cstheme="minorHAnsi"/>
          <w:b/>
          <w:sz w:val="24"/>
          <w:szCs w:val="24"/>
        </w:rPr>
        <w:t xml:space="preserve">What additional procedures or issues should the Commission examine in regard to implementing and enforcing the provisions of Georgia Senate Bill 2? </w:t>
      </w:r>
    </w:p>
    <w:p w14:paraId="330A9BD9" w14:textId="6588F97F" w:rsidR="00037C81" w:rsidRPr="005F4AA9" w:rsidRDefault="00037C81" w:rsidP="00F80C5F">
      <w:pPr>
        <w:jc w:val="both"/>
        <w:rPr>
          <w:rFonts w:cstheme="minorHAnsi"/>
          <w:sz w:val="24"/>
          <w:szCs w:val="24"/>
        </w:rPr>
      </w:pPr>
    </w:p>
    <w:p w14:paraId="52D8746C" w14:textId="39000229" w:rsidR="00037C81" w:rsidRPr="005F4AA9" w:rsidRDefault="00037C81" w:rsidP="00037C81">
      <w:pPr>
        <w:jc w:val="both"/>
        <w:rPr>
          <w:rFonts w:cstheme="minorHAnsi"/>
          <w:b/>
          <w:sz w:val="24"/>
          <w:szCs w:val="24"/>
        </w:rPr>
      </w:pPr>
      <w:r w:rsidRPr="005F4AA9">
        <w:rPr>
          <w:rFonts w:cstheme="minorHAnsi"/>
          <w:b/>
          <w:sz w:val="24"/>
          <w:szCs w:val="24"/>
        </w:rPr>
        <w:t xml:space="preserve">Response No. 5: </w:t>
      </w:r>
    </w:p>
    <w:p w14:paraId="08360A82" w14:textId="23928D8E" w:rsidR="0029533C" w:rsidRPr="005F4AA9" w:rsidRDefault="0029533C" w:rsidP="000B598C">
      <w:pPr>
        <w:ind w:firstLine="720"/>
        <w:rPr>
          <w:rFonts w:cstheme="minorHAnsi"/>
          <w:sz w:val="24"/>
          <w:szCs w:val="24"/>
        </w:rPr>
      </w:pPr>
    </w:p>
    <w:p w14:paraId="484D4479" w14:textId="7A5D275B" w:rsidR="007016CB" w:rsidRDefault="00B772CF" w:rsidP="00537E5E">
      <w:pPr>
        <w:ind w:firstLine="720"/>
        <w:jc w:val="both"/>
        <w:rPr>
          <w:rFonts w:cstheme="minorHAnsi"/>
          <w:sz w:val="24"/>
          <w:szCs w:val="24"/>
        </w:rPr>
      </w:pPr>
      <w:r w:rsidRPr="005F4AA9">
        <w:rPr>
          <w:rFonts w:cstheme="minorHAnsi"/>
          <w:sz w:val="24"/>
          <w:szCs w:val="24"/>
        </w:rPr>
        <w:t>Protecti</w:t>
      </w:r>
      <w:r w:rsidR="00806C57" w:rsidRPr="005F4AA9">
        <w:rPr>
          <w:rFonts w:cstheme="minorHAnsi"/>
          <w:sz w:val="24"/>
          <w:szCs w:val="24"/>
        </w:rPr>
        <w:t xml:space="preserve">ng </w:t>
      </w:r>
      <w:r w:rsidR="00794F72" w:rsidRPr="005F4AA9">
        <w:rPr>
          <w:rFonts w:cstheme="minorHAnsi"/>
          <w:sz w:val="24"/>
          <w:szCs w:val="24"/>
        </w:rPr>
        <w:t xml:space="preserve">competition </w:t>
      </w:r>
      <w:r w:rsidR="0076709E" w:rsidRPr="005F4AA9">
        <w:rPr>
          <w:rFonts w:cstheme="minorHAnsi"/>
          <w:sz w:val="24"/>
          <w:szCs w:val="24"/>
        </w:rPr>
        <w:t>should be the</w:t>
      </w:r>
      <w:r w:rsidR="00806C57" w:rsidRPr="005F4AA9">
        <w:rPr>
          <w:rFonts w:cstheme="minorHAnsi"/>
          <w:sz w:val="24"/>
          <w:szCs w:val="24"/>
        </w:rPr>
        <w:t xml:space="preserve"> Commission’s</w:t>
      </w:r>
      <w:r w:rsidR="0076709E" w:rsidRPr="005F4AA9">
        <w:rPr>
          <w:rFonts w:cstheme="minorHAnsi"/>
          <w:sz w:val="24"/>
          <w:szCs w:val="24"/>
        </w:rPr>
        <w:t xml:space="preserve"> over-arching concern in creating and administering </w:t>
      </w:r>
      <w:r w:rsidR="00161991" w:rsidRPr="005F4AA9">
        <w:rPr>
          <w:rFonts w:cstheme="minorHAnsi"/>
          <w:sz w:val="24"/>
          <w:szCs w:val="24"/>
        </w:rPr>
        <w:t xml:space="preserve">the rules implementing Act 51.  </w:t>
      </w:r>
      <w:r w:rsidR="00FC60F1" w:rsidRPr="005F4AA9">
        <w:rPr>
          <w:rFonts w:cstheme="minorHAnsi"/>
          <w:sz w:val="24"/>
          <w:szCs w:val="24"/>
        </w:rPr>
        <w:t>Competition benefits consumers</w:t>
      </w:r>
      <w:r w:rsidR="00E43463" w:rsidRPr="005F4AA9">
        <w:rPr>
          <w:rFonts w:cstheme="minorHAnsi"/>
          <w:sz w:val="24"/>
          <w:szCs w:val="24"/>
        </w:rPr>
        <w:t xml:space="preserve"> and creates strong incentives for businesses to operate efficiently, keep prices down, and keep quality up.  </w:t>
      </w:r>
      <w:r w:rsidR="00B63488" w:rsidRPr="005F4AA9">
        <w:rPr>
          <w:rFonts w:cstheme="minorHAnsi"/>
          <w:sz w:val="24"/>
          <w:szCs w:val="24"/>
        </w:rPr>
        <w:t>Unfair methods of comp</w:t>
      </w:r>
      <w:r w:rsidR="00AA655B" w:rsidRPr="005F4AA9">
        <w:rPr>
          <w:rFonts w:cstheme="minorHAnsi"/>
          <w:sz w:val="24"/>
          <w:szCs w:val="24"/>
        </w:rPr>
        <w:t xml:space="preserve">etition are against both federal and </w:t>
      </w:r>
      <w:r w:rsidR="000C34E4" w:rsidRPr="005F4AA9">
        <w:rPr>
          <w:rFonts w:cstheme="minorHAnsi"/>
          <w:sz w:val="24"/>
          <w:szCs w:val="24"/>
        </w:rPr>
        <w:t>Georgia</w:t>
      </w:r>
      <w:r w:rsidR="00AA655B" w:rsidRPr="005F4AA9">
        <w:rPr>
          <w:rFonts w:cstheme="minorHAnsi"/>
          <w:sz w:val="24"/>
          <w:szCs w:val="24"/>
        </w:rPr>
        <w:t xml:space="preserve"> law.  </w:t>
      </w:r>
      <w:r w:rsidR="00D74B20" w:rsidRPr="005F4AA9">
        <w:rPr>
          <w:rFonts w:cstheme="minorHAnsi"/>
          <w:sz w:val="24"/>
          <w:szCs w:val="24"/>
        </w:rPr>
        <w:t>In order to create a level</w:t>
      </w:r>
      <w:r w:rsidR="00806C57" w:rsidRPr="005F4AA9">
        <w:rPr>
          <w:rFonts w:cstheme="minorHAnsi"/>
          <w:sz w:val="24"/>
          <w:szCs w:val="24"/>
        </w:rPr>
        <w:t xml:space="preserve"> </w:t>
      </w:r>
      <w:r w:rsidR="00D74B20" w:rsidRPr="005F4AA9">
        <w:rPr>
          <w:rFonts w:cstheme="minorHAnsi"/>
          <w:sz w:val="24"/>
          <w:szCs w:val="24"/>
        </w:rPr>
        <w:t xml:space="preserve">playing field, the </w:t>
      </w:r>
      <w:r w:rsidR="00B2299C" w:rsidRPr="005F4AA9">
        <w:rPr>
          <w:rFonts w:cstheme="minorHAnsi"/>
          <w:sz w:val="24"/>
          <w:szCs w:val="24"/>
        </w:rPr>
        <w:t>Commission should examine</w:t>
      </w:r>
      <w:r w:rsidR="00B41C82" w:rsidRPr="005F4AA9">
        <w:rPr>
          <w:rFonts w:cstheme="minorHAnsi"/>
          <w:sz w:val="24"/>
          <w:szCs w:val="24"/>
        </w:rPr>
        <w:t>, among other things,</w:t>
      </w:r>
      <w:r w:rsidR="00B2299C" w:rsidRPr="005F4AA9">
        <w:rPr>
          <w:rFonts w:cstheme="minorHAnsi"/>
          <w:sz w:val="24"/>
          <w:szCs w:val="24"/>
        </w:rPr>
        <w:t xml:space="preserve"> the effect of the tax status of the EMCs in relation to </w:t>
      </w:r>
      <w:r w:rsidR="00EE3F52" w:rsidRPr="005F4AA9">
        <w:rPr>
          <w:rFonts w:cstheme="minorHAnsi"/>
          <w:sz w:val="24"/>
          <w:szCs w:val="24"/>
        </w:rPr>
        <w:t xml:space="preserve">any grant funding </w:t>
      </w:r>
      <w:r w:rsidR="006F2FB2" w:rsidRPr="005F4AA9">
        <w:rPr>
          <w:rFonts w:cstheme="minorHAnsi"/>
          <w:sz w:val="24"/>
          <w:szCs w:val="24"/>
        </w:rPr>
        <w:t xml:space="preserve">or other </w:t>
      </w:r>
      <w:r w:rsidR="00716147" w:rsidRPr="005F4AA9">
        <w:rPr>
          <w:rFonts w:cstheme="minorHAnsi"/>
          <w:sz w:val="24"/>
          <w:szCs w:val="24"/>
        </w:rPr>
        <w:t xml:space="preserve">support </w:t>
      </w:r>
      <w:r w:rsidR="00EE3F52" w:rsidRPr="005F4AA9">
        <w:rPr>
          <w:rFonts w:cstheme="minorHAnsi"/>
          <w:sz w:val="24"/>
          <w:szCs w:val="24"/>
        </w:rPr>
        <w:t>they</w:t>
      </w:r>
      <w:r w:rsidR="006F2FB2" w:rsidRPr="005F4AA9">
        <w:rPr>
          <w:rFonts w:cstheme="minorHAnsi"/>
          <w:sz w:val="24"/>
          <w:szCs w:val="24"/>
        </w:rPr>
        <w:t xml:space="preserve"> receive</w:t>
      </w:r>
      <w:r w:rsidR="000B6B13" w:rsidRPr="005F4AA9">
        <w:rPr>
          <w:rFonts w:cstheme="minorHAnsi"/>
          <w:sz w:val="24"/>
          <w:szCs w:val="24"/>
        </w:rPr>
        <w:t xml:space="preserve"> to support broadband</w:t>
      </w:r>
      <w:r w:rsidR="00716147" w:rsidRPr="005F4AA9">
        <w:rPr>
          <w:rFonts w:cstheme="minorHAnsi"/>
          <w:sz w:val="24"/>
          <w:szCs w:val="24"/>
        </w:rPr>
        <w:t xml:space="preserve">. </w:t>
      </w:r>
      <w:r w:rsidR="00806C57" w:rsidRPr="005F4AA9">
        <w:rPr>
          <w:rFonts w:cstheme="minorHAnsi"/>
          <w:sz w:val="24"/>
          <w:szCs w:val="24"/>
        </w:rPr>
        <w:t xml:space="preserve">The U.S. Congress is currently considering legislation, the </w:t>
      </w:r>
      <w:r w:rsidR="00100B11" w:rsidRPr="005F4AA9">
        <w:rPr>
          <w:rFonts w:cstheme="minorHAnsi"/>
          <w:sz w:val="24"/>
          <w:szCs w:val="24"/>
        </w:rPr>
        <w:t>Re</w:t>
      </w:r>
      <w:r w:rsidR="000F42B2" w:rsidRPr="005F4AA9">
        <w:rPr>
          <w:rFonts w:cstheme="minorHAnsi"/>
          <w:sz w:val="24"/>
          <w:szCs w:val="24"/>
        </w:rPr>
        <w:t>vitalizing Underdeveloped Rural Areas and Lands Act of 2019 (</w:t>
      </w:r>
      <w:r w:rsidR="00D66FB9" w:rsidRPr="005F4AA9">
        <w:rPr>
          <w:rFonts w:cstheme="minorHAnsi"/>
          <w:sz w:val="24"/>
          <w:szCs w:val="24"/>
        </w:rPr>
        <w:t>RURAL Act</w:t>
      </w:r>
      <w:r w:rsidR="000F42B2" w:rsidRPr="005F4AA9">
        <w:rPr>
          <w:rFonts w:cstheme="minorHAnsi"/>
          <w:sz w:val="24"/>
          <w:szCs w:val="24"/>
        </w:rPr>
        <w:t xml:space="preserve"> of 2019) </w:t>
      </w:r>
      <w:r w:rsidR="00B8489B" w:rsidRPr="005F4AA9">
        <w:rPr>
          <w:rFonts w:cstheme="minorHAnsi"/>
          <w:sz w:val="24"/>
          <w:szCs w:val="24"/>
        </w:rPr>
        <w:t>(H.R. 2147)</w:t>
      </w:r>
      <w:r w:rsidR="00806C57" w:rsidRPr="005F4AA9">
        <w:rPr>
          <w:rFonts w:cstheme="minorHAnsi"/>
          <w:sz w:val="24"/>
          <w:szCs w:val="24"/>
        </w:rPr>
        <w:t>, which would preserve tax-exempt status for</w:t>
      </w:r>
      <w:r w:rsidR="00D85B46" w:rsidRPr="005F4AA9">
        <w:rPr>
          <w:rFonts w:cstheme="minorHAnsi"/>
          <w:sz w:val="24"/>
          <w:szCs w:val="24"/>
        </w:rPr>
        <w:t xml:space="preserve"> rural cooperatives </w:t>
      </w:r>
      <w:r w:rsidR="00D955B4" w:rsidRPr="005F4AA9">
        <w:rPr>
          <w:rFonts w:cstheme="minorHAnsi"/>
          <w:sz w:val="24"/>
          <w:szCs w:val="24"/>
        </w:rPr>
        <w:t xml:space="preserve">at both the state and federal levels.  </w:t>
      </w:r>
      <w:r w:rsidR="00AF1AC3" w:rsidRPr="005F4AA9">
        <w:rPr>
          <w:rFonts w:cstheme="minorHAnsi"/>
          <w:sz w:val="24"/>
          <w:szCs w:val="24"/>
        </w:rPr>
        <w:t xml:space="preserve">While </w:t>
      </w:r>
      <w:r w:rsidR="00677D1A" w:rsidRPr="005F4AA9">
        <w:rPr>
          <w:rFonts w:cstheme="minorHAnsi"/>
          <w:sz w:val="24"/>
          <w:szCs w:val="24"/>
        </w:rPr>
        <w:t xml:space="preserve">their competitors are losing up to 30% of </w:t>
      </w:r>
      <w:r w:rsidR="00EA6673" w:rsidRPr="005F4AA9">
        <w:rPr>
          <w:rFonts w:cstheme="minorHAnsi"/>
          <w:sz w:val="24"/>
          <w:szCs w:val="24"/>
        </w:rPr>
        <w:t>grants received to taxes, the EMCs a</w:t>
      </w:r>
      <w:r w:rsidR="00694224" w:rsidRPr="005F4AA9">
        <w:rPr>
          <w:rFonts w:cstheme="minorHAnsi"/>
          <w:sz w:val="24"/>
          <w:szCs w:val="24"/>
        </w:rPr>
        <w:t>re not</w:t>
      </w:r>
      <w:r w:rsidR="00F44D5F" w:rsidRPr="005F4AA9">
        <w:rPr>
          <w:rFonts w:cstheme="minorHAnsi"/>
          <w:sz w:val="24"/>
          <w:szCs w:val="24"/>
        </w:rPr>
        <w:t>,</w:t>
      </w:r>
      <w:r w:rsidR="001827B0" w:rsidRPr="005F4AA9">
        <w:rPr>
          <w:rFonts w:cstheme="minorHAnsi"/>
          <w:sz w:val="24"/>
          <w:szCs w:val="24"/>
        </w:rPr>
        <w:t xml:space="preserve"> providing a significant advantage</w:t>
      </w:r>
      <w:r w:rsidR="00F44D5F" w:rsidRPr="005F4AA9">
        <w:rPr>
          <w:rFonts w:cstheme="minorHAnsi"/>
          <w:sz w:val="24"/>
          <w:szCs w:val="24"/>
        </w:rPr>
        <w:t xml:space="preserve"> to the EMCs</w:t>
      </w:r>
      <w:r w:rsidR="00A27FE4" w:rsidRPr="005F4AA9">
        <w:rPr>
          <w:rFonts w:cstheme="minorHAnsi"/>
          <w:sz w:val="24"/>
          <w:szCs w:val="24"/>
        </w:rPr>
        <w:t xml:space="preserve"> and </w:t>
      </w:r>
      <w:r w:rsidR="001C4B33" w:rsidRPr="005F4AA9">
        <w:rPr>
          <w:rFonts w:cstheme="minorHAnsi"/>
          <w:sz w:val="24"/>
          <w:szCs w:val="24"/>
        </w:rPr>
        <w:t xml:space="preserve">unfairly </w:t>
      </w:r>
      <w:r w:rsidR="00A27FE4" w:rsidRPr="005F4AA9">
        <w:rPr>
          <w:rFonts w:cstheme="minorHAnsi"/>
          <w:sz w:val="24"/>
          <w:szCs w:val="24"/>
        </w:rPr>
        <w:t>restricting</w:t>
      </w:r>
      <w:r w:rsidR="003375D9" w:rsidRPr="005F4AA9">
        <w:rPr>
          <w:rFonts w:cstheme="minorHAnsi"/>
          <w:sz w:val="24"/>
          <w:szCs w:val="24"/>
        </w:rPr>
        <w:t>,</w:t>
      </w:r>
      <w:r w:rsidR="00E516D6" w:rsidRPr="005F4AA9">
        <w:rPr>
          <w:rFonts w:cstheme="minorHAnsi"/>
          <w:sz w:val="24"/>
          <w:szCs w:val="24"/>
        </w:rPr>
        <w:t xml:space="preserve"> if not el</w:t>
      </w:r>
      <w:r w:rsidR="003375D9" w:rsidRPr="005F4AA9">
        <w:rPr>
          <w:rFonts w:cstheme="minorHAnsi"/>
          <w:sz w:val="24"/>
          <w:szCs w:val="24"/>
        </w:rPr>
        <w:t>iminating,</w:t>
      </w:r>
      <w:r w:rsidR="0083701B" w:rsidRPr="005F4AA9">
        <w:rPr>
          <w:rFonts w:cstheme="minorHAnsi"/>
          <w:sz w:val="24"/>
          <w:szCs w:val="24"/>
        </w:rPr>
        <w:t xml:space="preserve"> free market</w:t>
      </w:r>
      <w:r w:rsidR="003375D9" w:rsidRPr="005F4AA9">
        <w:rPr>
          <w:rFonts w:cstheme="minorHAnsi"/>
          <w:sz w:val="24"/>
          <w:szCs w:val="24"/>
        </w:rPr>
        <w:t xml:space="preserve"> </w:t>
      </w:r>
      <w:r w:rsidR="00A27FE4" w:rsidRPr="005F4AA9">
        <w:rPr>
          <w:rFonts w:cstheme="minorHAnsi"/>
          <w:sz w:val="24"/>
          <w:szCs w:val="24"/>
        </w:rPr>
        <w:t>competition</w:t>
      </w:r>
      <w:r w:rsidR="00A63E8A" w:rsidRPr="005F4AA9">
        <w:rPr>
          <w:rFonts w:cstheme="minorHAnsi"/>
          <w:sz w:val="24"/>
          <w:szCs w:val="24"/>
        </w:rPr>
        <w:t xml:space="preserve">.  </w:t>
      </w:r>
    </w:p>
    <w:p w14:paraId="62BBBB61" w14:textId="571052AD" w:rsidR="00CF4D6C" w:rsidRDefault="00CF4D6C" w:rsidP="00537E5E">
      <w:pPr>
        <w:ind w:firstLine="720"/>
        <w:jc w:val="both"/>
        <w:rPr>
          <w:rFonts w:cstheme="minorHAnsi"/>
          <w:sz w:val="24"/>
          <w:szCs w:val="24"/>
        </w:rPr>
      </w:pPr>
    </w:p>
    <w:p w14:paraId="284099E8" w14:textId="6BC0B644" w:rsidR="00CF4D6C" w:rsidRDefault="00CF4D6C" w:rsidP="00CF4D6C">
      <w:pPr>
        <w:ind w:left="4320"/>
        <w:jc w:val="both"/>
        <w:rPr>
          <w:rFonts w:cstheme="minorHAnsi"/>
          <w:sz w:val="24"/>
          <w:szCs w:val="24"/>
        </w:rPr>
      </w:pPr>
      <w:r>
        <w:rPr>
          <w:rFonts w:cstheme="minorHAnsi"/>
          <w:sz w:val="24"/>
          <w:szCs w:val="24"/>
        </w:rPr>
        <w:t>Respectfully submitted,</w:t>
      </w:r>
    </w:p>
    <w:p w14:paraId="5B1D2F10" w14:textId="7780DE7C" w:rsidR="00CF4D6C" w:rsidRDefault="00CF4D6C" w:rsidP="00CF4D6C">
      <w:pPr>
        <w:ind w:left="4320"/>
        <w:jc w:val="both"/>
        <w:rPr>
          <w:rFonts w:cstheme="minorHAnsi"/>
          <w:sz w:val="24"/>
          <w:szCs w:val="24"/>
        </w:rPr>
      </w:pPr>
      <w:r>
        <w:rPr>
          <w:rFonts w:cstheme="minorHAnsi"/>
          <w:sz w:val="24"/>
          <w:szCs w:val="24"/>
        </w:rPr>
        <w:t>WINDSTREAM</w:t>
      </w:r>
    </w:p>
    <w:p w14:paraId="25E44537" w14:textId="414026B9" w:rsidR="00CF4D6C" w:rsidRDefault="00CF4D6C" w:rsidP="00CF4D6C">
      <w:pPr>
        <w:ind w:left="4320"/>
        <w:jc w:val="both"/>
        <w:rPr>
          <w:rFonts w:cstheme="minorHAnsi"/>
          <w:sz w:val="24"/>
          <w:szCs w:val="24"/>
        </w:rPr>
      </w:pPr>
    </w:p>
    <w:p w14:paraId="5D0F5206" w14:textId="3E6C0583" w:rsidR="00CF4D6C" w:rsidRDefault="00CF4D6C" w:rsidP="00CF4D6C">
      <w:pPr>
        <w:ind w:left="3960"/>
        <w:jc w:val="both"/>
        <w:rPr>
          <w:rFonts w:cstheme="minorHAnsi"/>
          <w:sz w:val="24"/>
          <w:szCs w:val="24"/>
        </w:rPr>
      </w:pPr>
      <w:r>
        <w:rPr>
          <w:rFonts w:cstheme="minorHAnsi"/>
          <w:sz w:val="24"/>
          <w:szCs w:val="24"/>
        </w:rPr>
        <w:t xml:space="preserve">By: </w:t>
      </w:r>
      <w:r w:rsidRPr="00CF4D6C">
        <w:rPr>
          <w:rFonts w:cstheme="minorHAnsi"/>
          <w:sz w:val="24"/>
          <w:szCs w:val="24"/>
          <w:u w:val="single"/>
        </w:rPr>
        <w:t>/s/</w:t>
      </w:r>
      <w:r w:rsidRPr="00CF4D6C">
        <w:rPr>
          <w:rFonts w:ascii="Harlow Solid Italic" w:hAnsi="Harlow Solid Italic" w:cstheme="minorHAnsi"/>
          <w:sz w:val="28"/>
          <w:szCs w:val="28"/>
          <w:u w:val="single"/>
        </w:rPr>
        <w:t>Michael P. Foor</w:t>
      </w:r>
      <w:r>
        <w:rPr>
          <w:rFonts w:cstheme="minorHAnsi"/>
          <w:sz w:val="24"/>
          <w:szCs w:val="24"/>
          <w:u w:val="single"/>
        </w:rPr>
        <w:tab/>
      </w:r>
      <w:r>
        <w:rPr>
          <w:rFonts w:cstheme="minorHAnsi"/>
          <w:sz w:val="24"/>
          <w:szCs w:val="24"/>
          <w:u w:val="single"/>
        </w:rPr>
        <w:tab/>
      </w:r>
      <w:r>
        <w:rPr>
          <w:rFonts w:cstheme="minorHAnsi"/>
          <w:sz w:val="24"/>
          <w:szCs w:val="24"/>
          <w:u w:val="single"/>
        </w:rPr>
        <w:tab/>
      </w:r>
    </w:p>
    <w:p w14:paraId="3EFF2B34" w14:textId="2211ECA7" w:rsidR="00CF4D6C" w:rsidRDefault="00CF4D6C" w:rsidP="00CF4D6C">
      <w:pPr>
        <w:ind w:left="4320"/>
        <w:jc w:val="both"/>
        <w:rPr>
          <w:rFonts w:cstheme="minorHAnsi"/>
          <w:sz w:val="24"/>
          <w:szCs w:val="24"/>
        </w:rPr>
      </w:pPr>
      <w:r>
        <w:rPr>
          <w:rFonts w:cstheme="minorHAnsi"/>
          <w:sz w:val="24"/>
          <w:szCs w:val="24"/>
        </w:rPr>
        <w:t>Michael P. Foor</w:t>
      </w:r>
    </w:p>
    <w:p w14:paraId="24B096D0" w14:textId="48333AC5" w:rsidR="00CF4D6C" w:rsidRDefault="00CF4D6C" w:rsidP="00CF4D6C">
      <w:pPr>
        <w:ind w:left="4320"/>
        <w:jc w:val="both"/>
        <w:rPr>
          <w:rFonts w:cstheme="minorHAnsi"/>
          <w:sz w:val="24"/>
          <w:szCs w:val="24"/>
        </w:rPr>
      </w:pPr>
      <w:r>
        <w:rPr>
          <w:rFonts w:cstheme="minorHAnsi"/>
          <w:sz w:val="24"/>
          <w:szCs w:val="24"/>
        </w:rPr>
        <w:t>Vice President – State Government Affairs, Georgia</w:t>
      </w:r>
    </w:p>
    <w:p w14:paraId="7D29D091" w14:textId="3C4D5124" w:rsidR="00CF4D6C" w:rsidRDefault="00CF4D6C" w:rsidP="00CF4D6C">
      <w:pPr>
        <w:ind w:left="4320"/>
        <w:jc w:val="both"/>
        <w:rPr>
          <w:rFonts w:cstheme="minorHAnsi"/>
          <w:sz w:val="24"/>
          <w:szCs w:val="24"/>
        </w:rPr>
      </w:pPr>
      <w:r>
        <w:rPr>
          <w:rFonts w:cstheme="minorHAnsi"/>
          <w:sz w:val="24"/>
          <w:szCs w:val="24"/>
        </w:rPr>
        <w:t>350 N. Main Street</w:t>
      </w:r>
    </w:p>
    <w:p w14:paraId="7D2EB534" w14:textId="3D4AE876" w:rsidR="00CF4D6C" w:rsidRDefault="00CF4D6C" w:rsidP="00CF4D6C">
      <w:pPr>
        <w:ind w:left="4320"/>
        <w:jc w:val="both"/>
        <w:rPr>
          <w:rFonts w:cstheme="minorHAnsi"/>
          <w:sz w:val="24"/>
          <w:szCs w:val="24"/>
        </w:rPr>
      </w:pPr>
      <w:r>
        <w:rPr>
          <w:rFonts w:cstheme="minorHAnsi"/>
          <w:sz w:val="24"/>
          <w:szCs w:val="24"/>
        </w:rPr>
        <w:t>Cornelia, GA  30531</w:t>
      </w:r>
    </w:p>
    <w:p w14:paraId="7DC4CA1C" w14:textId="39BE23FA" w:rsidR="00CF4D6C" w:rsidRDefault="00CF4D6C" w:rsidP="00CF4D6C">
      <w:pPr>
        <w:ind w:left="4320"/>
        <w:jc w:val="both"/>
        <w:rPr>
          <w:rFonts w:cstheme="minorHAnsi"/>
          <w:sz w:val="24"/>
          <w:szCs w:val="24"/>
        </w:rPr>
      </w:pPr>
      <w:r>
        <w:rPr>
          <w:rFonts w:cstheme="minorHAnsi"/>
          <w:sz w:val="24"/>
          <w:szCs w:val="24"/>
        </w:rPr>
        <w:t>(706) 872-2270</w:t>
      </w:r>
    </w:p>
    <w:p w14:paraId="7C7D329C" w14:textId="5A72AC19" w:rsidR="00CF4D6C" w:rsidRPr="00CF4D6C" w:rsidRDefault="00BD26DC" w:rsidP="00CF4D6C">
      <w:pPr>
        <w:ind w:left="4320"/>
        <w:jc w:val="both"/>
        <w:rPr>
          <w:rFonts w:cstheme="minorHAnsi"/>
          <w:sz w:val="24"/>
          <w:szCs w:val="24"/>
        </w:rPr>
      </w:pPr>
      <w:hyperlink r:id="rId11" w:history="1">
        <w:r w:rsidR="00CF4D6C" w:rsidRPr="00CB352E">
          <w:rPr>
            <w:rStyle w:val="Hyperlink"/>
            <w:rFonts w:cstheme="minorHAnsi"/>
            <w:sz w:val="24"/>
            <w:szCs w:val="24"/>
          </w:rPr>
          <w:t>Michael.foor@windstream.com</w:t>
        </w:r>
      </w:hyperlink>
      <w:r w:rsidR="00CF4D6C">
        <w:rPr>
          <w:rFonts w:cstheme="minorHAnsi"/>
          <w:sz w:val="24"/>
          <w:szCs w:val="24"/>
        </w:rPr>
        <w:t xml:space="preserve"> </w:t>
      </w:r>
    </w:p>
    <w:sectPr w:rsidR="00CF4D6C" w:rsidRPr="00CF4D6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284DC" w14:textId="77777777" w:rsidR="00FD6654" w:rsidRDefault="00FD6654" w:rsidP="003D1E14">
      <w:pPr>
        <w:spacing w:line="240" w:lineRule="auto"/>
      </w:pPr>
      <w:r>
        <w:separator/>
      </w:r>
    </w:p>
  </w:endnote>
  <w:endnote w:type="continuationSeparator" w:id="0">
    <w:p w14:paraId="7A24B889" w14:textId="77777777" w:rsidR="00FD6654" w:rsidRDefault="00FD6654" w:rsidP="003D1E14">
      <w:pPr>
        <w:spacing w:line="240" w:lineRule="auto"/>
      </w:pPr>
      <w:r>
        <w:continuationSeparator/>
      </w:r>
    </w:p>
  </w:endnote>
  <w:endnote w:type="continuationNotice" w:id="1">
    <w:p w14:paraId="38538505" w14:textId="77777777" w:rsidR="00FD6654" w:rsidRDefault="00FD66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056B1" w14:textId="492C9E65" w:rsidR="00D11038" w:rsidRDefault="00806C57">
    <w:pPr>
      <w:pStyle w:val="Footer"/>
      <w:jc w:val="right"/>
    </w:pPr>
    <w:r>
      <w:rPr>
        <w:noProof/>
      </w:rPr>
      <mc:AlternateContent>
        <mc:Choice Requires="wps">
          <w:drawing>
            <wp:anchor distT="0" distB="0" distL="114300" distR="114300" simplePos="0" relativeHeight="251659264" behindDoc="0" locked="0" layoutInCell="0" allowOverlap="1" wp14:anchorId="4FC57590" wp14:editId="73880899">
              <wp:simplePos x="0" y="0"/>
              <wp:positionH relativeFrom="page">
                <wp:posOffset>0</wp:posOffset>
              </wp:positionH>
              <wp:positionV relativeFrom="page">
                <wp:posOffset>9601200</wp:posOffset>
              </wp:positionV>
              <wp:extent cx="7772400" cy="266700"/>
              <wp:effectExtent l="0" t="0" r="0" b="0"/>
              <wp:wrapNone/>
              <wp:docPr id="1" name="MSIPCMd9bc4c308efa1c7017b63c88" descr="{&quot;HashCode&quot;:26948429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B42775" w14:textId="6F8D5CA4" w:rsidR="00806C57" w:rsidRPr="00806C57" w:rsidRDefault="00806C57" w:rsidP="00806C57">
                          <w:pPr>
                            <w:rPr>
                              <w:rFonts w:ascii="Calibri" w:hAnsi="Calibri" w:cs="Calibri"/>
                              <w:color w:val="000000"/>
                              <w:sz w:val="16"/>
                            </w:rPr>
                          </w:pPr>
                          <w:r w:rsidRPr="00806C57">
                            <w:rPr>
                              <w:rFonts w:ascii="Calibri" w:hAnsi="Calibri" w:cs="Calibri"/>
                              <w:color w:val="000000"/>
                              <w:sz w:val="16"/>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C57590" id="_x0000_t202" coordsize="21600,21600" o:spt="202" path="m,l,21600r21600,l21600,xe">
              <v:stroke joinstyle="miter"/>
              <v:path gradientshapeok="t" o:connecttype="rect"/>
            </v:shapetype>
            <v:shape id="MSIPCMd9bc4c308efa1c7017b63c88" o:spid="_x0000_s1026" type="#_x0000_t202" alt="{&quot;HashCode&quot;:269484293,&quot;Height&quot;:792.0,&quot;Width&quot;:612.0,&quot;Placement&quot;:&quot;Footer&quot;,&quot;Index&quot;:&quot;Primary&quot;,&quot;Section&quot;:1,&quot;Top&quot;:0.0,&quot;Left&quot;:0.0}" style="position:absolute;left:0;text-align:left;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" o:allowincell="f" filled="f" stroked="f" strokeweight=".5pt">
              <v:textbox inset="20pt,0,,0">
                <w:txbxContent>
                  <w:p w14:paraId="13B42775" w14:textId="6F8D5CA4" w:rsidR="00806C57" w:rsidRPr="00806C57" w:rsidRDefault="00806C57" w:rsidP="00806C57">
                    <w:pPr>
                      <w:rPr>
                        <w:rFonts w:ascii="Calibri" w:hAnsi="Calibri" w:cs="Calibri"/>
                        <w:color w:val="000000"/>
                        <w:sz w:val="16"/>
                      </w:rPr>
                    </w:pPr>
                    <w:r w:rsidRPr="00806C57">
                      <w:rPr>
                        <w:rFonts w:ascii="Calibri" w:hAnsi="Calibri" w:cs="Calibri"/>
                        <w:color w:val="000000"/>
                        <w:sz w:val="16"/>
                      </w:rPr>
                      <w:t>Sensitivity: Internal</w:t>
                    </w:r>
                  </w:p>
                </w:txbxContent>
              </v:textbox>
              <w10:wrap anchorx="page" anchory="page"/>
            </v:shape>
          </w:pict>
        </mc:Fallback>
      </mc:AlternateContent>
    </w:r>
    <w:sdt>
      <w:sdtPr>
        <w:id w:val="-342782441"/>
        <w:docPartObj>
          <w:docPartGallery w:val="Page Numbers (Bottom of Page)"/>
          <w:docPartUnique/>
        </w:docPartObj>
      </w:sdtPr>
      <w:sdtEndPr>
        <w:rPr>
          <w:noProof/>
        </w:rPr>
      </w:sdtEndPr>
      <w:sdtContent>
        <w:r w:rsidR="00D11038">
          <w:fldChar w:fldCharType="begin"/>
        </w:r>
        <w:r w:rsidR="00D11038">
          <w:instrText xml:space="preserve"> PAGE   \* MERGEFORMAT </w:instrText>
        </w:r>
        <w:r w:rsidR="00D11038">
          <w:fldChar w:fldCharType="separate"/>
        </w:r>
        <w:r w:rsidR="00D11038">
          <w:rPr>
            <w:noProof/>
          </w:rPr>
          <w:t>2</w:t>
        </w:r>
        <w:r w:rsidR="00D11038">
          <w:rPr>
            <w:noProof/>
          </w:rPr>
          <w:fldChar w:fldCharType="end"/>
        </w:r>
      </w:sdtContent>
    </w:sdt>
  </w:p>
  <w:p w14:paraId="309B784D" w14:textId="77777777" w:rsidR="00D11038" w:rsidRDefault="00D11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846E0" w14:textId="77777777" w:rsidR="00FD6654" w:rsidRDefault="00FD6654" w:rsidP="003D1E14">
      <w:pPr>
        <w:spacing w:line="240" w:lineRule="auto"/>
      </w:pPr>
      <w:r>
        <w:separator/>
      </w:r>
    </w:p>
  </w:footnote>
  <w:footnote w:type="continuationSeparator" w:id="0">
    <w:p w14:paraId="14FFAFD5" w14:textId="77777777" w:rsidR="00FD6654" w:rsidRDefault="00FD6654" w:rsidP="003D1E14">
      <w:pPr>
        <w:spacing w:line="240" w:lineRule="auto"/>
      </w:pPr>
      <w:r>
        <w:continuationSeparator/>
      </w:r>
    </w:p>
  </w:footnote>
  <w:footnote w:type="continuationNotice" w:id="1">
    <w:p w14:paraId="6FC6E251" w14:textId="77777777" w:rsidR="00FD6654" w:rsidRDefault="00FD6654">
      <w:pPr>
        <w:spacing w:line="240" w:lineRule="auto"/>
      </w:pPr>
    </w:p>
  </w:footnote>
  <w:footnote w:id="2">
    <w:p w14:paraId="3998DA65" w14:textId="572FC511" w:rsidR="003D1E14" w:rsidRDefault="003D1E14">
      <w:pPr>
        <w:pStyle w:val="FootnoteText"/>
      </w:pPr>
      <w:r>
        <w:rPr>
          <w:rStyle w:val="FootnoteReference"/>
        </w:rPr>
        <w:footnoteRef/>
      </w:r>
      <w:r>
        <w:t xml:space="preserve"> </w:t>
      </w:r>
      <w:r w:rsidR="005748F6" w:rsidRPr="00904CDD">
        <w:rPr>
          <w:sz w:val="18"/>
          <w:szCs w:val="18"/>
        </w:rPr>
        <w:t xml:space="preserve">In some situations, discussed below, there may be a temptation to </w:t>
      </w:r>
      <w:r w:rsidR="00A151DB" w:rsidRPr="00904CDD">
        <w:rPr>
          <w:sz w:val="18"/>
          <w:szCs w:val="18"/>
        </w:rPr>
        <w:t xml:space="preserve">set affiliate fees higher to artificially inflate the rates charged to other </w:t>
      </w:r>
      <w:r w:rsidR="00904CDD" w:rsidRPr="00904CDD">
        <w:rPr>
          <w:sz w:val="18"/>
          <w:szCs w:val="18"/>
        </w:rPr>
        <w:t>pole attachers.</w:t>
      </w:r>
      <w:r w:rsidR="00904CDD">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D7099"/>
    <w:multiLevelType w:val="hybridMultilevel"/>
    <w:tmpl w:val="EE7E0B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493D27"/>
    <w:multiLevelType w:val="hybridMultilevel"/>
    <w:tmpl w:val="5ECACA2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9E0AB5"/>
    <w:multiLevelType w:val="hybridMultilevel"/>
    <w:tmpl w:val="8E8AD31A"/>
    <w:lvl w:ilvl="0" w:tplc="444EE9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1A53AC"/>
    <w:multiLevelType w:val="hybridMultilevel"/>
    <w:tmpl w:val="440C07C8"/>
    <w:lvl w:ilvl="0" w:tplc="04090019">
      <w:start w:val="1"/>
      <w:numFmt w:val="lowerLetter"/>
      <w:lvlText w:val="%1."/>
      <w:lvlJc w:val="left"/>
      <w:pPr>
        <w:ind w:left="1110" w:hanging="390"/>
      </w:pPr>
      <w:rPr>
        <w:rFonts w:hint="default"/>
        <w:b/>
      </w:rPr>
    </w:lvl>
    <w:lvl w:ilvl="1" w:tplc="04090019">
      <w:start w:val="1"/>
      <w:numFmt w:val="lowerLetter"/>
      <w:lvlText w:val="%2."/>
      <w:lvlJc w:val="left"/>
      <w:pPr>
        <w:ind w:left="1800" w:hanging="360"/>
      </w:pPr>
    </w:lvl>
    <w:lvl w:ilvl="2" w:tplc="0409000F">
      <w:start w:val="1"/>
      <w:numFmt w:val="decimal"/>
      <w:lvlText w:val="%3."/>
      <w:lvlJc w:val="left"/>
      <w:pPr>
        <w:ind w:left="180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2F2DD7"/>
    <w:multiLevelType w:val="hybridMultilevel"/>
    <w:tmpl w:val="748A5374"/>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441B7A30"/>
    <w:multiLevelType w:val="hybridMultilevel"/>
    <w:tmpl w:val="0510830A"/>
    <w:lvl w:ilvl="0" w:tplc="6652DB2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2650851"/>
    <w:multiLevelType w:val="hybridMultilevel"/>
    <w:tmpl w:val="94DAF234"/>
    <w:lvl w:ilvl="0" w:tplc="53F2E846">
      <w:start w:val="1"/>
      <w:numFmt w:val="lowerLetter"/>
      <w:lvlText w:val="%1."/>
      <w:lvlJc w:val="left"/>
      <w:pPr>
        <w:ind w:left="720" w:hanging="360"/>
      </w:pPr>
      <w:rPr>
        <w:b w:val="0"/>
      </w:rPr>
    </w:lvl>
    <w:lvl w:ilvl="1" w:tplc="54A6BD60">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D841E6"/>
    <w:multiLevelType w:val="hybridMultilevel"/>
    <w:tmpl w:val="440C07C8"/>
    <w:lvl w:ilvl="0" w:tplc="04090019">
      <w:start w:val="1"/>
      <w:numFmt w:val="lowerLetter"/>
      <w:lvlText w:val="%1."/>
      <w:lvlJc w:val="left"/>
      <w:pPr>
        <w:ind w:left="1110" w:hanging="390"/>
      </w:pPr>
      <w:rPr>
        <w:rFonts w:hint="default"/>
        <w:b/>
      </w:rPr>
    </w:lvl>
    <w:lvl w:ilvl="1" w:tplc="04090019">
      <w:start w:val="1"/>
      <w:numFmt w:val="lowerLetter"/>
      <w:lvlText w:val="%2."/>
      <w:lvlJc w:val="left"/>
      <w:pPr>
        <w:ind w:left="1800" w:hanging="360"/>
      </w:pPr>
    </w:lvl>
    <w:lvl w:ilvl="2" w:tplc="0409000F">
      <w:start w:val="1"/>
      <w:numFmt w:val="decimal"/>
      <w:lvlText w:val="%3."/>
      <w:lvlJc w:val="left"/>
      <w:pPr>
        <w:ind w:left="180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F32806"/>
    <w:multiLevelType w:val="hybridMultilevel"/>
    <w:tmpl w:val="C168361C"/>
    <w:lvl w:ilvl="0" w:tplc="116C9E4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AB9572E"/>
    <w:multiLevelType w:val="hybridMultilevel"/>
    <w:tmpl w:val="43DE22FE"/>
    <w:lvl w:ilvl="0" w:tplc="2C029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8"/>
  </w:num>
  <w:num w:numId="5">
    <w:abstractNumId w:val="6"/>
  </w:num>
  <w:num w:numId="6">
    <w:abstractNumId w:val="2"/>
  </w:num>
  <w:num w:numId="7">
    <w:abstractNumId w:val="0"/>
  </w:num>
  <w:num w:numId="8">
    <w:abstractNumId w:val="1"/>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23"/>
    <w:rsid w:val="00022641"/>
    <w:rsid w:val="0002482F"/>
    <w:rsid w:val="00026F3C"/>
    <w:rsid w:val="000349E5"/>
    <w:rsid w:val="00036455"/>
    <w:rsid w:val="00037C81"/>
    <w:rsid w:val="0004228B"/>
    <w:rsid w:val="00044442"/>
    <w:rsid w:val="0004686A"/>
    <w:rsid w:val="000509C7"/>
    <w:rsid w:val="00052E08"/>
    <w:rsid w:val="000651F4"/>
    <w:rsid w:val="00065CB5"/>
    <w:rsid w:val="00067B63"/>
    <w:rsid w:val="00067F20"/>
    <w:rsid w:val="0007413D"/>
    <w:rsid w:val="00083C3E"/>
    <w:rsid w:val="00083CE7"/>
    <w:rsid w:val="000870E0"/>
    <w:rsid w:val="00090415"/>
    <w:rsid w:val="00090A9C"/>
    <w:rsid w:val="0009226E"/>
    <w:rsid w:val="00094BA6"/>
    <w:rsid w:val="0009776B"/>
    <w:rsid w:val="000B19A5"/>
    <w:rsid w:val="000B55AC"/>
    <w:rsid w:val="000B598C"/>
    <w:rsid w:val="000B5F6A"/>
    <w:rsid w:val="000B6B13"/>
    <w:rsid w:val="000C17A1"/>
    <w:rsid w:val="000C34E4"/>
    <w:rsid w:val="000C50A2"/>
    <w:rsid w:val="000C5DAD"/>
    <w:rsid w:val="000C5EDC"/>
    <w:rsid w:val="000C624B"/>
    <w:rsid w:val="000E6879"/>
    <w:rsid w:val="000E7529"/>
    <w:rsid w:val="000F42B2"/>
    <w:rsid w:val="00100B11"/>
    <w:rsid w:val="00106616"/>
    <w:rsid w:val="00106ED0"/>
    <w:rsid w:val="0011116B"/>
    <w:rsid w:val="001256B0"/>
    <w:rsid w:val="00144442"/>
    <w:rsid w:val="0014556E"/>
    <w:rsid w:val="00145F14"/>
    <w:rsid w:val="001545E0"/>
    <w:rsid w:val="00161991"/>
    <w:rsid w:val="00164611"/>
    <w:rsid w:val="00170952"/>
    <w:rsid w:val="00172364"/>
    <w:rsid w:val="00172382"/>
    <w:rsid w:val="001764A1"/>
    <w:rsid w:val="001827B0"/>
    <w:rsid w:val="00183167"/>
    <w:rsid w:val="0019093F"/>
    <w:rsid w:val="00196123"/>
    <w:rsid w:val="001A7A60"/>
    <w:rsid w:val="001B0626"/>
    <w:rsid w:val="001B480C"/>
    <w:rsid w:val="001B5F62"/>
    <w:rsid w:val="001C4B33"/>
    <w:rsid w:val="001C7237"/>
    <w:rsid w:val="001D5DF7"/>
    <w:rsid w:val="001D6220"/>
    <w:rsid w:val="001D6CD4"/>
    <w:rsid w:val="001E075E"/>
    <w:rsid w:val="001E7340"/>
    <w:rsid w:val="001F2AC4"/>
    <w:rsid w:val="00203E87"/>
    <w:rsid w:val="00204300"/>
    <w:rsid w:val="002208D1"/>
    <w:rsid w:val="002217DF"/>
    <w:rsid w:val="00222614"/>
    <w:rsid w:val="002345F6"/>
    <w:rsid w:val="0025799B"/>
    <w:rsid w:val="002612B5"/>
    <w:rsid w:val="00261AD3"/>
    <w:rsid w:val="00265FE9"/>
    <w:rsid w:val="00276CC6"/>
    <w:rsid w:val="00287CC0"/>
    <w:rsid w:val="00294EB4"/>
    <w:rsid w:val="0029533C"/>
    <w:rsid w:val="00297099"/>
    <w:rsid w:val="002A3986"/>
    <w:rsid w:val="002B4163"/>
    <w:rsid w:val="002B7BD3"/>
    <w:rsid w:val="002D1630"/>
    <w:rsid w:val="002D2F24"/>
    <w:rsid w:val="002F02A4"/>
    <w:rsid w:val="002F0546"/>
    <w:rsid w:val="002F39D1"/>
    <w:rsid w:val="003001F7"/>
    <w:rsid w:val="00304775"/>
    <w:rsid w:val="00304999"/>
    <w:rsid w:val="0030507D"/>
    <w:rsid w:val="00307D9E"/>
    <w:rsid w:val="00310433"/>
    <w:rsid w:val="003206BC"/>
    <w:rsid w:val="00327D51"/>
    <w:rsid w:val="0033011D"/>
    <w:rsid w:val="003375D9"/>
    <w:rsid w:val="00344557"/>
    <w:rsid w:val="00351196"/>
    <w:rsid w:val="00356BBA"/>
    <w:rsid w:val="003576F5"/>
    <w:rsid w:val="00371DFC"/>
    <w:rsid w:val="00373455"/>
    <w:rsid w:val="003761A7"/>
    <w:rsid w:val="00382FEB"/>
    <w:rsid w:val="00393E4F"/>
    <w:rsid w:val="00397DBB"/>
    <w:rsid w:val="003A41A6"/>
    <w:rsid w:val="003A58EB"/>
    <w:rsid w:val="003A662B"/>
    <w:rsid w:val="003A704C"/>
    <w:rsid w:val="003B5838"/>
    <w:rsid w:val="003B5EFC"/>
    <w:rsid w:val="003C0995"/>
    <w:rsid w:val="003C1476"/>
    <w:rsid w:val="003C4415"/>
    <w:rsid w:val="003D1E14"/>
    <w:rsid w:val="003D7F7F"/>
    <w:rsid w:val="003E18FA"/>
    <w:rsid w:val="003E20B1"/>
    <w:rsid w:val="003E2A00"/>
    <w:rsid w:val="003E57E1"/>
    <w:rsid w:val="00400DFB"/>
    <w:rsid w:val="00402AD7"/>
    <w:rsid w:val="004067C8"/>
    <w:rsid w:val="00416061"/>
    <w:rsid w:val="004264E9"/>
    <w:rsid w:val="00446159"/>
    <w:rsid w:val="00446791"/>
    <w:rsid w:val="004468A3"/>
    <w:rsid w:val="00457DF3"/>
    <w:rsid w:val="00463A35"/>
    <w:rsid w:val="00487AF6"/>
    <w:rsid w:val="00491534"/>
    <w:rsid w:val="0049370E"/>
    <w:rsid w:val="004A3822"/>
    <w:rsid w:val="004A5559"/>
    <w:rsid w:val="004C2C1C"/>
    <w:rsid w:val="004C7EFF"/>
    <w:rsid w:val="004D1C25"/>
    <w:rsid w:val="004D28E6"/>
    <w:rsid w:val="004D2BFE"/>
    <w:rsid w:val="004D54A7"/>
    <w:rsid w:val="004D79A7"/>
    <w:rsid w:val="004E3C72"/>
    <w:rsid w:val="004E47BF"/>
    <w:rsid w:val="004E6D62"/>
    <w:rsid w:val="004F2056"/>
    <w:rsid w:val="004F20C5"/>
    <w:rsid w:val="004F62D1"/>
    <w:rsid w:val="005049CA"/>
    <w:rsid w:val="00507CAC"/>
    <w:rsid w:val="0051398F"/>
    <w:rsid w:val="00516D6C"/>
    <w:rsid w:val="0052280D"/>
    <w:rsid w:val="00525E3E"/>
    <w:rsid w:val="0053153F"/>
    <w:rsid w:val="00537843"/>
    <w:rsid w:val="00537E5E"/>
    <w:rsid w:val="00540A4B"/>
    <w:rsid w:val="00541B94"/>
    <w:rsid w:val="00544D40"/>
    <w:rsid w:val="00546D6E"/>
    <w:rsid w:val="00551687"/>
    <w:rsid w:val="00560DFE"/>
    <w:rsid w:val="00563A6F"/>
    <w:rsid w:val="00566ADE"/>
    <w:rsid w:val="00567E0D"/>
    <w:rsid w:val="00572DF5"/>
    <w:rsid w:val="005748F6"/>
    <w:rsid w:val="005752C7"/>
    <w:rsid w:val="0057644C"/>
    <w:rsid w:val="00585FC2"/>
    <w:rsid w:val="00587AA8"/>
    <w:rsid w:val="005A3B43"/>
    <w:rsid w:val="005B2363"/>
    <w:rsid w:val="005B4927"/>
    <w:rsid w:val="005C23DB"/>
    <w:rsid w:val="005D17DB"/>
    <w:rsid w:val="005D6135"/>
    <w:rsid w:val="005E570D"/>
    <w:rsid w:val="005E580B"/>
    <w:rsid w:val="005E5E73"/>
    <w:rsid w:val="005E7987"/>
    <w:rsid w:val="005E7AB6"/>
    <w:rsid w:val="005F392D"/>
    <w:rsid w:val="005F4AA9"/>
    <w:rsid w:val="005F5B25"/>
    <w:rsid w:val="00622191"/>
    <w:rsid w:val="00622768"/>
    <w:rsid w:val="0063184E"/>
    <w:rsid w:val="00633226"/>
    <w:rsid w:val="00637DDC"/>
    <w:rsid w:val="0065053E"/>
    <w:rsid w:val="00655EB3"/>
    <w:rsid w:val="00660B17"/>
    <w:rsid w:val="0067274E"/>
    <w:rsid w:val="00677D1A"/>
    <w:rsid w:val="00685B0E"/>
    <w:rsid w:val="00694224"/>
    <w:rsid w:val="00695415"/>
    <w:rsid w:val="00695506"/>
    <w:rsid w:val="006967B4"/>
    <w:rsid w:val="006A0282"/>
    <w:rsid w:val="006A2EAC"/>
    <w:rsid w:val="006B165B"/>
    <w:rsid w:val="006C04DE"/>
    <w:rsid w:val="006C6E7E"/>
    <w:rsid w:val="006E1E6B"/>
    <w:rsid w:val="006F2FB2"/>
    <w:rsid w:val="006F6763"/>
    <w:rsid w:val="006F6B4A"/>
    <w:rsid w:val="007016CB"/>
    <w:rsid w:val="007046ED"/>
    <w:rsid w:val="007125E9"/>
    <w:rsid w:val="00716147"/>
    <w:rsid w:val="007206CD"/>
    <w:rsid w:val="00722EF7"/>
    <w:rsid w:val="007260DD"/>
    <w:rsid w:val="00731223"/>
    <w:rsid w:val="00754223"/>
    <w:rsid w:val="00754B11"/>
    <w:rsid w:val="00762AAB"/>
    <w:rsid w:val="00764366"/>
    <w:rsid w:val="00766174"/>
    <w:rsid w:val="0076709E"/>
    <w:rsid w:val="007702B8"/>
    <w:rsid w:val="00770562"/>
    <w:rsid w:val="0077273F"/>
    <w:rsid w:val="007742B5"/>
    <w:rsid w:val="0078027D"/>
    <w:rsid w:val="007808D7"/>
    <w:rsid w:val="007878BD"/>
    <w:rsid w:val="00787D51"/>
    <w:rsid w:val="00790194"/>
    <w:rsid w:val="00794F72"/>
    <w:rsid w:val="007A39F1"/>
    <w:rsid w:val="007B1191"/>
    <w:rsid w:val="007B1374"/>
    <w:rsid w:val="007C07C2"/>
    <w:rsid w:val="007D095F"/>
    <w:rsid w:val="007D479A"/>
    <w:rsid w:val="007D4B0E"/>
    <w:rsid w:val="007E1500"/>
    <w:rsid w:val="007E1E8A"/>
    <w:rsid w:val="007E66D9"/>
    <w:rsid w:val="007E73B8"/>
    <w:rsid w:val="007F4BEA"/>
    <w:rsid w:val="00800C83"/>
    <w:rsid w:val="00806C57"/>
    <w:rsid w:val="00807335"/>
    <w:rsid w:val="008074FE"/>
    <w:rsid w:val="00817855"/>
    <w:rsid w:val="0082118F"/>
    <w:rsid w:val="008212FF"/>
    <w:rsid w:val="00831EE2"/>
    <w:rsid w:val="0083701B"/>
    <w:rsid w:val="008519EE"/>
    <w:rsid w:val="00852252"/>
    <w:rsid w:val="00852AAC"/>
    <w:rsid w:val="00855FF3"/>
    <w:rsid w:val="008726F7"/>
    <w:rsid w:val="008774E9"/>
    <w:rsid w:val="00894799"/>
    <w:rsid w:val="008954A7"/>
    <w:rsid w:val="0089666B"/>
    <w:rsid w:val="008A3334"/>
    <w:rsid w:val="008B3E86"/>
    <w:rsid w:val="008B472F"/>
    <w:rsid w:val="008C4AB1"/>
    <w:rsid w:val="008D0262"/>
    <w:rsid w:val="008E4750"/>
    <w:rsid w:val="008F0F5C"/>
    <w:rsid w:val="008F4615"/>
    <w:rsid w:val="008F5E9C"/>
    <w:rsid w:val="008F67D3"/>
    <w:rsid w:val="008F7994"/>
    <w:rsid w:val="008F7AE9"/>
    <w:rsid w:val="00904CDD"/>
    <w:rsid w:val="00910597"/>
    <w:rsid w:val="009171CD"/>
    <w:rsid w:val="00924384"/>
    <w:rsid w:val="00926DD8"/>
    <w:rsid w:val="009278EE"/>
    <w:rsid w:val="00934CF2"/>
    <w:rsid w:val="00943DD6"/>
    <w:rsid w:val="00955E7D"/>
    <w:rsid w:val="00965372"/>
    <w:rsid w:val="009778A7"/>
    <w:rsid w:val="00985D6E"/>
    <w:rsid w:val="00987667"/>
    <w:rsid w:val="00992923"/>
    <w:rsid w:val="00993C62"/>
    <w:rsid w:val="009944FF"/>
    <w:rsid w:val="009A5B08"/>
    <w:rsid w:val="009B33E1"/>
    <w:rsid w:val="009C3BCE"/>
    <w:rsid w:val="009D174E"/>
    <w:rsid w:val="009D29A3"/>
    <w:rsid w:val="009D34FC"/>
    <w:rsid w:val="009E7A59"/>
    <w:rsid w:val="009F2F28"/>
    <w:rsid w:val="00A017BE"/>
    <w:rsid w:val="00A03B82"/>
    <w:rsid w:val="00A05641"/>
    <w:rsid w:val="00A151DB"/>
    <w:rsid w:val="00A205C6"/>
    <w:rsid w:val="00A225BA"/>
    <w:rsid w:val="00A26A71"/>
    <w:rsid w:val="00A27FE4"/>
    <w:rsid w:val="00A35380"/>
    <w:rsid w:val="00A37E9D"/>
    <w:rsid w:val="00A438C3"/>
    <w:rsid w:val="00A45CF8"/>
    <w:rsid w:val="00A47AA8"/>
    <w:rsid w:val="00A5180E"/>
    <w:rsid w:val="00A532CE"/>
    <w:rsid w:val="00A55262"/>
    <w:rsid w:val="00A55C76"/>
    <w:rsid w:val="00A60804"/>
    <w:rsid w:val="00A63E8A"/>
    <w:rsid w:val="00A668EA"/>
    <w:rsid w:val="00A82675"/>
    <w:rsid w:val="00A82AE2"/>
    <w:rsid w:val="00A831CB"/>
    <w:rsid w:val="00A8352F"/>
    <w:rsid w:val="00A905BD"/>
    <w:rsid w:val="00AA655B"/>
    <w:rsid w:val="00AB0F5D"/>
    <w:rsid w:val="00AC2128"/>
    <w:rsid w:val="00AC3A7B"/>
    <w:rsid w:val="00AD27DF"/>
    <w:rsid w:val="00AE76F1"/>
    <w:rsid w:val="00AF1AC3"/>
    <w:rsid w:val="00AF1DCA"/>
    <w:rsid w:val="00B01F23"/>
    <w:rsid w:val="00B1630E"/>
    <w:rsid w:val="00B17065"/>
    <w:rsid w:val="00B2299C"/>
    <w:rsid w:val="00B32E26"/>
    <w:rsid w:val="00B36067"/>
    <w:rsid w:val="00B411AE"/>
    <w:rsid w:val="00B41C82"/>
    <w:rsid w:val="00B63488"/>
    <w:rsid w:val="00B65BBD"/>
    <w:rsid w:val="00B70132"/>
    <w:rsid w:val="00B72A07"/>
    <w:rsid w:val="00B7432A"/>
    <w:rsid w:val="00B772CF"/>
    <w:rsid w:val="00B81B67"/>
    <w:rsid w:val="00B81BA7"/>
    <w:rsid w:val="00B8229D"/>
    <w:rsid w:val="00B8489B"/>
    <w:rsid w:val="00BA7808"/>
    <w:rsid w:val="00BB4A25"/>
    <w:rsid w:val="00BC39A5"/>
    <w:rsid w:val="00BC688C"/>
    <w:rsid w:val="00BD26DC"/>
    <w:rsid w:val="00C049C8"/>
    <w:rsid w:val="00C1360C"/>
    <w:rsid w:val="00C140B3"/>
    <w:rsid w:val="00C1673F"/>
    <w:rsid w:val="00C17F07"/>
    <w:rsid w:val="00C201AB"/>
    <w:rsid w:val="00C21AFC"/>
    <w:rsid w:val="00C235C4"/>
    <w:rsid w:val="00C24327"/>
    <w:rsid w:val="00C24CDE"/>
    <w:rsid w:val="00C30FB8"/>
    <w:rsid w:val="00C3234D"/>
    <w:rsid w:val="00C4478A"/>
    <w:rsid w:val="00C464B2"/>
    <w:rsid w:val="00C55552"/>
    <w:rsid w:val="00C55FC4"/>
    <w:rsid w:val="00C71B1E"/>
    <w:rsid w:val="00C742C6"/>
    <w:rsid w:val="00C75974"/>
    <w:rsid w:val="00C80D67"/>
    <w:rsid w:val="00C9299F"/>
    <w:rsid w:val="00CB3A9C"/>
    <w:rsid w:val="00CB5F68"/>
    <w:rsid w:val="00CE082B"/>
    <w:rsid w:val="00CE4DDC"/>
    <w:rsid w:val="00CE51E7"/>
    <w:rsid w:val="00CF4D6C"/>
    <w:rsid w:val="00CF5ADA"/>
    <w:rsid w:val="00D04CB1"/>
    <w:rsid w:val="00D07160"/>
    <w:rsid w:val="00D07C82"/>
    <w:rsid w:val="00D105E0"/>
    <w:rsid w:val="00D11038"/>
    <w:rsid w:val="00D161CB"/>
    <w:rsid w:val="00D2769A"/>
    <w:rsid w:val="00D32E80"/>
    <w:rsid w:val="00D3352A"/>
    <w:rsid w:val="00D44FF6"/>
    <w:rsid w:val="00D45700"/>
    <w:rsid w:val="00D47FFC"/>
    <w:rsid w:val="00D534EB"/>
    <w:rsid w:val="00D538DB"/>
    <w:rsid w:val="00D5566D"/>
    <w:rsid w:val="00D66FB9"/>
    <w:rsid w:val="00D74B20"/>
    <w:rsid w:val="00D85B46"/>
    <w:rsid w:val="00D955B4"/>
    <w:rsid w:val="00DA68F2"/>
    <w:rsid w:val="00DB2B7E"/>
    <w:rsid w:val="00DB6C42"/>
    <w:rsid w:val="00DC1AE2"/>
    <w:rsid w:val="00DC21B3"/>
    <w:rsid w:val="00DD41D0"/>
    <w:rsid w:val="00DD53B5"/>
    <w:rsid w:val="00DE294B"/>
    <w:rsid w:val="00E01994"/>
    <w:rsid w:val="00E12661"/>
    <w:rsid w:val="00E14695"/>
    <w:rsid w:val="00E15AD9"/>
    <w:rsid w:val="00E16425"/>
    <w:rsid w:val="00E224E8"/>
    <w:rsid w:val="00E22DCC"/>
    <w:rsid w:val="00E25BAA"/>
    <w:rsid w:val="00E26B9A"/>
    <w:rsid w:val="00E41A0C"/>
    <w:rsid w:val="00E43463"/>
    <w:rsid w:val="00E47F15"/>
    <w:rsid w:val="00E516D6"/>
    <w:rsid w:val="00E51905"/>
    <w:rsid w:val="00E63E22"/>
    <w:rsid w:val="00E67546"/>
    <w:rsid w:val="00E77A40"/>
    <w:rsid w:val="00E8357F"/>
    <w:rsid w:val="00E84315"/>
    <w:rsid w:val="00EA18E6"/>
    <w:rsid w:val="00EA6673"/>
    <w:rsid w:val="00EB5217"/>
    <w:rsid w:val="00EB6D49"/>
    <w:rsid w:val="00EC1574"/>
    <w:rsid w:val="00EC6038"/>
    <w:rsid w:val="00EC7520"/>
    <w:rsid w:val="00EE026F"/>
    <w:rsid w:val="00EE3F52"/>
    <w:rsid w:val="00EF376A"/>
    <w:rsid w:val="00EF48DE"/>
    <w:rsid w:val="00EF5DF1"/>
    <w:rsid w:val="00EF7949"/>
    <w:rsid w:val="00F06843"/>
    <w:rsid w:val="00F14078"/>
    <w:rsid w:val="00F15943"/>
    <w:rsid w:val="00F21411"/>
    <w:rsid w:val="00F30A98"/>
    <w:rsid w:val="00F32411"/>
    <w:rsid w:val="00F44B72"/>
    <w:rsid w:val="00F44D5F"/>
    <w:rsid w:val="00F4589C"/>
    <w:rsid w:val="00F50C1C"/>
    <w:rsid w:val="00F5450E"/>
    <w:rsid w:val="00F5662D"/>
    <w:rsid w:val="00F62D5B"/>
    <w:rsid w:val="00F6384E"/>
    <w:rsid w:val="00F65437"/>
    <w:rsid w:val="00F71DED"/>
    <w:rsid w:val="00F724ED"/>
    <w:rsid w:val="00F72B95"/>
    <w:rsid w:val="00F75357"/>
    <w:rsid w:val="00F80C5F"/>
    <w:rsid w:val="00F931FF"/>
    <w:rsid w:val="00F95295"/>
    <w:rsid w:val="00F95907"/>
    <w:rsid w:val="00F97F3C"/>
    <w:rsid w:val="00FA08DD"/>
    <w:rsid w:val="00FA2701"/>
    <w:rsid w:val="00FA3E53"/>
    <w:rsid w:val="00FA44B0"/>
    <w:rsid w:val="00FB2C2A"/>
    <w:rsid w:val="00FB366F"/>
    <w:rsid w:val="00FB69BE"/>
    <w:rsid w:val="00FC58D5"/>
    <w:rsid w:val="00FC60F1"/>
    <w:rsid w:val="00FD4292"/>
    <w:rsid w:val="00FD6654"/>
    <w:rsid w:val="00FE414D"/>
    <w:rsid w:val="00FF0EFF"/>
    <w:rsid w:val="00FF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0C8A28"/>
  <w15:chartTrackingRefBased/>
  <w15:docId w15:val="{7B402AFD-B66D-424D-A936-0F304AD5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A017B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017B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5799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99B"/>
    <w:rPr>
      <w:rFonts w:ascii="Segoe UI" w:hAnsi="Segoe UI" w:cs="Segoe UI"/>
      <w:sz w:val="18"/>
      <w:szCs w:val="18"/>
    </w:rPr>
  </w:style>
  <w:style w:type="paragraph" w:styleId="ListParagraph">
    <w:name w:val="List Paragraph"/>
    <w:basedOn w:val="Normal"/>
    <w:uiPriority w:val="34"/>
    <w:qFormat/>
    <w:rsid w:val="005F5B25"/>
    <w:pPr>
      <w:ind w:left="720"/>
      <w:contextualSpacing/>
    </w:pPr>
  </w:style>
  <w:style w:type="character" w:styleId="CommentReference">
    <w:name w:val="annotation reference"/>
    <w:basedOn w:val="DefaultParagraphFont"/>
    <w:uiPriority w:val="99"/>
    <w:semiHidden/>
    <w:unhideWhenUsed/>
    <w:rsid w:val="006A2EAC"/>
    <w:rPr>
      <w:sz w:val="16"/>
      <w:szCs w:val="16"/>
    </w:rPr>
  </w:style>
  <w:style w:type="paragraph" w:styleId="CommentText">
    <w:name w:val="annotation text"/>
    <w:basedOn w:val="Normal"/>
    <w:link w:val="CommentTextChar"/>
    <w:uiPriority w:val="99"/>
    <w:semiHidden/>
    <w:unhideWhenUsed/>
    <w:rsid w:val="006A2EAC"/>
    <w:pPr>
      <w:spacing w:line="240" w:lineRule="auto"/>
    </w:pPr>
    <w:rPr>
      <w:sz w:val="20"/>
      <w:szCs w:val="20"/>
    </w:rPr>
  </w:style>
  <w:style w:type="character" w:customStyle="1" w:styleId="CommentTextChar">
    <w:name w:val="Comment Text Char"/>
    <w:basedOn w:val="DefaultParagraphFont"/>
    <w:link w:val="CommentText"/>
    <w:uiPriority w:val="99"/>
    <w:semiHidden/>
    <w:rsid w:val="006A2EAC"/>
    <w:rPr>
      <w:sz w:val="20"/>
      <w:szCs w:val="20"/>
    </w:rPr>
  </w:style>
  <w:style w:type="paragraph" w:styleId="CommentSubject">
    <w:name w:val="annotation subject"/>
    <w:basedOn w:val="CommentText"/>
    <w:next w:val="CommentText"/>
    <w:link w:val="CommentSubjectChar"/>
    <w:uiPriority w:val="99"/>
    <w:semiHidden/>
    <w:unhideWhenUsed/>
    <w:rsid w:val="006A2EAC"/>
    <w:rPr>
      <w:b/>
      <w:bCs/>
    </w:rPr>
  </w:style>
  <w:style w:type="character" w:customStyle="1" w:styleId="CommentSubjectChar">
    <w:name w:val="Comment Subject Char"/>
    <w:basedOn w:val="CommentTextChar"/>
    <w:link w:val="CommentSubject"/>
    <w:uiPriority w:val="99"/>
    <w:semiHidden/>
    <w:rsid w:val="006A2EAC"/>
    <w:rPr>
      <w:b/>
      <w:bCs/>
      <w:sz w:val="20"/>
      <w:szCs w:val="20"/>
    </w:rPr>
  </w:style>
  <w:style w:type="paragraph" w:styleId="FootnoteText">
    <w:name w:val="footnote text"/>
    <w:basedOn w:val="Normal"/>
    <w:link w:val="FootnoteTextChar"/>
    <w:uiPriority w:val="99"/>
    <w:semiHidden/>
    <w:unhideWhenUsed/>
    <w:rsid w:val="003D1E14"/>
    <w:pPr>
      <w:spacing w:line="240" w:lineRule="auto"/>
    </w:pPr>
    <w:rPr>
      <w:sz w:val="20"/>
      <w:szCs w:val="20"/>
    </w:rPr>
  </w:style>
  <w:style w:type="character" w:customStyle="1" w:styleId="FootnoteTextChar">
    <w:name w:val="Footnote Text Char"/>
    <w:basedOn w:val="DefaultParagraphFont"/>
    <w:link w:val="FootnoteText"/>
    <w:uiPriority w:val="99"/>
    <w:semiHidden/>
    <w:rsid w:val="003D1E14"/>
    <w:rPr>
      <w:sz w:val="20"/>
      <w:szCs w:val="20"/>
    </w:rPr>
  </w:style>
  <w:style w:type="character" w:styleId="FootnoteReference">
    <w:name w:val="footnote reference"/>
    <w:basedOn w:val="DefaultParagraphFont"/>
    <w:uiPriority w:val="99"/>
    <w:semiHidden/>
    <w:unhideWhenUsed/>
    <w:rsid w:val="003D1E14"/>
    <w:rPr>
      <w:vertAlign w:val="superscript"/>
    </w:rPr>
  </w:style>
  <w:style w:type="paragraph" w:styleId="Header">
    <w:name w:val="header"/>
    <w:basedOn w:val="Normal"/>
    <w:link w:val="HeaderChar"/>
    <w:uiPriority w:val="99"/>
    <w:unhideWhenUsed/>
    <w:rsid w:val="00D11038"/>
    <w:pPr>
      <w:tabs>
        <w:tab w:val="center" w:pos="4680"/>
        <w:tab w:val="right" w:pos="9360"/>
      </w:tabs>
      <w:spacing w:line="240" w:lineRule="auto"/>
    </w:pPr>
  </w:style>
  <w:style w:type="character" w:customStyle="1" w:styleId="HeaderChar">
    <w:name w:val="Header Char"/>
    <w:basedOn w:val="DefaultParagraphFont"/>
    <w:link w:val="Header"/>
    <w:uiPriority w:val="99"/>
    <w:rsid w:val="00D11038"/>
  </w:style>
  <w:style w:type="paragraph" w:styleId="Footer">
    <w:name w:val="footer"/>
    <w:basedOn w:val="Normal"/>
    <w:link w:val="FooterChar"/>
    <w:uiPriority w:val="99"/>
    <w:unhideWhenUsed/>
    <w:rsid w:val="00D11038"/>
    <w:pPr>
      <w:tabs>
        <w:tab w:val="center" w:pos="4680"/>
        <w:tab w:val="right" w:pos="9360"/>
      </w:tabs>
      <w:spacing w:line="240" w:lineRule="auto"/>
    </w:pPr>
  </w:style>
  <w:style w:type="character" w:customStyle="1" w:styleId="FooterChar">
    <w:name w:val="Footer Char"/>
    <w:basedOn w:val="DefaultParagraphFont"/>
    <w:link w:val="Footer"/>
    <w:uiPriority w:val="99"/>
    <w:rsid w:val="00D11038"/>
  </w:style>
  <w:style w:type="character" w:styleId="Hyperlink">
    <w:name w:val="Hyperlink"/>
    <w:basedOn w:val="DefaultParagraphFont"/>
    <w:uiPriority w:val="99"/>
    <w:unhideWhenUsed/>
    <w:rsid w:val="00CF4D6C"/>
    <w:rPr>
      <w:color w:val="0563C1" w:themeColor="hyperlink"/>
      <w:u w:val="single"/>
    </w:rPr>
  </w:style>
  <w:style w:type="character" w:styleId="UnresolvedMention">
    <w:name w:val="Unresolved Mention"/>
    <w:basedOn w:val="DefaultParagraphFont"/>
    <w:uiPriority w:val="99"/>
    <w:semiHidden/>
    <w:unhideWhenUsed/>
    <w:rsid w:val="00CF4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382412">
      <w:bodyDiv w:val="1"/>
      <w:marLeft w:val="0"/>
      <w:marRight w:val="0"/>
      <w:marTop w:val="0"/>
      <w:marBottom w:val="0"/>
      <w:divBdr>
        <w:top w:val="none" w:sz="0" w:space="0" w:color="auto"/>
        <w:left w:val="none" w:sz="0" w:space="0" w:color="auto"/>
        <w:bottom w:val="none" w:sz="0" w:space="0" w:color="auto"/>
        <w:right w:val="none" w:sz="0" w:space="0" w:color="auto"/>
      </w:divBdr>
      <w:divsChild>
        <w:div w:id="1650866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foor@windstream.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5F326F24F88E4DBE8456C5E8AA859D" ma:contentTypeVersion="13" ma:contentTypeDescription="Create a new document." ma:contentTypeScope="" ma:versionID="961456e8d400b4ea8b6ba2fcb66641cf">
  <xsd:schema xmlns:xsd="http://www.w3.org/2001/XMLSchema" xmlns:xs="http://www.w3.org/2001/XMLSchema" xmlns:p="http://schemas.microsoft.com/office/2006/metadata/properties" xmlns:ns3="3e997e3d-33fc-407c-8ed8-43555c09fc96" xmlns:ns4="cf0e25dd-4e1b-47d5-a6be-d235ed314295" targetNamespace="http://schemas.microsoft.com/office/2006/metadata/properties" ma:root="true" ma:fieldsID="d64642392f1a22f3aa4f5e981c32fb75" ns3:_="" ns4:_="">
    <xsd:import namespace="3e997e3d-33fc-407c-8ed8-43555c09fc96"/>
    <xsd:import namespace="cf0e25dd-4e1b-47d5-a6be-d235ed3142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97e3d-33fc-407c-8ed8-43555c09f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0e25dd-4e1b-47d5-a6be-d235ed31429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54A21-24AC-4724-A2D0-A4BC46ADBEF1}">
  <ds:schemaRefs>
    <ds:schemaRef ds:uri="http://schemas.microsoft.com/sharepoint/v3/contenttype/forms"/>
  </ds:schemaRefs>
</ds:datastoreItem>
</file>

<file path=customXml/itemProps2.xml><?xml version="1.0" encoding="utf-8"?>
<ds:datastoreItem xmlns:ds="http://schemas.openxmlformats.org/officeDocument/2006/customXml" ds:itemID="{AE12DF2C-D2CA-431D-8164-2B5505553D66}">
  <ds:schemaRefs>
    <ds:schemaRef ds:uri="http://schemas.microsoft.com/office/2006/metadata/properties"/>
    <ds:schemaRef ds:uri="http://purl.org/dc/elements/1.1/"/>
    <ds:schemaRef ds:uri="cf0e25dd-4e1b-47d5-a6be-d235ed314295"/>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3e997e3d-33fc-407c-8ed8-43555c09fc96"/>
    <ds:schemaRef ds:uri="http://www.w3.org/XML/1998/namespace"/>
    <ds:schemaRef ds:uri="http://purl.org/dc/dcmitype/"/>
  </ds:schemaRefs>
</ds:datastoreItem>
</file>

<file path=customXml/itemProps3.xml><?xml version="1.0" encoding="utf-8"?>
<ds:datastoreItem xmlns:ds="http://schemas.openxmlformats.org/officeDocument/2006/customXml" ds:itemID="{F1A2387B-D499-4286-B92E-6F849319E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97e3d-33fc-407c-8ed8-43555c09fc96"/>
    <ds:schemaRef ds:uri="cf0e25dd-4e1b-47d5-a6be-d235ed31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B0EDD6-A002-48CE-A063-B1F806A7B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3057</Words>
  <Characters>17425</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Kelliher, Dawn R</dc:creator>
  <cp:keywords/>
  <dc:description/>
  <cp:lastModifiedBy>Foor, Michael P</cp:lastModifiedBy>
  <cp:revision>2</cp:revision>
  <cp:lastPrinted>2019-11-07T17:17:00Z</cp:lastPrinted>
  <dcterms:created xsi:type="dcterms:W3CDTF">2019-11-11T20:37:00Z</dcterms:created>
  <dcterms:modified xsi:type="dcterms:W3CDTF">2019-11-11T20:37:00Z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0x010100DA5F326F24F88E4DBE8456C5E8AA859D</vt:lpwstr>
  </property>
  <property fmtid="{D5CDD505-2E9C-101B-9397-08002B2CF9AE}" pid="3" name="MSIP_Label_5a0720e8-2283-4502-917f-4c0aee493a24_Enabled">
    <vt:lpwstr>True</vt:lpwstr>
  </property>
  <property fmtid="{D5CDD505-2E9C-101B-9397-08002B2CF9AE}" pid="4" name="MSIP_Label_5a0720e8-2283-4502-917f-4c0aee493a24_SiteId">
    <vt:lpwstr>2567b4c1-b0ed-40f5-aee3-58d7c5f3e2b2</vt:lpwstr>
  </property>
  <property fmtid="{D5CDD505-2E9C-101B-9397-08002B2CF9AE}" pid="5" name="MSIP_Label_5a0720e8-2283-4502-917f-4c0aee493a24_Owner">
    <vt:lpwstr>e0183150@windstream.com</vt:lpwstr>
  </property>
  <property fmtid="{D5CDD505-2E9C-101B-9397-08002B2CF9AE}" pid="6" name="MSIP_Label_5a0720e8-2283-4502-917f-4c0aee493a24_SetDate">
    <vt:lpwstr>2019-10-28T15:30:51.7095945Z</vt:lpwstr>
  </property>
  <property fmtid="{D5CDD505-2E9C-101B-9397-08002B2CF9AE}" pid="7" name="MSIP_Label_5a0720e8-2283-4502-917f-4c0aee493a24_Name">
    <vt:lpwstr>Internal</vt:lpwstr>
  </property>
  <property fmtid="{D5CDD505-2E9C-101B-9397-08002B2CF9AE}" pid="8" name="MSIP_Label_5a0720e8-2283-4502-917f-4c0aee493a24_Application">
    <vt:lpwstr>Microsoft Azure Information Protection</vt:lpwstr>
  </property>
  <property fmtid="{D5CDD505-2E9C-101B-9397-08002B2CF9AE}" pid="9" name="MSIP_Label_5a0720e8-2283-4502-917f-4c0aee493a24_Extended_MSFT_Method">
    <vt:lpwstr>Automatic</vt:lpwstr>
  </property>
  <property fmtid="{D5CDD505-2E9C-101B-9397-08002B2CF9AE}" pid="10" name="Sensitivity">
    <vt:lpwstr>Internal</vt:lpwstr>
  </property>
</Properties>
</file>