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75B5E" w14:textId="77777777" w:rsidR="00823379" w:rsidRPr="00DB5977" w:rsidRDefault="00823379" w:rsidP="00823379">
      <w:pPr>
        <w:suppressLineNumbers/>
        <w:tabs>
          <w:tab w:val="right" w:pos="6660"/>
          <w:tab w:val="left" w:pos="6840"/>
        </w:tabs>
        <w:spacing w:after="0" w:line="240" w:lineRule="auto"/>
        <w:ind w:firstLine="5760"/>
        <w:rPr>
          <w:rFonts w:ascii="Verdana" w:hAnsi="Verdana" w:cstheme="minorHAnsi"/>
          <w:sz w:val="20"/>
          <w:szCs w:val="20"/>
        </w:rPr>
      </w:pPr>
      <w:bookmarkStart w:id="0" w:name="_Toc418589724"/>
      <w:bookmarkStart w:id="1" w:name="_Toc415732844"/>
    </w:p>
    <w:p w14:paraId="7D78DC4B" w14:textId="77777777" w:rsidR="00823379" w:rsidRPr="00DB5977" w:rsidRDefault="00823379" w:rsidP="00823379">
      <w:pPr>
        <w:suppressLineNumbers/>
        <w:tabs>
          <w:tab w:val="right" w:pos="6660"/>
          <w:tab w:val="left" w:pos="6840"/>
        </w:tabs>
        <w:spacing w:after="0" w:line="240" w:lineRule="auto"/>
        <w:ind w:firstLine="5760"/>
        <w:rPr>
          <w:rFonts w:ascii="Verdana" w:hAnsi="Verdana" w:cstheme="minorHAnsi"/>
          <w:sz w:val="20"/>
          <w:szCs w:val="18"/>
        </w:rPr>
      </w:pPr>
    </w:p>
    <w:p w14:paraId="20A81D76" w14:textId="77777777" w:rsidR="00823379" w:rsidRPr="00DB5977" w:rsidRDefault="00823379" w:rsidP="00A76731">
      <w:pPr>
        <w:suppressLineNumbers/>
        <w:tabs>
          <w:tab w:val="left" w:pos="1719"/>
        </w:tabs>
        <w:spacing w:after="0" w:line="240" w:lineRule="auto"/>
        <w:jc w:val="center"/>
        <w:rPr>
          <w:rFonts w:ascii="Verdana" w:hAnsi="Verdana" w:cstheme="minorHAnsi"/>
          <w:b/>
          <w:bCs/>
          <w:sz w:val="20"/>
          <w:szCs w:val="20"/>
        </w:rPr>
      </w:pPr>
      <w:r w:rsidRPr="00DB5977">
        <w:rPr>
          <w:rFonts w:ascii="Verdana" w:hAnsi="Verdana" w:cstheme="minorHAnsi"/>
          <w:b/>
          <w:bCs/>
          <w:sz w:val="20"/>
          <w:szCs w:val="20"/>
        </w:rPr>
        <w:t>BEFORE THE</w:t>
      </w:r>
      <w:r w:rsidR="00A76731" w:rsidRPr="00DB5977">
        <w:rPr>
          <w:rFonts w:ascii="Verdana" w:hAnsi="Verdana" w:cstheme="minorHAnsi"/>
          <w:b/>
          <w:bCs/>
          <w:sz w:val="20"/>
          <w:szCs w:val="20"/>
        </w:rPr>
        <w:t xml:space="preserve"> </w:t>
      </w:r>
      <w:r w:rsidR="00555C34" w:rsidRPr="00DB5977">
        <w:rPr>
          <w:rFonts w:ascii="Verdana" w:hAnsi="Verdana" w:cstheme="minorHAnsi"/>
          <w:b/>
          <w:bCs/>
          <w:sz w:val="20"/>
          <w:szCs w:val="20"/>
        </w:rPr>
        <w:t>GEORGIA PUBLIC SERVICE COMMISSION</w:t>
      </w:r>
      <w:r w:rsidRPr="00DB5977">
        <w:rPr>
          <w:rFonts w:ascii="Verdana" w:hAnsi="Verdana" w:cstheme="minorHAnsi"/>
          <w:b/>
          <w:bCs/>
          <w:sz w:val="20"/>
          <w:szCs w:val="20"/>
        </w:rPr>
        <w:t xml:space="preserve"> </w:t>
      </w:r>
    </w:p>
    <w:p w14:paraId="6C7F0737" w14:textId="77777777" w:rsidR="00823379" w:rsidRPr="00DB5977" w:rsidRDefault="00823379" w:rsidP="00823379">
      <w:pPr>
        <w:suppressLineNumbers/>
        <w:spacing w:after="0" w:line="240" w:lineRule="auto"/>
        <w:jc w:val="center"/>
        <w:rPr>
          <w:rFonts w:ascii="Verdana" w:hAnsi="Verdana" w:cstheme="minorHAnsi"/>
          <w:b/>
          <w:sz w:val="20"/>
          <w:szCs w:val="18"/>
        </w:rPr>
      </w:pPr>
    </w:p>
    <w:p w14:paraId="6044B088" w14:textId="77777777" w:rsidR="00823379" w:rsidRPr="00DB5977" w:rsidRDefault="00823379" w:rsidP="00823379">
      <w:pPr>
        <w:suppressLineNumbers/>
        <w:spacing w:after="0" w:line="240" w:lineRule="auto"/>
        <w:jc w:val="center"/>
        <w:rPr>
          <w:rFonts w:ascii="Verdana" w:hAnsi="Verdana" w:cstheme="minorHAnsi"/>
          <w:b/>
          <w:sz w:val="20"/>
          <w:szCs w:val="18"/>
        </w:rPr>
      </w:pPr>
    </w:p>
    <w:p w14:paraId="46352C72" w14:textId="77777777" w:rsidR="00823379" w:rsidRPr="00DB5977" w:rsidRDefault="00823379" w:rsidP="00823379">
      <w:pPr>
        <w:suppressLineNumbers/>
        <w:spacing w:after="0" w:line="240" w:lineRule="auto"/>
        <w:jc w:val="center"/>
        <w:rPr>
          <w:rFonts w:ascii="Verdana" w:hAnsi="Verdana" w:cstheme="minorHAnsi"/>
          <w:b/>
          <w:sz w:val="20"/>
          <w:szCs w:val="18"/>
        </w:rPr>
      </w:pPr>
    </w:p>
    <w:tbl>
      <w:tblPr>
        <w:tblW w:w="9292" w:type="dxa"/>
        <w:jc w:val="center"/>
        <w:tblLook w:val="0000" w:firstRow="0" w:lastRow="0" w:firstColumn="0" w:lastColumn="0" w:noHBand="0" w:noVBand="0"/>
      </w:tblPr>
      <w:tblGrid>
        <w:gridCol w:w="4555"/>
        <w:gridCol w:w="456"/>
        <w:gridCol w:w="4281"/>
      </w:tblGrid>
      <w:tr w:rsidR="00823379" w:rsidRPr="00DB5977" w14:paraId="3666F216" w14:textId="77777777" w:rsidTr="00486739">
        <w:trPr>
          <w:jc w:val="center"/>
        </w:trPr>
        <w:tc>
          <w:tcPr>
            <w:tcW w:w="4555" w:type="dxa"/>
          </w:tcPr>
          <w:p w14:paraId="00F6DF7E" w14:textId="77777777" w:rsidR="007C7AB0" w:rsidRPr="00DB5977" w:rsidRDefault="00E61216" w:rsidP="00486739">
            <w:pPr>
              <w:suppressLineNumbers/>
              <w:tabs>
                <w:tab w:val="left" w:pos="5040"/>
                <w:tab w:val="left" w:pos="5760"/>
              </w:tabs>
              <w:spacing w:after="0" w:line="240" w:lineRule="auto"/>
              <w:rPr>
                <w:rFonts w:ascii="Verdana" w:hAnsi="Verdana" w:cstheme="minorHAnsi"/>
                <w:b/>
                <w:sz w:val="20"/>
                <w:szCs w:val="20"/>
              </w:rPr>
            </w:pPr>
            <w:r w:rsidRPr="00DB5977">
              <w:rPr>
                <w:rFonts w:ascii="Verdana" w:hAnsi="Verdana" w:cstheme="minorHAnsi"/>
                <w:b/>
                <w:sz w:val="20"/>
                <w:szCs w:val="20"/>
              </w:rPr>
              <w:t xml:space="preserve">IN RE: </w:t>
            </w:r>
            <w:r w:rsidR="00671A31" w:rsidRPr="00DB5977">
              <w:rPr>
                <w:rFonts w:ascii="Verdana" w:hAnsi="Verdana" w:cstheme="minorHAnsi"/>
                <w:b/>
                <w:sz w:val="20"/>
                <w:szCs w:val="20"/>
              </w:rPr>
              <w:t>GEORGIA POWER COMPANY’S</w:t>
            </w:r>
            <w:r w:rsidR="0025065A">
              <w:rPr>
                <w:rFonts w:ascii="Verdana" w:hAnsi="Verdana" w:cstheme="minorHAnsi"/>
                <w:b/>
                <w:sz w:val="20"/>
                <w:szCs w:val="20"/>
              </w:rPr>
              <w:t xml:space="preserve"> </w:t>
            </w:r>
          </w:p>
          <w:p w14:paraId="19E8A298" w14:textId="77777777" w:rsidR="00823379" w:rsidRPr="00DB5977" w:rsidRDefault="00671A31" w:rsidP="00486739">
            <w:pPr>
              <w:suppressLineNumbers/>
              <w:tabs>
                <w:tab w:val="left" w:pos="5040"/>
                <w:tab w:val="left" w:pos="5760"/>
              </w:tabs>
              <w:spacing w:after="0" w:line="240" w:lineRule="auto"/>
              <w:rPr>
                <w:rFonts w:ascii="Verdana" w:hAnsi="Verdana" w:cstheme="minorHAnsi"/>
                <w:b/>
                <w:sz w:val="20"/>
                <w:szCs w:val="20"/>
              </w:rPr>
            </w:pPr>
            <w:r w:rsidRPr="00DB5977">
              <w:rPr>
                <w:rFonts w:ascii="Verdana" w:hAnsi="Verdana" w:cstheme="minorHAnsi"/>
                <w:b/>
                <w:sz w:val="20"/>
                <w:szCs w:val="20"/>
              </w:rPr>
              <w:t>2019 RATE CASE</w:t>
            </w:r>
          </w:p>
        </w:tc>
        <w:tc>
          <w:tcPr>
            <w:tcW w:w="456" w:type="dxa"/>
            <w:vAlign w:val="center"/>
          </w:tcPr>
          <w:p w14:paraId="0CB24F14" w14:textId="77777777" w:rsidR="007C7AB0" w:rsidRDefault="00823379" w:rsidP="00823379">
            <w:pPr>
              <w:spacing w:after="0" w:line="240" w:lineRule="auto"/>
              <w:rPr>
                <w:rFonts w:ascii="Verdana" w:hAnsi="Verdana" w:cstheme="minorHAnsi"/>
                <w:b/>
                <w:bCs/>
                <w:sz w:val="20"/>
                <w:szCs w:val="20"/>
              </w:rPr>
            </w:pPr>
            <w:r w:rsidRPr="00DB5977">
              <w:rPr>
                <w:rFonts w:ascii="Verdana" w:hAnsi="Verdana" w:cstheme="minorHAnsi"/>
                <w:b/>
                <w:bCs/>
                <w:sz w:val="20"/>
                <w:szCs w:val="20"/>
              </w:rPr>
              <w:t>)</w:t>
            </w:r>
          </w:p>
          <w:p w14:paraId="2F90778A" w14:textId="77777777" w:rsidR="00823379" w:rsidRPr="00DB5977" w:rsidRDefault="00486739" w:rsidP="00823379">
            <w:pPr>
              <w:spacing w:after="0" w:line="240" w:lineRule="auto"/>
              <w:rPr>
                <w:rFonts w:ascii="Verdana" w:hAnsi="Verdana" w:cstheme="minorHAnsi"/>
                <w:b/>
                <w:bCs/>
                <w:sz w:val="20"/>
                <w:szCs w:val="20"/>
              </w:rPr>
            </w:pPr>
            <w:r>
              <w:rPr>
                <w:rFonts w:ascii="Verdana" w:hAnsi="Verdana" w:cstheme="minorHAnsi"/>
                <w:b/>
                <w:bCs/>
                <w:sz w:val="20"/>
                <w:szCs w:val="20"/>
              </w:rPr>
              <w:t>)</w:t>
            </w:r>
          </w:p>
        </w:tc>
        <w:tc>
          <w:tcPr>
            <w:tcW w:w="4281" w:type="dxa"/>
            <w:vAlign w:val="center"/>
          </w:tcPr>
          <w:p w14:paraId="5446ACFB" w14:textId="77777777" w:rsidR="00823379" w:rsidRPr="00DB5977" w:rsidRDefault="00486739" w:rsidP="00486739">
            <w:pPr>
              <w:tabs>
                <w:tab w:val="left" w:pos="1719"/>
              </w:tabs>
              <w:spacing w:after="0" w:line="240" w:lineRule="auto"/>
              <w:jc w:val="center"/>
              <w:rPr>
                <w:rFonts w:ascii="Verdana" w:hAnsi="Verdana" w:cstheme="minorHAnsi"/>
                <w:b/>
                <w:bCs/>
                <w:sz w:val="20"/>
                <w:szCs w:val="20"/>
              </w:rPr>
            </w:pPr>
            <w:r w:rsidRPr="00DB5977">
              <w:rPr>
                <w:rFonts w:ascii="Verdana" w:hAnsi="Verdana" w:cstheme="minorHAnsi"/>
                <w:b/>
                <w:bCs/>
                <w:sz w:val="20"/>
                <w:szCs w:val="20"/>
              </w:rPr>
              <w:t>DOCKET NO. 42516</w:t>
            </w:r>
          </w:p>
        </w:tc>
      </w:tr>
    </w:tbl>
    <w:p w14:paraId="26621082" w14:textId="77777777" w:rsidR="006B26C4" w:rsidRPr="00DB5977" w:rsidRDefault="006B26C4" w:rsidP="00823379">
      <w:pPr>
        <w:suppressLineNumbers/>
        <w:tabs>
          <w:tab w:val="left" w:pos="5040"/>
          <w:tab w:val="left" w:pos="5760"/>
        </w:tabs>
        <w:spacing w:after="0" w:line="240" w:lineRule="auto"/>
        <w:jc w:val="center"/>
        <w:rPr>
          <w:rFonts w:ascii="Verdana" w:hAnsi="Verdana" w:cstheme="minorHAnsi"/>
          <w:b/>
          <w:sz w:val="20"/>
          <w:szCs w:val="18"/>
        </w:rPr>
      </w:pPr>
    </w:p>
    <w:p w14:paraId="1B200EE4" w14:textId="77777777" w:rsidR="006B26C4" w:rsidRPr="00DB5977" w:rsidRDefault="006B26C4" w:rsidP="00823379">
      <w:pPr>
        <w:suppressLineNumbers/>
        <w:tabs>
          <w:tab w:val="left" w:pos="5040"/>
          <w:tab w:val="left" w:pos="5760"/>
        </w:tabs>
        <w:spacing w:after="0" w:line="240" w:lineRule="auto"/>
        <w:jc w:val="center"/>
        <w:rPr>
          <w:rFonts w:ascii="Verdana" w:hAnsi="Verdana" w:cstheme="minorHAnsi"/>
          <w:b/>
          <w:sz w:val="20"/>
          <w:szCs w:val="18"/>
        </w:rPr>
      </w:pPr>
    </w:p>
    <w:p w14:paraId="37E7F521" w14:textId="77777777" w:rsidR="00040DEE" w:rsidRPr="00DB5977" w:rsidRDefault="00040DEE" w:rsidP="00823379">
      <w:pPr>
        <w:suppressLineNumbers/>
        <w:tabs>
          <w:tab w:val="left" w:pos="5040"/>
          <w:tab w:val="left" w:pos="5760"/>
        </w:tabs>
        <w:spacing w:after="0" w:line="240" w:lineRule="auto"/>
        <w:jc w:val="center"/>
        <w:rPr>
          <w:rFonts w:ascii="Verdana" w:hAnsi="Verdana" w:cstheme="minorHAnsi"/>
          <w:b/>
          <w:sz w:val="20"/>
          <w:szCs w:val="18"/>
        </w:rPr>
      </w:pPr>
    </w:p>
    <w:p w14:paraId="58B3C496" w14:textId="77777777" w:rsidR="006B26C4" w:rsidRPr="00DB5977" w:rsidRDefault="006B26C4" w:rsidP="00823379">
      <w:pPr>
        <w:suppressLineNumbers/>
        <w:tabs>
          <w:tab w:val="left" w:pos="5040"/>
          <w:tab w:val="left" w:pos="5760"/>
        </w:tabs>
        <w:spacing w:after="0" w:line="240" w:lineRule="auto"/>
        <w:jc w:val="center"/>
        <w:rPr>
          <w:rFonts w:ascii="Verdana" w:hAnsi="Verdana" w:cstheme="minorHAnsi"/>
          <w:b/>
          <w:sz w:val="20"/>
          <w:szCs w:val="18"/>
        </w:rPr>
      </w:pPr>
    </w:p>
    <w:p w14:paraId="038980EB" w14:textId="77777777" w:rsidR="00823379" w:rsidRPr="00DB5977" w:rsidRDefault="005C77C1" w:rsidP="00823379">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DIRECT</w:t>
      </w:r>
      <w:r w:rsidR="00823379" w:rsidRPr="00DB5977">
        <w:rPr>
          <w:rFonts w:ascii="Verdana" w:hAnsi="Verdana" w:cstheme="minorHAnsi"/>
          <w:b/>
          <w:sz w:val="20"/>
          <w:szCs w:val="18"/>
        </w:rPr>
        <w:t xml:space="preserve"> TESTIMONY</w:t>
      </w:r>
    </w:p>
    <w:p w14:paraId="4D23635B"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61A7656F"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OF</w:t>
      </w:r>
    </w:p>
    <w:p w14:paraId="6DEB492F"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7663858F"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MAUREEN L. RENO</w:t>
      </w:r>
    </w:p>
    <w:p w14:paraId="6307B7F5"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3A291955"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55BD97DC" w14:textId="77777777" w:rsidR="00823379" w:rsidRPr="00DB5977" w:rsidRDefault="00823379" w:rsidP="00823379">
      <w:pPr>
        <w:suppressLineNumbers/>
        <w:tabs>
          <w:tab w:val="left" w:pos="5040"/>
          <w:tab w:val="left" w:pos="5760"/>
        </w:tabs>
        <w:spacing w:after="0" w:line="240" w:lineRule="auto"/>
        <w:rPr>
          <w:rFonts w:ascii="Verdana" w:hAnsi="Verdana" w:cstheme="minorHAnsi"/>
          <w:b/>
          <w:sz w:val="20"/>
          <w:szCs w:val="18"/>
        </w:rPr>
      </w:pPr>
    </w:p>
    <w:p w14:paraId="6577C5C9"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3EEB9B51"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6FB25075"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ON BEHALF OF</w:t>
      </w:r>
    </w:p>
    <w:p w14:paraId="26C59722"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0"/>
          <w:szCs w:val="18"/>
        </w:rPr>
      </w:pPr>
    </w:p>
    <w:p w14:paraId="0543CC4C" w14:textId="77777777" w:rsidR="00040DEE" w:rsidRPr="00DB5977" w:rsidRDefault="00040DEE" w:rsidP="00040DEE">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THE UNITED STATES DEPARTMENT OF DEFENSE</w:t>
      </w:r>
    </w:p>
    <w:p w14:paraId="15012407" w14:textId="77777777" w:rsidR="00040DEE" w:rsidRPr="00DB5977" w:rsidRDefault="00040DEE" w:rsidP="00040DEE">
      <w:pPr>
        <w:suppressLineNumbers/>
        <w:tabs>
          <w:tab w:val="left" w:pos="5040"/>
          <w:tab w:val="left" w:pos="5760"/>
        </w:tabs>
        <w:spacing w:after="0" w:line="240" w:lineRule="auto"/>
        <w:jc w:val="center"/>
        <w:rPr>
          <w:rFonts w:ascii="Verdana" w:hAnsi="Verdana" w:cstheme="minorHAnsi"/>
          <w:b/>
          <w:sz w:val="20"/>
          <w:szCs w:val="18"/>
        </w:rPr>
      </w:pPr>
    </w:p>
    <w:p w14:paraId="67CFDEA8" w14:textId="77777777" w:rsidR="00040DEE" w:rsidRPr="00DB5977" w:rsidRDefault="00040DEE" w:rsidP="00040DEE">
      <w:pPr>
        <w:suppressLineNumbers/>
        <w:tabs>
          <w:tab w:val="left" w:pos="5040"/>
          <w:tab w:val="left" w:pos="5760"/>
        </w:tabs>
        <w:spacing w:after="0" w:line="240" w:lineRule="auto"/>
        <w:jc w:val="center"/>
        <w:rPr>
          <w:rFonts w:ascii="Verdana" w:hAnsi="Verdana" w:cstheme="minorHAnsi"/>
          <w:b/>
          <w:sz w:val="20"/>
          <w:szCs w:val="18"/>
        </w:rPr>
      </w:pPr>
      <w:r w:rsidRPr="00DB5977">
        <w:rPr>
          <w:rFonts w:ascii="Verdana" w:hAnsi="Verdana" w:cstheme="minorHAnsi"/>
          <w:b/>
          <w:sz w:val="20"/>
          <w:szCs w:val="18"/>
        </w:rPr>
        <w:t>AND ALL OTHER FEDERAL EXECUTIVE AGENCIES</w:t>
      </w:r>
    </w:p>
    <w:p w14:paraId="2C9DC320" w14:textId="77777777" w:rsidR="00040DEE" w:rsidRPr="00DB5977" w:rsidRDefault="00040DEE" w:rsidP="00040DEE">
      <w:pPr>
        <w:suppressLineNumbers/>
        <w:tabs>
          <w:tab w:val="left" w:pos="5040"/>
          <w:tab w:val="left" w:pos="5760"/>
        </w:tabs>
        <w:spacing w:after="0" w:line="240" w:lineRule="auto"/>
        <w:jc w:val="center"/>
        <w:rPr>
          <w:rFonts w:ascii="Verdana" w:hAnsi="Verdana" w:cstheme="minorHAnsi"/>
          <w:b/>
          <w:sz w:val="24"/>
          <w:szCs w:val="18"/>
        </w:rPr>
      </w:pPr>
    </w:p>
    <w:p w14:paraId="3B537246" w14:textId="77777777" w:rsidR="00823379" w:rsidRPr="00DB5977" w:rsidRDefault="00823379" w:rsidP="007C7AB0">
      <w:pPr>
        <w:suppressLineNumbers/>
        <w:tabs>
          <w:tab w:val="left" w:pos="5040"/>
          <w:tab w:val="left" w:pos="5760"/>
        </w:tabs>
        <w:spacing w:after="0" w:line="240" w:lineRule="auto"/>
        <w:jc w:val="center"/>
        <w:rPr>
          <w:rFonts w:ascii="Verdana" w:hAnsi="Verdana" w:cstheme="minorHAnsi"/>
          <w:b/>
          <w:sz w:val="20"/>
          <w:szCs w:val="18"/>
        </w:rPr>
      </w:pPr>
    </w:p>
    <w:p w14:paraId="0B53C47F"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4"/>
          <w:szCs w:val="18"/>
        </w:rPr>
      </w:pPr>
    </w:p>
    <w:p w14:paraId="27A5E02E"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4"/>
          <w:szCs w:val="18"/>
        </w:rPr>
      </w:pPr>
    </w:p>
    <w:p w14:paraId="2196065A" w14:textId="77777777" w:rsidR="00823379" w:rsidRPr="00DB5977" w:rsidRDefault="00823379" w:rsidP="00823379">
      <w:pPr>
        <w:suppressLineNumbers/>
        <w:tabs>
          <w:tab w:val="left" w:pos="5040"/>
          <w:tab w:val="left" w:pos="5760"/>
        </w:tabs>
        <w:spacing w:after="0" w:line="240" w:lineRule="auto"/>
        <w:jc w:val="center"/>
        <w:rPr>
          <w:rFonts w:ascii="Verdana" w:hAnsi="Verdana" w:cstheme="minorHAnsi"/>
          <w:b/>
          <w:sz w:val="24"/>
          <w:szCs w:val="18"/>
        </w:rPr>
      </w:pPr>
    </w:p>
    <w:p w14:paraId="137E62AB" w14:textId="77777777" w:rsidR="00320B4B" w:rsidRPr="00DB5977" w:rsidRDefault="00FB6626" w:rsidP="00823379">
      <w:pPr>
        <w:suppressLineNumbers/>
        <w:jc w:val="center"/>
        <w:rPr>
          <w:rFonts w:ascii="Verdana" w:hAnsi="Verdana" w:cstheme="minorHAnsi"/>
          <w:b/>
          <w:sz w:val="20"/>
          <w:szCs w:val="16"/>
        </w:rPr>
        <w:sectPr w:rsidR="00320B4B" w:rsidRPr="00DB5977" w:rsidSect="006912FD">
          <w:footerReference w:type="default" r:id="rId8"/>
          <w:footerReference w:type="first" r:id="rId9"/>
          <w:pgSz w:w="12240" w:h="15840"/>
          <w:pgMar w:top="1440" w:right="1440" w:bottom="1440" w:left="1440" w:header="720" w:footer="720" w:gutter="0"/>
          <w:lnNumType w:countBy="1"/>
          <w:pgNumType w:start="1"/>
          <w:cols w:space="720"/>
          <w:titlePg/>
          <w:docGrid w:linePitch="360"/>
        </w:sectPr>
      </w:pPr>
      <w:r w:rsidRPr="00DB5977">
        <w:rPr>
          <w:rFonts w:ascii="Verdana" w:hAnsi="Verdana" w:cstheme="minorHAnsi"/>
          <w:b/>
          <w:sz w:val="20"/>
          <w:szCs w:val="16"/>
        </w:rPr>
        <w:t>October 1</w:t>
      </w:r>
      <w:r w:rsidR="00D254C8" w:rsidRPr="00DB5977">
        <w:rPr>
          <w:rFonts w:ascii="Verdana" w:hAnsi="Verdana" w:cstheme="minorHAnsi"/>
          <w:b/>
          <w:sz w:val="20"/>
          <w:szCs w:val="16"/>
        </w:rPr>
        <w:t>7</w:t>
      </w:r>
      <w:r w:rsidR="00823379" w:rsidRPr="00DB5977">
        <w:rPr>
          <w:rFonts w:ascii="Verdana" w:hAnsi="Verdana" w:cstheme="minorHAnsi"/>
          <w:b/>
          <w:sz w:val="20"/>
          <w:szCs w:val="16"/>
        </w:rPr>
        <w:t>, 201</w:t>
      </w:r>
      <w:r w:rsidR="00386808" w:rsidRPr="00DB5977">
        <w:rPr>
          <w:rFonts w:ascii="Verdana" w:hAnsi="Verdana" w:cstheme="minorHAnsi"/>
          <w:b/>
          <w:sz w:val="20"/>
          <w:szCs w:val="16"/>
        </w:rPr>
        <w:t>9</w:t>
      </w:r>
    </w:p>
    <w:p w14:paraId="729C07E5" w14:textId="77777777" w:rsidR="00486739" w:rsidRPr="00ED1819" w:rsidRDefault="00486739" w:rsidP="00486739">
      <w:pPr>
        <w:suppressLineNumbers/>
        <w:jc w:val="center"/>
        <w:rPr>
          <w:rFonts w:ascii="Verdana" w:hAnsi="Verdana" w:cstheme="minorHAnsi"/>
          <w:b/>
          <w:sz w:val="20"/>
          <w:szCs w:val="20"/>
        </w:rPr>
      </w:pPr>
      <w:r w:rsidRPr="00ED1819">
        <w:rPr>
          <w:rFonts w:ascii="Verdana" w:hAnsi="Verdana" w:cstheme="minorHAnsi"/>
          <w:b/>
          <w:sz w:val="20"/>
          <w:szCs w:val="20"/>
        </w:rPr>
        <w:lastRenderedPageBreak/>
        <w:t>TABLE OF CONTENTS</w:t>
      </w:r>
    </w:p>
    <w:p w14:paraId="66E7CADC" w14:textId="77777777" w:rsidR="00486739" w:rsidRPr="00ED1819" w:rsidRDefault="00486739" w:rsidP="00486739">
      <w:pPr>
        <w:suppressLineNumbers/>
        <w:spacing w:after="120" w:line="240" w:lineRule="auto"/>
        <w:jc w:val="right"/>
        <w:rPr>
          <w:rFonts w:ascii="Verdana" w:hAnsi="Verdana" w:cstheme="minorHAnsi"/>
          <w:sz w:val="20"/>
          <w:szCs w:val="20"/>
          <w:u w:val="single"/>
        </w:rPr>
      </w:pPr>
      <w:r w:rsidRPr="00ED1819">
        <w:rPr>
          <w:rFonts w:ascii="Verdana" w:hAnsi="Verdana" w:cstheme="minorHAnsi"/>
          <w:b/>
          <w:sz w:val="20"/>
          <w:szCs w:val="20"/>
          <w:u w:val="single"/>
        </w:rPr>
        <w:t>Page</w:t>
      </w:r>
    </w:p>
    <w:p w14:paraId="7698C1F2" w14:textId="046C8964" w:rsidR="00383C90" w:rsidRPr="00383C90" w:rsidRDefault="00320B4B">
      <w:pPr>
        <w:pStyle w:val="TOC1"/>
        <w:rPr>
          <w:rFonts w:ascii="Verdana" w:eastAsiaTheme="minorEastAsia" w:hAnsi="Verdana" w:cstheme="minorBidi"/>
          <w:bCs w:val="0"/>
          <w:sz w:val="20"/>
          <w:szCs w:val="20"/>
          <w:lang w:eastAsia="en-US"/>
        </w:rPr>
      </w:pPr>
      <w:r w:rsidRPr="00E46A8A">
        <w:rPr>
          <w:rFonts w:ascii="Verdana" w:hAnsi="Verdana"/>
          <w:sz w:val="20"/>
          <w:szCs w:val="20"/>
        </w:rPr>
        <w:fldChar w:fldCharType="begin"/>
      </w:r>
      <w:r w:rsidRPr="00E46A8A">
        <w:rPr>
          <w:rFonts w:ascii="Verdana" w:hAnsi="Verdana"/>
          <w:sz w:val="20"/>
          <w:szCs w:val="20"/>
        </w:rPr>
        <w:instrText xml:space="preserve"> TOC \o "1-3" \h \z \u </w:instrText>
      </w:r>
      <w:r w:rsidRPr="00E46A8A">
        <w:rPr>
          <w:rFonts w:ascii="Verdana" w:hAnsi="Verdana"/>
          <w:sz w:val="20"/>
          <w:szCs w:val="20"/>
        </w:rPr>
        <w:fldChar w:fldCharType="separate"/>
      </w:r>
      <w:hyperlink w:anchor="_Toc21873134" w:history="1">
        <w:r w:rsidR="00383C90" w:rsidRPr="00383C90">
          <w:rPr>
            <w:rStyle w:val="Hyperlink"/>
            <w:rFonts w:ascii="Verdana" w:hAnsi="Verdana" w:cstheme="minorHAnsi"/>
            <w:sz w:val="20"/>
            <w:szCs w:val="20"/>
          </w:rPr>
          <w:t xml:space="preserve">I. </w:t>
        </w:r>
        <w:r w:rsidR="00383C90" w:rsidRPr="00383C90">
          <w:rPr>
            <w:rStyle w:val="Hyperlink"/>
            <w:rFonts w:ascii="Verdana" w:hAnsi="Verdana" w:cstheme="minorHAnsi"/>
            <w:sz w:val="20"/>
            <w:szCs w:val="20"/>
            <w:u w:val="none"/>
          </w:rPr>
          <w:t>INTRODUCTION</w:t>
        </w:r>
        <w:r w:rsidR="00383C90" w:rsidRPr="00383C90">
          <w:rPr>
            <w:rStyle w:val="Hyperlink"/>
            <w:rFonts w:ascii="Verdana" w:hAnsi="Verdana" w:cstheme="minorHAnsi"/>
            <w:sz w:val="20"/>
            <w:szCs w:val="20"/>
          </w:rPr>
          <w:t xml:space="preserve"> AND QUALIFICATIONS</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_Toc21873134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1</w:t>
        </w:r>
        <w:r w:rsidR="00383C90" w:rsidRPr="00383C90">
          <w:rPr>
            <w:rFonts w:ascii="Verdana" w:hAnsi="Verdana"/>
            <w:webHidden/>
            <w:sz w:val="20"/>
            <w:szCs w:val="20"/>
          </w:rPr>
          <w:fldChar w:fldCharType="end"/>
        </w:r>
      </w:hyperlink>
    </w:p>
    <w:p w14:paraId="5D554B63" w14:textId="5F1E30B3" w:rsidR="00383C90" w:rsidRPr="00383C90" w:rsidRDefault="0084421A">
      <w:pPr>
        <w:pStyle w:val="TOC1"/>
        <w:rPr>
          <w:rFonts w:ascii="Verdana" w:eastAsiaTheme="minorEastAsia" w:hAnsi="Verdana" w:cstheme="minorBidi"/>
          <w:bCs w:val="0"/>
          <w:sz w:val="20"/>
          <w:szCs w:val="20"/>
          <w:lang w:eastAsia="en-US"/>
        </w:rPr>
      </w:pPr>
      <w:hyperlink w:anchor="_Toc21873135" w:history="1">
        <w:r w:rsidR="00383C90" w:rsidRPr="00383C90">
          <w:rPr>
            <w:rStyle w:val="Hyperlink"/>
            <w:rFonts w:ascii="Verdana" w:hAnsi="Verdana" w:cstheme="minorHAnsi"/>
            <w:sz w:val="20"/>
            <w:szCs w:val="20"/>
          </w:rPr>
          <w:t>II. PURPOSE AND SUMMARY RECOMMENDATIONS</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_Toc21873135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3</w:t>
        </w:r>
        <w:r w:rsidR="00383C90" w:rsidRPr="00383C90">
          <w:rPr>
            <w:rFonts w:ascii="Verdana" w:hAnsi="Verdana"/>
            <w:webHidden/>
            <w:sz w:val="20"/>
            <w:szCs w:val="20"/>
          </w:rPr>
          <w:fldChar w:fldCharType="end"/>
        </w:r>
      </w:hyperlink>
    </w:p>
    <w:p w14:paraId="2C39F327" w14:textId="2699276C" w:rsidR="00383C90" w:rsidRPr="00383C90" w:rsidRDefault="0084421A">
      <w:pPr>
        <w:pStyle w:val="TOC1"/>
        <w:rPr>
          <w:rFonts w:ascii="Verdana" w:eastAsiaTheme="minorEastAsia" w:hAnsi="Verdana" w:cstheme="minorBidi"/>
          <w:bCs w:val="0"/>
          <w:sz w:val="20"/>
          <w:szCs w:val="20"/>
          <w:lang w:eastAsia="en-US"/>
        </w:rPr>
      </w:pPr>
      <w:hyperlink w:anchor="_Toc21873136" w:history="1">
        <w:r w:rsidR="00383C90" w:rsidRPr="00383C90">
          <w:rPr>
            <w:rStyle w:val="Hyperlink"/>
            <w:rFonts w:ascii="Verdana" w:hAnsi="Verdana" w:cstheme="minorHAnsi"/>
            <w:sz w:val="20"/>
            <w:szCs w:val="20"/>
          </w:rPr>
          <w:t>III. MACROECONOMIC CONDITIONS</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_Toc21873136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8</w:t>
        </w:r>
        <w:r w:rsidR="00383C90" w:rsidRPr="00383C90">
          <w:rPr>
            <w:rFonts w:ascii="Verdana" w:hAnsi="Verdana"/>
            <w:webHidden/>
            <w:sz w:val="20"/>
            <w:szCs w:val="20"/>
          </w:rPr>
          <w:fldChar w:fldCharType="end"/>
        </w:r>
      </w:hyperlink>
    </w:p>
    <w:p w14:paraId="4631DF02" w14:textId="3AF1661D" w:rsidR="00383C90" w:rsidRPr="00383C90" w:rsidRDefault="0084421A">
      <w:pPr>
        <w:pStyle w:val="TOC1"/>
        <w:rPr>
          <w:rFonts w:ascii="Verdana" w:eastAsiaTheme="minorEastAsia" w:hAnsi="Verdana" w:cstheme="minorBidi"/>
          <w:bCs w:val="0"/>
          <w:sz w:val="20"/>
          <w:szCs w:val="20"/>
          <w:lang w:eastAsia="en-US"/>
        </w:rPr>
      </w:pPr>
      <w:hyperlink w:anchor="_Toc21873137" w:history="1">
        <w:r w:rsidR="00383C90" w:rsidRPr="00383C90">
          <w:rPr>
            <w:rStyle w:val="Hyperlink"/>
            <w:rFonts w:ascii="Verdana" w:hAnsi="Verdana" w:cstheme="minorHAnsi"/>
            <w:sz w:val="20"/>
            <w:szCs w:val="20"/>
          </w:rPr>
          <w:t>IV. RATE OF RETURN AND CAPITAL STRUCTURE</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_Toc21873137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15</w:t>
        </w:r>
        <w:r w:rsidR="00383C90" w:rsidRPr="00383C90">
          <w:rPr>
            <w:rFonts w:ascii="Verdana" w:hAnsi="Verdana"/>
            <w:webHidden/>
            <w:sz w:val="20"/>
            <w:szCs w:val="20"/>
          </w:rPr>
          <w:fldChar w:fldCharType="end"/>
        </w:r>
      </w:hyperlink>
    </w:p>
    <w:p w14:paraId="02452047" w14:textId="14F71312" w:rsidR="00383C90" w:rsidRPr="00383C90" w:rsidRDefault="0084421A">
      <w:pPr>
        <w:pStyle w:val="TOC1"/>
        <w:rPr>
          <w:rFonts w:ascii="Verdana" w:eastAsiaTheme="minorEastAsia" w:hAnsi="Verdana" w:cstheme="minorBidi"/>
          <w:bCs w:val="0"/>
          <w:sz w:val="20"/>
          <w:szCs w:val="20"/>
          <w:lang w:eastAsia="en-US"/>
        </w:rPr>
      </w:pPr>
      <w:hyperlink w:anchor="_Toc21873138" w:history="1">
        <w:r w:rsidR="00383C90" w:rsidRPr="00383C90">
          <w:rPr>
            <w:rStyle w:val="Hyperlink"/>
            <w:rFonts w:ascii="Verdana" w:hAnsi="Verdana" w:cstheme="minorHAnsi"/>
            <w:sz w:val="20"/>
            <w:szCs w:val="20"/>
          </w:rPr>
          <w:t>V. COST OF COMMON EQUITY CAPITAL (ROE)</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_Toc21873138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17</w:t>
        </w:r>
        <w:r w:rsidR="00383C90" w:rsidRPr="00383C90">
          <w:rPr>
            <w:rFonts w:ascii="Verdana" w:hAnsi="Verdana"/>
            <w:webHidden/>
            <w:sz w:val="20"/>
            <w:szCs w:val="20"/>
          </w:rPr>
          <w:fldChar w:fldCharType="end"/>
        </w:r>
      </w:hyperlink>
    </w:p>
    <w:p w14:paraId="30F40163" w14:textId="46C28D9F" w:rsidR="00383C90" w:rsidRPr="00383C90" w:rsidRDefault="0084421A">
      <w:pPr>
        <w:pStyle w:val="TOC1"/>
        <w:rPr>
          <w:rFonts w:ascii="Verdana" w:eastAsiaTheme="minorEastAsia" w:hAnsi="Verdana" w:cstheme="minorBidi"/>
          <w:bCs w:val="0"/>
          <w:sz w:val="20"/>
          <w:szCs w:val="20"/>
          <w:lang w:eastAsia="en-US"/>
        </w:rPr>
      </w:pPr>
      <w:hyperlink w:anchor="_Toc21873139" w:history="1">
        <w:r w:rsidR="00383C90" w:rsidRPr="00383C90">
          <w:rPr>
            <w:rStyle w:val="Hyperlink"/>
            <w:rFonts w:ascii="Verdana" w:hAnsi="Verdana" w:cstheme="minorHAnsi"/>
            <w:sz w:val="20"/>
            <w:szCs w:val="20"/>
          </w:rPr>
          <w:t>VI. METHODOLOGIES</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_Toc21873139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25</w:t>
        </w:r>
        <w:r w:rsidR="00383C90" w:rsidRPr="00383C90">
          <w:rPr>
            <w:rFonts w:ascii="Verdana" w:hAnsi="Verdana"/>
            <w:webHidden/>
            <w:sz w:val="20"/>
            <w:szCs w:val="20"/>
          </w:rPr>
          <w:fldChar w:fldCharType="end"/>
        </w:r>
      </w:hyperlink>
    </w:p>
    <w:p w14:paraId="1BE5F249" w14:textId="4EB35FF6" w:rsidR="00383C90" w:rsidRPr="00383C90" w:rsidRDefault="0084421A" w:rsidP="00383C90">
      <w:pPr>
        <w:pStyle w:val="TOC2"/>
        <w:ind w:left="630"/>
        <w:rPr>
          <w:rFonts w:ascii="Verdana" w:hAnsi="Verdana"/>
          <w:noProof/>
          <w:sz w:val="20"/>
          <w:szCs w:val="20"/>
        </w:rPr>
      </w:pPr>
      <w:hyperlink w:anchor="_Toc21873140" w:history="1">
        <w:r w:rsidR="00383C90" w:rsidRPr="00383C90">
          <w:rPr>
            <w:rStyle w:val="Hyperlink"/>
            <w:rFonts w:ascii="Verdana" w:hAnsi="Verdana" w:cstheme="minorHAnsi"/>
            <w:noProof/>
            <w:sz w:val="20"/>
            <w:szCs w:val="20"/>
          </w:rPr>
          <w:t>A.</w:t>
        </w:r>
        <w:r w:rsidR="00383C90" w:rsidRPr="00383C90">
          <w:rPr>
            <w:rFonts w:ascii="Verdana" w:hAnsi="Verdana"/>
            <w:noProof/>
            <w:sz w:val="20"/>
            <w:szCs w:val="20"/>
          </w:rPr>
          <w:tab/>
        </w:r>
        <w:r w:rsidR="00383C90" w:rsidRPr="00383C90">
          <w:rPr>
            <w:rStyle w:val="Hyperlink"/>
            <w:rFonts w:ascii="Verdana" w:hAnsi="Verdana" w:cstheme="minorHAnsi"/>
            <w:noProof/>
            <w:sz w:val="20"/>
            <w:szCs w:val="20"/>
          </w:rPr>
          <w:t>Constant-Growth Discounted Cash Flow Model</w:t>
        </w:r>
        <w:r w:rsidR="00383C90" w:rsidRPr="00383C90">
          <w:rPr>
            <w:rFonts w:ascii="Verdana" w:hAnsi="Verdana"/>
            <w:noProof/>
            <w:webHidden/>
            <w:sz w:val="20"/>
            <w:szCs w:val="20"/>
          </w:rPr>
          <w:tab/>
        </w:r>
        <w:r w:rsidR="00383C90" w:rsidRPr="00383C90">
          <w:rPr>
            <w:rFonts w:ascii="Verdana" w:hAnsi="Verdana"/>
            <w:noProof/>
            <w:webHidden/>
            <w:sz w:val="20"/>
            <w:szCs w:val="20"/>
          </w:rPr>
          <w:fldChar w:fldCharType="begin"/>
        </w:r>
        <w:r w:rsidR="00383C90" w:rsidRPr="00383C90">
          <w:rPr>
            <w:rFonts w:ascii="Verdana" w:hAnsi="Verdana"/>
            <w:noProof/>
            <w:webHidden/>
            <w:sz w:val="20"/>
            <w:szCs w:val="20"/>
          </w:rPr>
          <w:instrText xml:space="preserve"> PAGEREF _Toc21873140 \h </w:instrText>
        </w:r>
        <w:r w:rsidR="00383C90" w:rsidRPr="00383C90">
          <w:rPr>
            <w:rFonts w:ascii="Verdana" w:hAnsi="Verdana"/>
            <w:noProof/>
            <w:webHidden/>
            <w:sz w:val="20"/>
            <w:szCs w:val="20"/>
          </w:rPr>
        </w:r>
        <w:r w:rsidR="00383C90" w:rsidRPr="00383C90">
          <w:rPr>
            <w:rFonts w:ascii="Verdana" w:hAnsi="Verdana"/>
            <w:noProof/>
            <w:webHidden/>
            <w:sz w:val="20"/>
            <w:szCs w:val="20"/>
          </w:rPr>
          <w:fldChar w:fldCharType="separate"/>
        </w:r>
        <w:r w:rsidR="005A4CEF">
          <w:rPr>
            <w:rFonts w:ascii="Verdana" w:hAnsi="Verdana"/>
            <w:noProof/>
            <w:webHidden/>
            <w:sz w:val="20"/>
            <w:szCs w:val="20"/>
          </w:rPr>
          <w:t>25</w:t>
        </w:r>
        <w:r w:rsidR="00383C90" w:rsidRPr="00383C90">
          <w:rPr>
            <w:rFonts w:ascii="Verdana" w:hAnsi="Verdana"/>
            <w:noProof/>
            <w:webHidden/>
            <w:sz w:val="20"/>
            <w:szCs w:val="20"/>
          </w:rPr>
          <w:fldChar w:fldCharType="end"/>
        </w:r>
      </w:hyperlink>
    </w:p>
    <w:p w14:paraId="5F8C914A" w14:textId="7452AB6D" w:rsidR="00383C90" w:rsidRPr="00383C90" w:rsidRDefault="0084421A" w:rsidP="00383C90">
      <w:pPr>
        <w:pStyle w:val="TOC2"/>
        <w:ind w:left="630"/>
        <w:rPr>
          <w:rFonts w:ascii="Verdana" w:hAnsi="Verdana"/>
          <w:noProof/>
          <w:sz w:val="20"/>
          <w:szCs w:val="20"/>
        </w:rPr>
      </w:pPr>
      <w:hyperlink w:anchor="_Toc21873141" w:history="1">
        <w:r w:rsidR="00383C90" w:rsidRPr="00383C90">
          <w:rPr>
            <w:rStyle w:val="Hyperlink"/>
            <w:rFonts w:ascii="Verdana" w:hAnsi="Verdana" w:cstheme="minorHAnsi"/>
            <w:noProof/>
            <w:sz w:val="20"/>
            <w:szCs w:val="20"/>
          </w:rPr>
          <w:t>B.</w:t>
        </w:r>
        <w:r w:rsidR="00383C90" w:rsidRPr="00383C90">
          <w:rPr>
            <w:rFonts w:ascii="Verdana" w:hAnsi="Verdana"/>
            <w:noProof/>
            <w:sz w:val="20"/>
            <w:szCs w:val="20"/>
          </w:rPr>
          <w:tab/>
        </w:r>
        <w:r w:rsidR="00383C90" w:rsidRPr="00383C90">
          <w:rPr>
            <w:rStyle w:val="Hyperlink"/>
            <w:rFonts w:ascii="Verdana" w:hAnsi="Verdana" w:cstheme="minorHAnsi"/>
            <w:noProof/>
            <w:sz w:val="20"/>
            <w:szCs w:val="20"/>
          </w:rPr>
          <w:t>Sustainable-Growth Discounted Cash Flow Model</w:t>
        </w:r>
        <w:r w:rsidR="00383C90" w:rsidRPr="00383C90">
          <w:rPr>
            <w:rFonts w:ascii="Verdana" w:hAnsi="Verdana"/>
            <w:noProof/>
            <w:webHidden/>
            <w:sz w:val="20"/>
            <w:szCs w:val="20"/>
          </w:rPr>
          <w:tab/>
        </w:r>
        <w:r w:rsidR="00383C90" w:rsidRPr="00383C90">
          <w:rPr>
            <w:rFonts w:ascii="Verdana" w:hAnsi="Verdana"/>
            <w:noProof/>
            <w:webHidden/>
            <w:sz w:val="20"/>
            <w:szCs w:val="20"/>
          </w:rPr>
          <w:fldChar w:fldCharType="begin"/>
        </w:r>
        <w:r w:rsidR="00383C90" w:rsidRPr="00383C90">
          <w:rPr>
            <w:rFonts w:ascii="Verdana" w:hAnsi="Verdana"/>
            <w:noProof/>
            <w:webHidden/>
            <w:sz w:val="20"/>
            <w:szCs w:val="20"/>
          </w:rPr>
          <w:instrText xml:space="preserve"> PAGEREF _Toc21873141 \h </w:instrText>
        </w:r>
        <w:r w:rsidR="00383C90" w:rsidRPr="00383C90">
          <w:rPr>
            <w:rFonts w:ascii="Verdana" w:hAnsi="Verdana"/>
            <w:noProof/>
            <w:webHidden/>
            <w:sz w:val="20"/>
            <w:szCs w:val="20"/>
          </w:rPr>
        </w:r>
        <w:r w:rsidR="00383C90" w:rsidRPr="00383C90">
          <w:rPr>
            <w:rFonts w:ascii="Verdana" w:hAnsi="Verdana"/>
            <w:noProof/>
            <w:webHidden/>
            <w:sz w:val="20"/>
            <w:szCs w:val="20"/>
          </w:rPr>
          <w:fldChar w:fldCharType="separate"/>
        </w:r>
        <w:r w:rsidR="005A4CEF">
          <w:rPr>
            <w:rFonts w:ascii="Verdana" w:hAnsi="Verdana"/>
            <w:noProof/>
            <w:webHidden/>
            <w:sz w:val="20"/>
            <w:szCs w:val="20"/>
          </w:rPr>
          <w:t>28</w:t>
        </w:r>
        <w:r w:rsidR="00383C90" w:rsidRPr="00383C90">
          <w:rPr>
            <w:rFonts w:ascii="Verdana" w:hAnsi="Verdana"/>
            <w:noProof/>
            <w:webHidden/>
            <w:sz w:val="20"/>
            <w:szCs w:val="20"/>
          </w:rPr>
          <w:fldChar w:fldCharType="end"/>
        </w:r>
      </w:hyperlink>
    </w:p>
    <w:p w14:paraId="2EAEBB9F" w14:textId="3FC1436E" w:rsidR="00383C90" w:rsidRPr="00383C90" w:rsidRDefault="0084421A" w:rsidP="00383C90">
      <w:pPr>
        <w:pStyle w:val="TOC2"/>
        <w:ind w:left="630"/>
        <w:rPr>
          <w:rFonts w:ascii="Verdana" w:hAnsi="Verdana"/>
          <w:noProof/>
          <w:sz w:val="20"/>
          <w:szCs w:val="20"/>
        </w:rPr>
      </w:pPr>
      <w:hyperlink w:anchor="_Toc21873142" w:history="1">
        <w:r w:rsidR="00383C90" w:rsidRPr="00383C90">
          <w:rPr>
            <w:rStyle w:val="Hyperlink"/>
            <w:rFonts w:ascii="Verdana" w:hAnsi="Verdana" w:cstheme="minorHAnsi"/>
            <w:noProof/>
            <w:sz w:val="20"/>
            <w:szCs w:val="20"/>
          </w:rPr>
          <w:t>C.</w:t>
        </w:r>
        <w:r w:rsidR="00383C90" w:rsidRPr="00383C90">
          <w:rPr>
            <w:rFonts w:ascii="Verdana" w:hAnsi="Verdana"/>
            <w:noProof/>
            <w:sz w:val="20"/>
            <w:szCs w:val="20"/>
          </w:rPr>
          <w:tab/>
        </w:r>
        <w:r w:rsidR="00383C90" w:rsidRPr="00383C90">
          <w:rPr>
            <w:rStyle w:val="Hyperlink"/>
            <w:rFonts w:ascii="Verdana" w:hAnsi="Verdana" w:cstheme="minorHAnsi"/>
            <w:noProof/>
            <w:sz w:val="20"/>
            <w:szCs w:val="20"/>
          </w:rPr>
          <w:t>Capital Asset Pricing Model</w:t>
        </w:r>
        <w:r w:rsidR="00383C90" w:rsidRPr="00383C90">
          <w:rPr>
            <w:rFonts w:ascii="Verdana" w:hAnsi="Verdana"/>
            <w:noProof/>
            <w:webHidden/>
            <w:sz w:val="20"/>
            <w:szCs w:val="20"/>
          </w:rPr>
          <w:tab/>
        </w:r>
        <w:r w:rsidR="00383C90" w:rsidRPr="00383C90">
          <w:rPr>
            <w:rFonts w:ascii="Verdana" w:hAnsi="Verdana"/>
            <w:noProof/>
            <w:webHidden/>
            <w:sz w:val="20"/>
            <w:szCs w:val="20"/>
          </w:rPr>
          <w:fldChar w:fldCharType="begin"/>
        </w:r>
        <w:r w:rsidR="00383C90" w:rsidRPr="00383C90">
          <w:rPr>
            <w:rFonts w:ascii="Verdana" w:hAnsi="Verdana"/>
            <w:noProof/>
            <w:webHidden/>
            <w:sz w:val="20"/>
            <w:szCs w:val="20"/>
          </w:rPr>
          <w:instrText xml:space="preserve"> PAGEREF _Toc21873142 \h </w:instrText>
        </w:r>
        <w:r w:rsidR="00383C90" w:rsidRPr="00383C90">
          <w:rPr>
            <w:rFonts w:ascii="Verdana" w:hAnsi="Verdana"/>
            <w:noProof/>
            <w:webHidden/>
            <w:sz w:val="20"/>
            <w:szCs w:val="20"/>
          </w:rPr>
        </w:r>
        <w:r w:rsidR="00383C90" w:rsidRPr="00383C90">
          <w:rPr>
            <w:rFonts w:ascii="Verdana" w:hAnsi="Verdana"/>
            <w:noProof/>
            <w:webHidden/>
            <w:sz w:val="20"/>
            <w:szCs w:val="20"/>
          </w:rPr>
          <w:fldChar w:fldCharType="separate"/>
        </w:r>
        <w:r w:rsidR="005A4CEF">
          <w:rPr>
            <w:rFonts w:ascii="Verdana" w:hAnsi="Verdana"/>
            <w:noProof/>
            <w:webHidden/>
            <w:sz w:val="20"/>
            <w:szCs w:val="20"/>
          </w:rPr>
          <w:t>32</w:t>
        </w:r>
        <w:r w:rsidR="00383C90" w:rsidRPr="00383C90">
          <w:rPr>
            <w:rFonts w:ascii="Verdana" w:hAnsi="Verdana"/>
            <w:noProof/>
            <w:webHidden/>
            <w:sz w:val="20"/>
            <w:szCs w:val="20"/>
          </w:rPr>
          <w:fldChar w:fldCharType="end"/>
        </w:r>
      </w:hyperlink>
    </w:p>
    <w:p w14:paraId="00608048" w14:textId="086CB43F" w:rsidR="00383C90" w:rsidRPr="00383C90" w:rsidRDefault="0084421A" w:rsidP="00383C90">
      <w:pPr>
        <w:pStyle w:val="TOC2"/>
        <w:ind w:left="630"/>
        <w:rPr>
          <w:rFonts w:ascii="Verdana" w:hAnsi="Verdana"/>
          <w:noProof/>
          <w:sz w:val="20"/>
          <w:szCs w:val="20"/>
        </w:rPr>
      </w:pPr>
      <w:hyperlink w:anchor="_Toc21873143" w:history="1">
        <w:r w:rsidR="00383C90" w:rsidRPr="00383C90">
          <w:rPr>
            <w:rStyle w:val="Hyperlink"/>
            <w:rFonts w:ascii="Verdana" w:hAnsi="Verdana" w:cstheme="minorHAnsi"/>
            <w:noProof/>
            <w:sz w:val="20"/>
            <w:szCs w:val="20"/>
          </w:rPr>
          <w:t>D.</w:t>
        </w:r>
        <w:r w:rsidR="00383C90" w:rsidRPr="00383C90">
          <w:rPr>
            <w:rFonts w:ascii="Verdana" w:hAnsi="Verdana"/>
            <w:noProof/>
            <w:sz w:val="20"/>
            <w:szCs w:val="20"/>
          </w:rPr>
          <w:tab/>
        </w:r>
        <w:r w:rsidR="00383C90" w:rsidRPr="00383C90">
          <w:rPr>
            <w:rStyle w:val="Hyperlink"/>
            <w:rFonts w:ascii="Verdana" w:hAnsi="Verdana" w:cstheme="minorHAnsi"/>
            <w:noProof/>
            <w:sz w:val="20"/>
            <w:szCs w:val="20"/>
          </w:rPr>
          <w:t>Comparable Earnings Model</w:t>
        </w:r>
        <w:r w:rsidR="00383C90" w:rsidRPr="00383C90">
          <w:rPr>
            <w:rFonts w:ascii="Verdana" w:hAnsi="Verdana"/>
            <w:noProof/>
            <w:webHidden/>
            <w:sz w:val="20"/>
            <w:szCs w:val="20"/>
          </w:rPr>
          <w:tab/>
        </w:r>
        <w:r w:rsidR="00383C90" w:rsidRPr="00383C90">
          <w:rPr>
            <w:rFonts w:ascii="Verdana" w:hAnsi="Verdana"/>
            <w:noProof/>
            <w:webHidden/>
            <w:sz w:val="20"/>
            <w:szCs w:val="20"/>
          </w:rPr>
          <w:fldChar w:fldCharType="begin"/>
        </w:r>
        <w:r w:rsidR="00383C90" w:rsidRPr="00383C90">
          <w:rPr>
            <w:rFonts w:ascii="Verdana" w:hAnsi="Verdana"/>
            <w:noProof/>
            <w:webHidden/>
            <w:sz w:val="20"/>
            <w:szCs w:val="20"/>
          </w:rPr>
          <w:instrText xml:space="preserve"> PAGEREF _Toc21873143 \h </w:instrText>
        </w:r>
        <w:r w:rsidR="00383C90" w:rsidRPr="00383C90">
          <w:rPr>
            <w:rFonts w:ascii="Verdana" w:hAnsi="Verdana"/>
            <w:noProof/>
            <w:webHidden/>
            <w:sz w:val="20"/>
            <w:szCs w:val="20"/>
          </w:rPr>
        </w:r>
        <w:r w:rsidR="00383C90" w:rsidRPr="00383C90">
          <w:rPr>
            <w:rFonts w:ascii="Verdana" w:hAnsi="Verdana"/>
            <w:noProof/>
            <w:webHidden/>
            <w:sz w:val="20"/>
            <w:szCs w:val="20"/>
          </w:rPr>
          <w:fldChar w:fldCharType="separate"/>
        </w:r>
        <w:r w:rsidR="005A4CEF">
          <w:rPr>
            <w:rFonts w:ascii="Verdana" w:hAnsi="Verdana"/>
            <w:noProof/>
            <w:webHidden/>
            <w:sz w:val="20"/>
            <w:szCs w:val="20"/>
          </w:rPr>
          <w:t>39</w:t>
        </w:r>
        <w:r w:rsidR="00383C90" w:rsidRPr="00383C90">
          <w:rPr>
            <w:rFonts w:ascii="Verdana" w:hAnsi="Verdana"/>
            <w:noProof/>
            <w:webHidden/>
            <w:sz w:val="20"/>
            <w:szCs w:val="20"/>
          </w:rPr>
          <w:fldChar w:fldCharType="end"/>
        </w:r>
      </w:hyperlink>
    </w:p>
    <w:p w14:paraId="11260281" w14:textId="64007D5F" w:rsidR="00383C90" w:rsidRPr="00383C90" w:rsidRDefault="0084421A">
      <w:pPr>
        <w:pStyle w:val="TOC1"/>
        <w:rPr>
          <w:rFonts w:ascii="Verdana" w:eastAsiaTheme="minorEastAsia" w:hAnsi="Verdana" w:cstheme="minorBidi"/>
          <w:bCs w:val="0"/>
          <w:sz w:val="20"/>
          <w:szCs w:val="20"/>
          <w:lang w:eastAsia="en-US"/>
        </w:rPr>
      </w:pPr>
      <w:hyperlink w:anchor="_Toc21873144" w:history="1">
        <w:r w:rsidR="00383C90" w:rsidRPr="00383C90">
          <w:rPr>
            <w:rStyle w:val="Hyperlink"/>
            <w:rFonts w:ascii="Verdana" w:hAnsi="Verdana"/>
            <w:sz w:val="20"/>
            <w:szCs w:val="20"/>
          </w:rPr>
          <w:t xml:space="preserve">VII. RESPONSE TO </w:t>
        </w:r>
        <w:r w:rsidR="00383C90" w:rsidRPr="00383C90">
          <w:rPr>
            <w:rStyle w:val="Hyperlink"/>
            <w:rFonts w:ascii="Verdana" w:hAnsi="Verdana" w:cstheme="minorHAnsi"/>
            <w:sz w:val="20"/>
            <w:szCs w:val="20"/>
          </w:rPr>
          <w:t>DR. VANDER WEIDE’S</w:t>
        </w:r>
        <w:r w:rsidR="00383C90" w:rsidRPr="00383C90">
          <w:rPr>
            <w:rStyle w:val="Hyperlink"/>
            <w:rFonts w:ascii="Verdana" w:hAnsi="Verdana"/>
            <w:sz w:val="20"/>
            <w:szCs w:val="20"/>
          </w:rPr>
          <w:t xml:space="preserve"> ASSESSMENT OF </w:t>
        </w:r>
        <w:r w:rsidR="00383C90" w:rsidRPr="00383C90">
          <w:rPr>
            <w:rStyle w:val="Hyperlink"/>
            <w:rFonts w:ascii="Verdana" w:hAnsi="Verdana" w:cstheme="minorHAnsi"/>
            <w:sz w:val="20"/>
            <w:szCs w:val="20"/>
          </w:rPr>
          <w:t xml:space="preserve">GEORGIA POWER’S </w:t>
        </w:r>
        <w:r w:rsidR="00383C90" w:rsidRPr="00383C90">
          <w:rPr>
            <w:rStyle w:val="Hyperlink"/>
            <w:rFonts w:ascii="Verdana" w:hAnsi="Verdana"/>
            <w:sz w:val="20"/>
            <w:szCs w:val="20"/>
          </w:rPr>
          <w:t>BUSINESS RISKS</w:t>
        </w:r>
        <w:r w:rsidR="00383C90">
          <w:rPr>
            <w:rStyle w:val="Hyperlink"/>
            <w:rFonts w:ascii="Verdana" w:hAnsi="Verdana"/>
            <w:sz w:val="20"/>
            <w:szCs w:val="20"/>
          </w:rPr>
          <w:tab/>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_Toc21873144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41</w:t>
        </w:r>
        <w:r w:rsidR="00383C90" w:rsidRPr="00383C90">
          <w:rPr>
            <w:rFonts w:ascii="Verdana" w:hAnsi="Verdana"/>
            <w:webHidden/>
            <w:sz w:val="20"/>
            <w:szCs w:val="20"/>
          </w:rPr>
          <w:fldChar w:fldCharType="end"/>
        </w:r>
      </w:hyperlink>
    </w:p>
    <w:p w14:paraId="7A3AD91E" w14:textId="1FEE4E31" w:rsidR="00383C90" w:rsidRPr="00383C90" w:rsidRDefault="0084421A">
      <w:pPr>
        <w:pStyle w:val="TOC1"/>
        <w:rPr>
          <w:rFonts w:ascii="Verdana" w:eastAsiaTheme="minorEastAsia" w:hAnsi="Verdana" w:cstheme="minorBidi"/>
          <w:bCs w:val="0"/>
          <w:sz w:val="20"/>
          <w:szCs w:val="20"/>
          <w:lang w:eastAsia="en-US"/>
        </w:rPr>
      </w:pPr>
      <w:hyperlink w:anchor="_Toc21873145" w:history="1">
        <w:r w:rsidR="00383C90" w:rsidRPr="00383C90">
          <w:rPr>
            <w:rStyle w:val="Hyperlink"/>
            <w:rFonts w:ascii="Verdana" w:hAnsi="Verdana" w:cstheme="minorHAnsi"/>
            <w:sz w:val="20"/>
            <w:szCs w:val="20"/>
          </w:rPr>
          <w:t>VIII. FLOTATION COSTS</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_Toc21873145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44</w:t>
        </w:r>
        <w:r w:rsidR="00383C90" w:rsidRPr="00383C90">
          <w:rPr>
            <w:rFonts w:ascii="Verdana" w:hAnsi="Verdana"/>
            <w:webHidden/>
            <w:sz w:val="20"/>
            <w:szCs w:val="20"/>
          </w:rPr>
          <w:fldChar w:fldCharType="end"/>
        </w:r>
      </w:hyperlink>
    </w:p>
    <w:p w14:paraId="3EA83C55" w14:textId="231F5684" w:rsidR="00383C90" w:rsidRPr="00383C90" w:rsidRDefault="0084421A">
      <w:pPr>
        <w:pStyle w:val="TOC1"/>
        <w:rPr>
          <w:rFonts w:ascii="Verdana" w:eastAsiaTheme="minorEastAsia" w:hAnsi="Verdana" w:cstheme="minorBidi"/>
          <w:bCs w:val="0"/>
          <w:sz w:val="20"/>
          <w:szCs w:val="20"/>
          <w:lang w:eastAsia="en-US"/>
        </w:rPr>
      </w:pPr>
      <w:hyperlink w:anchor="_Toc21873146" w:history="1">
        <w:r w:rsidR="00383C90" w:rsidRPr="00383C90">
          <w:rPr>
            <w:rStyle w:val="Hyperlink"/>
            <w:rFonts w:ascii="Verdana" w:hAnsi="Verdana" w:cstheme="minorHAnsi"/>
            <w:sz w:val="20"/>
            <w:szCs w:val="20"/>
          </w:rPr>
          <w:t>IX. FINANCIAL RISK ADJUSTMENT</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_Toc21873146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46</w:t>
        </w:r>
        <w:r w:rsidR="00383C90" w:rsidRPr="00383C90">
          <w:rPr>
            <w:rFonts w:ascii="Verdana" w:hAnsi="Verdana"/>
            <w:webHidden/>
            <w:sz w:val="20"/>
            <w:szCs w:val="20"/>
          </w:rPr>
          <w:fldChar w:fldCharType="end"/>
        </w:r>
      </w:hyperlink>
    </w:p>
    <w:p w14:paraId="571F4C3D" w14:textId="2ABA0650" w:rsidR="00383C90" w:rsidRDefault="0084421A">
      <w:pPr>
        <w:pStyle w:val="TOC1"/>
        <w:rPr>
          <w:rFonts w:asciiTheme="minorHAnsi" w:eastAsiaTheme="minorEastAsia" w:hAnsiTheme="minorHAnsi" w:cstheme="minorBidi"/>
          <w:bCs w:val="0"/>
          <w:lang w:eastAsia="en-US"/>
        </w:rPr>
      </w:pPr>
      <w:hyperlink w:anchor="_Toc21873147" w:history="1">
        <w:r w:rsidR="00383C90" w:rsidRPr="00383C90">
          <w:rPr>
            <w:rStyle w:val="Hyperlink"/>
            <w:rFonts w:ascii="Verdana" w:hAnsi="Verdana" w:cstheme="minorHAnsi"/>
            <w:sz w:val="20"/>
            <w:szCs w:val="20"/>
          </w:rPr>
          <w:t>X. SUMMARY AND RECOMMENDATION</w:t>
        </w:r>
        <w:r w:rsidR="00383C90" w:rsidRPr="00383C90">
          <w:rPr>
            <w:rFonts w:ascii="Verdana" w:hAnsi="Verdana"/>
            <w:webHidden/>
            <w:sz w:val="20"/>
            <w:szCs w:val="20"/>
          </w:rPr>
          <w:tab/>
        </w:r>
        <w:r w:rsidR="00383C90" w:rsidRPr="00383C90">
          <w:rPr>
            <w:rFonts w:ascii="Verdana" w:hAnsi="Verdana"/>
            <w:webHidden/>
            <w:sz w:val="20"/>
            <w:szCs w:val="20"/>
          </w:rPr>
          <w:fldChar w:fldCharType="begin"/>
        </w:r>
        <w:r w:rsidR="00383C90" w:rsidRPr="00383C90">
          <w:rPr>
            <w:rFonts w:ascii="Verdana" w:hAnsi="Verdana"/>
            <w:webHidden/>
            <w:sz w:val="20"/>
            <w:szCs w:val="20"/>
          </w:rPr>
          <w:instrText xml:space="preserve"> PAGEREF _Toc21873147 \h </w:instrText>
        </w:r>
        <w:r w:rsidR="00383C90" w:rsidRPr="00383C90">
          <w:rPr>
            <w:rFonts w:ascii="Verdana" w:hAnsi="Verdana"/>
            <w:webHidden/>
            <w:sz w:val="20"/>
            <w:szCs w:val="20"/>
          </w:rPr>
        </w:r>
        <w:r w:rsidR="00383C90" w:rsidRPr="00383C90">
          <w:rPr>
            <w:rFonts w:ascii="Verdana" w:hAnsi="Verdana"/>
            <w:webHidden/>
            <w:sz w:val="20"/>
            <w:szCs w:val="20"/>
          </w:rPr>
          <w:fldChar w:fldCharType="separate"/>
        </w:r>
        <w:r w:rsidR="005A4CEF">
          <w:rPr>
            <w:rFonts w:ascii="Verdana" w:hAnsi="Verdana"/>
            <w:webHidden/>
            <w:sz w:val="20"/>
            <w:szCs w:val="20"/>
          </w:rPr>
          <w:t>48</w:t>
        </w:r>
        <w:r w:rsidR="00383C90" w:rsidRPr="00383C90">
          <w:rPr>
            <w:rFonts w:ascii="Verdana" w:hAnsi="Verdana"/>
            <w:webHidden/>
            <w:sz w:val="20"/>
            <w:szCs w:val="20"/>
          </w:rPr>
          <w:fldChar w:fldCharType="end"/>
        </w:r>
      </w:hyperlink>
    </w:p>
    <w:p w14:paraId="35D6CE75" w14:textId="1C39F5D6" w:rsidR="00823379" w:rsidRPr="00E46A8A" w:rsidRDefault="00320B4B" w:rsidP="00E46A8A">
      <w:pPr>
        <w:tabs>
          <w:tab w:val="left" w:pos="720"/>
        </w:tabs>
        <w:spacing w:after="240" w:line="240" w:lineRule="auto"/>
        <w:rPr>
          <w:rFonts w:ascii="Verdana" w:hAnsi="Verdana" w:cstheme="minorHAnsi"/>
          <w:sz w:val="20"/>
          <w:szCs w:val="20"/>
        </w:rPr>
      </w:pPr>
      <w:r w:rsidRPr="00E46A8A">
        <w:rPr>
          <w:rFonts w:ascii="Verdana" w:hAnsi="Verdana"/>
          <w:sz w:val="20"/>
          <w:szCs w:val="20"/>
        </w:rPr>
        <w:fldChar w:fldCharType="end"/>
      </w:r>
      <w:bookmarkStart w:id="2" w:name="_Toc432159120"/>
      <w:r w:rsidR="00823379" w:rsidRPr="00E46A8A">
        <w:rPr>
          <w:rFonts w:ascii="Verdana" w:hAnsi="Verdana" w:cstheme="minorHAnsi"/>
          <w:sz w:val="20"/>
          <w:szCs w:val="20"/>
        </w:rPr>
        <w:t>APPENDIX A: CURRICULUM VITAE AND QUALIFICATIONS</w:t>
      </w:r>
      <w:bookmarkEnd w:id="2"/>
    </w:p>
    <w:p w14:paraId="0CBB23E4" w14:textId="62470723" w:rsidR="00823379" w:rsidRPr="00486739" w:rsidRDefault="00823379" w:rsidP="00E46A8A">
      <w:pPr>
        <w:spacing w:after="240"/>
        <w:rPr>
          <w:rFonts w:ascii="Verdana" w:hAnsi="Verdana" w:cstheme="minorHAnsi"/>
          <w:sz w:val="20"/>
          <w:szCs w:val="20"/>
        </w:rPr>
      </w:pPr>
      <w:r w:rsidRPr="00486739">
        <w:rPr>
          <w:rFonts w:ascii="Verdana" w:hAnsi="Verdana" w:cstheme="minorHAnsi"/>
          <w:sz w:val="20"/>
          <w:szCs w:val="20"/>
        </w:rPr>
        <w:t xml:space="preserve">APPENDIX B: </w:t>
      </w:r>
      <w:r w:rsidR="0013533B">
        <w:rPr>
          <w:rFonts w:ascii="Verdana" w:hAnsi="Verdana" w:cstheme="minorHAnsi"/>
          <w:sz w:val="20"/>
          <w:szCs w:val="20"/>
        </w:rPr>
        <w:t>EXHIBITS</w:t>
      </w:r>
    </w:p>
    <w:p w14:paraId="025C9CF3" w14:textId="77777777" w:rsidR="00823379" w:rsidRPr="00DB5977" w:rsidRDefault="00823379" w:rsidP="00823379">
      <w:pPr>
        <w:suppressLineNumbers/>
        <w:rPr>
          <w:rFonts w:ascii="Verdana" w:eastAsia="Times New Roman" w:hAnsi="Verdana" w:cstheme="minorHAnsi"/>
          <w:b/>
          <w:sz w:val="18"/>
          <w:szCs w:val="18"/>
        </w:rPr>
        <w:sectPr w:rsidR="00823379" w:rsidRPr="00DB5977" w:rsidSect="006912FD">
          <w:footerReference w:type="first" r:id="rId10"/>
          <w:pgSz w:w="12240" w:h="15840"/>
          <w:pgMar w:top="1440" w:right="1440" w:bottom="1440" w:left="1440" w:header="720" w:footer="720" w:gutter="0"/>
          <w:pgNumType w:fmt="lowerRoman" w:start="1"/>
          <w:cols w:space="720"/>
          <w:titlePg/>
          <w:docGrid w:linePitch="360"/>
        </w:sectPr>
      </w:pPr>
    </w:p>
    <w:p w14:paraId="35FDD5D1" w14:textId="77777777" w:rsidR="00486739" w:rsidRPr="00ED1819" w:rsidRDefault="00486739" w:rsidP="00486739">
      <w:pPr>
        <w:pStyle w:val="Heading1"/>
        <w:numPr>
          <w:ilvl w:val="0"/>
          <w:numId w:val="0"/>
        </w:numPr>
        <w:rPr>
          <w:rFonts w:ascii="Verdana" w:hAnsi="Verdana" w:cstheme="minorHAnsi"/>
          <w:sz w:val="20"/>
          <w:szCs w:val="20"/>
        </w:rPr>
      </w:pPr>
      <w:bookmarkStart w:id="3" w:name="_Toc21521233"/>
      <w:bookmarkStart w:id="4" w:name="_Toc21555884"/>
      <w:bookmarkStart w:id="5" w:name="_Toc21873134"/>
      <w:r>
        <w:rPr>
          <w:rFonts w:ascii="Verdana" w:hAnsi="Verdana" w:cstheme="minorHAnsi"/>
          <w:sz w:val="20"/>
          <w:szCs w:val="20"/>
          <w:u w:val="none"/>
        </w:rPr>
        <w:lastRenderedPageBreak/>
        <w:t xml:space="preserve">I. </w:t>
      </w:r>
      <w:r w:rsidRPr="00ED1819">
        <w:rPr>
          <w:rFonts w:ascii="Verdana" w:hAnsi="Verdana" w:cstheme="minorHAnsi"/>
          <w:sz w:val="20"/>
          <w:szCs w:val="20"/>
        </w:rPr>
        <w:t>INTRODUCTION AND QUALIFICATIONS</w:t>
      </w:r>
      <w:bookmarkEnd w:id="3"/>
      <w:bookmarkEnd w:id="4"/>
      <w:bookmarkEnd w:id="5"/>
    </w:p>
    <w:p w14:paraId="66008DF7" w14:textId="77777777" w:rsidR="00823379" w:rsidRPr="00DB5977" w:rsidRDefault="00823379" w:rsidP="00486739">
      <w:pPr>
        <w:pStyle w:val="DirectQuestion"/>
      </w:pPr>
      <w:r w:rsidRPr="00DB5977">
        <w:t>Please state your full name, OCCUPATION, and business address.</w:t>
      </w:r>
    </w:p>
    <w:p w14:paraId="3E5321CF"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My name is Maureen L. Reno.</w:t>
      </w:r>
      <w:r w:rsidR="0025065A">
        <w:rPr>
          <w:rFonts w:ascii="Verdana" w:hAnsi="Verdana" w:cstheme="minorHAnsi"/>
          <w:sz w:val="20"/>
          <w:szCs w:val="20"/>
        </w:rPr>
        <w:t xml:space="preserve"> </w:t>
      </w:r>
      <w:r w:rsidRPr="00DB5977">
        <w:rPr>
          <w:rFonts w:ascii="Verdana" w:hAnsi="Verdana" w:cstheme="minorHAnsi"/>
          <w:sz w:val="20"/>
          <w:szCs w:val="20"/>
        </w:rPr>
        <w:t>I am an economist</w:t>
      </w:r>
      <w:r w:rsidR="003F529F" w:rsidRPr="00DB5977">
        <w:rPr>
          <w:rFonts w:ascii="Verdana" w:hAnsi="Verdana" w:cstheme="minorHAnsi"/>
          <w:sz w:val="20"/>
          <w:szCs w:val="20"/>
        </w:rPr>
        <w:t xml:space="preserve"> with a specialization in public utility economics and finance.</w:t>
      </w:r>
      <w:r w:rsidRPr="00DB5977">
        <w:rPr>
          <w:rFonts w:ascii="Verdana" w:hAnsi="Verdana" w:cstheme="minorHAnsi"/>
          <w:sz w:val="20"/>
          <w:szCs w:val="20"/>
        </w:rPr>
        <w:t xml:space="preserve"> </w:t>
      </w:r>
      <w:r w:rsidR="003F529F" w:rsidRPr="00DB5977">
        <w:rPr>
          <w:rFonts w:ascii="Verdana" w:hAnsi="Verdana" w:cstheme="minorHAnsi"/>
          <w:sz w:val="20"/>
          <w:szCs w:val="20"/>
        </w:rPr>
        <w:t>I am the principal consultant of</w:t>
      </w:r>
      <w:r w:rsidRPr="00DB5977">
        <w:rPr>
          <w:rFonts w:ascii="Verdana" w:hAnsi="Verdana" w:cstheme="minorHAnsi"/>
          <w:sz w:val="20"/>
          <w:szCs w:val="20"/>
        </w:rPr>
        <w:t xml:space="preserve"> Reno Energy Consulting Services, L.L.C</w:t>
      </w:r>
      <w:r w:rsidR="003F529F"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My business address is 19 Hope Hill Road, Derry, New Hampshire 03038.</w:t>
      </w:r>
    </w:p>
    <w:p w14:paraId="1644DD51" w14:textId="77777777" w:rsidR="00823379" w:rsidRPr="00DB5977" w:rsidRDefault="00823379" w:rsidP="00486739">
      <w:pPr>
        <w:pStyle w:val="DirectQuestion"/>
      </w:pPr>
      <w:r w:rsidRPr="00DB5977">
        <w:t>Please summarize your education.</w:t>
      </w:r>
    </w:p>
    <w:p w14:paraId="6AEB1B1B"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I received a Bachelor of Arts degree in Economics from the University of Maine at </w:t>
      </w:r>
      <w:proofErr w:type="spellStart"/>
      <w:r w:rsidRPr="00DB5977">
        <w:rPr>
          <w:rFonts w:ascii="Verdana" w:hAnsi="Verdana" w:cstheme="minorHAnsi"/>
          <w:sz w:val="20"/>
          <w:szCs w:val="20"/>
        </w:rPr>
        <w:t>Orono</w:t>
      </w:r>
      <w:proofErr w:type="spellEnd"/>
      <w:r w:rsidRPr="00DB5977">
        <w:rPr>
          <w:rFonts w:ascii="Verdana" w:hAnsi="Verdana" w:cstheme="minorHAnsi"/>
          <w:sz w:val="20"/>
          <w:szCs w:val="20"/>
        </w:rPr>
        <w:t>, Maine in 1996.</w:t>
      </w:r>
      <w:r w:rsidR="0025065A">
        <w:rPr>
          <w:rFonts w:ascii="Verdana" w:hAnsi="Verdana" w:cstheme="minorHAnsi"/>
          <w:sz w:val="20"/>
          <w:szCs w:val="20"/>
        </w:rPr>
        <w:t xml:space="preserve"> </w:t>
      </w:r>
      <w:r w:rsidRPr="00DB5977">
        <w:rPr>
          <w:rFonts w:ascii="Verdana" w:hAnsi="Verdana" w:cstheme="minorHAnsi"/>
          <w:sz w:val="20"/>
          <w:szCs w:val="20"/>
        </w:rPr>
        <w:t>In 1998, I earned a Master of Arts degree in Economics from the University of New Hampshire in Durham, New Hampshire where I also completed all requirements (course work and examination requirements) for the Ph.D. degree in economics, except for my dissertation.</w:t>
      </w:r>
      <w:r w:rsidR="0025065A">
        <w:rPr>
          <w:rFonts w:ascii="Verdana" w:hAnsi="Verdana" w:cstheme="minorHAnsi"/>
          <w:sz w:val="20"/>
          <w:szCs w:val="20"/>
        </w:rPr>
        <w:t xml:space="preserve"> </w:t>
      </w:r>
      <w:r w:rsidRPr="00DB5977">
        <w:rPr>
          <w:rFonts w:ascii="Verdana" w:hAnsi="Verdana" w:cstheme="minorHAnsi"/>
          <w:sz w:val="20"/>
          <w:szCs w:val="20"/>
        </w:rPr>
        <w:t>My areas of academic concentration included industrial organization and environmental economics.</w:t>
      </w:r>
      <w:r w:rsidR="0025065A">
        <w:rPr>
          <w:rFonts w:ascii="Verdana" w:hAnsi="Verdana" w:cstheme="minorHAnsi"/>
          <w:sz w:val="20"/>
          <w:szCs w:val="20"/>
        </w:rPr>
        <w:t xml:space="preserve"> </w:t>
      </w:r>
    </w:p>
    <w:p w14:paraId="587BBADE" w14:textId="77777777" w:rsidR="00823379" w:rsidRPr="00DB5977" w:rsidRDefault="00823379" w:rsidP="00486739">
      <w:pPr>
        <w:pStyle w:val="DirectQuestion"/>
        <w:rPr>
          <w:lang w:val="en-CA"/>
        </w:rPr>
      </w:pPr>
      <w:r w:rsidRPr="00DB5977">
        <w:rPr>
          <w:lang w:val="en-CA"/>
        </w:rPr>
        <w:t>What is your professional background?</w:t>
      </w:r>
    </w:p>
    <w:p w14:paraId="1DBCAB65" w14:textId="63D6D583" w:rsidR="00823379" w:rsidRPr="00DB5977" w:rsidRDefault="00823379" w:rsidP="00823379">
      <w:pPr>
        <w:pStyle w:val="DirectAnswer"/>
        <w:jc w:val="both"/>
        <w:rPr>
          <w:rFonts w:ascii="Verdana" w:hAnsi="Verdana" w:cstheme="minorHAnsi"/>
          <w:sz w:val="20"/>
          <w:szCs w:val="20"/>
          <w:lang w:val="en-CA"/>
        </w:rPr>
      </w:pPr>
      <w:r w:rsidRPr="00DB5977">
        <w:rPr>
          <w:rFonts w:ascii="Verdana" w:hAnsi="Verdana" w:cstheme="minorHAnsi"/>
          <w:sz w:val="20"/>
          <w:szCs w:val="20"/>
          <w:lang w:val="en-CA"/>
        </w:rPr>
        <w:t>I have over 1</w:t>
      </w:r>
      <w:r w:rsidR="00AB30A6" w:rsidRPr="00DB5977">
        <w:rPr>
          <w:rFonts w:ascii="Verdana" w:hAnsi="Verdana" w:cstheme="minorHAnsi"/>
          <w:sz w:val="20"/>
          <w:szCs w:val="20"/>
          <w:lang w:val="en-CA"/>
        </w:rPr>
        <w:t>9</w:t>
      </w:r>
      <w:r w:rsidRPr="00DB5977">
        <w:rPr>
          <w:rFonts w:ascii="Verdana" w:hAnsi="Verdana" w:cstheme="minorHAnsi"/>
          <w:sz w:val="20"/>
          <w:szCs w:val="20"/>
          <w:lang w:val="en-CA"/>
        </w:rPr>
        <w:t xml:space="preserve"> years of professional experience in the regulated utilities and energy sectors.</w:t>
      </w:r>
      <w:r w:rsidR="0025065A">
        <w:rPr>
          <w:rFonts w:ascii="Verdana" w:hAnsi="Verdana" w:cstheme="minorHAnsi"/>
          <w:sz w:val="20"/>
          <w:szCs w:val="20"/>
          <w:lang w:val="en-CA"/>
        </w:rPr>
        <w:t xml:space="preserve"> </w:t>
      </w:r>
      <w:r w:rsidRPr="00DB5977">
        <w:rPr>
          <w:rFonts w:ascii="Verdana" w:hAnsi="Verdana" w:cstheme="minorHAnsi"/>
          <w:sz w:val="20"/>
          <w:szCs w:val="20"/>
          <w:lang w:val="en-CA"/>
        </w:rPr>
        <w:t xml:space="preserve">From 2001 to 2011, I served as a utility analyst and program manager with </w:t>
      </w:r>
      <w:r w:rsidR="00C4278A" w:rsidRPr="00DB5977">
        <w:rPr>
          <w:rFonts w:ascii="Verdana" w:hAnsi="Verdana"/>
          <w:sz w:val="20"/>
          <w:szCs w:val="20"/>
          <w:lang w:val="en-CA"/>
        </w:rPr>
        <w:t>the New Hampshire Public Utilities Commission advising the Commissioners on regulated utilities’ cost of capital and return on equity</w:t>
      </w:r>
      <w:r w:rsidR="00F3365C">
        <w:rPr>
          <w:rFonts w:ascii="Verdana" w:hAnsi="Verdana"/>
          <w:sz w:val="20"/>
          <w:szCs w:val="20"/>
          <w:lang w:val="en-CA"/>
        </w:rPr>
        <w:t xml:space="preserve"> (“ROE”)</w:t>
      </w:r>
      <w:r w:rsidR="00C4278A" w:rsidRPr="00DB5977">
        <w:rPr>
          <w:rFonts w:ascii="Verdana" w:hAnsi="Verdana"/>
          <w:sz w:val="20"/>
          <w:szCs w:val="20"/>
          <w:lang w:val="en-CA"/>
        </w:rPr>
        <w:t>.</w:t>
      </w:r>
      <w:r w:rsidR="0025065A">
        <w:rPr>
          <w:rFonts w:ascii="Verdana" w:hAnsi="Verdana"/>
          <w:sz w:val="20"/>
          <w:szCs w:val="20"/>
          <w:lang w:val="en-CA"/>
        </w:rPr>
        <w:t xml:space="preserve"> </w:t>
      </w:r>
      <w:r w:rsidR="00C4278A" w:rsidRPr="00DB5977">
        <w:rPr>
          <w:rFonts w:ascii="Verdana" w:hAnsi="Verdana"/>
          <w:sz w:val="20"/>
          <w:szCs w:val="20"/>
          <w:lang w:val="en-CA"/>
        </w:rPr>
        <w:t xml:space="preserve">From 2011 to 2012, I served as a Senior Energy </w:t>
      </w:r>
      <w:r w:rsidR="00C4278A" w:rsidRPr="00DB5977">
        <w:rPr>
          <w:rFonts w:ascii="Verdana" w:hAnsi="Verdana"/>
          <w:sz w:val="20"/>
          <w:szCs w:val="20"/>
          <w:lang w:val="en-CA"/>
        </w:rPr>
        <w:lastRenderedPageBreak/>
        <w:t>Economist with the Union of Concerned Scientists advising on the intricacies of the regulated utility industry and helping to develop alternative financing programs for renewable energy investments.</w:t>
      </w:r>
      <w:r w:rsidR="0025065A">
        <w:rPr>
          <w:rFonts w:ascii="Verdana" w:hAnsi="Verdana"/>
          <w:sz w:val="20"/>
          <w:szCs w:val="20"/>
          <w:lang w:val="en-CA"/>
        </w:rPr>
        <w:t xml:space="preserve"> </w:t>
      </w:r>
      <w:r w:rsidR="00C4278A" w:rsidRPr="00DB5977">
        <w:rPr>
          <w:rFonts w:ascii="Verdana" w:hAnsi="Verdana"/>
          <w:sz w:val="20"/>
          <w:szCs w:val="20"/>
          <w:lang w:val="en-CA"/>
        </w:rPr>
        <w:t>Since 2012, I have served as a</w:t>
      </w:r>
      <w:r w:rsidR="00874427" w:rsidRPr="00DB5977">
        <w:rPr>
          <w:rFonts w:ascii="Verdana" w:hAnsi="Verdana"/>
          <w:sz w:val="20"/>
          <w:szCs w:val="20"/>
          <w:lang w:val="en-CA"/>
        </w:rPr>
        <w:t>n independent</w:t>
      </w:r>
      <w:r w:rsidR="00C4278A" w:rsidRPr="00DB5977">
        <w:rPr>
          <w:rFonts w:ascii="Verdana" w:hAnsi="Verdana"/>
          <w:sz w:val="20"/>
          <w:szCs w:val="20"/>
          <w:lang w:val="en-CA"/>
        </w:rPr>
        <w:t xml:space="preserve"> consultant to multiple firms, including Exeter Associates, Inc. </w:t>
      </w:r>
      <w:r w:rsidR="00F70D3C" w:rsidRPr="00DB5977">
        <w:rPr>
          <w:rFonts w:ascii="Verdana" w:hAnsi="Verdana"/>
          <w:sz w:val="20"/>
          <w:szCs w:val="20"/>
          <w:lang w:val="en-CA"/>
        </w:rPr>
        <w:t xml:space="preserve">and </w:t>
      </w:r>
      <w:proofErr w:type="spellStart"/>
      <w:r w:rsidR="00BF2FF5" w:rsidRPr="00DB5977">
        <w:rPr>
          <w:rFonts w:ascii="Verdana" w:hAnsi="Verdana"/>
          <w:sz w:val="20"/>
          <w:szCs w:val="20"/>
          <w:lang w:val="en-CA"/>
        </w:rPr>
        <w:t>T</w:t>
      </w:r>
      <w:r w:rsidR="00F3365C">
        <w:rPr>
          <w:rFonts w:ascii="Verdana" w:hAnsi="Verdana"/>
          <w:sz w:val="20"/>
          <w:szCs w:val="20"/>
          <w:lang w:val="en-CA"/>
        </w:rPr>
        <w:t>AHOE</w:t>
      </w:r>
      <w:r w:rsidR="00BF2FF5" w:rsidRPr="00DB5977">
        <w:rPr>
          <w:rFonts w:ascii="Verdana" w:hAnsi="Verdana"/>
          <w:sz w:val="20"/>
          <w:szCs w:val="20"/>
          <w:lang w:val="en-CA"/>
        </w:rPr>
        <w:t>conomics</w:t>
      </w:r>
      <w:proofErr w:type="spellEnd"/>
      <w:r w:rsidR="00BF2FF5" w:rsidRPr="00DB5977">
        <w:rPr>
          <w:rFonts w:ascii="Verdana" w:hAnsi="Verdana"/>
          <w:sz w:val="20"/>
          <w:szCs w:val="20"/>
          <w:lang w:val="en-CA"/>
        </w:rPr>
        <w:t xml:space="preserve">, LLC </w:t>
      </w:r>
      <w:r w:rsidR="00C4278A" w:rsidRPr="00DB5977">
        <w:rPr>
          <w:rFonts w:ascii="Verdana" w:hAnsi="Verdana"/>
          <w:sz w:val="20"/>
          <w:szCs w:val="20"/>
          <w:lang w:val="en-CA"/>
        </w:rPr>
        <w:t xml:space="preserve">on </w:t>
      </w:r>
      <w:r w:rsidRPr="00DB5977">
        <w:rPr>
          <w:rFonts w:ascii="Verdana" w:hAnsi="Verdana" w:cstheme="minorHAnsi"/>
          <w:sz w:val="20"/>
          <w:szCs w:val="20"/>
          <w:lang w:val="en-CA"/>
        </w:rPr>
        <w:t xml:space="preserve">utility cost of capital; Stephenson Strategic Communications, LLC on federal climate and energy policy; and </w:t>
      </w:r>
      <w:proofErr w:type="spellStart"/>
      <w:r w:rsidRPr="00DB5977">
        <w:rPr>
          <w:rFonts w:ascii="Verdana" w:hAnsi="Verdana" w:cstheme="minorHAnsi"/>
          <w:sz w:val="20"/>
          <w:szCs w:val="20"/>
          <w:lang w:val="en-CA"/>
        </w:rPr>
        <w:t>TrueLight</w:t>
      </w:r>
      <w:proofErr w:type="spellEnd"/>
      <w:r w:rsidRPr="00DB5977">
        <w:rPr>
          <w:rFonts w:ascii="Verdana" w:hAnsi="Verdana" w:cstheme="minorHAnsi"/>
          <w:sz w:val="20"/>
          <w:szCs w:val="20"/>
          <w:lang w:val="en-CA"/>
        </w:rPr>
        <w:t xml:space="preserve"> Energy, LLC on regulated utility rate impacts and energy markets.</w:t>
      </w:r>
      <w:r w:rsidR="0025065A">
        <w:rPr>
          <w:rFonts w:ascii="Verdana" w:hAnsi="Verdana" w:cstheme="minorHAnsi"/>
          <w:sz w:val="20"/>
          <w:szCs w:val="20"/>
          <w:lang w:val="en-CA"/>
        </w:rPr>
        <w:t xml:space="preserve"> </w:t>
      </w:r>
    </w:p>
    <w:p w14:paraId="6A0805E0" w14:textId="77777777" w:rsidR="00823379" w:rsidRPr="00DB5977" w:rsidRDefault="00823379" w:rsidP="00486739">
      <w:pPr>
        <w:pStyle w:val="DirectQuestion"/>
        <w:rPr>
          <w:lang w:val="en-CA"/>
        </w:rPr>
      </w:pPr>
      <w:r w:rsidRPr="00DB5977">
        <w:rPr>
          <w:lang w:val="en-CA"/>
        </w:rPr>
        <w:t xml:space="preserve">Have you previously testified as an expert witness before a </w:t>
      </w:r>
      <w:r w:rsidR="001D7258" w:rsidRPr="00DB5977">
        <w:rPr>
          <w:lang w:val="en-CA"/>
        </w:rPr>
        <w:t xml:space="preserve">public </w:t>
      </w:r>
      <w:r w:rsidR="0021720D" w:rsidRPr="00DB5977">
        <w:rPr>
          <w:lang w:val="en-CA"/>
        </w:rPr>
        <w:t>Service</w:t>
      </w:r>
      <w:r w:rsidRPr="00DB5977">
        <w:rPr>
          <w:lang w:val="en-CA"/>
        </w:rPr>
        <w:t xml:space="preserve"> commission?</w:t>
      </w:r>
    </w:p>
    <w:p w14:paraId="50D64774" w14:textId="77777777" w:rsidR="00823379" w:rsidRPr="00DB5977" w:rsidRDefault="00823379" w:rsidP="00823379">
      <w:pPr>
        <w:pStyle w:val="DirectAnswer"/>
        <w:jc w:val="both"/>
        <w:rPr>
          <w:rFonts w:ascii="Verdana" w:hAnsi="Verdana" w:cstheme="minorHAnsi"/>
          <w:sz w:val="20"/>
          <w:szCs w:val="20"/>
          <w:lang w:val="en-CA"/>
        </w:rPr>
      </w:pPr>
      <w:r w:rsidRPr="00DB5977">
        <w:rPr>
          <w:rFonts w:ascii="Verdana" w:hAnsi="Verdana" w:cstheme="minorHAnsi"/>
          <w:sz w:val="20"/>
          <w:szCs w:val="20"/>
          <w:lang w:val="en-CA"/>
        </w:rPr>
        <w:t>Yes.</w:t>
      </w:r>
      <w:r w:rsidR="0025065A">
        <w:rPr>
          <w:rFonts w:ascii="Verdana" w:hAnsi="Verdana" w:cstheme="minorHAnsi"/>
          <w:sz w:val="20"/>
          <w:szCs w:val="20"/>
          <w:lang w:val="en-CA"/>
        </w:rPr>
        <w:t xml:space="preserve"> </w:t>
      </w:r>
      <w:r w:rsidRPr="00DB5977">
        <w:rPr>
          <w:rFonts w:ascii="Verdana" w:hAnsi="Verdana" w:cstheme="minorHAnsi"/>
          <w:sz w:val="20"/>
          <w:szCs w:val="20"/>
          <w:lang w:val="en-CA"/>
        </w:rPr>
        <w:t xml:space="preserve">I have testified in more than a dozen rate proceedings in several states, to include Missouri, </w:t>
      </w:r>
      <w:r w:rsidR="001D7258" w:rsidRPr="00DB5977">
        <w:rPr>
          <w:rFonts w:ascii="Verdana" w:hAnsi="Verdana" w:cstheme="minorHAnsi"/>
          <w:sz w:val="20"/>
          <w:szCs w:val="20"/>
          <w:lang w:val="en-CA"/>
        </w:rPr>
        <w:t>New Hampshire</w:t>
      </w:r>
      <w:r w:rsidR="0018649D" w:rsidRPr="00DB5977">
        <w:rPr>
          <w:rFonts w:ascii="Verdana" w:hAnsi="Verdana" w:cstheme="minorHAnsi"/>
          <w:sz w:val="20"/>
          <w:szCs w:val="20"/>
          <w:lang w:val="en-CA"/>
        </w:rPr>
        <w:t>, New Mexico</w:t>
      </w:r>
      <w:r w:rsidR="001D7258" w:rsidRPr="00DB5977">
        <w:rPr>
          <w:rFonts w:ascii="Verdana" w:hAnsi="Verdana" w:cstheme="minorHAnsi"/>
          <w:sz w:val="20"/>
          <w:szCs w:val="20"/>
          <w:lang w:val="en-CA"/>
        </w:rPr>
        <w:t>,</w:t>
      </w:r>
      <w:r w:rsidRPr="00DB5977">
        <w:rPr>
          <w:rFonts w:ascii="Verdana" w:hAnsi="Verdana" w:cstheme="minorHAnsi"/>
          <w:sz w:val="20"/>
          <w:szCs w:val="20"/>
          <w:lang w:val="en-CA"/>
        </w:rPr>
        <w:t xml:space="preserve"> </w:t>
      </w:r>
      <w:r w:rsidR="000F377B">
        <w:rPr>
          <w:rFonts w:ascii="Verdana" w:hAnsi="Verdana" w:cstheme="minorHAnsi"/>
          <w:sz w:val="20"/>
          <w:szCs w:val="20"/>
          <w:lang w:val="en-CA"/>
        </w:rPr>
        <w:t>Oklahoma,</w:t>
      </w:r>
      <w:r w:rsidRPr="00DB5977">
        <w:rPr>
          <w:rFonts w:ascii="Verdana" w:hAnsi="Verdana" w:cstheme="minorHAnsi"/>
          <w:sz w:val="20"/>
          <w:szCs w:val="20"/>
          <w:lang w:val="en-CA"/>
        </w:rPr>
        <w:t xml:space="preserve"> and Texas</w:t>
      </w:r>
      <w:r w:rsidR="00336A54" w:rsidRPr="00DB5977">
        <w:rPr>
          <w:rFonts w:ascii="Verdana" w:hAnsi="Verdana" w:cstheme="minorHAnsi"/>
          <w:sz w:val="20"/>
          <w:szCs w:val="20"/>
          <w:lang w:val="en-CA"/>
        </w:rPr>
        <w:t>,</w:t>
      </w:r>
      <w:r w:rsidRPr="00DB5977">
        <w:rPr>
          <w:rFonts w:ascii="Verdana" w:hAnsi="Verdana" w:cstheme="minorHAnsi"/>
          <w:sz w:val="20"/>
          <w:szCs w:val="20"/>
          <w:lang w:val="en-CA"/>
        </w:rPr>
        <w:t xml:space="preserve"> on a wide range of issues concerning regulated utilities</w:t>
      </w:r>
      <w:r w:rsidR="00874427" w:rsidRPr="00DB5977">
        <w:rPr>
          <w:rFonts w:ascii="Verdana" w:hAnsi="Verdana" w:cstheme="minorHAnsi"/>
          <w:sz w:val="20"/>
          <w:szCs w:val="20"/>
          <w:lang w:val="en-CA"/>
        </w:rPr>
        <w:t xml:space="preserve"> (including cost of capital)</w:t>
      </w:r>
      <w:r w:rsidRPr="00DB5977">
        <w:rPr>
          <w:rFonts w:ascii="Verdana" w:hAnsi="Verdana" w:cstheme="minorHAnsi"/>
          <w:sz w:val="20"/>
          <w:szCs w:val="20"/>
          <w:lang w:val="en-CA"/>
        </w:rPr>
        <w:t>, retail and wholesale energy markets, and renewable energy.</w:t>
      </w:r>
      <w:r w:rsidR="0025065A">
        <w:rPr>
          <w:rFonts w:ascii="Verdana" w:hAnsi="Verdana" w:cstheme="minorHAnsi"/>
          <w:sz w:val="20"/>
          <w:szCs w:val="20"/>
          <w:lang w:val="en-CA"/>
        </w:rPr>
        <w:t xml:space="preserve"> </w:t>
      </w:r>
      <w:r w:rsidRPr="00DB5977">
        <w:rPr>
          <w:rFonts w:ascii="Verdana" w:hAnsi="Verdana" w:cstheme="minorHAnsi"/>
          <w:sz w:val="20"/>
          <w:szCs w:val="20"/>
          <w:lang w:val="en-CA"/>
        </w:rPr>
        <w:t>(</w:t>
      </w:r>
      <w:r w:rsidRPr="00DB5977">
        <w:rPr>
          <w:rFonts w:ascii="Verdana" w:hAnsi="Verdana" w:cstheme="minorHAnsi"/>
          <w:i/>
          <w:sz w:val="20"/>
          <w:szCs w:val="20"/>
          <w:u w:val="single"/>
          <w:lang w:val="en-CA"/>
        </w:rPr>
        <w:t>See</w:t>
      </w:r>
      <w:r w:rsidRPr="00DB5977">
        <w:rPr>
          <w:rFonts w:ascii="Verdana" w:hAnsi="Verdana" w:cstheme="minorHAnsi"/>
          <w:i/>
          <w:sz w:val="20"/>
          <w:szCs w:val="20"/>
          <w:lang w:val="en-CA"/>
        </w:rPr>
        <w:t xml:space="preserve"> </w:t>
      </w:r>
      <w:r w:rsidRPr="00DB5977">
        <w:rPr>
          <w:rFonts w:ascii="Verdana" w:hAnsi="Verdana" w:cstheme="minorHAnsi"/>
          <w:sz w:val="20"/>
          <w:szCs w:val="20"/>
          <w:lang w:val="en-CA"/>
        </w:rPr>
        <w:t xml:space="preserve">Appendix A for my curriculum vitae and qualifications.) </w:t>
      </w:r>
    </w:p>
    <w:p w14:paraId="47800841" w14:textId="77777777" w:rsidR="00823379" w:rsidRPr="00DB5977" w:rsidRDefault="00823379" w:rsidP="00486739">
      <w:pPr>
        <w:pStyle w:val="DirectQuestion"/>
        <w:rPr>
          <w:lang w:val="en-CA"/>
        </w:rPr>
      </w:pPr>
      <w:r w:rsidRPr="00DB5977">
        <w:rPr>
          <w:lang w:val="en-CA"/>
        </w:rPr>
        <w:t>On whose behalf are you appearing in this proceeding?</w:t>
      </w:r>
    </w:p>
    <w:p w14:paraId="2677B4BA" w14:textId="43C9DC21" w:rsidR="00466453" w:rsidRDefault="00823379" w:rsidP="00466453">
      <w:pPr>
        <w:pStyle w:val="DirectAnswer"/>
        <w:jc w:val="both"/>
        <w:rPr>
          <w:rFonts w:ascii="Verdana" w:hAnsi="Verdana" w:cstheme="minorHAnsi"/>
          <w:sz w:val="20"/>
          <w:szCs w:val="20"/>
        </w:rPr>
      </w:pPr>
      <w:r w:rsidRPr="00DB5977">
        <w:rPr>
          <w:rFonts w:ascii="Verdana" w:hAnsi="Verdana" w:cstheme="minorHAnsi"/>
          <w:sz w:val="20"/>
          <w:szCs w:val="20"/>
          <w:lang w:val="en-CA"/>
        </w:rPr>
        <w:t>I am serving as an</w:t>
      </w:r>
      <w:r w:rsidR="00C5115C" w:rsidRPr="00DB5977">
        <w:rPr>
          <w:rFonts w:ascii="Verdana" w:hAnsi="Verdana" w:cstheme="minorHAnsi"/>
          <w:sz w:val="20"/>
          <w:szCs w:val="20"/>
          <w:lang w:val="en-CA"/>
        </w:rPr>
        <w:t xml:space="preserve"> expert witness on cost of capital for the United States Department of Defense and all other Federal Executive Agencies (“DoD/FEA”)</w:t>
      </w:r>
      <w:r w:rsidR="000640C5" w:rsidRPr="00DB5977">
        <w:rPr>
          <w:rFonts w:ascii="Verdana" w:hAnsi="Verdana" w:cstheme="minorHAnsi"/>
          <w:sz w:val="20"/>
          <w:szCs w:val="20"/>
          <w:lang w:val="en-CA"/>
        </w:rPr>
        <w:t>. DoD/FEA is a large customer of</w:t>
      </w:r>
      <w:r w:rsidRPr="00DB5977">
        <w:rPr>
          <w:rFonts w:ascii="Verdana" w:hAnsi="Verdana" w:cstheme="minorHAnsi"/>
          <w:sz w:val="20"/>
          <w:szCs w:val="20"/>
          <w:lang w:val="en-CA"/>
        </w:rPr>
        <w:t xml:space="preserve"> </w:t>
      </w:r>
      <w:r w:rsidR="00172C9E" w:rsidRPr="00DB5977">
        <w:rPr>
          <w:rFonts w:ascii="Verdana" w:hAnsi="Verdana" w:cstheme="minorHAnsi"/>
          <w:sz w:val="20"/>
          <w:szCs w:val="20"/>
        </w:rPr>
        <w:t>Georgia Power Company</w:t>
      </w:r>
      <w:r w:rsidR="002F4FD3" w:rsidRPr="00DB5977">
        <w:rPr>
          <w:rFonts w:ascii="Verdana" w:hAnsi="Verdana" w:cstheme="minorHAnsi"/>
          <w:sz w:val="20"/>
          <w:szCs w:val="20"/>
        </w:rPr>
        <w:t xml:space="preserve"> (“</w:t>
      </w:r>
      <w:r w:rsidR="00172C9E" w:rsidRPr="00DB5977">
        <w:rPr>
          <w:rFonts w:ascii="Verdana" w:hAnsi="Verdana" w:cstheme="minorHAnsi"/>
          <w:sz w:val="20"/>
          <w:szCs w:val="20"/>
        </w:rPr>
        <w:t>Georgia Power</w:t>
      </w:r>
      <w:r w:rsidR="002F4FD3" w:rsidRPr="00DB5977">
        <w:rPr>
          <w:rFonts w:ascii="Verdana" w:hAnsi="Verdana" w:cstheme="minorHAnsi"/>
          <w:sz w:val="20"/>
          <w:szCs w:val="20"/>
        </w:rPr>
        <w:t>” or “Company”)</w:t>
      </w:r>
      <w:r w:rsidR="001959F0" w:rsidRPr="00DB5977">
        <w:rPr>
          <w:rFonts w:ascii="Verdana" w:hAnsi="Verdana" w:cstheme="minorHAnsi"/>
          <w:sz w:val="20"/>
          <w:szCs w:val="20"/>
        </w:rPr>
        <w:t xml:space="preserve"> and maintains military </w:t>
      </w:r>
      <w:r w:rsidR="00E65399" w:rsidRPr="00DB5977">
        <w:rPr>
          <w:rFonts w:ascii="Verdana" w:hAnsi="Verdana" w:cstheme="minorHAnsi"/>
          <w:sz w:val="20"/>
          <w:szCs w:val="20"/>
        </w:rPr>
        <w:t xml:space="preserve">installations </w:t>
      </w:r>
      <w:r w:rsidR="00857AA9" w:rsidRPr="00DB5977">
        <w:rPr>
          <w:rFonts w:ascii="Verdana" w:hAnsi="Verdana" w:cstheme="minorHAnsi"/>
          <w:sz w:val="20"/>
          <w:szCs w:val="20"/>
        </w:rPr>
        <w:t xml:space="preserve">and other </w:t>
      </w:r>
      <w:r w:rsidR="00A24375">
        <w:rPr>
          <w:rFonts w:ascii="Verdana" w:hAnsi="Verdana" w:cstheme="minorHAnsi"/>
          <w:sz w:val="20"/>
          <w:szCs w:val="20"/>
        </w:rPr>
        <w:t>f</w:t>
      </w:r>
      <w:r w:rsidR="00857AA9" w:rsidRPr="00DB5977">
        <w:rPr>
          <w:rFonts w:ascii="Verdana" w:hAnsi="Verdana" w:cstheme="minorHAnsi"/>
          <w:sz w:val="20"/>
          <w:szCs w:val="20"/>
        </w:rPr>
        <w:t xml:space="preserve">ederal </w:t>
      </w:r>
      <w:r w:rsidR="00E619C1" w:rsidRPr="00DB5977">
        <w:rPr>
          <w:rFonts w:ascii="Verdana" w:hAnsi="Verdana" w:cstheme="minorHAnsi"/>
          <w:sz w:val="20"/>
          <w:szCs w:val="20"/>
        </w:rPr>
        <w:t>agencies</w:t>
      </w:r>
      <w:r w:rsidR="00EB1C1A" w:rsidRPr="00DB5977">
        <w:rPr>
          <w:rFonts w:ascii="Verdana" w:hAnsi="Verdana" w:cstheme="minorHAnsi"/>
          <w:sz w:val="20"/>
          <w:szCs w:val="20"/>
        </w:rPr>
        <w:t xml:space="preserve"> </w:t>
      </w:r>
      <w:r w:rsidR="00E65399" w:rsidRPr="00DB5977">
        <w:rPr>
          <w:rFonts w:ascii="Verdana" w:hAnsi="Verdana" w:cstheme="minorHAnsi"/>
          <w:sz w:val="20"/>
          <w:szCs w:val="20"/>
        </w:rPr>
        <w:t xml:space="preserve">in </w:t>
      </w:r>
      <w:r w:rsidR="00E75CC8" w:rsidRPr="00DB5977">
        <w:rPr>
          <w:rFonts w:ascii="Verdana" w:hAnsi="Verdana" w:cstheme="minorHAnsi"/>
          <w:sz w:val="20"/>
          <w:szCs w:val="20"/>
        </w:rPr>
        <w:t>Georgia</w:t>
      </w:r>
      <w:r w:rsidR="00E65399" w:rsidRPr="00DB5977">
        <w:rPr>
          <w:rFonts w:ascii="Verdana" w:hAnsi="Verdana" w:cstheme="minorHAnsi"/>
          <w:sz w:val="20"/>
          <w:szCs w:val="20"/>
        </w:rPr>
        <w:t>, including</w:t>
      </w:r>
      <w:r w:rsidR="008F0708" w:rsidRPr="00DB5977">
        <w:rPr>
          <w:rFonts w:ascii="Verdana" w:hAnsi="Verdana" w:cstheme="minorHAnsi"/>
          <w:sz w:val="20"/>
          <w:szCs w:val="20"/>
        </w:rPr>
        <w:t>:</w:t>
      </w:r>
      <w:r w:rsidR="00E65399" w:rsidRPr="00DB5977">
        <w:rPr>
          <w:rFonts w:ascii="Verdana" w:hAnsi="Verdana" w:cstheme="minorHAnsi"/>
          <w:sz w:val="20"/>
          <w:szCs w:val="20"/>
        </w:rPr>
        <w:t xml:space="preserve"> </w:t>
      </w:r>
      <w:r w:rsidR="00E619C1" w:rsidRPr="00DB5977">
        <w:rPr>
          <w:rFonts w:ascii="Verdana" w:hAnsi="Verdana" w:cstheme="minorHAnsi"/>
          <w:sz w:val="20"/>
          <w:szCs w:val="20"/>
        </w:rPr>
        <w:t>Fort Benning</w:t>
      </w:r>
      <w:r w:rsidR="00A24375">
        <w:rPr>
          <w:rFonts w:ascii="Verdana" w:hAnsi="Verdana" w:cstheme="minorHAnsi"/>
          <w:sz w:val="20"/>
          <w:szCs w:val="20"/>
        </w:rPr>
        <w:t>,</w:t>
      </w:r>
      <w:r w:rsidR="00E619C1" w:rsidRPr="00DB5977">
        <w:rPr>
          <w:rFonts w:ascii="Verdana" w:hAnsi="Verdana" w:cstheme="minorHAnsi"/>
          <w:sz w:val="20"/>
          <w:szCs w:val="20"/>
        </w:rPr>
        <w:t xml:space="preserve"> </w:t>
      </w:r>
      <w:r w:rsidR="00254E02" w:rsidRPr="00DB5977">
        <w:rPr>
          <w:rFonts w:ascii="Verdana" w:hAnsi="Verdana" w:cstheme="minorHAnsi"/>
          <w:sz w:val="20"/>
          <w:szCs w:val="20"/>
        </w:rPr>
        <w:t xml:space="preserve">Fort Gordon, </w:t>
      </w:r>
      <w:r w:rsidR="00254E02" w:rsidRPr="00DB5977">
        <w:rPr>
          <w:rFonts w:ascii="Verdana" w:hAnsi="Verdana" w:cstheme="minorHAnsi"/>
          <w:sz w:val="20"/>
          <w:szCs w:val="20"/>
        </w:rPr>
        <w:lastRenderedPageBreak/>
        <w:t xml:space="preserve">Fort Stewart, </w:t>
      </w:r>
      <w:r w:rsidR="00E619C1" w:rsidRPr="00DB5977">
        <w:rPr>
          <w:rFonts w:ascii="Verdana" w:hAnsi="Verdana" w:cstheme="minorHAnsi"/>
          <w:sz w:val="20"/>
          <w:szCs w:val="20"/>
        </w:rPr>
        <w:t xml:space="preserve">National Security Agency – Georgia, </w:t>
      </w:r>
      <w:r w:rsidR="00254E02" w:rsidRPr="00DB5977">
        <w:rPr>
          <w:rFonts w:ascii="Verdana" w:hAnsi="Verdana" w:cstheme="minorHAnsi"/>
          <w:sz w:val="20"/>
          <w:szCs w:val="20"/>
        </w:rPr>
        <w:t>Robins Air Force Base</w:t>
      </w:r>
      <w:r w:rsidR="00E619C1" w:rsidRPr="00DB5977">
        <w:rPr>
          <w:rFonts w:ascii="Verdana" w:hAnsi="Verdana" w:cstheme="minorHAnsi"/>
          <w:sz w:val="20"/>
          <w:szCs w:val="20"/>
        </w:rPr>
        <w:t>, U.S. Marine Corps Logistics Base,</w:t>
      </w:r>
      <w:r w:rsidR="00E619C1" w:rsidRPr="00DB5977" w:rsidDel="00E619C1">
        <w:rPr>
          <w:rFonts w:ascii="Verdana" w:hAnsi="Verdana" w:cstheme="minorHAnsi"/>
          <w:sz w:val="20"/>
          <w:szCs w:val="20"/>
        </w:rPr>
        <w:t xml:space="preserve"> </w:t>
      </w:r>
      <w:r w:rsidR="00254E02" w:rsidRPr="00DB5977">
        <w:rPr>
          <w:rFonts w:ascii="Verdana" w:hAnsi="Verdana" w:cstheme="minorHAnsi"/>
          <w:sz w:val="20"/>
          <w:szCs w:val="20"/>
        </w:rPr>
        <w:t xml:space="preserve">and </w:t>
      </w:r>
      <w:r w:rsidR="00E619C1" w:rsidRPr="00DB5977">
        <w:rPr>
          <w:rFonts w:ascii="Verdana" w:hAnsi="Verdana" w:cstheme="minorHAnsi"/>
          <w:sz w:val="20"/>
          <w:szCs w:val="20"/>
        </w:rPr>
        <w:t xml:space="preserve">U.S. </w:t>
      </w:r>
      <w:r w:rsidR="00823ECE" w:rsidRPr="00DB5977">
        <w:rPr>
          <w:rFonts w:ascii="Verdana" w:hAnsi="Verdana" w:cstheme="minorHAnsi"/>
          <w:sz w:val="20"/>
          <w:szCs w:val="20"/>
        </w:rPr>
        <w:t xml:space="preserve">Naval </w:t>
      </w:r>
      <w:r w:rsidR="00254E02" w:rsidRPr="00DB5977">
        <w:rPr>
          <w:rFonts w:ascii="Verdana" w:hAnsi="Verdana" w:cstheme="minorHAnsi"/>
          <w:sz w:val="20"/>
          <w:szCs w:val="20"/>
        </w:rPr>
        <w:t>Submarine Base</w:t>
      </w:r>
      <w:r w:rsidR="00823ECE" w:rsidRPr="00DB5977">
        <w:rPr>
          <w:rFonts w:ascii="Verdana" w:hAnsi="Verdana" w:cstheme="minorHAnsi"/>
          <w:sz w:val="20"/>
          <w:szCs w:val="20"/>
        </w:rPr>
        <w:t xml:space="preserve"> Kings Bay</w:t>
      </w:r>
      <w:r w:rsidR="00E619C1" w:rsidRPr="00DB5977">
        <w:rPr>
          <w:rFonts w:ascii="Verdana" w:hAnsi="Verdana" w:cstheme="minorHAnsi"/>
          <w:sz w:val="20"/>
          <w:szCs w:val="20"/>
        </w:rPr>
        <w:t>, among others</w:t>
      </w:r>
      <w:r w:rsidR="008F0708" w:rsidRPr="00DB5977">
        <w:rPr>
          <w:rFonts w:ascii="Verdana" w:hAnsi="Verdana" w:cstheme="minorHAnsi"/>
          <w:sz w:val="20"/>
          <w:szCs w:val="20"/>
        </w:rPr>
        <w:t>.</w:t>
      </w:r>
      <w:r w:rsidR="001812CF" w:rsidRPr="00DB5977">
        <w:rPr>
          <w:rFonts w:ascii="Verdana" w:hAnsi="Verdana" w:cstheme="minorHAnsi"/>
          <w:sz w:val="20"/>
          <w:szCs w:val="20"/>
        </w:rPr>
        <w:t xml:space="preserve"> </w:t>
      </w:r>
    </w:p>
    <w:p w14:paraId="105A9982" w14:textId="77777777" w:rsidR="00383C90" w:rsidRPr="00DB5977" w:rsidRDefault="00383C90" w:rsidP="00383C90">
      <w:pPr>
        <w:pStyle w:val="DirectQuestion"/>
        <w:numPr>
          <w:ilvl w:val="0"/>
          <w:numId w:val="19"/>
        </w:numPr>
      </w:pPr>
      <w:r w:rsidRPr="00DB5977">
        <w:t xml:space="preserve">How is your testimony organized? </w:t>
      </w:r>
    </w:p>
    <w:p w14:paraId="03F23010" w14:textId="70EAAD1F" w:rsidR="00383C90" w:rsidRPr="00297EE8" w:rsidRDefault="00383C90" w:rsidP="00297EE8">
      <w:pPr>
        <w:pStyle w:val="DirectAnswer"/>
        <w:jc w:val="both"/>
        <w:rPr>
          <w:rFonts w:ascii="Verdana" w:hAnsi="Verdana"/>
          <w:sz w:val="20"/>
          <w:szCs w:val="20"/>
        </w:rPr>
      </w:pPr>
      <w:r w:rsidRPr="00297EE8">
        <w:rPr>
          <w:rFonts w:ascii="Verdana" w:hAnsi="Verdana"/>
          <w:sz w:val="20"/>
          <w:szCs w:val="20"/>
        </w:rPr>
        <w:t xml:space="preserve">My testimony is organized into ten sections, including this one. In Section II, I present the purpose of my testimony; summarize the Company’s ROE, capital structure, and </w:t>
      </w:r>
      <w:r w:rsidR="00A96726">
        <w:rPr>
          <w:rFonts w:ascii="Verdana" w:hAnsi="Verdana"/>
          <w:sz w:val="20"/>
          <w:szCs w:val="20"/>
        </w:rPr>
        <w:t>rate of return</w:t>
      </w:r>
      <w:r w:rsidRPr="00297EE8">
        <w:rPr>
          <w:rFonts w:ascii="Verdana" w:hAnsi="Verdana"/>
          <w:sz w:val="20"/>
          <w:szCs w:val="20"/>
        </w:rPr>
        <w:t xml:space="preserve"> in the context of Commission precedent; and provide my </w:t>
      </w:r>
      <w:r w:rsidR="00297EE8">
        <w:rPr>
          <w:rFonts w:ascii="Verdana" w:hAnsi="Verdana"/>
          <w:sz w:val="20"/>
          <w:szCs w:val="20"/>
        </w:rPr>
        <w:t xml:space="preserve">ROE </w:t>
      </w:r>
      <w:r w:rsidRPr="00297EE8">
        <w:rPr>
          <w:rFonts w:ascii="Verdana" w:hAnsi="Verdana"/>
          <w:sz w:val="20"/>
          <w:szCs w:val="20"/>
        </w:rPr>
        <w:t xml:space="preserve">recommendation. In Section III, I discuss current economic and financial conditions that are affecting investors’ opportunity cost of capital (in general and specifically for utility companies), which drive my quantitative cost of equity study results. In Section IV, I evaluate the Company’s proposed capital structure, cost of debt, and fair value rate of return. In Section V, I explore different types of risk for regulated electric utilities, and I evaluate Georgia Power’s business and economic position to determine whether such risks are effectively captured in my sample proxy group and ROE recommendation. In Section VI, I describe the methodologies that I applied to develop my cost of equity findings and ROE recommendation. In Section VII, I address areas of concern with Dr. Vander </w:t>
      </w:r>
      <w:proofErr w:type="spellStart"/>
      <w:r w:rsidRPr="00297EE8">
        <w:rPr>
          <w:rFonts w:ascii="Verdana" w:hAnsi="Verdana"/>
          <w:sz w:val="20"/>
          <w:szCs w:val="20"/>
        </w:rPr>
        <w:t>Weide’s</w:t>
      </w:r>
      <w:proofErr w:type="spellEnd"/>
      <w:r w:rsidRPr="00297EE8">
        <w:rPr>
          <w:rFonts w:ascii="Verdana" w:hAnsi="Verdana"/>
          <w:sz w:val="20"/>
          <w:szCs w:val="20"/>
        </w:rPr>
        <w:t xml:space="preserve"> assessment of company business risk. In Sections VIII and IX, I address Dr. Vander </w:t>
      </w:r>
      <w:proofErr w:type="spellStart"/>
      <w:r w:rsidRPr="00297EE8">
        <w:rPr>
          <w:rFonts w:ascii="Verdana" w:hAnsi="Verdana"/>
          <w:sz w:val="20"/>
          <w:szCs w:val="20"/>
        </w:rPr>
        <w:t>Weide’s</w:t>
      </w:r>
      <w:proofErr w:type="spellEnd"/>
      <w:r w:rsidRPr="00297EE8">
        <w:rPr>
          <w:rFonts w:ascii="Verdana" w:hAnsi="Verdana"/>
          <w:sz w:val="20"/>
          <w:szCs w:val="20"/>
        </w:rPr>
        <w:t xml:space="preserve"> ROE adders. Finally, </w:t>
      </w:r>
      <w:r w:rsidRPr="00297EE8">
        <w:rPr>
          <w:rFonts w:ascii="Verdana" w:hAnsi="Verdana"/>
          <w:sz w:val="20"/>
          <w:szCs w:val="20"/>
        </w:rPr>
        <w:lastRenderedPageBreak/>
        <w:t>in Section X, I summarize my conclusions and provide my recommendations to the Commission.</w:t>
      </w:r>
    </w:p>
    <w:p w14:paraId="0FBDB1DF" w14:textId="77777777" w:rsidR="00466453" w:rsidRPr="00466453" w:rsidRDefault="00466453" w:rsidP="00466453">
      <w:pPr>
        <w:pStyle w:val="DirectNext"/>
      </w:pPr>
    </w:p>
    <w:p w14:paraId="4B55D9C2" w14:textId="62A199C3" w:rsidR="00466453" w:rsidRPr="00466453" w:rsidRDefault="00466453" w:rsidP="00466453">
      <w:pPr>
        <w:pStyle w:val="Heading1"/>
        <w:numPr>
          <w:ilvl w:val="0"/>
          <w:numId w:val="0"/>
        </w:numPr>
        <w:rPr>
          <w:rFonts w:ascii="Verdana" w:hAnsi="Verdana" w:cstheme="minorHAnsi"/>
          <w:sz w:val="20"/>
          <w:szCs w:val="20"/>
        </w:rPr>
      </w:pPr>
      <w:bookmarkStart w:id="6" w:name="_Toc21873135"/>
      <w:r>
        <w:rPr>
          <w:rFonts w:ascii="Verdana" w:hAnsi="Verdana" w:cstheme="minorHAnsi"/>
          <w:sz w:val="20"/>
          <w:szCs w:val="20"/>
          <w:u w:val="none"/>
        </w:rPr>
        <w:t xml:space="preserve">II. </w:t>
      </w:r>
      <w:r>
        <w:rPr>
          <w:rFonts w:ascii="Verdana" w:hAnsi="Verdana" w:cstheme="minorHAnsi"/>
          <w:sz w:val="20"/>
          <w:szCs w:val="20"/>
        </w:rPr>
        <w:t>PURPOSE AND SUMMARY RECOMMENDATIONS</w:t>
      </w:r>
      <w:bookmarkEnd w:id="6"/>
    </w:p>
    <w:p w14:paraId="6D735F16" w14:textId="77777777" w:rsidR="00823379" w:rsidRPr="00DB5977" w:rsidRDefault="00823379" w:rsidP="00486739">
      <w:pPr>
        <w:pStyle w:val="DirectQuestion"/>
      </w:pPr>
      <w:r w:rsidRPr="00DB5977">
        <w:t>What is the purpose of your testimony in this proceeding?</w:t>
      </w:r>
    </w:p>
    <w:p w14:paraId="7E13C9F2" w14:textId="5D4680CF" w:rsidR="00064081"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The purpose of my testimony is to recommend, for ratemaking purposes in this case, an overall rate of return, a capital structure, and a fair rate of ROE for </w:t>
      </w:r>
      <w:r w:rsidR="00D50CC1" w:rsidRPr="00DB5977">
        <w:rPr>
          <w:rFonts w:ascii="Verdana" w:hAnsi="Verdana" w:cstheme="minorHAnsi"/>
          <w:sz w:val="20"/>
          <w:szCs w:val="20"/>
        </w:rPr>
        <w:t>Georgia Power</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My recommendation is set forth according to the standards in </w:t>
      </w:r>
      <w:r w:rsidRPr="00DB5977">
        <w:rPr>
          <w:rFonts w:ascii="Verdana" w:hAnsi="Verdana" w:cstheme="minorHAnsi"/>
          <w:i/>
          <w:sz w:val="20"/>
          <w:szCs w:val="20"/>
        </w:rPr>
        <w:t>Bluefield Water Works v. PSC</w:t>
      </w:r>
      <w:r w:rsidRPr="00DB5977">
        <w:rPr>
          <w:rFonts w:ascii="Verdana" w:hAnsi="Verdana" w:cstheme="minorHAnsi"/>
          <w:sz w:val="20"/>
          <w:szCs w:val="20"/>
        </w:rPr>
        <w:t>, 262 U.S. 679, 692-93 (1923) (“</w:t>
      </w:r>
      <w:r w:rsidRPr="00DB5977">
        <w:rPr>
          <w:rFonts w:ascii="Verdana" w:hAnsi="Verdana" w:cstheme="minorHAnsi"/>
          <w:i/>
          <w:sz w:val="20"/>
          <w:szCs w:val="20"/>
        </w:rPr>
        <w:t>Bluefield</w:t>
      </w:r>
      <w:r w:rsidRPr="00DB5977">
        <w:rPr>
          <w:rFonts w:ascii="Verdana" w:hAnsi="Verdana" w:cstheme="minorHAnsi"/>
          <w:sz w:val="20"/>
          <w:szCs w:val="20"/>
        </w:rPr>
        <w:t xml:space="preserve">”) and </w:t>
      </w:r>
      <w:r w:rsidRPr="00DB5977">
        <w:rPr>
          <w:rFonts w:ascii="Verdana" w:hAnsi="Verdana" w:cstheme="minorHAnsi"/>
          <w:i/>
          <w:sz w:val="20"/>
          <w:szCs w:val="20"/>
        </w:rPr>
        <w:t>FPC v. Hope Natural Gas Co.</w:t>
      </w:r>
      <w:r w:rsidRPr="00DB5977">
        <w:rPr>
          <w:rFonts w:ascii="Verdana" w:hAnsi="Verdana" w:cstheme="minorHAnsi"/>
          <w:sz w:val="20"/>
          <w:szCs w:val="20"/>
        </w:rPr>
        <w:t>, 320 U.S. 591, 605 (1944) (“</w:t>
      </w:r>
      <w:r w:rsidRPr="00DB5977">
        <w:rPr>
          <w:rFonts w:ascii="Verdana" w:hAnsi="Verdana" w:cstheme="minorHAnsi"/>
          <w:i/>
          <w:sz w:val="20"/>
          <w:szCs w:val="20"/>
        </w:rPr>
        <w:t>Hope</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In </w:t>
      </w:r>
      <w:r w:rsidRPr="00DB5977">
        <w:rPr>
          <w:rFonts w:ascii="Verdana" w:hAnsi="Verdana"/>
          <w:i/>
          <w:sz w:val="20"/>
          <w:szCs w:val="20"/>
        </w:rPr>
        <w:t>Bluefield</w:t>
      </w:r>
      <w:r w:rsidRPr="00DB5977">
        <w:rPr>
          <w:rFonts w:ascii="Verdana" w:hAnsi="Verdana" w:cstheme="minorHAnsi"/>
          <w:i/>
          <w:sz w:val="20"/>
          <w:szCs w:val="20"/>
        </w:rPr>
        <w:t xml:space="preserve"> </w:t>
      </w:r>
      <w:r w:rsidRPr="00DB5977">
        <w:rPr>
          <w:rFonts w:ascii="Verdana" w:hAnsi="Verdana" w:cstheme="minorHAnsi"/>
          <w:sz w:val="20"/>
          <w:szCs w:val="20"/>
        </w:rPr>
        <w:t>and</w:t>
      </w:r>
      <w:r w:rsidRPr="00DB5977">
        <w:rPr>
          <w:rFonts w:ascii="Verdana" w:hAnsi="Verdana" w:cstheme="minorHAnsi"/>
          <w:i/>
          <w:sz w:val="20"/>
          <w:szCs w:val="20"/>
        </w:rPr>
        <w:t xml:space="preserve"> Hope</w:t>
      </w:r>
      <w:r w:rsidRPr="00DB5977">
        <w:rPr>
          <w:rFonts w:ascii="Verdana" w:hAnsi="Verdana" w:cstheme="minorHAnsi"/>
          <w:sz w:val="20"/>
          <w:szCs w:val="20"/>
        </w:rPr>
        <w:t>, the U.S. Supreme Court established the principle that a public utility may be allowed to earn a return comparable to a return on investments in other enterprises having similar risks that allow the utility, under efficient management, the opportunity to attract capital on reasonable terms and to maintain a satisfactory credit rating.</w:t>
      </w:r>
    </w:p>
    <w:p w14:paraId="58374BF6" w14:textId="77777777" w:rsidR="00823379" w:rsidRPr="00486739" w:rsidRDefault="00823379" w:rsidP="00486739">
      <w:pPr>
        <w:pStyle w:val="DirectQuestion"/>
      </w:pPr>
      <w:r w:rsidRPr="00486739">
        <w:t>what is the company’s proposed capital structure and overall rate of return?</w:t>
      </w:r>
    </w:p>
    <w:p w14:paraId="5C6A10BB" w14:textId="4AA17E60" w:rsidR="00823379" w:rsidRPr="00DB5977" w:rsidRDefault="00ED16AB"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Company witness </w:t>
      </w:r>
      <w:r w:rsidR="00645E98" w:rsidRPr="00DB5977">
        <w:rPr>
          <w:rFonts w:ascii="Verdana" w:hAnsi="Verdana" w:cstheme="minorHAnsi"/>
          <w:sz w:val="20"/>
          <w:szCs w:val="20"/>
        </w:rPr>
        <w:t xml:space="preserve">Dr. </w:t>
      </w:r>
      <w:r w:rsidRPr="00DB5977">
        <w:rPr>
          <w:rFonts w:ascii="Verdana" w:hAnsi="Verdana" w:cstheme="minorHAnsi"/>
          <w:sz w:val="20"/>
          <w:szCs w:val="20"/>
        </w:rPr>
        <w:t xml:space="preserve">James H. Vander </w:t>
      </w:r>
      <w:proofErr w:type="spellStart"/>
      <w:r w:rsidRPr="00DB5977">
        <w:rPr>
          <w:rFonts w:ascii="Verdana" w:hAnsi="Verdana" w:cstheme="minorHAnsi"/>
          <w:sz w:val="20"/>
          <w:szCs w:val="20"/>
        </w:rPr>
        <w:t>Weide</w:t>
      </w:r>
      <w:proofErr w:type="spellEnd"/>
      <w:r w:rsidR="00823379" w:rsidRPr="00DB5977">
        <w:rPr>
          <w:rFonts w:ascii="Verdana" w:hAnsi="Verdana" w:cstheme="minorHAnsi"/>
          <w:sz w:val="20"/>
          <w:szCs w:val="20"/>
        </w:rPr>
        <w:t xml:space="preserve"> is proposing a capital structure of </w:t>
      </w:r>
      <w:r w:rsidR="00780AB2" w:rsidRPr="00DB5977">
        <w:rPr>
          <w:rFonts w:ascii="Verdana" w:hAnsi="Verdana" w:cstheme="minorHAnsi"/>
          <w:sz w:val="20"/>
          <w:szCs w:val="20"/>
        </w:rPr>
        <w:t>5</w:t>
      </w:r>
      <w:r w:rsidR="00307349" w:rsidRPr="00DB5977">
        <w:rPr>
          <w:rFonts w:ascii="Verdana" w:hAnsi="Verdana" w:cstheme="minorHAnsi"/>
          <w:sz w:val="20"/>
          <w:szCs w:val="20"/>
        </w:rPr>
        <w:t>6</w:t>
      </w:r>
      <w:r w:rsidR="00780AB2" w:rsidRPr="00DB5977">
        <w:rPr>
          <w:rFonts w:ascii="Verdana" w:hAnsi="Verdana" w:cstheme="minorHAnsi"/>
          <w:sz w:val="20"/>
          <w:szCs w:val="20"/>
        </w:rPr>
        <w:t>.08</w:t>
      </w:r>
      <w:r w:rsidR="009D5449" w:rsidRPr="00DB5977">
        <w:rPr>
          <w:rFonts w:ascii="Verdana" w:hAnsi="Verdana" w:cstheme="minorHAnsi"/>
          <w:sz w:val="20"/>
          <w:szCs w:val="20"/>
        </w:rPr>
        <w:t xml:space="preserve"> percent</w:t>
      </w:r>
      <w:r w:rsidR="00823379" w:rsidRPr="00DB5977">
        <w:rPr>
          <w:rFonts w:ascii="Verdana" w:hAnsi="Verdana" w:cstheme="minorHAnsi"/>
          <w:sz w:val="20"/>
          <w:szCs w:val="20"/>
        </w:rPr>
        <w:t xml:space="preserve"> common equity and </w:t>
      </w:r>
      <w:r w:rsidR="007C7C9E" w:rsidRPr="00DB5977">
        <w:rPr>
          <w:rFonts w:ascii="Verdana" w:hAnsi="Verdana" w:cstheme="minorHAnsi"/>
          <w:sz w:val="20"/>
          <w:szCs w:val="20"/>
        </w:rPr>
        <w:t>4</w:t>
      </w:r>
      <w:r w:rsidR="00307349" w:rsidRPr="00DB5977">
        <w:rPr>
          <w:rFonts w:ascii="Verdana" w:hAnsi="Verdana" w:cstheme="minorHAnsi"/>
          <w:sz w:val="20"/>
          <w:szCs w:val="20"/>
        </w:rPr>
        <w:t>3</w:t>
      </w:r>
      <w:r w:rsidR="007C7C9E" w:rsidRPr="00DB5977">
        <w:rPr>
          <w:rFonts w:ascii="Verdana" w:hAnsi="Verdana" w:cstheme="minorHAnsi"/>
          <w:sz w:val="20"/>
          <w:szCs w:val="20"/>
        </w:rPr>
        <w:t>.92</w:t>
      </w:r>
      <w:r w:rsidR="00823379" w:rsidRPr="00DB5977">
        <w:rPr>
          <w:rFonts w:ascii="Verdana" w:hAnsi="Verdana" w:cstheme="minorHAnsi"/>
          <w:sz w:val="20"/>
          <w:szCs w:val="20"/>
        </w:rPr>
        <w:t xml:space="preserve"> percent long-term debt</w:t>
      </w:r>
      <w:r w:rsidR="0076739D" w:rsidRPr="00DB5977">
        <w:rPr>
          <w:rFonts w:ascii="Verdana" w:hAnsi="Verdana" w:cstheme="minorHAnsi"/>
          <w:sz w:val="20"/>
          <w:szCs w:val="20"/>
        </w:rPr>
        <w:t xml:space="preserve">, </w:t>
      </w:r>
      <w:r w:rsidR="0076739D" w:rsidRPr="00DB5977">
        <w:rPr>
          <w:rFonts w:ascii="Verdana" w:hAnsi="Verdana" w:cstheme="minorHAnsi"/>
          <w:sz w:val="20"/>
          <w:szCs w:val="20"/>
        </w:rPr>
        <w:lastRenderedPageBreak/>
        <w:t>and an ROE of 10.9 percent</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823379" w:rsidRPr="00DB5977">
        <w:rPr>
          <w:rFonts w:ascii="Verdana" w:hAnsi="Verdana" w:cstheme="minorHAnsi"/>
          <w:sz w:val="20"/>
          <w:szCs w:val="20"/>
        </w:rPr>
        <w:t xml:space="preserve">Based on this capital structure—a proposed </w:t>
      </w:r>
      <w:r w:rsidR="00620F17" w:rsidRPr="00DB5977">
        <w:rPr>
          <w:rFonts w:ascii="Verdana" w:hAnsi="Verdana" w:cstheme="minorHAnsi"/>
          <w:sz w:val="20"/>
          <w:szCs w:val="20"/>
        </w:rPr>
        <w:t xml:space="preserve">embedded </w:t>
      </w:r>
      <w:r w:rsidR="00823379" w:rsidRPr="00DB5977">
        <w:rPr>
          <w:rFonts w:ascii="Verdana" w:hAnsi="Verdana" w:cstheme="minorHAnsi"/>
          <w:sz w:val="20"/>
          <w:szCs w:val="20"/>
        </w:rPr>
        <w:t>cost of long</w:t>
      </w:r>
      <w:r w:rsidR="00275DD8">
        <w:rPr>
          <w:rFonts w:ascii="Verdana" w:hAnsi="Verdana" w:cstheme="minorHAnsi"/>
          <w:sz w:val="20"/>
          <w:szCs w:val="20"/>
        </w:rPr>
        <w:noBreakHyphen/>
      </w:r>
      <w:r w:rsidR="00823379" w:rsidRPr="00DB5977">
        <w:rPr>
          <w:rFonts w:ascii="Verdana" w:hAnsi="Verdana" w:cstheme="minorHAnsi"/>
          <w:sz w:val="20"/>
          <w:szCs w:val="20"/>
        </w:rPr>
        <w:t>term debt of 4.</w:t>
      </w:r>
      <w:r w:rsidR="00475FD1" w:rsidRPr="00DB5977">
        <w:rPr>
          <w:rFonts w:ascii="Verdana" w:hAnsi="Verdana" w:cstheme="minorHAnsi"/>
          <w:sz w:val="20"/>
          <w:szCs w:val="20"/>
        </w:rPr>
        <w:t>14</w:t>
      </w:r>
      <w:r w:rsidR="00823379" w:rsidRPr="00DB5977">
        <w:rPr>
          <w:rFonts w:ascii="Verdana" w:hAnsi="Verdana" w:cstheme="minorHAnsi"/>
          <w:sz w:val="20"/>
          <w:szCs w:val="20"/>
        </w:rPr>
        <w:t xml:space="preserve"> percent and a</w:t>
      </w:r>
      <w:r w:rsidR="00302D30" w:rsidRPr="00DB5977">
        <w:rPr>
          <w:rFonts w:ascii="Verdana" w:hAnsi="Verdana" w:cstheme="minorHAnsi"/>
          <w:sz w:val="20"/>
          <w:szCs w:val="20"/>
        </w:rPr>
        <w:t>n</w:t>
      </w:r>
      <w:r w:rsidR="00823379" w:rsidRPr="00DB5977">
        <w:rPr>
          <w:rFonts w:ascii="Verdana" w:hAnsi="Verdana" w:cstheme="minorHAnsi"/>
          <w:sz w:val="20"/>
          <w:szCs w:val="20"/>
        </w:rPr>
        <w:t xml:space="preserve"> ROE of 10.</w:t>
      </w:r>
      <w:r w:rsidR="00102DC5" w:rsidRPr="00DB5977">
        <w:rPr>
          <w:rFonts w:ascii="Verdana" w:hAnsi="Verdana" w:cstheme="minorHAnsi"/>
          <w:sz w:val="20"/>
          <w:szCs w:val="20"/>
        </w:rPr>
        <w:t>9</w:t>
      </w:r>
      <w:r w:rsidR="00302D30" w:rsidRPr="00DB5977">
        <w:rPr>
          <w:rFonts w:ascii="Verdana" w:hAnsi="Verdana" w:cstheme="minorHAnsi"/>
          <w:sz w:val="20"/>
          <w:szCs w:val="20"/>
        </w:rPr>
        <w:t> </w:t>
      </w:r>
      <w:r w:rsidR="00823379" w:rsidRPr="00DB5977">
        <w:rPr>
          <w:rFonts w:ascii="Verdana" w:hAnsi="Verdana" w:cstheme="minorHAnsi"/>
          <w:sz w:val="20"/>
          <w:szCs w:val="20"/>
        </w:rPr>
        <w:t>percent—</w:t>
      </w:r>
      <w:r w:rsidR="005C30E4">
        <w:rPr>
          <w:rFonts w:ascii="Verdana" w:hAnsi="Verdana" w:cstheme="minorHAnsi"/>
          <w:sz w:val="20"/>
          <w:szCs w:val="20"/>
        </w:rPr>
        <w:t>Georgia Power</w:t>
      </w:r>
      <w:r w:rsidR="00823379" w:rsidRPr="00DB5977">
        <w:rPr>
          <w:rFonts w:ascii="Verdana" w:hAnsi="Verdana" w:cstheme="minorHAnsi"/>
          <w:sz w:val="20"/>
          <w:szCs w:val="20"/>
        </w:rPr>
        <w:t xml:space="preserve"> is requesting that the Commission allow </w:t>
      </w:r>
      <w:r w:rsidR="005C30E4">
        <w:rPr>
          <w:rFonts w:ascii="Verdana" w:hAnsi="Verdana" w:cstheme="minorHAnsi"/>
          <w:sz w:val="20"/>
          <w:szCs w:val="20"/>
        </w:rPr>
        <w:t xml:space="preserve">the Company </w:t>
      </w:r>
      <w:r w:rsidR="00972A73" w:rsidRPr="00DB5977">
        <w:rPr>
          <w:rFonts w:ascii="Verdana" w:hAnsi="Verdana" w:cstheme="minorHAnsi"/>
          <w:sz w:val="20"/>
          <w:szCs w:val="20"/>
        </w:rPr>
        <w:t>the opportunity</w:t>
      </w:r>
      <w:r w:rsidR="00823379" w:rsidRPr="00DB5977">
        <w:rPr>
          <w:rFonts w:ascii="Verdana" w:hAnsi="Verdana" w:cstheme="minorHAnsi"/>
          <w:sz w:val="20"/>
          <w:szCs w:val="20"/>
        </w:rPr>
        <w:t xml:space="preserve"> to earn an overall rate of return of 7.</w:t>
      </w:r>
      <w:r w:rsidR="00F4045E" w:rsidRPr="00DB5977">
        <w:rPr>
          <w:rFonts w:ascii="Verdana" w:hAnsi="Verdana" w:cstheme="minorHAnsi"/>
          <w:sz w:val="20"/>
          <w:szCs w:val="20"/>
        </w:rPr>
        <w:t>93</w:t>
      </w:r>
      <w:r w:rsidR="00823379" w:rsidRPr="00DB5977">
        <w:rPr>
          <w:rFonts w:ascii="Verdana" w:hAnsi="Verdana" w:cstheme="minorHAnsi"/>
          <w:sz w:val="20"/>
          <w:szCs w:val="20"/>
        </w:rPr>
        <w:t> percent.</w:t>
      </w:r>
      <w:r w:rsidR="0025065A">
        <w:rPr>
          <w:rFonts w:ascii="Verdana" w:hAnsi="Verdana" w:cstheme="minorHAnsi"/>
          <w:sz w:val="20"/>
          <w:szCs w:val="20"/>
        </w:rPr>
        <w:t xml:space="preserve"> </w:t>
      </w:r>
      <w:r w:rsidR="00082241" w:rsidRPr="00DB5977">
        <w:rPr>
          <w:rFonts w:ascii="Verdana" w:hAnsi="Verdana" w:cstheme="minorHAnsi"/>
          <w:sz w:val="20"/>
          <w:szCs w:val="20"/>
        </w:rPr>
        <w:t xml:space="preserve">This proposed </w:t>
      </w:r>
      <w:r w:rsidR="00A5368F" w:rsidRPr="00DB5977">
        <w:rPr>
          <w:rFonts w:ascii="Verdana" w:hAnsi="Verdana" w:cstheme="minorHAnsi"/>
          <w:sz w:val="20"/>
          <w:szCs w:val="20"/>
        </w:rPr>
        <w:t xml:space="preserve">overall cost of capital is based on the average of </w:t>
      </w:r>
      <w:r w:rsidR="00972A73" w:rsidRPr="00DB5977">
        <w:rPr>
          <w:rFonts w:ascii="Verdana" w:hAnsi="Verdana" w:cstheme="minorHAnsi"/>
          <w:sz w:val="20"/>
          <w:szCs w:val="20"/>
        </w:rPr>
        <w:t>Georgia Power’s</w:t>
      </w:r>
      <w:r w:rsidR="00A5368F" w:rsidRPr="00DB5977">
        <w:rPr>
          <w:rFonts w:ascii="Verdana" w:hAnsi="Verdana" w:cstheme="minorHAnsi"/>
          <w:sz w:val="20"/>
          <w:szCs w:val="20"/>
        </w:rPr>
        <w:t xml:space="preserve"> estimated capitalization </w:t>
      </w:r>
      <w:r w:rsidR="00A8362B">
        <w:rPr>
          <w:rFonts w:ascii="Verdana" w:hAnsi="Verdana" w:cstheme="minorHAnsi"/>
          <w:sz w:val="20"/>
          <w:szCs w:val="20"/>
        </w:rPr>
        <w:t>for the thirteen months ending</w:t>
      </w:r>
      <w:r w:rsidR="006C5FE3">
        <w:rPr>
          <w:rFonts w:ascii="Verdana" w:hAnsi="Verdana" w:cstheme="minorHAnsi"/>
          <w:sz w:val="20"/>
          <w:szCs w:val="20"/>
        </w:rPr>
        <w:t xml:space="preserve"> </w:t>
      </w:r>
      <w:r w:rsidR="00A5368F" w:rsidRPr="00DB5977">
        <w:rPr>
          <w:rFonts w:ascii="Verdana" w:hAnsi="Verdana" w:cstheme="minorHAnsi"/>
          <w:sz w:val="20"/>
          <w:szCs w:val="20"/>
        </w:rPr>
        <w:t>July 31, 2020</w:t>
      </w:r>
      <w:r w:rsidR="000106FB" w:rsidRPr="00DB5977">
        <w:rPr>
          <w:rFonts w:ascii="Verdana" w:hAnsi="Verdana" w:cstheme="minorHAnsi"/>
          <w:sz w:val="20"/>
          <w:szCs w:val="20"/>
        </w:rPr>
        <w:t xml:space="preserve">. </w:t>
      </w:r>
      <w:bookmarkStart w:id="7" w:name="_Hlk20651935"/>
      <w:r w:rsidR="00823379" w:rsidRPr="00DB5977">
        <w:rPr>
          <w:rFonts w:ascii="Verdana" w:hAnsi="Verdana" w:cstheme="minorHAnsi"/>
          <w:sz w:val="20"/>
          <w:szCs w:val="20"/>
        </w:rPr>
        <w:t>(</w:t>
      </w:r>
      <w:r w:rsidR="00823379" w:rsidRPr="00DB5977">
        <w:rPr>
          <w:rFonts w:ascii="Verdana" w:hAnsi="Verdana" w:cstheme="minorHAnsi"/>
          <w:i/>
          <w:sz w:val="20"/>
          <w:szCs w:val="20"/>
          <w:u w:val="single"/>
        </w:rPr>
        <w:t>See</w:t>
      </w:r>
      <w:r w:rsidR="00823379" w:rsidRPr="00DB5977">
        <w:rPr>
          <w:rFonts w:ascii="Verdana" w:hAnsi="Verdana" w:cstheme="minorHAnsi"/>
          <w:sz w:val="20"/>
          <w:szCs w:val="20"/>
        </w:rPr>
        <w:t xml:space="preserve"> </w:t>
      </w:r>
      <w:proofErr w:type="spellStart"/>
      <w:r w:rsidR="00DF0135" w:rsidRPr="00DB5977">
        <w:rPr>
          <w:rFonts w:ascii="Verdana" w:hAnsi="Verdana" w:cstheme="minorHAnsi"/>
          <w:sz w:val="20"/>
          <w:szCs w:val="20"/>
        </w:rPr>
        <w:t>Por</w:t>
      </w:r>
      <w:r w:rsidR="00482F99" w:rsidRPr="00DB5977">
        <w:rPr>
          <w:rFonts w:ascii="Verdana" w:hAnsi="Verdana" w:cstheme="minorHAnsi"/>
          <w:sz w:val="20"/>
          <w:szCs w:val="20"/>
        </w:rPr>
        <w:t>och</w:t>
      </w:r>
      <w:proofErr w:type="spellEnd"/>
      <w:r w:rsidR="00482F99" w:rsidRPr="00DB5977">
        <w:rPr>
          <w:rFonts w:ascii="Verdana" w:hAnsi="Verdana" w:cstheme="minorHAnsi"/>
          <w:sz w:val="20"/>
          <w:szCs w:val="20"/>
        </w:rPr>
        <w:t>/Adams/Robinson Direct Testimony</w:t>
      </w:r>
      <w:r w:rsidR="00C65A45">
        <w:rPr>
          <w:rFonts w:ascii="Verdana" w:hAnsi="Verdana" w:cstheme="minorHAnsi"/>
          <w:sz w:val="20"/>
          <w:szCs w:val="20"/>
        </w:rPr>
        <w:t xml:space="preserve">, </w:t>
      </w:r>
      <w:r w:rsidR="00482F99" w:rsidRPr="00DB5977">
        <w:rPr>
          <w:rFonts w:ascii="Verdana" w:hAnsi="Verdana" w:cstheme="minorHAnsi"/>
          <w:sz w:val="20"/>
          <w:szCs w:val="20"/>
        </w:rPr>
        <w:t>32</w:t>
      </w:r>
      <w:r w:rsidR="007417C9">
        <w:rPr>
          <w:rFonts w:ascii="Verdana" w:hAnsi="Verdana" w:cstheme="minorHAnsi"/>
          <w:sz w:val="20"/>
          <w:szCs w:val="20"/>
        </w:rPr>
        <w:t>:</w:t>
      </w:r>
      <w:r w:rsidR="00094A69" w:rsidRPr="00DB5977">
        <w:rPr>
          <w:rFonts w:ascii="Verdana" w:hAnsi="Verdana" w:cstheme="minorHAnsi"/>
          <w:sz w:val="20"/>
          <w:szCs w:val="20"/>
        </w:rPr>
        <w:t>11-14</w:t>
      </w:r>
      <w:r w:rsidR="007417C9">
        <w:rPr>
          <w:rFonts w:ascii="Verdana" w:hAnsi="Verdana" w:cstheme="minorHAnsi"/>
          <w:sz w:val="20"/>
          <w:szCs w:val="20"/>
        </w:rPr>
        <w:t>.</w:t>
      </w:r>
      <w:r w:rsidR="00823379" w:rsidRPr="00DB5977">
        <w:rPr>
          <w:rFonts w:ascii="Verdana" w:hAnsi="Verdana" w:cstheme="minorHAnsi"/>
          <w:sz w:val="20"/>
          <w:szCs w:val="20"/>
        </w:rPr>
        <w:t>)</w:t>
      </w:r>
    </w:p>
    <w:bookmarkEnd w:id="7"/>
    <w:p w14:paraId="6C10B324" w14:textId="77777777" w:rsidR="008E5AAC" w:rsidRPr="00DB5977" w:rsidRDefault="008E5AAC" w:rsidP="00486739">
      <w:pPr>
        <w:pStyle w:val="DirectQuestion"/>
      </w:pPr>
      <w:r w:rsidRPr="00DB5977">
        <w:t xml:space="preserve">should the Commission REJECT </w:t>
      </w:r>
      <w:r w:rsidR="00F4045E" w:rsidRPr="00DB5977">
        <w:t xml:space="preserve">dr. </w:t>
      </w:r>
      <w:r w:rsidR="00CB0580" w:rsidRPr="00DB5977">
        <w:t xml:space="preserve">Vander </w:t>
      </w:r>
      <w:r w:rsidR="00F4045E" w:rsidRPr="00DB5977">
        <w:t>weide</w:t>
      </w:r>
      <w:r w:rsidRPr="00DB5977">
        <w:t>’s roe recommendation?</w:t>
      </w:r>
    </w:p>
    <w:p w14:paraId="57B56AC8" w14:textId="307A0A35" w:rsidR="00AA1D89" w:rsidRPr="00DB5977" w:rsidRDefault="008E5AAC" w:rsidP="0029746C">
      <w:pPr>
        <w:pStyle w:val="DirectNext"/>
        <w:numPr>
          <w:ilvl w:val="1"/>
          <w:numId w:val="19"/>
        </w:numPr>
        <w:rPr>
          <w:rFonts w:ascii="Verdana" w:hAnsi="Verdana"/>
          <w:sz w:val="20"/>
          <w:szCs w:val="20"/>
        </w:rPr>
      </w:pPr>
      <w:r w:rsidRPr="00DB5977">
        <w:rPr>
          <w:rFonts w:ascii="Verdana" w:hAnsi="Verdana"/>
          <w:sz w:val="20"/>
          <w:szCs w:val="20"/>
        </w:rPr>
        <w:t>Yes, for several reasons.</w:t>
      </w:r>
      <w:r w:rsidR="0025065A">
        <w:rPr>
          <w:rFonts w:ascii="Verdana" w:hAnsi="Verdana"/>
          <w:sz w:val="20"/>
          <w:szCs w:val="20"/>
        </w:rPr>
        <w:t xml:space="preserve"> </w:t>
      </w:r>
      <w:r w:rsidR="000106FB" w:rsidRPr="00DB5977">
        <w:rPr>
          <w:rFonts w:ascii="Verdana" w:hAnsi="Verdana"/>
          <w:sz w:val="20"/>
          <w:szCs w:val="20"/>
        </w:rPr>
        <w:t xml:space="preserve">Dr. </w:t>
      </w:r>
      <w:r w:rsidR="00CB0580" w:rsidRPr="00DB5977">
        <w:rPr>
          <w:rFonts w:ascii="Verdana" w:hAnsi="Verdana"/>
          <w:sz w:val="20"/>
          <w:szCs w:val="20"/>
        </w:rPr>
        <w:t xml:space="preserve">Vander </w:t>
      </w:r>
      <w:proofErr w:type="spellStart"/>
      <w:r w:rsidR="000106FB" w:rsidRPr="00DB5977">
        <w:rPr>
          <w:rFonts w:ascii="Verdana" w:hAnsi="Verdana"/>
          <w:sz w:val="20"/>
          <w:szCs w:val="20"/>
        </w:rPr>
        <w:t>Weide</w:t>
      </w:r>
      <w:r w:rsidRPr="00DB5977">
        <w:rPr>
          <w:rFonts w:ascii="Verdana" w:hAnsi="Verdana"/>
          <w:sz w:val="20"/>
          <w:szCs w:val="20"/>
        </w:rPr>
        <w:t>’s</w:t>
      </w:r>
      <w:proofErr w:type="spellEnd"/>
      <w:r w:rsidRPr="00DB5977">
        <w:rPr>
          <w:rFonts w:ascii="Verdana" w:hAnsi="Verdana"/>
          <w:sz w:val="20"/>
          <w:szCs w:val="20"/>
        </w:rPr>
        <w:t xml:space="preserve"> estimates are overstated because he uses inputs with an upward bias.</w:t>
      </w:r>
      <w:r w:rsidR="0025065A">
        <w:rPr>
          <w:rFonts w:ascii="Verdana" w:hAnsi="Verdana"/>
          <w:sz w:val="20"/>
          <w:szCs w:val="20"/>
        </w:rPr>
        <w:t xml:space="preserve"> </w:t>
      </w:r>
      <w:r w:rsidRPr="00DB5977">
        <w:rPr>
          <w:rFonts w:ascii="Verdana" w:hAnsi="Verdana"/>
          <w:sz w:val="20"/>
          <w:szCs w:val="20"/>
        </w:rPr>
        <w:t xml:space="preserve">For example, </w:t>
      </w:r>
      <w:r w:rsidR="00646517" w:rsidRPr="00DB5977">
        <w:rPr>
          <w:rFonts w:ascii="Verdana" w:hAnsi="Verdana"/>
          <w:sz w:val="20"/>
          <w:szCs w:val="20"/>
        </w:rPr>
        <w:t>he</w:t>
      </w:r>
      <w:r w:rsidRPr="00DB5977">
        <w:rPr>
          <w:rFonts w:ascii="Verdana" w:hAnsi="Verdana"/>
          <w:sz w:val="20"/>
          <w:szCs w:val="20"/>
        </w:rPr>
        <w:t xml:space="preserve"> relies ex</w:t>
      </w:r>
      <w:r w:rsidR="00AA41FC" w:rsidRPr="00DB5977">
        <w:rPr>
          <w:rFonts w:ascii="Verdana" w:hAnsi="Verdana"/>
          <w:sz w:val="20"/>
          <w:szCs w:val="20"/>
        </w:rPr>
        <w:t>clusively</w:t>
      </w:r>
      <w:r w:rsidRPr="00DB5977">
        <w:rPr>
          <w:rFonts w:ascii="Verdana" w:hAnsi="Verdana"/>
          <w:sz w:val="20"/>
          <w:szCs w:val="20"/>
        </w:rPr>
        <w:t xml:space="preserve"> on earnings growth estimates </w:t>
      </w:r>
      <w:r w:rsidR="00D80CBD" w:rsidRPr="00DB5977">
        <w:rPr>
          <w:rFonts w:ascii="Verdana" w:hAnsi="Verdana"/>
          <w:sz w:val="20"/>
          <w:szCs w:val="20"/>
        </w:rPr>
        <w:t xml:space="preserve">from a single source, </w:t>
      </w:r>
      <w:r w:rsidR="00DE1A48">
        <w:rPr>
          <w:rFonts w:ascii="Verdana" w:hAnsi="Verdana"/>
          <w:sz w:val="20"/>
          <w:szCs w:val="20"/>
        </w:rPr>
        <w:t>the Institutional Brokers’ Estimate System (“</w:t>
      </w:r>
      <w:r w:rsidR="00D80CBD" w:rsidRPr="00DB5977">
        <w:rPr>
          <w:rFonts w:ascii="Verdana" w:hAnsi="Verdana"/>
          <w:sz w:val="20"/>
          <w:szCs w:val="20"/>
        </w:rPr>
        <w:t>I/B/E/S</w:t>
      </w:r>
      <w:r w:rsidR="00DE1A48">
        <w:rPr>
          <w:rFonts w:ascii="Verdana" w:hAnsi="Verdana"/>
          <w:sz w:val="20"/>
          <w:szCs w:val="20"/>
        </w:rPr>
        <w:t>”)</w:t>
      </w:r>
      <w:r w:rsidR="00F64FD9" w:rsidRPr="00DB5977">
        <w:rPr>
          <w:rFonts w:ascii="Verdana" w:hAnsi="Verdana"/>
          <w:sz w:val="20"/>
          <w:szCs w:val="20"/>
        </w:rPr>
        <w:t xml:space="preserve">, </w:t>
      </w:r>
      <w:r w:rsidRPr="00DB5977">
        <w:rPr>
          <w:rFonts w:ascii="Verdana" w:hAnsi="Verdana"/>
          <w:sz w:val="20"/>
          <w:szCs w:val="20"/>
        </w:rPr>
        <w:t>that not only inflate h</w:t>
      </w:r>
      <w:r w:rsidR="00F64FD9" w:rsidRPr="00DB5977">
        <w:rPr>
          <w:rFonts w:ascii="Verdana" w:hAnsi="Verdana"/>
          <w:sz w:val="20"/>
          <w:szCs w:val="20"/>
        </w:rPr>
        <w:t>is</w:t>
      </w:r>
      <w:r w:rsidRPr="00DB5977">
        <w:rPr>
          <w:rFonts w:ascii="Verdana" w:hAnsi="Verdana"/>
          <w:sz w:val="20"/>
          <w:szCs w:val="20"/>
        </w:rPr>
        <w:t xml:space="preserve"> Discounted Cash Flow (“DCF”) </w:t>
      </w:r>
      <w:r w:rsidR="00461F62">
        <w:rPr>
          <w:rFonts w:ascii="Verdana" w:hAnsi="Verdana"/>
          <w:sz w:val="20"/>
          <w:szCs w:val="20"/>
        </w:rPr>
        <w:t xml:space="preserve">model </w:t>
      </w:r>
      <w:r w:rsidRPr="00DB5977">
        <w:rPr>
          <w:rFonts w:ascii="Verdana" w:hAnsi="Verdana"/>
          <w:sz w:val="20"/>
          <w:szCs w:val="20"/>
        </w:rPr>
        <w:t>results but also h</w:t>
      </w:r>
      <w:r w:rsidR="008A059F" w:rsidRPr="00DB5977">
        <w:rPr>
          <w:rFonts w:ascii="Verdana" w:hAnsi="Verdana"/>
          <w:sz w:val="20"/>
          <w:szCs w:val="20"/>
        </w:rPr>
        <w:t>is</w:t>
      </w:r>
      <w:r w:rsidRPr="00DB5977">
        <w:rPr>
          <w:rFonts w:ascii="Verdana" w:hAnsi="Verdana"/>
          <w:sz w:val="20"/>
          <w:szCs w:val="20"/>
        </w:rPr>
        <w:t xml:space="preserve"> </w:t>
      </w:r>
      <w:r w:rsidR="00485C78" w:rsidRPr="00DB5977">
        <w:rPr>
          <w:rFonts w:ascii="Verdana" w:hAnsi="Verdana"/>
          <w:sz w:val="20"/>
          <w:szCs w:val="20"/>
        </w:rPr>
        <w:t>DCF-</w:t>
      </w:r>
      <w:r w:rsidR="005B568A" w:rsidRPr="00DB5977">
        <w:rPr>
          <w:rFonts w:ascii="Verdana" w:hAnsi="Verdana"/>
          <w:sz w:val="20"/>
          <w:szCs w:val="20"/>
        </w:rPr>
        <w:t>B</w:t>
      </w:r>
      <w:r w:rsidR="00485C78" w:rsidRPr="00DB5977">
        <w:rPr>
          <w:rFonts w:ascii="Verdana" w:hAnsi="Verdana"/>
          <w:sz w:val="20"/>
          <w:szCs w:val="20"/>
        </w:rPr>
        <w:t xml:space="preserve">ased </w:t>
      </w:r>
      <w:r w:rsidRPr="00DB5977">
        <w:rPr>
          <w:rFonts w:ascii="Verdana" w:hAnsi="Verdana"/>
          <w:sz w:val="20"/>
          <w:szCs w:val="20"/>
        </w:rPr>
        <w:t>Capital Asset Pricing Model (“CAPM”) results. Such earning</w:t>
      </w:r>
      <w:r w:rsidR="00461F62">
        <w:rPr>
          <w:rFonts w:ascii="Verdana" w:hAnsi="Verdana"/>
          <w:sz w:val="20"/>
          <w:szCs w:val="20"/>
        </w:rPr>
        <w:t>s</w:t>
      </w:r>
      <w:r w:rsidRPr="00DB5977">
        <w:rPr>
          <w:rFonts w:ascii="Verdana" w:hAnsi="Verdana"/>
          <w:sz w:val="20"/>
          <w:szCs w:val="20"/>
        </w:rPr>
        <w:t xml:space="preserve"> growth estimates inflate h</w:t>
      </w:r>
      <w:r w:rsidR="008A059F" w:rsidRPr="00DB5977">
        <w:rPr>
          <w:rFonts w:ascii="Verdana" w:hAnsi="Verdana"/>
          <w:sz w:val="20"/>
          <w:szCs w:val="20"/>
        </w:rPr>
        <w:t>is</w:t>
      </w:r>
      <w:r w:rsidRPr="00DB5977">
        <w:rPr>
          <w:rFonts w:ascii="Verdana" w:hAnsi="Verdana"/>
          <w:sz w:val="20"/>
          <w:szCs w:val="20"/>
        </w:rPr>
        <w:t xml:space="preserve"> estimated Equity Risk Premium</w:t>
      </w:r>
      <w:r w:rsidR="008F18C5">
        <w:rPr>
          <w:rFonts w:ascii="Verdana" w:hAnsi="Verdana"/>
          <w:sz w:val="20"/>
          <w:szCs w:val="20"/>
        </w:rPr>
        <w:t xml:space="preserve"> (“ERP”)</w:t>
      </w:r>
      <w:r w:rsidRPr="00DB5977">
        <w:rPr>
          <w:rFonts w:ascii="Verdana" w:hAnsi="Verdana"/>
          <w:sz w:val="20"/>
          <w:szCs w:val="20"/>
        </w:rPr>
        <w:t xml:space="preserve">, a key input in </w:t>
      </w:r>
      <w:r w:rsidR="005B568A" w:rsidRPr="00DB5977">
        <w:rPr>
          <w:rFonts w:ascii="Verdana" w:hAnsi="Verdana"/>
          <w:sz w:val="20"/>
          <w:szCs w:val="20"/>
        </w:rPr>
        <w:t>his DCF-based</w:t>
      </w:r>
      <w:r w:rsidRPr="00DB5977">
        <w:rPr>
          <w:rFonts w:ascii="Verdana" w:hAnsi="Verdana"/>
          <w:sz w:val="20"/>
          <w:szCs w:val="20"/>
        </w:rPr>
        <w:t xml:space="preserve"> CAPM.</w:t>
      </w:r>
      <w:r w:rsidR="0025065A">
        <w:rPr>
          <w:rFonts w:ascii="Verdana" w:hAnsi="Verdana"/>
          <w:sz w:val="20"/>
          <w:szCs w:val="20"/>
        </w:rPr>
        <w:t xml:space="preserve"> </w:t>
      </w:r>
      <w:r w:rsidR="007C5D31" w:rsidRPr="00DB5977">
        <w:rPr>
          <w:rFonts w:ascii="Verdana" w:hAnsi="Verdana"/>
          <w:sz w:val="20"/>
          <w:szCs w:val="20"/>
        </w:rPr>
        <w:t>H</w:t>
      </w:r>
      <w:r w:rsidRPr="00DB5977">
        <w:rPr>
          <w:rFonts w:ascii="Verdana" w:hAnsi="Verdana"/>
          <w:sz w:val="20"/>
          <w:szCs w:val="20"/>
        </w:rPr>
        <w:t xml:space="preserve">e also relies heavily on forecasted interest rates that do not reflect </w:t>
      </w:r>
      <w:r w:rsidR="00CB0580" w:rsidRPr="00DB5977">
        <w:rPr>
          <w:rFonts w:ascii="Verdana" w:hAnsi="Verdana"/>
          <w:sz w:val="20"/>
          <w:szCs w:val="20"/>
        </w:rPr>
        <w:t>current</w:t>
      </w:r>
      <w:r w:rsidRPr="00DB5977">
        <w:rPr>
          <w:rFonts w:ascii="Verdana" w:hAnsi="Verdana"/>
          <w:sz w:val="20"/>
          <w:szCs w:val="20"/>
        </w:rPr>
        <w:t xml:space="preserve"> trends in financial markets and investors’ expectations of low inflation and an economic slowdown.</w:t>
      </w:r>
      <w:r w:rsidR="0025065A">
        <w:rPr>
          <w:rFonts w:ascii="Verdana" w:hAnsi="Verdana"/>
          <w:sz w:val="20"/>
          <w:szCs w:val="20"/>
        </w:rPr>
        <w:t xml:space="preserve"> </w:t>
      </w:r>
      <w:r w:rsidRPr="00DB5977">
        <w:rPr>
          <w:rFonts w:ascii="Verdana" w:hAnsi="Verdana"/>
          <w:sz w:val="20"/>
          <w:szCs w:val="20"/>
        </w:rPr>
        <w:t>These forecasted interest rates drive up h</w:t>
      </w:r>
      <w:r w:rsidR="00E92C18" w:rsidRPr="00DB5977">
        <w:rPr>
          <w:rFonts w:ascii="Verdana" w:hAnsi="Verdana"/>
          <w:sz w:val="20"/>
          <w:szCs w:val="20"/>
        </w:rPr>
        <w:t>is</w:t>
      </w:r>
      <w:r w:rsidRPr="00DB5977">
        <w:rPr>
          <w:rFonts w:ascii="Verdana" w:hAnsi="Verdana"/>
          <w:sz w:val="20"/>
          <w:szCs w:val="20"/>
        </w:rPr>
        <w:t xml:space="preserve"> CAPM and Risk Premium estimates.</w:t>
      </w:r>
      <w:r w:rsidR="00621BE0" w:rsidRPr="00DB5977">
        <w:rPr>
          <w:rFonts w:ascii="Verdana" w:hAnsi="Verdana"/>
          <w:sz w:val="20"/>
          <w:szCs w:val="20"/>
        </w:rPr>
        <w:t xml:space="preserve"> </w:t>
      </w:r>
    </w:p>
    <w:p w14:paraId="65CE5A7D" w14:textId="690204F0" w:rsidR="0005749C" w:rsidRPr="00DB5977" w:rsidRDefault="004749D2" w:rsidP="008F18C5">
      <w:pPr>
        <w:pStyle w:val="DirectAnswer"/>
        <w:numPr>
          <w:ilvl w:val="0"/>
          <w:numId w:val="0"/>
        </w:numPr>
        <w:ind w:left="720" w:firstLine="720"/>
        <w:jc w:val="both"/>
        <w:rPr>
          <w:rFonts w:ascii="Verdana" w:hAnsi="Verdana"/>
          <w:sz w:val="20"/>
          <w:szCs w:val="20"/>
        </w:rPr>
      </w:pPr>
      <w:r w:rsidRPr="00DB5977">
        <w:rPr>
          <w:rFonts w:ascii="Verdana" w:hAnsi="Verdana"/>
          <w:sz w:val="20"/>
          <w:szCs w:val="20"/>
        </w:rPr>
        <w:lastRenderedPageBreak/>
        <w:t xml:space="preserve">Dr. </w:t>
      </w:r>
      <w:r w:rsidR="00CB0580" w:rsidRPr="00DB5977">
        <w:rPr>
          <w:rFonts w:ascii="Verdana" w:hAnsi="Verdana"/>
          <w:sz w:val="20"/>
          <w:szCs w:val="20"/>
        </w:rPr>
        <w:t xml:space="preserve">Vander </w:t>
      </w:r>
      <w:proofErr w:type="spellStart"/>
      <w:r w:rsidRPr="00DB5977">
        <w:rPr>
          <w:rFonts w:ascii="Verdana" w:hAnsi="Verdana"/>
          <w:sz w:val="20"/>
          <w:szCs w:val="20"/>
        </w:rPr>
        <w:t>Weide</w:t>
      </w:r>
      <w:proofErr w:type="spellEnd"/>
      <w:r w:rsidRPr="00DB5977">
        <w:rPr>
          <w:rFonts w:ascii="Verdana" w:hAnsi="Verdana"/>
          <w:sz w:val="20"/>
          <w:szCs w:val="20"/>
        </w:rPr>
        <w:t xml:space="preserve"> also inf</w:t>
      </w:r>
      <w:r w:rsidR="00624F8C" w:rsidRPr="00DB5977">
        <w:rPr>
          <w:rFonts w:ascii="Verdana" w:hAnsi="Verdana"/>
          <w:sz w:val="20"/>
          <w:szCs w:val="20"/>
        </w:rPr>
        <w:t xml:space="preserve">lates his estimates by applying a </w:t>
      </w:r>
      <w:r w:rsidR="00BE790D" w:rsidRPr="00DB5977">
        <w:rPr>
          <w:rFonts w:ascii="Verdana" w:hAnsi="Verdana"/>
          <w:sz w:val="20"/>
          <w:szCs w:val="20"/>
        </w:rPr>
        <w:t>series of adders. The first a</w:t>
      </w:r>
      <w:r w:rsidR="00FE0787" w:rsidRPr="00DB5977">
        <w:rPr>
          <w:rFonts w:ascii="Verdana" w:hAnsi="Verdana"/>
          <w:sz w:val="20"/>
          <w:szCs w:val="20"/>
        </w:rPr>
        <w:t xml:space="preserve">dder is a </w:t>
      </w:r>
      <w:r w:rsidR="00624F8C" w:rsidRPr="00DB5977">
        <w:rPr>
          <w:rFonts w:ascii="Verdana" w:hAnsi="Verdana"/>
          <w:sz w:val="20"/>
          <w:szCs w:val="20"/>
        </w:rPr>
        <w:t xml:space="preserve">5.0 percent </w:t>
      </w:r>
      <w:r w:rsidR="00A168DE" w:rsidRPr="00DB5977">
        <w:rPr>
          <w:rFonts w:ascii="Verdana" w:hAnsi="Verdana"/>
          <w:sz w:val="20"/>
          <w:szCs w:val="20"/>
        </w:rPr>
        <w:t xml:space="preserve">allowance for flotation costs </w:t>
      </w:r>
      <w:r w:rsidR="00671EA1" w:rsidRPr="00DB5977">
        <w:rPr>
          <w:rFonts w:ascii="Verdana" w:hAnsi="Verdana"/>
          <w:sz w:val="20"/>
          <w:szCs w:val="20"/>
        </w:rPr>
        <w:t xml:space="preserve">in his DCF model resulting </w:t>
      </w:r>
      <w:r w:rsidR="008D5671" w:rsidRPr="00DB5977">
        <w:rPr>
          <w:rFonts w:ascii="Verdana" w:hAnsi="Verdana"/>
          <w:sz w:val="20"/>
          <w:szCs w:val="20"/>
        </w:rPr>
        <w:t xml:space="preserve">in a 20 basis point adder that he </w:t>
      </w:r>
      <w:r w:rsidR="008D0CA7" w:rsidRPr="00DB5977">
        <w:rPr>
          <w:rFonts w:ascii="Verdana" w:hAnsi="Verdana"/>
          <w:sz w:val="20"/>
          <w:szCs w:val="20"/>
        </w:rPr>
        <w:t>then adds to e</w:t>
      </w:r>
      <w:r w:rsidR="001D3FA1" w:rsidRPr="00DB5977">
        <w:rPr>
          <w:rFonts w:ascii="Verdana" w:hAnsi="Verdana"/>
          <w:sz w:val="20"/>
          <w:szCs w:val="20"/>
        </w:rPr>
        <w:t xml:space="preserve">ach of his </w:t>
      </w:r>
      <w:r w:rsidR="008D0CA7" w:rsidRPr="00DB5977">
        <w:rPr>
          <w:rFonts w:ascii="Verdana" w:hAnsi="Verdana"/>
          <w:sz w:val="20"/>
          <w:szCs w:val="20"/>
        </w:rPr>
        <w:t xml:space="preserve">other </w:t>
      </w:r>
      <w:r w:rsidR="001D3FA1" w:rsidRPr="00DB5977">
        <w:rPr>
          <w:rFonts w:ascii="Verdana" w:hAnsi="Verdana"/>
          <w:sz w:val="20"/>
          <w:szCs w:val="20"/>
        </w:rPr>
        <w:t xml:space="preserve">model </w:t>
      </w:r>
      <w:r w:rsidR="00526EF5" w:rsidRPr="00DB5977">
        <w:rPr>
          <w:rFonts w:ascii="Verdana" w:hAnsi="Verdana"/>
          <w:sz w:val="20"/>
          <w:szCs w:val="20"/>
        </w:rPr>
        <w:t>results</w:t>
      </w:r>
      <w:r w:rsidR="005E7EB9" w:rsidRPr="00DB5977">
        <w:rPr>
          <w:rFonts w:ascii="Verdana" w:hAnsi="Verdana"/>
          <w:sz w:val="20"/>
          <w:szCs w:val="20"/>
        </w:rPr>
        <w:t>.</w:t>
      </w:r>
      <w:r w:rsidR="0025065A">
        <w:rPr>
          <w:rFonts w:ascii="Verdana" w:hAnsi="Verdana"/>
          <w:sz w:val="20"/>
          <w:szCs w:val="20"/>
        </w:rPr>
        <w:t xml:space="preserve"> </w:t>
      </w:r>
      <w:r w:rsidR="00FE0787" w:rsidRPr="00DB5977">
        <w:rPr>
          <w:rFonts w:ascii="Verdana" w:hAnsi="Verdana"/>
          <w:sz w:val="20"/>
          <w:szCs w:val="20"/>
        </w:rPr>
        <w:t>Then, h</w:t>
      </w:r>
      <w:r w:rsidR="00621BE0" w:rsidRPr="00DB5977">
        <w:rPr>
          <w:rFonts w:ascii="Verdana" w:hAnsi="Verdana"/>
          <w:sz w:val="20"/>
          <w:szCs w:val="20"/>
        </w:rPr>
        <w:t xml:space="preserve">e </w:t>
      </w:r>
      <w:r w:rsidR="004A5F6B" w:rsidRPr="00DB5977">
        <w:rPr>
          <w:rFonts w:ascii="Verdana" w:hAnsi="Verdana"/>
          <w:sz w:val="20"/>
          <w:szCs w:val="20"/>
        </w:rPr>
        <w:t xml:space="preserve">also </w:t>
      </w:r>
      <w:r w:rsidR="0021514B" w:rsidRPr="00DB5977">
        <w:rPr>
          <w:rFonts w:ascii="Verdana" w:hAnsi="Verdana"/>
          <w:sz w:val="20"/>
          <w:szCs w:val="20"/>
        </w:rPr>
        <w:t xml:space="preserve">applies </w:t>
      </w:r>
      <w:r w:rsidR="001F141C" w:rsidRPr="00DB5977">
        <w:rPr>
          <w:rFonts w:ascii="Verdana" w:hAnsi="Verdana"/>
          <w:sz w:val="20"/>
          <w:szCs w:val="20"/>
        </w:rPr>
        <w:t xml:space="preserve">a </w:t>
      </w:r>
      <w:r w:rsidR="000572EA" w:rsidRPr="00DB5977">
        <w:rPr>
          <w:rFonts w:ascii="Verdana" w:hAnsi="Verdana"/>
          <w:sz w:val="20"/>
          <w:szCs w:val="20"/>
        </w:rPr>
        <w:t xml:space="preserve">50 basis point adder to his average </w:t>
      </w:r>
      <w:r w:rsidR="00CF281A" w:rsidRPr="00DB5977">
        <w:rPr>
          <w:rFonts w:ascii="Verdana" w:hAnsi="Verdana"/>
          <w:sz w:val="20"/>
          <w:szCs w:val="20"/>
        </w:rPr>
        <w:t>cost of equity</w:t>
      </w:r>
      <w:r w:rsidR="00416D05" w:rsidRPr="00DB5977">
        <w:rPr>
          <w:rFonts w:ascii="Verdana" w:hAnsi="Verdana"/>
          <w:sz w:val="20"/>
          <w:szCs w:val="20"/>
        </w:rPr>
        <w:t xml:space="preserve"> estimate </w:t>
      </w:r>
      <w:r w:rsidR="007C7211" w:rsidRPr="00DB5977">
        <w:rPr>
          <w:rFonts w:ascii="Verdana" w:hAnsi="Verdana"/>
          <w:sz w:val="20"/>
          <w:szCs w:val="20"/>
        </w:rPr>
        <w:t>of 10.</w:t>
      </w:r>
      <w:r w:rsidR="00C50570" w:rsidRPr="00DB5977">
        <w:rPr>
          <w:rFonts w:ascii="Verdana" w:hAnsi="Verdana"/>
          <w:sz w:val="20"/>
          <w:szCs w:val="20"/>
        </w:rPr>
        <w:t>4</w:t>
      </w:r>
      <w:r w:rsidR="007C7211" w:rsidRPr="00DB5977">
        <w:rPr>
          <w:rFonts w:ascii="Verdana" w:hAnsi="Verdana"/>
          <w:sz w:val="20"/>
          <w:szCs w:val="20"/>
        </w:rPr>
        <w:t xml:space="preserve"> percent</w:t>
      </w:r>
      <w:r w:rsidR="002465F3" w:rsidRPr="00DB5977">
        <w:rPr>
          <w:rFonts w:ascii="Verdana" w:hAnsi="Verdana"/>
          <w:sz w:val="20"/>
          <w:szCs w:val="20"/>
        </w:rPr>
        <w:t xml:space="preserve"> using all his analyses</w:t>
      </w:r>
      <w:r w:rsidR="00635795" w:rsidRPr="00DB5977">
        <w:rPr>
          <w:rFonts w:ascii="Verdana" w:hAnsi="Verdana"/>
          <w:sz w:val="20"/>
          <w:szCs w:val="20"/>
        </w:rPr>
        <w:t xml:space="preserve"> to derive an inflated ROE of 10.9</w:t>
      </w:r>
      <w:r w:rsidR="00247710">
        <w:rPr>
          <w:rFonts w:ascii="Verdana" w:hAnsi="Verdana"/>
          <w:sz w:val="20"/>
          <w:szCs w:val="20"/>
        </w:rPr>
        <w:t> </w:t>
      </w:r>
      <w:r w:rsidR="00635795" w:rsidRPr="00DB5977">
        <w:rPr>
          <w:rFonts w:ascii="Verdana" w:hAnsi="Verdana"/>
          <w:sz w:val="20"/>
          <w:szCs w:val="20"/>
        </w:rPr>
        <w:t>percent</w:t>
      </w:r>
      <w:r w:rsidR="004C756D" w:rsidRPr="00DB5977">
        <w:rPr>
          <w:rFonts w:ascii="Verdana" w:hAnsi="Verdana"/>
          <w:sz w:val="20"/>
          <w:szCs w:val="20"/>
        </w:rPr>
        <w:t>.</w:t>
      </w:r>
      <w:r w:rsidR="0025065A">
        <w:rPr>
          <w:rFonts w:ascii="Verdana" w:hAnsi="Verdana"/>
          <w:sz w:val="20"/>
          <w:szCs w:val="20"/>
        </w:rPr>
        <w:t xml:space="preserve"> </w:t>
      </w:r>
      <w:r w:rsidR="00635795" w:rsidRPr="00DB5977">
        <w:rPr>
          <w:rFonts w:ascii="Verdana" w:hAnsi="Verdana"/>
          <w:sz w:val="20"/>
          <w:szCs w:val="20"/>
        </w:rPr>
        <w:t xml:space="preserve">This </w:t>
      </w:r>
      <w:r w:rsidR="001B0817" w:rsidRPr="00DB5977">
        <w:rPr>
          <w:rFonts w:ascii="Verdana" w:hAnsi="Verdana"/>
          <w:sz w:val="20"/>
          <w:szCs w:val="20"/>
        </w:rPr>
        <w:t xml:space="preserve">recommended ROE is out of touch with </w:t>
      </w:r>
      <w:r w:rsidR="008E4254" w:rsidRPr="00DB5977">
        <w:rPr>
          <w:rFonts w:ascii="Verdana" w:hAnsi="Verdana"/>
          <w:sz w:val="20"/>
          <w:szCs w:val="20"/>
        </w:rPr>
        <w:t xml:space="preserve">current financial market </w:t>
      </w:r>
      <w:r w:rsidR="00621BE0" w:rsidRPr="00DB5977">
        <w:rPr>
          <w:rFonts w:ascii="Verdana" w:hAnsi="Verdana"/>
          <w:sz w:val="20"/>
          <w:szCs w:val="20"/>
        </w:rPr>
        <w:t>signals</w:t>
      </w:r>
      <w:r w:rsidR="00A90FD1" w:rsidRPr="00DB5977">
        <w:rPr>
          <w:rFonts w:ascii="Verdana" w:hAnsi="Verdana"/>
          <w:sz w:val="20"/>
          <w:szCs w:val="20"/>
        </w:rPr>
        <w:t xml:space="preserve"> </w:t>
      </w:r>
      <w:r w:rsidR="00EE2423" w:rsidRPr="00DB5977">
        <w:rPr>
          <w:rFonts w:ascii="Verdana" w:hAnsi="Verdana"/>
          <w:sz w:val="20"/>
          <w:szCs w:val="20"/>
        </w:rPr>
        <w:t xml:space="preserve">such as </w:t>
      </w:r>
      <w:r w:rsidR="00815D28" w:rsidRPr="00DB5977">
        <w:rPr>
          <w:rFonts w:ascii="Verdana" w:hAnsi="Verdana"/>
          <w:sz w:val="20"/>
          <w:szCs w:val="20"/>
        </w:rPr>
        <w:t xml:space="preserve">an inverted yield-curve showing expectations of </w:t>
      </w:r>
      <w:r w:rsidR="00EE2423" w:rsidRPr="00DB5977">
        <w:rPr>
          <w:rFonts w:ascii="Verdana" w:hAnsi="Verdana"/>
          <w:sz w:val="20"/>
          <w:szCs w:val="20"/>
        </w:rPr>
        <w:t>low inflation and an economic slowdown on the horizon</w:t>
      </w:r>
      <w:r w:rsidR="001B3D1B" w:rsidRPr="00DB5977">
        <w:rPr>
          <w:rFonts w:ascii="Verdana" w:hAnsi="Verdana"/>
          <w:sz w:val="20"/>
          <w:szCs w:val="20"/>
        </w:rPr>
        <w:t>, thereby driving investors to defensive securities such as utility stocks</w:t>
      </w:r>
      <w:r w:rsidR="00972A73" w:rsidRPr="00DB5977">
        <w:rPr>
          <w:rFonts w:ascii="Verdana" w:hAnsi="Verdana"/>
          <w:sz w:val="20"/>
          <w:szCs w:val="20"/>
        </w:rPr>
        <w:t xml:space="preserve">. </w:t>
      </w:r>
      <w:r w:rsidR="00A90FD1" w:rsidRPr="00DB5977">
        <w:rPr>
          <w:rFonts w:ascii="Verdana" w:hAnsi="Verdana"/>
          <w:sz w:val="20"/>
          <w:szCs w:val="20"/>
        </w:rPr>
        <w:t>Moreover, Georgia Power benefits from risk mitigation measures such as a multi-year Alternative Rate Plan</w:t>
      </w:r>
      <w:r w:rsidR="009B74B0">
        <w:rPr>
          <w:rFonts w:ascii="Verdana" w:hAnsi="Verdana"/>
          <w:sz w:val="20"/>
          <w:szCs w:val="20"/>
        </w:rPr>
        <w:t xml:space="preserve"> (“ARP”)</w:t>
      </w:r>
      <w:r w:rsidR="00A90FD1" w:rsidRPr="00DB5977">
        <w:rPr>
          <w:rFonts w:ascii="Verdana" w:hAnsi="Verdana"/>
          <w:sz w:val="20"/>
          <w:szCs w:val="20"/>
        </w:rPr>
        <w:t xml:space="preserve">, </w:t>
      </w:r>
      <w:r w:rsidR="00D763F5" w:rsidRPr="00DB5977">
        <w:rPr>
          <w:rFonts w:ascii="Verdana" w:hAnsi="Verdana"/>
          <w:sz w:val="20"/>
          <w:szCs w:val="20"/>
        </w:rPr>
        <w:t xml:space="preserve">a forecasted text year, various adders, and </w:t>
      </w:r>
      <w:r w:rsidR="00247710">
        <w:rPr>
          <w:rFonts w:ascii="Verdana" w:hAnsi="Verdana"/>
          <w:sz w:val="20"/>
          <w:szCs w:val="20"/>
        </w:rPr>
        <w:t xml:space="preserve">a </w:t>
      </w:r>
      <w:r w:rsidR="00D763F5" w:rsidRPr="00DB5977">
        <w:rPr>
          <w:rFonts w:ascii="Verdana" w:hAnsi="Verdana"/>
          <w:sz w:val="20"/>
          <w:szCs w:val="20"/>
        </w:rPr>
        <w:t>shared earnings ROE band of 10 percent to 12 percent. These measures reduce the Company’s risk by ensur</w:t>
      </w:r>
      <w:r w:rsidR="00EE2423" w:rsidRPr="00DB5977">
        <w:rPr>
          <w:rFonts w:ascii="Verdana" w:hAnsi="Verdana"/>
          <w:sz w:val="20"/>
          <w:szCs w:val="20"/>
        </w:rPr>
        <w:t>ing</w:t>
      </w:r>
      <w:r w:rsidR="00D763F5" w:rsidRPr="00DB5977">
        <w:rPr>
          <w:rFonts w:ascii="Verdana" w:hAnsi="Verdana"/>
          <w:sz w:val="20"/>
          <w:szCs w:val="20"/>
        </w:rPr>
        <w:t xml:space="preserve"> recovery of prudently incurred costs in between rate cases. </w:t>
      </w:r>
      <w:r w:rsidR="00815D28" w:rsidRPr="00DB5977">
        <w:rPr>
          <w:rFonts w:ascii="Verdana" w:hAnsi="Verdana"/>
          <w:sz w:val="20"/>
          <w:szCs w:val="20"/>
        </w:rPr>
        <w:t xml:space="preserve">Moreover, </w:t>
      </w:r>
      <w:r w:rsidR="00A8362B">
        <w:rPr>
          <w:rFonts w:ascii="Verdana" w:hAnsi="Verdana"/>
          <w:sz w:val="20"/>
          <w:szCs w:val="20"/>
        </w:rPr>
        <w:t>as stated by Standar</w:t>
      </w:r>
      <w:r w:rsidR="00326A4E">
        <w:rPr>
          <w:rFonts w:ascii="Verdana" w:hAnsi="Verdana"/>
          <w:sz w:val="20"/>
          <w:szCs w:val="20"/>
        </w:rPr>
        <w:t>d</w:t>
      </w:r>
      <w:r w:rsidR="00A8362B">
        <w:rPr>
          <w:rFonts w:ascii="Verdana" w:hAnsi="Verdana"/>
          <w:sz w:val="20"/>
          <w:szCs w:val="20"/>
        </w:rPr>
        <w:t xml:space="preserve"> &amp; Poor’s (“S&amp;P’s”) </w:t>
      </w:r>
      <w:r w:rsidR="006C5FE3">
        <w:rPr>
          <w:rFonts w:ascii="Verdana" w:hAnsi="Verdana"/>
          <w:sz w:val="20"/>
          <w:szCs w:val="20"/>
        </w:rPr>
        <w:t xml:space="preserve">RRA </w:t>
      </w:r>
      <w:r w:rsidR="00A8362B">
        <w:rPr>
          <w:rFonts w:ascii="Verdana" w:hAnsi="Verdana"/>
          <w:sz w:val="20"/>
          <w:szCs w:val="20"/>
        </w:rPr>
        <w:t xml:space="preserve">Regulatory </w:t>
      </w:r>
      <w:proofErr w:type="gramStart"/>
      <w:r w:rsidR="00092820">
        <w:rPr>
          <w:rFonts w:ascii="Verdana" w:hAnsi="Verdana"/>
          <w:sz w:val="20"/>
          <w:szCs w:val="20"/>
        </w:rPr>
        <w:t>F</w:t>
      </w:r>
      <w:r w:rsidR="00A8362B">
        <w:rPr>
          <w:rFonts w:ascii="Verdana" w:hAnsi="Verdana"/>
          <w:sz w:val="20"/>
          <w:szCs w:val="20"/>
        </w:rPr>
        <w:t>ocus</w:t>
      </w:r>
      <w:proofErr w:type="gramEnd"/>
      <w:r w:rsidR="00A8362B">
        <w:rPr>
          <w:rFonts w:ascii="Verdana" w:hAnsi="Verdana"/>
          <w:sz w:val="20"/>
          <w:szCs w:val="20"/>
        </w:rPr>
        <w:t xml:space="preserve"> evaluation of the Commission: “Georgia utility regulation is quite constructive from an investor viewpoint, as it has been for year</w:t>
      </w:r>
      <w:r w:rsidR="00326A4E">
        <w:rPr>
          <w:rFonts w:ascii="Verdana" w:hAnsi="Verdana"/>
          <w:sz w:val="20"/>
          <w:szCs w:val="20"/>
        </w:rPr>
        <w:t>s</w:t>
      </w:r>
      <w:r w:rsidR="00A8362B">
        <w:rPr>
          <w:rFonts w:ascii="Verdana" w:hAnsi="Verdana"/>
          <w:sz w:val="20"/>
          <w:szCs w:val="20"/>
        </w:rPr>
        <w:t>.”</w:t>
      </w:r>
      <w:r w:rsidR="00A8362B">
        <w:rPr>
          <w:rStyle w:val="FootnoteReference"/>
          <w:rFonts w:ascii="Verdana" w:hAnsi="Verdana"/>
          <w:sz w:val="20"/>
          <w:szCs w:val="20"/>
        </w:rPr>
        <w:footnoteReference w:id="2"/>
      </w:r>
      <w:r w:rsidR="00A8362B">
        <w:rPr>
          <w:rFonts w:ascii="Verdana" w:hAnsi="Verdana"/>
          <w:sz w:val="20"/>
          <w:szCs w:val="20"/>
        </w:rPr>
        <w:t xml:space="preserve">  </w:t>
      </w:r>
      <w:r w:rsidR="00397984">
        <w:rPr>
          <w:rFonts w:ascii="Verdana" w:hAnsi="Verdana"/>
          <w:sz w:val="20"/>
          <w:szCs w:val="20"/>
        </w:rPr>
        <w:t>The risk-return tradeoff, a basic principle of market economics, states that poten</w:t>
      </w:r>
      <w:r w:rsidR="00397984">
        <w:rPr>
          <w:rFonts w:ascii="Verdana" w:hAnsi="Verdana"/>
          <w:sz w:val="20"/>
          <w:szCs w:val="20"/>
        </w:rPr>
        <w:lastRenderedPageBreak/>
        <w:t xml:space="preserve">tial return increases with risk. Therefore, </w:t>
      </w:r>
      <w:r w:rsidR="00DB1464">
        <w:rPr>
          <w:rFonts w:ascii="Verdana" w:hAnsi="Verdana"/>
          <w:sz w:val="20"/>
          <w:szCs w:val="20"/>
        </w:rPr>
        <w:t>Georgia’s</w:t>
      </w:r>
      <w:r w:rsidR="00397984">
        <w:rPr>
          <w:rFonts w:ascii="Verdana" w:hAnsi="Verdana"/>
          <w:sz w:val="20"/>
          <w:szCs w:val="20"/>
        </w:rPr>
        <w:t xml:space="preserve"> constructive regulatory environment should result in a lower return on equity for the Company</w:t>
      </w:r>
      <w:r w:rsidR="0047609C">
        <w:rPr>
          <w:rFonts w:ascii="Verdana" w:hAnsi="Verdana"/>
          <w:sz w:val="20"/>
          <w:szCs w:val="20"/>
        </w:rPr>
        <w:t>, all else equal</w:t>
      </w:r>
      <w:r w:rsidR="00397984">
        <w:rPr>
          <w:rFonts w:ascii="Verdana" w:hAnsi="Verdana"/>
          <w:sz w:val="20"/>
          <w:szCs w:val="20"/>
        </w:rPr>
        <w:t xml:space="preserve">. </w:t>
      </w:r>
    </w:p>
    <w:p w14:paraId="38725377" w14:textId="5B200B90" w:rsidR="00E24CAF" w:rsidRPr="00DB5977" w:rsidRDefault="00E24CAF" w:rsidP="00486739">
      <w:pPr>
        <w:pStyle w:val="DirectQuestion"/>
      </w:pPr>
      <w:r w:rsidRPr="00DB5977">
        <w:t xml:space="preserve">What is </w:t>
      </w:r>
      <w:r w:rsidR="0023199B">
        <w:t>georgia power’s</w:t>
      </w:r>
      <w:r w:rsidRPr="00DB5977">
        <w:t xml:space="preserve"> current a</w:t>
      </w:r>
      <w:r w:rsidR="007E2226" w:rsidRPr="00DB5977">
        <w:t>uthorized</w:t>
      </w:r>
      <w:r w:rsidRPr="00DB5977">
        <w:t xml:space="preserve"> overall rate of return and </w:t>
      </w:r>
      <w:r w:rsidR="00D036AA">
        <w:t>ROE</w:t>
      </w:r>
      <w:r w:rsidRPr="00DB5977">
        <w:t>?</w:t>
      </w:r>
    </w:p>
    <w:p w14:paraId="14F8BED8" w14:textId="01242B4A" w:rsidR="00F32924" w:rsidRPr="00DB5977" w:rsidRDefault="00E24CAF" w:rsidP="008F18C5">
      <w:pPr>
        <w:pStyle w:val="DirectAnswer"/>
        <w:jc w:val="both"/>
        <w:rPr>
          <w:rFonts w:ascii="Verdana" w:hAnsi="Verdana"/>
          <w:sz w:val="20"/>
          <w:szCs w:val="20"/>
        </w:rPr>
      </w:pPr>
      <w:r w:rsidRPr="00DB5977">
        <w:rPr>
          <w:rFonts w:ascii="Verdana" w:hAnsi="Verdana" w:cstheme="minorHAnsi"/>
          <w:sz w:val="20"/>
          <w:szCs w:val="20"/>
        </w:rPr>
        <w:t xml:space="preserve">The </w:t>
      </w:r>
      <w:r w:rsidR="00C02016" w:rsidRPr="00DB5977">
        <w:rPr>
          <w:rFonts w:ascii="Verdana" w:hAnsi="Verdana" w:cstheme="minorHAnsi"/>
          <w:sz w:val="20"/>
          <w:szCs w:val="20"/>
        </w:rPr>
        <w:t>Company</w:t>
      </w:r>
      <w:r w:rsidR="00D036AA">
        <w:rPr>
          <w:rFonts w:ascii="Verdana" w:hAnsi="Verdana" w:cstheme="minorHAnsi"/>
          <w:sz w:val="20"/>
          <w:szCs w:val="20"/>
        </w:rPr>
        <w:t>’s</w:t>
      </w:r>
      <w:r w:rsidR="00C02016" w:rsidRPr="00DB5977">
        <w:rPr>
          <w:rFonts w:ascii="Verdana" w:hAnsi="Verdana"/>
          <w:sz w:val="20"/>
          <w:szCs w:val="20"/>
        </w:rPr>
        <w:t xml:space="preserve"> </w:t>
      </w:r>
      <w:r w:rsidR="00A11B84" w:rsidRPr="00DB5977">
        <w:rPr>
          <w:rFonts w:ascii="Verdana" w:hAnsi="Verdana"/>
          <w:sz w:val="20"/>
          <w:szCs w:val="20"/>
        </w:rPr>
        <w:t>current</w:t>
      </w:r>
      <w:r w:rsidR="00C02016" w:rsidRPr="00DB5977">
        <w:rPr>
          <w:rFonts w:ascii="Verdana" w:hAnsi="Verdana"/>
          <w:sz w:val="20"/>
          <w:szCs w:val="20"/>
        </w:rPr>
        <w:t xml:space="preserve"> </w:t>
      </w:r>
      <w:r w:rsidR="007E2226" w:rsidRPr="00DB5977">
        <w:rPr>
          <w:rFonts w:ascii="Verdana" w:hAnsi="Verdana"/>
          <w:sz w:val="20"/>
          <w:szCs w:val="20"/>
        </w:rPr>
        <w:t>authorized</w:t>
      </w:r>
      <w:r w:rsidR="00C02016" w:rsidRPr="00DB5977">
        <w:rPr>
          <w:rFonts w:ascii="Verdana" w:hAnsi="Verdana"/>
          <w:sz w:val="20"/>
          <w:szCs w:val="20"/>
        </w:rPr>
        <w:t xml:space="preserve"> </w:t>
      </w:r>
      <w:r w:rsidR="00A11B84" w:rsidRPr="00DB5977">
        <w:rPr>
          <w:rFonts w:ascii="Verdana" w:hAnsi="Verdana"/>
          <w:sz w:val="20"/>
          <w:szCs w:val="20"/>
        </w:rPr>
        <w:t xml:space="preserve">overall </w:t>
      </w:r>
      <w:r w:rsidR="00C02016" w:rsidRPr="00DB5977">
        <w:rPr>
          <w:rFonts w:ascii="Verdana" w:hAnsi="Verdana"/>
          <w:sz w:val="20"/>
          <w:szCs w:val="20"/>
        </w:rPr>
        <w:t xml:space="preserve">cost of capital </w:t>
      </w:r>
      <w:r w:rsidR="00A11B84" w:rsidRPr="00DB5977">
        <w:rPr>
          <w:rFonts w:ascii="Verdana" w:hAnsi="Verdana"/>
          <w:sz w:val="20"/>
          <w:szCs w:val="20"/>
        </w:rPr>
        <w:t xml:space="preserve">is </w:t>
      </w:r>
      <w:r w:rsidR="00845C29" w:rsidRPr="00DB5977">
        <w:rPr>
          <w:rFonts w:ascii="Verdana" w:hAnsi="Verdana"/>
          <w:sz w:val="20"/>
          <w:szCs w:val="20"/>
        </w:rPr>
        <w:t>7.</w:t>
      </w:r>
      <w:r w:rsidR="00CD51E5" w:rsidRPr="00DB5977">
        <w:rPr>
          <w:rFonts w:ascii="Verdana" w:hAnsi="Verdana"/>
          <w:sz w:val="20"/>
          <w:szCs w:val="20"/>
        </w:rPr>
        <w:t>71</w:t>
      </w:r>
      <w:r w:rsidR="00C02016" w:rsidRPr="00DB5977">
        <w:rPr>
          <w:rFonts w:ascii="Verdana" w:hAnsi="Verdana"/>
          <w:sz w:val="20"/>
          <w:szCs w:val="20"/>
        </w:rPr>
        <w:t xml:space="preserve"> percent, based on an </w:t>
      </w:r>
      <w:r w:rsidR="0000588C" w:rsidRPr="00DB5977">
        <w:rPr>
          <w:rFonts w:ascii="Verdana" w:hAnsi="Verdana"/>
          <w:sz w:val="20"/>
          <w:szCs w:val="20"/>
        </w:rPr>
        <w:t>authorized</w:t>
      </w:r>
      <w:r w:rsidR="00C02016" w:rsidRPr="00DB5977">
        <w:rPr>
          <w:rFonts w:ascii="Verdana" w:hAnsi="Verdana"/>
          <w:sz w:val="20"/>
          <w:szCs w:val="20"/>
        </w:rPr>
        <w:t xml:space="preserve"> </w:t>
      </w:r>
      <w:r w:rsidR="00D036AA">
        <w:rPr>
          <w:rFonts w:ascii="Verdana" w:hAnsi="Verdana"/>
          <w:sz w:val="20"/>
          <w:szCs w:val="20"/>
        </w:rPr>
        <w:t>ROE</w:t>
      </w:r>
      <w:r w:rsidR="00C02016" w:rsidRPr="00DB5977">
        <w:rPr>
          <w:rFonts w:ascii="Verdana" w:hAnsi="Verdana"/>
          <w:sz w:val="20"/>
          <w:szCs w:val="20"/>
        </w:rPr>
        <w:t xml:space="preserve"> of </w:t>
      </w:r>
      <w:r w:rsidR="00EA1CDC" w:rsidRPr="00DB5977">
        <w:rPr>
          <w:rFonts w:ascii="Verdana" w:hAnsi="Verdana"/>
          <w:sz w:val="20"/>
          <w:szCs w:val="20"/>
        </w:rPr>
        <w:t>10.95</w:t>
      </w:r>
      <w:r w:rsidR="00C02016" w:rsidRPr="00DB5977">
        <w:rPr>
          <w:rFonts w:ascii="Verdana" w:hAnsi="Verdana"/>
          <w:sz w:val="20"/>
          <w:szCs w:val="20"/>
        </w:rPr>
        <w:t xml:space="preserve"> percent</w:t>
      </w:r>
      <w:r w:rsidR="00452C7C" w:rsidRPr="00DB5977">
        <w:rPr>
          <w:rFonts w:ascii="Verdana" w:hAnsi="Verdana"/>
          <w:sz w:val="20"/>
          <w:szCs w:val="20"/>
        </w:rPr>
        <w:t>.</w:t>
      </w:r>
      <w:r w:rsidR="00C4594E" w:rsidRPr="00DB5977">
        <w:rPr>
          <w:rStyle w:val="FootnoteReference"/>
          <w:rFonts w:ascii="Verdana" w:hAnsi="Verdana"/>
          <w:sz w:val="20"/>
          <w:szCs w:val="20"/>
        </w:rPr>
        <w:footnoteReference w:id="3"/>
      </w:r>
      <w:r w:rsidR="00C02016" w:rsidRPr="00DB5977">
        <w:rPr>
          <w:rFonts w:ascii="Verdana" w:hAnsi="Verdana"/>
          <w:sz w:val="20"/>
          <w:szCs w:val="20"/>
        </w:rPr>
        <w:t xml:space="preserve"> </w:t>
      </w:r>
      <w:r w:rsidR="00AE4933" w:rsidRPr="00DB5977">
        <w:rPr>
          <w:rFonts w:ascii="Verdana" w:hAnsi="Verdana"/>
          <w:sz w:val="20"/>
          <w:szCs w:val="20"/>
        </w:rPr>
        <w:t>T</w:t>
      </w:r>
      <w:r w:rsidR="005B667C" w:rsidRPr="00DB5977">
        <w:rPr>
          <w:rFonts w:ascii="Verdana" w:hAnsi="Verdana"/>
          <w:sz w:val="20"/>
          <w:szCs w:val="20"/>
        </w:rPr>
        <w:t xml:space="preserve">his </w:t>
      </w:r>
      <w:r w:rsidR="00CE1B46" w:rsidRPr="00DB5977">
        <w:rPr>
          <w:rFonts w:ascii="Verdana" w:hAnsi="Verdana"/>
          <w:sz w:val="20"/>
          <w:szCs w:val="20"/>
        </w:rPr>
        <w:t xml:space="preserve">amount </w:t>
      </w:r>
      <w:r w:rsidR="00AE4933" w:rsidRPr="00DB5977">
        <w:rPr>
          <w:rFonts w:ascii="Verdana" w:hAnsi="Verdana"/>
          <w:sz w:val="20"/>
          <w:szCs w:val="20"/>
        </w:rPr>
        <w:t xml:space="preserve">is </w:t>
      </w:r>
      <w:r w:rsidR="00CE1B46" w:rsidRPr="00DB5977">
        <w:rPr>
          <w:rFonts w:ascii="Verdana" w:hAnsi="Verdana"/>
          <w:sz w:val="20"/>
          <w:szCs w:val="20"/>
        </w:rPr>
        <w:t xml:space="preserve">calculated </w:t>
      </w:r>
      <w:r w:rsidR="005B667C" w:rsidRPr="00DB5977">
        <w:rPr>
          <w:rFonts w:ascii="Verdana" w:hAnsi="Verdana"/>
          <w:sz w:val="20"/>
          <w:szCs w:val="20"/>
        </w:rPr>
        <w:t xml:space="preserve">based </w:t>
      </w:r>
      <w:r w:rsidR="00CE1B46" w:rsidRPr="00DB5977">
        <w:rPr>
          <w:rFonts w:ascii="Verdana" w:hAnsi="Verdana"/>
          <w:sz w:val="20"/>
          <w:szCs w:val="20"/>
        </w:rPr>
        <w:t>up</w:t>
      </w:r>
      <w:r w:rsidR="005B667C" w:rsidRPr="00DB5977">
        <w:rPr>
          <w:rFonts w:ascii="Verdana" w:hAnsi="Verdana"/>
          <w:sz w:val="20"/>
          <w:szCs w:val="20"/>
        </w:rPr>
        <w:t xml:space="preserve">on the </w:t>
      </w:r>
      <w:r w:rsidR="00AB56B3" w:rsidRPr="00DB5977">
        <w:rPr>
          <w:rFonts w:ascii="Verdana" w:hAnsi="Verdana"/>
          <w:sz w:val="20"/>
          <w:szCs w:val="20"/>
        </w:rPr>
        <w:t xml:space="preserve">capital structure </w:t>
      </w:r>
      <w:r w:rsidR="00A11B84" w:rsidRPr="00DB5977">
        <w:rPr>
          <w:rFonts w:ascii="Verdana" w:hAnsi="Verdana"/>
          <w:sz w:val="20"/>
          <w:szCs w:val="20"/>
        </w:rPr>
        <w:t xml:space="preserve">authorized by the Commission in the Company’s </w:t>
      </w:r>
      <w:r w:rsidR="00F32924" w:rsidRPr="00DB5977">
        <w:rPr>
          <w:rFonts w:ascii="Verdana" w:hAnsi="Verdana"/>
          <w:sz w:val="20"/>
          <w:szCs w:val="20"/>
        </w:rPr>
        <w:t xml:space="preserve">2013 </w:t>
      </w:r>
      <w:r w:rsidR="00FE7585">
        <w:rPr>
          <w:rFonts w:ascii="Verdana" w:hAnsi="Verdana"/>
          <w:sz w:val="20"/>
          <w:szCs w:val="20"/>
        </w:rPr>
        <w:t>general rate case (“</w:t>
      </w:r>
      <w:r w:rsidR="00F32924" w:rsidRPr="00DB5977">
        <w:rPr>
          <w:rFonts w:ascii="Verdana" w:hAnsi="Verdana"/>
          <w:sz w:val="20"/>
          <w:szCs w:val="20"/>
        </w:rPr>
        <w:t>GRC</w:t>
      </w:r>
      <w:r w:rsidR="00FE7585">
        <w:rPr>
          <w:rFonts w:ascii="Verdana" w:hAnsi="Verdana"/>
          <w:sz w:val="20"/>
          <w:szCs w:val="20"/>
        </w:rPr>
        <w:t>”)</w:t>
      </w:r>
      <w:r w:rsidR="00E9040E" w:rsidRPr="00DB5977">
        <w:rPr>
          <w:rFonts w:ascii="Verdana" w:hAnsi="Verdana"/>
          <w:sz w:val="20"/>
          <w:szCs w:val="20"/>
        </w:rPr>
        <w:t>.</w:t>
      </w:r>
      <w:r w:rsidR="00D95120" w:rsidRPr="00DB5977">
        <w:rPr>
          <w:rStyle w:val="FootnoteReference"/>
          <w:rFonts w:ascii="Verdana" w:hAnsi="Verdana"/>
          <w:sz w:val="20"/>
          <w:szCs w:val="20"/>
        </w:rPr>
        <w:footnoteReference w:id="4"/>
      </w:r>
      <w:r w:rsidR="003C1C3F" w:rsidRPr="00DB5977">
        <w:rPr>
          <w:rFonts w:ascii="Verdana" w:hAnsi="Verdana"/>
          <w:sz w:val="20"/>
          <w:szCs w:val="20"/>
        </w:rPr>
        <w:t xml:space="preserve"> </w:t>
      </w:r>
    </w:p>
    <w:p w14:paraId="25BE2A4E" w14:textId="38D71688" w:rsidR="00A056CA" w:rsidRPr="00DB5977" w:rsidRDefault="00685E53" w:rsidP="00486739">
      <w:pPr>
        <w:pStyle w:val="DirectQuestion"/>
      </w:pPr>
      <w:r>
        <w:t xml:space="preserve">does </w:t>
      </w:r>
      <w:r w:rsidR="00A056CA" w:rsidRPr="00DB5977">
        <w:t>THE COMPANY’S A</w:t>
      </w:r>
      <w:r w:rsidR="00A466DC">
        <w:t>RP</w:t>
      </w:r>
      <w:r>
        <w:t xml:space="preserve"> follow the approved overall rate of return from the last general rate case</w:t>
      </w:r>
      <w:r w:rsidR="00A056CA" w:rsidRPr="00DB5977">
        <w:t>?</w:t>
      </w:r>
    </w:p>
    <w:p w14:paraId="0B69B0E8" w14:textId="76007CAA" w:rsidR="00E61216" w:rsidRPr="006C5FE3" w:rsidRDefault="001830E5" w:rsidP="00486739">
      <w:pPr>
        <w:pStyle w:val="DirectAnswer"/>
        <w:jc w:val="both"/>
        <w:rPr>
          <w:rFonts w:ascii="Verdana" w:hAnsi="Verdana"/>
          <w:sz w:val="20"/>
          <w:szCs w:val="20"/>
        </w:rPr>
      </w:pPr>
      <w:r>
        <w:rPr>
          <w:rFonts w:ascii="Verdana" w:hAnsi="Verdana" w:cstheme="minorHAnsi"/>
          <w:sz w:val="20"/>
          <w:szCs w:val="20"/>
        </w:rPr>
        <w:t>The</w:t>
      </w:r>
      <w:r w:rsidR="00397984">
        <w:rPr>
          <w:rFonts w:ascii="Verdana" w:hAnsi="Verdana" w:cstheme="minorHAnsi"/>
          <w:sz w:val="20"/>
          <w:szCs w:val="20"/>
        </w:rPr>
        <w:t xml:space="preserve"> </w:t>
      </w:r>
      <w:r>
        <w:rPr>
          <w:rFonts w:ascii="Verdana" w:hAnsi="Verdana" w:cstheme="minorHAnsi"/>
          <w:sz w:val="20"/>
          <w:szCs w:val="20"/>
        </w:rPr>
        <w:t>ARP establishes an earnings band for the ROE.  This ROE earnings band is currently approved to be 10.0</w:t>
      </w:r>
      <w:r w:rsidR="00FE2309">
        <w:rPr>
          <w:rFonts w:ascii="Verdana" w:hAnsi="Verdana" w:cstheme="minorHAnsi"/>
          <w:sz w:val="20"/>
          <w:szCs w:val="20"/>
        </w:rPr>
        <w:t xml:space="preserve"> percent</w:t>
      </w:r>
      <w:r>
        <w:rPr>
          <w:rFonts w:ascii="Verdana" w:hAnsi="Verdana" w:cstheme="minorHAnsi"/>
          <w:sz w:val="20"/>
          <w:szCs w:val="20"/>
        </w:rPr>
        <w:t xml:space="preserve"> to 12.0</w:t>
      </w:r>
      <w:r w:rsidR="00FE2309">
        <w:rPr>
          <w:rFonts w:ascii="Verdana" w:hAnsi="Verdana" w:cstheme="minorHAnsi"/>
          <w:sz w:val="20"/>
          <w:szCs w:val="20"/>
        </w:rPr>
        <w:t xml:space="preserve"> percent</w:t>
      </w:r>
      <w:r>
        <w:rPr>
          <w:rFonts w:ascii="Verdana" w:hAnsi="Verdana" w:cstheme="minorHAnsi"/>
          <w:sz w:val="20"/>
          <w:szCs w:val="20"/>
        </w:rPr>
        <w:t>, but the capital structure and overall rate of return has been allowed to vary since the last general rate case.  For example, t</w:t>
      </w:r>
      <w:r w:rsidR="00A056CA" w:rsidRPr="00DB5977">
        <w:rPr>
          <w:rFonts w:ascii="Verdana" w:hAnsi="Verdana" w:cstheme="minorHAnsi"/>
          <w:sz w:val="20"/>
          <w:szCs w:val="20"/>
        </w:rPr>
        <w:t xml:space="preserve">he Company filed its </w:t>
      </w:r>
      <w:r w:rsidR="00A056CA" w:rsidRPr="00DB5977">
        <w:rPr>
          <w:rFonts w:ascii="Verdana" w:hAnsi="Verdana"/>
          <w:sz w:val="20"/>
          <w:szCs w:val="20"/>
        </w:rPr>
        <w:t xml:space="preserve">2018 Annual Surveillance Report (“2018 ASR”) where </w:t>
      </w:r>
      <w:r w:rsidR="00FB3CEA">
        <w:rPr>
          <w:rFonts w:ascii="Verdana" w:hAnsi="Verdana"/>
          <w:sz w:val="20"/>
          <w:szCs w:val="20"/>
        </w:rPr>
        <w:t>the Company</w:t>
      </w:r>
      <w:r w:rsidR="00FB3CEA" w:rsidRPr="00DB5977">
        <w:rPr>
          <w:rFonts w:ascii="Verdana" w:hAnsi="Verdana"/>
          <w:sz w:val="20"/>
          <w:szCs w:val="20"/>
        </w:rPr>
        <w:t xml:space="preserve"> </w:t>
      </w:r>
      <w:r w:rsidR="00B51541" w:rsidRPr="00DB5977">
        <w:rPr>
          <w:rFonts w:ascii="Verdana" w:hAnsi="Verdana"/>
          <w:sz w:val="20"/>
          <w:szCs w:val="20"/>
        </w:rPr>
        <w:t xml:space="preserve">showed </w:t>
      </w:r>
      <w:r w:rsidR="00A056CA" w:rsidRPr="00DB5977">
        <w:rPr>
          <w:rFonts w:ascii="Verdana" w:hAnsi="Verdana"/>
          <w:sz w:val="20"/>
          <w:szCs w:val="20"/>
        </w:rPr>
        <w:t xml:space="preserve">its earnings for the </w:t>
      </w:r>
      <w:r w:rsidR="00C75269">
        <w:rPr>
          <w:rFonts w:ascii="Verdana" w:hAnsi="Verdana"/>
          <w:sz w:val="20"/>
          <w:szCs w:val="20"/>
        </w:rPr>
        <w:t>12</w:t>
      </w:r>
      <w:r w:rsidR="00C75269" w:rsidRPr="00DB5977">
        <w:rPr>
          <w:rFonts w:ascii="Verdana" w:hAnsi="Verdana"/>
          <w:sz w:val="20"/>
          <w:szCs w:val="20"/>
        </w:rPr>
        <w:t xml:space="preserve"> </w:t>
      </w:r>
      <w:r w:rsidR="00A056CA" w:rsidRPr="00DB5977">
        <w:rPr>
          <w:rFonts w:ascii="Verdana" w:hAnsi="Verdana"/>
          <w:sz w:val="20"/>
          <w:szCs w:val="20"/>
        </w:rPr>
        <w:t xml:space="preserve">months ended December 31, 2018 compared to the </w:t>
      </w:r>
      <w:r w:rsidR="00FB3CEA">
        <w:rPr>
          <w:rFonts w:ascii="Verdana" w:hAnsi="Verdana"/>
          <w:sz w:val="20"/>
          <w:szCs w:val="20"/>
        </w:rPr>
        <w:t>ROE</w:t>
      </w:r>
      <w:r w:rsidR="00A056CA" w:rsidRPr="00DB5977">
        <w:rPr>
          <w:rFonts w:ascii="Verdana" w:hAnsi="Verdana"/>
          <w:sz w:val="20"/>
          <w:szCs w:val="20"/>
        </w:rPr>
        <w:t xml:space="preserve"> range approved by the Commission in the </w:t>
      </w:r>
      <w:r w:rsidR="00FB3CEA">
        <w:rPr>
          <w:rFonts w:ascii="Verdana" w:hAnsi="Verdana"/>
          <w:sz w:val="20"/>
          <w:szCs w:val="20"/>
        </w:rPr>
        <w:t xml:space="preserve">Company’s </w:t>
      </w:r>
      <w:r w:rsidR="00A056CA" w:rsidRPr="00DB5977">
        <w:rPr>
          <w:rFonts w:ascii="Verdana" w:hAnsi="Verdana"/>
          <w:sz w:val="20"/>
          <w:szCs w:val="20"/>
        </w:rPr>
        <w:t>2013 GRC.</w:t>
      </w:r>
      <w:r w:rsidR="00A056CA" w:rsidRPr="00DB5977">
        <w:rPr>
          <w:rStyle w:val="FootnoteReference"/>
          <w:rFonts w:ascii="Verdana" w:hAnsi="Verdana"/>
          <w:sz w:val="20"/>
          <w:szCs w:val="20"/>
        </w:rPr>
        <w:footnoteReference w:id="5"/>
      </w:r>
      <w:r w:rsidR="00E61216" w:rsidRPr="00DB5977">
        <w:rPr>
          <w:rFonts w:ascii="Verdana" w:hAnsi="Verdana"/>
          <w:sz w:val="20"/>
          <w:szCs w:val="20"/>
        </w:rPr>
        <w:t xml:space="preserve"> </w:t>
      </w:r>
      <w:r w:rsidR="00E61216" w:rsidRPr="00DB5977">
        <w:rPr>
          <w:rFonts w:ascii="Verdana" w:hAnsi="Verdana"/>
          <w:sz w:val="20"/>
          <w:szCs w:val="20"/>
        </w:rPr>
        <w:lastRenderedPageBreak/>
        <w:t xml:space="preserve">Specifically, as shown in page 1 of the 2018 ASR, the Company used an equity ratio of </w:t>
      </w:r>
      <w:r w:rsidR="009D70C1">
        <w:rPr>
          <w:rFonts w:ascii="Verdana" w:hAnsi="Verdana"/>
          <w:sz w:val="20"/>
          <w:szCs w:val="20"/>
        </w:rPr>
        <w:t>55</w:t>
      </w:r>
      <w:r w:rsidR="00E61216" w:rsidRPr="00DB5977">
        <w:rPr>
          <w:rFonts w:ascii="Verdana" w:hAnsi="Verdana"/>
          <w:sz w:val="20"/>
          <w:szCs w:val="20"/>
        </w:rPr>
        <w:t>.00</w:t>
      </w:r>
      <w:r w:rsidR="00275DD8">
        <w:rPr>
          <w:rFonts w:ascii="Verdana" w:hAnsi="Verdana"/>
          <w:sz w:val="20"/>
          <w:szCs w:val="20"/>
        </w:rPr>
        <w:t> </w:t>
      </w:r>
      <w:r w:rsidR="00E61216" w:rsidRPr="00DB5977">
        <w:rPr>
          <w:rFonts w:ascii="Verdana" w:hAnsi="Verdana"/>
          <w:sz w:val="20"/>
          <w:szCs w:val="20"/>
        </w:rPr>
        <w:t>percent to calculate an overall rate of return for purposes of the 2018 ASR of 8.39 percent.</w:t>
      </w:r>
      <w:r w:rsidR="00E61216" w:rsidRPr="00DB5977">
        <w:rPr>
          <w:rStyle w:val="FootnoteReference"/>
          <w:rFonts w:ascii="Verdana" w:hAnsi="Verdana"/>
          <w:sz w:val="20"/>
          <w:szCs w:val="20"/>
        </w:rPr>
        <w:footnoteReference w:id="6"/>
      </w:r>
      <w:r w:rsidR="00E61216" w:rsidRPr="00DB5977">
        <w:rPr>
          <w:rFonts w:ascii="Verdana" w:hAnsi="Verdana"/>
          <w:sz w:val="20"/>
          <w:szCs w:val="20"/>
        </w:rPr>
        <w:t xml:space="preserve"> Table 1 below provides </w:t>
      </w:r>
      <w:r w:rsidR="00E61216" w:rsidRPr="006C5FE3">
        <w:rPr>
          <w:rFonts w:ascii="Verdana" w:hAnsi="Verdana"/>
          <w:sz w:val="20"/>
          <w:szCs w:val="20"/>
        </w:rPr>
        <w:t>the Company’s current, as-used in the 2018 ASR, and proposed overall rate of return.</w:t>
      </w:r>
    </w:p>
    <w:p w14:paraId="70B45B17" w14:textId="77777777" w:rsidR="006556B3" w:rsidRDefault="006556B3" w:rsidP="006556B3">
      <w:pPr>
        <w:pStyle w:val="Caption"/>
        <w:keepNext/>
      </w:pPr>
    </w:p>
    <w:tbl>
      <w:tblPr>
        <w:tblW w:w="10260" w:type="dxa"/>
        <w:tblInd w:w="-450" w:type="dxa"/>
        <w:tblLayout w:type="fixed"/>
        <w:tblLook w:val="04A0" w:firstRow="1" w:lastRow="0" w:firstColumn="1" w:lastColumn="0" w:noHBand="0" w:noVBand="1"/>
      </w:tblPr>
      <w:tblGrid>
        <w:gridCol w:w="1170"/>
        <w:gridCol w:w="1080"/>
        <w:gridCol w:w="810"/>
        <w:gridCol w:w="1080"/>
        <w:gridCol w:w="1170"/>
        <w:gridCol w:w="810"/>
        <w:gridCol w:w="1080"/>
        <w:gridCol w:w="1170"/>
        <w:gridCol w:w="810"/>
        <w:gridCol w:w="1080"/>
      </w:tblGrid>
      <w:tr w:rsidR="006556B3" w:rsidRPr="00EB52CE" w14:paraId="6B5656BF" w14:textId="77777777" w:rsidTr="006C5FE3">
        <w:trPr>
          <w:trHeight w:val="83"/>
        </w:trPr>
        <w:tc>
          <w:tcPr>
            <w:tcW w:w="10260" w:type="dxa"/>
            <w:gridSpan w:val="10"/>
            <w:tcBorders>
              <w:top w:val="single" w:sz="12" w:space="0" w:color="auto"/>
              <w:bottom w:val="single" w:sz="4" w:space="0" w:color="auto"/>
            </w:tcBorders>
            <w:shd w:val="clear" w:color="auto" w:fill="auto"/>
            <w:vAlign w:val="bottom"/>
            <w:hideMark/>
          </w:tcPr>
          <w:p w14:paraId="52178501" w14:textId="13BE447B" w:rsidR="006556B3" w:rsidRPr="006556B3" w:rsidRDefault="006556B3" w:rsidP="006C5FE3">
            <w:pPr>
              <w:keepNext/>
              <w:spacing w:before="80" w:after="80" w:line="240" w:lineRule="auto"/>
              <w:jc w:val="center"/>
              <w:rPr>
                <w:rFonts w:ascii="Verdana" w:eastAsia="Times New Roman" w:hAnsi="Verdana" w:cs="Calibri"/>
                <w:b/>
                <w:bCs/>
                <w:sz w:val="19"/>
                <w:szCs w:val="19"/>
              </w:rPr>
            </w:pPr>
            <w:r w:rsidRPr="006556B3">
              <w:rPr>
                <w:rFonts w:ascii="Verdana" w:hAnsi="Verdana"/>
                <w:b/>
                <w:bCs/>
                <w:sz w:val="19"/>
                <w:szCs w:val="19"/>
              </w:rPr>
              <w:t xml:space="preserve">Table </w:t>
            </w:r>
            <w:r w:rsidRPr="006556B3">
              <w:rPr>
                <w:rFonts w:ascii="Verdana" w:hAnsi="Verdana"/>
                <w:b/>
                <w:bCs/>
                <w:sz w:val="19"/>
                <w:szCs w:val="19"/>
              </w:rPr>
              <w:fldChar w:fldCharType="begin"/>
            </w:r>
            <w:r w:rsidRPr="006556B3">
              <w:rPr>
                <w:rFonts w:ascii="Verdana" w:hAnsi="Verdana"/>
                <w:b/>
                <w:bCs/>
                <w:sz w:val="19"/>
                <w:szCs w:val="19"/>
              </w:rPr>
              <w:instrText xml:space="preserve"> SEQ Table \* ARABIC </w:instrText>
            </w:r>
            <w:r w:rsidRPr="006556B3">
              <w:rPr>
                <w:rFonts w:ascii="Verdana" w:hAnsi="Verdana"/>
                <w:b/>
                <w:bCs/>
                <w:sz w:val="19"/>
                <w:szCs w:val="19"/>
              </w:rPr>
              <w:fldChar w:fldCharType="separate"/>
            </w:r>
            <w:r w:rsidR="005A4CEF">
              <w:rPr>
                <w:rFonts w:ascii="Verdana" w:hAnsi="Verdana"/>
                <w:b/>
                <w:bCs/>
                <w:noProof/>
                <w:sz w:val="19"/>
                <w:szCs w:val="19"/>
              </w:rPr>
              <w:t>1</w:t>
            </w:r>
            <w:r w:rsidRPr="006556B3">
              <w:rPr>
                <w:rFonts w:ascii="Verdana" w:hAnsi="Verdana"/>
                <w:b/>
                <w:bCs/>
                <w:sz w:val="19"/>
                <w:szCs w:val="19"/>
              </w:rPr>
              <w:fldChar w:fldCharType="end"/>
            </w:r>
            <w:r w:rsidRPr="006556B3">
              <w:rPr>
                <w:rFonts w:ascii="Verdana" w:hAnsi="Verdana"/>
                <w:b/>
                <w:bCs/>
                <w:sz w:val="19"/>
                <w:szCs w:val="19"/>
              </w:rPr>
              <w:t>. Georgia Power–Weighted Average Cost of Capital Over</w:t>
            </w:r>
            <w:r w:rsidR="006B2588">
              <w:rPr>
                <w:rFonts w:ascii="Verdana" w:hAnsi="Verdana"/>
                <w:b/>
                <w:bCs/>
                <w:sz w:val="19"/>
                <w:szCs w:val="19"/>
              </w:rPr>
              <w:t xml:space="preserve"> T</w:t>
            </w:r>
            <w:r w:rsidRPr="006556B3">
              <w:rPr>
                <w:rFonts w:ascii="Verdana" w:hAnsi="Verdana"/>
                <w:b/>
                <w:bCs/>
                <w:sz w:val="19"/>
                <w:szCs w:val="19"/>
              </w:rPr>
              <w:t>ime</w:t>
            </w:r>
          </w:p>
        </w:tc>
      </w:tr>
      <w:tr w:rsidR="006556B3" w:rsidRPr="00EB52CE" w14:paraId="72CEA938" w14:textId="77777777" w:rsidTr="006C5FE3">
        <w:trPr>
          <w:trHeight w:val="377"/>
        </w:trPr>
        <w:tc>
          <w:tcPr>
            <w:tcW w:w="1170" w:type="dxa"/>
            <w:tcBorders>
              <w:top w:val="single" w:sz="4" w:space="0" w:color="auto"/>
              <w:bottom w:val="single" w:sz="4" w:space="0" w:color="auto"/>
            </w:tcBorders>
            <w:shd w:val="clear" w:color="auto" w:fill="auto"/>
            <w:noWrap/>
            <w:vAlign w:val="bottom"/>
            <w:hideMark/>
          </w:tcPr>
          <w:p w14:paraId="6A4ABFFD" w14:textId="77777777" w:rsidR="006556B3" w:rsidRPr="00EB52CE" w:rsidRDefault="006556B3" w:rsidP="006C5FE3">
            <w:pPr>
              <w:keepNext/>
              <w:spacing w:after="0" w:line="240" w:lineRule="auto"/>
              <w:rPr>
                <w:rFonts w:ascii="Verdana" w:eastAsia="Times New Roman" w:hAnsi="Verdana" w:cs="Calibri"/>
                <w:sz w:val="19"/>
                <w:szCs w:val="19"/>
              </w:rPr>
            </w:pPr>
            <w:r w:rsidRPr="00EB52CE">
              <w:rPr>
                <w:rFonts w:ascii="Verdana" w:eastAsia="Times New Roman" w:hAnsi="Verdana" w:cs="Calibri"/>
                <w:sz w:val="19"/>
                <w:szCs w:val="19"/>
              </w:rPr>
              <w:t> </w:t>
            </w:r>
          </w:p>
        </w:tc>
        <w:tc>
          <w:tcPr>
            <w:tcW w:w="2970" w:type="dxa"/>
            <w:gridSpan w:val="3"/>
            <w:tcBorders>
              <w:top w:val="single" w:sz="4" w:space="0" w:color="auto"/>
              <w:bottom w:val="single" w:sz="4" w:space="0" w:color="auto"/>
              <w:right w:val="double" w:sz="4" w:space="0" w:color="auto"/>
            </w:tcBorders>
            <w:shd w:val="clear" w:color="auto" w:fill="auto"/>
            <w:vAlign w:val="bottom"/>
          </w:tcPr>
          <w:p w14:paraId="50B44E9C" w14:textId="77777777" w:rsidR="006556B3" w:rsidRPr="00EB52CE" w:rsidRDefault="006556B3" w:rsidP="006C5FE3">
            <w:pPr>
              <w:keepNext/>
              <w:spacing w:after="0" w:line="240" w:lineRule="auto"/>
              <w:jc w:val="center"/>
              <w:rPr>
                <w:rFonts w:ascii="Verdana" w:eastAsia="Times New Roman" w:hAnsi="Verdana" w:cs="Calibri"/>
                <w:sz w:val="19"/>
                <w:szCs w:val="19"/>
                <w:u w:val="single"/>
              </w:rPr>
            </w:pPr>
            <w:r w:rsidRPr="00EB52CE">
              <w:rPr>
                <w:rFonts w:ascii="Verdana" w:eastAsia="Times New Roman" w:hAnsi="Verdana" w:cs="Calibri"/>
                <w:sz w:val="19"/>
                <w:szCs w:val="19"/>
                <w:u w:val="single"/>
              </w:rPr>
              <w:t>Approved 2013 GRC</w:t>
            </w:r>
            <w:r w:rsidRPr="00EB52CE">
              <w:rPr>
                <w:rFonts w:ascii="Verdana" w:hAnsi="Verdana"/>
                <w:sz w:val="19"/>
                <w:szCs w:val="19"/>
                <w:vertAlign w:val="superscript"/>
              </w:rPr>
              <w:t>[1]</w:t>
            </w:r>
          </w:p>
        </w:tc>
        <w:tc>
          <w:tcPr>
            <w:tcW w:w="3060" w:type="dxa"/>
            <w:gridSpan w:val="3"/>
            <w:tcBorders>
              <w:top w:val="single" w:sz="4" w:space="0" w:color="auto"/>
              <w:left w:val="double" w:sz="4" w:space="0" w:color="auto"/>
              <w:bottom w:val="single" w:sz="4" w:space="0" w:color="auto"/>
              <w:right w:val="double" w:sz="4" w:space="0" w:color="auto"/>
            </w:tcBorders>
            <w:shd w:val="clear" w:color="auto" w:fill="auto"/>
            <w:vAlign w:val="bottom"/>
          </w:tcPr>
          <w:p w14:paraId="3038A09F" w14:textId="77777777" w:rsidR="006556B3" w:rsidRPr="00EB52CE" w:rsidRDefault="006556B3" w:rsidP="006C5FE3">
            <w:pPr>
              <w:keepNext/>
              <w:spacing w:after="0" w:line="240" w:lineRule="auto"/>
              <w:jc w:val="center"/>
              <w:rPr>
                <w:rFonts w:ascii="Verdana" w:eastAsia="Times New Roman" w:hAnsi="Verdana" w:cs="Calibri"/>
                <w:sz w:val="19"/>
                <w:szCs w:val="19"/>
                <w:u w:val="single"/>
              </w:rPr>
            </w:pPr>
            <w:r w:rsidRPr="00EB52CE">
              <w:rPr>
                <w:rFonts w:ascii="Verdana" w:eastAsia="Times New Roman" w:hAnsi="Verdana" w:cs="Calibri"/>
                <w:sz w:val="19"/>
                <w:szCs w:val="19"/>
                <w:u w:val="single"/>
              </w:rPr>
              <w:t>Used in the 2018 ASR</w:t>
            </w:r>
            <w:r w:rsidRPr="00EB52CE">
              <w:rPr>
                <w:rFonts w:ascii="Verdana" w:hAnsi="Verdana"/>
                <w:sz w:val="19"/>
                <w:szCs w:val="19"/>
                <w:vertAlign w:val="superscript"/>
              </w:rPr>
              <w:t>[2]</w:t>
            </w:r>
          </w:p>
        </w:tc>
        <w:tc>
          <w:tcPr>
            <w:tcW w:w="3060" w:type="dxa"/>
            <w:gridSpan w:val="3"/>
            <w:tcBorders>
              <w:top w:val="single" w:sz="4" w:space="0" w:color="auto"/>
              <w:left w:val="double" w:sz="4" w:space="0" w:color="auto"/>
              <w:bottom w:val="single" w:sz="4" w:space="0" w:color="auto"/>
            </w:tcBorders>
            <w:shd w:val="clear" w:color="auto" w:fill="auto"/>
            <w:vAlign w:val="bottom"/>
          </w:tcPr>
          <w:p w14:paraId="0776C776" w14:textId="77777777" w:rsidR="006556B3" w:rsidRPr="00EB52CE" w:rsidRDefault="006556B3" w:rsidP="006C5FE3">
            <w:pPr>
              <w:keepNext/>
              <w:spacing w:after="0" w:line="240" w:lineRule="auto"/>
              <w:jc w:val="center"/>
              <w:rPr>
                <w:rFonts w:ascii="Verdana" w:eastAsia="Times New Roman" w:hAnsi="Verdana" w:cs="Calibri"/>
                <w:b/>
                <w:sz w:val="19"/>
                <w:szCs w:val="19"/>
                <w:u w:val="single"/>
              </w:rPr>
            </w:pPr>
            <w:r w:rsidRPr="00EB52CE">
              <w:rPr>
                <w:rFonts w:ascii="Verdana" w:eastAsia="Times New Roman" w:hAnsi="Verdana" w:cs="Calibri"/>
                <w:sz w:val="19"/>
                <w:szCs w:val="19"/>
                <w:u w:val="single"/>
              </w:rPr>
              <w:t xml:space="preserve">Proposed </w:t>
            </w:r>
            <w:r>
              <w:rPr>
                <w:rFonts w:ascii="Verdana" w:eastAsia="Times New Roman" w:hAnsi="Verdana" w:cs="Calibri"/>
                <w:sz w:val="19"/>
                <w:szCs w:val="19"/>
                <w:u w:val="single"/>
              </w:rPr>
              <w:t xml:space="preserve">by Company </w:t>
            </w:r>
            <w:r w:rsidRPr="00EB52CE">
              <w:rPr>
                <w:rFonts w:ascii="Verdana" w:eastAsia="Times New Roman" w:hAnsi="Verdana" w:cs="Calibri"/>
                <w:sz w:val="19"/>
                <w:szCs w:val="19"/>
                <w:u w:val="single"/>
              </w:rPr>
              <w:t>in 2019 GRC</w:t>
            </w:r>
            <w:r w:rsidRPr="00EB52CE">
              <w:rPr>
                <w:rFonts w:ascii="Verdana" w:hAnsi="Verdana"/>
                <w:sz w:val="19"/>
                <w:szCs w:val="19"/>
                <w:vertAlign w:val="superscript"/>
              </w:rPr>
              <w:t>[3]</w:t>
            </w:r>
          </w:p>
        </w:tc>
      </w:tr>
      <w:tr w:rsidR="006556B3" w:rsidRPr="00F96F1B" w14:paraId="38535F7C" w14:textId="77777777" w:rsidTr="006C5FE3">
        <w:trPr>
          <w:trHeight w:val="20"/>
        </w:trPr>
        <w:tc>
          <w:tcPr>
            <w:tcW w:w="1170" w:type="dxa"/>
            <w:tcBorders>
              <w:top w:val="single" w:sz="4" w:space="0" w:color="auto"/>
              <w:bottom w:val="single" w:sz="4" w:space="0" w:color="auto"/>
            </w:tcBorders>
            <w:shd w:val="clear" w:color="auto" w:fill="auto"/>
            <w:noWrap/>
            <w:vAlign w:val="bottom"/>
          </w:tcPr>
          <w:p w14:paraId="7D3EC1C0" w14:textId="77777777" w:rsidR="006556B3" w:rsidRPr="006C5FE3" w:rsidRDefault="006556B3" w:rsidP="006C5FE3">
            <w:pPr>
              <w:keepNext/>
              <w:spacing w:after="0" w:line="240" w:lineRule="auto"/>
              <w:rPr>
                <w:rFonts w:ascii="Verdana" w:eastAsia="Times New Roman" w:hAnsi="Verdana" w:cs="Calibri"/>
                <w:sz w:val="17"/>
                <w:szCs w:val="17"/>
              </w:rPr>
            </w:pPr>
          </w:p>
        </w:tc>
        <w:tc>
          <w:tcPr>
            <w:tcW w:w="1080" w:type="dxa"/>
            <w:tcBorders>
              <w:top w:val="single" w:sz="4" w:space="0" w:color="auto"/>
              <w:bottom w:val="single" w:sz="4" w:space="0" w:color="auto"/>
            </w:tcBorders>
            <w:shd w:val="clear" w:color="auto" w:fill="auto"/>
            <w:vAlign w:val="bottom"/>
          </w:tcPr>
          <w:p w14:paraId="6B9BDF0E"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w:t>
            </w:r>
          </w:p>
        </w:tc>
        <w:tc>
          <w:tcPr>
            <w:tcW w:w="810" w:type="dxa"/>
            <w:tcBorders>
              <w:top w:val="single" w:sz="4" w:space="0" w:color="auto"/>
              <w:bottom w:val="single" w:sz="4" w:space="0" w:color="auto"/>
            </w:tcBorders>
            <w:shd w:val="clear" w:color="auto" w:fill="auto"/>
            <w:vAlign w:val="bottom"/>
          </w:tcPr>
          <w:p w14:paraId="55C9031D"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Cost</w:t>
            </w:r>
          </w:p>
        </w:tc>
        <w:tc>
          <w:tcPr>
            <w:tcW w:w="1080" w:type="dxa"/>
            <w:tcBorders>
              <w:top w:val="single" w:sz="4" w:space="0" w:color="auto"/>
              <w:bottom w:val="single" w:sz="4" w:space="0" w:color="auto"/>
              <w:right w:val="double" w:sz="4" w:space="0" w:color="auto"/>
            </w:tcBorders>
            <w:shd w:val="clear" w:color="auto" w:fill="auto"/>
            <w:vAlign w:val="bottom"/>
          </w:tcPr>
          <w:p w14:paraId="1B894016"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Weighted Cost</w:t>
            </w:r>
          </w:p>
        </w:tc>
        <w:tc>
          <w:tcPr>
            <w:tcW w:w="1170" w:type="dxa"/>
            <w:tcBorders>
              <w:top w:val="single" w:sz="4" w:space="0" w:color="auto"/>
              <w:left w:val="double" w:sz="4" w:space="0" w:color="auto"/>
              <w:bottom w:val="single" w:sz="4" w:space="0" w:color="auto"/>
            </w:tcBorders>
            <w:shd w:val="clear" w:color="auto" w:fill="auto"/>
            <w:vAlign w:val="bottom"/>
          </w:tcPr>
          <w:p w14:paraId="7B6C4994"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w:t>
            </w:r>
          </w:p>
        </w:tc>
        <w:tc>
          <w:tcPr>
            <w:tcW w:w="810" w:type="dxa"/>
            <w:tcBorders>
              <w:top w:val="single" w:sz="4" w:space="0" w:color="auto"/>
              <w:bottom w:val="single" w:sz="4" w:space="0" w:color="auto"/>
            </w:tcBorders>
            <w:shd w:val="clear" w:color="auto" w:fill="auto"/>
            <w:vAlign w:val="bottom"/>
          </w:tcPr>
          <w:p w14:paraId="044FBED0"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Cost</w:t>
            </w:r>
          </w:p>
        </w:tc>
        <w:tc>
          <w:tcPr>
            <w:tcW w:w="1080" w:type="dxa"/>
            <w:tcBorders>
              <w:top w:val="single" w:sz="4" w:space="0" w:color="auto"/>
              <w:bottom w:val="single" w:sz="4" w:space="0" w:color="auto"/>
              <w:right w:val="double" w:sz="4" w:space="0" w:color="auto"/>
            </w:tcBorders>
            <w:shd w:val="clear" w:color="auto" w:fill="auto"/>
            <w:vAlign w:val="bottom"/>
          </w:tcPr>
          <w:p w14:paraId="0257D169"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Weighted Cost</w:t>
            </w:r>
          </w:p>
        </w:tc>
        <w:tc>
          <w:tcPr>
            <w:tcW w:w="1170" w:type="dxa"/>
            <w:tcBorders>
              <w:top w:val="single" w:sz="4" w:space="0" w:color="auto"/>
              <w:left w:val="double" w:sz="4" w:space="0" w:color="auto"/>
              <w:bottom w:val="single" w:sz="4" w:space="0" w:color="auto"/>
            </w:tcBorders>
            <w:shd w:val="clear" w:color="auto" w:fill="auto"/>
            <w:vAlign w:val="bottom"/>
          </w:tcPr>
          <w:p w14:paraId="7E09642F"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w:t>
            </w:r>
          </w:p>
        </w:tc>
        <w:tc>
          <w:tcPr>
            <w:tcW w:w="810" w:type="dxa"/>
            <w:tcBorders>
              <w:top w:val="single" w:sz="4" w:space="0" w:color="auto"/>
              <w:bottom w:val="single" w:sz="4" w:space="0" w:color="auto"/>
            </w:tcBorders>
            <w:shd w:val="clear" w:color="auto" w:fill="auto"/>
            <w:vAlign w:val="bottom"/>
          </w:tcPr>
          <w:p w14:paraId="49556460"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Cost</w:t>
            </w:r>
          </w:p>
        </w:tc>
        <w:tc>
          <w:tcPr>
            <w:tcW w:w="1080" w:type="dxa"/>
            <w:tcBorders>
              <w:top w:val="single" w:sz="4" w:space="0" w:color="auto"/>
              <w:bottom w:val="single" w:sz="4" w:space="0" w:color="auto"/>
            </w:tcBorders>
            <w:shd w:val="clear" w:color="auto" w:fill="auto"/>
            <w:vAlign w:val="bottom"/>
          </w:tcPr>
          <w:p w14:paraId="6BF886AC" w14:textId="77777777" w:rsidR="006556B3" w:rsidRPr="006C5FE3" w:rsidRDefault="006556B3" w:rsidP="006C5FE3">
            <w:pPr>
              <w:keepNext/>
              <w:spacing w:after="0" w:line="240" w:lineRule="auto"/>
              <w:jc w:val="center"/>
              <w:rPr>
                <w:rFonts w:ascii="Verdana" w:eastAsia="Times New Roman" w:hAnsi="Verdana" w:cs="Calibri"/>
                <w:sz w:val="17"/>
                <w:szCs w:val="17"/>
              </w:rPr>
            </w:pPr>
            <w:r w:rsidRPr="006C5FE3">
              <w:rPr>
                <w:rFonts w:ascii="Verdana" w:eastAsia="Times New Roman" w:hAnsi="Verdana" w:cs="Calibri"/>
                <w:sz w:val="17"/>
                <w:szCs w:val="17"/>
              </w:rPr>
              <w:t>Weighted Cost</w:t>
            </w:r>
          </w:p>
        </w:tc>
      </w:tr>
      <w:tr w:rsidR="006556B3" w:rsidRPr="00F96F1B" w14:paraId="6812E798" w14:textId="77777777" w:rsidTr="006C5FE3">
        <w:trPr>
          <w:trHeight w:val="293"/>
        </w:trPr>
        <w:tc>
          <w:tcPr>
            <w:tcW w:w="1170" w:type="dxa"/>
            <w:tcBorders>
              <w:top w:val="single" w:sz="4" w:space="0" w:color="auto"/>
            </w:tcBorders>
            <w:shd w:val="clear" w:color="auto" w:fill="auto"/>
            <w:noWrap/>
            <w:vAlign w:val="bottom"/>
            <w:hideMark/>
          </w:tcPr>
          <w:p w14:paraId="7182DA35" w14:textId="77777777" w:rsidR="006556B3" w:rsidRPr="006C5FE3" w:rsidRDefault="006556B3" w:rsidP="006C5FE3">
            <w:pPr>
              <w:keepNext/>
              <w:spacing w:before="60" w:after="60" w:line="240" w:lineRule="auto"/>
              <w:rPr>
                <w:rFonts w:ascii="Verdana" w:eastAsia="Times New Roman" w:hAnsi="Verdana" w:cs="Calibri"/>
                <w:sz w:val="17"/>
                <w:szCs w:val="17"/>
              </w:rPr>
            </w:pPr>
            <w:r w:rsidRPr="006C5FE3">
              <w:rPr>
                <w:rFonts w:ascii="Verdana" w:eastAsia="Times New Roman" w:hAnsi="Verdana" w:cs="Calibri"/>
                <w:sz w:val="17"/>
                <w:szCs w:val="17"/>
              </w:rPr>
              <w:t>Long-Term Debt</w:t>
            </w:r>
            <w:r w:rsidRPr="006C5FE3">
              <w:rPr>
                <w:rFonts w:ascii="Verdana" w:hAnsi="Verdana"/>
                <w:sz w:val="17"/>
                <w:szCs w:val="17"/>
                <w:vertAlign w:val="superscript"/>
              </w:rPr>
              <w:t>[1]</w:t>
            </w:r>
          </w:p>
        </w:tc>
        <w:tc>
          <w:tcPr>
            <w:tcW w:w="1080" w:type="dxa"/>
            <w:tcBorders>
              <w:top w:val="single" w:sz="4" w:space="0" w:color="auto"/>
            </w:tcBorders>
            <w:shd w:val="clear" w:color="auto" w:fill="auto"/>
            <w:noWrap/>
            <w:vAlign w:val="bottom"/>
            <w:hideMark/>
          </w:tcPr>
          <w:p w14:paraId="43FA0C01"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49.16%</w:t>
            </w:r>
          </w:p>
        </w:tc>
        <w:tc>
          <w:tcPr>
            <w:tcW w:w="810" w:type="dxa"/>
            <w:tcBorders>
              <w:top w:val="single" w:sz="4" w:space="0" w:color="auto"/>
            </w:tcBorders>
            <w:shd w:val="clear" w:color="auto" w:fill="auto"/>
            <w:noWrap/>
            <w:vAlign w:val="bottom"/>
            <w:hideMark/>
          </w:tcPr>
          <w:p w14:paraId="6AAB59CD" w14:textId="77777777" w:rsidR="006556B3" w:rsidRPr="006C5FE3" w:rsidRDefault="006556B3" w:rsidP="006C5FE3">
            <w:pPr>
              <w:keepNext/>
              <w:tabs>
                <w:tab w:val="decimal" w:pos="162"/>
              </w:tabs>
              <w:spacing w:before="60" w:after="60" w:line="240" w:lineRule="auto"/>
              <w:ind w:left="-46"/>
              <w:rPr>
                <w:rFonts w:ascii="Verdana" w:eastAsia="Times New Roman" w:hAnsi="Verdana" w:cs="Calibri"/>
                <w:sz w:val="17"/>
                <w:szCs w:val="17"/>
              </w:rPr>
            </w:pPr>
            <w:r w:rsidRPr="006C5FE3">
              <w:rPr>
                <w:rFonts w:ascii="Verdana" w:eastAsia="Times New Roman" w:hAnsi="Verdana" w:cs="Times New Roman"/>
                <w:sz w:val="17"/>
                <w:szCs w:val="17"/>
              </w:rPr>
              <w:t>4.35%</w:t>
            </w:r>
          </w:p>
        </w:tc>
        <w:tc>
          <w:tcPr>
            <w:tcW w:w="1080" w:type="dxa"/>
            <w:tcBorders>
              <w:top w:val="single" w:sz="4" w:space="0" w:color="auto"/>
              <w:right w:val="double" w:sz="4" w:space="0" w:color="auto"/>
            </w:tcBorders>
            <w:shd w:val="clear" w:color="auto" w:fill="auto"/>
            <w:noWrap/>
            <w:vAlign w:val="bottom"/>
            <w:hideMark/>
          </w:tcPr>
          <w:p w14:paraId="4AA10CB3"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2.14%</w:t>
            </w:r>
          </w:p>
        </w:tc>
        <w:tc>
          <w:tcPr>
            <w:tcW w:w="1170" w:type="dxa"/>
            <w:tcBorders>
              <w:top w:val="single" w:sz="4" w:space="0" w:color="auto"/>
              <w:left w:val="double" w:sz="4" w:space="0" w:color="auto"/>
            </w:tcBorders>
            <w:shd w:val="clear" w:color="auto" w:fill="auto"/>
            <w:vAlign w:val="bottom"/>
          </w:tcPr>
          <w:p w14:paraId="1F711934"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45.00%</w:t>
            </w:r>
          </w:p>
        </w:tc>
        <w:tc>
          <w:tcPr>
            <w:tcW w:w="810" w:type="dxa"/>
            <w:tcBorders>
              <w:top w:val="single" w:sz="4" w:space="0" w:color="auto"/>
            </w:tcBorders>
            <w:shd w:val="clear" w:color="auto" w:fill="auto"/>
            <w:vAlign w:val="bottom"/>
          </w:tcPr>
          <w:p w14:paraId="50E0A220"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3.98%</w:t>
            </w:r>
          </w:p>
        </w:tc>
        <w:tc>
          <w:tcPr>
            <w:tcW w:w="1080" w:type="dxa"/>
            <w:tcBorders>
              <w:top w:val="single" w:sz="4" w:space="0" w:color="auto"/>
              <w:right w:val="double" w:sz="4" w:space="0" w:color="auto"/>
            </w:tcBorders>
            <w:shd w:val="clear" w:color="auto" w:fill="auto"/>
            <w:vAlign w:val="bottom"/>
          </w:tcPr>
          <w:p w14:paraId="54B89558"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1.79%</w:t>
            </w:r>
          </w:p>
        </w:tc>
        <w:tc>
          <w:tcPr>
            <w:tcW w:w="1170" w:type="dxa"/>
            <w:tcBorders>
              <w:top w:val="single" w:sz="4" w:space="0" w:color="auto"/>
              <w:left w:val="double" w:sz="4" w:space="0" w:color="auto"/>
            </w:tcBorders>
            <w:shd w:val="clear" w:color="auto" w:fill="auto"/>
            <w:vAlign w:val="bottom"/>
          </w:tcPr>
          <w:p w14:paraId="48462424"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43.92%</w:t>
            </w:r>
          </w:p>
        </w:tc>
        <w:tc>
          <w:tcPr>
            <w:tcW w:w="810" w:type="dxa"/>
            <w:tcBorders>
              <w:top w:val="single" w:sz="4" w:space="0" w:color="auto"/>
            </w:tcBorders>
            <w:shd w:val="clear" w:color="auto" w:fill="auto"/>
            <w:vAlign w:val="bottom"/>
          </w:tcPr>
          <w:p w14:paraId="45E54462" w14:textId="77777777" w:rsidR="006556B3" w:rsidRPr="006C5FE3" w:rsidRDefault="006556B3" w:rsidP="006C5FE3">
            <w:pPr>
              <w:keepNext/>
              <w:tabs>
                <w:tab w:val="decimal" w:pos="40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4.14%</w:t>
            </w:r>
          </w:p>
        </w:tc>
        <w:tc>
          <w:tcPr>
            <w:tcW w:w="1080" w:type="dxa"/>
            <w:tcBorders>
              <w:top w:val="single" w:sz="4" w:space="0" w:color="auto"/>
            </w:tcBorders>
            <w:shd w:val="clear" w:color="auto" w:fill="auto"/>
            <w:vAlign w:val="bottom"/>
          </w:tcPr>
          <w:p w14:paraId="077D2C23"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1.82%</w:t>
            </w:r>
          </w:p>
        </w:tc>
      </w:tr>
      <w:tr w:rsidR="006556B3" w:rsidRPr="00F96F1B" w14:paraId="7AE9DF83" w14:textId="77777777" w:rsidTr="006C5FE3">
        <w:trPr>
          <w:trHeight w:val="285"/>
        </w:trPr>
        <w:tc>
          <w:tcPr>
            <w:tcW w:w="1170" w:type="dxa"/>
            <w:tcBorders>
              <w:bottom w:val="single" w:sz="4" w:space="0" w:color="auto"/>
            </w:tcBorders>
            <w:shd w:val="clear" w:color="auto" w:fill="auto"/>
            <w:noWrap/>
            <w:vAlign w:val="bottom"/>
            <w:hideMark/>
          </w:tcPr>
          <w:p w14:paraId="384BAADB" w14:textId="77777777" w:rsidR="006556B3" w:rsidRPr="006C5FE3" w:rsidRDefault="006556B3" w:rsidP="006C5FE3">
            <w:pPr>
              <w:keepNext/>
              <w:spacing w:before="60" w:after="60" w:line="240" w:lineRule="auto"/>
              <w:rPr>
                <w:rFonts w:ascii="Verdana" w:eastAsia="Times New Roman" w:hAnsi="Verdana" w:cs="Calibri"/>
                <w:sz w:val="17"/>
                <w:szCs w:val="17"/>
              </w:rPr>
            </w:pPr>
            <w:r w:rsidRPr="006C5FE3">
              <w:rPr>
                <w:rFonts w:ascii="Verdana" w:eastAsia="Times New Roman" w:hAnsi="Verdana" w:cs="Calibri"/>
                <w:sz w:val="17"/>
                <w:szCs w:val="17"/>
              </w:rPr>
              <w:t>Common Equity</w:t>
            </w:r>
          </w:p>
        </w:tc>
        <w:tc>
          <w:tcPr>
            <w:tcW w:w="1080" w:type="dxa"/>
            <w:tcBorders>
              <w:bottom w:val="single" w:sz="4" w:space="0" w:color="auto"/>
            </w:tcBorders>
            <w:shd w:val="clear" w:color="auto" w:fill="auto"/>
            <w:noWrap/>
            <w:vAlign w:val="bottom"/>
            <w:hideMark/>
          </w:tcPr>
          <w:p w14:paraId="49E657F8"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50.84</w:t>
            </w:r>
          </w:p>
        </w:tc>
        <w:tc>
          <w:tcPr>
            <w:tcW w:w="810" w:type="dxa"/>
            <w:tcBorders>
              <w:bottom w:val="single" w:sz="4" w:space="0" w:color="auto"/>
            </w:tcBorders>
            <w:shd w:val="clear" w:color="auto" w:fill="auto"/>
            <w:noWrap/>
            <w:vAlign w:val="bottom"/>
            <w:hideMark/>
          </w:tcPr>
          <w:p w14:paraId="24C998B7" w14:textId="77777777" w:rsidR="006556B3" w:rsidRPr="006C5FE3" w:rsidRDefault="006556B3" w:rsidP="006C5FE3">
            <w:pPr>
              <w:keepNext/>
              <w:tabs>
                <w:tab w:val="decimal" w:pos="252"/>
              </w:tabs>
              <w:spacing w:before="60" w:after="60" w:line="240" w:lineRule="auto"/>
              <w:rPr>
                <w:rFonts w:ascii="Verdana" w:eastAsia="Times New Roman" w:hAnsi="Verdana" w:cs="Times New Roman"/>
                <w:sz w:val="17"/>
                <w:szCs w:val="17"/>
              </w:rPr>
            </w:pPr>
            <w:r w:rsidRPr="006C5FE3">
              <w:rPr>
                <w:rFonts w:ascii="Verdana" w:eastAsia="Times New Roman" w:hAnsi="Verdana" w:cs="Times New Roman"/>
                <w:sz w:val="17"/>
                <w:szCs w:val="17"/>
              </w:rPr>
              <w:t>10.95</w:t>
            </w:r>
          </w:p>
        </w:tc>
        <w:tc>
          <w:tcPr>
            <w:tcW w:w="1080" w:type="dxa"/>
            <w:tcBorders>
              <w:bottom w:val="single" w:sz="4" w:space="0" w:color="auto"/>
              <w:right w:val="double" w:sz="4" w:space="0" w:color="auto"/>
            </w:tcBorders>
            <w:shd w:val="clear" w:color="auto" w:fill="auto"/>
            <w:noWrap/>
            <w:vAlign w:val="bottom"/>
            <w:hideMark/>
          </w:tcPr>
          <w:p w14:paraId="64F4733A"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5.57</w:t>
            </w:r>
          </w:p>
        </w:tc>
        <w:tc>
          <w:tcPr>
            <w:tcW w:w="1170" w:type="dxa"/>
            <w:tcBorders>
              <w:left w:val="double" w:sz="4" w:space="0" w:color="auto"/>
              <w:bottom w:val="single" w:sz="4" w:space="0" w:color="auto"/>
            </w:tcBorders>
            <w:shd w:val="clear" w:color="auto" w:fill="auto"/>
            <w:vAlign w:val="bottom"/>
          </w:tcPr>
          <w:p w14:paraId="10F5749B"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55.00</w:t>
            </w:r>
          </w:p>
        </w:tc>
        <w:tc>
          <w:tcPr>
            <w:tcW w:w="810" w:type="dxa"/>
            <w:tcBorders>
              <w:bottom w:val="single" w:sz="4" w:space="0" w:color="auto"/>
            </w:tcBorders>
            <w:shd w:val="clear" w:color="auto" w:fill="auto"/>
            <w:vAlign w:val="bottom"/>
          </w:tcPr>
          <w:p w14:paraId="33870D71" w14:textId="77777777" w:rsidR="006556B3" w:rsidRPr="006C5FE3" w:rsidRDefault="006556B3" w:rsidP="006C5FE3">
            <w:pPr>
              <w:keepNext/>
              <w:tabs>
                <w:tab w:val="decimal" w:pos="25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12.00</w:t>
            </w:r>
          </w:p>
        </w:tc>
        <w:tc>
          <w:tcPr>
            <w:tcW w:w="1080" w:type="dxa"/>
            <w:tcBorders>
              <w:bottom w:val="single" w:sz="4" w:space="0" w:color="auto"/>
              <w:right w:val="double" w:sz="4" w:space="0" w:color="auto"/>
            </w:tcBorders>
            <w:shd w:val="clear" w:color="auto" w:fill="auto"/>
            <w:vAlign w:val="bottom"/>
          </w:tcPr>
          <w:p w14:paraId="5F1B6531"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6.60</w:t>
            </w:r>
          </w:p>
        </w:tc>
        <w:tc>
          <w:tcPr>
            <w:tcW w:w="1170" w:type="dxa"/>
            <w:tcBorders>
              <w:left w:val="double" w:sz="4" w:space="0" w:color="auto"/>
              <w:bottom w:val="single" w:sz="4" w:space="0" w:color="auto"/>
            </w:tcBorders>
            <w:shd w:val="clear" w:color="auto" w:fill="auto"/>
            <w:vAlign w:val="bottom"/>
          </w:tcPr>
          <w:p w14:paraId="3905EB08" w14:textId="77777777" w:rsidR="006556B3" w:rsidRPr="006C5FE3" w:rsidRDefault="006556B3" w:rsidP="006C5FE3">
            <w:pPr>
              <w:keepNext/>
              <w:tabs>
                <w:tab w:val="decimal" w:pos="43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56.08</w:t>
            </w:r>
          </w:p>
        </w:tc>
        <w:tc>
          <w:tcPr>
            <w:tcW w:w="810" w:type="dxa"/>
            <w:tcBorders>
              <w:bottom w:val="single" w:sz="4" w:space="0" w:color="auto"/>
            </w:tcBorders>
            <w:shd w:val="clear" w:color="auto" w:fill="auto"/>
            <w:vAlign w:val="bottom"/>
          </w:tcPr>
          <w:p w14:paraId="331670C4" w14:textId="77777777" w:rsidR="006556B3" w:rsidRPr="006C5FE3" w:rsidRDefault="006556B3" w:rsidP="006C5FE3">
            <w:pPr>
              <w:keepNext/>
              <w:tabs>
                <w:tab w:val="decimal" w:pos="16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10.90</w:t>
            </w:r>
          </w:p>
        </w:tc>
        <w:tc>
          <w:tcPr>
            <w:tcW w:w="1080" w:type="dxa"/>
            <w:tcBorders>
              <w:bottom w:val="single" w:sz="4" w:space="0" w:color="auto"/>
            </w:tcBorders>
            <w:shd w:val="clear" w:color="auto" w:fill="auto"/>
            <w:vAlign w:val="bottom"/>
          </w:tcPr>
          <w:p w14:paraId="7EF0E764" w14:textId="77777777" w:rsidR="006556B3" w:rsidRPr="006C5FE3" w:rsidRDefault="006556B3" w:rsidP="006C5FE3">
            <w:pPr>
              <w:keepNext/>
              <w:tabs>
                <w:tab w:val="decimal" w:pos="342"/>
              </w:tabs>
              <w:spacing w:before="60" w:after="60" w:line="240" w:lineRule="auto"/>
              <w:rPr>
                <w:rFonts w:ascii="Verdana" w:eastAsia="Times New Roman" w:hAnsi="Verdana" w:cs="Calibri"/>
                <w:sz w:val="17"/>
                <w:szCs w:val="17"/>
              </w:rPr>
            </w:pPr>
            <w:r w:rsidRPr="006C5FE3">
              <w:rPr>
                <w:rFonts w:ascii="Verdana" w:eastAsia="Times New Roman" w:hAnsi="Verdana" w:cs="Times New Roman"/>
                <w:sz w:val="17"/>
                <w:szCs w:val="17"/>
              </w:rPr>
              <w:t>6.11</w:t>
            </w:r>
          </w:p>
        </w:tc>
      </w:tr>
      <w:tr w:rsidR="006556B3" w:rsidRPr="00F96F1B" w14:paraId="0DB10596" w14:textId="77777777" w:rsidTr="006C5FE3">
        <w:trPr>
          <w:trHeight w:val="293"/>
        </w:trPr>
        <w:tc>
          <w:tcPr>
            <w:tcW w:w="1170" w:type="dxa"/>
            <w:tcBorders>
              <w:top w:val="single" w:sz="4" w:space="0" w:color="auto"/>
              <w:bottom w:val="single" w:sz="12" w:space="0" w:color="auto"/>
            </w:tcBorders>
            <w:shd w:val="clear" w:color="auto" w:fill="auto"/>
            <w:noWrap/>
            <w:vAlign w:val="bottom"/>
            <w:hideMark/>
          </w:tcPr>
          <w:p w14:paraId="79308BEA" w14:textId="77777777" w:rsidR="006556B3" w:rsidRPr="006C5FE3" w:rsidRDefault="006556B3" w:rsidP="006C5FE3">
            <w:pPr>
              <w:keepNext/>
              <w:spacing w:before="60" w:after="60" w:line="240" w:lineRule="auto"/>
              <w:rPr>
                <w:rFonts w:ascii="Verdana" w:eastAsia="Times New Roman" w:hAnsi="Verdana" w:cs="Calibri"/>
                <w:b/>
                <w:bCs/>
                <w:sz w:val="17"/>
                <w:szCs w:val="17"/>
              </w:rPr>
            </w:pPr>
            <w:r w:rsidRPr="006C5FE3">
              <w:rPr>
                <w:rFonts w:ascii="Verdana" w:eastAsia="Times New Roman" w:hAnsi="Verdana" w:cs="Calibri"/>
                <w:b/>
                <w:bCs/>
                <w:sz w:val="17"/>
                <w:szCs w:val="17"/>
              </w:rPr>
              <w:t xml:space="preserve">Total </w:t>
            </w:r>
          </w:p>
        </w:tc>
        <w:tc>
          <w:tcPr>
            <w:tcW w:w="1080" w:type="dxa"/>
            <w:tcBorders>
              <w:top w:val="single" w:sz="4" w:space="0" w:color="auto"/>
              <w:bottom w:val="single" w:sz="12" w:space="0" w:color="auto"/>
            </w:tcBorders>
            <w:shd w:val="clear" w:color="auto" w:fill="auto"/>
            <w:noWrap/>
            <w:vAlign w:val="bottom"/>
            <w:hideMark/>
          </w:tcPr>
          <w:p w14:paraId="56747C6E" w14:textId="77777777" w:rsidR="006556B3" w:rsidRPr="006C5FE3" w:rsidRDefault="006556B3" w:rsidP="006C5FE3">
            <w:pPr>
              <w:keepNext/>
              <w:tabs>
                <w:tab w:val="decimal" w:pos="774"/>
              </w:tabs>
              <w:spacing w:before="60" w:after="60" w:line="240" w:lineRule="auto"/>
              <w:ind w:left="-46"/>
              <w:rPr>
                <w:rFonts w:ascii="Verdana" w:eastAsia="Times New Roman" w:hAnsi="Verdana" w:cs="Calibri"/>
                <w:b/>
                <w:bCs/>
                <w:sz w:val="17"/>
                <w:szCs w:val="17"/>
              </w:rPr>
            </w:pPr>
            <w:r w:rsidRPr="006C5FE3">
              <w:rPr>
                <w:rFonts w:ascii="Verdana" w:eastAsia="Times New Roman" w:hAnsi="Verdana" w:cs="Times New Roman"/>
                <w:b/>
                <w:bCs/>
                <w:sz w:val="17"/>
                <w:szCs w:val="17"/>
              </w:rPr>
              <w:t>100.00%</w:t>
            </w:r>
          </w:p>
        </w:tc>
        <w:tc>
          <w:tcPr>
            <w:tcW w:w="810" w:type="dxa"/>
            <w:tcBorders>
              <w:top w:val="single" w:sz="4" w:space="0" w:color="auto"/>
              <w:bottom w:val="single" w:sz="12" w:space="0" w:color="auto"/>
            </w:tcBorders>
            <w:shd w:val="clear" w:color="auto" w:fill="auto"/>
            <w:noWrap/>
            <w:vAlign w:val="bottom"/>
            <w:hideMark/>
          </w:tcPr>
          <w:p w14:paraId="4DD65B81"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 </w:t>
            </w:r>
          </w:p>
        </w:tc>
        <w:tc>
          <w:tcPr>
            <w:tcW w:w="1080" w:type="dxa"/>
            <w:tcBorders>
              <w:top w:val="single" w:sz="4" w:space="0" w:color="auto"/>
              <w:bottom w:val="single" w:sz="12" w:space="0" w:color="auto"/>
              <w:right w:val="double" w:sz="4" w:space="0" w:color="auto"/>
            </w:tcBorders>
            <w:shd w:val="clear" w:color="auto" w:fill="auto"/>
            <w:noWrap/>
            <w:vAlign w:val="bottom"/>
            <w:hideMark/>
          </w:tcPr>
          <w:p w14:paraId="33815202"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7.71%</w:t>
            </w:r>
          </w:p>
        </w:tc>
        <w:tc>
          <w:tcPr>
            <w:tcW w:w="1170" w:type="dxa"/>
            <w:tcBorders>
              <w:top w:val="single" w:sz="4" w:space="0" w:color="auto"/>
              <w:left w:val="double" w:sz="4" w:space="0" w:color="auto"/>
              <w:bottom w:val="single" w:sz="12" w:space="0" w:color="auto"/>
            </w:tcBorders>
            <w:shd w:val="clear" w:color="auto" w:fill="auto"/>
            <w:vAlign w:val="bottom"/>
          </w:tcPr>
          <w:p w14:paraId="0333F105" w14:textId="77777777" w:rsidR="006556B3" w:rsidRPr="006C5FE3" w:rsidRDefault="006556B3" w:rsidP="006C5FE3">
            <w:pPr>
              <w:keepNext/>
              <w:tabs>
                <w:tab w:val="decimal" w:pos="43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100.00%</w:t>
            </w:r>
          </w:p>
        </w:tc>
        <w:tc>
          <w:tcPr>
            <w:tcW w:w="810" w:type="dxa"/>
            <w:tcBorders>
              <w:top w:val="single" w:sz="4" w:space="0" w:color="auto"/>
              <w:bottom w:val="single" w:sz="12" w:space="0" w:color="auto"/>
            </w:tcBorders>
            <w:shd w:val="clear" w:color="auto" w:fill="auto"/>
            <w:vAlign w:val="bottom"/>
          </w:tcPr>
          <w:p w14:paraId="7AB1FB92"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 </w:t>
            </w:r>
          </w:p>
        </w:tc>
        <w:tc>
          <w:tcPr>
            <w:tcW w:w="1080" w:type="dxa"/>
            <w:tcBorders>
              <w:top w:val="single" w:sz="4" w:space="0" w:color="auto"/>
              <w:bottom w:val="single" w:sz="12" w:space="0" w:color="auto"/>
              <w:right w:val="double" w:sz="4" w:space="0" w:color="auto"/>
            </w:tcBorders>
            <w:shd w:val="clear" w:color="auto" w:fill="auto"/>
            <w:vAlign w:val="bottom"/>
          </w:tcPr>
          <w:p w14:paraId="190CF712"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8.39%</w:t>
            </w:r>
          </w:p>
        </w:tc>
        <w:tc>
          <w:tcPr>
            <w:tcW w:w="1170" w:type="dxa"/>
            <w:tcBorders>
              <w:top w:val="single" w:sz="4" w:space="0" w:color="auto"/>
              <w:left w:val="double" w:sz="4" w:space="0" w:color="auto"/>
              <w:bottom w:val="single" w:sz="12" w:space="0" w:color="auto"/>
            </w:tcBorders>
            <w:shd w:val="clear" w:color="auto" w:fill="auto"/>
            <w:vAlign w:val="bottom"/>
          </w:tcPr>
          <w:p w14:paraId="216F2EA7" w14:textId="77777777" w:rsidR="006556B3" w:rsidRPr="006C5FE3" w:rsidRDefault="006556B3" w:rsidP="006C5FE3">
            <w:pPr>
              <w:keepNext/>
              <w:tabs>
                <w:tab w:val="decimal" w:pos="43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100.00%</w:t>
            </w:r>
          </w:p>
        </w:tc>
        <w:tc>
          <w:tcPr>
            <w:tcW w:w="810" w:type="dxa"/>
            <w:tcBorders>
              <w:top w:val="single" w:sz="4" w:space="0" w:color="auto"/>
              <w:bottom w:val="single" w:sz="12" w:space="0" w:color="auto"/>
            </w:tcBorders>
            <w:shd w:val="clear" w:color="auto" w:fill="auto"/>
            <w:vAlign w:val="bottom"/>
          </w:tcPr>
          <w:p w14:paraId="415D9097"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 </w:t>
            </w:r>
          </w:p>
        </w:tc>
        <w:tc>
          <w:tcPr>
            <w:tcW w:w="1080" w:type="dxa"/>
            <w:tcBorders>
              <w:top w:val="single" w:sz="4" w:space="0" w:color="auto"/>
              <w:bottom w:val="single" w:sz="12" w:space="0" w:color="auto"/>
            </w:tcBorders>
            <w:shd w:val="clear" w:color="auto" w:fill="auto"/>
            <w:vAlign w:val="bottom"/>
          </w:tcPr>
          <w:p w14:paraId="3D80B51E" w14:textId="77777777" w:rsidR="006556B3" w:rsidRPr="006C5FE3" w:rsidRDefault="006556B3" w:rsidP="006C5FE3">
            <w:pPr>
              <w:keepNext/>
              <w:tabs>
                <w:tab w:val="decimal" w:pos="402"/>
              </w:tabs>
              <w:spacing w:before="60" w:after="60" w:line="240" w:lineRule="auto"/>
              <w:rPr>
                <w:rFonts w:ascii="Verdana" w:eastAsia="Times New Roman" w:hAnsi="Verdana" w:cs="Calibri"/>
                <w:b/>
                <w:bCs/>
                <w:sz w:val="17"/>
                <w:szCs w:val="17"/>
              </w:rPr>
            </w:pPr>
            <w:r w:rsidRPr="006C5FE3">
              <w:rPr>
                <w:rFonts w:ascii="Verdana" w:eastAsia="Times New Roman" w:hAnsi="Verdana" w:cs="Times New Roman"/>
                <w:b/>
                <w:bCs/>
                <w:sz w:val="17"/>
                <w:szCs w:val="17"/>
              </w:rPr>
              <w:t>7.93%</w:t>
            </w:r>
          </w:p>
        </w:tc>
      </w:tr>
      <w:tr w:rsidR="006556B3" w:rsidRPr="00DB5977" w14:paraId="01394726" w14:textId="77777777" w:rsidTr="006C5FE3">
        <w:trPr>
          <w:trHeight w:val="83"/>
        </w:trPr>
        <w:tc>
          <w:tcPr>
            <w:tcW w:w="10260" w:type="dxa"/>
            <w:gridSpan w:val="10"/>
            <w:tcBorders>
              <w:top w:val="single" w:sz="12" w:space="0" w:color="auto"/>
            </w:tcBorders>
            <w:shd w:val="clear" w:color="auto" w:fill="auto"/>
            <w:noWrap/>
            <w:vAlign w:val="bottom"/>
            <w:hideMark/>
          </w:tcPr>
          <w:p w14:paraId="5B2FFC1F" w14:textId="77777777" w:rsidR="006556B3" w:rsidRPr="00053935" w:rsidRDefault="006556B3" w:rsidP="006C5FE3">
            <w:pPr>
              <w:keepNext/>
              <w:spacing w:after="0" w:line="240" w:lineRule="auto"/>
              <w:rPr>
                <w:rFonts w:ascii="Verdana" w:eastAsia="Times New Roman" w:hAnsi="Verdana" w:cs="Times New Roman"/>
                <w:iCs/>
                <w:sz w:val="16"/>
                <w:szCs w:val="16"/>
              </w:rPr>
            </w:pPr>
            <w:r w:rsidRPr="00053935">
              <w:rPr>
                <w:rFonts w:ascii="Verdana" w:eastAsia="Times New Roman" w:hAnsi="Verdana" w:cs="Times New Roman"/>
                <w:iCs/>
                <w:sz w:val="16"/>
                <w:szCs w:val="16"/>
              </w:rPr>
              <w:t>Note: Amounts may not add</w:t>
            </w:r>
            <w:r>
              <w:rPr>
                <w:rFonts w:ascii="Verdana" w:eastAsia="Times New Roman" w:hAnsi="Verdana" w:cs="Times New Roman"/>
                <w:iCs/>
                <w:sz w:val="16"/>
                <w:szCs w:val="16"/>
              </w:rPr>
              <w:t xml:space="preserve"> up </w:t>
            </w:r>
            <w:r w:rsidRPr="00053935">
              <w:rPr>
                <w:rFonts w:ascii="Verdana" w:eastAsia="Times New Roman" w:hAnsi="Verdana" w:cs="Times New Roman"/>
                <w:iCs/>
                <w:sz w:val="16"/>
                <w:szCs w:val="16"/>
              </w:rPr>
              <w:t>due to rounding.</w:t>
            </w:r>
          </w:p>
          <w:p w14:paraId="5AE806AE" w14:textId="77777777" w:rsidR="006556B3" w:rsidRDefault="006556B3" w:rsidP="006C5FE3">
            <w:pPr>
              <w:keepNext/>
              <w:spacing w:after="0" w:line="240" w:lineRule="auto"/>
              <w:rPr>
                <w:rFonts w:ascii="Verdana" w:eastAsia="Times New Roman" w:hAnsi="Verdana" w:cs="Times New Roman"/>
                <w:iCs/>
                <w:sz w:val="16"/>
                <w:szCs w:val="16"/>
              </w:rPr>
            </w:pPr>
            <w:r w:rsidRPr="00B7653C">
              <w:rPr>
                <w:rFonts w:ascii="Verdana" w:hAnsi="Verdana"/>
                <w:sz w:val="16"/>
                <w:szCs w:val="16"/>
                <w:vertAlign w:val="superscript"/>
              </w:rPr>
              <w:t>[1]</w:t>
            </w:r>
            <w:r w:rsidRPr="00B7653C">
              <w:rPr>
                <w:rFonts w:ascii="Verdana" w:hAnsi="Verdana"/>
                <w:sz w:val="16"/>
                <w:szCs w:val="16"/>
              </w:rPr>
              <w:t xml:space="preserve"> </w:t>
            </w:r>
            <w:r w:rsidRPr="00EB52CE">
              <w:rPr>
                <w:rFonts w:ascii="Verdana" w:eastAsia="Times New Roman" w:hAnsi="Verdana" w:cs="Times New Roman"/>
                <w:iCs/>
                <w:sz w:val="16"/>
                <w:szCs w:val="16"/>
              </w:rPr>
              <w:t xml:space="preserve">The Order Adopting the Settlement Agreement in the 2013 GRC did not specify the cost rate for long-term debt, preferred stock, and preference stock. Amounts shown </w:t>
            </w:r>
            <w:r>
              <w:rPr>
                <w:rFonts w:ascii="Verdana" w:eastAsia="Times New Roman" w:hAnsi="Verdana" w:cs="Times New Roman"/>
                <w:iCs/>
                <w:sz w:val="16"/>
                <w:szCs w:val="16"/>
              </w:rPr>
              <w:t xml:space="preserve">herein </w:t>
            </w:r>
            <w:r w:rsidRPr="00EB52CE">
              <w:rPr>
                <w:rFonts w:ascii="Verdana" w:eastAsia="Times New Roman" w:hAnsi="Verdana" w:cs="Times New Roman"/>
                <w:iCs/>
                <w:sz w:val="16"/>
                <w:szCs w:val="16"/>
              </w:rPr>
              <w:t>are illustrative for purposes of this comparison</w:t>
            </w:r>
            <w:r w:rsidR="00D64A75">
              <w:rPr>
                <w:rFonts w:ascii="Verdana" w:eastAsia="Times New Roman" w:hAnsi="Verdana" w:cs="Times New Roman"/>
                <w:iCs/>
                <w:sz w:val="16"/>
                <w:szCs w:val="16"/>
              </w:rPr>
              <w:t>,</w:t>
            </w:r>
            <w:r w:rsidRPr="00EB52CE">
              <w:rPr>
                <w:rFonts w:ascii="Verdana" w:eastAsia="Times New Roman" w:hAnsi="Verdana" w:cs="Times New Roman"/>
                <w:iCs/>
                <w:sz w:val="16"/>
                <w:szCs w:val="16"/>
              </w:rPr>
              <w:t xml:space="preserve"> and to obtain a total return on investment of 7.71 percent</w:t>
            </w:r>
            <w:r w:rsidR="00D64A75">
              <w:rPr>
                <w:rFonts w:ascii="Verdana" w:eastAsia="Times New Roman" w:hAnsi="Verdana" w:cs="Times New Roman"/>
                <w:iCs/>
                <w:sz w:val="16"/>
                <w:szCs w:val="16"/>
              </w:rPr>
              <w:t>,</w:t>
            </w:r>
            <w:r w:rsidRPr="00EB52CE">
              <w:rPr>
                <w:rFonts w:ascii="Verdana" w:eastAsia="Times New Roman" w:hAnsi="Verdana" w:cs="Times New Roman"/>
                <w:iCs/>
                <w:sz w:val="16"/>
                <w:szCs w:val="16"/>
              </w:rPr>
              <w:t xml:space="preserve"> as reflected in Numeral 2, page 1 of the Settlement Agreement. </w:t>
            </w:r>
          </w:p>
          <w:p w14:paraId="12551DC0" w14:textId="77777777" w:rsidR="006556B3" w:rsidRPr="00EB52CE" w:rsidRDefault="006556B3" w:rsidP="006C5FE3">
            <w:pPr>
              <w:keepNext/>
              <w:spacing w:after="0" w:line="240" w:lineRule="auto"/>
              <w:rPr>
                <w:rFonts w:ascii="Verdana" w:eastAsia="Times New Roman" w:hAnsi="Verdana" w:cs="Times New Roman"/>
                <w:iCs/>
                <w:sz w:val="16"/>
                <w:szCs w:val="16"/>
              </w:rPr>
            </w:pPr>
            <w:r w:rsidRPr="00B7653C">
              <w:rPr>
                <w:rFonts w:ascii="Verdana" w:hAnsi="Verdana"/>
                <w:sz w:val="16"/>
                <w:szCs w:val="16"/>
                <w:vertAlign w:val="superscript"/>
              </w:rPr>
              <w:t>[</w:t>
            </w:r>
            <w:r>
              <w:rPr>
                <w:rFonts w:ascii="Verdana" w:hAnsi="Verdana"/>
                <w:sz w:val="16"/>
                <w:szCs w:val="16"/>
                <w:vertAlign w:val="superscript"/>
              </w:rPr>
              <w:t>2</w:t>
            </w:r>
            <w:r w:rsidRPr="00B7653C">
              <w:rPr>
                <w:rFonts w:ascii="Verdana" w:hAnsi="Verdana"/>
                <w:sz w:val="16"/>
                <w:szCs w:val="16"/>
                <w:vertAlign w:val="superscript"/>
              </w:rPr>
              <w:t>]</w:t>
            </w:r>
            <w:r w:rsidRPr="00B7653C">
              <w:rPr>
                <w:rFonts w:ascii="Verdana" w:hAnsi="Verdana"/>
                <w:sz w:val="16"/>
                <w:szCs w:val="16"/>
              </w:rPr>
              <w:t xml:space="preserve"> </w:t>
            </w:r>
            <w:r w:rsidRPr="00EB52CE">
              <w:rPr>
                <w:rFonts w:ascii="Verdana" w:eastAsia="Times New Roman" w:hAnsi="Verdana" w:cs="Times New Roman"/>
                <w:iCs/>
                <w:sz w:val="16"/>
                <w:szCs w:val="16"/>
              </w:rPr>
              <w:t>Section 1, page 1 of the 2018 ASR.</w:t>
            </w:r>
          </w:p>
          <w:p w14:paraId="66630EBD" w14:textId="77777777" w:rsidR="006556B3" w:rsidRPr="00DB5977" w:rsidRDefault="006556B3" w:rsidP="006C5FE3">
            <w:pPr>
              <w:keepNext/>
              <w:spacing w:after="0" w:line="240" w:lineRule="auto"/>
              <w:rPr>
                <w:rFonts w:ascii="Verdana" w:eastAsia="Times New Roman" w:hAnsi="Verdana" w:cs="Times New Roman"/>
                <w:i/>
                <w:iCs/>
                <w:sz w:val="16"/>
                <w:szCs w:val="16"/>
              </w:rPr>
            </w:pPr>
            <w:r>
              <w:rPr>
                <w:rFonts w:ascii="Verdana" w:hAnsi="Verdana"/>
                <w:sz w:val="16"/>
                <w:szCs w:val="16"/>
                <w:vertAlign w:val="superscript"/>
              </w:rPr>
              <w:t>[3</w:t>
            </w:r>
            <w:r w:rsidRPr="00B7653C">
              <w:rPr>
                <w:rFonts w:ascii="Verdana" w:hAnsi="Verdana"/>
                <w:sz w:val="16"/>
                <w:szCs w:val="16"/>
                <w:vertAlign w:val="superscript"/>
              </w:rPr>
              <w:t>]</w:t>
            </w:r>
            <w:r w:rsidRPr="00B7653C">
              <w:rPr>
                <w:rFonts w:ascii="Verdana" w:hAnsi="Verdana"/>
                <w:sz w:val="16"/>
                <w:szCs w:val="16"/>
              </w:rPr>
              <w:t xml:space="preserve"> </w:t>
            </w:r>
            <w:r w:rsidRPr="00EB52CE">
              <w:rPr>
                <w:rFonts w:ascii="Verdana" w:eastAsia="Times New Roman" w:hAnsi="Verdana" w:cs="Times New Roman"/>
                <w:iCs/>
                <w:sz w:val="16"/>
                <w:szCs w:val="16"/>
              </w:rPr>
              <w:t xml:space="preserve">DPP/SPA/MBR-3, Schedule 1, </w:t>
            </w:r>
            <w:proofErr w:type="spellStart"/>
            <w:r w:rsidRPr="00EB52CE">
              <w:rPr>
                <w:rFonts w:ascii="Verdana" w:eastAsia="Times New Roman" w:hAnsi="Verdana" w:cs="Times New Roman"/>
                <w:iCs/>
                <w:sz w:val="16"/>
                <w:szCs w:val="16"/>
              </w:rPr>
              <w:t>Workpaper</w:t>
            </w:r>
            <w:proofErr w:type="spellEnd"/>
            <w:r w:rsidRPr="00EB52CE">
              <w:rPr>
                <w:rFonts w:ascii="Verdana" w:eastAsia="Times New Roman" w:hAnsi="Verdana" w:cs="Times New Roman"/>
                <w:iCs/>
                <w:sz w:val="16"/>
                <w:szCs w:val="16"/>
              </w:rPr>
              <w:t xml:space="preserve"> 1.</w:t>
            </w:r>
          </w:p>
        </w:tc>
      </w:tr>
    </w:tbl>
    <w:p w14:paraId="0D6B3228" w14:textId="77777777" w:rsidR="006556B3" w:rsidRPr="006556B3" w:rsidRDefault="006556B3" w:rsidP="00326A4E">
      <w:pPr>
        <w:pStyle w:val="DirectNext"/>
        <w:suppressLineNumbers/>
      </w:pPr>
    </w:p>
    <w:p w14:paraId="646FE898" w14:textId="430831E1" w:rsidR="00B51541" w:rsidRPr="00DB5977" w:rsidRDefault="00B51541" w:rsidP="00486739">
      <w:pPr>
        <w:pStyle w:val="DirectQuestion"/>
      </w:pPr>
      <w:r w:rsidRPr="00DB5977">
        <w:t xml:space="preserve">What capital structure </w:t>
      </w:r>
      <w:r w:rsidR="00AE2F88">
        <w:t xml:space="preserve">is </w:t>
      </w:r>
      <w:r w:rsidRPr="00DB5977">
        <w:t xml:space="preserve">the COMPANY REQUESTING in this proceeding? </w:t>
      </w:r>
    </w:p>
    <w:p w14:paraId="343B002D" w14:textId="716FBB88" w:rsidR="008151A2" w:rsidRPr="00DB5977" w:rsidRDefault="00B51541" w:rsidP="00486739">
      <w:pPr>
        <w:pStyle w:val="DirectAnswer"/>
        <w:jc w:val="both"/>
        <w:rPr>
          <w:rFonts w:ascii="Verdana" w:hAnsi="Verdana"/>
          <w:sz w:val="20"/>
          <w:szCs w:val="20"/>
        </w:rPr>
      </w:pPr>
      <w:r w:rsidRPr="00DB5977">
        <w:rPr>
          <w:rFonts w:ascii="Verdana" w:hAnsi="Verdana"/>
          <w:sz w:val="20"/>
          <w:szCs w:val="20"/>
        </w:rPr>
        <w:t xml:space="preserve">The </w:t>
      </w:r>
      <w:r w:rsidR="003023A2" w:rsidRPr="00DB5977">
        <w:rPr>
          <w:rFonts w:ascii="Verdana" w:hAnsi="Verdana"/>
          <w:sz w:val="20"/>
          <w:szCs w:val="20"/>
        </w:rPr>
        <w:t>C</w:t>
      </w:r>
      <w:r w:rsidRPr="00DB5977">
        <w:rPr>
          <w:rFonts w:ascii="Verdana" w:hAnsi="Verdana"/>
          <w:sz w:val="20"/>
          <w:szCs w:val="20"/>
        </w:rPr>
        <w:t>ompany is requesting a capital structure level of 43.92 debt and 56.08</w:t>
      </w:r>
      <w:r w:rsidR="00C75269">
        <w:rPr>
          <w:rFonts w:ascii="Verdana" w:hAnsi="Verdana"/>
          <w:sz w:val="20"/>
          <w:szCs w:val="20"/>
        </w:rPr>
        <w:t> </w:t>
      </w:r>
      <w:r w:rsidRPr="00DB5977">
        <w:rPr>
          <w:rFonts w:ascii="Verdana" w:hAnsi="Verdana"/>
          <w:sz w:val="20"/>
          <w:szCs w:val="20"/>
        </w:rPr>
        <w:t>percent common equity</w:t>
      </w:r>
      <w:r w:rsidR="00282D34">
        <w:rPr>
          <w:rFonts w:ascii="Verdana" w:hAnsi="Verdana"/>
          <w:sz w:val="20"/>
          <w:szCs w:val="20"/>
        </w:rPr>
        <w:t>.</w:t>
      </w:r>
      <w:r w:rsidRPr="00DB5977">
        <w:rPr>
          <w:rFonts w:ascii="Verdana" w:hAnsi="Verdana"/>
          <w:sz w:val="20"/>
          <w:szCs w:val="20"/>
        </w:rPr>
        <w:t xml:space="preserve"> (</w:t>
      </w:r>
      <w:r w:rsidRPr="00DB5977">
        <w:rPr>
          <w:rFonts w:ascii="Verdana" w:hAnsi="Verdana"/>
          <w:i/>
          <w:iCs/>
          <w:sz w:val="20"/>
          <w:szCs w:val="20"/>
          <w:u w:val="single"/>
        </w:rPr>
        <w:t>See</w:t>
      </w:r>
      <w:r w:rsidRPr="00DB5977">
        <w:rPr>
          <w:rFonts w:ascii="Verdana" w:hAnsi="Verdana"/>
          <w:sz w:val="20"/>
          <w:szCs w:val="20"/>
        </w:rPr>
        <w:t xml:space="preserve"> Vander </w:t>
      </w:r>
      <w:proofErr w:type="spellStart"/>
      <w:r w:rsidRPr="00DB5977">
        <w:rPr>
          <w:rFonts w:ascii="Verdana" w:hAnsi="Verdana"/>
          <w:sz w:val="20"/>
          <w:szCs w:val="20"/>
        </w:rPr>
        <w:t>Weide</w:t>
      </w:r>
      <w:proofErr w:type="spellEnd"/>
      <w:r w:rsidRPr="00DB5977">
        <w:rPr>
          <w:rFonts w:ascii="Verdana" w:hAnsi="Verdana"/>
          <w:sz w:val="20"/>
          <w:szCs w:val="20"/>
        </w:rPr>
        <w:t xml:space="preserve"> Direct Testimony</w:t>
      </w:r>
      <w:r w:rsidR="007417C9">
        <w:rPr>
          <w:rFonts w:ascii="Verdana" w:hAnsi="Verdana"/>
          <w:sz w:val="20"/>
          <w:szCs w:val="20"/>
        </w:rPr>
        <w:t xml:space="preserve">, </w:t>
      </w:r>
      <w:r w:rsidRPr="00DB5977">
        <w:rPr>
          <w:rFonts w:ascii="Verdana" w:hAnsi="Verdana"/>
          <w:sz w:val="20"/>
          <w:szCs w:val="20"/>
        </w:rPr>
        <w:t>5</w:t>
      </w:r>
      <w:r w:rsidR="007417C9">
        <w:rPr>
          <w:rFonts w:ascii="Verdana" w:hAnsi="Verdana"/>
          <w:sz w:val="20"/>
          <w:szCs w:val="20"/>
        </w:rPr>
        <w:t>:</w:t>
      </w:r>
      <w:r w:rsidRPr="00DB5977">
        <w:rPr>
          <w:rFonts w:ascii="Verdana" w:hAnsi="Verdana"/>
          <w:sz w:val="20"/>
          <w:szCs w:val="20"/>
        </w:rPr>
        <w:t>15</w:t>
      </w:r>
      <w:r w:rsidR="00C75269">
        <w:rPr>
          <w:rFonts w:ascii="Verdana" w:hAnsi="Verdana"/>
          <w:sz w:val="20"/>
          <w:szCs w:val="20"/>
        </w:rPr>
        <w:t>-</w:t>
      </w:r>
      <w:r w:rsidRPr="00DB5977">
        <w:rPr>
          <w:rFonts w:ascii="Verdana" w:hAnsi="Verdana"/>
          <w:sz w:val="20"/>
          <w:szCs w:val="20"/>
        </w:rPr>
        <w:t>18.)</w:t>
      </w:r>
      <w:r w:rsidR="0025065A">
        <w:rPr>
          <w:rFonts w:ascii="Verdana" w:hAnsi="Verdana"/>
          <w:sz w:val="20"/>
          <w:szCs w:val="20"/>
        </w:rPr>
        <w:t xml:space="preserve"> </w:t>
      </w:r>
      <w:r w:rsidRPr="00DB5977">
        <w:rPr>
          <w:rFonts w:ascii="Verdana" w:hAnsi="Verdana"/>
          <w:sz w:val="20"/>
          <w:szCs w:val="20"/>
        </w:rPr>
        <w:t>This capital structure reflects the Company’s assumed capital structure for the test year ending July 31, 2020.</w:t>
      </w:r>
      <w:r w:rsidR="0025065A">
        <w:rPr>
          <w:rFonts w:ascii="Verdana" w:hAnsi="Verdana"/>
          <w:sz w:val="20"/>
          <w:szCs w:val="20"/>
        </w:rPr>
        <w:t xml:space="preserve"> </w:t>
      </w:r>
      <w:r w:rsidR="007E74E4" w:rsidRPr="00DB5977">
        <w:rPr>
          <w:rFonts w:ascii="Verdana" w:hAnsi="Verdana"/>
          <w:sz w:val="20"/>
          <w:szCs w:val="20"/>
        </w:rPr>
        <w:t xml:space="preserve">This capital structure has a higher proportion of common equity compared to the actual capital </w:t>
      </w:r>
      <w:r w:rsidR="007E74E4" w:rsidRPr="00DB5977">
        <w:rPr>
          <w:rFonts w:ascii="Verdana" w:hAnsi="Verdana"/>
          <w:sz w:val="20"/>
          <w:szCs w:val="20"/>
        </w:rPr>
        <w:lastRenderedPageBreak/>
        <w:t xml:space="preserve">structure reported in the 2018 ASR by the company for the </w:t>
      </w:r>
      <w:r w:rsidR="00616E49">
        <w:rPr>
          <w:rFonts w:ascii="Verdana" w:hAnsi="Verdana"/>
          <w:sz w:val="20"/>
          <w:szCs w:val="20"/>
        </w:rPr>
        <w:t>12-</w:t>
      </w:r>
      <w:r w:rsidR="007E74E4" w:rsidRPr="00DB5977">
        <w:rPr>
          <w:rFonts w:ascii="Verdana" w:hAnsi="Verdana"/>
          <w:sz w:val="20"/>
          <w:szCs w:val="20"/>
        </w:rPr>
        <w:t>month period ended December 31, 2018 of 55.26</w:t>
      </w:r>
      <w:r w:rsidR="00275DD8">
        <w:rPr>
          <w:rFonts w:ascii="Verdana" w:hAnsi="Verdana"/>
          <w:sz w:val="20"/>
          <w:szCs w:val="20"/>
        </w:rPr>
        <w:t> </w:t>
      </w:r>
      <w:r w:rsidR="00C75269">
        <w:rPr>
          <w:rFonts w:ascii="Verdana" w:hAnsi="Verdana"/>
          <w:sz w:val="20"/>
          <w:szCs w:val="20"/>
        </w:rPr>
        <w:t>percent</w:t>
      </w:r>
      <w:r w:rsidR="007E74E4" w:rsidRPr="00DB5977">
        <w:rPr>
          <w:rFonts w:ascii="Verdana" w:hAnsi="Verdana"/>
          <w:sz w:val="20"/>
          <w:szCs w:val="20"/>
        </w:rPr>
        <w:t xml:space="preserve"> common equity.</w:t>
      </w:r>
      <w:r w:rsidR="007E74E4" w:rsidRPr="00DB5977">
        <w:rPr>
          <w:rStyle w:val="FootnoteReference"/>
          <w:rFonts w:ascii="Verdana" w:hAnsi="Verdana"/>
          <w:sz w:val="20"/>
          <w:szCs w:val="20"/>
        </w:rPr>
        <w:footnoteReference w:id="7"/>
      </w:r>
      <w:r w:rsidR="007E74E4" w:rsidRPr="00DB5977">
        <w:rPr>
          <w:rFonts w:ascii="Verdana" w:hAnsi="Verdana"/>
          <w:sz w:val="20"/>
          <w:szCs w:val="20"/>
        </w:rPr>
        <w:t xml:space="preserve"> </w:t>
      </w:r>
    </w:p>
    <w:p w14:paraId="2F17F281" w14:textId="77777777" w:rsidR="00823379" w:rsidRPr="00DB5977" w:rsidRDefault="00823379" w:rsidP="00486739">
      <w:pPr>
        <w:pStyle w:val="DirectQuestion"/>
      </w:pPr>
      <w:r w:rsidRPr="00DB5977">
        <w:t xml:space="preserve">What do you recommend as the </w:t>
      </w:r>
      <w:r w:rsidR="00E52895" w:rsidRPr="00DB5977">
        <w:t>authorized</w:t>
      </w:r>
      <w:r w:rsidRPr="00DB5977">
        <w:t xml:space="preserve"> rate of return on rate base? </w:t>
      </w:r>
    </w:p>
    <w:p w14:paraId="44BEFE2D" w14:textId="510A3613" w:rsidR="00823379" w:rsidRDefault="00823379" w:rsidP="00486739">
      <w:pPr>
        <w:pStyle w:val="DirectAnswer"/>
        <w:jc w:val="both"/>
        <w:rPr>
          <w:rFonts w:ascii="Verdana" w:hAnsi="Verdana" w:cstheme="minorHAnsi"/>
          <w:sz w:val="20"/>
          <w:szCs w:val="20"/>
        </w:rPr>
      </w:pPr>
      <w:r w:rsidRPr="00DB5977">
        <w:rPr>
          <w:rFonts w:ascii="Verdana" w:hAnsi="Verdana" w:cstheme="minorHAnsi"/>
          <w:sz w:val="20"/>
          <w:szCs w:val="20"/>
        </w:rPr>
        <w:t xml:space="preserve">I </w:t>
      </w:r>
      <w:r w:rsidR="00175DE1">
        <w:rPr>
          <w:rFonts w:ascii="Verdana" w:hAnsi="Verdana" w:cstheme="minorHAnsi"/>
          <w:sz w:val="20"/>
          <w:szCs w:val="20"/>
        </w:rPr>
        <w:t xml:space="preserve">accept the Company’s proposed capital structure and </w:t>
      </w:r>
      <w:r w:rsidRPr="00DB5977">
        <w:rPr>
          <w:rFonts w:ascii="Verdana" w:hAnsi="Verdana" w:cstheme="minorHAnsi"/>
          <w:sz w:val="20"/>
          <w:szCs w:val="20"/>
        </w:rPr>
        <w:t xml:space="preserve">recommend an overall </w:t>
      </w:r>
      <w:r w:rsidR="00E52895" w:rsidRPr="00DB5977">
        <w:rPr>
          <w:rFonts w:ascii="Verdana" w:hAnsi="Verdana" w:cstheme="minorHAnsi"/>
          <w:sz w:val="20"/>
          <w:szCs w:val="20"/>
        </w:rPr>
        <w:t>authorized</w:t>
      </w:r>
      <w:r w:rsidRPr="00DB5977">
        <w:rPr>
          <w:rFonts w:ascii="Verdana" w:hAnsi="Verdana" w:cstheme="minorHAnsi"/>
          <w:sz w:val="20"/>
          <w:szCs w:val="20"/>
        </w:rPr>
        <w:t xml:space="preserve"> rate of return of </w:t>
      </w:r>
      <w:r w:rsidR="004A5CCD" w:rsidRPr="00DB5977">
        <w:rPr>
          <w:rFonts w:ascii="Verdana" w:hAnsi="Verdana" w:cstheme="minorHAnsi"/>
          <w:sz w:val="20"/>
          <w:szCs w:val="20"/>
        </w:rPr>
        <w:t>6.92</w:t>
      </w:r>
      <w:r w:rsidRPr="00DB5977">
        <w:rPr>
          <w:rFonts w:ascii="Verdana" w:hAnsi="Verdana" w:cstheme="minorHAnsi"/>
          <w:sz w:val="20"/>
          <w:szCs w:val="20"/>
        </w:rPr>
        <w:t xml:space="preserve"> percent, based on a</w:t>
      </w:r>
      <w:r w:rsidR="00302D30" w:rsidRPr="00DB5977">
        <w:rPr>
          <w:rFonts w:ascii="Verdana" w:hAnsi="Verdana" w:cstheme="minorHAnsi"/>
          <w:sz w:val="20"/>
          <w:szCs w:val="20"/>
        </w:rPr>
        <w:t>n</w:t>
      </w:r>
      <w:r w:rsidRPr="00DB5977">
        <w:rPr>
          <w:rFonts w:ascii="Verdana" w:hAnsi="Verdana" w:cstheme="minorHAnsi"/>
          <w:sz w:val="20"/>
          <w:szCs w:val="20"/>
        </w:rPr>
        <w:t xml:space="preserve"> ROE of </w:t>
      </w:r>
      <w:r w:rsidR="002A71FB" w:rsidRPr="00DB5977">
        <w:rPr>
          <w:rFonts w:ascii="Verdana" w:hAnsi="Verdana" w:cstheme="minorHAnsi"/>
          <w:sz w:val="20"/>
          <w:szCs w:val="20"/>
        </w:rPr>
        <w:t>9.</w:t>
      </w:r>
      <w:r w:rsidR="004A5CCD" w:rsidRPr="00DB5977">
        <w:rPr>
          <w:rFonts w:ascii="Verdana" w:hAnsi="Verdana" w:cstheme="minorHAnsi"/>
          <w:sz w:val="20"/>
          <w:szCs w:val="20"/>
        </w:rPr>
        <w:t>1</w:t>
      </w:r>
      <w:r w:rsidR="00302D30" w:rsidRPr="00DB5977">
        <w:rPr>
          <w:rFonts w:ascii="Verdana" w:hAnsi="Verdana" w:cstheme="minorHAnsi"/>
          <w:sz w:val="20"/>
          <w:szCs w:val="20"/>
        </w:rPr>
        <w:t> </w:t>
      </w:r>
      <w:r w:rsidRPr="00DB5977">
        <w:rPr>
          <w:rFonts w:ascii="Verdana" w:hAnsi="Verdana" w:cstheme="minorHAnsi"/>
          <w:sz w:val="20"/>
          <w:szCs w:val="20"/>
        </w:rPr>
        <w:t>percent, an embedded cost of long-term debt of 4.</w:t>
      </w:r>
      <w:r w:rsidR="00737DE2" w:rsidRPr="00DB5977">
        <w:rPr>
          <w:rFonts w:ascii="Verdana" w:hAnsi="Verdana" w:cstheme="minorHAnsi"/>
          <w:sz w:val="20"/>
          <w:szCs w:val="20"/>
        </w:rPr>
        <w:t>14</w:t>
      </w:r>
      <w:r w:rsidRPr="00DB5977">
        <w:rPr>
          <w:rFonts w:ascii="Verdana" w:hAnsi="Verdana" w:cstheme="minorHAnsi"/>
          <w:sz w:val="20"/>
          <w:szCs w:val="20"/>
        </w:rPr>
        <w:t xml:space="preserve"> percent, and a</w:t>
      </w:r>
      <w:r w:rsidR="00617411">
        <w:rPr>
          <w:rFonts w:ascii="Verdana" w:hAnsi="Verdana" w:cstheme="minorHAnsi"/>
          <w:sz w:val="20"/>
          <w:szCs w:val="20"/>
        </w:rPr>
        <w:t>n assumed</w:t>
      </w:r>
      <w:r w:rsidRPr="00DB5977">
        <w:rPr>
          <w:rFonts w:ascii="Verdana" w:hAnsi="Verdana" w:cstheme="minorHAnsi"/>
          <w:sz w:val="20"/>
          <w:szCs w:val="20"/>
        </w:rPr>
        <w:t xml:space="preserve"> capital structure comprised of </w:t>
      </w:r>
      <w:r w:rsidR="0051194D" w:rsidRPr="00DB5977">
        <w:rPr>
          <w:rFonts w:ascii="Verdana" w:hAnsi="Verdana" w:cstheme="minorHAnsi"/>
          <w:sz w:val="20"/>
          <w:szCs w:val="20"/>
        </w:rPr>
        <w:t>4</w:t>
      </w:r>
      <w:r w:rsidR="006E0E70" w:rsidRPr="00DB5977">
        <w:rPr>
          <w:rFonts w:ascii="Verdana" w:hAnsi="Verdana" w:cstheme="minorHAnsi"/>
          <w:sz w:val="20"/>
          <w:szCs w:val="20"/>
        </w:rPr>
        <w:t>3.92</w:t>
      </w:r>
      <w:r w:rsidRPr="00DB5977">
        <w:rPr>
          <w:rFonts w:ascii="Verdana" w:hAnsi="Verdana" w:cstheme="minorHAnsi"/>
          <w:sz w:val="20"/>
          <w:szCs w:val="20"/>
        </w:rPr>
        <w:t xml:space="preserve"> percent long-term debt and </w:t>
      </w:r>
      <w:r w:rsidR="00FD6B74" w:rsidRPr="00DB5977">
        <w:rPr>
          <w:rFonts w:ascii="Verdana" w:hAnsi="Verdana" w:cstheme="minorHAnsi"/>
          <w:sz w:val="20"/>
          <w:szCs w:val="20"/>
        </w:rPr>
        <w:t>5</w:t>
      </w:r>
      <w:r w:rsidR="006E0E70" w:rsidRPr="00DB5977">
        <w:rPr>
          <w:rFonts w:ascii="Verdana" w:hAnsi="Verdana" w:cstheme="minorHAnsi"/>
          <w:sz w:val="20"/>
          <w:szCs w:val="20"/>
        </w:rPr>
        <w:t>6.08</w:t>
      </w:r>
      <w:r w:rsidRPr="00DB5977">
        <w:rPr>
          <w:rFonts w:ascii="Verdana" w:hAnsi="Verdana" w:cstheme="minorHAnsi"/>
          <w:sz w:val="20"/>
          <w:szCs w:val="20"/>
        </w:rPr>
        <w:t xml:space="preserve"> percent </w:t>
      </w:r>
      <w:r w:rsidR="00D60741" w:rsidRPr="00DB5977">
        <w:rPr>
          <w:rFonts w:ascii="Verdana" w:hAnsi="Verdana" w:cstheme="minorHAnsi"/>
          <w:sz w:val="20"/>
          <w:szCs w:val="20"/>
        </w:rPr>
        <w:t xml:space="preserve">common </w:t>
      </w:r>
      <w:r w:rsidRPr="00DB5977">
        <w:rPr>
          <w:rFonts w:ascii="Verdana" w:hAnsi="Verdana" w:cstheme="minorHAnsi"/>
          <w:sz w:val="20"/>
          <w:szCs w:val="20"/>
        </w:rPr>
        <w:t>equity.</w:t>
      </w:r>
      <w:r w:rsidR="0025065A">
        <w:rPr>
          <w:rFonts w:ascii="Verdana" w:hAnsi="Verdana" w:cstheme="minorHAnsi"/>
          <w:sz w:val="20"/>
          <w:szCs w:val="20"/>
        </w:rPr>
        <w:t xml:space="preserve"> </w:t>
      </w:r>
      <w:r w:rsidRPr="00DB5977">
        <w:rPr>
          <w:rFonts w:ascii="Verdana" w:hAnsi="Verdana" w:cstheme="minorHAnsi"/>
          <w:sz w:val="20"/>
          <w:szCs w:val="20"/>
        </w:rPr>
        <w:t xml:space="preserve">My calculations and </w:t>
      </w:r>
      <w:r w:rsidR="000E4629" w:rsidRPr="00DB5977">
        <w:rPr>
          <w:rFonts w:ascii="Verdana" w:hAnsi="Verdana" w:cstheme="minorHAnsi"/>
          <w:sz w:val="20"/>
          <w:szCs w:val="20"/>
        </w:rPr>
        <w:t>recommendations</w:t>
      </w:r>
      <w:r w:rsidRPr="00DB5977">
        <w:rPr>
          <w:rFonts w:ascii="Verdana" w:hAnsi="Verdana" w:cstheme="minorHAnsi"/>
          <w:sz w:val="20"/>
          <w:szCs w:val="20"/>
        </w:rPr>
        <w:t xml:space="preserve"> are shown in </w:t>
      </w:r>
      <w:r w:rsidR="00E248B4">
        <w:rPr>
          <w:rFonts w:ascii="Verdana" w:hAnsi="Verdana" w:cstheme="minorHAnsi"/>
          <w:sz w:val="20"/>
          <w:szCs w:val="20"/>
        </w:rPr>
        <w:t>T</w:t>
      </w:r>
      <w:r w:rsidRPr="00DB5977">
        <w:rPr>
          <w:rFonts w:ascii="Verdana" w:hAnsi="Verdana" w:cstheme="minorHAnsi"/>
          <w:sz w:val="20"/>
          <w:szCs w:val="20"/>
        </w:rPr>
        <w:t>able</w:t>
      </w:r>
      <w:r w:rsidR="00E248B4">
        <w:rPr>
          <w:rFonts w:ascii="Verdana" w:hAnsi="Verdana" w:cstheme="minorHAnsi"/>
          <w:sz w:val="20"/>
          <w:szCs w:val="20"/>
        </w:rPr>
        <w:t xml:space="preserve"> </w:t>
      </w:r>
      <w:r w:rsidR="00C2755A">
        <w:rPr>
          <w:rFonts w:ascii="Verdana" w:hAnsi="Verdana" w:cstheme="minorHAnsi"/>
          <w:sz w:val="20"/>
          <w:szCs w:val="20"/>
        </w:rPr>
        <w:t>2</w:t>
      </w:r>
      <w:r w:rsidR="00E248B4">
        <w:rPr>
          <w:rFonts w:ascii="Verdana" w:hAnsi="Verdana" w:cstheme="minorHAnsi"/>
          <w:sz w:val="20"/>
          <w:szCs w:val="20"/>
        </w:rPr>
        <w:t>.</w:t>
      </w:r>
    </w:p>
    <w:p w14:paraId="6E29F0D7" w14:textId="77777777" w:rsidR="000A35C2" w:rsidRPr="000A35C2" w:rsidRDefault="000A35C2" w:rsidP="00473E76">
      <w:pPr>
        <w:suppressLineNumbers/>
        <w:spacing w:after="0"/>
      </w:pPr>
    </w:p>
    <w:tbl>
      <w:tblPr>
        <w:tblW w:w="8257" w:type="dxa"/>
        <w:jc w:val="right"/>
        <w:tblLook w:val="04A0" w:firstRow="1" w:lastRow="0" w:firstColumn="1" w:lastColumn="0" w:noHBand="0" w:noVBand="1"/>
      </w:tblPr>
      <w:tblGrid>
        <w:gridCol w:w="2520"/>
        <w:gridCol w:w="1980"/>
        <w:gridCol w:w="1229"/>
        <w:gridCol w:w="1260"/>
        <w:gridCol w:w="1268"/>
      </w:tblGrid>
      <w:tr w:rsidR="000A35C2" w:rsidRPr="00260B10" w14:paraId="360A6F6A" w14:textId="77777777" w:rsidTr="00D64A75">
        <w:trPr>
          <w:trHeight w:val="83"/>
          <w:jc w:val="right"/>
        </w:trPr>
        <w:tc>
          <w:tcPr>
            <w:tcW w:w="8257" w:type="dxa"/>
            <w:gridSpan w:val="5"/>
            <w:tcBorders>
              <w:top w:val="single" w:sz="12" w:space="0" w:color="auto"/>
              <w:bottom w:val="single" w:sz="4" w:space="0" w:color="auto"/>
            </w:tcBorders>
            <w:shd w:val="clear" w:color="000000" w:fill="FFFFFF"/>
            <w:vAlign w:val="bottom"/>
            <w:hideMark/>
          </w:tcPr>
          <w:p w14:paraId="5A0968E8" w14:textId="7456F9C1" w:rsidR="000A35C2" w:rsidRPr="00260B10" w:rsidRDefault="006556B3" w:rsidP="00A8362B">
            <w:pPr>
              <w:keepNext/>
              <w:spacing w:before="80" w:after="80" w:line="240" w:lineRule="auto"/>
              <w:jc w:val="center"/>
              <w:rPr>
                <w:rFonts w:ascii="Verdana" w:eastAsia="Times New Roman" w:hAnsi="Verdana" w:cs="Calibri"/>
                <w:b/>
                <w:bCs/>
                <w:sz w:val="19"/>
                <w:szCs w:val="19"/>
              </w:rPr>
            </w:pPr>
            <w:r w:rsidRPr="006556B3">
              <w:rPr>
                <w:rFonts w:ascii="Verdana" w:hAnsi="Verdana"/>
                <w:b/>
                <w:bCs/>
                <w:sz w:val="19"/>
                <w:szCs w:val="19"/>
              </w:rPr>
              <w:t xml:space="preserve">Table </w:t>
            </w:r>
            <w:r w:rsidRPr="006556B3">
              <w:rPr>
                <w:rFonts w:ascii="Verdana" w:hAnsi="Verdana"/>
                <w:b/>
                <w:bCs/>
                <w:sz w:val="19"/>
                <w:szCs w:val="19"/>
              </w:rPr>
              <w:fldChar w:fldCharType="begin"/>
            </w:r>
            <w:r w:rsidRPr="006556B3">
              <w:rPr>
                <w:rFonts w:ascii="Verdana" w:hAnsi="Verdana"/>
                <w:b/>
                <w:bCs/>
                <w:sz w:val="19"/>
                <w:szCs w:val="19"/>
              </w:rPr>
              <w:instrText xml:space="preserve"> SEQ Table \* ARABIC </w:instrText>
            </w:r>
            <w:r w:rsidRPr="006556B3">
              <w:rPr>
                <w:rFonts w:ascii="Verdana" w:hAnsi="Verdana"/>
                <w:b/>
                <w:bCs/>
                <w:sz w:val="19"/>
                <w:szCs w:val="19"/>
              </w:rPr>
              <w:fldChar w:fldCharType="separate"/>
            </w:r>
            <w:r w:rsidR="005A4CEF">
              <w:rPr>
                <w:rFonts w:ascii="Verdana" w:hAnsi="Verdana"/>
                <w:b/>
                <w:bCs/>
                <w:noProof/>
                <w:sz w:val="19"/>
                <w:szCs w:val="19"/>
              </w:rPr>
              <w:t>2</w:t>
            </w:r>
            <w:r w:rsidRPr="006556B3">
              <w:rPr>
                <w:rFonts w:ascii="Verdana" w:hAnsi="Verdana"/>
                <w:b/>
                <w:bCs/>
                <w:sz w:val="19"/>
                <w:szCs w:val="19"/>
              </w:rPr>
              <w:fldChar w:fldCharType="end"/>
            </w:r>
            <w:r w:rsidR="000A35C2" w:rsidRPr="00260B10">
              <w:rPr>
                <w:rFonts w:ascii="Verdana" w:eastAsia="Times New Roman" w:hAnsi="Verdana" w:cs="Calibri"/>
                <w:b/>
                <w:bCs/>
                <w:sz w:val="19"/>
                <w:szCs w:val="19"/>
              </w:rPr>
              <w:t xml:space="preserve">. </w:t>
            </w:r>
            <w:r w:rsidR="000A35C2">
              <w:rPr>
                <w:rFonts w:ascii="Verdana" w:eastAsia="Times New Roman" w:hAnsi="Verdana" w:cs="Calibri"/>
                <w:b/>
                <w:bCs/>
                <w:sz w:val="19"/>
                <w:szCs w:val="19"/>
              </w:rPr>
              <w:t xml:space="preserve">Georgia </w:t>
            </w:r>
            <w:r w:rsidR="000A35C2" w:rsidRPr="00260B10">
              <w:rPr>
                <w:rFonts w:ascii="Verdana" w:eastAsia="Times New Roman" w:hAnsi="Verdana" w:cs="Calibri"/>
                <w:b/>
                <w:bCs/>
                <w:sz w:val="19"/>
                <w:szCs w:val="19"/>
              </w:rPr>
              <w:t>Power</w:t>
            </w:r>
            <w:r w:rsidR="000A35C2">
              <w:rPr>
                <w:rFonts w:ascii="Verdana" w:eastAsia="Times New Roman" w:hAnsi="Verdana" w:cs="Calibri"/>
                <w:b/>
                <w:bCs/>
                <w:sz w:val="19"/>
                <w:szCs w:val="19"/>
              </w:rPr>
              <w:t>– Recommended W</w:t>
            </w:r>
            <w:r w:rsidR="000E2F52">
              <w:rPr>
                <w:rFonts w:ascii="Verdana" w:eastAsia="Times New Roman" w:hAnsi="Verdana" w:cs="Calibri"/>
                <w:b/>
                <w:bCs/>
                <w:sz w:val="19"/>
                <w:szCs w:val="19"/>
              </w:rPr>
              <w:t>eighted Average Cost of Capital</w:t>
            </w:r>
          </w:p>
        </w:tc>
      </w:tr>
      <w:tr w:rsidR="000A35C2" w:rsidRPr="00504B9D" w14:paraId="45F8446D" w14:textId="77777777" w:rsidTr="00FA6958">
        <w:trPr>
          <w:trHeight w:val="20"/>
          <w:jc w:val="right"/>
        </w:trPr>
        <w:tc>
          <w:tcPr>
            <w:tcW w:w="2520" w:type="dxa"/>
            <w:tcBorders>
              <w:top w:val="single" w:sz="4" w:space="0" w:color="auto"/>
              <w:bottom w:val="single" w:sz="4" w:space="0" w:color="auto"/>
            </w:tcBorders>
            <w:shd w:val="clear" w:color="000000" w:fill="FFFFFF"/>
            <w:noWrap/>
            <w:vAlign w:val="bottom"/>
            <w:hideMark/>
          </w:tcPr>
          <w:p w14:paraId="4960F4E6" w14:textId="77777777" w:rsidR="000A35C2" w:rsidRPr="00504B9D" w:rsidRDefault="000A35C2" w:rsidP="00A8362B">
            <w:pPr>
              <w:keepNext/>
              <w:spacing w:after="0" w:line="240" w:lineRule="auto"/>
              <w:rPr>
                <w:rFonts w:ascii="Verdana" w:eastAsia="Times New Roman" w:hAnsi="Verdana" w:cs="Calibri"/>
                <w:sz w:val="19"/>
                <w:szCs w:val="19"/>
              </w:rPr>
            </w:pPr>
            <w:r w:rsidRPr="00504B9D">
              <w:rPr>
                <w:rFonts w:ascii="Verdana" w:eastAsia="Times New Roman" w:hAnsi="Verdana" w:cs="Calibri"/>
                <w:sz w:val="19"/>
                <w:szCs w:val="19"/>
              </w:rPr>
              <w:t> </w:t>
            </w:r>
          </w:p>
        </w:tc>
        <w:tc>
          <w:tcPr>
            <w:tcW w:w="1980" w:type="dxa"/>
            <w:tcBorders>
              <w:top w:val="single" w:sz="4" w:space="0" w:color="auto"/>
              <w:bottom w:val="single" w:sz="4" w:space="0" w:color="auto"/>
            </w:tcBorders>
            <w:shd w:val="clear" w:color="000000" w:fill="FFFFFF"/>
            <w:vAlign w:val="bottom"/>
            <w:hideMark/>
          </w:tcPr>
          <w:p w14:paraId="279FE8A8" w14:textId="77777777" w:rsidR="000A35C2" w:rsidRPr="00504B9D" w:rsidRDefault="000E2F52" w:rsidP="00A8362B">
            <w:pPr>
              <w:keepNext/>
              <w:spacing w:after="0" w:line="240" w:lineRule="auto"/>
              <w:jc w:val="center"/>
              <w:rPr>
                <w:rFonts w:ascii="Verdana" w:eastAsia="Times New Roman" w:hAnsi="Verdana" w:cs="Calibri"/>
                <w:sz w:val="19"/>
                <w:szCs w:val="19"/>
              </w:rPr>
            </w:pPr>
            <w:r>
              <w:rPr>
                <w:rFonts w:ascii="Verdana" w:eastAsia="Times New Roman" w:hAnsi="Verdana" w:cs="Calibri"/>
                <w:sz w:val="19"/>
                <w:szCs w:val="19"/>
              </w:rPr>
              <w:t>Average for the 13 Months Ending</w:t>
            </w:r>
            <w:r w:rsidR="00FA6958">
              <w:rPr>
                <w:rFonts w:ascii="Verdana" w:eastAsia="Times New Roman" w:hAnsi="Verdana" w:cs="Calibri"/>
                <w:sz w:val="19"/>
                <w:szCs w:val="19"/>
              </w:rPr>
              <w:br/>
            </w:r>
            <w:r>
              <w:rPr>
                <w:rFonts w:ascii="Verdana" w:eastAsia="Times New Roman" w:hAnsi="Verdana" w:cs="Calibri"/>
                <w:sz w:val="19"/>
                <w:szCs w:val="19"/>
              </w:rPr>
              <w:t>July 31, 2020</w:t>
            </w:r>
          </w:p>
        </w:tc>
        <w:tc>
          <w:tcPr>
            <w:tcW w:w="1229" w:type="dxa"/>
            <w:tcBorders>
              <w:top w:val="single" w:sz="4" w:space="0" w:color="auto"/>
              <w:bottom w:val="single" w:sz="4" w:space="0" w:color="auto"/>
            </w:tcBorders>
            <w:shd w:val="clear" w:color="000000" w:fill="FFFFFF"/>
            <w:vAlign w:val="bottom"/>
            <w:hideMark/>
          </w:tcPr>
          <w:p w14:paraId="3CAD4B59" w14:textId="77777777" w:rsidR="000A35C2" w:rsidRPr="00504B9D" w:rsidRDefault="000A35C2" w:rsidP="00A8362B">
            <w:pPr>
              <w:keepNext/>
              <w:spacing w:after="0" w:line="240" w:lineRule="auto"/>
              <w:jc w:val="center"/>
              <w:rPr>
                <w:rFonts w:ascii="Verdana" w:eastAsia="Times New Roman" w:hAnsi="Verdana" w:cs="Calibri"/>
                <w:sz w:val="19"/>
                <w:szCs w:val="19"/>
              </w:rPr>
            </w:pPr>
            <w:r w:rsidRPr="00504B9D">
              <w:rPr>
                <w:rFonts w:ascii="Verdana" w:eastAsia="Times New Roman" w:hAnsi="Verdana" w:cs="Calibri"/>
                <w:sz w:val="19"/>
                <w:szCs w:val="19"/>
              </w:rPr>
              <w:t>Weight</w:t>
            </w:r>
          </w:p>
        </w:tc>
        <w:tc>
          <w:tcPr>
            <w:tcW w:w="1260" w:type="dxa"/>
            <w:tcBorders>
              <w:top w:val="single" w:sz="4" w:space="0" w:color="auto"/>
              <w:bottom w:val="single" w:sz="4" w:space="0" w:color="auto"/>
            </w:tcBorders>
            <w:shd w:val="clear" w:color="000000" w:fill="FFFFFF"/>
            <w:vAlign w:val="bottom"/>
            <w:hideMark/>
          </w:tcPr>
          <w:p w14:paraId="5F3078C3" w14:textId="77777777" w:rsidR="000A35C2" w:rsidRPr="00504B9D" w:rsidRDefault="000A35C2" w:rsidP="00A8362B">
            <w:pPr>
              <w:keepNext/>
              <w:spacing w:after="0" w:line="240" w:lineRule="auto"/>
              <w:jc w:val="center"/>
              <w:rPr>
                <w:rFonts w:ascii="Verdana" w:eastAsia="Times New Roman" w:hAnsi="Verdana" w:cs="Calibri"/>
                <w:sz w:val="19"/>
                <w:szCs w:val="19"/>
              </w:rPr>
            </w:pPr>
            <w:r w:rsidRPr="00504B9D">
              <w:rPr>
                <w:rFonts w:ascii="Verdana" w:eastAsia="Times New Roman" w:hAnsi="Verdana" w:cs="Calibri"/>
                <w:sz w:val="19"/>
                <w:szCs w:val="19"/>
              </w:rPr>
              <w:t>Pre-Tax Cost of Capital</w:t>
            </w:r>
          </w:p>
        </w:tc>
        <w:tc>
          <w:tcPr>
            <w:tcW w:w="1268" w:type="dxa"/>
            <w:tcBorders>
              <w:top w:val="single" w:sz="4" w:space="0" w:color="auto"/>
              <w:bottom w:val="single" w:sz="4" w:space="0" w:color="auto"/>
            </w:tcBorders>
            <w:shd w:val="clear" w:color="000000" w:fill="FFFFFF"/>
            <w:vAlign w:val="bottom"/>
            <w:hideMark/>
          </w:tcPr>
          <w:p w14:paraId="6195AC1A" w14:textId="77777777" w:rsidR="000A35C2" w:rsidRPr="00504B9D" w:rsidRDefault="000A35C2" w:rsidP="00A8362B">
            <w:pPr>
              <w:keepNext/>
              <w:spacing w:after="0" w:line="240" w:lineRule="auto"/>
              <w:jc w:val="center"/>
              <w:rPr>
                <w:rFonts w:ascii="Verdana" w:eastAsia="Times New Roman" w:hAnsi="Verdana" w:cs="Calibri"/>
                <w:sz w:val="19"/>
                <w:szCs w:val="19"/>
              </w:rPr>
            </w:pPr>
            <w:r w:rsidRPr="00504B9D">
              <w:rPr>
                <w:rFonts w:ascii="Verdana" w:eastAsia="Times New Roman" w:hAnsi="Verdana" w:cs="Calibri"/>
                <w:sz w:val="19"/>
                <w:szCs w:val="19"/>
              </w:rPr>
              <w:t>Actual Weighted Cost</w:t>
            </w:r>
          </w:p>
        </w:tc>
      </w:tr>
      <w:tr w:rsidR="00FA6958" w:rsidRPr="00504B9D" w14:paraId="520F9517" w14:textId="77777777" w:rsidTr="00FA6958">
        <w:trPr>
          <w:trHeight w:val="293"/>
          <w:jc w:val="right"/>
        </w:trPr>
        <w:tc>
          <w:tcPr>
            <w:tcW w:w="2520" w:type="dxa"/>
            <w:tcBorders>
              <w:top w:val="single" w:sz="4" w:space="0" w:color="auto"/>
            </w:tcBorders>
            <w:shd w:val="clear" w:color="000000" w:fill="FFFFFF"/>
            <w:noWrap/>
            <w:vAlign w:val="bottom"/>
            <w:hideMark/>
          </w:tcPr>
          <w:p w14:paraId="6065E169" w14:textId="77777777" w:rsidR="00FA6958" w:rsidRPr="00504B9D" w:rsidRDefault="00FA6958" w:rsidP="00FA6958">
            <w:pPr>
              <w:keepNext/>
              <w:spacing w:before="60" w:after="60" w:line="240" w:lineRule="auto"/>
              <w:rPr>
                <w:rFonts w:ascii="Verdana" w:eastAsia="Times New Roman" w:hAnsi="Verdana" w:cs="Calibri"/>
                <w:sz w:val="19"/>
                <w:szCs w:val="19"/>
              </w:rPr>
            </w:pPr>
            <w:r w:rsidRPr="00504B9D">
              <w:rPr>
                <w:rFonts w:ascii="Verdana" w:eastAsia="Times New Roman" w:hAnsi="Verdana" w:cs="Calibri"/>
                <w:sz w:val="19"/>
                <w:szCs w:val="19"/>
              </w:rPr>
              <w:t>Long-Term Debt</w:t>
            </w:r>
          </w:p>
        </w:tc>
        <w:tc>
          <w:tcPr>
            <w:tcW w:w="1980" w:type="dxa"/>
            <w:tcBorders>
              <w:top w:val="single" w:sz="4" w:space="0" w:color="auto"/>
            </w:tcBorders>
            <w:shd w:val="clear" w:color="000000" w:fill="FFFFFF"/>
            <w:noWrap/>
            <w:vAlign w:val="bottom"/>
            <w:hideMark/>
          </w:tcPr>
          <w:p w14:paraId="3F8574DA" w14:textId="77777777" w:rsidR="00FA6958" w:rsidRPr="00FA6958" w:rsidRDefault="00FA6958" w:rsidP="00FA6958">
            <w:pPr>
              <w:keepNext/>
              <w:tabs>
                <w:tab w:val="decimal" w:pos="151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$11,752,692</w:t>
            </w:r>
          </w:p>
        </w:tc>
        <w:tc>
          <w:tcPr>
            <w:tcW w:w="1229" w:type="dxa"/>
            <w:tcBorders>
              <w:top w:val="single" w:sz="4" w:space="0" w:color="auto"/>
            </w:tcBorders>
            <w:shd w:val="clear" w:color="000000" w:fill="FFFFFF"/>
            <w:noWrap/>
            <w:vAlign w:val="bottom"/>
            <w:hideMark/>
          </w:tcPr>
          <w:p w14:paraId="7DE0A4C3" w14:textId="77777777" w:rsidR="00FA6958" w:rsidRPr="00FA6958" w:rsidRDefault="00FA6958" w:rsidP="00FA6958">
            <w:pPr>
              <w:keepNext/>
              <w:tabs>
                <w:tab w:val="decimal" w:pos="43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43.92%</w:t>
            </w:r>
          </w:p>
        </w:tc>
        <w:tc>
          <w:tcPr>
            <w:tcW w:w="1260" w:type="dxa"/>
            <w:tcBorders>
              <w:top w:val="single" w:sz="4" w:space="0" w:color="auto"/>
            </w:tcBorders>
            <w:shd w:val="clear" w:color="000000" w:fill="FFFFFF"/>
            <w:noWrap/>
            <w:vAlign w:val="bottom"/>
            <w:hideMark/>
          </w:tcPr>
          <w:p w14:paraId="2E1DB750" w14:textId="77777777" w:rsidR="00FA6958" w:rsidRPr="00FA6958" w:rsidRDefault="00FA6958" w:rsidP="00FA6958">
            <w:pPr>
              <w:keepNext/>
              <w:tabs>
                <w:tab w:val="decimal" w:pos="40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4.14%</w:t>
            </w:r>
          </w:p>
        </w:tc>
        <w:tc>
          <w:tcPr>
            <w:tcW w:w="1268" w:type="dxa"/>
            <w:tcBorders>
              <w:top w:val="single" w:sz="4" w:space="0" w:color="auto"/>
            </w:tcBorders>
            <w:shd w:val="clear" w:color="000000" w:fill="FFFFFF"/>
            <w:noWrap/>
            <w:vAlign w:val="bottom"/>
            <w:hideMark/>
          </w:tcPr>
          <w:p w14:paraId="450E563F" w14:textId="77777777" w:rsidR="00FA6958" w:rsidRPr="00FA6958" w:rsidRDefault="00FA6958" w:rsidP="00FA6958">
            <w:pPr>
              <w:keepNext/>
              <w:tabs>
                <w:tab w:val="decimal" w:pos="40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1.82%</w:t>
            </w:r>
          </w:p>
        </w:tc>
      </w:tr>
      <w:tr w:rsidR="00FA6958" w:rsidRPr="00504B9D" w14:paraId="51B6C5C9" w14:textId="77777777" w:rsidTr="00FA6958">
        <w:trPr>
          <w:trHeight w:val="285"/>
          <w:jc w:val="right"/>
        </w:trPr>
        <w:tc>
          <w:tcPr>
            <w:tcW w:w="2520" w:type="dxa"/>
            <w:tcBorders>
              <w:bottom w:val="single" w:sz="4" w:space="0" w:color="auto"/>
            </w:tcBorders>
            <w:shd w:val="clear" w:color="000000" w:fill="FFFFFF"/>
            <w:noWrap/>
            <w:vAlign w:val="bottom"/>
            <w:hideMark/>
          </w:tcPr>
          <w:p w14:paraId="3AD763E7" w14:textId="77777777" w:rsidR="00FA6958" w:rsidRPr="00504B9D" w:rsidRDefault="00FA6958" w:rsidP="00FA6958">
            <w:pPr>
              <w:keepNext/>
              <w:spacing w:before="60" w:after="60" w:line="240" w:lineRule="auto"/>
              <w:rPr>
                <w:rFonts w:ascii="Verdana" w:eastAsia="Times New Roman" w:hAnsi="Verdana" w:cs="Calibri"/>
                <w:sz w:val="19"/>
                <w:szCs w:val="19"/>
              </w:rPr>
            </w:pPr>
            <w:r w:rsidRPr="00504B9D">
              <w:rPr>
                <w:rFonts w:ascii="Verdana" w:eastAsia="Times New Roman" w:hAnsi="Verdana" w:cs="Calibri"/>
                <w:sz w:val="19"/>
                <w:szCs w:val="19"/>
              </w:rPr>
              <w:t>Common Equity</w:t>
            </w:r>
          </w:p>
        </w:tc>
        <w:tc>
          <w:tcPr>
            <w:tcW w:w="1980" w:type="dxa"/>
            <w:tcBorders>
              <w:bottom w:val="single" w:sz="4" w:space="0" w:color="auto"/>
            </w:tcBorders>
            <w:shd w:val="clear" w:color="000000" w:fill="FFFFFF"/>
            <w:noWrap/>
            <w:vAlign w:val="bottom"/>
            <w:hideMark/>
          </w:tcPr>
          <w:p w14:paraId="742078DF" w14:textId="77777777" w:rsidR="00FA6958" w:rsidRPr="00FA6958" w:rsidRDefault="00FA6958" w:rsidP="00FA6958">
            <w:pPr>
              <w:keepNext/>
              <w:tabs>
                <w:tab w:val="decimal" w:pos="151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15,009,316</w:t>
            </w:r>
          </w:p>
        </w:tc>
        <w:tc>
          <w:tcPr>
            <w:tcW w:w="1229" w:type="dxa"/>
            <w:tcBorders>
              <w:bottom w:val="single" w:sz="4" w:space="0" w:color="auto"/>
            </w:tcBorders>
            <w:shd w:val="clear" w:color="000000" w:fill="FFFFFF"/>
            <w:noWrap/>
            <w:vAlign w:val="bottom"/>
            <w:hideMark/>
          </w:tcPr>
          <w:p w14:paraId="1CC9E8B1" w14:textId="77777777" w:rsidR="00FA6958" w:rsidRPr="00FA6958" w:rsidRDefault="00FA6958" w:rsidP="00FA6958">
            <w:pPr>
              <w:keepNext/>
              <w:tabs>
                <w:tab w:val="decimal" w:pos="43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56.08</w:t>
            </w:r>
          </w:p>
        </w:tc>
        <w:tc>
          <w:tcPr>
            <w:tcW w:w="1260" w:type="dxa"/>
            <w:tcBorders>
              <w:bottom w:val="single" w:sz="4" w:space="0" w:color="auto"/>
            </w:tcBorders>
            <w:shd w:val="clear" w:color="000000" w:fill="FFFFFF"/>
            <w:noWrap/>
            <w:vAlign w:val="bottom"/>
            <w:hideMark/>
          </w:tcPr>
          <w:p w14:paraId="08F09483" w14:textId="77777777" w:rsidR="00FA6958" w:rsidRPr="00FA6958" w:rsidRDefault="00FA6958" w:rsidP="00FA6958">
            <w:pPr>
              <w:keepNext/>
              <w:tabs>
                <w:tab w:val="decimal" w:pos="40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9.10</w:t>
            </w:r>
          </w:p>
        </w:tc>
        <w:tc>
          <w:tcPr>
            <w:tcW w:w="1268" w:type="dxa"/>
            <w:tcBorders>
              <w:bottom w:val="single" w:sz="4" w:space="0" w:color="auto"/>
            </w:tcBorders>
            <w:shd w:val="clear" w:color="000000" w:fill="FFFFFF"/>
            <w:noWrap/>
            <w:vAlign w:val="bottom"/>
            <w:hideMark/>
          </w:tcPr>
          <w:p w14:paraId="107E20A3" w14:textId="77777777" w:rsidR="00FA6958" w:rsidRPr="00FA6958" w:rsidRDefault="00FA6958" w:rsidP="00FA6958">
            <w:pPr>
              <w:keepNext/>
              <w:tabs>
                <w:tab w:val="decimal" w:pos="402"/>
              </w:tabs>
              <w:spacing w:before="60" w:after="60" w:line="240" w:lineRule="auto"/>
              <w:rPr>
                <w:rFonts w:ascii="Verdana" w:eastAsia="Times New Roman" w:hAnsi="Verdana" w:cs="Calibri"/>
                <w:sz w:val="19"/>
                <w:szCs w:val="19"/>
              </w:rPr>
            </w:pPr>
            <w:r w:rsidRPr="00FA6958">
              <w:rPr>
                <w:rFonts w:ascii="Verdana" w:eastAsia="Times New Roman" w:hAnsi="Verdana" w:cs="Times New Roman"/>
                <w:sz w:val="19"/>
                <w:szCs w:val="19"/>
              </w:rPr>
              <w:t>5.10</w:t>
            </w:r>
          </w:p>
        </w:tc>
      </w:tr>
      <w:tr w:rsidR="00FA6958" w:rsidRPr="00FA6958" w14:paraId="6E466E20" w14:textId="77777777" w:rsidTr="00FA6958">
        <w:trPr>
          <w:trHeight w:val="293"/>
          <w:jc w:val="right"/>
        </w:trPr>
        <w:tc>
          <w:tcPr>
            <w:tcW w:w="2520" w:type="dxa"/>
            <w:tcBorders>
              <w:top w:val="single" w:sz="4" w:space="0" w:color="auto"/>
              <w:bottom w:val="single" w:sz="12" w:space="0" w:color="auto"/>
            </w:tcBorders>
            <w:shd w:val="clear" w:color="000000" w:fill="FFFFFF"/>
            <w:noWrap/>
            <w:vAlign w:val="bottom"/>
            <w:hideMark/>
          </w:tcPr>
          <w:p w14:paraId="6BCE8F2D" w14:textId="77777777" w:rsidR="00FA6958" w:rsidRPr="00FA6958" w:rsidRDefault="00FA6958" w:rsidP="00FA6958">
            <w:pPr>
              <w:keepNext/>
              <w:spacing w:before="60" w:after="60" w:line="240" w:lineRule="auto"/>
              <w:rPr>
                <w:rFonts w:ascii="Verdana" w:eastAsia="Times New Roman" w:hAnsi="Verdana" w:cs="Calibri"/>
                <w:b/>
                <w:bCs/>
                <w:sz w:val="19"/>
                <w:szCs w:val="19"/>
              </w:rPr>
            </w:pPr>
            <w:r w:rsidRPr="00FA6958">
              <w:rPr>
                <w:rFonts w:ascii="Verdana" w:eastAsia="Times New Roman" w:hAnsi="Verdana" w:cs="Calibri"/>
                <w:b/>
                <w:bCs/>
                <w:sz w:val="19"/>
                <w:szCs w:val="19"/>
              </w:rPr>
              <w:t>Total Capitalization:</w:t>
            </w:r>
          </w:p>
        </w:tc>
        <w:tc>
          <w:tcPr>
            <w:tcW w:w="1980" w:type="dxa"/>
            <w:tcBorders>
              <w:top w:val="single" w:sz="4" w:space="0" w:color="auto"/>
              <w:bottom w:val="single" w:sz="12" w:space="0" w:color="auto"/>
            </w:tcBorders>
            <w:shd w:val="clear" w:color="000000" w:fill="FFFFFF"/>
            <w:noWrap/>
            <w:vAlign w:val="bottom"/>
            <w:hideMark/>
          </w:tcPr>
          <w:p w14:paraId="6E57A569" w14:textId="77777777" w:rsidR="00FA6958" w:rsidRPr="00FA6958" w:rsidRDefault="00FA6958" w:rsidP="00FA6958">
            <w:pPr>
              <w:keepNext/>
              <w:tabs>
                <w:tab w:val="decimal" w:pos="1512"/>
              </w:tabs>
              <w:spacing w:before="60" w:after="60" w:line="240" w:lineRule="auto"/>
              <w:rPr>
                <w:rFonts w:ascii="Verdana" w:eastAsia="Times New Roman" w:hAnsi="Verdana" w:cs="Calibri"/>
                <w:b/>
                <w:bCs/>
                <w:sz w:val="19"/>
                <w:szCs w:val="19"/>
              </w:rPr>
            </w:pPr>
            <w:r w:rsidRPr="00FA6958">
              <w:rPr>
                <w:rFonts w:ascii="Verdana" w:eastAsia="Times New Roman" w:hAnsi="Verdana" w:cs="Times New Roman"/>
                <w:b/>
                <w:bCs/>
                <w:sz w:val="19"/>
                <w:szCs w:val="19"/>
              </w:rPr>
              <w:t>$26,762,008</w:t>
            </w:r>
          </w:p>
        </w:tc>
        <w:tc>
          <w:tcPr>
            <w:tcW w:w="1229" w:type="dxa"/>
            <w:tcBorders>
              <w:top w:val="single" w:sz="4" w:space="0" w:color="auto"/>
              <w:bottom w:val="single" w:sz="12" w:space="0" w:color="auto"/>
            </w:tcBorders>
            <w:shd w:val="clear" w:color="000000" w:fill="FFFFFF"/>
            <w:noWrap/>
            <w:vAlign w:val="bottom"/>
            <w:hideMark/>
          </w:tcPr>
          <w:p w14:paraId="337194EC" w14:textId="77777777" w:rsidR="00FA6958" w:rsidRPr="00FA6958" w:rsidRDefault="00FA6958" w:rsidP="00FA6958">
            <w:pPr>
              <w:keepNext/>
              <w:tabs>
                <w:tab w:val="decimal" w:pos="432"/>
              </w:tabs>
              <w:spacing w:before="60" w:after="60" w:line="240" w:lineRule="auto"/>
              <w:rPr>
                <w:rFonts w:ascii="Verdana" w:eastAsia="Times New Roman" w:hAnsi="Verdana" w:cs="Calibri"/>
                <w:b/>
                <w:bCs/>
                <w:sz w:val="19"/>
                <w:szCs w:val="19"/>
              </w:rPr>
            </w:pPr>
            <w:r w:rsidRPr="00FA6958">
              <w:rPr>
                <w:rFonts w:ascii="Verdana" w:eastAsia="Times New Roman" w:hAnsi="Verdana" w:cs="Times New Roman"/>
                <w:b/>
                <w:bCs/>
                <w:sz w:val="19"/>
                <w:szCs w:val="19"/>
              </w:rPr>
              <w:t>100.00%</w:t>
            </w:r>
          </w:p>
        </w:tc>
        <w:tc>
          <w:tcPr>
            <w:tcW w:w="1260" w:type="dxa"/>
            <w:tcBorders>
              <w:top w:val="single" w:sz="4" w:space="0" w:color="auto"/>
              <w:bottom w:val="single" w:sz="12" w:space="0" w:color="auto"/>
            </w:tcBorders>
            <w:shd w:val="clear" w:color="000000" w:fill="FFFFFF"/>
            <w:noWrap/>
            <w:vAlign w:val="bottom"/>
            <w:hideMark/>
          </w:tcPr>
          <w:p w14:paraId="276AEB3E" w14:textId="77777777" w:rsidR="00FA6958" w:rsidRPr="00FA6958" w:rsidRDefault="00FA6958" w:rsidP="00FA6958">
            <w:pPr>
              <w:keepNext/>
              <w:tabs>
                <w:tab w:val="decimal" w:pos="402"/>
              </w:tabs>
              <w:spacing w:before="60" w:after="60" w:line="240" w:lineRule="auto"/>
              <w:rPr>
                <w:rFonts w:ascii="Verdana" w:eastAsia="Times New Roman" w:hAnsi="Verdana" w:cs="Calibri"/>
                <w:b/>
                <w:bCs/>
                <w:sz w:val="19"/>
                <w:szCs w:val="19"/>
              </w:rPr>
            </w:pPr>
            <w:r w:rsidRPr="00FA6958">
              <w:rPr>
                <w:rFonts w:ascii="Verdana" w:eastAsia="Times New Roman" w:hAnsi="Verdana" w:cs="Times New Roman"/>
                <w:b/>
                <w:bCs/>
                <w:sz w:val="19"/>
                <w:szCs w:val="19"/>
              </w:rPr>
              <w:t> </w:t>
            </w:r>
          </w:p>
        </w:tc>
        <w:tc>
          <w:tcPr>
            <w:tcW w:w="1268" w:type="dxa"/>
            <w:tcBorders>
              <w:top w:val="single" w:sz="4" w:space="0" w:color="auto"/>
              <w:bottom w:val="single" w:sz="12" w:space="0" w:color="auto"/>
            </w:tcBorders>
            <w:shd w:val="clear" w:color="000000" w:fill="FFFFFF"/>
            <w:noWrap/>
            <w:vAlign w:val="bottom"/>
            <w:hideMark/>
          </w:tcPr>
          <w:p w14:paraId="4BCF6444" w14:textId="77777777" w:rsidR="00FA6958" w:rsidRPr="00FA6958" w:rsidRDefault="00FA6958" w:rsidP="00FA6958">
            <w:pPr>
              <w:keepNext/>
              <w:tabs>
                <w:tab w:val="decimal" w:pos="402"/>
              </w:tabs>
              <w:spacing w:before="60" w:after="60" w:line="240" w:lineRule="auto"/>
              <w:rPr>
                <w:rFonts w:ascii="Verdana" w:eastAsia="Times New Roman" w:hAnsi="Verdana" w:cs="Calibri"/>
                <w:b/>
                <w:bCs/>
                <w:sz w:val="19"/>
                <w:szCs w:val="19"/>
              </w:rPr>
            </w:pPr>
            <w:r w:rsidRPr="00FA6958">
              <w:rPr>
                <w:rFonts w:ascii="Verdana" w:eastAsia="Times New Roman" w:hAnsi="Verdana" w:cs="Times New Roman"/>
                <w:b/>
                <w:bCs/>
                <w:sz w:val="19"/>
                <w:szCs w:val="19"/>
              </w:rPr>
              <w:t>6.92%</w:t>
            </w:r>
          </w:p>
        </w:tc>
      </w:tr>
      <w:tr w:rsidR="000A35C2" w:rsidRPr="00D55C91" w14:paraId="38CC706B" w14:textId="77777777" w:rsidTr="00D64A75">
        <w:trPr>
          <w:trHeight w:val="83"/>
          <w:jc w:val="right"/>
        </w:trPr>
        <w:tc>
          <w:tcPr>
            <w:tcW w:w="8257" w:type="dxa"/>
            <w:gridSpan w:val="5"/>
            <w:tcBorders>
              <w:top w:val="single" w:sz="12" w:space="0" w:color="auto"/>
            </w:tcBorders>
            <w:shd w:val="clear" w:color="auto" w:fill="auto"/>
            <w:noWrap/>
            <w:vAlign w:val="bottom"/>
            <w:hideMark/>
          </w:tcPr>
          <w:p w14:paraId="1EFBB145" w14:textId="77777777" w:rsidR="000A35C2" w:rsidRPr="00D55C91" w:rsidRDefault="00FA6958" w:rsidP="00A8362B">
            <w:pPr>
              <w:keepNext/>
              <w:spacing w:after="0" w:line="240" w:lineRule="auto"/>
              <w:rPr>
                <w:rFonts w:ascii="Verdana" w:eastAsia="Times New Roman" w:hAnsi="Verdana" w:cs="Calibri"/>
                <w:i/>
                <w:iCs/>
                <w:sz w:val="16"/>
                <w:szCs w:val="16"/>
              </w:rPr>
            </w:pPr>
            <w:r w:rsidRPr="00DB5977">
              <w:rPr>
                <w:rFonts w:ascii="Verdana" w:eastAsia="Times New Roman" w:hAnsi="Verdana" w:cs="Times New Roman"/>
                <w:i/>
                <w:iCs/>
                <w:sz w:val="16"/>
                <w:szCs w:val="16"/>
              </w:rPr>
              <w:t xml:space="preserve">Source: </w:t>
            </w:r>
            <w:r w:rsidRPr="00FA6958">
              <w:rPr>
                <w:rFonts w:ascii="Verdana" w:eastAsia="Times New Roman" w:hAnsi="Verdana" w:cs="Times New Roman"/>
                <w:sz w:val="16"/>
                <w:szCs w:val="16"/>
              </w:rPr>
              <w:t>DPP/SPA/MBR-3 Schedule 1</w:t>
            </w:r>
            <w:r w:rsidRPr="00DB5977">
              <w:rPr>
                <w:rFonts w:ascii="Verdana" w:eastAsia="Times New Roman" w:hAnsi="Verdana" w:cs="Times New Roman"/>
                <w:i/>
                <w:iCs/>
                <w:sz w:val="16"/>
                <w:szCs w:val="16"/>
              </w:rPr>
              <w:t>.</w:t>
            </w:r>
          </w:p>
        </w:tc>
      </w:tr>
    </w:tbl>
    <w:p w14:paraId="1601963C" w14:textId="77777777" w:rsidR="000A35C2" w:rsidRPr="00473E76" w:rsidRDefault="000A35C2" w:rsidP="00473E76">
      <w:pPr>
        <w:suppressLineNumbers/>
        <w:spacing w:after="0"/>
      </w:pPr>
    </w:p>
    <w:p w14:paraId="4D73A2D8" w14:textId="77777777" w:rsidR="00617411" w:rsidRDefault="00617411" w:rsidP="00486739">
      <w:pPr>
        <w:pStyle w:val="DirectQuestion"/>
      </w:pPr>
      <w:r>
        <w:t>what is the basis of your assumed capital structure?</w:t>
      </w:r>
    </w:p>
    <w:p w14:paraId="1B24F5A9" w14:textId="0BE7683D" w:rsidR="00617411" w:rsidRPr="00617411" w:rsidRDefault="00617411" w:rsidP="00617411">
      <w:pPr>
        <w:pStyle w:val="DirectAnswer"/>
      </w:pPr>
      <w:r>
        <w:rPr>
          <w:rFonts w:ascii="Verdana" w:hAnsi="Verdana"/>
          <w:sz w:val="20"/>
          <w:szCs w:val="20"/>
        </w:rPr>
        <w:t>For the purposes of computing overall rate of return or weighted average cost of capital, I have accepted the Company’s proposed</w:t>
      </w:r>
      <w:r w:rsidRPr="00DB5977">
        <w:rPr>
          <w:rFonts w:ascii="Verdana" w:hAnsi="Verdana"/>
          <w:sz w:val="20"/>
          <w:szCs w:val="20"/>
        </w:rPr>
        <w:t xml:space="preserve"> capital structure level of 43.92 debt and 56.08</w:t>
      </w:r>
      <w:r>
        <w:rPr>
          <w:rFonts w:ascii="Verdana" w:hAnsi="Verdana"/>
          <w:sz w:val="20"/>
          <w:szCs w:val="20"/>
        </w:rPr>
        <w:t> </w:t>
      </w:r>
      <w:r w:rsidRPr="00DB5977">
        <w:rPr>
          <w:rFonts w:ascii="Verdana" w:hAnsi="Verdana"/>
          <w:sz w:val="20"/>
          <w:szCs w:val="20"/>
        </w:rPr>
        <w:t>percent common equity</w:t>
      </w:r>
      <w:r>
        <w:rPr>
          <w:rFonts w:ascii="Verdana" w:hAnsi="Verdana"/>
          <w:sz w:val="20"/>
          <w:szCs w:val="20"/>
        </w:rPr>
        <w:t>.</w:t>
      </w:r>
      <w:r w:rsidRPr="00DB5977">
        <w:rPr>
          <w:rFonts w:ascii="Verdana" w:hAnsi="Verdana"/>
          <w:sz w:val="20"/>
          <w:szCs w:val="20"/>
        </w:rPr>
        <w:t xml:space="preserve"> (</w:t>
      </w:r>
      <w:r w:rsidRPr="00DB5977">
        <w:rPr>
          <w:rFonts w:ascii="Verdana" w:hAnsi="Verdana"/>
          <w:i/>
          <w:iCs/>
          <w:sz w:val="20"/>
          <w:szCs w:val="20"/>
          <w:u w:val="single"/>
        </w:rPr>
        <w:t>See</w:t>
      </w:r>
      <w:r w:rsidRPr="00DB5977">
        <w:rPr>
          <w:rFonts w:ascii="Verdana" w:hAnsi="Verdana"/>
          <w:sz w:val="20"/>
          <w:szCs w:val="20"/>
        </w:rPr>
        <w:t xml:space="preserve"> Vander </w:t>
      </w:r>
      <w:proofErr w:type="spellStart"/>
      <w:r w:rsidRPr="00DB5977">
        <w:rPr>
          <w:rFonts w:ascii="Verdana" w:hAnsi="Verdana"/>
          <w:sz w:val="20"/>
          <w:szCs w:val="20"/>
        </w:rPr>
        <w:t>Weide</w:t>
      </w:r>
      <w:proofErr w:type="spellEnd"/>
      <w:r w:rsidRPr="00DB5977">
        <w:rPr>
          <w:rFonts w:ascii="Verdana" w:hAnsi="Verdana"/>
          <w:sz w:val="20"/>
          <w:szCs w:val="20"/>
        </w:rPr>
        <w:t xml:space="preserve"> Direct Testimony</w:t>
      </w:r>
      <w:r>
        <w:rPr>
          <w:rFonts w:ascii="Verdana" w:hAnsi="Verdana"/>
          <w:sz w:val="20"/>
          <w:szCs w:val="20"/>
        </w:rPr>
        <w:t xml:space="preserve">, </w:t>
      </w:r>
      <w:r w:rsidRPr="00DB5977">
        <w:rPr>
          <w:rFonts w:ascii="Verdana" w:hAnsi="Verdana"/>
          <w:sz w:val="20"/>
          <w:szCs w:val="20"/>
        </w:rPr>
        <w:t>5</w:t>
      </w:r>
      <w:r>
        <w:rPr>
          <w:rFonts w:ascii="Verdana" w:hAnsi="Verdana"/>
          <w:sz w:val="20"/>
          <w:szCs w:val="20"/>
        </w:rPr>
        <w:t>:</w:t>
      </w:r>
      <w:r w:rsidRPr="00DB5977">
        <w:rPr>
          <w:rFonts w:ascii="Verdana" w:hAnsi="Verdana"/>
          <w:sz w:val="20"/>
          <w:szCs w:val="20"/>
        </w:rPr>
        <w:t>15</w:t>
      </w:r>
      <w:r>
        <w:rPr>
          <w:rFonts w:ascii="Verdana" w:hAnsi="Verdana"/>
          <w:sz w:val="20"/>
          <w:szCs w:val="20"/>
        </w:rPr>
        <w:t>-</w:t>
      </w:r>
      <w:r w:rsidRPr="00DB5977">
        <w:rPr>
          <w:rFonts w:ascii="Verdana" w:hAnsi="Verdana"/>
          <w:sz w:val="20"/>
          <w:szCs w:val="20"/>
        </w:rPr>
        <w:t>18.)</w:t>
      </w:r>
      <w:r>
        <w:rPr>
          <w:rFonts w:ascii="Verdana" w:hAnsi="Verdana"/>
          <w:sz w:val="20"/>
          <w:szCs w:val="20"/>
        </w:rPr>
        <w:t xml:space="preserve">  I am not recommending an alternative capital structure; however, if the Commission were to order </w:t>
      </w:r>
      <w:r>
        <w:rPr>
          <w:rFonts w:ascii="Verdana" w:hAnsi="Verdana"/>
          <w:sz w:val="20"/>
          <w:szCs w:val="20"/>
        </w:rPr>
        <w:lastRenderedPageBreak/>
        <w:t>a different capital structure based on evidence from other parties, my calculated overall rate of return would change.</w:t>
      </w:r>
    </w:p>
    <w:p w14:paraId="55ED3BB6" w14:textId="683B1D78" w:rsidR="00823379" w:rsidRPr="00DB5977" w:rsidRDefault="00823379" w:rsidP="00486739">
      <w:pPr>
        <w:pStyle w:val="DirectQuestion"/>
      </w:pPr>
      <w:r w:rsidRPr="00DB5977">
        <w:t xml:space="preserve">What is the basis of your recommended </w:t>
      </w:r>
      <w:r w:rsidR="00B51541" w:rsidRPr="00DB5977">
        <w:t>9.1</w:t>
      </w:r>
      <w:r w:rsidRPr="00DB5977">
        <w:t xml:space="preserve"> percent as the </w:t>
      </w:r>
      <w:r w:rsidR="00E52895" w:rsidRPr="00DB5977">
        <w:t>authorized</w:t>
      </w:r>
      <w:r w:rsidRPr="00DB5977">
        <w:t xml:space="preserve"> ROE for the Company?</w:t>
      </w:r>
    </w:p>
    <w:p w14:paraId="09188CA3" w14:textId="763370D1" w:rsidR="00823379" w:rsidRPr="00DB5977" w:rsidRDefault="00823379" w:rsidP="00B0406F">
      <w:pPr>
        <w:pStyle w:val="DirectAnswer"/>
        <w:jc w:val="both"/>
        <w:rPr>
          <w:rFonts w:ascii="Verdana" w:hAnsi="Verdana" w:cstheme="minorHAnsi"/>
          <w:sz w:val="20"/>
          <w:szCs w:val="20"/>
        </w:rPr>
      </w:pPr>
      <w:r w:rsidRPr="00DB5977">
        <w:rPr>
          <w:rFonts w:ascii="Verdana" w:hAnsi="Verdana" w:cstheme="minorHAnsi"/>
          <w:sz w:val="20"/>
          <w:szCs w:val="20"/>
        </w:rPr>
        <w:t xml:space="preserve">My recommendation of an </w:t>
      </w:r>
      <w:r w:rsidR="00E52895" w:rsidRPr="00DB5977">
        <w:rPr>
          <w:rFonts w:ascii="Verdana" w:hAnsi="Verdana" w:cstheme="minorHAnsi"/>
          <w:sz w:val="20"/>
          <w:szCs w:val="20"/>
        </w:rPr>
        <w:t>authorized</w:t>
      </w:r>
      <w:r w:rsidRPr="00DB5977">
        <w:rPr>
          <w:rFonts w:ascii="Verdana" w:hAnsi="Verdana" w:cstheme="minorHAnsi"/>
          <w:sz w:val="20"/>
          <w:szCs w:val="20"/>
        </w:rPr>
        <w:t xml:space="preserve"> ROE of </w:t>
      </w:r>
      <w:r w:rsidR="00675CAC" w:rsidRPr="00DB5977">
        <w:rPr>
          <w:rFonts w:ascii="Verdana" w:hAnsi="Verdana" w:cstheme="minorHAnsi"/>
          <w:sz w:val="20"/>
          <w:szCs w:val="20"/>
        </w:rPr>
        <w:t>9</w:t>
      </w:r>
      <w:r w:rsidR="00DF1C90" w:rsidRPr="00DB5977">
        <w:rPr>
          <w:rFonts w:ascii="Verdana" w:hAnsi="Verdana" w:cstheme="minorHAnsi"/>
          <w:sz w:val="20"/>
          <w:szCs w:val="20"/>
        </w:rPr>
        <w:t>.1</w:t>
      </w:r>
      <w:r w:rsidRPr="00DB5977">
        <w:rPr>
          <w:rFonts w:ascii="Verdana" w:hAnsi="Verdana" w:cstheme="minorHAnsi"/>
          <w:sz w:val="20"/>
          <w:szCs w:val="20"/>
        </w:rPr>
        <w:t xml:space="preserve"> percent is </w:t>
      </w:r>
      <w:r w:rsidR="000E4629" w:rsidRPr="00DB5977">
        <w:rPr>
          <w:rFonts w:ascii="Verdana" w:hAnsi="Verdana" w:cstheme="minorHAnsi"/>
          <w:sz w:val="20"/>
          <w:szCs w:val="20"/>
        </w:rPr>
        <w:t xml:space="preserve">based on </w:t>
      </w:r>
      <w:r w:rsidRPr="00DB5977">
        <w:rPr>
          <w:rFonts w:ascii="Verdana" w:hAnsi="Verdana" w:cstheme="minorHAnsi"/>
          <w:sz w:val="20"/>
          <w:szCs w:val="20"/>
        </w:rPr>
        <w:t xml:space="preserve">the </w:t>
      </w:r>
      <w:r w:rsidR="000E4629" w:rsidRPr="00DB5977">
        <w:rPr>
          <w:rFonts w:ascii="Verdana" w:hAnsi="Verdana" w:cstheme="minorHAnsi"/>
          <w:sz w:val="20"/>
          <w:szCs w:val="20"/>
        </w:rPr>
        <w:t xml:space="preserve">higher end </w:t>
      </w:r>
      <w:r w:rsidR="00C12107" w:rsidRPr="00DB5977">
        <w:rPr>
          <w:rFonts w:ascii="Verdana" w:hAnsi="Verdana" w:cstheme="minorHAnsi"/>
          <w:sz w:val="20"/>
          <w:szCs w:val="20"/>
        </w:rPr>
        <w:t xml:space="preserve">of </w:t>
      </w:r>
      <w:r w:rsidRPr="00DB5977">
        <w:rPr>
          <w:rFonts w:ascii="Verdana" w:hAnsi="Verdana" w:cstheme="minorHAnsi"/>
          <w:sz w:val="20"/>
          <w:szCs w:val="20"/>
        </w:rPr>
        <w:t xml:space="preserve">a range </w:t>
      </w:r>
      <w:r w:rsidR="001D7258" w:rsidRPr="00DB5977">
        <w:rPr>
          <w:rFonts w:ascii="Verdana" w:hAnsi="Verdana" w:cstheme="minorHAnsi"/>
          <w:sz w:val="20"/>
          <w:szCs w:val="20"/>
        </w:rPr>
        <w:t>of</w:t>
      </w:r>
      <w:r w:rsidRPr="00DB5977">
        <w:rPr>
          <w:rFonts w:ascii="Verdana" w:hAnsi="Verdana" w:cstheme="minorHAnsi"/>
          <w:sz w:val="20"/>
          <w:szCs w:val="20"/>
        </w:rPr>
        <w:t xml:space="preserve"> </w:t>
      </w:r>
      <w:r w:rsidR="00747106" w:rsidRPr="00DB5977">
        <w:rPr>
          <w:rFonts w:ascii="Verdana" w:hAnsi="Verdana" w:cstheme="minorHAnsi"/>
          <w:sz w:val="20"/>
          <w:szCs w:val="20"/>
        </w:rPr>
        <w:t>8.9</w:t>
      </w:r>
      <w:r w:rsidRPr="00DB5977">
        <w:rPr>
          <w:rFonts w:ascii="Verdana" w:hAnsi="Verdana" w:cstheme="minorHAnsi"/>
          <w:sz w:val="20"/>
          <w:szCs w:val="20"/>
        </w:rPr>
        <w:t xml:space="preserve"> percent to </w:t>
      </w:r>
      <w:r w:rsidR="00675CAC" w:rsidRPr="00DB5977">
        <w:rPr>
          <w:rFonts w:ascii="Verdana" w:hAnsi="Verdana" w:cstheme="minorHAnsi"/>
          <w:sz w:val="20"/>
          <w:szCs w:val="20"/>
        </w:rPr>
        <w:t>9</w:t>
      </w:r>
      <w:r w:rsidR="00747106" w:rsidRPr="00DB5977">
        <w:rPr>
          <w:rFonts w:ascii="Verdana" w:hAnsi="Verdana" w:cstheme="minorHAnsi"/>
          <w:sz w:val="20"/>
          <w:szCs w:val="20"/>
        </w:rPr>
        <w:t>.1</w:t>
      </w:r>
      <w:r w:rsidRPr="00DB5977">
        <w:rPr>
          <w:rFonts w:ascii="Verdana" w:hAnsi="Verdana" w:cstheme="minorHAnsi"/>
          <w:sz w:val="20"/>
          <w:szCs w:val="20"/>
        </w:rPr>
        <w:t xml:space="preserve"> percent derived from</w:t>
      </w:r>
      <w:r w:rsidR="007213FA">
        <w:rPr>
          <w:rFonts w:ascii="Verdana" w:hAnsi="Verdana" w:cstheme="minorHAnsi"/>
          <w:sz w:val="20"/>
          <w:szCs w:val="20"/>
        </w:rPr>
        <w:t xml:space="preserve"> the mean estimates of</w:t>
      </w:r>
      <w:r w:rsidRPr="00DB5977">
        <w:rPr>
          <w:rFonts w:ascii="Verdana" w:hAnsi="Verdana" w:cstheme="minorHAnsi"/>
          <w:sz w:val="20"/>
          <w:szCs w:val="20"/>
        </w:rPr>
        <w:t xml:space="preserve"> my </w:t>
      </w:r>
      <w:r w:rsidR="00221AE1" w:rsidRPr="00DB5977">
        <w:rPr>
          <w:rFonts w:ascii="Verdana" w:hAnsi="Verdana" w:cstheme="minorHAnsi"/>
          <w:sz w:val="20"/>
          <w:szCs w:val="20"/>
        </w:rPr>
        <w:t xml:space="preserve">market-based cost of equity </w:t>
      </w:r>
      <w:r w:rsidRPr="00DB5977">
        <w:rPr>
          <w:rFonts w:ascii="Verdana" w:hAnsi="Verdana" w:cstheme="minorHAnsi"/>
          <w:sz w:val="20"/>
          <w:szCs w:val="20"/>
        </w:rPr>
        <w:t>methodologies using a proxy group of comparable risk companies.</w:t>
      </w:r>
      <w:r w:rsidR="0025065A">
        <w:rPr>
          <w:rFonts w:ascii="Verdana" w:hAnsi="Verdana" w:cstheme="minorHAnsi"/>
          <w:sz w:val="20"/>
          <w:szCs w:val="20"/>
        </w:rPr>
        <w:t xml:space="preserve"> </w:t>
      </w:r>
      <w:r w:rsidR="00EB0028" w:rsidRPr="00DB5977">
        <w:rPr>
          <w:rFonts w:ascii="Verdana" w:hAnsi="Verdana" w:cstheme="minorHAnsi"/>
          <w:sz w:val="20"/>
          <w:szCs w:val="20"/>
        </w:rPr>
        <w:t xml:space="preserve">I recommend an </w:t>
      </w:r>
      <w:r w:rsidR="00E52895" w:rsidRPr="00DB5977">
        <w:rPr>
          <w:rFonts w:ascii="Verdana" w:hAnsi="Verdana" w:cstheme="minorHAnsi"/>
          <w:sz w:val="20"/>
          <w:szCs w:val="20"/>
        </w:rPr>
        <w:t>authorized</w:t>
      </w:r>
      <w:r w:rsidR="00EB0028" w:rsidRPr="00DB5977">
        <w:rPr>
          <w:rFonts w:ascii="Verdana" w:hAnsi="Verdana" w:cstheme="minorHAnsi"/>
          <w:sz w:val="20"/>
          <w:szCs w:val="20"/>
        </w:rPr>
        <w:t xml:space="preserve"> ROE at the maximum of my range because </w:t>
      </w:r>
      <w:r w:rsidR="0057691C" w:rsidRPr="00DB5977">
        <w:rPr>
          <w:rFonts w:ascii="Verdana" w:hAnsi="Verdana" w:cstheme="minorHAnsi"/>
          <w:sz w:val="20"/>
          <w:szCs w:val="20"/>
        </w:rPr>
        <w:t>it represents a fair and reasonable ROE for</w:t>
      </w:r>
      <w:r w:rsidR="00B0406F" w:rsidRPr="00DB5977">
        <w:rPr>
          <w:rFonts w:ascii="Verdana" w:hAnsi="Verdana" w:cstheme="minorHAnsi"/>
          <w:sz w:val="20"/>
          <w:szCs w:val="20"/>
        </w:rPr>
        <w:t xml:space="preserve"> Georgia Power</w:t>
      </w:r>
      <w:r w:rsidR="009B4FD1" w:rsidRPr="00DB5977">
        <w:rPr>
          <w:rFonts w:ascii="Verdana" w:hAnsi="Verdana" w:cstheme="minorHAnsi"/>
          <w:sz w:val="20"/>
          <w:szCs w:val="20"/>
        </w:rPr>
        <w:t xml:space="preserve"> </w:t>
      </w:r>
      <w:r w:rsidR="00A8362B">
        <w:rPr>
          <w:rFonts w:ascii="Verdana" w:hAnsi="Verdana" w:cstheme="minorHAnsi"/>
          <w:sz w:val="20"/>
          <w:szCs w:val="20"/>
        </w:rPr>
        <w:t>and I believe my recommendation is conservative</w:t>
      </w:r>
      <w:r w:rsidR="0047609C">
        <w:rPr>
          <w:rFonts w:ascii="Verdana" w:hAnsi="Verdana" w:cstheme="minorHAnsi"/>
          <w:sz w:val="20"/>
          <w:szCs w:val="20"/>
        </w:rPr>
        <w:t xml:space="preserve"> because it is at the higher end of my range</w:t>
      </w:r>
      <w:r w:rsidR="0057691C" w:rsidRPr="00DB5977">
        <w:rPr>
          <w:rFonts w:ascii="Verdana" w:hAnsi="Verdana" w:cstheme="minorHAnsi"/>
          <w:sz w:val="20"/>
          <w:szCs w:val="20"/>
        </w:rPr>
        <w:t>.</w:t>
      </w:r>
      <w:r w:rsidR="0025065A">
        <w:rPr>
          <w:rFonts w:ascii="Verdana" w:hAnsi="Verdana" w:cstheme="minorHAnsi"/>
          <w:sz w:val="20"/>
          <w:szCs w:val="20"/>
        </w:rPr>
        <w:t xml:space="preserve"> </w:t>
      </w:r>
      <w:r w:rsidR="0065464C">
        <w:rPr>
          <w:rFonts w:ascii="Verdana" w:hAnsi="Verdana" w:cstheme="minorHAnsi"/>
          <w:sz w:val="20"/>
          <w:szCs w:val="20"/>
        </w:rPr>
        <w:t xml:space="preserve">This recommendation </w:t>
      </w:r>
      <w:r w:rsidR="00684E96">
        <w:rPr>
          <w:rFonts w:ascii="Verdana" w:hAnsi="Verdana" w:cstheme="minorHAnsi"/>
          <w:sz w:val="20"/>
          <w:szCs w:val="20"/>
        </w:rPr>
        <w:t xml:space="preserve">also </w:t>
      </w:r>
      <w:r w:rsidR="0065464C">
        <w:rPr>
          <w:rFonts w:ascii="Verdana" w:hAnsi="Verdana" w:cstheme="minorHAnsi"/>
          <w:sz w:val="20"/>
          <w:szCs w:val="20"/>
        </w:rPr>
        <w:t>inc</w:t>
      </w:r>
      <w:r w:rsidR="00087385">
        <w:rPr>
          <w:rFonts w:ascii="Verdana" w:hAnsi="Verdana" w:cstheme="minorHAnsi"/>
          <w:sz w:val="20"/>
          <w:szCs w:val="20"/>
        </w:rPr>
        <w:t>ludes</w:t>
      </w:r>
      <w:r w:rsidR="0065464C">
        <w:rPr>
          <w:rFonts w:ascii="Verdana" w:hAnsi="Verdana" w:cstheme="minorHAnsi"/>
          <w:sz w:val="20"/>
          <w:szCs w:val="20"/>
        </w:rPr>
        <w:t xml:space="preserve"> a </w:t>
      </w:r>
      <w:r w:rsidR="00087385">
        <w:rPr>
          <w:rFonts w:ascii="Verdana" w:hAnsi="Verdana" w:cstheme="minorHAnsi"/>
          <w:sz w:val="20"/>
          <w:szCs w:val="20"/>
        </w:rPr>
        <w:t xml:space="preserve">10 basis point </w:t>
      </w:r>
      <w:r w:rsidR="0065464C">
        <w:rPr>
          <w:rFonts w:ascii="Verdana" w:hAnsi="Verdana" w:cstheme="minorHAnsi"/>
          <w:sz w:val="20"/>
          <w:szCs w:val="20"/>
        </w:rPr>
        <w:t>flotation cost adjustment</w:t>
      </w:r>
      <w:r w:rsidR="00243DE7">
        <w:rPr>
          <w:rFonts w:ascii="Verdana" w:hAnsi="Verdana" w:cstheme="minorHAnsi"/>
          <w:sz w:val="20"/>
          <w:szCs w:val="20"/>
        </w:rPr>
        <w:t>.</w:t>
      </w:r>
      <w:r w:rsidRPr="00DB5977">
        <w:rPr>
          <w:rFonts w:ascii="Verdana" w:hAnsi="Verdana" w:cstheme="minorHAnsi"/>
          <w:sz w:val="20"/>
          <w:szCs w:val="20"/>
        </w:rPr>
        <w:t xml:space="preserve"> </w:t>
      </w:r>
    </w:p>
    <w:p w14:paraId="1D08B81A" w14:textId="77777777" w:rsidR="00823379" w:rsidRPr="00DB5977" w:rsidRDefault="00823379" w:rsidP="00823379">
      <w:pPr>
        <w:pStyle w:val="Heading1"/>
        <w:numPr>
          <w:ilvl w:val="0"/>
          <w:numId w:val="0"/>
        </w:numPr>
        <w:jc w:val="left"/>
        <w:rPr>
          <w:rFonts w:ascii="Verdana" w:hAnsi="Verdana" w:cstheme="minorHAnsi"/>
          <w:sz w:val="20"/>
          <w:szCs w:val="22"/>
        </w:rPr>
      </w:pPr>
    </w:p>
    <w:p w14:paraId="728B8347" w14:textId="484B1ADB" w:rsidR="0025065A" w:rsidRPr="00ED1819" w:rsidRDefault="0025065A" w:rsidP="0025065A">
      <w:pPr>
        <w:pStyle w:val="Heading1"/>
        <w:numPr>
          <w:ilvl w:val="0"/>
          <w:numId w:val="0"/>
        </w:numPr>
        <w:rPr>
          <w:rFonts w:ascii="Verdana" w:hAnsi="Verdana" w:cstheme="minorHAnsi"/>
          <w:sz w:val="20"/>
          <w:szCs w:val="20"/>
        </w:rPr>
      </w:pPr>
      <w:bookmarkStart w:id="8" w:name="_Toc21555885"/>
      <w:bookmarkStart w:id="9" w:name="_Toc21873136"/>
      <w:bookmarkStart w:id="10" w:name="_Toc415003970"/>
      <w:r>
        <w:rPr>
          <w:rFonts w:ascii="Verdana" w:hAnsi="Verdana" w:cstheme="minorHAnsi"/>
          <w:sz w:val="20"/>
          <w:szCs w:val="20"/>
          <w:u w:val="none"/>
        </w:rPr>
        <w:t>II</w:t>
      </w:r>
      <w:r w:rsidR="004879FE">
        <w:rPr>
          <w:rFonts w:ascii="Verdana" w:hAnsi="Verdana" w:cstheme="minorHAnsi"/>
          <w:sz w:val="20"/>
          <w:szCs w:val="20"/>
          <w:u w:val="none"/>
        </w:rPr>
        <w:t>I</w:t>
      </w:r>
      <w:r>
        <w:rPr>
          <w:rFonts w:ascii="Verdana" w:hAnsi="Verdana" w:cstheme="minorHAnsi"/>
          <w:sz w:val="20"/>
          <w:szCs w:val="20"/>
          <w:u w:val="none"/>
        </w:rPr>
        <w:t xml:space="preserve">. </w:t>
      </w:r>
      <w:r w:rsidRPr="00ED1819">
        <w:rPr>
          <w:rFonts w:ascii="Verdana" w:hAnsi="Verdana" w:cstheme="minorHAnsi"/>
          <w:sz w:val="20"/>
          <w:szCs w:val="20"/>
        </w:rPr>
        <w:t>MACROECONOMIC CONDITIONS</w:t>
      </w:r>
      <w:bookmarkEnd w:id="8"/>
      <w:bookmarkEnd w:id="9"/>
    </w:p>
    <w:bookmarkEnd w:id="10"/>
    <w:p w14:paraId="6D381FB8" w14:textId="77777777" w:rsidR="00823379" w:rsidRPr="00DB5977" w:rsidRDefault="00823379" w:rsidP="00486739">
      <w:pPr>
        <w:pStyle w:val="DirectQuestion"/>
      </w:pPr>
      <w:r w:rsidRPr="00DB5977">
        <w:t xml:space="preserve">Why is it important to consider macroeconomic conditions in developing </w:t>
      </w:r>
      <w:r w:rsidR="001D7258" w:rsidRPr="00DB5977">
        <w:t xml:space="preserve">a recommended </w:t>
      </w:r>
      <w:r w:rsidRPr="00DB5977">
        <w:t>ROE?</w:t>
      </w:r>
    </w:p>
    <w:p w14:paraId="1D25C976"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Investors consider both economic and monetary conditions when assessing the opportunity costs of their investments.</w:t>
      </w:r>
      <w:r w:rsidR="0025065A">
        <w:rPr>
          <w:rFonts w:ascii="Verdana" w:hAnsi="Verdana" w:cstheme="minorHAnsi"/>
          <w:sz w:val="20"/>
          <w:szCs w:val="20"/>
        </w:rPr>
        <w:t xml:space="preserve"> </w:t>
      </w:r>
      <w:r w:rsidRPr="00DB5977">
        <w:rPr>
          <w:rFonts w:ascii="Verdana" w:hAnsi="Verdana" w:cstheme="minorHAnsi"/>
          <w:sz w:val="20"/>
          <w:szCs w:val="20"/>
        </w:rPr>
        <w:t>Global, national, and regional economic conditions affect investor expectations regarding investment returns, as measured by stock prices, interest rates, and sustainable dividend growth.</w:t>
      </w:r>
    </w:p>
    <w:p w14:paraId="4DAE71D5" w14:textId="77777777" w:rsidR="00823379" w:rsidRPr="00DB5977" w:rsidRDefault="00823379" w:rsidP="00486739">
      <w:pPr>
        <w:pStyle w:val="DirectQuestion"/>
      </w:pPr>
      <w:r w:rsidRPr="00DB5977">
        <w:lastRenderedPageBreak/>
        <w:t xml:space="preserve">How would you describe current National economic conditions? </w:t>
      </w:r>
    </w:p>
    <w:p w14:paraId="3851DA89" w14:textId="72BEE929" w:rsidR="001D7258" w:rsidRPr="00DB5977" w:rsidRDefault="00DE56DB" w:rsidP="00900E8E">
      <w:pPr>
        <w:pStyle w:val="DirectAnswer"/>
        <w:numPr>
          <w:ilvl w:val="1"/>
          <w:numId w:val="18"/>
        </w:numPr>
        <w:jc w:val="both"/>
        <w:rPr>
          <w:rFonts w:ascii="Verdana" w:hAnsi="Verdana"/>
          <w:sz w:val="20"/>
          <w:szCs w:val="20"/>
        </w:rPr>
      </w:pPr>
      <w:r w:rsidRPr="00DB5977">
        <w:rPr>
          <w:rFonts w:ascii="Verdana" w:hAnsi="Verdana"/>
          <w:sz w:val="20"/>
          <w:szCs w:val="20"/>
        </w:rPr>
        <w:t>Recent</w:t>
      </w:r>
      <w:r w:rsidR="001D7258" w:rsidRPr="00DB5977">
        <w:rPr>
          <w:rFonts w:ascii="Verdana" w:hAnsi="Verdana"/>
          <w:sz w:val="20"/>
          <w:szCs w:val="20"/>
        </w:rPr>
        <w:t xml:space="preserve"> </w:t>
      </w:r>
      <w:r w:rsidRPr="00DB5977">
        <w:rPr>
          <w:rFonts w:ascii="Verdana" w:hAnsi="Verdana"/>
          <w:sz w:val="20"/>
          <w:szCs w:val="20"/>
        </w:rPr>
        <w:t>economic growth</w:t>
      </w:r>
      <w:r w:rsidR="001D7258" w:rsidRPr="00DB5977">
        <w:rPr>
          <w:rFonts w:ascii="Verdana" w:hAnsi="Verdana"/>
          <w:sz w:val="20"/>
          <w:szCs w:val="20"/>
        </w:rPr>
        <w:t>, as measured by real Gross Domestic Product (“GDP”), show</w:t>
      </w:r>
      <w:r w:rsidR="00FD2A28">
        <w:rPr>
          <w:rFonts w:ascii="Verdana" w:hAnsi="Verdana"/>
          <w:sz w:val="20"/>
          <w:szCs w:val="20"/>
        </w:rPr>
        <w:t>s</w:t>
      </w:r>
      <w:r w:rsidR="001D7258" w:rsidRPr="00DB5977">
        <w:rPr>
          <w:rFonts w:ascii="Verdana" w:hAnsi="Verdana"/>
          <w:sz w:val="20"/>
          <w:szCs w:val="20"/>
        </w:rPr>
        <w:t xml:space="preserve"> </w:t>
      </w:r>
      <w:r w:rsidRPr="00DB5977">
        <w:rPr>
          <w:rFonts w:ascii="Verdana" w:hAnsi="Verdana"/>
          <w:sz w:val="20"/>
          <w:szCs w:val="20"/>
        </w:rPr>
        <w:t xml:space="preserve">that </w:t>
      </w:r>
      <w:r w:rsidR="00221AE1" w:rsidRPr="00DB5977">
        <w:rPr>
          <w:rFonts w:ascii="Verdana" w:hAnsi="Verdana"/>
          <w:sz w:val="20"/>
          <w:szCs w:val="20"/>
        </w:rPr>
        <w:t>the</w:t>
      </w:r>
      <w:r w:rsidRPr="00DB5977">
        <w:rPr>
          <w:rFonts w:ascii="Verdana" w:hAnsi="Verdana"/>
          <w:sz w:val="20"/>
          <w:szCs w:val="20"/>
        </w:rPr>
        <w:t xml:space="preserve"> robust </w:t>
      </w:r>
      <w:r w:rsidR="00221AE1" w:rsidRPr="00DB5977">
        <w:rPr>
          <w:rFonts w:ascii="Verdana" w:hAnsi="Verdana"/>
          <w:sz w:val="20"/>
          <w:szCs w:val="20"/>
        </w:rPr>
        <w:t xml:space="preserve">U.S. </w:t>
      </w:r>
      <w:r w:rsidRPr="00DB5977">
        <w:rPr>
          <w:rFonts w:ascii="Verdana" w:hAnsi="Verdana"/>
          <w:sz w:val="20"/>
          <w:szCs w:val="20"/>
        </w:rPr>
        <w:t>economy is s</w:t>
      </w:r>
      <w:r w:rsidR="00D9303B" w:rsidRPr="00DB5977">
        <w:rPr>
          <w:rFonts w:ascii="Verdana" w:hAnsi="Verdana"/>
          <w:sz w:val="20"/>
          <w:szCs w:val="20"/>
        </w:rPr>
        <w:t xml:space="preserve">lowing </w:t>
      </w:r>
      <w:r w:rsidRPr="00DB5977">
        <w:rPr>
          <w:rFonts w:ascii="Verdana" w:hAnsi="Verdana"/>
          <w:sz w:val="20"/>
          <w:szCs w:val="20"/>
        </w:rPr>
        <w:t>down</w:t>
      </w:r>
      <w:r w:rsidR="001D7258" w:rsidRPr="00DB5977">
        <w:rPr>
          <w:rFonts w:ascii="Verdana" w:hAnsi="Verdana"/>
          <w:sz w:val="20"/>
          <w:szCs w:val="20"/>
        </w:rPr>
        <w:t>.</w:t>
      </w:r>
      <w:r w:rsidR="0025065A">
        <w:rPr>
          <w:rFonts w:ascii="Verdana" w:hAnsi="Verdana"/>
          <w:sz w:val="20"/>
          <w:szCs w:val="20"/>
        </w:rPr>
        <w:t xml:space="preserve"> </w:t>
      </w:r>
      <w:r w:rsidR="001D7258" w:rsidRPr="00DB5977">
        <w:rPr>
          <w:rFonts w:ascii="Verdana" w:hAnsi="Verdana"/>
          <w:sz w:val="20"/>
          <w:szCs w:val="20"/>
        </w:rPr>
        <w:t xml:space="preserve">After a </w:t>
      </w:r>
      <w:r w:rsidRPr="00DB5977">
        <w:rPr>
          <w:rFonts w:ascii="Verdana" w:hAnsi="Verdana"/>
          <w:sz w:val="20"/>
          <w:szCs w:val="20"/>
        </w:rPr>
        <w:t>period of increasing grow</w:t>
      </w:r>
      <w:r w:rsidR="00EA2157" w:rsidRPr="00DB5977">
        <w:rPr>
          <w:rFonts w:ascii="Verdana" w:hAnsi="Verdana"/>
          <w:sz w:val="20"/>
          <w:szCs w:val="20"/>
        </w:rPr>
        <w:t>th</w:t>
      </w:r>
      <w:r w:rsidR="001D7258" w:rsidRPr="00DB5977">
        <w:rPr>
          <w:rFonts w:ascii="Verdana" w:hAnsi="Verdana"/>
          <w:sz w:val="20"/>
          <w:szCs w:val="20"/>
        </w:rPr>
        <w:t xml:space="preserve"> </w:t>
      </w:r>
      <w:r w:rsidR="005719F5" w:rsidRPr="00DB5977">
        <w:rPr>
          <w:rFonts w:ascii="Verdana" w:hAnsi="Verdana"/>
          <w:sz w:val="20"/>
          <w:szCs w:val="20"/>
        </w:rPr>
        <w:t>during</w:t>
      </w:r>
      <w:r w:rsidR="001D7258" w:rsidRPr="00DB5977">
        <w:rPr>
          <w:rFonts w:ascii="Verdana" w:hAnsi="Verdana"/>
          <w:sz w:val="20"/>
          <w:szCs w:val="20"/>
        </w:rPr>
        <w:t xml:space="preserve"> 201</w:t>
      </w:r>
      <w:r w:rsidRPr="00DB5977">
        <w:rPr>
          <w:rFonts w:ascii="Verdana" w:hAnsi="Verdana"/>
          <w:sz w:val="20"/>
          <w:szCs w:val="20"/>
        </w:rPr>
        <w:t>8</w:t>
      </w:r>
      <w:r w:rsidR="00FD2A28">
        <w:rPr>
          <w:rFonts w:ascii="Verdana" w:hAnsi="Verdana"/>
          <w:sz w:val="20"/>
          <w:szCs w:val="20"/>
        </w:rPr>
        <w:t>,</w:t>
      </w:r>
      <w:r w:rsidR="001D7258" w:rsidRPr="00DB5977">
        <w:rPr>
          <w:rFonts w:ascii="Verdana" w:hAnsi="Verdana"/>
          <w:sz w:val="20"/>
          <w:szCs w:val="20"/>
        </w:rPr>
        <w:t xml:space="preserve"> with real GDP growth </w:t>
      </w:r>
      <w:r w:rsidR="004D3C65" w:rsidRPr="00DB5977">
        <w:rPr>
          <w:rFonts w:ascii="Verdana" w:hAnsi="Verdana"/>
          <w:sz w:val="20"/>
          <w:szCs w:val="20"/>
        </w:rPr>
        <w:t>reaching a</w:t>
      </w:r>
      <w:r w:rsidR="00DE2C44" w:rsidRPr="00DB5977">
        <w:rPr>
          <w:rFonts w:ascii="Verdana" w:hAnsi="Verdana"/>
          <w:sz w:val="20"/>
          <w:szCs w:val="20"/>
        </w:rPr>
        <w:t>n annual</w:t>
      </w:r>
      <w:r w:rsidR="004D3C65" w:rsidRPr="00DB5977">
        <w:rPr>
          <w:rFonts w:ascii="Verdana" w:hAnsi="Verdana"/>
          <w:sz w:val="20"/>
          <w:szCs w:val="20"/>
        </w:rPr>
        <w:t xml:space="preserve"> high of</w:t>
      </w:r>
      <w:r w:rsidR="001D7258" w:rsidRPr="00DB5977">
        <w:rPr>
          <w:rFonts w:ascii="Verdana" w:hAnsi="Verdana"/>
          <w:sz w:val="20"/>
          <w:szCs w:val="20"/>
        </w:rPr>
        <w:t xml:space="preserve"> </w:t>
      </w:r>
      <w:r w:rsidRPr="00DB5977">
        <w:rPr>
          <w:rFonts w:ascii="Verdana" w:hAnsi="Verdana"/>
          <w:sz w:val="20"/>
          <w:szCs w:val="20"/>
        </w:rPr>
        <w:t>2</w:t>
      </w:r>
      <w:r w:rsidR="001D7258" w:rsidRPr="00DB5977">
        <w:rPr>
          <w:rFonts w:ascii="Verdana" w:hAnsi="Verdana"/>
          <w:sz w:val="20"/>
          <w:szCs w:val="20"/>
        </w:rPr>
        <w:t>.</w:t>
      </w:r>
      <w:r w:rsidR="00181E16" w:rsidRPr="00DB5977">
        <w:rPr>
          <w:rFonts w:ascii="Verdana" w:hAnsi="Verdana"/>
          <w:sz w:val="20"/>
          <w:szCs w:val="20"/>
        </w:rPr>
        <w:t>9</w:t>
      </w:r>
      <w:r w:rsidR="001D7258" w:rsidRPr="00DB5977">
        <w:rPr>
          <w:rFonts w:ascii="Verdana" w:hAnsi="Verdana"/>
          <w:sz w:val="20"/>
          <w:szCs w:val="20"/>
        </w:rPr>
        <w:t xml:space="preserve"> percent, the </w:t>
      </w:r>
      <w:r w:rsidR="00181E16" w:rsidRPr="00DB5977">
        <w:rPr>
          <w:rFonts w:ascii="Verdana" w:hAnsi="Verdana"/>
          <w:sz w:val="20"/>
          <w:szCs w:val="20"/>
        </w:rPr>
        <w:t>most recent data</w:t>
      </w:r>
      <w:r w:rsidR="003362ED" w:rsidRPr="00DB5977">
        <w:rPr>
          <w:rFonts w:ascii="Verdana" w:hAnsi="Verdana"/>
          <w:sz w:val="20"/>
          <w:szCs w:val="20"/>
        </w:rPr>
        <w:t xml:space="preserve"> for </w:t>
      </w:r>
      <w:r w:rsidR="00FD2A28">
        <w:rPr>
          <w:rFonts w:ascii="Verdana" w:hAnsi="Verdana"/>
          <w:sz w:val="20"/>
          <w:szCs w:val="20"/>
        </w:rPr>
        <w:t>Q</w:t>
      </w:r>
      <w:r w:rsidR="00ED7703">
        <w:rPr>
          <w:rFonts w:ascii="Verdana" w:hAnsi="Verdana"/>
          <w:sz w:val="20"/>
          <w:szCs w:val="20"/>
        </w:rPr>
        <w:t>2</w:t>
      </w:r>
      <w:r w:rsidR="00FD2A28">
        <w:rPr>
          <w:rFonts w:ascii="Verdana" w:hAnsi="Verdana"/>
          <w:sz w:val="20"/>
          <w:szCs w:val="20"/>
        </w:rPr>
        <w:t xml:space="preserve"> 2019</w:t>
      </w:r>
      <w:r w:rsidR="00181E16" w:rsidRPr="00DB5977">
        <w:rPr>
          <w:rFonts w:ascii="Verdana" w:hAnsi="Verdana"/>
          <w:sz w:val="20"/>
          <w:szCs w:val="20"/>
        </w:rPr>
        <w:t xml:space="preserve"> show</w:t>
      </w:r>
      <w:r w:rsidR="000A17D7" w:rsidRPr="00DB5977">
        <w:rPr>
          <w:rFonts w:ascii="Verdana" w:hAnsi="Verdana"/>
          <w:sz w:val="20"/>
          <w:szCs w:val="20"/>
        </w:rPr>
        <w:t xml:space="preserve"> </w:t>
      </w:r>
      <w:r w:rsidR="001D7258" w:rsidRPr="00DB5977">
        <w:rPr>
          <w:rFonts w:ascii="Verdana" w:hAnsi="Verdana"/>
          <w:sz w:val="20"/>
          <w:szCs w:val="20"/>
        </w:rPr>
        <w:t xml:space="preserve">real GDP growth </w:t>
      </w:r>
      <w:r w:rsidR="003723F1" w:rsidRPr="00DB5977">
        <w:rPr>
          <w:rFonts w:ascii="Verdana" w:hAnsi="Verdana"/>
          <w:sz w:val="20"/>
          <w:szCs w:val="20"/>
        </w:rPr>
        <w:t>at</w:t>
      </w:r>
      <w:r w:rsidR="001D7258" w:rsidRPr="00DB5977">
        <w:rPr>
          <w:rFonts w:ascii="Verdana" w:hAnsi="Verdana"/>
          <w:sz w:val="20"/>
          <w:szCs w:val="20"/>
        </w:rPr>
        <w:t xml:space="preserve"> </w:t>
      </w:r>
      <w:r w:rsidR="000A17D7" w:rsidRPr="00DB5977">
        <w:rPr>
          <w:rFonts w:ascii="Verdana" w:hAnsi="Verdana"/>
          <w:sz w:val="20"/>
          <w:szCs w:val="20"/>
        </w:rPr>
        <w:t>2.0</w:t>
      </w:r>
      <w:r w:rsidR="001D7258" w:rsidRPr="00DB5977">
        <w:rPr>
          <w:rFonts w:ascii="Verdana" w:hAnsi="Verdana"/>
          <w:sz w:val="20"/>
          <w:szCs w:val="20"/>
        </w:rPr>
        <w:t xml:space="preserve"> percent</w:t>
      </w:r>
      <w:r w:rsidR="006E5AA6" w:rsidRPr="00DB5977">
        <w:rPr>
          <w:rFonts w:ascii="Verdana" w:hAnsi="Verdana"/>
          <w:sz w:val="20"/>
          <w:szCs w:val="20"/>
        </w:rPr>
        <w:t>.</w:t>
      </w:r>
      <w:r w:rsidR="00851821" w:rsidRPr="00DB5977">
        <w:rPr>
          <w:rFonts w:ascii="Verdana" w:hAnsi="Verdana"/>
          <w:sz w:val="20"/>
          <w:szCs w:val="20"/>
        </w:rPr>
        <w:t xml:space="preserve"> </w:t>
      </w:r>
      <w:r w:rsidR="00680624" w:rsidRPr="00DB5977">
        <w:rPr>
          <w:rFonts w:ascii="Verdana" w:hAnsi="Verdana"/>
          <w:sz w:val="20"/>
          <w:szCs w:val="20"/>
        </w:rPr>
        <w:t>(</w:t>
      </w:r>
      <w:r w:rsidR="00680624" w:rsidRPr="00DB5977">
        <w:rPr>
          <w:rFonts w:ascii="Verdana" w:hAnsi="Verdana"/>
          <w:i/>
          <w:iCs/>
          <w:sz w:val="20"/>
          <w:szCs w:val="20"/>
          <w:u w:val="single"/>
        </w:rPr>
        <w:t>See</w:t>
      </w:r>
      <w:r w:rsidR="00680624" w:rsidRPr="00DB5977">
        <w:rPr>
          <w:rFonts w:ascii="Verdana" w:hAnsi="Verdana"/>
          <w:sz w:val="20"/>
          <w:szCs w:val="20"/>
        </w:rPr>
        <w:t xml:space="preserve"> </w:t>
      </w:r>
      <w:r w:rsidR="0013533B">
        <w:rPr>
          <w:rFonts w:ascii="Verdana" w:hAnsi="Verdana"/>
          <w:sz w:val="20"/>
          <w:szCs w:val="20"/>
        </w:rPr>
        <w:t>Exhibit</w:t>
      </w:r>
      <w:proofErr w:type="gramStart"/>
      <w:r w:rsidR="0013533B">
        <w:rPr>
          <w:rFonts w:ascii="Verdana" w:hAnsi="Verdana"/>
          <w:sz w:val="20"/>
          <w:szCs w:val="20"/>
        </w:rPr>
        <w:t>_(</w:t>
      </w:r>
      <w:proofErr w:type="gramEnd"/>
      <w:r w:rsidR="0013533B">
        <w:rPr>
          <w:rFonts w:ascii="Verdana" w:hAnsi="Verdana"/>
          <w:sz w:val="20"/>
          <w:szCs w:val="20"/>
        </w:rPr>
        <w:t>M</w:t>
      </w:r>
      <w:r w:rsidR="0075669E" w:rsidRPr="00DB5977">
        <w:rPr>
          <w:rFonts w:ascii="Verdana" w:hAnsi="Verdana"/>
          <w:sz w:val="20"/>
          <w:szCs w:val="20"/>
        </w:rPr>
        <w:t>LR-1.)</w:t>
      </w:r>
      <w:r w:rsidR="006E5AA6" w:rsidRPr="00DB5977">
        <w:rPr>
          <w:rFonts w:ascii="Verdana" w:hAnsi="Verdana"/>
          <w:sz w:val="20"/>
          <w:szCs w:val="20"/>
        </w:rPr>
        <w:t xml:space="preserve"> </w:t>
      </w:r>
      <w:r w:rsidR="00DD1DC2" w:rsidRPr="00DB5977">
        <w:rPr>
          <w:rFonts w:ascii="Verdana" w:hAnsi="Verdana"/>
          <w:i/>
          <w:iCs/>
          <w:sz w:val="20"/>
          <w:szCs w:val="20"/>
        </w:rPr>
        <w:t>Value Line</w:t>
      </w:r>
      <w:r w:rsidR="00FD2A28">
        <w:rPr>
          <w:rFonts w:ascii="Verdana" w:hAnsi="Verdana"/>
          <w:i/>
          <w:iCs/>
          <w:sz w:val="20"/>
          <w:szCs w:val="20"/>
        </w:rPr>
        <w:t xml:space="preserve"> Investment Survey </w:t>
      </w:r>
      <w:r w:rsidR="00FD2A28">
        <w:rPr>
          <w:rFonts w:ascii="Verdana" w:hAnsi="Verdana"/>
          <w:sz w:val="20"/>
          <w:szCs w:val="20"/>
        </w:rPr>
        <w:t>(“</w:t>
      </w:r>
      <w:r w:rsidR="00FD2A28">
        <w:rPr>
          <w:rFonts w:ascii="Verdana" w:hAnsi="Verdana"/>
          <w:i/>
          <w:iCs/>
          <w:sz w:val="20"/>
          <w:szCs w:val="20"/>
        </w:rPr>
        <w:t>Value Line</w:t>
      </w:r>
      <w:r w:rsidR="00FD2A28">
        <w:rPr>
          <w:rFonts w:ascii="Verdana" w:hAnsi="Verdana"/>
          <w:sz w:val="20"/>
          <w:szCs w:val="20"/>
        </w:rPr>
        <w:t>”)</w:t>
      </w:r>
      <w:r w:rsidR="00DD1DC2" w:rsidRPr="00DB5977">
        <w:rPr>
          <w:rFonts w:ascii="Verdana" w:hAnsi="Verdana"/>
          <w:sz w:val="20"/>
          <w:szCs w:val="20"/>
        </w:rPr>
        <w:t xml:space="preserve"> reports </w:t>
      </w:r>
      <w:r w:rsidR="00C118A9" w:rsidRPr="00DB5977">
        <w:rPr>
          <w:rFonts w:ascii="Verdana" w:hAnsi="Verdana"/>
          <w:sz w:val="20"/>
          <w:szCs w:val="20"/>
        </w:rPr>
        <w:t xml:space="preserve">a sharp drop in consumer sentiment and the first contraction in manufacturing </w:t>
      </w:r>
      <w:r w:rsidR="00C23BCC" w:rsidRPr="00DB5977">
        <w:rPr>
          <w:rFonts w:ascii="Verdana" w:hAnsi="Verdana"/>
          <w:sz w:val="20"/>
          <w:szCs w:val="20"/>
        </w:rPr>
        <w:t>activity in three years</w:t>
      </w:r>
      <w:r w:rsidR="00FF4217" w:rsidRPr="00DB5977">
        <w:rPr>
          <w:rFonts w:ascii="Verdana" w:hAnsi="Verdana"/>
          <w:sz w:val="20"/>
          <w:szCs w:val="20"/>
        </w:rPr>
        <w:t xml:space="preserve"> </w:t>
      </w:r>
      <w:r w:rsidR="00495032" w:rsidRPr="00DB5977">
        <w:rPr>
          <w:rFonts w:ascii="Verdana" w:hAnsi="Verdana"/>
          <w:sz w:val="20"/>
          <w:szCs w:val="20"/>
        </w:rPr>
        <w:t>while</w:t>
      </w:r>
      <w:r w:rsidR="006E5AA6" w:rsidRPr="00DB5977">
        <w:rPr>
          <w:rFonts w:ascii="Verdana" w:hAnsi="Verdana"/>
          <w:sz w:val="20"/>
          <w:szCs w:val="20"/>
        </w:rPr>
        <w:t xml:space="preserve"> </w:t>
      </w:r>
      <w:r w:rsidR="00AB5ECF" w:rsidRPr="00DB5977">
        <w:rPr>
          <w:rFonts w:ascii="Verdana" w:hAnsi="Verdana"/>
          <w:sz w:val="20"/>
          <w:szCs w:val="20"/>
        </w:rPr>
        <w:t xml:space="preserve">consumers </w:t>
      </w:r>
      <w:r w:rsidR="00744742" w:rsidRPr="00DB5977">
        <w:rPr>
          <w:rFonts w:ascii="Verdana" w:hAnsi="Verdana"/>
          <w:sz w:val="20"/>
          <w:szCs w:val="20"/>
        </w:rPr>
        <w:t>are still spending aggressively</w:t>
      </w:r>
      <w:r w:rsidR="006E5AA6" w:rsidRPr="00DB5977">
        <w:rPr>
          <w:rFonts w:ascii="Verdana" w:hAnsi="Verdana"/>
          <w:sz w:val="20"/>
          <w:szCs w:val="20"/>
        </w:rPr>
        <w:t>.</w:t>
      </w:r>
      <w:r w:rsidR="001D7258" w:rsidRPr="00DB5977">
        <w:rPr>
          <w:rStyle w:val="FootnoteReference"/>
          <w:rFonts w:ascii="Verdana" w:hAnsi="Verdana"/>
          <w:sz w:val="20"/>
          <w:szCs w:val="20"/>
        </w:rPr>
        <w:footnoteReference w:id="8"/>
      </w:r>
      <w:r w:rsidR="0025065A">
        <w:rPr>
          <w:rFonts w:ascii="Verdana" w:hAnsi="Verdana"/>
          <w:sz w:val="20"/>
          <w:szCs w:val="20"/>
        </w:rPr>
        <w:t xml:space="preserve"> </w:t>
      </w:r>
      <w:r w:rsidR="00B1684F" w:rsidRPr="00DB5977">
        <w:rPr>
          <w:rFonts w:ascii="Verdana" w:hAnsi="Verdana"/>
          <w:sz w:val="20"/>
          <w:szCs w:val="20"/>
        </w:rPr>
        <w:t>Moreover, t</w:t>
      </w:r>
      <w:r w:rsidR="00F15282" w:rsidRPr="00DB5977">
        <w:rPr>
          <w:rFonts w:ascii="Verdana" w:hAnsi="Verdana"/>
          <w:sz w:val="20"/>
          <w:szCs w:val="20"/>
        </w:rPr>
        <w:t xml:space="preserve">he national economy </w:t>
      </w:r>
      <w:r w:rsidR="00B1684F" w:rsidRPr="00DB5977">
        <w:rPr>
          <w:rFonts w:ascii="Verdana" w:hAnsi="Verdana"/>
          <w:sz w:val="20"/>
          <w:szCs w:val="20"/>
        </w:rPr>
        <w:t xml:space="preserve">is </w:t>
      </w:r>
      <w:r w:rsidR="00F15282" w:rsidRPr="00DB5977">
        <w:rPr>
          <w:rFonts w:ascii="Verdana" w:hAnsi="Verdana"/>
          <w:sz w:val="20"/>
          <w:szCs w:val="20"/>
        </w:rPr>
        <w:t xml:space="preserve">still at or near full employment as </w:t>
      </w:r>
      <w:r w:rsidR="001D7258" w:rsidRPr="00DB5977">
        <w:rPr>
          <w:rFonts w:ascii="Verdana" w:hAnsi="Verdana"/>
          <w:sz w:val="20"/>
          <w:szCs w:val="20"/>
        </w:rPr>
        <w:t xml:space="preserve">the unemployment rate fell </w:t>
      </w:r>
      <w:r w:rsidR="00F15282" w:rsidRPr="00DB5977">
        <w:rPr>
          <w:rFonts w:ascii="Verdana" w:hAnsi="Verdana"/>
          <w:sz w:val="20"/>
          <w:szCs w:val="20"/>
        </w:rPr>
        <w:t>to 3.</w:t>
      </w:r>
      <w:r w:rsidR="00297D2A" w:rsidRPr="00DB5977">
        <w:rPr>
          <w:rFonts w:ascii="Verdana" w:hAnsi="Verdana"/>
          <w:sz w:val="20"/>
          <w:szCs w:val="20"/>
        </w:rPr>
        <w:t>9</w:t>
      </w:r>
      <w:r w:rsidR="00F15282" w:rsidRPr="00DB5977">
        <w:rPr>
          <w:rFonts w:ascii="Verdana" w:hAnsi="Verdana"/>
          <w:sz w:val="20"/>
          <w:szCs w:val="20"/>
        </w:rPr>
        <w:t xml:space="preserve"> percent in </w:t>
      </w:r>
      <w:r w:rsidR="00867350" w:rsidRPr="00DB5977">
        <w:rPr>
          <w:rFonts w:ascii="Verdana" w:hAnsi="Verdana"/>
          <w:sz w:val="20"/>
          <w:szCs w:val="20"/>
        </w:rPr>
        <w:t xml:space="preserve">2018 </w:t>
      </w:r>
      <w:r w:rsidR="00F15282" w:rsidRPr="00DB5977">
        <w:rPr>
          <w:rFonts w:ascii="Verdana" w:hAnsi="Verdana"/>
          <w:sz w:val="20"/>
          <w:szCs w:val="20"/>
        </w:rPr>
        <w:t>from 4.4 percent in 201</w:t>
      </w:r>
      <w:r w:rsidR="003723F1" w:rsidRPr="00DB5977">
        <w:rPr>
          <w:rFonts w:ascii="Verdana" w:hAnsi="Verdana"/>
          <w:sz w:val="20"/>
          <w:szCs w:val="20"/>
        </w:rPr>
        <w:t>7</w:t>
      </w:r>
      <w:r w:rsidR="000430DB" w:rsidRPr="00DB5977">
        <w:rPr>
          <w:rFonts w:ascii="Verdana" w:hAnsi="Verdana"/>
          <w:sz w:val="20"/>
          <w:szCs w:val="20"/>
        </w:rPr>
        <w:t>. This</w:t>
      </w:r>
      <w:r w:rsidR="00F15282" w:rsidRPr="00DB5977">
        <w:rPr>
          <w:rFonts w:ascii="Verdana" w:hAnsi="Verdana"/>
          <w:sz w:val="20"/>
          <w:szCs w:val="20"/>
        </w:rPr>
        <w:t xml:space="preserve"> low unemployment rate also reflect</w:t>
      </w:r>
      <w:r w:rsidR="004C1A69" w:rsidRPr="00DB5977">
        <w:rPr>
          <w:rFonts w:ascii="Verdana" w:hAnsi="Verdana"/>
          <w:sz w:val="20"/>
          <w:szCs w:val="20"/>
        </w:rPr>
        <w:t>s</w:t>
      </w:r>
      <w:r w:rsidR="00F15282" w:rsidRPr="00DB5977">
        <w:rPr>
          <w:rFonts w:ascii="Verdana" w:hAnsi="Verdana"/>
          <w:sz w:val="20"/>
          <w:szCs w:val="20"/>
        </w:rPr>
        <w:t xml:space="preserve"> </w:t>
      </w:r>
      <w:r w:rsidR="00221AE1" w:rsidRPr="00DB5977">
        <w:rPr>
          <w:rFonts w:ascii="Verdana" w:hAnsi="Verdana"/>
          <w:sz w:val="20"/>
          <w:szCs w:val="20"/>
        </w:rPr>
        <w:t>a decline in</w:t>
      </w:r>
      <w:r w:rsidR="00F15282" w:rsidRPr="00DB5977">
        <w:rPr>
          <w:rFonts w:ascii="Verdana" w:hAnsi="Verdana"/>
          <w:sz w:val="20"/>
          <w:szCs w:val="20"/>
        </w:rPr>
        <w:t xml:space="preserve"> labor force participants</w:t>
      </w:r>
      <w:r w:rsidR="001E3133" w:rsidRPr="00DB5977">
        <w:rPr>
          <w:rFonts w:ascii="Verdana" w:hAnsi="Verdana"/>
          <w:sz w:val="20"/>
          <w:szCs w:val="20"/>
        </w:rPr>
        <w:t>, demonstrated by the fall in the labor force participation rate from about 65 percent in 2010 to approximately 63 percent in</w:t>
      </w:r>
      <w:r w:rsidR="00867350" w:rsidRPr="00DB5977">
        <w:rPr>
          <w:rFonts w:ascii="Verdana" w:hAnsi="Verdana"/>
          <w:sz w:val="20"/>
          <w:szCs w:val="20"/>
        </w:rPr>
        <w:t xml:space="preserve"> 2018</w:t>
      </w:r>
      <w:r w:rsidR="006878C4" w:rsidRPr="00DB5977">
        <w:rPr>
          <w:rFonts w:ascii="Verdana" w:hAnsi="Verdana"/>
          <w:sz w:val="20"/>
          <w:szCs w:val="20"/>
        </w:rPr>
        <w:t xml:space="preserve"> and 2019</w:t>
      </w:r>
      <w:r w:rsidR="001E3133" w:rsidRPr="00DB5977">
        <w:rPr>
          <w:rFonts w:ascii="Verdana" w:hAnsi="Verdana"/>
          <w:sz w:val="20"/>
          <w:szCs w:val="20"/>
        </w:rPr>
        <w:t>.</w:t>
      </w:r>
      <w:r w:rsidR="0025065A">
        <w:rPr>
          <w:rFonts w:ascii="Verdana" w:hAnsi="Verdana"/>
          <w:sz w:val="20"/>
          <w:szCs w:val="20"/>
        </w:rPr>
        <w:t xml:space="preserve"> </w:t>
      </w:r>
      <w:r w:rsidR="00851821" w:rsidRPr="00DB5977">
        <w:rPr>
          <w:rFonts w:ascii="Verdana" w:hAnsi="Verdana"/>
          <w:sz w:val="20"/>
          <w:szCs w:val="20"/>
        </w:rPr>
        <w:t>(</w:t>
      </w:r>
      <w:r w:rsidR="00851821" w:rsidRPr="00DB5977">
        <w:rPr>
          <w:rFonts w:ascii="Verdana" w:hAnsi="Verdana"/>
          <w:i/>
          <w:sz w:val="20"/>
          <w:szCs w:val="20"/>
          <w:u w:val="single"/>
        </w:rPr>
        <w:t>See</w:t>
      </w:r>
      <w:r w:rsidR="00851821" w:rsidRPr="00DB5977">
        <w:rPr>
          <w:rFonts w:ascii="Verdana" w:hAnsi="Verdana"/>
          <w:sz w:val="20"/>
          <w:szCs w:val="20"/>
        </w:rPr>
        <w:t xml:space="preserve"> </w:t>
      </w:r>
      <w:r w:rsidR="0013533B">
        <w:rPr>
          <w:rFonts w:ascii="Verdana" w:hAnsi="Verdana"/>
          <w:sz w:val="20"/>
          <w:szCs w:val="20"/>
        </w:rPr>
        <w:t>Exhibit</w:t>
      </w:r>
      <w:proofErr w:type="gramStart"/>
      <w:r w:rsidR="0013533B">
        <w:rPr>
          <w:rFonts w:ascii="Verdana" w:hAnsi="Verdana"/>
          <w:sz w:val="20"/>
          <w:szCs w:val="20"/>
        </w:rPr>
        <w:t>_(</w:t>
      </w:r>
      <w:proofErr w:type="gramEnd"/>
      <w:r w:rsidR="00851821" w:rsidRPr="00DB5977">
        <w:rPr>
          <w:rFonts w:ascii="Verdana" w:hAnsi="Verdana"/>
          <w:sz w:val="20"/>
          <w:szCs w:val="20"/>
        </w:rPr>
        <w:t>MLR-1.)</w:t>
      </w:r>
      <w:r w:rsidR="0025065A">
        <w:rPr>
          <w:rFonts w:ascii="Verdana" w:hAnsi="Verdana"/>
          <w:sz w:val="20"/>
          <w:szCs w:val="20"/>
        </w:rPr>
        <w:t xml:space="preserve"> </w:t>
      </w:r>
      <w:r w:rsidR="00DA6257" w:rsidRPr="00DB5977">
        <w:rPr>
          <w:rFonts w:ascii="Verdana" w:hAnsi="Verdana"/>
          <w:sz w:val="20"/>
          <w:szCs w:val="20"/>
        </w:rPr>
        <w:t xml:space="preserve">Going forward, </w:t>
      </w:r>
      <w:r w:rsidR="00221AE1" w:rsidRPr="00DB5977">
        <w:rPr>
          <w:rFonts w:ascii="Verdana" w:hAnsi="Verdana"/>
          <w:sz w:val="20"/>
          <w:szCs w:val="20"/>
        </w:rPr>
        <w:t xml:space="preserve">economic growth may be constrained by labor force availability. </w:t>
      </w:r>
    </w:p>
    <w:p w14:paraId="373991A9" w14:textId="77777777" w:rsidR="00FD2A28" w:rsidRDefault="004316E7" w:rsidP="001D7258">
      <w:pPr>
        <w:pStyle w:val="DirectNext"/>
        <w:rPr>
          <w:rFonts w:ascii="Verdana" w:hAnsi="Verdana"/>
          <w:sz w:val="20"/>
          <w:szCs w:val="20"/>
        </w:rPr>
      </w:pPr>
      <w:r w:rsidRPr="00DB5977">
        <w:rPr>
          <w:rFonts w:ascii="Verdana" w:hAnsi="Verdana"/>
          <w:sz w:val="20"/>
          <w:szCs w:val="20"/>
        </w:rPr>
        <w:t>T</w:t>
      </w:r>
      <w:r w:rsidR="001110E5" w:rsidRPr="00DB5977">
        <w:rPr>
          <w:rFonts w:ascii="Verdana" w:hAnsi="Verdana"/>
          <w:sz w:val="20"/>
          <w:szCs w:val="20"/>
        </w:rPr>
        <w:t xml:space="preserve">he Federal </w:t>
      </w:r>
      <w:r w:rsidR="00221AE1" w:rsidRPr="00DB5977">
        <w:rPr>
          <w:rFonts w:ascii="Verdana" w:hAnsi="Verdana"/>
          <w:sz w:val="20"/>
          <w:szCs w:val="20"/>
        </w:rPr>
        <w:t xml:space="preserve">Reserve’s </w:t>
      </w:r>
      <w:r w:rsidR="001110E5" w:rsidRPr="00DB5977">
        <w:rPr>
          <w:rFonts w:ascii="Verdana" w:hAnsi="Verdana"/>
          <w:sz w:val="20"/>
          <w:szCs w:val="20"/>
        </w:rPr>
        <w:t xml:space="preserve">Open Market Committee (“Federal Reserve” or “FOMC”) </w:t>
      </w:r>
      <w:r w:rsidR="00DA6257" w:rsidRPr="00DB5977">
        <w:rPr>
          <w:rFonts w:ascii="Verdana" w:hAnsi="Verdana"/>
          <w:sz w:val="20"/>
          <w:szCs w:val="20"/>
        </w:rPr>
        <w:t xml:space="preserve">made the following observations </w:t>
      </w:r>
      <w:r w:rsidR="00823093" w:rsidRPr="00DB5977">
        <w:rPr>
          <w:rFonts w:ascii="Verdana" w:hAnsi="Verdana"/>
          <w:sz w:val="20"/>
          <w:szCs w:val="20"/>
        </w:rPr>
        <w:t xml:space="preserve">in its most recent press release dated </w:t>
      </w:r>
      <w:r w:rsidR="00A560BA" w:rsidRPr="00DB5977">
        <w:rPr>
          <w:rFonts w:ascii="Verdana" w:hAnsi="Verdana"/>
          <w:sz w:val="20"/>
          <w:szCs w:val="20"/>
        </w:rPr>
        <w:t>September 18</w:t>
      </w:r>
      <w:r w:rsidR="00823093" w:rsidRPr="00DB5977">
        <w:rPr>
          <w:rFonts w:ascii="Verdana" w:hAnsi="Verdana"/>
          <w:sz w:val="20"/>
          <w:szCs w:val="20"/>
        </w:rPr>
        <w:t>, 2019</w:t>
      </w:r>
      <w:r w:rsidR="00DA6257" w:rsidRPr="00DB5977">
        <w:rPr>
          <w:rFonts w:ascii="Verdana" w:hAnsi="Verdana"/>
          <w:sz w:val="20"/>
          <w:szCs w:val="20"/>
        </w:rPr>
        <w:t>:</w:t>
      </w:r>
      <w:r w:rsidR="0025065A">
        <w:rPr>
          <w:rFonts w:ascii="Verdana" w:hAnsi="Verdana"/>
          <w:sz w:val="20"/>
          <w:szCs w:val="20"/>
        </w:rPr>
        <w:t xml:space="preserve"> </w:t>
      </w:r>
    </w:p>
    <w:p w14:paraId="3695DCB5" w14:textId="77777777" w:rsidR="002E3517" w:rsidRDefault="002E3517" w:rsidP="00E3129A">
      <w:pPr>
        <w:spacing w:before="240" w:after="240"/>
        <w:ind w:left="2160" w:right="1080"/>
        <w:jc w:val="both"/>
        <w:rPr>
          <w:rFonts w:ascii="Verdana" w:hAnsi="Verdana"/>
          <w:sz w:val="20"/>
          <w:szCs w:val="20"/>
        </w:rPr>
      </w:pPr>
      <w:r>
        <w:rPr>
          <w:rFonts w:ascii="Verdana" w:hAnsi="Verdana"/>
          <w:sz w:val="20"/>
          <w:szCs w:val="20"/>
        </w:rPr>
        <w:lastRenderedPageBreak/>
        <w:t>…</w:t>
      </w:r>
      <w:r w:rsidRPr="00DB5977">
        <w:rPr>
          <w:rFonts w:ascii="Verdana" w:hAnsi="Verdana"/>
          <w:sz w:val="20"/>
          <w:szCs w:val="20"/>
        </w:rPr>
        <w:t>the labor market remains strong and that economic activity has been rising at a moderate rate</w:t>
      </w:r>
      <w:r>
        <w:rPr>
          <w:rFonts w:ascii="Verdana" w:hAnsi="Verdana"/>
          <w:sz w:val="20"/>
          <w:szCs w:val="20"/>
        </w:rPr>
        <w:t>.</w:t>
      </w:r>
    </w:p>
    <w:p w14:paraId="72F0EEED" w14:textId="43166132" w:rsidR="00406D78" w:rsidRDefault="002E3517" w:rsidP="00E3129A">
      <w:pPr>
        <w:spacing w:before="240" w:after="240"/>
        <w:ind w:left="2160" w:right="1080"/>
        <w:jc w:val="both"/>
        <w:rPr>
          <w:rFonts w:ascii="Verdana" w:hAnsi="Verdana"/>
          <w:sz w:val="20"/>
          <w:szCs w:val="20"/>
        </w:rPr>
      </w:pPr>
      <w:r w:rsidRPr="00DB5977">
        <w:rPr>
          <w:rFonts w:ascii="Verdana" w:hAnsi="Verdana"/>
          <w:sz w:val="20"/>
          <w:szCs w:val="20"/>
        </w:rPr>
        <w:t xml:space="preserve">Although household spending has been rising at a strong pace, business fixed investment and </w:t>
      </w:r>
      <w:r w:rsidRPr="00E3129A">
        <w:rPr>
          <w:rFonts w:ascii="Verdana" w:hAnsi="Verdana"/>
          <w:sz w:val="20"/>
          <w:szCs w:val="20"/>
        </w:rPr>
        <w:t>exports have weakened</w:t>
      </w:r>
      <w:r w:rsidR="0062104A">
        <w:rPr>
          <w:rFonts w:ascii="Verdana" w:hAnsi="Verdana"/>
          <w:sz w:val="20"/>
          <w:szCs w:val="20"/>
        </w:rPr>
        <w:t>.</w:t>
      </w:r>
    </w:p>
    <w:p w14:paraId="16784B10" w14:textId="0F9F724F" w:rsidR="00673CD7" w:rsidRPr="00E3129A" w:rsidRDefault="002E3517" w:rsidP="00E3129A">
      <w:pPr>
        <w:spacing w:before="240" w:after="240"/>
        <w:ind w:left="2160" w:right="1080"/>
        <w:jc w:val="both"/>
        <w:rPr>
          <w:rFonts w:ascii="Verdana" w:hAnsi="Verdana"/>
          <w:sz w:val="20"/>
          <w:szCs w:val="20"/>
        </w:rPr>
      </w:pPr>
      <w:r w:rsidRPr="00E3129A">
        <w:rPr>
          <w:rFonts w:ascii="Verdana" w:hAnsi="Verdana"/>
          <w:sz w:val="20"/>
          <w:szCs w:val="20"/>
        </w:rPr>
        <w:t>In light of the implications of global developments for the economic outlook as well as muted inflation pressures [inflation for items other than food and energy are running below 2 percent], the Committee decided to lower the target range for the federal funds rate to 1</w:t>
      </w:r>
      <w:r w:rsidRPr="00E3129A">
        <w:rPr>
          <w:rFonts w:ascii="Verdana" w:hAnsi="Verdana"/>
          <w:sz w:val="20"/>
          <w:szCs w:val="20"/>
        </w:rPr>
        <w:noBreakHyphen/>
        <w:t>3/4 to 2 percent.</w:t>
      </w:r>
      <w:r w:rsidRPr="00E3129A">
        <w:rPr>
          <w:rStyle w:val="FootnoteReference"/>
          <w:rFonts w:ascii="Verdana" w:hAnsi="Verdana"/>
          <w:sz w:val="20"/>
          <w:szCs w:val="20"/>
        </w:rPr>
        <w:footnoteReference w:id="9"/>
      </w:r>
      <w:r w:rsidRPr="00E3129A">
        <w:rPr>
          <w:rFonts w:ascii="Verdana" w:hAnsi="Verdana"/>
          <w:sz w:val="20"/>
          <w:szCs w:val="20"/>
        </w:rPr>
        <w:t xml:space="preserve"> </w:t>
      </w:r>
    </w:p>
    <w:p w14:paraId="15E3B577" w14:textId="21E983F6" w:rsidR="00AF025A" w:rsidRPr="00DB5977" w:rsidRDefault="0041354B" w:rsidP="00673CD7">
      <w:pPr>
        <w:pStyle w:val="DirectNext"/>
        <w:ind w:firstLine="0"/>
        <w:rPr>
          <w:rFonts w:ascii="Verdana" w:hAnsi="Verdana"/>
          <w:sz w:val="20"/>
          <w:szCs w:val="20"/>
        </w:rPr>
      </w:pPr>
      <w:r w:rsidRPr="00DB5977">
        <w:rPr>
          <w:rFonts w:ascii="Verdana" w:hAnsi="Verdana"/>
          <w:sz w:val="20"/>
          <w:szCs w:val="20"/>
        </w:rPr>
        <w:t xml:space="preserve">This reduction </w:t>
      </w:r>
      <w:r w:rsidR="00DA6257" w:rsidRPr="00DB5977">
        <w:rPr>
          <w:rFonts w:ascii="Verdana" w:hAnsi="Verdana"/>
          <w:sz w:val="20"/>
          <w:szCs w:val="20"/>
        </w:rPr>
        <w:t xml:space="preserve">in the federal funds rate </w:t>
      </w:r>
      <w:r w:rsidRPr="00DB5977">
        <w:rPr>
          <w:rFonts w:ascii="Verdana" w:hAnsi="Verdana"/>
          <w:sz w:val="20"/>
          <w:szCs w:val="20"/>
        </w:rPr>
        <w:t xml:space="preserve">follows the FOMC’s last reduction at its July </w:t>
      </w:r>
      <w:r w:rsidR="00E6036F">
        <w:rPr>
          <w:rFonts w:ascii="Verdana" w:hAnsi="Verdana"/>
          <w:sz w:val="20"/>
          <w:szCs w:val="20"/>
        </w:rPr>
        <w:t xml:space="preserve">2019 </w:t>
      </w:r>
      <w:r w:rsidRPr="00DB5977">
        <w:rPr>
          <w:rFonts w:ascii="Verdana" w:hAnsi="Verdana"/>
          <w:sz w:val="20"/>
          <w:szCs w:val="20"/>
        </w:rPr>
        <w:t>meeting when it lowered the rate to 2 to 2-1/4 percent.</w:t>
      </w:r>
      <w:r w:rsidR="001110E5" w:rsidRPr="00DB5977">
        <w:rPr>
          <w:rStyle w:val="FootnoteReference"/>
          <w:rFonts w:ascii="Verdana" w:hAnsi="Verdana"/>
          <w:sz w:val="20"/>
          <w:szCs w:val="20"/>
        </w:rPr>
        <w:footnoteReference w:id="10"/>
      </w:r>
      <w:r w:rsidR="0025065A">
        <w:rPr>
          <w:rFonts w:ascii="Verdana" w:hAnsi="Verdana"/>
          <w:sz w:val="20"/>
          <w:szCs w:val="20"/>
        </w:rPr>
        <w:t xml:space="preserve"> </w:t>
      </w:r>
      <w:r w:rsidR="00FF1EAE" w:rsidRPr="00DB5977">
        <w:rPr>
          <w:rFonts w:ascii="Verdana" w:hAnsi="Verdana"/>
          <w:sz w:val="20"/>
          <w:szCs w:val="20"/>
        </w:rPr>
        <w:t xml:space="preserve">Regarding the timing and size of future adjustments, the </w:t>
      </w:r>
      <w:r w:rsidR="008E7891" w:rsidRPr="00DB5977">
        <w:rPr>
          <w:rFonts w:ascii="Verdana" w:hAnsi="Verdana"/>
          <w:sz w:val="20"/>
          <w:szCs w:val="20"/>
        </w:rPr>
        <w:t xml:space="preserve">press release states that the </w:t>
      </w:r>
      <w:r w:rsidR="00E6036F">
        <w:rPr>
          <w:rFonts w:ascii="Verdana" w:hAnsi="Verdana"/>
          <w:sz w:val="20"/>
          <w:szCs w:val="20"/>
        </w:rPr>
        <w:t>FOMC</w:t>
      </w:r>
      <w:r w:rsidR="00E6036F" w:rsidRPr="00DB5977">
        <w:rPr>
          <w:rFonts w:ascii="Verdana" w:hAnsi="Verdana"/>
          <w:sz w:val="20"/>
          <w:szCs w:val="20"/>
        </w:rPr>
        <w:t xml:space="preserve"> </w:t>
      </w:r>
      <w:r w:rsidR="008E7891" w:rsidRPr="00DB5977">
        <w:rPr>
          <w:rFonts w:ascii="Verdana" w:hAnsi="Verdana"/>
          <w:sz w:val="20"/>
          <w:szCs w:val="20"/>
        </w:rPr>
        <w:t xml:space="preserve">will assess </w:t>
      </w:r>
      <w:r w:rsidR="0075741B" w:rsidRPr="00DB5977">
        <w:rPr>
          <w:rFonts w:ascii="Verdana" w:hAnsi="Verdana"/>
          <w:sz w:val="20"/>
          <w:szCs w:val="20"/>
        </w:rPr>
        <w:t xml:space="preserve">expected economic conditions relative to its </w:t>
      </w:r>
      <w:r w:rsidR="00E2663D" w:rsidRPr="00DB5977">
        <w:rPr>
          <w:rFonts w:ascii="Verdana" w:hAnsi="Verdana"/>
          <w:sz w:val="20"/>
          <w:szCs w:val="20"/>
        </w:rPr>
        <w:t xml:space="preserve">maximum </w:t>
      </w:r>
      <w:r w:rsidR="0075741B" w:rsidRPr="00DB5977">
        <w:rPr>
          <w:rFonts w:ascii="Verdana" w:hAnsi="Verdana"/>
          <w:sz w:val="20"/>
          <w:szCs w:val="20"/>
        </w:rPr>
        <w:t xml:space="preserve">employment and </w:t>
      </w:r>
      <w:r w:rsidR="00E2663D" w:rsidRPr="00DB5977">
        <w:rPr>
          <w:rFonts w:ascii="Verdana" w:hAnsi="Verdana"/>
          <w:sz w:val="20"/>
          <w:szCs w:val="20"/>
        </w:rPr>
        <w:t xml:space="preserve">2 percent </w:t>
      </w:r>
      <w:r w:rsidR="0075741B" w:rsidRPr="00DB5977">
        <w:rPr>
          <w:rFonts w:ascii="Verdana" w:hAnsi="Verdana"/>
          <w:sz w:val="20"/>
          <w:szCs w:val="20"/>
        </w:rPr>
        <w:t>inflation objectives</w:t>
      </w:r>
      <w:r w:rsidR="00DF039B" w:rsidRPr="00DB5977">
        <w:rPr>
          <w:rFonts w:ascii="Verdana" w:hAnsi="Verdana"/>
          <w:sz w:val="20"/>
          <w:szCs w:val="20"/>
        </w:rPr>
        <w:t>, and readings on financial and international developments</w:t>
      </w:r>
      <w:r w:rsidR="00AF025A" w:rsidRPr="00DB5977">
        <w:rPr>
          <w:rFonts w:ascii="Verdana" w:hAnsi="Verdana"/>
          <w:sz w:val="20"/>
          <w:szCs w:val="20"/>
        </w:rPr>
        <w:t xml:space="preserve">. These international developments seem to reference the </w:t>
      </w:r>
      <w:r w:rsidR="004531FC" w:rsidRPr="00DB5977">
        <w:rPr>
          <w:rFonts w:ascii="Verdana" w:hAnsi="Verdana"/>
          <w:sz w:val="20"/>
          <w:szCs w:val="20"/>
        </w:rPr>
        <w:t>standoffs</w:t>
      </w:r>
      <w:r w:rsidR="00AF025A" w:rsidRPr="00DB5977">
        <w:rPr>
          <w:rFonts w:ascii="Verdana" w:hAnsi="Verdana"/>
          <w:sz w:val="20"/>
          <w:szCs w:val="20"/>
        </w:rPr>
        <w:t xml:space="preserve"> </w:t>
      </w:r>
      <w:r w:rsidR="00DA6257" w:rsidRPr="00DB5977">
        <w:rPr>
          <w:rFonts w:ascii="Verdana" w:hAnsi="Verdana"/>
          <w:sz w:val="20"/>
          <w:szCs w:val="20"/>
        </w:rPr>
        <w:t>with</w:t>
      </w:r>
      <w:r w:rsidR="00AF025A" w:rsidRPr="00DB5977">
        <w:rPr>
          <w:rFonts w:ascii="Verdana" w:hAnsi="Verdana"/>
          <w:sz w:val="20"/>
          <w:szCs w:val="20"/>
        </w:rPr>
        <w:t xml:space="preserve"> the Chinese government over trade policy</w:t>
      </w:r>
      <w:r w:rsidR="000C0E2F" w:rsidRPr="00DB5977">
        <w:rPr>
          <w:rFonts w:ascii="Verdana" w:hAnsi="Verdana"/>
          <w:sz w:val="20"/>
          <w:szCs w:val="20"/>
        </w:rPr>
        <w:t xml:space="preserve">, </w:t>
      </w:r>
      <w:r w:rsidR="00C8007E" w:rsidRPr="00DB5977">
        <w:rPr>
          <w:rFonts w:ascii="Verdana" w:hAnsi="Verdana"/>
          <w:sz w:val="20"/>
          <w:szCs w:val="20"/>
        </w:rPr>
        <w:t xml:space="preserve">simmering </w:t>
      </w:r>
      <w:r w:rsidR="007C79EB" w:rsidRPr="00DB5977">
        <w:rPr>
          <w:rFonts w:ascii="Verdana" w:hAnsi="Verdana"/>
          <w:sz w:val="20"/>
          <w:szCs w:val="20"/>
        </w:rPr>
        <w:t xml:space="preserve">tensions between the U.S. and Iran, </w:t>
      </w:r>
      <w:r w:rsidR="00DA6257" w:rsidRPr="00DB5977">
        <w:rPr>
          <w:rFonts w:ascii="Verdana" w:hAnsi="Verdana"/>
          <w:sz w:val="20"/>
          <w:szCs w:val="20"/>
        </w:rPr>
        <w:t xml:space="preserve">concerns surrounding the United Kingdom’s withdrawal from the European Union, </w:t>
      </w:r>
      <w:r w:rsidR="007C79EB" w:rsidRPr="00DB5977">
        <w:rPr>
          <w:rFonts w:ascii="Verdana" w:hAnsi="Verdana"/>
          <w:sz w:val="20"/>
          <w:szCs w:val="20"/>
        </w:rPr>
        <w:t>and</w:t>
      </w:r>
      <w:r w:rsidR="00AF025A" w:rsidRPr="00DB5977">
        <w:rPr>
          <w:rFonts w:ascii="Verdana" w:hAnsi="Verdana"/>
          <w:sz w:val="20"/>
          <w:szCs w:val="20"/>
        </w:rPr>
        <w:t xml:space="preserve"> </w:t>
      </w:r>
      <w:r w:rsidR="00DA6257" w:rsidRPr="00DB5977">
        <w:rPr>
          <w:rFonts w:ascii="Verdana" w:hAnsi="Verdana"/>
          <w:sz w:val="20"/>
          <w:szCs w:val="20"/>
        </w:rPr>
        <w:t>overall concerns</w:t>
      </w:r>
      <w:r w:rsidR="00AF025A" w:rsidRPr="00DB5977">
        <w:rPr>
          <w:rFonts w:ascii="Verdana" w:hAnsi="Verdana"/>
          <w:sz w:val="20"/>
          <w:szCs w:val="20"/>
        </w:rPr>
        <w:t xml:space="preserve"> of a weakening global economy.</w:t>
      </w:r>
      <w:r w:rsidR="0025065A">
        <w:rPr>
          <w:rFonts w:ascii="Verdana" w:hAnsi="Verdana"/>
          <w:sz w:val="20"/>
          <w:szCs w:val="20"/>
        </w:rPr>
        <w:t xml:space="preserve"> </w:t>
      </w:r>
    </w:p>
    <w:p w14:paraId="5BB560DC" w14:textId="19CDD65B" w:rsidR="001D7258" w:rsidRPr="00DB5977" w:rsidRDefault="00C842E3" w:rsidP="001D7258">
      <w:pPr>
        <w:pStyle w:val="DirectNext"/>
        <w:rPr>
          <w:rFonts w:ascii="Verdana" w:hAnsi="Verdana"/>
          <w:sz w:val="20"/>
          <w:szCs w:val="20"/>
        </w:rPr>
      </w:pPr>
      <w:r w:rsidRPr="00DB5977">
        <w:rPr>
          <w:rFonts w:ascii="Verdana" w:hAnsi="Verdana"/>
          <w:sz w:val="20"/>
          <w:szCs w:val="20"/>
        </w:rPr>
        <w:lastRenderedPageBreak/>
        <w:t>Th</w:t>
      </w:r>
      <w:r w:rsidR="00C30658" w:rsidRPr="00DB5977">
        <w:rPr>
          <w:rFonts w:ascii="Verdana" w:hAnsi="Verdana"/>
          <w:sz w:val="20"/>
          <w:szCs w:val="20"/>
        </w:rPr>
        <w:t>e</w:t>
      </w:r>
      <w:r w:rsidRPr="00DB5977">
        <w:rPr>
          <w:rFonts w:ascii="Verdana" w:hAnsi="Verdana"/>
          <w:sz w:val="20"/>
          <w:szCs w:val="20"/>
        </w:rPr>
        <w:t xml:space="preserve"> decision to </w:t>
      </w:r>
      <w:r w:rsidR="002819FB" w:rsidRPr="00DB5977">
        <w:rPr>
          <w:rFonts w:ascii="Verdana" w:hAnsi="Verdana"/>
          <w:sz w:val="20"/>
          <w:szCs w:val="20"/>
        </w:rPr>
        <w:t xml:space="preserve">decrease </w:t>
      </w:r>
      <w:r w:rsidR="00411E28" w:rsidRPr="00DB5977">
        <w:rPr>
          <w:rFonts w:ascii="Verdana" w:hAnsi="Verdana"/>
          <w:sz w:val="20"/>
          <w:szCs w:val="20"/>
        </w:rPr>
        <w:t xml:space="preserve">the federal funds rate </w:t>
      </w:r>
      <w:r w:rsidR="00502105" w:rsidRPr="00DB5977">
        <w:rPr>
          <w:rFonts w:ascii="Verdana" w:hAnsi="Verdana"/>
          <w:sz w:val="20"/>
          <w:szCs w:val="20"/>
        </w:rPr>
        <w:t xml:space="preserve">in late July </w:t>
      </w:r>
      <w:r w:rsidR="00E6036F">
        <w:rPr>
          <w:rFonts w:ascii="Verdana" w:hAnsi="Verdana"/>
          <w:sz w:val="20"/>
          <w:szCs w:val="20"/>
        </w:rPr>
        <w:t xml:space="preserve">2019 </w:t>
      </w:r>
      <w:r w:rsidR="00411E28" w:rsidRPr="00DB5977">
        <w:rPr>
          <w:rFonts w:ascii="Verdana" w:hAnsi="Verdana"/>
          <w:sz w:val="20"/>
          <w:szCs w:val="20"/>
        </w:rPr>
        <w:t>was pair</w:t>
      </w:r>
      <w:r w:rsidR="00BA79F5" w:rsidRPr="00DB5977">
        <w:rPr>
          <w:rFonts w:ascii="Verdana" w:hAnsi="Verdana"/>
          <w:sz w:val="20"/>
          <w:szCs w:val="20"/>
        </w:rPr>
        <w:t xml:space="preserve">ed with the FOMC decision </w:t>
      </w:r>
      <w:r w:rsidR="007E4F96" w:rsidRPr="00DB5977">
        <w:rPr>
          <w:rFonts w:ascii="Verdana" w:hAnsi="Verdana"/>
          <w:sz w:val="20"/>
          <w:szCs w:val="20"/>
        </w:rPr>
        <w:t>to conclude the reduction of its aggregate securities ho</w:t>
      </w:r>
      <w:r w:rsidR="00164599" w:rsidRPr="00DB5977">
        <w:rPr>
          <w:rFonts w:ascii="Verdana" w:hAnsi="Verdana"/>
          <w:sz w:val="20"/>
          <w:szCs w:val="20"/>
        </w:rPr>
        <w:t>ldings in August</w:t>
      </w:r>
      <w:r w:rsidR="00E6036F">
        <w:rPr>
          <w:rFonts w:ascii="Verdana" w:hAnsi="Verdana"/>
          <w:sz w:val="20"/>
          <w:szCs w:val="20"/>
        </w:rPr>
        <w:t xml:space="preserve"> 2019</w:t>
      </w:r>
      <w:r w:rsidR="00164599" w:rsidRPr="00DB5977">
        <w:rPr>
          <w:rFonts w:ascii="Verdana" w:hAnsi="Verdana"/>
          <w:sz w:val="20"/>
          <w:szCs w:val="20"/>
        </w:rPr>
        <w:t>, two months earlier than expected</w:t>
      </w:r>
      <w:r w:rsidR="001E0940" w:rsidRPr="00DB5977">
        <w:rPr>
          <w:rFonts w:ascii="Verdana" w:hAnsi="Verdana"/>
          <w:sz w:val="20"/>
          <w:szCs w:val="20"/>
        </w:rPr>
        <w:t>.</w:t>
      </w:r>
      <w:r w:rsidR="0025065A">
        <w:rPr>
          <w:rFonts w:ascii="Verdana" w:hAnsi="Verdana"/>
          <w:sz w:val="20"/>
          <w:szCs w:val="20"/>
        </w:rPr>
        <w:t xml:space="preserve"> </w:t>
      </w:r>
      <w:r w:rsidR="005102CB" w:rsidRPr="00DB5977">
        <w:rPr>
          <w:rFonts w:ascii="Verdana" w:hAnsi="Verdana"/>
          <w:sz w:val="20"/>
          <w:szCs w:val="20"/>
        </w:rPr>
        <w:t>During the third week of September</w:t>
      </w:r>
      <w:r w:rsidR="00E6036F">
        <w:rPr>
          <w:rFonts w:ascii="Verdana" w:hAnsi="Verdana"/>
          <w:sz w:val="20"/>
          <w:szCs w:val="20"/>
        </w:rPr>
        <w:t xml:space="preserve"> 2019</w:t>
      </w:r>
      <w:r w:rsidR="005102CB" w:rsidRPr="00DB5977">
        <w:rPr>
          <w:rFonts w:ascii="Verdana" w:hAnsi="Verdana"/>
          <w:sz w:val="20"/>
          <w:szCs w:val="20"/>
        </w:rPr>
        <w:t>, t</w:t>
      </w:r>
      <w:r w:rsidR="00AE3903" w:rsidRPr="00DB5977">
        <w:rPr>
          <w:rFonts w:ascii="Verdana" w:hAnsi="Verdana"/>
          <w:sz w:val="20"/>
          <w:szCs w:val="20"/>
        </w:rPr>
        <w:t xml:space="preserve">he FOMC also reduced the interest </w:t>
      </w:r>
      <w:r w:rsidR="00E6036F">
        <w:rPr>
          <w:rFonts w:ascii="Verdana" w:hAnsi="Verdana"/>
          <w:sz w:val="20"/>
          <w:szCs w:val="20"/>
        </w:rPr>
        <w:t xml:space="preserve">rate </w:t>
      </w:r>
      <w:r w:rsidR="00AE3903" w:rsidRPr="00DB5977">
        <w:rPr>
          <w:rFonts w:ascii="Verdana" w:hAnsi="Verdana"/>
          <w:sz w:val="20"/>
          <w:szCs w:val="20"/>
        </w:rPr>
        <w:t>on excess bank reserve</w:t>
      </w:r>
      <w:r w:rsidR="00752735" w:rsidRPr="00DB5977">
        <w:rPr>
          <w:rFonts w:ascii="Verdana" w:hAnsi="Verdana"/>
          <w:sz w:val="20"/>
          <w:szCs w:val="20"/>
        </w:rPr>
        <w:t>s</w:t>
      </w:r>
      <w:r w:rsidR="00AE3903" w:rsidRPr="00DB5977">
        <w:rPr>
          <w:rFonts w:ascii="Verdana" w:hAnsi="Verdana"/>
          <w:sz w:val="20"/>
          <w:szCs w:val="20"/>
        </w:rPr>
        <w:t xml:space="preserve"> at the Federal Reserve to 1.8 percent and continue</w:t>
      </w:r>
      <w:r w:rsidR="00DC238D" w:rsidRPr="00DB5977">
        <w:rPr>
          <w:rFonts w:ascii="Verdana" w:hAnsi="Verdana"/>
          <w:sz w:val="20"/>
          <w:szCs w:val="20"/>
        </w:rPr>
        <w:t>d</w:t>
      </w:r>
      <w:r w:rsidR="00AE3903" w:rsidRPr="00DB5977">
        <w:rPr>
          <w:rFonts w:ascii="Verdana" w:hAnsi="Verdana"/>
          <w:sz w:val="20"/>
          <w:szCs w:val="20"/>
        </w:rPr>
        <w:t xml:space="preserve"> repurchase operations through October 10</w:t>
      </w:r>
      <w:r w:rsidR="00E6036F">
        <w:rPr>
          <w:rFonts w:ascii="Verdana" w:hAnsi="Verdana"/>
          <w:sz w:val="20"/>
          <w:szCs w:val="20"/>
        </w:rPr>
        <w:t>, 2019</w:t>
      </w:r>
      <w:r w:rsidR="00AE3903" w:rsidRPr="00DB5977">
        <w:rPr>
          <w:rFonts w:ascii="Verdana" w:hAnsi="Verdana"/>
          <w:sz w:val="20"/>
          <w:szCs w:val="20"/>
        </w:rPr>
        <w:t>. These repurchase operations include</w:t>
      </w:r>
      <w:r w:rsidR="00BB4789">
        <w:rPr>
          <w:rFonts w:ascii="Verdana" w:hAnsi="Verdana"/>
          <w:sz w:val="20"/>
          <w:szCs w:val="20"/>
        </w:rPr>
        <w:t>d</w:t>
      </w:r>
      <w:r w:rsidR="00AE3903" w:rsidRPr="00DB5977">
        <w:rPr>
          <w:rFonts w:ascii="Verdana" w:hAnsi="Verdana"/>
          <w:sz w:val="20"/>
          <w:szCs w:val="20"/>
        </w:rPr>
        <w:t xml:space="preserve"> three </w:t>
      </w:r>
      <w:r w:rsidR="00BB4789">
        <w:rPr>
          <w:rFonts w:ascii="Verdana" w:hAnsi="Verdana"/>
          <w:sz w:val="20"/>
          <w:szCs w:val="20"/>
        </w:rPr>
        <w:t xml:space="preserve">(3) </w:t>
      </w:r>
      <w:r w:rsidR="00AE3903" w:rsidRPr="00DB5977">
        <w:rPr>
          <w:rFonts w:ascii="Verdana" w:hAnsi="Verdana"/>
          <w:sz w:val="20"/>
          <w:szCs w:val="20"/>
        </w:rPr>
        <w:t>14-day repurchases involving $30 billion and overnight operations of at least $75 billion each.</w:t>
      </w:r>
      <w:r w:rsidR="0007274C" w:rsidRPr="00DB5977">
        <w:rPr>
          <w:rFonts w:ascii="Verdana" w:hAnsi="Verdana"/>
          <w:sz w:val="20"/>
          <w:szCs w:val="20"/>
        </w:rPr>
        <w:t xml:space="preserve"> These actions by the Federal Reserve Bank of New York will help maintain the federal funds rate within the target range.</w:t>
      </w:r>
      <w:r w:rsidR="00672708" w:rsidRPr="00DB5977">
        <w:rPr>
          <w:rStyle w:val="FootnoteReference"/>
          <w:rFonts w:ascii="Verdana" w:hAnsi="Verdana"/>
          <w:sz w:val="20"/>
          <w:szCs w:val="20"/>
        </w:rPr>
        <w:footnoteReference w:id="11"/>
      </w:r>
      <w:r w:rsidR="00A222DE" w:rsidRPr="00DB5977">
        <w:rPr>
          <w:rFonts w:ascii="Verdana" w:hAnsi="Verdana"/>
          <w:sz w:val="20"/>
          <w:szCs w:val="20"/>
        </w:rPr>
        <w:t xml:space="preserve"> </w:t>
      </w:r>
    </w:p>
    <w:p w14:paraId="5851AE77" w14:textId="77777777" w:rsidR="00823379" w:rsidRPr="00DB5977" w:rsidRDefault="00823379" w:rsidP="00486739">
      <w:pPr>
        <w:pStyle w:val="DirectQuestion"/>
      </w:pPr>
      <w:r w:rsidRPr="00DB5977">
        <w:t xml:space="preserve">How have FINanciaL conditions changed </w:t>
      </w:r>
      <w:r w:rsidR="001D7258" w:rsidRPr="00DB5977">
        <w:t>in recent</w:t>
      </w:r>
      <w:r w:rsidRPr="00DB5977">
        <w:t xml:space="preserve"> years?</w:t>
      </w:r>
    </w:p>
    <w:p w14:paraId="509EDD34" w14:textId="542D1D39" w:rsidR="001F68AC" w:rsidRPr="00DB5977" w:rsidRDefault="00BB4789" w:rsidP="001F68AC">
      <w:pPr>
        <w:pStyle w:val="DirectAnswer"/>
        <w:spacing w:after="120"/>
        <w:jc w:val="both"/>
        <w:rPr>
          <w:rFonts w:ascii="Verdana" w:hAnsi="Verdana" w:cstheme="minorHAnsi"/>
          <w:sz w:val="20"/>
          <w:szCs w:val="20"/>
        </w:rPr>
      </w:pPr>
      <w:r>
        <w:rPr>
          <w:rFonts w:ascii="Verdana" w:hAnsi="Verdana" w:cstheme="minorHAnsi"/>
          <w:sz w:val="20"/>
          <w:szCs w:val="20"/>
        </w:rPr>
        <w:t>Figure 1</w:t>
      </w:r>
      <w:r w:rsidR="00823379" w:rsidRPr="00DB5977">
        <w:rPr>
          <w:rFonts w:ascii="Verdana" w:hAnsi="Verdana" w:cstheme="minorHAnsi"/>
          <w:sz w:val="20"/>
          <w:szCs w:val="20"/>
        </w:rPr>
        <w:t xml:space="preserve"> </w:t>
      </w:r>
      <w:r w:rsidR="00A83CB9" w:rsidRPr="00DB5977">
        <w:rPr>
          <w:rFonts w:ascii="Verdana" w:hAnsi="Verdana" w:cstheme="minorHAnsi"/>
          <w:sz w:val="20"/>
          <w:szCs w:val="20"/>
        </w:rPr>
        <w:t>below</w:t>
      </w:r>
      <w:r w:rsidR="00823379" w:rsidRPr="00DB5977">
        <w:rPr>
          <w:rFonts w:ascii="Verdana" w:hAnsi="Verdana" w:cstheme="minorHAnsi"/>
          <w:sz w:val="20"/>
          <w:szCs w:val="20"/>
        </w:rPr>
        <w:t xml:space="preserve"> shows how </w:t>
      </w:r>
      <w:r w:rsidR="006E44D7" w:rsidRPr="00DB5977">
        <w:rPr>
          <w:rFonts w:ascii="Verdana" w:hAnsi="Verdana" w:cstheme="minorHAnsi"/>
          <w:sz w:val="20"/>
          <w:szCs w:val="20"/>
        </w:rPr>
        <w:t xml:space="preserve">different </w:t>
      </w:r>
      <w:r w:rsidR="00823379" w:rsidRPr="00DB5977">
        <w:rPr>
          <w:rFonts w:ascii="Verdana" w:hAnsi="Verdana" w:cstheme="minorHAnsi"/>
          <w:sz w:val="20"/>
          <w:szCs w:val="20"/>
        </w:rPr>
        <w:t>market costs of capital have changed for the period 20</w:t>
      </w:r>
      <w:r w:rsidR="00F22C2C" w:rsidRPr="00DB5977">
        <w:rPr>
          <w:rFonts w:ascii="Verdana" w:hAnsi="Verdana" w:cstheme="minorHAnsi"/>
          <w:sz w:val="20"/>
          <w:szCs w:val="20"/>
        </w:rPr>
        <w:t>10</w:t>
      </w:r>
      <w:r w:rsidR="00823379" w:rsidRPr="00DB5977">
        <w:rPr>
          <w:rFonts w:ascii="Verdana" w:hAnsi="Verdana" w:cstheme="minorHAnsi"/>
          <w:sz w:val="20"/>
          <w:szCs w:val="20"/>
        </w:rPr>
        <w:t xml:space="preserve"> through 201</w:t>
      </w:r>
      <w:r w:rsidR="00A83CB9" w:rsidRPr="00DB5977">
        <w:rPr>
          <w:rFonts w:ascii="Verdana" w:hAnsi="Verdana" w:cstheme="minorHAnsi"/>
          <w:sz w:val="20"/>
          <w:szCs w:val="20"/>
        </w:rPr>
        <w:t>9</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823379" w:rsidRPr="00DB5977">
        <w:rPr>
          <w:rFonts w:ascii="Verdana" w:hAnsi="Verdana" w:cstheme="minorHAnsi"/>
          <w:sz w:val="20"/>
          <w:szCs w:val="20"/>
        </w:rPr>
        <w:t>(</w:t>
      </w:r>
      <w:r w:rsidR="00823379" w:rsidRPr="00DB5977">
        <w:rPr>
          <w:rFonts w:ascii="Verdana" w:hAnsi="Verdana" w:cstheme="minorHAnsi"/>
          <w:i/>
          <w:sz w:val="20"/>
          <w:szCs w:val="20"/>
          <w:u w:val="single"/>
        </w:rPr>
        <w:t>See also</w:t>
      </w:r>
      <w:r w:rsidR="00823379" w:rsidRPr="00DB5977">
        <w:rPr>
          <w:rFonts w:ascii="Verdana" w:hAnsi="Verdana" w:cstheme="minorHAns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823379" w:rsidRPr="00DB5977">
        <w:rPr>
          <w:rFonts w:ascii="Verdana" w:hAnsi="Verdana" w:cstheme="minorHAnsi"/>
          <w:sz w:val="20"/>
          <w:szCs w:val="20"/>
        </w:rPr>
        <w:t>MLR-2a.)</w:t>
      </w:r>
      <w:r w:rsidR="0025065A">
        <w:rPr>
          <w:rFonts w:ascii="Verdana" w:hAnsi="Verdana" w:cstheme="minorHAnsi"/>
          <w:sz w:val="20"/>
          <w:szCs w:val="20"/>
        </w:rPr>
        <w:t xml:space="preserve"> </w:t>
      </w:r>
      <w:r w:rsidR="00823379" w:rsidRPr="00DB5977">
        <w:rPr>
          <w:rFonts w:ascii="Verdana" w:hAnsi="Verdana" w:cstheme="minorHAnsi"/>
          <w:sz w:val="20"/>
          <w:szCs w:val="20"/>
        </w:rPr>
        <w:t xml:space="preserve">Despite </w:t>
      </w:r>
      <w:r w:rsidR="00F675C8" w:rsidRPr="00DB5977">
        <w:rPr>
          <w:rFonts w:ascii="Verdana" w:hAnsi="Verdana" w:cstheme="minorHAnsi"/>
          <w:sz w:val="20"/>
          <w:szCs w:val="20"/>
        </w:rPr>
        <w:t>gains in</w:t>
      </w:r>
      <w:r w:rsidR="00823379" w:rsidRPr="00DB5977">
        <w:rPr>
          <w:rFonts w:ascii="Verdana" w:hAnsi="Verdana" w:cstheme="minorHAnsi"/>
          <w:sz w:val="20"/>
          <w:szCs w:val="20"/>
        </w:rPr>
        <w:t xml:space="preserve"> short-term interest rates and long-term bond yields </w:t>
      </w:r>
      <w:r w:rsidR="00837315" w:rsidRPr="00DB5977">
        <w:rPr>
          <w:rFonts w:ascii="Verdana" w:hAnsi="Verdana" w:cstheme="minorHAnsi"/>
          <w:sz w:val="20"/>
          <w:szCs w:val="20"/>
        </w:rPr>
        <w:t>in 2017 and 2018</w:t>
      </w:r>
      <w:r w:rsidR="00823379" w:rsidRPr="00DB5977">
        <w:rPr>
          <w:rFonts w:ascii="Verdana" w:hAnsi="Verdana" w:cstheme="minorHAnsi"/>
          <w:sz w:val="20"/>
          <w:szCs w:val="20"/>
        </w:rPr>
        <w:t xml:space="preserve">, interest rates and </w:t>
      </w:r>
      <w:r w:rsidR="00837315" w:rsidRPr="00DB5977">
        <w:rPr>
          <w:rFonts w:ascii="Verdana" w:hAnsi="Verdana" w:cstheme="minorHAnsi"/>
          <w:sz w:val="20"/>
          <w:szCs w:val="20"/>
        </w:rPr>
        <w:t>long</w:t>
      </w:r>
      <w:r w:rsidR="00DA73C0" w:rsidRPr="00DB5977">
        <w:rPr>
          <w:rFonts w:ascii="Verdana" w:hAnsi="Verdana" w:cstheme="minorHAnsi"/>
          <w:sz w:val="20"/>
          <w:szCs w:val="20"/>
        </w:rPr>
        <w:t>-</w:t>
      </w:r>
      <w:r w:rsidR="00837315" w:rsidRPr="00DB5977">
        <w:rPr>
          <w:rFonts w:ascii="Verdana" w:hAnsi="Verdana" w:cstheme="minorHAnsi"/>
          <w:sz w:val="20"/>
          <w:szCs w:val="20"/>
        </w:rPr>
        <w:t xml:space="preserve">term </w:t>
      </w:r>
      <w:r w:rsidR="00823379" w:rsidRPr="00DB5977">
        <w:rPr>
          <w:rFonts w:ascii="Verdana" w:hAnsi="Verdana" w:cstheme="minorHAnsi"/>
          <w:sz w:val="20"/>
          <w:szCs w:val="20"/>
        </w:rPr>
        <w:t xml:space="preserve">bond yields </w:t>
      </w:r>
      <w:r w:rsidR="00944C24" w:rsidRPr="00DB5977">
        <w:rPr>
          <w:rFonts w:ascii="Verdana" w:hAnsi="Verdana" w:cstheme="minorHAnsi"/>
          <w:sz w:val="20"/>
          <w:szCs w:val="20"/>
        </w:rPr>
        <w:t xml:space="preserve">are </w:t>
      </w:r>
      <w:r w:rsidR="00D1620D" w:rsidRPr="00DB5977">
        <w:rPr>
          <w:rFonts w:ascii="Verdana" w:hAnsi="Verdana" w:cstheme="minorHAnsi"/>
          <w:sz w:val="20"/>
          <w:szCs w:val="20"/>
        </w:rPr>
        <w:t xml:space="preserve">now </w:t>
      </w:r>
      <w:r w:rsidR="00944C24" w:rsidRPr="00DB5977">
        <w:rPr>
          <w:rFonts w:ascii="Verdana" w:hAnsi="Verdana" w:cstheme="minorHAnsi"/>
          <w:sz w:val="20"/>
          <w:szCs w:val="20"/>
        </w:rPr>
        <w:t xml:space="preserve">falling past </w:t>
      </w:r>
      <w:r w:rsidR="004E71CD" w:rsidRPr="00DB5977">
        <w:rPr>
          <w:rFonts w:ascii="Verdana" w:hAnsi="Verdana" w:cstheme="minorHAnsi"/>
          <w:sz w:val="20"/>
          <w:szCs w:val="20"/>
        </w:rPr>
        <w:t>historic</w:t>
      </w:r>
      <w:r>
        <w:rPr>
          <w:rFonts w:ascii="Verdana" w:hAnsi="Verdana" w:cstheme="minorHAnsi"/>
          <w:sz w:val="20"/>
          <w:szCs w:val="20"/>
        </w:rPr>
        <w:t>al</w:t>
      </w:r>
      <w:r w:rsidR="004E71CD" w:rsidRPr="00DB5977">
        <w:rPr>
          <w:rFonts w:ascii="Verdana" w:hAnsi="Verdana" w:cstheme="minorHAnsi"/>
          <w:sz w:val="20"/>
          <w:szCs w:val="20"/>
        </w:rPr>
        <w:t xml:space="preserve"> lows. </w:t>
      </w:r>
    </w:p>
    <w:p w14:paraId="7998E2C9" w14:textId="77777777" w:rsidR="00431249" w:rsidRPr="00DB5977" w:rsidRDefault="00431249" w:rsidP="00CC0C7B">
      <w:pPr>
        <w:pStyle w:val="DirectNext"/>
        <w:suppressLineNumbers/>
        <w:spacing w:line="240" w:lineRule="auto"/>
        <w:ind w:left="0" w:firstLine="0"/>
        <w:jc w:val="center"/>
        <w:rPr>
          <w:rFonts w:ascii="Verdana" w:hAnsi="Verdana"/>
          <w:sz w:val="20"/>
          <w:szCs w:val="20"/>
        </w:rPr>
      </w:pPr>
    </w:p>
    <w:p w14:paraId="7941437C" w14:textId="77777777" w:rsidR="00823379" w:rsidRPr="00DB5977" w:rsidRDefault="00756AE1" w:rsidP="004B2CD5">
      <w:pPr>
        <w:keepNext/>
        <w:suppressLineNumbers/>
        <w:spacing w:after="0" w:line="240" w:lineRule="auto"/>
        <w:rPr>
          <w:rFonts w:ascii="Verdana" w:hAnsi="Verdana" w:cstheme="minorHAnsi"/>
          <w:sz w:val="18"/>
          <w:szCs w:val="18"/>
        </w:rPr>
      </w:pPr>
      <w:r w:rsidRPr="00DB5977">
        <w:rPr>
          <w:rFonts w:ascii="Verdana" w:hAnsi="Verdana" w:cstheme="minorHAnsi"/>
          <w:noProof/>
          <w:sz w:val="18"/>
          <w:szCs w:val="18"/>
        </w:rPr>
        <w:lastRenderedPageBreak/>
        <w:drawing>
          <wp:anchor distT="0" distB="0" distL="114300" distR="114300" simplePos="0" relativeHeight="251658752" behindDoc="0" locked="0" layoutInCell="1" allowOverlap="1" wp14:anchorId="46684BD4" wp14:editId="70522B81">
            <wp:simplePos x="0" y="0"/>
            <wp:positionH relativeFrom="margin">
              <wp:align>right</wp:align>
            </wp:positionH>
            <wp:positionV relativeFrom="paragraph">
              <wp:posOffset>2430780</wp:posOffset>
            </wp:positionV>
            <wp:extent cx="5631180" cy="38989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180" cy="389890"/>
                    </a:xfrm>
                    <a:prstGeom prst="rect">
                      <a:avLst/>
                    </a:prstGeom>
                    <a:noFill/>
                  </pic:spPr>
                </pic:pic>
              </a:graphicData>
            </a:graphic>
            <wp14:sizeRelH relativeFrom="page">
              <wp14:pctWidth>0</wp14:pctWidth>
            </wp14:sizeRelH>
            <wp14:sizeRelV relativeFrom="page">
              <wp14:pctHeight>0</wp14:pctHeight>
            </wp14:sizeRelV>
          </wp:anchor>
        </w:drawing>
      </w:r>
      <w:r w:rsidR="00F95256" w:rsidRPr="00DB5977">
        <w:rPr>
          <w:rFonts w:ascii="Verdana" w:hAnsi="Verdana" w:cstheme="minorHAnsi"/>
          <w:noProof/>
          <w:sz w:val="18"/>
          <w:szCs w:val="18"/>
        </w:rPr>
        <w:drawing>
          <wp:inline distT="0" distB="0" distL="0" distR="0" wp14:anchorId="54E839F0" wp14:editId="0E1DDC7C">
            <wp:extent cx="5814060" cy="285737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7867" cy="2869074"/>
                    </a:xfrm>
                    <a:prstGeom prst="rect">
                      <a:avLst/>
                    </a:prstGeom>
                    <a:noFill/>
                  </pic:spPr>
                </pic:pic>
              </a:graphicData>
            </a:graphic>
          </wp:inline>
        </w:drawing>
      </w:r>
    </w:p>
    <w:p w14:paraId="57C6DFA9" w14:textId="77777777" w:rsidR="00823379" w:rsidRPr="00DB5977" w:rsidRDefault="00823379" w:rsidP="00823379">
      <w:pPr>
        <w:suppressLineNumbers/>
        <w:tabs>
          <w:tab w:val="left" w:pos="360"/>
        </w:tabs>
        <w:spacing w:after="0" w:line="240" w:lineRule="auto"/>
        <w:ind w:left="360" w:hanging="360"/>
        <w:rPr>
          <w:rFonts w:ascii="Verdana" w:eastAsia="Times New Roman" w:hAnsi="Verdana" w:cstheme="minorHAnsi"/>
          <w:sz w:val="20"/>
          <w:szCs w:val="16"/>
        </w:rPr>
      </w:pPr>
    </w:p>
    <w:p w14:paraId="037F3ABA" w14:textId="19DDDE02" w:rsidR="001339C7" w:rsidRPr="00DB5977" w:rsidRDefault="00783FA6" w:rsidP="00FA111D">
      <w:pPr>
        <w:pStyle w:val="DirectNext"/>
        <w:ind w:firstLine="0"/>
        <w:rPr>
          <w:rFonts w:ascii="Verdana" w:hAnsi="Verdana"/>
          <w:sz w:val="20"/>
          <w:szCs w:val="20"/>
        </w:rPr>
      </w:pPr>
      <w:r w:rsidRPr="00DB5977">
        <w:rPr>
          <w:rFonts w:ascii="Verdana" w:hAnsi="Verdana"/>
          <w:sz w:val="20"/>
          <w:szCs w:val="20"/>
        </w:rPr>
        <w:t>Y</w:t>
      </w:r>
      <w:r w:rsidR="00823379" w:rsidRPr="00DB5977">
        <w:rPr>
          <w:rFonts w:ascii="Verdana" w:hAnsi="Verdana"/>
          <w:sz w:val="20"/>
          <w:szCs w:val="20"/>
        </w:rPr>
        <w:t xml:space="preserve">ields on long-term bonds (reference the 30-Year U.S. Treasury </w:t>
      </w:r>
      <w:proofErr w:type="gramStart"/>
      <w:r w:rsidR="00823379" w:rsidRPr="00DB5977">
        <w:rPr>
          <w:rFonts w:ascii="Verdana" w:hAnsi="Verdana"/>
          <w:sz w:val="20"/>
          <w:szCs w:val="20"/>
        </w:rPr>
        <w:t>Bond</w:t>
      </w:r>
      <w:proofErr w:type="gramEnd"/>
      <w:r w:rsidR="00823379" w:rsidRPr="00DB5977">
        <w:rPr>
          <w:rFonts w:ascii="Verdana" w:hAnsi="Verdana"/>
          <w:sz w:val="20"/>
          <w:szCs w:val="20"/>
        </w:rPr>
        <w:t xml:space="preserve">, or </w:t>
      </w:r>
      <w:r w:rsidR="006E44D7" w:rsidRPr="00DB5977">
        <w:rPr>
          <w:rFonts w:ascii="Verdana" w:hAnsi="Verdana"/>
          <w:sz w:val="20"/>
          <w:szCs w:val="20"/>
        </w:rPr>
        <w:t>30</w:t>
      </w:r>
      <w:r w:rsidR="00431249" w:rsidRPr="00DB5977">
        <w:rPr>
          <w:rFonts w:ascii="Verdana" w:hAnsi="Verdana"/>
          <w:sz w:val="20"/>
          <w:szCs w:val="20"/>
        </w:rPr>
        <w:noBreakHyphen/>
      </w:r>
      <w:r w:rsidR="006E44D7" w:rsidRPr="00DB5977">
        <w:rPr>
          <w:rFonts w:ascii="Verdana" w:hAnsi="Verdana"/>
          <w:sz w:val="20"/>
          <w:szCs w:val="20"/>
        </w:rPr>
        <w:t xml:space="preserve">Year </w:t>
      </w:r>
      <w:r w:rsidR="00823379" w:rsidRPr="00DB5977">
        <w:rPr>
          <w:rFonts w:ascii="Verdana" w:hAnsi="Verdana"/>
          <w:sz w:val="20"/>
          <w:szCs w:val="20"/>
        </w:rPr>
        <w:t xml:space="preserve">T-Bond, in Figure 1) </w:t>
      </w:r>
      <w:r w:rsidR="0083279C" w:rsidRPr="00DB5977">
        <w:rPr>
          <w:rFonts w:ascii="Verdana" w:hAnsi="Verdana"/>
          <w:sz w:val="20"/>
          <w:szCs w:val="20"/>
        </w:rPr>
        <w:t xml:space="preserve">are </w:t>
      </w:r>
      <w:r w:rsidR="000023F5" w:rsidRPr="00DB5977">
        <w:rPr>
          <w:rFonts w:ascii="Verdana" w:hAnsi="Verdana"/>
          <w:sz w:val="20"/>
          <w:szCs w:val="20"/>
        </w:rPr>
        <w:t>slightly above 2 percent</w:t>
      </w:r>
      <w:r w:rsidR="00C056AE" w:rsidRPr="00DB5977">
        <w:rPr>
          <w:rFonts w:ascii="Verdana" w:hAnsi="Verdana"/>
          <w:sz w:val="20"/>
          <w:szCs w:val="20"/>
        </w:rPr>
        <w:t>, which is unmarked territory from a historical perspective</w:t>
      </w:r>
      <w:r w:rsidR="00D13594" w:rsidRPr="00DB5977">
        <w:rPr>
          <w:rFonts w:ascii="Verdana" w:hAnsi="Verdana"/>
          <w:sz w:val="20"/>
          <w:szCs w:val="20"/>
        </w:rPr>
        <w:t>, and other rates are following this trajectory.</w:t>
      </w:r>
      <w:r w:rsidR="0025065A">
        <w:rPr>
          <w:rFonts w:ascii="Verdana" w:hAnsi="Verdana"/>
          <w:sz w:val="20"/>
          <w:szCs w:val="20"/>
        </w:rPr>
        <w:t xml:space="preserve"> </w:t>
      </w:r>
      <w:r w:rsidRPr="00DB5977">
        <w:rPr>
          <w:rFonts w:ascii="Verdana" w:hAnsi="Verdana"/>
          <w:sz w:val="20"/>
          <w:szCs w:val="20"/>
        </w:rPr>
        <w:t xml:space="preserve">The cost of debt for Moody’s Baa-rated corporations </w:t>
      </w:r>
      <w:r w:rsidR="00431249" w:rsidRPr="00DB5977">
        <w:rPr>
          <w:rFonts w:ascii="Verdana" w:hAnsi="Verdana"/>
          <w:sz w:val="20"/>
          <w:szCs w:val="20"/>
        </w:rPr>
        <w:t xml:space="preserve">is </w:t>
      </w:r>
      <w:r w:rsidR="007C349D" w:rsidRPr="00DB5977">
        <w:rPr>
          <w:rFonts w:ascii="Verdana" w:hAnsi="Verdana"/>
          <w:sz w:val="20"/>
          <w:szCs w:val="20"/>
        </w:rPr>
        <w:t>presently</w:t>
      </w:r>
      <w:r w:rsidR="009E6420" w:rsidRPr="00DB5977">
        <w:rPr>
          <w:rFonts w:ascii="Verdana" w:hAnsi="Verdana"/>
          <w:sz w:val="20"/>
          <w:szCs w:val="20"/>
        </w:rPr>
        <w:t xml:space="preserve"> </w:t>
      </w:r>
      <w:r w:rsidR="002071C5" w:rsidRPr="00DB5977">
        <w:rPr>
          <w:rFonts w:ascii="Verdana" w:hAnsi="Verdana"/>
          <w:sz w:val="20"/>
          <w:szCs w:val="20"/>
        </w:rPr>
        <w:t>below 4</w:t>
      </w:r>
      <w:r w:rsidR="00431249" w:rsidRPr="00DB5977">
        <w:rPr>
          <w:rFonts w:ascii="Verdana" w:hAnsi="Verdana"/>
          <w:sz w:val="20"/>
          <w:szCs w:val="20"/>
        </w:rPr>
        <w:t xml:space="preserve"> </w:t>
      </w:r>
      <w:r w:rsidR="009E6420" w:rsidRPr="00DB5977">
        <w:rPr>
          <w:rFonts w:ascii="Verdana" w:hAnsi="Verdana"/>
          <w:sz w:val="20"/>
          <w:szCs w:val="20"/>
        </w:rPr>
        <w:t>percent.</w:t>
      </w:r>
      <w:r w:rsidR="0025065A">
        <w:rPr>
          <w:rFonts w:ascii="Verdana" w:hAnsi="Verdana"/>
          <w:sz w:val="20"/>
          <w:szCs w:val="20"/>
        </w:rPr>
        <w:t xml:space="preserve"> </w:t>
      </w:r>
      <w:r w:rsidRPr="00DB5977">
        <w:rPr>
          <w:rFonts w:ascii="Verdana" w:hAnsi="Verdana"/>
          <w:sz w:val="20"/>
          <w:szCs w:val="20"/>
        </w:rPr>
        <w:t>Moreover, s</w:t>
      </w:r>
      <w:r w:rsidR="00823379" w:rsidRPr="00DB5977">
        <w:rPr>
          <w:rFonts w:ascii="Verdana" w:hAnsi="Verdana"/>
          <w:sz w:val="20"/>
          <w:szCs w:val="20"/>
        </w:rPr>
        <w:t>hort-term interest rates (reference the 3</w:t>
      </w:r>
      <w:r w:rsidR="00BA1785" w:rsidRPr="00DB5977">
        <w:rPr>
          <w:rFonts w:ascii="Verdana" w:hAnsi="Verdana"/>
          <w:sz w:val="20"/>
          <w:szCs w:val="20"/>
        </w:rPr>
        <w:noBreakHyphen/>
      </w:r>
      <w:r w:rsidR="00823379" w:rsidRPr="00DB5977">
        <w:rPr>
          <w:rFonts w:ascii="Verdana" w:hAnsi="Verdana"/>
          <w:sz w:val="20"/>
          <w:szCs w:val="20"/>
        </w:rPr>
        <w:t xml:space="preserve">Month U.S. Treasury Bill, or </w:t>
      </w:r>
      <w:r w:rsidR="009763DF" w:rsidRPr="00DB5977">
        <w:rPr>
          <w:rFonts w:ascii="Verdana" w:hAnsi="Verdana"/>
          <w:sz w:val="20"/>
          <w:szCs w:val="20"/>
        </w:rPr>
        <w:t xml:space="preserve">3-Month </w:t>
      </w:r>
      <w:r w:rsidR="00823379" w:rsidRPr="00DB5977">
        <w:rPr>
          <w:rFonts w:ascii="Verdana" w:hAnsi="Verdana"/>
          <w:sz w:val="20"/>
          <w:szCs w:val="20"/>
        </w:rPr>
        <w:t>T</w:t>
      </w:r>
      <w:r w:rsidR="00275DD8">
        <w:rPr>
          <w:rFonts w:ascii="Verdana" w:hAnsi="Verdana"/>
          <w:sz w:val="20"/>
          <w:szCs w:val="20"/>
        </w:rPr>
        <w:noBreakHyphen/>
      </w:r>
      <w:r w:rsidR="00823379" w:rsidRPr="00DB5977">
        <w:rPr>
          <w:rFonts w:ascii="Verdana" w:hAnsi="Verdana"/>
          <w:sz w:val="20"/>
          <w:szCs w:val="20"/>
        </w:rPr>
        <w:t>Bill</w:t>
      </w:r>
      <w:r w:rsidR="00431249" w:rsidRPr="00DB5977">
        <w:rPr>
          <w:rFonts w:ascii="Verdana" w:hAnsi="Verdana"/>
          <w:sz w:val="20"/>
          <w:szCs w:val="20"/>
        </w:rPr>
        <w:t>,</w:t>
      </w:r>
      <w:r w:rsidR="00823379" w:rsidRPr="00DB5977">
        <w:rPr>
          <w:rFonts w:ascii="Verdana" w:hAnsi="Verdana"/>
          <w:sz w:val="20"/>
          <w:szCs w:val="20"/>
        </w:rPr>
        <w:t xml:space="preserve"> in Figure 1) </w:t>
      </w:r>
      <w:r w:rsidR="000C7D8F">
        <w:rPr>
          <w:rFonts w:ascii="Verdana" w:hAnsi="Verdana"/>
          <w:sz w:val="20"/>
          <w:szCs w:val="20"/>
        </w:rPr>
        <w:t>are</w:t>
      </w:r>
      <w:r w:rsidR="000C7D8F" w:rsidRPr="00DB5977">
        <w:rPr>
          <w:rFonts w:ascii="Verdana" w:hAnsi="Verdana"/>
          <w:sz w:val="20"/>
          <w:szCs w:val="20"/>
        </w:rPr>
        <w:t xml:space="preserve"> </w:t>
      </w:r>
      <w:r w:rsidR="00D738F7" w:rsidRPr="00DB5977">
        <w:rPr>
          <w:rFonts w:ascii="Verdana" w:hAnsi="Verdana"/>
          <w:sz w:val="20"/>
          <w:szCs w:val="20"/>
        </w:rPr>
        <w:t>hovering around 2 percent</w:t>
      </w:r>
      <w:r w:rsidR="004B6584" w:rsidRPr="00DB5977">
        <w:rPr>
          <w:rFonts w:ascii="Verdana" w:hAnsi="Verdana"/>
          <w:sz w:val="20"/>
          <w:szCs w:val="20"/>
        </w:rPr>
        <w:t>.</w:t>
      </w:r>
      <w:r w:rsidR="0025065A">
        <w:rPr>
          <w:rFonts w:ascii="Verdana" w:hAnsi="Verdana"/>
          <w:sz w:val="20"/>
          <w:szCs w:val="20"/>
        </w:rPr>
        <w:t xml:space="preserve"> </w:t>
      </w:r>
      <w:r w:rsidR="004B6584" w:rsidRPr="00DB5977">
        <w:rPr>
          <w:rFonts w:ascii="Verdana" w:hAnsi="Verdana"/>
          <w:sz w:val="20"/>
          <w:szCs w:val="20"/>
        </w:rPr>
        <w:t>It</w:t>
      </w:r>
      <w:r w:rsidR="003468C5" w:rsidRPr="00DB5977">
        <w:rPr>
          <w:rFonts w:ascii="Verdana" w:hAnsi="Verdana"/>
          <w:sz w:val="20"/>
          <w:szCs w:val="20"/>
        </w:rPr>
        <w:t xml:space="preserve"> i</w:t>
      </w:r>
      <w:r w:rsidR="004B6584" w:rsidRPr="00DB5977">
        <w:rPr>
          <w:rFonts w:ascii="Verdana" w:hAnsi="Verdana"/>
          <w:sz w:val="20"/>
          <w:szCs w:val="20"/>
        </w:rPr>
        <w:t xml:space="preserve">s crucial to note that </w:t>
      </w:r>
      <w:r w:rsidR="000C7D8F">
        <w:rPr>
          <w:rFonts w:ascii="Verdana" w:hAnsi="Verdana"/>
          <w:sz w:val="20"/>
          <w:szCs w:val="20"/>
        </w:rPr>
        <w:t>decreases</w:t>
      </w:r>
      <w:r w:rsidR="000C7D8F" w:rsidRPr="00DB5977">
        <w:rPr>
          <w:rFonts w:ascii="Verdana" w:hAnsi="Verdana"/>
          <w:sz w:val="20"/>
          <w:szCs w:val="20"/>
        </w:rPr>
        <w:t xml:space="preserve"> </w:t>
      </w:r>
      <w:r w:rsidR="007C563E" w:rsidRPr="00DB5977">
        <w:rPr>
          <w:rFonts w:ascii="Verdana" w:hAnsi="Verdana"/>
          <w:sz w:val="20"/>
          <w:szCs w:val="20"/>
        </w:rPr>
        <w:t xml:space="preserve">in </w:t>
      </w:r>
      <w:r w:rsidR="004B6584" w:rsidRPr="00DB5977">
        <w:rPr>
          <w:rFonts w:ascii="Verdana" w:hAnsi="Verdana"/>
          <w:sz w:val="20"/>
          <w:szCs w:val="20"/>
        </w:rPr>
        <w:t xml:space="preserve">short-term </w:t>
      </w:r>
      <w:r w:rsidR="009763DF" w:rsidRPr="00DB5977">
        <w:rPr>
          <w:rFonts w:ascii="Verdana" w:hAnsi="Verdana"/>
          <w:sz w:val="20"/>
          <w:szCs w:val="20"/>
        </w:rPr>
        <w:t xml:space="preserve">interest </w:t>
      </w:r>
      <w:r w:rsidR="004B6584" w:rsidRPr="00DB5977">
        <w:rPr>
          <w:rFonts w:ascii="Verdana" w:hAnsi="Verdana"/>
          <w:sz w:val="20"/>
          <w:szCs w:val="20"/>
        </w:rPr>
        <w:t>rate</w:t>
      </w:r>
      <w:r w:rsidR="007C563E" w:rsidRPr="00DB5977">
        <w:rPr>
          <w:rFonts w:ascii="Verdana" w:hAnsi="Verdana"/>
          <w:sz w:val="20"/>
          <w:szCs w:val="20"/>
        </w:rPr>
        <w:t>s</w:t>
      </w:r>
      <w:r w:rsidR="00AE25DD" w:rsidRPr="00DB5977">
        <w:rPr>
          <w:rFonts w:ascii="Verdana" w:hAnsi="Verdana"/>
          <w:sz w:val="20"/>
          <w:szCs w:val="20"/>
        </w:rPr>
        <w:t xml:space="preserve"> are the result of</w:t>
      </w:r>
      <w:r w:rsidR="009763DF" w:rsidRPr="00DB5977">
        <w:rPr>
          <w:rFonts w:ascii="Verdana" w:hAnsi="Verdana"/>
          <w:sz w:val="20"/>
          <w:szCs w:val="20"/>
        </w:rPr>
        <w:t xml:space="preserve"> the FOMC’s</w:t>
      </w:r>
      <w:r w:rsidR="00AE25DD" w:rsidRPr="00DB5977">
        <w:rPr>
          <w:rFonts w:ascii="Verdana" w:hAnsi="Verdana"/>
          <w:sz w:val="20"/>
          <w:szCs w:val="20"/>
        </w:rPr>
        <w:t xml:space="preserve"> policy actions as it</w:t>
      </w:r>
      <w:r w:rsidR="004B6584" w:rsidRPr="00DB5977">
        <w:rPr>
          <w:rFonts w:ascii="Verdana" w:hAnsi="Verdana"/>
          <w:sz w:val="20"/>
          <w:szCs w:val="20"/>
        </w:rPr>
        <w:t xml:space="preserve"> </w:t>
      </w:r>
      <w:r w:rsidR="003A6F2A" w:rsidRPr="00DB5977">
        <w:rPr>
          <w:rFonts w:ascii="Verdana" w:hAnsi="Verdana"/>
          <w:sz w:val="20"/>
          <w:szCs w:val="20"/>
        </w:rPr>
        <w:t>de</w:t>
      </w:r>
      <w:r w:rsidR="004B6584" w:rsidRPr="00DB5977">
        <w:rPr>
          <w:rFonts w:ascii="Verdana" w:hAnsi="Verdana"/>
          <w:sz w:val="20"/>
          <w:szCs w:val="20"/>
        </w:rPr>
        <w:t>creases the Federal Funds rate and</w:t>
      </w:r>
      <w:r w:rsidR="00AB2369" w:rsidRPr="00DB5977">
        <w:rPr>
          <w:rFonts w:ascii="Verdana" w:hAnsi="Verdana"/>
          <w:sz w:val="20"/>
          <w:szCs w:val="20"/>
        </w:rPr>
        <w:t xml:space="preserve"> employs</w:t>
      </w:r>
      <w:r w:rsidR="00C44FB8" w:rsidRPr="00DB5977">
        <w:rPr>
          <w:rFonts w:ascii="Verdana" w:hAnsi="Verdana"/>
          <w:sz w:val="20"/>
          <w:szCs w:val="20"/>
        </w:rPr>
        <w:t xml:space="preserve"> its</w:t>
      </w:r>
      <w:r w:rsidR="00282937" w:rsidRPr="00DB5977">
        <w:rPr>
          <w:rFonts w:ascii="Verdana" w:hAnsi="Verdana"/>
          <w:sz w:val="20"/>
          <w:szCs w:val="20"/>
        </w:rPr>
        <w:t xml:space="preserve"> quantitative </w:t>
      </w:r>
      <w:r w:rsidR="001C59DD" w:rsidRPr="00DB5977">
        <w:rPr>
          <w:rFonts w:ascii="Verdana" w:hAnsi="Verdana"/>
          <w:sz w:val="20"/>
          <w:szCs w:val="20"/>
        </w:rPr>
        <w:t>easing</w:t>
      </w:r>
      <w:r w:rsidR="004B6584" w:rsidRPr="00DB5977">
        <w:rPr>
          <w:rFonts w:ascii="Verdana" w:hAnsi="Verdana"/>
          <w:sz w:val="20"/>
          <w:szCs w:val="20"/>
        </w:rPr>
        <w:t xml:space="preserve"> </w:t>
      </w:r>
      <w:r w:rsidR="00C44FB8" w:rsidRPr="00DB5977">
        <w:rPr>
          <w:rFonts w:ascii="Verdana" w:hAnsi="Verdana"/>
          <w:sz w:val="20"/>
          <w:szCs w:val="20"/>
        </w:rPr>
        <w:t xml:space="preserve">program </w:t>
      </w:r>
      <w:r w:rsidR="004B6584" w:rsidRPr="00DB5977">
        <w:rPr>
          <w:rFonts w:ascii="Verdana" w:hAnsi="Verdana"/>
          <w:sz w:val="20"/>
          <w:szCs w:val="20"/>
        </w:rPr>
        <w:t xml:space="preserve">to </w:t>
      </w:r>
      <w:r w:rsidR="001D677E" w:rsidRPr="00DB5977">
        <w:rPr>
          <w:rFonts w:ascii="Verdana" w:hAnsi="Verdana"/>
          <w:sz w:val="20"/>
          <w:szCs w:val="20"/>
        </w:rPr>
        <w:t xml:space="preserve">maintain its </w:t>
      </w:r>
      <w:r w:rsidR="008415B0" w:rsidRPr="00DB5977">
        <w:rPr>
          <w:rFonts w:ascii="Verdana" w:hAnsi="Verdana"/>
          <w:sz w:val="20"/>
          <w:szCs w:val="20"/>
        </w:rPr>
        <w:t>employment and inflation goals</w:t>
      </w:r>
      <w:r w:rsidR="001D7258" w:rsidRPr="00DB5977">
        <w:rPr>
          <w:rFonts w:ascii="Verdana" w:hAnsi="Verdana"/>
          <w:sz w:val="20"/>
          <w:szCs w:val="20"/>
        </w:rPr>
        <w:t>.</w:t>
      </w:r>
      <w:r w:rsidR="0025065A">
        <w:rPr>
          <w:rFonts w:ascii="Verdana" w:hAnsi="Verdana"/>
          <w:sz w:val="20"/>
          <w:szCs w:val="20"/>
        </w:rPr>
        <w:t xml:space="preserve"> </w:t>
      </w:r>
      <w:r w:rsidR="001D7258" w:rsidRPr="00DB5977">
        <w:rPr>
          <w:rFonts w:ascii="Verdana" w:hAnsi="Verdana"/>
          <w:sz w:val="20"/>
          <w:szCs w:val="20"/>
        </w:rPr>
        <w:t>By contrast,</w:t>
      </w:r>
      <w:r w:rsidR="00823379" w:rsidRPr="00DB5977">
        <w:rPr>
          <w:rFonts w:ascii="Verdana" w:hAnsi="Verdana"/>
          <w:sz w:val="20"/>
          <w:szCs w:val="20"/>
        </w:rPr>
        <w:t xml:space="preserve"> long-term interest rates are </w:t>
      </w:r>
      <w:r w:rsidR="00AE25DD" w:rsidRPr="00DB5977">
        <w:rPr>
          <w:rFonts w:ascii="Verdana" w:hAnsi="Verdana"/>
          <w:sz w:val="20"/>
          <w:szCs w:val="20"/>
        </w:rPr>
        <w:t xml:space="preserve">primarily </w:t>
      </w:r>
      <w:r w:rsidR="00823379" w:rsidRPr="00DB5977">
        <w:rPr>
          <w:rFonts w:ascii="Verdana" w:hAnsi="Verdana"/>
          <w:sz w:val="20"/>
          <w:szCs w:val="20"/>
        </w:rPr>
        <w:t>determined by market forces</w:t>
      </w:r>
      <w:r w:rsidR="001D7258" w:rsidRPr="00DB5977">
        <w:rPr>
          <w:rFonts w:ascii="Verdana" w:hAnsi="Verdana"/>
          <w:sz w:val="20"/>
          <w:szCs w:val="20"/>
        </w:rPr>
        <w:t xml:space="preserve">, </w:t>
      </w:r>
      <w:r w:rsidR="00414744" w:rsidRPr="00DB5977">
        <w:rPr>
          <w:rFonts w:ascii="Verdana" w:hAnsi="Verdana"/>
          <w:sz w:val="20"/>
          <w:szCs w:val="20"/>
        </w:rPr>
        <w:t>including</w:t>
      </w:r>
      <w:r w:rsidR="001D7258" w:rsidRPr="00DB5977">
        <w:rPr>
          <w:rFonts w:ascii="Verdana" w:hAnsi="Verdana"/>
          <w:sz w:val="20"/>
          <w:szCs w:val="20"/>
        </w:rPr>
        <w:t xml:space="preserve"> investor expectations of </w:t>
      </w:r>
      <w:r w:rsidR="00823379" w:rsidRPr="00DB5977">
        <w:rPr>
          <w:rFonts w:ascii="Verdana" w:hAnsi="Verdana"/>
          <w:sz w:val="20"/>
          <w:szCs w:val="20"/>
        </w:rPr>
        <w:t>future levels of inflation.</w:t>
      </w:r>
      <w:r w:rsidR="0025065A">
        <w:rPr>
          <w:rFonts w:ascii="Verdana" w:hAnsi="Verdana"/>
          <w:sz w:val="20"/>
          <w:szCs w:val="20"/>
        </w:rPr>
        <w:t xml:space="preserve"> </w:t>
      </w:r>
      <w:r w:rsidR="00823379" w:rsidRPr="00DB5977">
        <w:rPr>
          <w:rFonts w:ascii="Verdana" w:hAnsi="Verdana"/>
          <w:sz w:val="20"/>
          <w:szCs w:val="20"/>
        </w:rPr>
        <w:t xml:space="preserve">In other words, the yield curve </w:t>
      </w:r>
      <w:r w:rsidR="00823379" w:rsidRPr="00DB5977">
        <w:rPr>
          <w:rFonts w:ascii="Verdana" w:hAnsi="Verdana"/>
          <w:sz w:val="20"/>
          <w:szCs w:val="20"/>
        </w:rPr>
        <w:lastRenderedPageBreak/>
        <w:t>reflects the bond market</w:t>
      </w:r>
      <w:r w:rsidR="00414744" w:rsidRPr="00DB5977">
        <w:rPr>
          <w:rFonts w:ascii="Verdana" w:hAnsi="Verdana"/>
          <w:sz w:val="20"/>
          <w:szCs w:val="20"/>
        </w:rPr>
        <w:t>’</w:t>
      </w:r>
      <w:r w:rsidR="00823379" w:rsidRPr="00DB5977">
        <w:rPr>
          <w:rFonts w:ascii="Verdana" w:hAnsi="Verdana"/>
          <w:sz w:val="20"/>
          <w:szCs w:val="20"/>
        </w:rPr>
        <w:t xml:space="preserve">s consensus opinion of future economic </w:t>
      </w:r>
      <w:r w:rsidR="009E13E2" w:rsidRPr="00DB5977">
        <w:rPr>
          <w:rFonts w:ascii="Verdana" w:hAnsi="Verdana"/>
          <w:sz w:val="20"/>
          <w:szCs w:val="20"/>
        </w:rPr>
        <w:t>conditions</w:t>
      </w:r>
      <w:r w:rsidR="001D7258" w:rsidRPr="00DB5977">
        <w:rPr>
          <w:rFonts w:ascii="Verdana" w:hAnsi="Verdana"/>
          <w:sz w:val="20"/>
          <w:szCs w:val="20"/>
        </w:rPr>
        <w:t xml:space="preserve">, such as </w:t>
      </w:r>
      <w:r w:rsidR="00823379" w:rsidRPr="00DB5977">
        <w:rPr>
          <w:rFonts w:ascii="Verdana" w:hAnsi="Verdana"/>
          <w:sz w:val="20"/>
          <w:szCs w:val="20"/>
        </w:rPr>
        <w:t>levels of inflation and interest rates.</w:t>
      </w:r>
      <w:r w:rsidR="0025065A">
        <w:rPr>
          <w:rFonts w:ascii="Verdana" w:hAnsi="Verdana"/>
          <w:sz w:val="20"/>
          <w:szCs w:val="20"/>
        </w:rPr>
        <w:t xml:space="preserve"> </w:t>
      </w:r>
      <w:r w:rsidR="00823379" w:rsidRPr="00DB5977">
        <w:rPr>
          <w:rFonts w:ascii="Verdana" w:hAnsi="Verdana"/>
          <w:sz w:val="20"/>
          <w:szCs w:val="20"/>
        </w:rPr>
        <w:t xml:space="preserve">Current trends, as demonstrated </w:t>
      </w:r>
      <w:r w:rsidR="000C7D8F">
        <w:rPr>
          <w:rFonts w:ascii="Verdana" w:hAnsi="Verdana"/>
          <w:sz w:val="20"/>
          <w:szCs w:val="20"/>
        </w:rPr>
        <w:t>by</w:t>
      </w:r>
      <w:r w:rsidR="000C7D8F" w:rsidRPr="00DB5977">
        <w:rPr>
          <w:rFonts w:ascii="Verdana" w:hAnsi="Verdana"/>
          <w:sz w:val="20"/>
          <w:szCs w:val="20"/>
        </w:rPr>
        <w:t xml:space="preserve"> </w:t>
      </w:r>
      <w:r w:rsidR="00823379" w:rsidRPr="00DB5977">
        <w:rPr>
          <w:rFonts w:ascii="Verdana" w:hAnsi="Verdana"/>
          <w:sz w:val="20"/>
          <w:szCs w:val="20"/>
        </w:rPr>
        <w:t>a</w:t>
      </w:r>
      <w:r w:rsidR="001B4B56" w:rsidRPr="00DB5977">
        <w:rPr>
          <w:rFonts w:ascii="Verdana" w:hAnsi="Verdana"/>
          <w:sz w:val="20"/>
          <w:szCs w:val="20"/>
        </w:rPr>
        <w:t>n inversion of parts of the</w:t>
      </w:r>
      <w:r w:rsidR="00823379" w:rsidRPr="00DB5977">
        <w:rPr>
          <w:rFonts w:ascii="Verdana" w:hAnsi="Verdana"/>
          <w:sz w:val="20"/>
          <w:szCs w:val="20"/>
        </w:rPr>
        <w:t xml:space="preserve"> yield curve when compared to the yield curve </w:t>
      </w:r>
      <w:r w:rsidR="00B04725" w:rsidRPr="00DB5977">
        <w:rPr>
          <w:rFonts w:ascii="Verdana" w:hAnsi="Verdana"/>
          <w:sz w:val="20"/>
          <w:szCs w:val="20"/>
        </w:rPr>
        <w:t xml:space="preserve">during the Company’s last rate case </w:t>
      </w:r>
      <w:r w:rsidR="00495F75" w:rsidRPr="00DB5977">
        <w:rPr>
          <w:rFonts w:ascii="Verdana" w:hAnsi="Verdana"/>
          <w:sz w:val="20"/>
          <w:szCs w:val="20"/>
        </w:rPr>
        <w:t>in 2013</w:t>
      </w:r>
      <w:r w:rsidR="00823379" w:rsidRPr="00DB5977">
        <w:rPr>
          <w:rFonts w:ascii="Verdana" w:hAnsi="Verdana"/>
          <w:sz w:val="20"/>
          <w:szCs w:val="20"/>
        </w:rPr>
        <w:t xml:space="preserve"> (</w:t>
      </w:r>
      <w:r w:rsidR="006E253F" w:rsidRPr="006E253F">
        <w:rPr>
          <w:rFonts w:ascii="Verdana" w:hAnsi="Verdana"/>
          <w:i/>
          <w:sz w:val="20"/>
          <w:szCs w:val="20"/>
          <w:u w:val="single"/>
        </w:rPr>
        <w:t>S</w:t>
      </w:r>
      <w:r w:rsidR="00823379" w:rsidRPr="006E253F">
        <w:rPr>
          <w:rFonts w:ascii="Verdana" w:hAnsi="Verdana"/>
          <w:i/>
          <w:sz w:val="20"/>
          <w:szCs w:val="20"/>
          <w:u w:val="single"/>
        </w:rPr>
        <w:t>ee</w:t>
      </w:r>
      <w:r w:rsidR="00823379" w:rsidRPr="00DB5977">
        <w:rPr>
          <w:rFonts w:ascii="Verdana" w:hAnsi="Verdana"/>
          <w:sz w:val="20"/>
          <w:szCs w:val="20"/>
        </w:rPr>
        <w:t xml:space="preserve"> Figure 2 below), </w:t>
      </w:r>
      <w:r w:rsidR="00ED2ECB" w:rsidRPr="00DB5977">
        <w:rPr>
          <w:rFonts w:ascii="Verdana" w:hAnsi="Verdana"/>
          <w:sz w:val="20"/>
          <w:szCs w:val="20"/>
        </w:rPr>
        <w:t>imply</w:t>
      </w:r>
      <w:r w:rsidR="00823379" w:rsidRPr="00DB5977">
        <w:rPr>
          <w:rFonts w:ascii="Verdana" w:hAnsi="Verdana"/>
          <w:sz w:val="20"/>
          <w:szCs w:val="20"/>
        </w:rPr>
        <w:t xml:space="preserve"> that investors anticipate a low rate of inflation</w:t>
      </w:r>
      <w:r w:rsidR="001D7258" w:rsidRPr="00DB5977">
        <w:rPr>
          <w:rFonts w:ascii="Verdana" w:hAnsi="Verdana"/>
          <w:sz w:val="20"/>
          <w:szCs w:val="20"/>
        </w:rPr>
        <w:t xml:space="preserve"> over the long term</w:t>
      </w:r>
      <w:r w:rsidR="00282937" w:rsidRPr="00DB5977">
        <w:rPr>
          <w:rFonts w:ascii="Verdana" w:hAnsi="Verdana"/>
          <w:sz w:val="20"/>
          <w:szCs w:val="20"/>
        </w:rPr>
        <w:t xml:space="preserve"> and an economic downturn </w:t>
      </w:r>
      <w:r w:rsidR="00ED2ECB" w:rsidRPr="00DB5977">
        <w:rPr>
          <w:rFonts w:ascii="Verdana" w:hAnsi="Verdana"/>
          <w:sz w:val="20"/>
          <w:szCs w:val="20"/>
        </w:rPr>
        <w:t>o</w:t>
      </w:r>
      <w:r w:rsidR="00282937" w:rsidRPr="00DB5977">
        <w:rPr>
          <w:rFonts w:ascii="Verdana" w:hAnsi="Verdana"/>
          <w:sz w:val="20"/>
          <w:szCs w:val="20"/>
        </w:rPr>
        <w:t>n the horizon</w:t>
      </w:r>
      <w:r w:rsidR="00823379" w:rsidRPr="00DB5977">
        <w:rPr>
          <w:rFonts w:ascii="Verdana" w:hAnsi="Verdana"/>
          <w:sz w:val="20"/>
          <w:szCs w:val="20"/>
        </w:rPr>
        <w:t xml:space="preserve">. </w:t>
      </w:r>
    </w:p>
    <w:p w14:paraId="42FCAD5D" w14:textId="77777777" w:rsidR="00055595" w:rsidRPr="00DB5977" w:rsidRDefault="00055595" w:rsidP="001D7258">
      <w:pPr>
        <w:keepNext/>
        <w:suppressLineNumbers/>
        <w:spacing w:after="0" w:line="240" w:lineRule="auto"/>
        <w:jc w:val="center"/>
        <w:rPr>
          <w:rFonts w:ascii="Verdana" w:hAnsi="Verdana" w:cstheme="minorHAnsi"/>
          <w:b/>
          <w:sz w:val="20"/>
          <w:szCs w:val="18"/>
        </w:rPr>
      </w:pPr>
    </w:p>
    <w:p w14:paraId="7293A0AC" w14:textId="77777777" w:rsidR="00055595" w:rsidRPr="00DB5977" w:rsidRDefault="00AA5807" w:rsidP="00AA5807">
      <w:pPr>
        <w:keepNext/>
        <w:suppressLineNumbers/>
        <w:spacing w:after="0" w:line="240" w:lineRule="auto"/>
        <w:jc w:val="center"/>
        <w:rPr>
          <w:rFonts w:ascii="Verdana" w:hAnsi="Verdana" w:cstheme="minorHAnsi"/>
          <w:b/>
          <w:sz w:val="20"/>
          <w:szCs w:val="18"/>
        </w:rPr>
      </w:pPr>
      <w:r w:rsidRPr="00DB5977">
        <w:rPr>
          <w:rFonts w:ascii="Verdana" w:hAnsi="Verdana"/>
          <w:noProof/>
          <w:sz w:val="18"/>
          <w:szCs w:val="18"/>
        </w:rPr>
        <w:drawing>
          <wp:inline distT="0" distB="0" distL="0" distR="0" wp14:anchorId="60617362" wp14:editId="15945E88">
            <wp:extent cx="5600700" cy="3430905"/>
            <wp:effectExtent l="0" t="0" r="0" b="17145"/>
            <wp:docPr id="1"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7E929" w14:textId="77777777" w:rsidR="00823379" w:rsidRPr="00DB5977" w:rsidRDefault="00823379" w:rsidP="00FA111D">
      <w:pPr>
        <w:keepNext/>
        <w:suppressLineNumbers/>
        <w:spacing w:after="0" w:line="240" w:lineRule="auto"/>
        <w:jc w:val="center"/>
        <w:rPr>
          <w:rFonts w:ascii="Verdana" w:hAnsi="Verdana" w:cstheme="minorHAnsi"/>
          <w:b/>
          <w:sz w:val="20"/>
          <w:szCs w:val="18"/>
        </w:rPr>
      </w:pPr>
    </w:p>
    <w:p w14:paraId="0D089B58" w14:textId="77777777" w:rsidR="00FA111D" w:rsidRPr="00DB5977" w:rsidRDefault="00FA111D" w:rsidP="00FA111D">
      <w:pPr>
        <w:keepNext/>
        <w:suppressLineNumbers/>
        <w:spacing w:after="0" w:line="240" w:lineRule="auto"/>
        <w:jc w:val="center"/>
        <w:rPr>
          <w:rFonts w:ascii="Verdana" w:hAnsi="Verdana" w:cstheme="minorHAnsi"/>
          <w:b/>
          <w:sz w:val="20"/>
          <w:szCs w:val="18"/>
        </w:rPr>
      </w:pPr>
    </w:p>
    <w:p w14:paraId="1E3C4375" w14:textId="5459351B" w:rsidR="00823379" w:rsidRPr="00DB5977" w:rsidRDefault="00823379" w:rsidP="004B2CD5">
      <w:pPr>
        <w:pStyle w:val="DirectNext"/>
        <w:rPr>
          <w:rFonts w:ascii="Verdana" w:hAnsi="Verdana"/>
          <w:sz w:val="20"/>
          <w:szCs w:val="20"/>
        </w:rPr>
      </w:pPr>
      <w:r w:rsidRPr="00DB5977">
        <w:rPr>
          <w:rFonts w:ascii="Verdana" w:hAnsi="Verdana"/>
          <w:sz w:val="20"/>
          <w:szCs w:val="20"/>
        </w:rPr>
        <w:t>Another measure of the collective views of investors regarding long-term inflation expectations is the Treasury Inflation-Protected Securities (“TIPS”) spread, or the difference between yields on long-term nominal Treasury securities and long</w:t>
      </w:r>
      <w:r w:rsidR="00BA1785" w:rsidRPr="00DB5977">
        <w:rPr>
          <w:rFonts w:ascii="Verdana" w:hAnsi="Verdana"/>
          <w:sz w:val="20"/>
          <w:szCs w:val="20"/>
        </w:rPr>
        <w:noBreakHyphen/>
      </w:r>
      <w:r w:rsidRPr="00DB5977">
        <w:rPr>
          <w:rFonts w:ascii="Verdana" w:hAnsi="Verdana"/>
          <w:sz w:val="20"/>
          <w:szCs w:val="20"/>
        </w:rPr>
        <w:t>term TIPS.</w:t>
      </w:r>
      <w:r w:rsidR="0025065A">
        <w:rPr>
          <w:rFonts w:ascii="Verdana" w:hAnsi="Verdana"/>
          <w:sz w:val="20"/>
          <w:szCs w:val="20"/>
        </w:rPr>
        <w:t xml:space="preserve"> </w:t>
      </w:r>
      <w:r w:rsidRPr="00DB5977">
        <w:rPr>
          <w:rFonts w:ascii="Verdana" w:hAnsi="Verdana"/>
          <w:sz w:val="20"/>
          <w:szCs w:val="20"/>
        </w:rPr>
        <w:t xml:space="preserve">The yield on a long-term </w:t>
      </w:r>
      <w:r w:rsidRPr="00DB5977">
        <w:rPr>
          <w:rFonts w:ascii="Verdana" w:hAnsi="Verdana"/>
          <w:sz w:val="20"/>
          <w:szCs w:val="20"/>
        </w:rPr>
        <w:lastRenderedPageBreak/>
        <w:t xml:space="preserve">conventional Treasury bond pays its holder a fixed nominal coupon and principal to compensate the investor for future inflation, and </w:t>
      </w:r>
      <w:r w:rsidR="001D7258" w:rsidRPr="00DB5977">
        <w:rPr>
          <w:rFonts w:ascii="Verdana" w:hAnsi="Verdana"/>
          <w:sz w:val="20"/>
          <w:szCs w:val="20"/>
        </w:rPr>
        <w:t xml:space="preserve">it </w:t>
      </w:r>
      <w:r w:rsidRPr="00DB5977">
        <w:rPr>
          <w:rFonts w:ascii="Verdana" w:hAnsi="Verdana"/>
          <w:sz w:val="20"/>
          <w:szCs w:val="20"/>
        </w:rPr>
        <w:t>includes the real rate of interest and the inflation compensation.</w:t>
      </w:r>
      <w:r w:rsidR="0025065A">
        <w:rPr>
          <w:rFonts w:ascii="Verdana" w:hAnsi="Verdana"/>
          <w:sz w:val="20"/>
          <w:szCs w:val="20"/>
        </w:rPr>
        <w:t xml:space="preserve"> </w:t>
      </w:r>
      <w:r w:rsidRPr="00DB5977">
        <w:rPr>
          <w:rFonts w:ascii="Verdana" w:hAnsi="Verdana"/>
          <w:sz w:val="20"/>
          <w:szCs w:val="20"/>
        </w:rPr>
        <w:t xml:space="preserve">For TIPS, the coupons and principal </w:t>
      </w:r>
      <w:r w:rsidR="004103BA">
        <w:rPr>
          <w:rFonts w:ascii="Verdana" w:hAnsi="Verdana"/>
          <w:sz w:val="20"/>
          <w:szCs w:val="20"/>
        </w:rPr>
        <w:t xml:space="preserve">both </w:t>
      </w:r>
      <w:r w:rsidRPr="00DB5977">
        <w:rPr>
          <w:rFonts w:ascii="Verdana" w:hAnsi="Verdana"/>
          <w:sz w:val="20"/>
          <w:szCs w:val="20"/>
        </w:rPr>
        <w:t>rise and fall with inflation, as measured by the Consumer Price Index (“CPI”)</w:t>
      </w:r>
      <w:r w:rsidR="001D7258" w:rsidRPr="00DB5977">
        <w:rPr>
          <w:rFonts w:ascii="Verdana" w:hAnsi="Verdana"/>
          <w:sz w:val="20"/>
          <w:szCs w:val="20"/>
        </w:rPr>
        <w:t>.</w:t>
      </w:r>
      <w:r w:rsidR="0025065A">
        <w:rPr>
          <w:rFonts w:ascii="Verdana" w:hAnsi="Verdana"/>
          <w:sz w:val="20"/>
          <w:szCs w:val="20"/>
        </w:rPr>
        <w:t xml:space="preserve"> </w:t>
      </w:r>
      <w:r w:rsidR="001D7258" w:rsidRPr="00DB5977">
        <w:rPr>
          <w:rFonts w:ascii="Verdana" w:hAnsi="Verdana"/>
          <w:sz w:val="20"/>
          <w:szCs w:val="20"/>
        </w:rPr>
        <w:t>T</w:t>
      </w:r>
      <w:r w:rsidRPr="00DB5977">
        <w:rPr>
          <w:rFonts w:ascii="Verdana" w:hAnsi="Verdana"/>
          <w:sz w:val="20"/>
          <w:szCs w:val="20"/>
        </w:rPr>
        <w:t>he published yield includes only the real rate of interest.</w:t>
      </w:r>
      <w:r w:rsidR="0025065A">
        <w:rPr>
          <w:rFonts w:ascii="Verdana" w:hAnsi="Verdana"/>
          <w:sz w:val="20"/>
          <w:szCs w:val="20"/>
        </w:rPr>
        <w:t xml:space="preserve"> </w:t>
      </w:r>
      <w:r w:rsidRPr="00DB5977">
        <w:rPr>
          <w:rFonts w:ascii="Verdana" w:hAnsi="Verdana"/>
          <w:sz w:val="20"/>
          <w:szCs w:val="20"/>
        </w:rPr>
        <w:t xml:space="preserve">Therefore, the difference, roughly speaking, between the prevailing yields on these two types of Treasury securities reflects the inflation compensation over that maturity horizon </w:t>
      </w:r>
      <w:r w:rsidR="00F6166B">
        <w:rPr>
          <w:rFonts w:ascii="Verdana" w:hAnsi="Verdana"/>
          <w:sz w:val="20"/>
          <w:szCs w:val="20"/>
        </w:rPr>
        <w:t xml:space="preserve">that is </w:t>
      </w:r>
      <w:r w:rsidRPr="00DB5977">
        <w:rPr>
          <w:rFonts w:ascii="Verdana" w:hAnsi="Verdana"/>
          <w:sz w:val="20"/>
          <w:szCs w:val="20"/>
        </w:rPr>
        <w:t>expected by bond investors.</w:t>
      </w:r>
      <w:r w:rsidR="0025065A">
        <w:rPr>
          <w:rFonts w:ascii="Verdana" w:hAnsi="Verdana"/>
          <w:sz w:val="20"/>
          <w:szCs w:val="20"/>
        </w:rPr>
        <w:t xml:space="preserve"> </w:t>
      </w:r>
      <w:r w:rsidRPr="00DB5977">
        <w:rPr>
          <w:rFonts w:ascii="Verdana" w:hAnsi="Verdana"/>
          <w:sz w:val="20"/>
          <w:szCs w:val="20"/>
        </w:rPr>
        <w:t xml:space="preserve">The </w:t>
      </w:r>
      <w:r w:rsidR="00DD3454" w:rsidRPr="00DB5977">
        <w:rPr>
          <w:rFonts w:ascii="Verdana" w:hAnsi="Verdana"/>
          <w:sz w:val="20"/>
          <w:szCs w:val="20"/>
        </w:rPr>
        <w:t>9</w:t>
      </w:r>
      <w:r w:rsidRPr="00DB5977">
        <w:rPr>
          <w:rFonts w:ascii="Verdana" w:hAnsi="Verdana"/>
          <w:sz w:val="20"/>
          <w:szCs w:val="20"/>
        </w:rPr>
        <w:t xml:space="preserve">0-day average </w:t>
      </w:r>
      <w:r w:rsidR="00106C0C" w:rsidRPr="00DB5977">
        <w:rPr>
          <w:rFonts w:ascii="Verdana" w:hAnsi="Verdana"/>
          <w:sz w:val="20"/>
          <w:szCs w:val="20"/>
        </w:rPr>
        <w:t xml:space="preserve">difference in </w:t>
      </w:r>
      <w:r w:rsidR="00F6166B">
        <w:rPr>
          <w:rFonts w:ascii="Verdana" w:hAnsi="Verdana"/>
          <w:sz w:val="20"/>
          <w:szCs w:val="20"/>
        </w:rPr>
        <w:t xml:space="preserve">the yield on the 30-year Treasury bond and 30-year TIPS </w:t>
      </w:r>
      <w:r w:rsidRPr="00DB5977">
        <w:rPr>
          <w:rFonts w:ascii="Verdana" w:hAnsi="Verdana"/>
          <w:sz w:val="20"/>
          <w:szCs w:val="20"/>
        </w:rPr>
        <w:t xml:space="preserve">for the period ended </w:t>
      </w:r>
      <w:r w:rsidR="00DD3454" w:rsidRPr="00DB5977">
        <w:rPr>
          <w:rFonts w:ascii="Verdana" w:hAnsi="Verdana"/>
          <w:sz w:val="20"/>
          <w:szCs w:val="20"/>
        </w:rPr>
        <w:t>August 3</w:t>
      </w:r>
      <w:r w:rsidR="00F6166B">
        <w:rPr>
          <w:rFonts w:ascii="Verdana" w:hAnsi="Verdana"/>
          <w:sz w:val="20"/>
          <w:szCs w:val="20"/>
        </w:rPr>
        <w:t>1</w:t>
      </w:r>
      <w:r w:rsidRPr="00DB5977">
        <w:rPr>
          <w:rFonts w:ascii="Verdana" w:hAnsi="Verdana"/>
          <w:sz w:val="20"/>
          <w:szCs w:val="20"/>
        </w:rPr>
        <w:t>, 201</w:t>
      </w:r>
      <w:r w:rsidR="00E21532" w:rsidRPr="00DB5977">
        <w:rPr>
          <w:rFonts w:ascii="Verdana" w:hAnsi="Verdana"/>
          <w:sz w:val="20"/>
          <w:szCs w:val="20"/>
        </w:rPr>
        <w:t>9</w:t>
      </w:r>
      <w:r w:rsidRPr="00DB5977">
        <w:rPr>
          <w:rFonts w:ascii="Verdana" w:hAnsi="Verdana"/>
          <w:sz w:val="20"/>
          <w:szCs w:val="20"/>
        </w:rPr>
        <w:t xml:space="preserve"> equals </w:t>
      </w:r>
      <w:r w:rsidR="00161BF8" w:rsidRPr="00DB5977">
        <w:rPr>
          <w:rFonts w:ascii="Verdana" w:hAnsi="Verdana"/>
          <w:sz w:val="20"/>
          <w:szCs w:val="20"/>
        </w:rPr>
        <w:t>1.</w:t>
      </w:r>
      <w:r w:rsidR="00DD3454" w:rsidRPr="00DB5977">
        <w:rPr>
          <w:rFonts w:ascii="Verdana" w:hAnsi="Verdana"/>
          <w:sz w:val="20"/>
          <w:szCs w:val="20"/>
        </w:rPr>
        <w:t>74</w:t>
      </w:r>
      <w:r w:rsidRPr="00DB5977">
        <w:rPr>
          <w:rFonts w:ascii="Verdana" w:hAnsi="Verdana"/>
          <w:sz w:val="20"/>
          <w:szCs w:val="20"/>
        </w:rPr>
        <w:t xml:space="preserve"> percent and represents the market’s most recent expectations of long-term inflation.</w:t>
      </w:r>
      <w:r w:rsidR="0025065A">
        <w:rPr>
          <w:rFonts w:ascii="Verdana" w:hAnsi="Verdana"/>
          <w:sz w:val="20"/>
          <w:szCs w:val="20"/>
        </w:rPr>
        <w:t xml:space="preserve"> </w:t>
      </w:r>
      <w:r w:rsidRPr="00DB5977">
        <w:rPr>
          <w:rFonts w:ascii="Verdana" w:hAnsi="Verdana"/>
          <w:sz w:val="20"/>
          <w:szCs w:val="20"/>
        </w:rPr>
        <w:t>(</w:t>
      </w:r>
      <w:r w:rsidRPr="00DB5977">
        <w:rPr>
          <w:rFonts w:ascii="Verdana" w:hAnsi="Verdana"/>
          <w:i/>
          <w:sz w:val="20"/>
          <w:szCs w:val="20"/>
          <w:u w:val="single"/>
        </w:rPr>
        <w:t>See</w:t>
      </w:r>
      <w:r w:rsidRPr="00DB5977">
        <w:rPr>
          <w:rFonts w:ascii="Verdana" w:hAnsi="Verdana"/>
          <w:i/>
          <w:sz w:val="20"/>
          <w:szCs w:val="20"/>
        </w:rPr>
        <w:t xml:space="preserve"> </w:t>
      </w:r>
      <w:r w:rsidR="0013533B">
        <w:rPr>
          <w:rFonts w:ascii="Verdana" w:hAnsi="Verdana"/>
          <w:sz w:val="20"/>
          <w:szCs w:val="20"/>
        </w:rPr>
        <w:t>Exhibit</w:t>
      </w:r>
      <w:proofErr w:type="gramStart"/>
      <w:r w:rsidR="0013533B">
        <w:rPr>
          <w:rFonts w:ascii="Verdana" w:hAnsi="Verdana"/>
          <w:sz w:val="20"/>
          <w:szCs w:val="20"/>
        </w:rPr>
        <w:t>_(</w:t>
      </w:r>
      <w:proofErr w:type="gramEnd"/>
      <w:r w:rsidRPr="00DB5977">
        <w:rPr>
          <w:rFonts w:ascii="Verdana" w:hAnsi="Verdana"/>
          <w:sz w:val="20"/>
          <w:szCs w:val="20"/>
        </w:rPr>
        <w:t>MLR-2</w:t>
      </w:r>
      <w:r w:rsidR="00721472">
        <w:rPr>
          <w:rFonts w:ascii="Verdana" w:hAnsi="Verdana"/>
          <w:sz w:val="20"/>
          <w:szCs w:val="20"/>
        </w:rPr>
        <w:t>c</w:t>
      </w:r>
      <w:r w:rsidRPr="00DB5977">
        <w:rPr>
          <w:rFonts w:ascii="Verdana" w:hAnsi="Verdana"/>
          <w:sz w:val="20"/>
          <w:szCs w:val="20"/>
        </w:rPr>
        <w:t>.)</w:t>
      </w:r>
      <w:r w:rsidR="0025065A">
        <w:rPr>
          <w:rFonts w:ascii="Verdana" w:hAnsi="Verdana"/>
          <w:sz w:val="20"/>
          <w:szCs w:val="20"/>
        </w:rPr>
        <w:t xml:space="preserve"> </w:t>
      </w:r>
      <w:r w:rsidRPr="00DB5977">
        <w:rPr>
          <w:rFonts w:ascii="Verdana" w:hAnsi="Verdana"/>
          <w:sz w:val="20"/>
          <w:szCs w:val="20"/>
        </w:rPr>
        <w:t xml:space="preserve">These long-term expectations </w:t>
      </w:r>
      <w:r w:rsidR="00F6166B">
        <w:rPr>
          <w:rFonts w:ascii="Verdana" w:hAnsi="Verdana"/>
          <w:sz w:val="20"/>
          <w:szCs w:val="20"/>
        </w:rPr>
        <w:t>of</w:t>
      </w:r>
      <w:r w:rsidR="00F6166B" w:rsidRPr="00DB5977">
        <w:rPr>
          <w:rFonts w:ascii="Verdana" w:hAnsi="Verdana"/>
          <w:sz w:val="20"/>
          <w:szCs w:val="20"/>
        </w:rPr>
        <w:t xml:space="preserve"> </w:t>
      </w:r>
      <w:r w:rsidR="007C563E" w:rsidRPr="00DB5977">
        <w:rPr>
          <w:rFonts w:ascii="Verdana" w:hAnsi="Verdana"/>
          <w:sz w:val="20"/>
          <w:szCs w:val="20"/>
        </w:rPr>
        <w:t>moderate</w:t>
      </w:r>
      <w:r w:rsidRPr="00DB5977">
        <w:rPr>
          <w:rFonts w:ascii="Verdana" w:hAnsi="Verdana"/>
          <w:sz w:val="20"/>
          <w:szCs w:val="20"/>
        </w:rPr>
        <w:t xml:space="preserve"> inflation, coupled with the </w:t>
      </w:r>
      <w:r w:rsidR="00980811" w:rsidRPr="00DB5977">
        <w:rPr>
          <w:rFonts w:ascii="Verdana" w:hAnsi="Verdana"/>
          <w:sz w:val="20"/>
          <w:szCs w:val="20"/>
        </w:rPr>
        <w:t>FOMC</w:t>
      </w:r>
      <w:r w:rsidRPr="00DB5977">
        <w:rPr>
          <w:rFonts w:ascii="Verdana" w:hAnsi="Verdana"/>
          <w:sz w:val="20"/>
          <w:szCs w:val="20"/>
        </w:rPr>
        <w:t xml:space="preserve">’s </w:t>
      </w:r>
      <w:r w:rsidR="00947E54" w:rsidRPr="00DB5977">
        <w:rPr>
          <w:rFonts w:ascii="Verdana" w:hAnsi="Verdana"/>
          <w:sz w:val="20"/>
          <w:szCs w:val="20"/>
        </w:rPr>
        <w:t>recent decision</w:t>
      </w:r>
      <w:r w:rsidR="0000256F" w:rsidRPr="00DB5977">
        <w:rPr>
          <w:rFonts w:ascii="Verdana" w:hAnsi="Verdana"/>
          <w:sz w:val="20"/>
          <w:szCs w:val="20"/>
        </w:rPr>
        <w:t>s</w:t>
      </w:r>
      <w:r w:rsidR="00947E54" w:rsidRPr="00DB5977">
        <w:rPr>
          <w:rFonts w:ascii="Verdana" w:hAnsi="Verdana"/>
          <w:sz w:val="20"/>
          <w:szCs w:val="20"/>
        </w:rPr>
        <w:t xml:space="preserve"> to </w:t>
      </w:r>
      <w:r w:rsidR="003A7DD8" w:rsidRPr="00DB5977">
        <w:rPr>
          <w:rFonts w:ascii="Verdana" w:hAnsi="Verdana"/>
          <w:sz w:val="20"/>
          <w:szCs w:val="20"/>
        </w:rPr>
        <w:t xml:space="preserve">keep </w:t>
      </w:r>
      <w:r w:rsidR="0079269F" w:rsidRPr="00DB5977">
        <w:rPr>
          <w:rFonts w:ascii="Verdana" w:hAnsi="Verdana"/>
          <w:sz w:val="20"/>
          <w:szCs w:val="20"/>
        </w:rPr>
        <w:t xml:space="preserve">full employment and </w:t>
      </w:r>
      <w:r w:rsidR="00F62818" w:rsidRPr="00DB5977">
        <w:rPr>
          <w:rFonts w:ascii="Verdana" w:hAnsi="Verdana"/>
          <w:sz w:val="20"/>
          <w:szCs w:val="20"/>
        </w:rPr>
        <w:t xml:space="preserve">hold current </w:t>
      </w:r>
      <w:r w:rsidR="003A7DD8" w:rsidRPr="00DB5977">
        <w:rPr>
          <w:rFonts w:ascii="Verdana" w:hAnsi="Verdana"/>
          <w:sz w:val="20"/>
          <w:szCs w:val="20"/>
        </w:rPr>
        <w:t xml:space="preserve">inflation </w:t>
      </w:r>
      <w:r w:rsidR="00CA6FB3" w:rsidRPr="00DB5977">
        <w:rPr>
          <w:rFonts w:ascii="Verdana" w:hAnsi="Verdana"/>
          <w:sz w:val="20"/>
          <w:szCs w:val="20"/>
        </w:rPr>
        <w:t>(at a target rate of 2</w:t>
      </w:r>
      <w:r w:rsidR="00275DD8">
        <w:rPr>
          <w:rFonts w:ascii="Verdana" w:hAnsi="Verdana"/>
          <w:sz w:val="20"/>
          <w:szCs w:val="20"/>
        </w:rPr>
        <w:t> </w:t>
      </w:r>
      <w:r w:rsidR="00CA6FB3" w:rsidRPr="00DB5977">
        <w:rPr>
          <w:rFonts w:ascii="Verdana" w:hAnsi="Verdana"/>
          <w:sz w:val="20"/>
          <w:szCs w:val="20"/>
        </w:rPr>
        <w:t>percent)</w:t>
      </w:r>
      <w:r w:rsidR="003A7DD8" w:rsidRPr="00DB5977">
        <w:rPr>
          <w:rFonts w:ascii="Verdana" w:hAnsi="Verdana"/>
          <w:sz w:val="20"/>
          <w:szCs w:val="20"/>
        </w:rPr>
        <w:t xml:space="preserve"> by</w:t>
      </w:r>
      <w:r w:rsidR="00947E54" w:rsidRPr="00DB5977">
        <w:rPr>
          <w:rFonts w:ascii="Verdana" w:hAnsi="Verdana"/>
          <w:sz w:val="20"/>
          <w:szCs w:val="20"/>
        </w:rPr>
        <w:t xml:space="preserve"> </w:t>
      </w:r>
      <w:r w:rsidR="00253E7F" w:rsidRPr="00DB5977">
        <w:rPr>
          <w:rFonts w:ascii="Verdana" w:hAnsi="Verdana"/>
          <w:sz w:val="20"/>
          <w:szCs w:val="20"/>
        </w:rPr>
        <w:t>increasing</w:t>
      </w:r>
      <w:r w:rsidR="003723F1" w:rsidRPr="00DB5977">
        <w:rPr>
          <w:rFonts w:ascii="Verdana" w:hAnsi="Verdana"/>
          <w:sz w:val="20"/>
          <w:szCs w:val="20"/>
        </w:rPr>
        <w:t xml:space="preserve"> its balance sheet </w:t>
      </w:r>
      <w:r w:rsidR="00CA6FB3" w:rsidRPr="00DB5977">
        <w:rPr>
          <w:rFonts w:ascii="Verdana" w:hAnsi="Verdana"/>
          <w:sz w:val="20"/>
          <w:szCs w:val="20"/>
        </w:rPr>
        <w:t xml:space="preserve">holdings of long-term bonds </w:t>
      </w:r>
      <w:r w:rsidR="003723F1" w:rsidRPr="00DB5977">
        <w:rPr>
          <w:rFonts w:ascii="Verdana" w:hAnsi="Verdana"/>
          <w:sz w:val="20"/>
          <w:szCs w:val="20"/>
        </w:rPr>
        <w:t>and</w:t>
      </w:r>
      <w:r w:rsidR="003A7DD8" w:rsidRPr="00DB5977">
        <w:rPr>
          <w:rFonts w:ascii="Verdana" w:hAnsi="Verdana"/>
          <w:sz w:val="20"/>
          <w:szCs w:val="20"/>
        </w:rPr>
        <w:t xml:space="preserve"> </w:t>
      </w:r>
      <w:r w:rsidR="00F62818" w:rsidRPr="00DB5977">
        <w:rPr>
          <w:rFonts w:ascii="Verdana" w:hAnsi="Verdana"/>
          <w:sz w:val="20"/>
          <w:szCs w:val="20"/>
        </w:rPr>
        <w:t>de</w:t>
      </w:r>
      <w:r w:rsidR="003A7DD8" w:rsidRPr="00DB5977">
        <w:rPr>
          <w:rFonts w:ascii="Verdana" w:hAnsi="Verdana"/>
          <w:sz w:val="20"/>
          <w:szCs w:val="20"/>
        </w:rPr>
        <w:t>creasing the Federal Funds rate</w:t>
      </w:r>
      <w:r w:rsidRPr="00DB5977">
        <w:rPr>
          <w:rFonts w:ascii="Verdana" w:hAnsi="Verdana"/>
          <w:sz w:val="20"/>
          <w:szCs w:val="20"/>
        </w:rPr>
        <w:t xml:space="preserve">, reinforce investors’ expectations of a low opportunity cost </w:t>
      </w:r>
      <w:r w:rsidR="00CA6FB3" w:rsidRPr="00DB5977">
        <w:rPr>
          <w:rFonts w:ascii="Verdana" w:hAnsi="Verdana"/>
          <w:sz w:val="20"/>
          <w:szCs w:val="20"/>
        </w:rPr>
        <w:t xml:space="preserve">rate </w:t>
      </w:r>
      <w:r w:rsidRPr="00DB5977">
        <w:rPr>
          <w:rFonts w:ascii="Verdana" w:hAnsi="Verdana"/>
          <w:sz w:val="20"/>
          <w:szCs w:val="20"/>
        </w:rPr>
        <w:t>of purchasing utility stocks, as demonstrated by my cost of equity study estimates.</w:t>
      </w:r>
    </w:p>
    <w:p w14:paraId="08F493BC" w14:textId="77777777" w:rsidR="00DD73EB" w:rsidRPr="00DB5977" w:rsidRDefault="00DD73EB" w:rsidP="00486739">
      <w:pPr>
        <w:pStyle w:val="DirectQuestion"/>
      </w:pPr>
      <w:r w:rsidRPr="00DB5977">
        <w:t>What are the economic expectations for the U.S. in the near future?</w:t>
      </w:r>
    </w:p>
    <w:p w14:paraId="29D43790" w14:textId="6DDFCC04" w:rsidR="00DD73EB" w:rsidRPr="00DB5977" w:rsidRDefault="00DD73EB" w:rsidP="00DD73EB">
      <w:pPr>
        <w:pStyle w:val="DirectAnswer"/>
        <w:jc w:val="both"/>
        <w:rPr>
          <w:rFonts w:ascii="Verdana" w:hAnsi="Verdana" w:cstheme="minorHAnsi"/>
          <w:sz w:val="20"/>
          <w:szCs w:val="20"/>
        </w:rPr>
      </w:pPr>
      <w:r w:rsidRPr="00DB5977">
        <w:rPr>
          <w:rFonts w:ascii="Verdana" w:hAnsi="Verdana" w:cstheme="minorHAnsi"/>
          <w:sz w:val="20"/>
          <w:szCs w:val="20"/>
        </w:rPr>
        <w:lastRenderedPageBreak/>
        <w:t xml:space="preserve">According to the </w:t>
      </w:r>
      <w:r w:rsidR="00E75357">
        <w:rPr>
          <w:rFonts w:ascii="Verdana" w:hAnsi="Verdana" w:cstheme="minorHAnsi"/>
          <w:sz w:val="20"/>
          <w:szCs w:val="20"/>
        </w:rPr>
        <w:t xml:space="preserve">Q2 </w:t>
      </w:r>
      <w:r w:rsidR="00D9075C" w:rsidRPr="00DB5977">
        <w:rPr>
          <w:rFonts w:ascii="Verdana" w:hAnsi="Verdana" w:cstheme="minorHAnsi"/>
          <w:sz w:val="20"/>
          <w:szCs w:val="20"/>
        </w:rPr>
        <w:t>201</w:t>
      </w:r>
      <w:r w:rsidR="00C55B63" w:rsidRPr="00DB5977">
        <w:rPr>
          <w:rFonts w:ascii="Verdana" w:hAnsi="Verdana" w:cstheme="minorHAnsi"/>
          <w:sz w:val="20"/>
          <w:szCs w:val="20"/>
        </w:rPr>
        <w:t>9</w:t>
      </w:r>
      <w:r w:rsidR="008A2532" w:rsidRPr="00DB5977">
        <w:rPr>
          <w:rFonts w:ascii="Verdana" w:hAnsi="Verdana" w:cstheme="minorHAnsi"/>
          <w:sz w:val="20"/>
          <w:szCs w:val="20"/>
        </w:rPr>
        <w:t xml:space="preserve"> </w:t>
      </w:r>
      <w:r w:rsidRPr="00DB5977">
        <w:rPr>
          <w:rFonts w:ascii="Verdana" w:hAnsi="Verdana" w:cstheme="minorHAnsi"/>
          <w:sz w:val="20"/>
          <w:szCs w:val="20"/>
        </w:rPr>
        <w:t xml:space="preserve">edition of </w:t>
      </w:r>
      <w:r w:rsidR="00D9075C" w:rsidRPr="00DB5977">
        <w:rPr>
          <w:rFonts w:ascii="Verdana" w:hAnsi="Verdana" w:cstheme="minorHAnsi"/>
          <w:i/>
          <w:sz w:val="20"/>
          <w:szCs w:val="20"/>
        </w:rPr>
        <w:t xml:space="preserve">Survey of Professional Forecasters </w:t>
      </w:r>
      <w:r w:rsidR="00D9075C" w:rsidRPr="00DB5977">
        <w:rPr>
          <w:rFonts w:ascii="Verdana" w:hAnsi="Verdana" w:cstheme="minorHAnsi"/>
          <w:sz w:val="20"/>
          <w:szCs w:val="20"/>
        </w:rPr>
        <w:t>by the Federal Reserve Bank of Philadelphia</w:t>
      </w:r>
      <w:r w:rsidRPr="00DB5977">
        <w:rPr>
          <w:rFonts w:ascii="Verdana" w:hAnsi="Verdana" w:cstheme="minorHAnsi"/>
          <w:sz w:val="20"/>
          <w:szCs w:val="20"/>
        </w:rPr>
        <w:t xml:space="preserve">, economic growth, as measured by real GDP, is expected to </w:t>
      </w:r>
      <w:r w:rsidR="00877306" w:rsidRPr="00DB5977">
        <w:rPr>
          <w:rFonts w:ascii="Verdana" w:hAnsi="Verdana" w:cstheme="minorHAnsi"/>
          <w:sz w:val="20"/>
          <w:szCs w:val="20"/>
        </w:rPr>
        <w:t>increase slightly</w:t>
      </w:r>
      <w:r w:rsidRPr="00DB5977">
        <w:rPr>
          <w:rFonts w:ascii="Verdana" w:hAnsi="Verdana" w:cstheme="minorHAnsi"/>
          <w:sz w:val="20"/>
          <w:szCs w:val="20"/>
        </w:rPr>
        <w:t xml:space="preserve"> </w:t>
      </w:r>
      <w:r w:rsidR="00B31178" w:rsidRPr="00DB5977">
        <w:rPr>
          <w:rFonts w:ascii="Verdana" w:hAnsi="Verdana" w:cstheme="minorHAnsi"/>
          <w:sz w:val="20"/>
          <w:szCs w:val="20"/>
        </w:rPr>
        <w:t xml:space="preserve">to 2.0 </w:t>
      </w:r>
      <w:r w:rsidR="00E75357">
        <w:rPr>
          <w:rFonts w:ascii="Verdana" w:hAnsi="Verdana" w:cstheme="minorHAnsi"/>
          <w:sz w:val="20"/>
          <w:szCs w:val="20"/>
        </w:rPr>
        <w:t xml:space="preserve">percent </w:t>
      </w:r>
      <w:r w:rsidR="00B31178" w:rsidRPr="00DB5977">
        <w:rPr>
          <w:rFonts w:ascii="Verdana" w:hAnsi="Verdana" w:cstheme="minorHAnsi"/>
          <w:sz w:val="20"/>
          <w:szCs w:val="20"/>
        </w:rPr>
        <w:t xml:space="preserve">during </w:t>
      </w:r>
      <w:r w:rsidR="00E75357">
        <w:rPr>
          <w:rFonts w:ascii="Verdana" w:hAnsi="Verdana" w:cstheme="minorHAnsi"/>
          <w:sz w:val="20"/>
          <w:szCs w:val="20"/>
        </w:rPr>
        <w:t>Q</w:t>
      </w:r>
      <w:r w:rsidR="00B31178" w:rsidRPr="00DB5977">
        <w:rPr>
          <w:rFonts w:ascii="Verdana" w:hAnsi="Verdana" w:cstheme="minorHAnsi"/>
          <w:sz w:val="20"/>
          <w:szCs w:val="20"/>
        </w:rPr>
        <w:t xml:space="preserve">4 </w:t>
      </w:r>
      <w:r w:rsidR="009647E6" w:rsidRPr="00DB5977">
        <w:rPr>
          <w:rFonts w:ascii="Verdana" w:hAnsi="Verdana" w:cstheme="minorHAnsi"/>
          <w:sz w:val="20"/>
          <w:szCs w:val="20"/>
        </w:rPr>
        <w:t xml:space="preserve">2019 </w:t>
      </w:r>
      <w:r w:rsidRPr="00DB5977">
        <w:rPr>
          <w:rFonts w:ascii="Verdana" w:hAnsi="Verdana" w:cstheme="minorHAnsi"/>
          <w:sz w:val="20"/>
          <w:szCs w:val="20"/>
        </w:rPr>
        <w:t>after</w:t>
      </w:r>
      <w:r w:rsidR="00E874B6" w:rsidRPr="00DB5977">
        <w:rPr>
          <w:rFonts w:ascii="Verdana" w:hAnsi="Verdana" w:cstheme="minorHAnsi"/>
          <w:sz w:val="20"/>
          <w:szCs w:val="20"/>
        </w:rPr>
        <w:t xml:space="preserve"> falling </w:t>
      </w:r>
      <w:r w:rsidR="009647E6" w:rsidRPr="00DB5977">
        <w:rPr>
          <w:rFonts w:ascii="Verdana" w:hAnsi="Verdana" w:cstheme="minorHAnsi"/>
          <w:sz w:val="20"/>
          <w:szCs w:val="20"/>
        </w:rPr>
        <w:t>to 1.8</w:t>
      </w:r>
      <w:r w:rsidRPr="00DB5977">
        <w:rPr>
          <w:rFonts w:ascii="Verdana" w:hAnsi="Verdana" w:cstheme="minorHAnsi"/>
          <w:sz w:val="20"/>
          <w:szCs w:val="20"/>
        </w:rPr>
        <w:t xml:space="preserve"> percent </w:t>
      </w:r>
      <w:r w:rsidR="00056731" w:rsidRPr="00DB5977">
        <w:rPr>
          <w:rFonts w:ascii="Verdana" w:hAnsi="Verdana" w:cstheme="minorHAnsi"/>
          <w:sz w:val="20"/>
          <w:szCs w:val="20"/>
        </w:rPr>
        <w:t>in</w:t>
      </w:r>
      <w:r w:rsidRPr="00DB5977">
        <w:rPr>
          <w:rFonts w:ascii="Verdana" w:hAnsi="Verdana" w:cstheme="minorHAnsi"/>
          <w:sz w:val="20"/>
          <w:szCs w:val="20"/>
        </w:rPr>
        <w:t xml:space="preserve"> </w:t>
      </w:r>
      <w:r w:rsidR="00161BF8" w:rsidRPr="00DB5977">
        <w:rPr>
          <w:rFonts w:ascii="Verdana" w:hAnsi="Verdana" w:cstheme="minorHAnsi"/>
          <w:sz w:val="20"/>
          <w:szCs w:val="20"/>
        </w:rPr>
        <w:t>Q</w:t>
      </w:r>
      <w:r w:rsidR="00E75357">
        <w:rPr>
          <w:rFonts w:ascii="Verdana" w:hAnsi="Verdana" w:cstheme="minorHAnsi"/>
          <w:sz w:val="20"/>
          <w:szCs w:val="20"/>
        </w:rPr>
        <w:t>3</w:t>
      </w:r>
      <w:r w:rsidRPr="00DB5977">
        <w:rPr>
          <w:rFonts w:ascii="Verdana" w:hAnsi="Verdana" w:cstheme="minorHAnsi"/>
          <w:sz w:val="20"/>
          <w:szCs w:val="20"/>
        </w:rPr>
        <w:t xml:space="preserve"> 201</w:t>
      </w:r>
      <w:r w:rsidR="00D9075C" w:rsidRPr="00DB5977">
        <w:rPr>
          <w:rFonts w:ascii="Verdana" w:hAnsi="Verdana" w:cstheme="minorHAnsi"/>
          <w:sz w:val="20"/>
          <w:szCs w:val="20"/>
        </w:rPr>
        <w:t>9</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Long-run economic growth beyond 2019 is expected to </w:t>
      </w:r>
      <w:r w:rsidR="00F20520" w:rsidRPr="00DB5977">
        <w:rPr>
          <w:rFonts w:ascii="Verdana" w:hAnsi="Verdana" w:cstheme="minorHAnsi"/>
          <w:sz w:val="20"/>
          <w:szCs w:val="20"/>
        </w:rPr>
        <w:t>remain</w:t>
      </w:r>
      <w:r w:rsidRPr="00DB5977">
        <w:rPr>
          <w:rFonts w:ascii="Verdana" w:hAnsi="Verdana" w:cstheme="minorHAnsi"/>
          <w:sz w:val="20"/>
          <w:szCs w:val="20"/>
        </w:rPr>
        <w:t xml:space="preserve"> </w:t>
      </w:r>
      <w:r w:rsidR="00E75357">
        <w:rPr>
          <w:rFonts w:ascii="Verdana" w:hAnsi="Verdana" w:cstheme="minorHAnsi"/>
          <w:sz w:val="20"/>
          <w:szCs w:val="20"/>
        </w:rPr>
        <w:t xml:space="preserve">at </w:t>
      </w:r>
      <w:r w:rsidR="00BB1AB4" w:rsidRPr="00DB5977">
        <w:rPr>
          <w:rFonts w:ascii="Verdana" w:hAnsi="Verdana" w:cstheme="minorHAnsi"/>
          <w:sz w:val="20"/>
          <w:szCs w:val="20"/>
        </w:rPr>
        <w:t>an</w:t>
      </w:r>
      <w:r w:rsidRPr="00DB5977">
        <w:rPr>
          <w:rFonts w:ascii="Verdana" w:hAnsi="Verdana" w:cstheme="minorHAnsi"/>
          <w:sz w:val="20"/>
          <w:szCs w:val="20"/>
        </w:rPr>
        <w:t xml:space="preserve"> annual rate of approximately </w:t>
      </w:r>
      <w:r w:rsidR="00F20520" w:rsidRPr="00DB5977">
        <w:rPr>
          <w:rFonts w:ascii="Verdana" w:hAnsi="Verdana" w:cstheme="minorHAnsi"/>
          <w:sz w:val="20"/>
          <w:szCs w:val="20"/>
        </w:rPr>
        <w:t>1.9</w:t>
      </w:r>
      <w:r w:rsidR="00BB1AB4" w:rsidRPr="00DB5977">
        <w:rPr>
          <w:rFonts w:ascii="Verdana" w:hAnsi="Verdana" w:cstheme="minorHAnsi"/>
          <w:sz w:val="20"/>
          <w:szCs w:val="20"/>
        </w:rPr>
        <w:t xml:space="preserve"> percent in 2020 and </w:t>
      </w:r>
      <w:r w:rsidR="001D1FF4" w:rsidRPr="00DB5977">
        <w:rPr>
          <w:rFonts w:ascii="Verdana" w:hAnsi="Verdana" w:cstheme="minorHAnsi"/>
          <w:sz w:val="20"/>
          <w:szCs w:val="20"/>
        </w:rPr>
        <w:t>2.0</w:t>
      </w:r>
      <w:r w:rsidR="00BB1AB4" w:rsidRPr="00DB5977">
        <w:rPr>
          <w:rFonts w:ascii="Verdana" w:hAnsi="Verdana" w:cstheme="minorHAnsi"/>
          <w:sz w:val="20"/>
          <w:szCs w:val="20"/>
        </w:rPr>
        <w:t xml:space="preserve"> percent in 2021</w:t>
      </w:r>
      <w:r w:rsidRPr="00DB5977">
        <w:rPr>
          <w:rFonts w:ascii="Verdana" w:hAnsi="Verdana" w:cstheme="minorHAnsi"/>
          <w:sz w:val="20"/>
          <w:szCs w:val="20"/>
        </w:rPr>
        <w:t>.</w:t>
      </w:r>
      <w:r w:rsidR="0025065A">
        <w:rPr>
          <w:rFonts w:ascii="Verdana" w:hAnsi="Verdana" w:cstheme="minorHAnsi"/>
          <w:sz w:val="20"/>
          <w:szCs w:val="20"/>
        </w:rPr>
        <w:t xml:space="preserve"> </w:t>
      </w:r>
      <w:r w:rsidR="00BB1AB4" w:rsidRPr="00DB5977">
        <w:rPr>
          <w:rFonts w:ascii="Verdana" w:hAnsi="Verdana"/>
          <w:sz w:val="20"/>
          <w:szCs w:val="20"/>
        </w:rPr>
        <w:t>(</w:t>
      </w:r>
      <w:r w:rsidR="00BB1AB4" w:rsidRPr="00DB5977">
        <w:rPr>
          <w:rFonts w:ascii="Verdana" w:hAnsi="Verdana"/>
          <w:i/>
          <w:sz w:val="20"/>
          <w:szCs w:val="20"/>
          <w:u w:val="single"/>
        </w:rPr>
        <w:t>See</w:t>
      </w:r>
      <w:r w:rsidR="00BB1AB4" w:rsidRPr="00DB5977">
        <w:rPr>
          <w:rFonts w:ascii="Verdana" w:hAnsi="Verdana"/>
          <w:i/>
          <w:sz w:val="20"/>
          <w:szCs w:val="20"/>
        </w:rPr>
        <w:t xml:space="preserve"> </w:t>
      </w:r>
      <w:r w:rsidR="0013533B">
        <w:rPr>
          <w:rFonts w:ascii="Verdana" w:hAnsi="Verdana"/>
          <w:sz w:val="20"/>
          <w:szCs w:val="20"/>
        </w:rPr>
        <w:t>Exhibit_</w:t>
      </w:r>
      <w:r w:rsidR="00AB0D9A">
        <w:rPr>
          <w:rFonts w:ascii="Verdana" w:hAnsi="Verdana"/>
          <w:sz w:val="20"/>
          <w:szCs w:val="20"/>
        </w:rPr>
        <w:t>(</w:t>
      </w:r>
      <w:bookmarkStart w:id="11" w:name="_GoBack"/>
      <w:bookmarkEnd w:id="11"/>
      <w:r w:rsidR="00BB1AB4" w:rsidRPr="00DB5977">
        <w:rPr>
          <w:rFonts w:ascii="Verdana" w:hAnsi="Verdana"/>
          <w:sz w:val="20"/>
          <w:szCs w:val="20"/>
        </w:rPr>
        <w:t>MLR-3.)</w:t>
      </w:r>
      <w:r w:rsidR="0025065A">
        <w:rPr>
          <w:rFonts w:ascii="Verdana" w:hAnsi="Verdana"/>
          <w:sz w:val="20"/>
          <w:szCs w:val="20"/>
        </w:rPr>
        <w:t xml:space="preserve"> </w:t>
      </w:r>
    </w:p>
    <w:p w14:paraId="4D6465DB" w14:textId="4E232D3E" w:rsidR="00DD73EB" w:rsidRPr="00AD2446" w:rsidRDefault="00DD73EB" w:rsidP="00DD73EB">
      <w:pPr>
        <w:pStyle w:val="DirectNext"/>
        <w:rPr>
          <w:rFonts w:ascii="Verdana" w:hAnsi="Verdana"/>
          <w:sz w:val="20"/>
          <w:szCs w:val="20"/>
        </w:rPr>
      </w:pPr>
      <w:r w:rsidRPr="00DB5977">
        <w:rPr>
          <w:rFonts w:ascii="Verdana" w:hAnsi="Verdana"/>
          <w:sz w:val="20"/>
          <w:szCs w:val="20"/>
        </w:rPr>
        <w:t xml:space="preserve">Over the next year, inflation is expected to remain at moderate levels, with the </w:t>
      </w:r>
      <w:r w:rsidR="007E3F72">
        <w:rPr>
          <w:rFonts w:ascii="Verdana" w:hAnsi="Verdana"/>
          <w:sz w:val="20"/>
          <w:szCs w:val="20"/>
        </w:rPr>
        <w:t>CPI</w:t>
      </w:r>
      <w:r w:rsidRPr="00DB5977">
        <w:rPr>
          <w:rFonts w:ascii="Verdana" w:hAnsi="Verdana"/>
          <w:sz w:val="20"/>
          <w:szCs w:val="20"/>
        </w:rPr>
        <w:t xml:space="preserve"> remaining </w:t>
      </w:r>
      <w:r w:rsidR="00E15DFF" w:rsidRPr="00DB5977">
        <w:rPr>
          <w:rFonts w:ascii="Verdana" w:hAnsi="Verdana"/>
          <w:sz w:val="20"/>
          <w:szCs w:val="20"/>
        </w:rPr>
        <w:t>near</w:t>
      </w:r>
      <w:r w:rsidRPr="00DB5977">
        <w:rPr>
          <w:rFonts w:ascii="Verdana" w:hAnsi="Verdana"/>
          <w:sz w:val="20"/>
          <w:szCs w:val="20"/>
        </w:rPr>
        <w:t xml:space="preserve"> 2 percent.</w:t>
      </w:r>
      <w:r w:rsidR="0025065A">
        <w:rPr>
          <w:rFonts w:ascii="Verdana" w:hAnsi="Verdana"/>
          <w:sz w:val="20"/>
          <w:szCs w:val="20"/>
        </w:rPr>
        <w:t xml:space="preserve"> </w:t>
      </w:r>
      <w:r w:rsidRPr="00DB5977">
        <w:rPr>
          <w:rFonts w:ascii="Verdana" w:hAnsi="Verdana"/>
          <w:sz w:val="20"/>
          <w:szCs w:val="20"/>
        </w:rPr>
        <w:t>The data show that analysts expect the national economy to remain near full employment in the near term.</w:t>
      </w:r>
      <w:r w:rsidR="0025065A">
        <w:rPr>
          <w:rFonts w:ascii="Verdana" w:hAnsi="Verdana"/>
          <w:sz w:val="20"/>
          <w:szCs w:val="20"/>
        </w:rPr>
        <w:t xml:space="preserve"> </w:t>
      </w:r>
      <w:r w:rsidRPr="00DB5977">
        <w:rPr>
          <w:rFonts w:ascii="Verdana" w:hAnsi="Verdana"/>
          <w:sz w:val="20"/>
          <w:szCs w:val="20"/>
        </w:rPr>
        <w:t xml:space="preserve">The national unemployment rate is expected to </w:t>
      </w:r>
      <w:r w:rsidR="00FB37CF" w:rsidRPr="00DB5977">
        <w:rPr>
          <w:rFonts w:ascii="Verdana" w:hAnsi="Verdana"/>
          <w:sz w:val="20"/>
          <w:szCs w:val="20"/>
        </w:rPr>
        <w:t>fall to</w:t>
      </w:r>
      <w:r w:rsidRPr="00DB5977">
        <w:rPr>
          <w:rFonts w:ascii="Verdana" w:hAnsi="Verdana"/>
          <w:sz w:val="20"/>
          <w:szCs w:val="20"/>
        </w:rPr>
        <w:t xml:space="preserve"> 3.</w:t>
      </w:r>
      <w:r w:rsidR="00D53F1B" w:rsidRPr="00DB5977">
        <w:rPr>
          <w:rFonts w:ascii="Verdana" w:hAnsi="Verdana"/>
          <w:sz w:val="20"/>
          <w:szCs w:val="20"/>
        </w:rPr>
        <w:t>6</w:t>
      </w:r>
      <w:r w:rsidRPr="00DB5977">
        <w:rPr>
          <w:rFonts w:ascii="Verdana" w:hAnsi="Verdana"/>
          <w:sz w:val="20"/>
          <w:szCs w:val="20"/>
        </w:rPr>
        <w:t> percent in 20</w:t>
      </w:r>
      <w:r w:rsidR="007E3F72">
        <w:rPr>
          <w:rFonts w:ascii="Verdana" w:hAnsi="Verdana"/>
          <w:sz w:val="20"/>
          <w:szCs w:val="20"/>
        </w:rPr>
        <w:t>20</w:t>
      </w:r>
      <w:r w:rsidRPr="00DB5977">
        <w:rPr>
          <w:rFonts w:ascii="Verdana" w:hAnsi="Verdana"/>
          <w:sz w:val="20"/>
          <w:szCs w:val="20"/>
        </w:rPr>
        <w:t xml:space="preserve">, though </w:t>
      </w:r>
      <w:r w:rsidRPr="00AD2446">
        <w:rPr>
          <w:rFonts w:ascii="Verdana" w:hAnsi="Verdana"/>
          <w:sz w:val="20"/>
          <w:szCs w:val="20"/>
        </w:rPr>
        <w:t>this may reflect the exit of discouraged job seekers from the labor market.</w:t>
      </w:r>
      <w:r w:rsidRPr="00AD2446">
        <w:rPr>
          <w:rStyle w:val="FootnoteReference"/>
          <w:rFonts w:ascii="Verdana" w:hAnsi="Verdana"/>
          <w:sz w:val="20"/>
          <w:szCs w:val="16"/>
        </w:rPr>
        <w:footnoteReference w:id="12"/>
      </w:r>
      <w:r w:rsidR="0025065A" w:rsidRPr="00AD2446">
        <w:rPr>
          <w:rFonts w:ascii="Verdana" w:hAnsi="Verdana"/>
          <w:sz w:val="20"/>
          <w:szCs w:val="20"/>
        </w:rPr>
        <w:t xml:space="preserve"> </w:t>
      </w:r>
    </w:p>
    <w:p w14:paraId="1FA45488" w14:textId="77777777" w:rsidR="00C6390B" w:rsidRPr="00AD2446" w:rsidRDefault="00C6390B" w:rsidP="00486739">
      <w:pPr>
        <w:pStyle w:val="DirectQuestion"/>
      </w:pPr>
      <w:r w:rsidRPr="00AD2446">
        <w:t xml:space="preserve">How DOES </w:t>
      </w:r>
      <w:r w:rsidR="00007379" w:rsidRPr="00AD2446">
        <w:t>Geo</w:t>
      </w:r>
      <w:r w:rsidR="0074575B" w:rsidRPr="00AD2446">
        <w:t>rgia</w:t>
      </w:r>
      <w:r w:rsidRPr="00AD2446">
        <w:t xml:space="preserve">’S </w:t>
      </w:r>
      <w:r w:rsidR="00617745" w:rsidRPr="00AD2446">
        <w:t>Economy</w:t>
      </w:r>
      <w:r w:rsidRPr="00AD2446">
        <w:t xml:space="preserve"> COMPARE TO THE NATIONAL </w:t>
      </w:r>
      <w:r w:rsidR="00617745" w:rsidRPr="00AD2446">
        <w:t>economy</w:t>
      </w:r>
      <w:r w:rsidRPr="00AD2446">
        <w:t>?</w:t>
      </w:r>
    </w:p>
    <w:p w14:paraId="7E4BB44D" w14:textId="6D3FDD3B" w:rsidR="00316AD5" w:rsidRPr="00AD2446" w:rsidRDefault="00316AD5" w:rsidP="00774737">
      <w:pPr>
        <w:pStyle w:val="DirectAnswer"/>
        <w:jc w:val="both"/>
        <w:rPr>
          <w:rFonts w:ascii="Verdana" w:hAnsi="Verdana"/>
          <w:sz w:val="20"/>
          <w:szCs w:val="20"/>
        </w:rPr>
      </w:pPr>
      <w:r w:rsidRPr="00AD2446">
        <w:rPr>
          <w:rFonts w:ascii="Verdana" w:hAnsi="Verdana"/>
          <w:sz w:val="20"/>
          <w:szCs w:val="20"/>
        </w:rPr>
        <w:t xml:space="preserve">Experts at the </w:t>
      </w:r>
      <w:r w:rsidR="00DB791F" w:rsidRPr="00AD2446">
        <w:rPr>
          <w:rFonts w:ascii="Verdana" w:hAnsi="Verdana"/>
          <w:sz w:val="20"/>
          <w:szCs w:val="20"/>
        </w:rPr>
        <w:t xml:space="preserve">University of Georgia </w:t>
      </w:r>
      <w:r w:rsidRPr="00AD2446">
        <w:rPr>
          <w:rFonts w:ascii="Verdana" w:hAnsi="Verdana"/>
          <w:sz w:val="20"/>
          <w:szCs w:val="20"/>
        </w:rPr>
        <w:t>Seli</w:t>
      </w:r>
      <w:r w:rsidR="0002788B" w:rsidRPr="00AD2446">
        <w:rPr>
          <w:rFonts w:ascii="Verdana" w:hAnsi="Verdana"/>
          <w:sz w:val="20"/>
          <w:szCs w:val="20"/>
        </w:rPr>
        <w:t>g</w:t>
      </w:r>
      <w:r w:rsidRPr="00AD2446">
        <w:rPr>
          <w:rFonts w:ascii="Verdana" w:hAnsi="Verdana"/>
          <w:sz w:val="20"/>
          <w:szCs w:val="20"/>
        </w:rPr>
        <w:t xml:space="preserve"> Center for Economic Growth</w:t>
      </w:r>
      <w:r w:rsidR="00B90C21" w:rsidRPr="00AD2446">
        <w:rPr>
          <w:rFonts w:ascii="Verdana" w:hAnsi="Verdana"/>
          <w:sz w:val="20"/>
          <w:szCs w:val="20"/>
        </w:rPr>
        <w:t xml:space="preserve">, </w:t>
      </w:r>
      <w:r w:rsidR="00DB791F" w:rsidRPr="00AD2446">
        <w:rPr>
          <w:rFonts w:ascii="Verdana" w:hAnsi="Verdana"/>
          <w:sz w:val="20"/>
          <w:szCs w:val="20"/>
        </w:rPr>
        <w:t xml:space="preserve">in their </w:t>
      </w:r>
      <w:r w:rsidR="007A70DB" w:rsidRPr="00AD2446">
        <w:rPr>
          <w:rFonts w:ascii="Verdana" w:hAnsi="Verdana"/>
          <w:sz w:val="20"/>
          <w:szCs w:val="20"/>
        </w:rPr>
        <w:t xml:space="preserve">2019 </w:t>
      </w:r>
      <w:r w:rsidR="007A70DB" w:rsidRPr="00AD2446">
        <w:rPr>
          <w:rFonts w:ascii="Verdana" w:hAnsi="Verdana"/>
          <w:i/>
          <w:iCs/>
          <w:sz w:val="20"/>
          <w:szCs w:val="20"/>
        </w:rPr>
        <w:t xml:space="preserve">Georgia Economic Outlook </w:t>
      </w:r>
      <w:r w:rsidR="001B0F6D" w:rsidRPr="00AD2446">
        <w:rPr>
          <w:rFonts w:ascii="Verdana" w:hAnsi="Verdana"/>
          <w:sz w:val="20"/>
          <w:szCs w:val="20"/>
        </w:rPr>
        <w:t>publication</w:t>
      </w:r>
      <w:r w:rsidR="00B90C21" w:rsidRPr="00AD2446">
        <w:rPr>
          <w:rFonts w:ascii="Verdana" w:hAnsi="Verdana"/>
          <w:sz w:val="20"/>
          <w:szCs w:val="20"/>
        </w:rPr>
        <w:t>,</w:t>
      </w:r>
      <w:r w:rsidRPr="00AD2446">
        <w:rPr>
          <w:rFonts w:ascii="Verdana" w:hAnsi="Verdana"/>
          <w:sz w:val="20"/>
          <w:szCs w:val="20"/>
        </w:rPr>
        <w:t xml:space="preserve"> expect </w:t>
      </w:r>
      <w:r w:rsidR="00774737" w:rsidRPr="00AD2446">
        <w:rPr>
          <w:rFonts w:ascii="Verdana" w:hAnsi="Verdana"/>
          <w:sz w:val="20"/>
          <w:szCs w:val="20"/>
        </w:rPr>
        <w:t xml:space="preserve">that </w:t>
      </w:r>
      <w:r w:rsidRPr="00AD2446">
        <w:rPr>
          <w:rFonts w:ascii="Verdana" w:hAnsi="Verdana"/>
          <w:sz w:val="20"/>
          <w:szCs w:val="20"/>
        </w:rPr>
        <w:t>Georgia’s state GDP will slow this year, but the economic outlook overall looks good considering that Georgia</w:t>
      </w:r>
      <w:r w:rsidR="007B0CBD" w:rsidRPr="00AD2446">
        <w:rPr>
          <w:rFonts w:ascii="Verdana" w:hAnsi="Verdana"/>
          <w:sz w:val="20"/>
          <w:szCs w:val="20"/>
        </w:rPr>
        <w:t>’s</w:t>
      </w:r>
      <w:r w:rsidRPr="00AD2446">
        <w:rPr>
          <w:rFonts w:ascii="Verdana" w:hAnsi="Verdana"/>
          <w:sz w:val="20"/>
          <w:szCs w:val="20"/>
        </w:rPr>
        <w:t xml:space="preserve"> economy is expected to grow faster than the nation’s economy for the sixth straight year. However, as international trade tensions increase</w:t>
      </w:r>
      <w:r w:rsidR="007B0CBD" w:rsidRPr="00AD2446">
        <w:rPr>
          <w:rFonts w:ascii="Verdana" w:hAnsi="Verdana"/>
          <w:sz w:val="20"/>
          <w:szCs w:val="20"/>
        </w:rPr>
        <w:t>,</w:t>
      </w:r>
      <w:r w:rsidRPr="00AD2446">
        <w:rPr>
          <w:rFonts w:ascii="Verdana" w:hAnsi="Verdana"/>
          <w:sz w:val="20"/>
          <w:szCs w:val="20"/>
        </w:rPr>
        <w:t xml:space="preserve"> so does the possibility of </w:t>
      </w:r>
      <w:r w:rsidR="003C502B">
        <w:rPr>
          <w:rFonts w:ascii="Verdana" w:hAnsi="Verdana"/>
          <w:sz w:val="20"/>
          <w:szCs w:val="20"/>
        </w:rPr>
        <w:t xml:space="preserve">a </w:t>
      </w:r>
      <w:r w:rsidRPr="00AD2446">
        <w:rPr>
          <w:rFonts w:ascii="Verdana" w:hAnsi="Verdana"/>
          <w:sz w:val="20"/>
          <w:szCs w:val="20"/>
        </w:rPr>
        <w:t xml:space="preserve">recession because </w:t>
      </w:r>
      <w:r w:rsidRPr="00AD2446">
        <w:rPr>
          <w:rFonts w:ascii="Verdana" w:hAnsi="Verdana"/>
          <w:sz w:val="20"/>
          <w:szCs w:val="20"/>
        </w:rPr>
        <w:lastRenderedPageBreak/>
        <w:t>Georgia is the nation’s eleventh largest export state and the seventh largest in imports. At the time of publication, researchers were forecasting that the state’s GDP would continue to grow, but at a slower pace</w:t>
      </w:r>
      <w:r w:rsidR="00274F39" w:rsidRPr="00AD2446">
        <w:rPr>
          <w:rFonts w:ascii="Verdana" w:hAnsi="Verdana"/>
          <w:sz w:val="20"/>
          <w:szCs w:val="20"/>
        </w:rPr>
        <w:t>,</w:t>
      </w:r>
      <w:r w:rsidRPr="00AD2446">
        <w:rPr>
          <w:rFonts w:ascii="Verdana" w:hAnsi="Verdana"/>
          <w:sz w:val="20"/>
          <w:szCs w:val="20"/>
        </w:rPr>
        <w:t xml:space="preserve"> at levels in the annual range of 3.5 percent to 3.0 percent. The publication</w:t>
      </w:r>
      <w:r w:rsidR="004D0046">
        <w:rPr>
          <w:rFonts w:ascii="Verdana" w:hAnsi="Verdana"/>
          <w:sz w:val="20"/>
          <w:szCs w:val="20"/>
        </w:rPr>
        <w:t xml:space="preserve"> states</w:t>
      </w:r>
      <w:r w:rsidRPr="00AD2446">
        <w:rPr>
          <w:rFonts w:ascii="Verdana" w:hAnsi="Verdana"/>
          <w:sz w:val="20"/>
          <w:szCs w:val="20"/>
        </w:rPr>
        <w:t xml:space="preserve"> </w:t>
      </w:r>
      <w:r w:rsidR="004D0046">
        <w:rPr>
          <w:rFonts w:ascii="Verdana" w:hAnsi="Verdana"/>
          <w:sz w:val="20"/>
          <w:szCs w:val="20"/>
        </w:rPr>
        <w:t xml:space="preserve">that </w:t>
      </w:r>
      <w:r w:rsidRPr="00AD2446">
        <w:rPr>
          <w:rFonts w:ascii="Verdana" w:hAnsi="Verdana"/>
          <w:sz w:val="20"/>
          <w:szCs w:val="20"/>
        </w:rPr>
        <w:t xml:space="preserve">Georgia’s unemployment rate </w:t>
      </w:r>
      <w:r w:rsidR="004D0046">
        <w:rPr>
          <w:rFonts w:ascii="Verdana" w:hAnsi="Verdana"/>
          <w:sz w:val="20"/>
          <w:szCs w:val="20"/>
        </w:rPr>
        <w:t xml:space="preserve">is expected </w:t>
      </w:r>
      <w:r w:rsidRPr="00AD2446">
        <w:rPr>
          <w:rFonts w:ascii="Verdana" w:hAnsi="Verdana"/>
          <w:sz w:val="20"/>
          <w:szCs w:val="20"/>
        </w:rPr>
        <w:t>to continue its downward trend from a level of 4.1</w:t>
      </w:r>
      <w:r w:rsidR="00275DD8" w:rsidRPr="00AD2446">
        <w:rPr>
          <w:rFonts w:ascii="Verdana" w:hAnsi="Verdana"/>
          <w:sz w:val="20"/>
          <w:szCs w:val="20"/>
        </w:rPr>
        <w:t> </w:t>
      </w:r>
      <w:r w:rsidRPr="00AD2446">
        <w:rPr>
          <w:rFonts w:ascii="Verdana" w:hAnsi="Verdana"/>
          <w:sz w:val="20"/>
          <w:szCs w:val="20"/>
        </w:rPr>
        <w:t xml:space="preserve">percent in 2018 to 3.7 percent in 2019. However, personal income growth </w:t>
      </w:r>
      <w:r w:rsidR="00C007B1">
        <w:rPr>
          <w:rFonts w:ascii="Verdana" w:hAnsi="Verdana"/>
          <w:sz w:val="20"/>
          <w:szCs w:val="20"/>
        </w:rPr>
        <w:t>i</w:t>
      </w:r>
      <w:r w:rsidRPr="00AD2446">
        <w:rPr>
          <w:rFonts w:ascii="Verdana" w:hAnsi="Verdana"/>
          <w:sz w:val="20"/>
          <w:szCs w:val="20"/>
        </w:rPr>
        <w:t>s expected to fall from 5.4 percent in 2018 to 4.9 percent in 2019.</w:t>
      </w:r>
      <w:r w:rsidRPr="00AD2446">
        <w:rPr>
          <w:rStyle w:val="FootnoteReference"/>
          <w:rFonts w:ascii="Verdana" w:hAnsi="Verdana"/>
          <w:sz w:val="20"/>
          <w:szCs w:val="20"/>
        </w:rPr>
        <w:footnoteReference w:id="13"/>
      </w:r>
    </w:p>
    <w:p w14:paraId="3950F871" w14:textId="1BBB4177" w:rsidR="00C91247" w:rsidRPr="00AD2446" w:rsidRDefault="00C91247" w:rsidP="00486739">
      <w:pPr>
        <w:pStyle w:val="DirectQuestion"/>
      </w:pPr>
      <w:r w:rsidRPr="00AD2446">
        <w:t xml:space="preserve">How </w:t>
      </w:r>
      <w:r w:rsidR="004E0869" w:rsidRPr="00AD2446">
        <w:t xml:space="preserve">does </w:t>
      </w:r>
      <w:r w:rsidRPr="00AD2446">
        <w:t xml:space="preserve">the u.s. military impact </w:t>
      </w:r>
      <w:r w:rsidR="008F7FA2" w:rsidRPr="00AD2446">
        <w:t>Georgia</w:t>
      </w:r>
      <w:r w:rsidRPr="00AD2446">
        <w:t>’s economy</w:t>
      </w:r>
      <w:r w:rsidR="00BF2035" w:rsidRPr="00AD2446">
        <w:t xml:space="preserve">? </w:t>
      </w:r>
    </w:p>
    <w:p w14:paraId="7257D44D" w14:textId="4B0E88A6" w:rsidR="00316AD5" w:rsidRPr="00AD2446" w:rsidRDefault="009A15FC" w:rsidP="00E41989">
      <w:pPr>
        <w:pStyle w:val="DirectAnswer"/>
        <w:jc w:val="both"/>
        <w:rPr>
          <w:rFonts w:ascii="Verdana" w:hAnsi="Verdana"/>
          <w:sz w:val="20"/>
          <w:szCs w:val="20"/>
        </w:rPr>
      </w:pPr>
      <w:r w:rsidRPr="00AD2446">
        <w:rPr>
          <w:rFonts w:ascii="Verdana" w:hAnsi="Verdana"/>
          <w:sz w:val="20"/>
          <w:szCs w:val="20"/>
          <w:lang w:val="en-CA"/>
        </w:rPr>
        <w:t xml:space="preserve">DoD/FEA is a large customer of </w:t>
      </w:r>
      <w:r w:rsidR="00E41989" w:rsidRPr="00AD2446">
        <w:rPr>
          <w:rFonts w:ascii="Verdana" w:hAnsi="Verdana"/>
          <w:sz w:val="20"/>
          <w:szCs w:val="20"/>
        </w:rPr>
        <w:t>Georgia Power</w:t>
      </w:r>
      <w:r w:rsidRPr="00AD2446">
        <w:rPr>
          <w:rFonts w:ascii="Verdana" w:hAnsi="Verdana"/>
          <w:sz w:val="20"/>
          <w:szCs w:val="20"/>
        </w:rPr>
        <w:t xml:space="preserve"> and maintains military installations </w:t>
      </w:r>
      <w:r w:rsidR="00B741CD" w:rsidRPr="00AD2446">
        <w:rPr>
          <w:rFonts w:ascii="Verdana" w:hAnsi="Verdana"/>
          <w:sz w:val="20"/>
          <w:szCs w:val="20"/>
        </w:rPr>
        <w:t xml:space="preserve">throughout </w:t>
      </w:r>
      <w:r w:rsidR="00316AD5" w:rsidRPr="00AD2446">
        <w:rPr>
          <w:rFonts w:ascii="Verdana" w:hAnsi="Verdana"/>
          <w:sz w:val="20"/>
          <w:szCs w:val="20"/>
        </w:rPr>
        <w:t xml:space="preserve">the state. According to the </w:t>
      </w:r>
      <w:proofErr w:type="gramStart"/>
      <w:r w:rsidR="00316AD5" w:rsidRPr="00AD2446">
        <w:rPr>
          <w:rFonts w:ascii="Verdana" w:hAnsi="Verdana"/>
          <w:sz w:val="20"/>
          <w:szCs w:val="20"/>
        </w:rPr>
        <w:t>DoD’s</w:t>
      </w:r>
      <w:proofErr w:type="gramEnd"/>
      <w:r w:rsidR="00316AD5" w:rsidRPr="00AD2446">
        <w:rPr>
          <w:rFonts w:ascii="Verdana" w:hAnsi="Verdana"/>
          <w:sz w:val="20"/>
          <w:szCs w:val="20"/>
        </w:rPr>
        <w:t xml:space="preserve"> Office of Economic Adjustment, the </w:t>
      </w:r>
      <w:r w:rsidR="00D80873" w:rsidRPr="00AD2446">
        <w:rPr>
          <w:rFonts w:ascii="Verdana" w:hAnsi="Verdana"/>
          <w:sz w:val="20"/>
          <w:szCs w:val="20"/>
        </w:rPr>
        <w:t>DoD</w:t>
      </w:r>
      <w:r w:rsidR="00316AD5" w:rsidRPr="00AD2446">
        <w:rPr>
          <w:rFonts w:ascii="Verdana" w:hAnsi="Verdana"/>
          <w:sz w:val="20"/>
          <w:szCs w:val="20"/>
        </w:rPr>
        <w:t xml:space="preserve"> spent $13.2 billion (payroll and contract spending) in Georgia during </w:t>
      </w:r>
      <w:r w:rsidR="00456434" w:rsidRPr="00AD2446">
        <w:rPr>
          <w:rFonts w:ascii="Verdana" w:hAnsi="Verdana"/>
          <w:sz w:val="20"/>
          <w:szCs w:val="20"/>
        </w:rPr>
        <w:t>FY</w:t>
      </w:r>
      <w:r w:rsidR="00316AD5" w:rsidRPr="00AD2446">
        <w:rPr>
          <w:rFonts w:ascii="Verdana" w:hAnsi="Verdana"/>
          <w:sz w:val="20"/>
          <w:szCs w:val="20"/>
        </w:rPr>
        <w:t xml:space="preserve">2017, ranking </w:t>
      </w:r>
      <w:r w:rsidR="0047237C" w:rsidRPr="00AD2446">
        <w:rPr>
          <w:rFonts w:ascii="Verdana" w:hAnsi="Verdana"/>
          <w:sz w:val="20"/>
          <w:szCs w:val="20"/>
        </w:rPr>
        <w:t xml:space="preserve">the state </w:t>
      </w:r>
      <w:r w:rsidR="00456434" w:rsidRPr="00AD2446">
        <w:rPr>
          <w:rFonts w:ascii="Verdana" w:hAnsi="Verdana"/>
          <w:sz w:val="20"/>
          <w:szCs w:val="20"/>
        </w:rPr>
        <w:t xml:space="preserve">eighth </w:t>
      </w:r>
      <w:r w:rsidR="00316AD5" w:rsidRPr="00AD2446">
        <w:rPr>
          <w:rFonts w:ascii="Verdana" w:hAnsi="Verdana"/>
          <w:sz w:val="20"/>
          <w:szCs w:val="20"/>
        </w:rPr>
        <w:t xml:space="preserve">in the nation. The </w:t>
      </w:r>
      <w:proofErr w:type="gramStart"/>
      <w:r w:rsidR="00316AD5" w:rsidRPr="00AD2446">
        <w:rPr>
          <w:rFonts w:ascii="Verdana" w:hAnsi="Verdana"/>
          <w:sz w:val="20"/>
          <w:szCs w:val="20"/>
        </w:rPr>
        <w:t>DoD’s</w:t>
      </w:r>
      <w:proofErr w:type="gramEnd"/>
      <w:r w:rsidR="00316AD5" w:rsidRPr="00AD2446">
        <w:rPr>
          <w:rFonts w:ascii="Verdana" w:hAnsi="Verdana"/>
          <w:sz w:val="20"/>
          <w:szCs w:val="20"/>
        </w:rPr>
        <w:t xml:space="preserve"> annual economic impact of spending </w:t>
      </w:r>
      <w:r w:rsidR="00F738C0" w:rsidRPr="00AD2446">
        <w:rPr>
          <w:rFonts w:ascii="Verdana" w:hAnsi="Verdana"/>
          <w:sz w:val="20"/>
          <w:szCs w:val="20"/>
        </w:rPr>
        <w:t xml:space="preserve">in Georgia </w:t>
      </w:r>
      <w:r w:rsidR="00316AD5" w:rsidRPr="00AD2446">
        <w:rPr>
          <w:rFonts w:ascii="Verdana" w:hAnsi="Verdana"/>
          <w:sz w:val="20"/>
          <w:szCs w:val="20"/>
        </w:rPr>
        <w:t>is equivalent to $1,268 per resident and contributes up to 3.3</w:t>
      </w:r>
      <w:r w:rsidR="00275DD8" w:rsidRPr="00AD2446">
        <w:rPr>
          <w:rFonts w:ascii="Verdana" w:hAnsi="Verdana"/>
          <w:sz w:val="20"/>
          <w:szCs w:val="20"/>
        </w:rPr>
        <w:t> </w:t>
      </w:r>
      <w:r w:rsidR="00316AD5" w:rsidRPr="00AD2446">
        <w:rPr>
          <w:rFonts w:ascii="Verdana" w:hAnsi="Verdana"/>
          <w:sz w:val="20"/>
          <w:szCs w:val="20"/>
        </w:rPr>
        <w:t xml:space="preserve">percent of Georgia’s state GDP. Georgia ranks </w:t>
      </w:r>
      <w:r w:rsidR="00456434" w:rsidRPr="00AD2446">
        <w:rPr>
          <w:rFonts w:ascii="Verdana" w:hAnsi="Verdana"/>
          <w:sz w:val="20"/>
          <w:szCs w:val="20"/>
        </w:rPr>
        <w:t xml:space="preserve">fifth </w:t>
      </w:r>
      <w:r w:rsidR="00316AD5" w:rsidRPr="00AD2446">
        <w:rPr>
          <w:rFonts w:ascii="Verdana" w:hAnsi="Verdana"/>
          <w:sz w:val="20"/>
          <w:szCs w:val="20"/>
        </w:rPr>
        <w:t xml:space="preserve">in the U.S. in terms of </w:t>
      </w:r>
      <w:r w:rsidR="00F738C0" w:rsidRPr="00AD2446">
        <w:rPr>
          <w:rFonts w:ascii="Verdana" w:hAnsi="Verdana"/>
          <w:sz w:val="20"/>
          <w:szCs w:val="20"/>
        </w:rPr>
        <w:t xml:space="preserve">the </w:t>
      </w:r>
      <w:r w:rsidR="00316AD5" w:rsidRPr="00AD2446">
        <w:rPr>
          <w:rFonts w:ascii="Verdana" w:hAnsi="Verdana"/>
          <w:sz w:val="20"/>
          <w:szCs w:val="20"/>
        </w:rPr>
        <w:t>number of military personnel stationed in the state; the state hosts about 124,100 active</w:t>
      </w:r>
      <w:r w:rsidR="00F738C0" w:rsidRPr="00AD2446">
        <w:rPr>
          <w:rFonts w:ascii="Verdana" w:hAnsi="Verdana"/>
          <w:sz w:val="20"/>
          <w:szCs w:val="20"/>
        </w:rPr>
        <w:t>-</w:t>
      </w:r>
      <w:r w:rsidR="00316AD5" w:rsidRPr="00AD2446">
        <w:rPr>
          <w:rFonts w:ascii="Verdana" w:hAnsi="Verdana"/>
          <w:sz w:val="20"/>
          <w:szCs w:val="20"/>
        </w:rPr>
        <w:t>duty military and civilian personnel at various installations throughout the state with a total payroll worth $6.2 billion.</w:t>
      </w:r>
      <w:r w:rsidR="00316AD5" w:rsidRPr="00AD2446">
        <w:rPr>
          <w:rStyle w:val="FootnoteReference"/>
          <w:rFonts w:ascii="Verdana" w:hAnsi="Verdana"/>
          <w:sz w:val="20"/>
          <w:szCs w:val="20"/>
        </w:rPr>
        <w:footnoteReference w:id="14"/>
      </w:r>
      <w:r w:rsidR="00316AD5" w:rsidRPr="00AD2446">
        <w:rPr>
          <w:rFonts w:ascii="Verdana" w:hAnsi="Verdana"/>
          <w:sz w:val="20"/>
          <w:szCs w:val="20"/>
        </w:rPr>
        <w:t xml:space="preserve"> </w:t>
      </w:r>
    </w:p>
    <w:p w14:paraId="2E78723A" w14:textId="77777777" w:rsidR="00823379" w:rsidRPr="00AD2446" w:rsidRDefault="00823379" w:rsidP="00486739">
      <w:pPr>
        <w:pStyle w:val="DirectQuestion"/>
      </w:pPr>
      <w:r w:rsidRPr="00AD2446">
        <w:lastRenderedPageBreak/>
        <w:t xml:space="preserve">WhY IS </w:t>
      </w:r>
      <w:r w:rsidR="005A41E0" w:rsidRPr="00AD2446">
        <w:t>Georgia</w:t>
      </w:r>
      <w:r w:rsidRPr="00AD2446">
        <w:t>’S ECONOMY IMPORTANT TO INVESTORS?</w:t>
      </w:r>
    </w:p>
    <w:p w14:paraId="5DC2F668" w14:textId="32BAD109" w:rsidR="00823379" w:rsidRPr="00DB5977" w:rsidRDefault="00823379" w:rsidP="00823379">
      <w:pPr>
        <w:pStyle w:val="DirectAnswer"/>
        <w:jc w:val="both"/>
        <w:rPr>
          <w:rFonts w:ascii="Verdana" w:hAnsi="Verdana" w:cstheme="minorHAnsi"/>
          <w:sz w:val="20"/>
          <w:szCs w:val="20"/>
        </w:rPr>
      </w:pPr>
      <w:r w:rsidRPr="00AD2446">
        <w:rPr>
          <w:rFonts w:ascii="Verdana" w:hAnsi="Verdana" w:cstheme="minorHAnsi"/>
          <w:sz w:val="20"/>
          <w:szCs w:val="20"/>
        </w:rPr>
        <w:t xml:space="preserve">In general, investors are aware of current regional and national economic conditions and know that the Company operates in </w:t>
      </w:r>
      <w:r w:rsidR="005C76CB" w:rsidRPr="00AD2446">
        <w:rPr>
          <w:rFonts w:ascii="Verdana" w:hAnsi="Verdana" w:cstheme="minorHAnsi"/>
          <w:sz w:val="20"/>
          <w:szCs w:val="20"/>
        </w:rPr>
        <w:t>Georgia</w:t>
      </w:r>
      <w:r w:rsidR="00980811" w:rsidRPr="00AD2446">
        <w:rPr>
          <w:rFonts w:ascii="Verdana" w:hAnsi="Verdana" w:cstheme="minorHAnsi"/>
          <w:sz w:val="20"/>
          <w:szCs w:val="20"/>
        </w:rPr>
        <w:t>,</w:t>
      </w:r>
      <w:r w:rsidRPr="00AD2446">
        <w:rPr>
          <w:rFonts w:ascii="Verdana" w:hAnsi="Verdana" w:cstheme="minorHAnsi"/>
          <w:sz w:val="20"/>
          <w:szCs w:val="20"/>
        </w:rPr>
        <w:t xml:space="preserve"> where economic indicators</w:t>
      </w:r>
      <w:r w:rsidR="00334132" w:rsidRPr="00AD2446">
        <w:rPr>
          <w:rFonts w:ascii="Verdana" w:hAnsi="Verdana" w:cstheme="minorHAnsi"/>
          <w:sz w:val="20"/>
          <w:szCs w:val="20"/>
        </w:rPr>
        <w:t xml:space="preserve">, while </w:t>
      </w:r>
      <w:r w:rsidR="007E03ED" w:rsidRPr="00AD2446">
        <w:rPr>
          <w:rFonts w:ascii="Verdana" w:hAnsi="Verdana" w:cstheme="minorHAnsi"/>
          <w:sz w:val="20"/>
          <w:szCs w:val="20"/>
        </w:rPr>
        <w:t xml:space="preserve">currently </w:t>
      </w:r>
      <w:r w:rsidR="00334132" w:rsidRPr="00AD2446">
        <w:rPr>
          <w:rFonts w:ascii="Verdana" w:hAnsi="Verdana" w:cstheme="minorHAnsi"/>
          <w:sz w:val="20"/>
          <w:szCs w:val="20"/>
        </w:rPr>
        <w:t>exhibiting signs of</w:t>
      </w:r>
      <w:r w:rsidR="00325E41" w:rsidRPr="00AD2446">
        <w:rPr>
          <w:rFonts w:ascii="Verdana" w:hAnsi="Verdana" w:cstheme="minorHAnsi"/>
          <w:sz w:val="20"/>
          <w:szCs w:val="20"/>
        </w:rPr>
        <w:t xml:space="preserve"> economic growth</w:t>
      </w:r>
      <w:r w:rsidR="007E03ED" w:rsidRPr="00AD2446">
        <w:rPr>
          <w:rFonts w:ascii="Verdana" w:hAnsi="Verdana" w:cstheme="minorHAnsi"/>
          <w:sz w:val="20"/>
          <w:szCs w:val="20"/>
        </w:rPr>
        <w:t xml:space="preserve">, </w:t>
      </w:r>
      <w:r w:rsidR="00334132" w:rsidRPr="00AD2446">
        <w:rPr>
          <w:rFonts w:ascii="Verdana" w:hAnsi="Verdana" w:cstheme="minorHAnsi"/>
          <w:sz w:val="20"/>
          <w:szCs w:val="20"/>
        </w:rPr>
        <w:t xml:space="preserve">are predicted </w:t>
      </w:r>
      <w:r w:rsidR="00857C13" w:rsidRPr="00AD2446">
        <w:rPr>
          <w:rFonts w:ascii="Verdana" w:hAnsi="Verdana" w:cstheme="minorHAnsi"/>
          <w:sz w:val="20"/>
          <w:szCs w:val="20"/>
        </w:rPr>
        <w:t>to slow, matching national expectations</w:t>
      </w:r>
      <w:r w:rsidRPr="00AD2446">
        <w:rPr>
          <w:rFonts w:ascii="Verdana" w:hAnsi="Verdana" w:cstheme="minorHAnsi"/>
          <w:sz w:val="20"/>
          <w:szCs w:val="20"/>
        </w:rPr>
        <w:t>.</w:t>
      </w:r>
      <w:r w:rsidR="0025065A">
        <w:rPr>
          <w:rFonts w:ascii="Verdana" w:hAnsi="Verdana" w:cstheme="minorHAnsi"/>
          <w:color w:val="FF0000"/>
          <w:sz w:val="20"/>
          <w:szCs w:val="20"/>
        </w:rPr>
        <w:t xml:space="preserve"> </w:t>
      </w:r>
      <w:r w:rsidRPr="00DB5977">
        <w:rPr>
          <w:rFonts w:ascii="Verdana" w:hAnsi="Verdana" w:cstheme="minorHAnsi"/>
          <w:sz w:val="20"/>
          <w:szCs w:val="20"/>
        </w:rPr>
        <w:t>Investors will also gauge the Company’s prospects for sales growth as they consider the state’s economy.</w:t>
      </w:r>
      <w:r w:rsidR="0025065A">
        <w:rPr>
          <w:rFonts w:ascii="Verdana" w:hAnsi="Verdana" w:cstheme="minorHAnsi"/>
          <w:sz w:val="20"/>
          <w:szCs w:val="20"/>
        </w:rPr>
        <w:t xml:space="preserve"> </w:t>
      </w:r>
      <w:r w:rsidRPr="00DB5977">
        <w:rPr>
          <w:rFonts w:ascii="Verdana" w:hAnsi="Verdana" w:cstheme="minorHAnsi"/>
          <w:sz w:val="20"/>
          <w:szCs w:val="20"/>
        </w:rPr>
        <w:t xml:space="preserve">Investors would likely compare </w:t>
      </w:r>
      <w:r w:rsidR="005E1796" w:rsidRPr="00DB5977">
        <w:rPr>
          <w:rFonts w:ascii="Verdana" w:hAnsi="Verdana" w:cstheme="minorHAnsi"/>
          <w:sz w:val="20"/>
          <w:szCs w:val="20"/>
        </w:rPr>
        <w:t>Georgia</w:t>
      </w:r>
      <w:r w:rsidRPr="00DB5977">
        <w:rPr>
          <w:rFonts w:ascii="Verdana" w:hAnsi="Verdana" w:cstheme="minorHAnsi"/>
          <w:sz w:val="20"/>
          <w:szCs w:val="20"/>
        </w:rPr>
        <w:t xml:space="preserve">’s economy to the economies of other </w:t>
      </w:r>
      <w:r w:rsidR="00DC3E0A">
        <w:rPr>
          <w:rFonts w:ascii="Verdana" w:hAnsi="Verdana" w:cstheme="minorHAnsi"/>
          <w:sz w:val="20"/>
          <w:szCs w:val="20"/>
        </w:rPr>
        <w:t>states</w:t>
      </w:r>
      <w:r w:rsidRPr="00DB5977">
        <w:rPr>
          <w:rFonts w:ascii="Verdana" w:hAnsi="Verdana" w:cstheme="minorHAnsi"/>
          <w:sz w:val="20"/>
          <w:szCs w:val="20"/>
        </w:rPr>
        <w:t xml:space="preserve"> when </w:t>
      </w:r>
      <w:r w:rsidR="00DC3E0A">
        <w:rPr>
          <w:rFonts w:ascii="Verdana" w:hAnsi="Verdana" w:cstheme="minorHAnsi"/>
          <w:sz w:val="20"/>
          <w:szCs w:val="20"/>
        </w:rPr>
        <w:t xml:space="preserve">deciding whether to invest in </w:t>
      </w:r>
      <w:r w:rsidRPr="00DB5977">
        <w:rPr>
          <w:rFonts w:ascii="Verdana" w:hAnsi="Verdana" w:cstheme="minorHAnsi"/>
          <w:sz w:val="20"/>
          <w:szCs w:val="20"/>
        </w:rPr>
        <w:t>a similar utility company located elsewhere, all else equal.</w:t>
      </w:r>
      <w:r w:rsidR="0025065A">
        <w:rPr>
          <w:rFonts w:ascii="Verdana" w:hAnsi="Verdana" w:cstheme="minorHAnsi"/>
          <w:sz w:val="20"/>
          <w:szCs w:val="20"/>
        </w:rPr>
        <w:t xml:space="preserve"> </w:t>
      </w:r>
    </w:p>
    <w:p w14:paraId="1B73DDBB" w14:textId="77777777" w:rsidR="00823379" w:rsidRPr="00DB5977" w:rsidRDefault="00823379" w:rsidP="004B2CD5">
      <w:pPr>
        <w:pStyle w:val="DirectNext"/>
        <w:rPr>
          <w:rFonts w:ascii="Verdana" w:hAnsi="Verdana"/>
          <w:sz w:val="20"/>
          <w:szCs w:val="20"/>
        </w:rPr>
      </w:pPr>
    </w:p>
    <w:p w14:paraId="470E22A1" w14:textId="43F21DC9" w:rsidR="0025065A" w:rsidRPr="00ED1819" w:rsidRDefault="0025065A" w:rsidP="0025065A">
      <w:pPr>
        <w:pStyle w:val="Heading1"/>
        <w:numPr>
          <w:ilvl w:val="0"/>
          <w:numId w:val="0"/>
        </w:numPr>
        <w:rPr>
          <w:rFonts w:ascii="Verdana" w:hAnsi="Verdana" w:cstheme="minorHAnsi"/>
          <w:sz w:val="20"/>
          <w:szCs w:val="20"/>
        </w:rPr>
      </w:pPr>
      <w:bookmarkStart w:id="12" w:name="_Toc21521235"/>
      <w:bookmarkStart w:id="13" w:name="_Toc21555886"/>
      <w:bookmarkStart w:id="14" w:name="_Toc21873137"/>
      <w:bookmarkStart w:id="15" w:name="_Toc387134165"/>
      <w:bookmarkStart w:id="16" w:name="_Toc415003971"/>
      <w:r>
        <w:rPr>
          <w:rFonts w:ascii="Verdana" w:hAnsi="Verdana" w:cstheme="minorHAnsi"/>
          <w:sz w:val="20"/>
          <w:szCs w:val="20"/>
          <w:u w:val="none"/>
        </w:rPr>
        <w:t>I</w:t>
      </w:r>
      <w:r w:rsidR="00A71594">
        <w:rPr>
          <w:rFonts w:ascii="Verdana" w:hAnsi="Verdana" w:cstheme="minorHAnsi"/>
          <w:sz w:val="20"/>
          <w:szCs w:val="20"/>
          <w:u w:val="none"/>
        </w:rPr>
        <w:t>V</w:t>
      </w:r>
      <w:r>
        <w:rPr>
          <w:rFonts w:ascii="Verdana" w:hAnsi="Verdana" w:cstheme="minorHAnsi"/>
          <w:sz w:val="20"/>
          <w:szCs w:val="20"/>
          <w:u w:val="none"/>
        </w:rPr>
        <w:t xml:space="preserve">. </w:t>
      </w:r>
      <w:r w:rsidRPr="00ED1819">
        <w:rPr>
          <w:rFonts w:ascii="Verdana" w:hAnsi="Verdana" w:cstheme="minorHAnsi"/>
          <w:sz w:val="20"/>
          <w:szCs w:val="20"/>
        </w:rPr>
        <w:t>RATE OF RETURN AND CAPITAL STRUCTURE</w:t>
      </w:r>
      <w:bookmarkEnd w:id="12"/>
      <w:bookmarkEnd w:id="13"/>
      <w:bookmarkEnd w:id="14"/>
    </w:p>
    <w:bookmarkEnd w:id="15"/>
    <w:bookmarkEnd w:id="16"/>
    <w:p w14:paraId="04535036" w14:textId="77777777" w:rsidR="00823379" w:rsidRPr="00DB5977" w:rsidRDefault="00823379" w:rsidP="00486739">
      <w:pPr>
        <w:pStyle w:val="DirectQuestion"/>
      </w:pPr>
      <w:r w:rsidRPr="00DB5977">
        <w:t>Please summarize the process of estimating UTILITIES’ COSt of capital.</w:t>
      </w:r>
    </w:p>
    <w:p w14:paraId="0B38D34E" w14:textId="5291C79E"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The overall cost of capital is comprised of the costs of long-term debt and equity capital.</w:t>
      </w:r>
      <w:r w:rsidR="0025065A">
        <w:rPr>
          <w:rFonts w:ascii="Verdana" w:hAnsi="Verdana" w:cstheme="minorHAnsi"/>
          <w:sz w:val="20"/>
          <w:szCs w:val="20"/>
        </w:rPr>
        <w:t xml:space="preserve"> </w:t>
      </w:r>
      <w:r w:rsidRPr="00DB5977">
        <w:rPr>
          <w:rFonts w:ascii="Verdana" w:hAnsi="Verdana" w:cstheme="minorHAnsi"/>
          <w:sz w:val="20"/>
          <w:szCs w:val="20"/>
        </w:rPr>
        <w:t>The first step in estimating the cost of capital is to determine the appropriate capital structure.</w:t>
      </w:r>
      <w:r w:rsidR="0025065A">
        <w:rPr>
          <w:rFonts w:ascii="Verdana" w:hAnsi="Verdana" w:cstheme="minorHAnsi"/>
          <w:sz w:val="20"/>
          <w:szCs w:val="20"/>
        </w:rPr>
        <w:t xml:space="preserve"> </w:t>
      </w:r>
      <w:r w:rsidRPr="00DB5977">
        <w:rPr>
          <w:rFonts w:ascii="Verdana" w:hAnsi="Verdana" w:cstheme="minorHAnsi"/>
          <w:sz w:val="20"/>
          <w:szCs w:val="20"/>
        </w:rPr>
        <w:t xml:space="preserve">Long-term debt costs are computed using the Company’s actual embedded costs </w:t>
      </w:r>
      <w:r w:rsidR="006B23A9">
        <w:rPr>
          <w:rFonts w:ascii="Verdana" w:hAnsi="Verdana" w:cstheme="minorHAnsi"/>
          <w:sz w:val="20"/>
          <w:szCs w:val="20"/>
        </w:rPr>
        <w:t>for</w:t>
      </w:r>
      <w:r w:rsidR="00980811" w:rsidRPr="00DB5977">
        <w:rPr>
          <w:rFonts w:ascii="Verdana" w:hAnsi="Verdana" w:cstheme="minorHAnsi"/>
          <w:sz w:val="20"/>
          <w:szCs w:val="20"/>
        </w:rPr>
        <w:t xml:space="preserve"> a certain time period</w:t>
      </w:r>
      <w:r w:rsidR="006B23A9">
        <w:rPr>
          <w:rFonts w:ascii="Verdana" w:hAnsi="Verdana" w:cstheme="minorHAnsi"/>
          <w:sz w:val="20"/>
          <w:szCs w:val="20"/>
        </w:rPr>
        <w:t xml:space="preserve"> (e.g., the test year ended </w:t>
      </w:r>
      <w:r w:rsidR="00434468">
        <w:rPr>
          <w:rFonts w:ascii="Verdana" w:hAnsi="Verdana" w:cstheme="minorHAnsi"/>
          <w:sz w:val="20"/>
          <w:szCs w:val="20"/>
        </w:rPr>
        <w:t>July</w:t>
      </w:r>
      <w:r w:rsidR="006B23A9">
        <w:rPr>
          <w:rFonts w:ascii="Verdana" w:hAnsi="Verdana" w:cstheme="minorHAnsi"/>
          <w:sz w:val="20"/>
          <w:szCs w:val="20"/>
        </w:rPr>
        <w:t xml:space="preserve"> 31, 20</w:t>
      </w:r>
      <w:r w:rsidR="00434468">
        <w:rPr>
          <w:rFonts w:ascii="Verdana" w:hAnsi="Verdana" w:cstheme="minorHAnsi"/>
          <w:sz w:val="20"/>
          <w:szCs w:val="20"/>
        </w:rPr>
        <w:t>20</w:t>
      </w:r>
      <w:r w:rsidR="00FB480E">
        <w:rPr>
          <w:rFonts w:ascii="Verdana" w:hAnsi="Verdana" w:cstheme="minorHAnsi"/>
          <w:sz w:val="20"/>
          <w:szCs w:val="20"/>
        </w:rPr>
        <w:t>)</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Unlike the debt component of the capital structure, </w:t>
      </w:r>
      <w:r w:rsidR="00037E56" w:rsidRPr="00DB5977">
        <w:rPr>
          <w:rFonts w:ascii="Verdana" w:hAnsi="Verdana" w:cstheme="minorHAnsi"/>
          <w:sz w:val="20"/>
          <w:szCs w:val="20"/>
        </w:rPr>
        <w:t xml:space="preserve">the </w:t>
      </w:r>
      <w:r w:rsidRPr="00DB5977">
        <w:rPr>
          <w:rFonts w:ascii="Verdana" w:hAnsi="Verdana" w:cstheme="minorHAnsi"/>
          <w:sz w:val="20"/>
          <w:szCs w:val="20"/>
        </w:rPr>
        <w:t xml:space="preserve">equity cost </w:t>
      </w:r>
      <w:r w:rsidR="005A62E1" w:rsidRPr="00DB5977">
        <w:rPr>
          <w:rFonts w:ascii="Verdana" w:hAnsi="Verdana" w:cstheme="minorHAnsi"/>
          <w:sz w:val="20"/>
          <w:szCs w:val="20"/>
        </w:rPr>
        <w:t xml:space="preserve">rate </w:t>
      </w:r>
      <w:r w:rsidRPr="00DB5977">
        <w:rPr>
          <w:rFonts w:ascii="Verdana" w:hAnsi="Verdana" w:cstheme="minorHAnsi"/>
          <w:sz w:val="20"/>
          <w:szCs w:val="20"/>
        </w:rPr>
        <w:t>must be estimated.</w:t>
      </w:r>
      <w:r w:rsidR="0025065A">
        <w:rPr>
          <w:rFonts w:ascii="Verdana" w:hAnsi="Verdana" w:cstheme="minorHAnsi"/>
          <w:sz w:val="20"/>
          <w:szCs w:val="20"/>
        </w:rPr>
        <w:t xml:space="preserve"> </w:t>
      </w:r>
      <w:r w:rsidRPr="00DB5977">
        <w:rPr>
          <w:rFonts w:ascii="Verdana" w:hAnsi="Verdana" w:cstheme="minorHAnsi"/>
          <w:sz w:val="20"/>
          <w:szCs w:val="20"/>
        </w:rPr>
        <w:t>The over</w:t>
      </w:r>
      <w:r w:rsidRPr="00DB5977">
        <w:rPr>
          <w:rFonts w:ascii="Verdana" w:hAnsi="Verdana" w:cstheme="minorHAnsi"/>
          <w:sz w:val="20"/>
          <w:szCs w:val="20"/>
        </w:rPr>
        <w:lastRenderedPageBreak/>
        <w:t xml:space="preserve">all weighted average cost of capital </w:t>
      </w:r>
      <w:r w:rsidR="006B23A9">
        <w:rPr>
          <w:rFonts w:ascii="Verdana" w:hAnsi="Verdana" w:cstheme="minorHAnsi"/>
          <w:sz w:val="20"/>
          <w:szCs w:val="20"/>
        </w:rPr>
        <w:t xml:space="preserve">(“WACC”) </w:t>
      </w:r>
      <w:r w:rsidRPr="00DB5977">
        <w:rPr>
          <w:rFonts w:ascii="Verdana" w:hAnsi="Verdana" w:cstheme="minorHAnsi"/>
          <w:sz w:val="20"/>
          <w:szCs w:val="20"/>
        </w:rPr>
        <w:t xml:space="preserve">is computed by </w:t>
      </w:r>
      <w:r w:rsidR="00A8362B">
        <w:rPr>
          <w:rFonts w:ascii="Verdana" w:hAnsi="Verdana" w:cstheme="minorHAnsi"/>
          <w:sz w:val="20"/>
          <w:szCs w:val="20"/>
        </w:rPr>
        <w:t>apportioning</w:t>
      </w:r>
      <w:r w:rsidR="00A8362B" w:rsidRPr="00DB5977">
        <w:rPr>
          <w:rFonts w:ascii="Verdana" w:hAnsi="Verdana" w:cstheme="minorHAnsi"/>
          <w:sz w:val="20"/>
          <w:szCs w:val="20"/>
        </w:rPr>
        <w:t xml:space="preserve"> </w:t>
      </w:r>
      <w:r w:rsidRPr="00DB5977">
        <w:rPr>
          <w:rFonts w:ascii="Verdana" w:hAnsi="Verdana" w:cstheme="minorHAnsi"/>
          <w:sz w:val="20"/>
          <w:szCs w:val="20"/>
        </w:rPr>
        <w:t xml:space="preserve">individual costs of debt and equity capital by their respective proportions of total </w:t>
      </w:r>
      <w:r w:rsidR="00C20B29" w:rsidRPr="00DB5977">
        <w:rPr>
          <w:rFonts w:ascii="Verdana" w:hAnsi="Verdana" w:cstheme="minorHAnsi"/>
          <w:sz w:val="20"/>
          <w:szCs w:val="20"/>
        </w:rPr>
        <w:t>capitalization</w:t>
      </w:r>
      <w:r w:rsidR="00C20B29">
        <w:rPr>
          <w:rFonts w:ascii="Verdana" w:hAnsi="Verdana" w:cstheme="minorHAnsi"/>
          <w:sz w:val="20"/>
          <w:szCs w:val="20"/>
        </w:rPr>
        <w:t xml:space="preserve"> and</w:t>
      </w:r>
      <w:r w:rsidRPr="00DB5977">
        <w:rPr>
          <w:rFonts w:ascii="Verdana" w:hAnsi="Verdana" w:cstheme="minorHAnsi"/>
          <w:sz w:val="20"/>
          <w:szCs w:val="20"/>
        </w:rPr>
        <w:t xml:space="preserve"> summing the result.</w:t>
      </w:r>
    </w:p>
    <w:p w14:paraId="1E0F06D8" w14:textId="77777777" w:rsidR="00823379" w:rsidRPr="00DB5977" w:rsidRDefault="00823379" w:rsidP="005A62E1">
      <w:pPr>
        <w:pStyle w:val="DirectNext"/>
        <w:rPr>
          <w:rFonts w:ascii="Verdana" w:hAnsi="Verdana"/>
          <w:sz w:val="20"/>
          <w:szCs w:val="20"/>
        </w:rPr>
      </w:pPr>
      <w:r w:rsidRPr="00DB5977">
        <w:rPr>
          <w:rFonts w:ascii="Verdana" w:hAnsi="Verdana"/>
          <w:sz w:val="20"/>
          <w:szCs w:val="20"/>
        </w:rPr>
        <w:t xml:space="preserve">The capital structure is particularly important because investors may view a high reliance on </w:t>
      </w:r>
      <w:r w:rsidR="005A62E1" w:rsidRPr="00DB5977">
        <w:rPr>
          <w:rFonts w:ascii="Verdana" w:hAnsi="Verdana"/>
          <w:sz w:val="20"/>
          <w:szCs w:val="20"/>
        </w:rPr>
        <w:t>debt</w:t>
      </w:r>
      <w:r w:rsidRPr="00DB5977">
        <w:rPr>
          <w:rFonts w:ascii="Verdana" w:hAnsi="Verdana"/>
          <w:sz w:val="20"/>
          <w:szCs w:val="20"/>
        </w:rPr>
        <w:t xml:space="preserve"> as risky</w:t>
      </w:r>
      <w:r w:rsidR="005A62E1" w:rsidRPr="00DB5977">
        <w:rPr>
          <w:rFonts w:ascii="Verdana" w:hAnsi="Verdana"/>
          <w:sz w:val="20"/>
          <w:szCs w:val="20"/>
        </w:rPr>
        <w:t xml:space="preserve"> (referred to as financial risk)</w:t>
      </w:r>
      <w:r w:rsidRPr="00DB5977">
        <w:rPr>
          <w:rFonts w:ascii="Verdana" w:hAnsi="Verdana"/>
          <w:sz w:val="20"/>
          <w:szCs w:val="20"/>
        </w:rPr>
        <w:t>, thereby leading to a higher required ROE relative to similar investment opportunities.</w:t>
      </w:r>
      <w:r w:rsidR="0025065A">
        <w:rPr>
          <w:rFonts w:ascii="Verdana" w:hAnsi="Verdana"/>
          <w:sz w:val="20"/>
          <w:szCs w:val="20"/>
        </w:rPr>
        <w:t xml:space="preserve"> </w:t>
      </w:r>
      <w:r w:rsidR="005F679C" w:rsidRPr="00DB5977">
        <w:rPr>
          <w:rFonts w:ascii="Verdana" w:hAnsi="Verdana"/>
          <w:sz w:val="20"/>
          <w:szCs w:val="20"/>
        </w:rPr>
        <w:t>A</w:t>
      </w:r>
      <w:r w:rsidR="005A62E1" w:rsidRPr="00DB5977">
        <w:rPr>
          <w:rFonts w:ascii="Verdana" w:hAnsi="Verdana"/>
          <w:sz w:val="20"/>
          <w:szCs w:val="20"/>
        </w:rPr>
        <w:t xml:space="preserve"> h</w:t>
      </w:r>
      <w:r w:rsidR="00947E54" w:rsidRPr="00DB5977">
        <w:rPr>
          <w:rFonts w:ascii="Verdana" w:hAnsi="Verdana"/>
          <w:sz w:val="20"/>
          <w:szCs w:val="20"/>
        </w:rPr>
        <w:t xml:space="preserve">igh reliance on debt may be viewed as </w:t>
      </w:r>
      <w:r w:rsidRPr="00DB5977">
        <w:rPr>
          <w:rFonts w:ascii="Verdana" w:hAnsi="Verdana"/>
          <w:sz w:val="20"/>
          <w:szCs w:val="20"/>
        </w:rPr>
        <w:t xml:space="preserve">risky </w:t>
      </w:r>
      <w:r w:rsidR="00947E54" w:rsidRPr="00DB5977">
        <w:rPr>
          <w:rFonts w:ascii="Verdana" w:hAnsi="Verdana"/>
          <w:sz w:val="20"/>
          <w:szCs w:val="20"/>
        </w:rPr>
        <w:t xml:space="preserve">because </w:t>
      </w:r>
      <w:r w:rsidR="005A62E1" w:rsidRPr="00DB5977">
        <w:rPr>
          <w:rFonts w:ascii="Verdana" w:hAnsi="Verdana"/>
          <w:sz w:val="20"/>
          <w:szCs w:val="20"/>
        </w:rPr>
        <w:t>it can contribute to earnings volatility.</w:t>
      </w:r>
      <w:r w:rsidR="0025065A">
        <w:rPr>
          <w:rFonts w:ascii="Verdana" w:hAnsi="Verdana"/>
          <w:sz w:val="20"/>
          <w:szCs w:val="20"/>
        </w:rPr>
        <w:t xml:space="preserve"> </w:t>
      </w:r>
      <w:r w:rsidR="005A62E1" w:rsidRPr="00DB5977">
        <w:rPr>
          <w:rFonts w:ascii="Verdana" w:hAnsi="Verdana"/>
          <w:sz w:val="20"/>
          <w:szCs w:val="20"/>
        </w:rPr>
        <w:t>However, excessive equity, while reducing financial risk, may improperly increase the overall cost of capital (and therefore return on rate base) for customers.</w:t>
      </w:r>
    </w:p>
    <w:p w14:paraId="41864617" w14:textId="77777777" w:rsidR="00823379" w:rsidRPr="00DB5977" w:rsidRDefault="00823379" w:rsidP="00486739">
      <w:pPr>
        <w:pStyle w:val="DirectQuestion"/>
      </w:pPr>
      <w:r w:rsidRPr="00DB5977">
        <w:t>WHAT CAPITAL STRUCTURE IS THE COMPANY REQUESTING FOR USE IN THIS CASE?</w:t>
      </w:r>
    </w:p>
    <w:p w14:paraId="573BADFB" w14:textId="4B6A13F4" w:rsidR="000B193A" w:rsidRPr="00DB5977" w:rsidRDefault="00367A5F" w:rsidP="008D1E2F">
      <w:pPr>
        <w:pStyle w:val="DirectAnswer"/>
        <w:jc w:val="both"/>
        <w:rPr>
          <w:rFonts w:ascii="Verdana" w:hAnsi="Verdana" w:cstheme="minorHAnsi"/>
          <w:sz w:val="20"/>
          <w:szCs w:val="20"/>
        </w:rPr>
      </w:pPr>
      <w:r w:rsidRPr="00DB5977">
        <w:rPr>
          <w:rFonts w:ascii="Verdana" w:hAnsi="Verdana" w:cstheme="minorHAnsi"/>
          <w:sz w:val="20"/>
          <w:szCs w:val="20"/>
        </w:rPr>
        <w:t xml:space="preserve">The Company is requesting a capital structure of </w:t>
      </w:r>
      <w:r w:rsidR="00F5394E" w:rsidRPr="00DB5977">
        <w:rPr>
          <w:rFonts w:ascii="Verdana" w:hAnsi="Verdana" w:cstheme="minorHAnsi"/>
          <w:sz w:val="20"/>
          <w:szCs w:val="20"/>
        </w:rPr>
        <w:t>5</w:t>
      </w:r>
      <w:r w:rsidR="003E3480" w:rsidRPr="00DB5977">
        <w:rPr>
          <w:rFonts w:ascii="Verdana" w:hAnsi="Verdana" w:cstheme="minorHAnsi"/>
          <w:sz w:val="20"/>
          <w:szCs w:val="20"/>
        </w:rPr>
        <w:t>6</w:t>
      </w:r>
      <w:r w:rsidR="00F5394E" w:rsidRPr="00DB5977">
        <w:rPr>
          <w:rFonts w:ascii="Verdana" w:hAnsi="Verdana" w:cstheme="minorHAnsi"/>
          <w:sz w:val="20"/>
          <w:szCs w:val="20"/>
        </w:rPr>
        <w:t>.08</w:t>
      </w:r>
      <w:r w:rsidRPr="00DB5977">
        <w:rPr>
          <w:rFonts w:ascii="Verdana" w:hAnsi="Verdana" w:cstheme="minorHAnsi"/>
          <w:sz w:val="20"/>
          <w:szCs w:val="20"/>
        </w:rPr>
        <w:t xml:space="preserve"> percent common equity and </w:t>
      </w:r>
      <w:r w:rsidR="00F5394E" w:rsidRPr="00DB5977">
        <w:rPr>
          <w:rFonts w:ascii="Verdana" w:hAnsi="Verdana" w:cstheme="minorHAnsi"/>
          <w:sz w:val="20"/>
          <w:szCs w:val="20"/>
        </w:rPr>
        <w:t>4</w:t>
      </w:r>
      <w:r w:rsidR="003E3480" w:rsidRPr="00DB5977">
        <w:rPr>
          <w:rFonts w:ascii="Verdana" w:hAnsi="Verdana" w:cstheme="minorHAnsi"/>
          <w:sz w:val="20"/>
          <w:szCs w:val="20"/>
        </w:rPr>
        <w:t>3</w:t>
      </w:r>
      <w:r w:rsidR="00814B9E" w:rsidRPr="00DB5977">
        <w:rPr>
          <w:rFonts w:ascii="Verdana" w:hAnsi="Verdana" w:cstheme="minorHAnsi"/>
          <w:sz w:val="20"/>
          <w:szCs w:val="20"/>
        </w:rPr>
        <w:t>.92</w:t>
      </w:r>
      <w:r w:rsidRPr="00DB5977">
        <w:rPr>
          <w:rFonts w:ascii="Verdana" w:hAnsi="Verdana" w:cstheme="minorHAnsi"/>
          <w:sz w:val="20"/>
          <w:szCs w:val="20"/>
        </w:rPr>
        <w:t xml:space="preserve"> percent long-term debt for establishing new return rates in this case.</w:t>
      </w:r>
      <w:r w:rsidR="0025065A">
        <w:rPr>
          <w:rFonts w:ascii="Verdana" w:hAnsi="Verdana" w:cstheme="minorHAnsi"/>
          <w:sz w:val="20"/>
          <w:szCs w:val="20"/>
        </w:rPr>
        <w:t xml:space="preserve"> </w:t>
      </w:r>
      <w:r w:rsidRPr="00DB5977">
        <w:rPr>
          <w:rFonts w:ascii="Verdana" w:hAnsi="Verdana" w:cstheme="minorHAnsi"/>
          <w:sz w:val="20"/>
          <w:szCs w:val="20"/>
        </w:rPr>
        <w:t>Based on this capital structure—a proposed embedded cost of long-term debt of 4.</w:t>
      </w:r>
      <w:r w:rsidR="003E3480" w:rsidRPr="00DB5977">
        <w:rPr>
          <w:rFonts w:ascii="Verdana" w:hAnsi="Verdana" w:cstheme="minorHAnsi"/>
          <w:sz w:val="20"/>
          <w:szCs w:val="20"/>
        </w:rPr>
        <w:t>14</w:t>
      </w:r>
      <w:r w:rsidRPr="00DB5977">
        <w:rPr>
          <w:rFonts w:ascii="Verdana" w:hAnsi="Verdana" w:cstheme="minorHAnsi"/>
          <w:sz w:val="20"/>
          <w:szCs w:val="20"/>
        </w:rPr>
        <w:t xml:space="preserve"> percent</w:t>
      </w:r>
      <w:r w:rsidR="003647D8" w:rsidRPr="00DB5977">
        <w:rPr>
          <w:rFonts w:ascii="Verdana" w:hAnsi="Verdana" w:cstheme="minorHAnsi"/>
          <w:sz w:val="20"/>
          <w:szCs w:val="20"/>
        </w:rPr>
        <w:t xml:space="preserve">, </w:t>
      </w:r>
      <w:r w:rsidR="003E3480" w:rsidRPr="00DB5977">
        <w:rPr>
          <w:rFonts w:ascii="Verdana" w:hAnsi="Verdana" w:cstheme="minorHAnsi"/>
          <w:sz w:val="20"/>
          <w:szCs w:val="20"/>
        </w:rPr>
        <w:t xml:space="preserve">and </w:t>
      </w:r>
      <w:r w:rsidRPr="00DB5977">
        <w:rPr>
          <w:rFonts w:ascii="Verdana" w:hAnsi="Verdana" w:cstheme="minorHAnsi"/>
          <w:sz w:val="20"/>
          <w:szCs w:val="20"/>
        </w:rPr>
        <w:t>an ROE of 10.</w:t>
      </w:r>
      <w:r w:rsidR="003E3480" w:rsidRPr="00DB5977">
        <w:rPr>
          <w:rFonts w:ascii="Verdana" w:hAnsi="Verdana" w:cstheme="minorHAnsi"/>
          <w:sz w:val="20"/>
          <w:szCs w:val="20"/>
        </w:rPr>
        <w:t>9</w:t>
      </w:r>
      <w:r w:rsidR="00721472">
        <w:rPr>
          <w:rFonts w:ascii="Verdana" w:hAnsi="Verdana" w:cstheme="minorHAnsi"/>
          <w:sz w:val="20"/>
          <w:szCs w:val="20"/>
        </w:rPr>
        <w:t>0</w:t>
      </w:r>
      <w:r w:rsidR="003E3480" w:rsidRPr="00DB5977">
        <w:rPr>
          <w:rFonts w:ascii="Verdana" w:hAnsi="Verdana" w:cstheme="minorHAnsi"/>
          <w:sz w:val="20"/>
          <w:szCs w:val="20"/>
        </w:rPr>
        <w:t xml:space="preserve"> </w:t>
      </w:r>
      <w:r w:rsidRPr="00DB5977">
        <w:rPr>
          <w:rFonts w:ascii="Verdana" w:hAnsi="Verdana" w:cstheme="minorHAnsi"/>
          <w:sz w:val="20"/>
          <w:szCs w:val="20"/>
        </w:rPr>
        <w:t>percent</w:t>
      </w:r>
      <w:r w:rsidR="003E3480" w:rsidRPr="00DB5977">
        <w:rPr>
          <w:rFonts w:ascii="Verdana" w:hAnsi="Verdana" w:cstheme="minorHAnsi"/>
          <w:sz w:val="20"/>
          <w:szCs w:val="20"/>
        </w:rPr>
        <w:t xml:space="preserve"> </w:t>
      </w:r>
      <w:r w:rsidRPr="00DB5977">
        <w:rPr>
          <w:rFonts w:ascii="Verdana" w:hAnsi="Verdana" w:cstheme="minorHAnsi"/>
          <w:sz w:val="20"/>
          <w:szCs w:val="20"/>
        </w:rPr>
        <w:t>—the Company is requesting that the Commission allow it to earn a</w:t>
      </w:r>
      <w:r w:rsidR="0011313D" w:rsidRPr="00DB5977">
        <w:rPr>
          <w:rFonts w:ascii="Verdana" w:hAnsi="Verdana" w:cstheme="minorHAnsi"/>
          <w:sz w:val="20"/>
          <w:szCs w:val="20"/>
        </w:rPr>
        <w:t xml:space="preserve">n overall </w:t>
      </w:r>
      <w:r w:rsidR="002F2D1B">
        <w:rPr>
          <w:rFonts w:ascii="Verdana" w:hAnsi="Verdana" w:cstheme="minorHAnsi"/>
          <w:sz w:val="20"/>
          <w:szCs w:val="20"/>
        </w:rPr>
        <w:t>WACC</w:t>
      </w:r>
      <w:r w:rsidRPr="00DB5977">
        <w:rPr>
          <w:rFonts w:ascii="Verdana" w:hAnsi="Verdana" w:cstheme="minorHAnsi"/>
          <w:sz w:val="20"/>
          <w:szCs w:val="20"/>
        </w:rPr>
        <w:t xml:space="preserve"> of </w:t>
      </w:r>
      <w:r w:rsidR="0011313D" w:rsidRPr="00DB5977">
        <w:rPr>
          <w:rFonts w:ascii="Verdana" w:hAnsi="Verdana" w:cstheme="minorHAnsi"/>
          <w:sz w:val="20"/>
          <w:szCs w:val="20"/>
        </w:rPr>
        <w:t>7.93</w:t>
      </w:r>
      <w:r w:rsidRPr="00DB5977">
        <w:rPr>
          <w:rFonts w:ascii="Verdana" w:hAnsi="Verdana" w:cstheme="minorHAnsi"/>
          <w:sz w:val="20"/>
          <w:szCs w:val="20"/>
        </w:rPr>
        <w:t> percent.</w:t>
      </w:r>
      <w:r w:rsidR="00823379" w:rsidRPr="00DB5977">
        <w:rPr>
          <w:rFonts w:ascii="Verdana" w:hAnsi="Verdana" w:cstheme="minorHAnsi"/>
          <w:sz w:val="20"/>
          <w:szCs w:val="20"/>
        </w:rPr>
        <w:t xml:space="preserve"> </w:t>
      </w:r>
      <w:r w:rsidR="003E3480" w:rsidRPr="00DB5977">
        <w:rPr>
          <w:rFonts w:ascii="Verdana" w:hAnsi="Verdana" w:cstheme="minorHAnsi"/>
          <w:sz w:val="20"/>
          <w:szCs w:val="20"/>
        </w:rPr>
        <w:t>(</w:t>
      </w:r>
      <w:r w:rsidR="003E3480" w:rsidRPr="00DB5977">
        <w:rPr>
          <w:rFonts w:ascii="Verdana" w:hAnsi="Verdana" w:cstheme="minorHAnsi"/>
          <w:i/>
          <w:sz w:val="20"/>
          <w:szCs w:val="20"/>
          <w:u w:val="single"/>
        </w:rPr>
        <w:t>See</w:t>
      </w:r>
      <w:r w:rsidR="003E3480" w:rsidRPr="00DB5977">
        <w:rPr>
          <w:rFonts w:ascii="Verdana" w:hAnsi="Verdana" w:cstheme="minorHAnsi"/>
          <w:sz w:val="20"/>
          <w:szCs w:val="20"/>
        </w:rPr>
        <w:t xml:space="preserve"> </w:t>
      </w:r>
      <w:proofErr w:type="spellStart"/>
      <w:r w:rsidR="003E3480" w:rsidRPr="00DB5977">
        <w:rPr>
          <w:rFonts w:ascii="Verdana" w:hAnsi="Verdana" w:cstheme="minorHAnsi"/>
          <w:sz w:val="20"/>
          <w:szCs w:val="20"/>
        </w:rPr>
        <w:t>Poroch</w:t>
      </w:r>
      <w:proofErr w:type="spellEnd"/>
      <w:r w:rsidR="003E3480" w:rsidRPr="00DB5977">
        <w:rPr>
          <w:rFonts w:ascii="Verdana" w:hAnsi="Verdana" w:cstheme="minorHAnsi"/>
          <w:sz w:val="20"/>
          <w:szCs w:val="20"/>
        </w:rPr>
        <w:t>/Adams/Robinson Direct Testimony</w:t>
      </w:r>
      <w:r w:rsidR="007417C9">
        <w:rPr>
          <w:rFonts w:ascii="Verdana" w:hAnsi="Verdana" w:cstheme="minorHAnsi"/>
          <w:sz w:val="20"/>
          <w:szCs w:val="20"/>
        </w:rPr>
        <w:t xml:space="preserve">, </w:t>
      </w:r>
      <w:r w:rsidR="003E3480" w:rsidRPr="00DB5977">
        <w:rPr>
          <w:rFonts w:ascii="Verdana" w:hAnsi="Verdana" w:cstheme="minorHAnsi"/>
          <w:sz w:val="20"/>
          <w:szCs w:val="20"/>
        </w:rPr>
        <w:t>32</w:t>
      </w:r>
      <w:r w:rsidR="007417C9">
        <w:rPr>
          <w:rFonts w:ascii="Verdana" w:hAnsi="Verdana" w:cstheme="minorHAnsi"/>
          <w:sz w:val="20"/>
          <w:szCs w:val="20"/>
        </w:rPr>
        <w:t>:</w:t>
      </w:r>
      <w:r w:rsidR="00DC238D" w:rsidRPr="00DB5977">
        <w:rPr>
          <w:rFonts w:ascii="Verdana" w:hAnsi="Verdana" w:cstheme="minorHAnsi"/>
          <w:sz w:val="20"/>
          <w:szCs w:val="20"/>
        </w:rPr>
        <w:t>18-19.</w:t>
      </w:r>
      <w:r w:rsidR="003E3480" w:rsidRPr="00DB5977">
        <w:rPr>
          <w:rFonts w:ascii="Verdana" w:hAnsi="Verdana" w:cstheme="minorHAnsi"/>
          <w:sz w:val="20"/>
          <w:szCs w:val="20"/>
        </w:rPr>
        <w:t>)</w:t>
      </w:r>
      <w:r w:rsidR="0065776F" w:rsidRPr="00DB5977">
        <w:rPr>
          <w:rFonts w:ascii="Verdana" w:hAnsi="Verdana" w:cstheme="minorHAnsi"/>
          <w:sz w:val="20"/>
          <w:szCs w:val="20"/>
        </w:rPr>
        <w:t xml:space="preserve"> </w:t>
      </w:r>
    </w:p>
    <w:p w14:paraId="278E56EB" w14:textId="3AC72637" w:rsidR="00F15A7D" w:rsidRPr="00DB5977" w:rsidRDefault="00A701BE" w:rsidP="00486739">
      <w:pPr>
        <w:pStyle w:val="DirectAnswer"/>
        <w:numPr>
          <w:ilvl w:val="0"/>
          <w:numId w:val="0"/>
        </w:numPr>
        <w:ind w:left="720" w:firstLine="720"/>
        <w:jc w:val="both"/>
        <w:rPr>
          <w:rFonts w:ascii="Verdana" w:hAnsi="Verdana"/>
          <w:sz w:val="20"/>
          <w:szCs w:val="20"/>
        </w:rPr>
      </w:pPr>
      <w:r w:rsidRPr="00DB5977">
        <w:rPr>
          <w:rFonts w:ascii="Verdana" w:hAnsi="Verdana"/>
          <w:sz w:val="20"/>
          <w:szCs w:val="20"/>
        </w:rPr>
        <w:t xml:space="preserve">The </w:t>
      </w:r>
      <w:r w:rsidR="00D80873" w:rsidRPr="00DB5977">
        <w:rPr>
          <w:rFonts w:ascii="Verdana" w:hAnsi="Verdana"/>
          <w:sz w:val="20"/>
          <w:szCs w:val="20"/>
        </w:rPr>
        <w:t xml:space="preserve">Company’s estimated </w:t>
      </w:r>
      <w:r w:rsidRPr="00DB5977">
        <w:rPr>
          <w:rFonts w:ascii="Verdana" w:hAnsi="Verdana"/>
          <w:sz w:val="20"/>
          <w:szCs w:val="20"/>
        </w:rPr>
        <w:t>total</w:t>
      </w:r>
      <w:r w:rsidR="009A40C5" w:rsidRPr="00DB5977">
        <w:rPr>
          <w:rFonts w:ascii="Verdana" w:hAnsi="Verdana"/>
          <w:sz w:val="20"/>
          <w:szCs w:val="20"/>
        </w:rPr>
        <w:t xml:space="preserve"> capitalization</w:t>
      </w:r>
      <w:r w:rsidR="003633A6" w:rsidRPr="00DB5977">
        <w:rPr>
          <w:rFonts w:ascii="Verdana" w:hAnsi="Verdana"/>
          <w:sz w:val="20"/>
          <w:szCs w:val="20"/>
        </w:rPr>
        <w:t xml:space="preserve"> </w:t>
      </w:r>
      <w:r w:rsidR="008B24B7" w:rsidRPr="00DB5977">
        <w:rPr>
          <w:rFonts w:ascii="Verdana" w:hAnsi="Verdana"/>
          <w:sz w:val="20"/>
          <w:szCs w:val="20"/>
        </w:rPr>
        <w:t>of $26</w:t>
      </w:r>
      <w:r w:rsidR="00721472">
        <w:rPr>
          <w:rFonts w:ascii="Verdana" w:hAnsi="Verdana"/>
          <w:sz w:val="20"/>
          <w:szCs w:val="20"/>
        </w:rPr>
        <w:t>,</w:t>
      </w:r>
      <w:r w:rsidR="008B24B7" w:rsidRPr="00DB5977">
        <w:rPr>
          <w:rFonts w:ascii="Verdana" w:hAnsi="Verdana"/>
          <w:sz w:val="20"/>
          <w:szCs w:val="20"/>
        </w:rPr>
        <w:t xml:space="preserve">762 </w:t>
      </w:r>
      <w:r w:rsidR="00721472">
        <w:rPr>
          <w:rFonts w:ascii="Verdana" w:hAnsi="Verdana"/>
          <w:sz w:val="20"/>
          <w:szCs w:val="20"/>
        </w:rPr>
        <w:t>m</w:t>
      </w:r>
      <w:r w:rsidR="008B24B7" w:rsidRPr="00DB5977">
        <w:rPr>
          <w:rFonts w:ascii="Verdana" w:hAnsi="Verdana"/>
          <w:sz w:val="20"/>
          <w:szCs w:val="20"/>
        </w:rPr>
        <w:t xml:space="preserve">illion </w:t>
      </w:r>
      <w:r w:rsidR="003633A6" w:rsidRPr="00DB5977">
        <w:rPr>
          <w:rFonts w:ascii="Verdana" w:hAnsi="Verdana"/>
          <w:sz w:val="20"/>
          <w:szCs w:val="20"/>
        </w:rPr>
        <w:t xml:space="preserve">for the </w:t>
      </w:r>
      <w:r w:rsidR="001A27A7">
        <w:rPr>
          <w:rFonts w:ascii="Verdana" w:hAnsi="Verdana"/>
          <w:sz w:val="20"/>
          <w:szCs w:val="20"/>
        </w:rPr>
        <w:t xml:space="preserve">average of the </w:t>
      </w:r>
      <w:r w:rsidR="003633A6" w:rsidRPr="00DB5977">
        <w:rPr>
          <w:rFonts w:ascii="Verdana" w:hAnsi="Verdana"/>
          <w:sz w:val="20"/>
          <w:szCs w:val="20"/>
        </w:rPr>
        <w:t>13</w:t>
      </w:r>
      <w:r w:rsidR="00275DD8">
        <w:rPr>
          <w:rFonts w:ascii="Verdana" w:hAnsi="Verdana"/>
          <w:sz w:val="20"/>
          <w:szCs w:val="20"/>
        </w:rPr>
        <w:noBreakHyphen/>
      </w:r>
      <w:r w:rsidR="003633A6" w:rsidRPr="00DB5977">
        <w:rPr>
          <w:rFonts w:ascii="Verdana" w:hAnsi="Verdana"/>
          <w:sz w:val="20"/>
          <w:szCs w:val="20"/>
        </w:rPr>
        <w:t xml:space="preserve">month </w:t>
      </w:r>
      <w:r w:rsidR="002F2D1B">
        <w:rPr>
          <w:rFonts w:ascii="Verdana" w:hAnsi="Verdana"/>
          <w:sz w:val="20"/>
          <w:szCs w:val="20"/>
        </w:rPr>
        <w:t>period</w:t>
      </w:r>
      <w:r w:rsidR="002F2D1B" w:rsidRPr="00DB5977">
        <w:rPr>
          <w:rFonts w:ascii="Verdana" w:hAnsi="Verdana"/>
          <w:sz w:val="20"/>
          <w:szCs w:val="20"/>
        </w:rPr>
        <w:t xml:space="preserve"> </w:t>
      </w:r>
      <w:r w:rsidR="003633A6" w:rsidRPr="00DB5977">
        <w:rPr>
          <w:rFonts w:ascii="Verdana" w:hAnsi="Verdana"/>
          <w:sz w:val="20"/>
          <w:szCs w:val="20"/>
        </w:rPr>
        <w:t>ending July 31, 2020</w:t>
      </w:r>
      <w:r w:rsidR="009A40C5" w:rsidRPr="00DB5977">
        <w:rPr>
          <w:rFonts w:ascii="Verdana" w:hAnsi="Verdana"/>
          <w:sz w:val="20"/>
          <w:szCs w:val="20"/>
        </w:rPr>
        <w:t xml:space="preserve"> include</w:t>
      </w:r>
      <w:r w:rsidR="00154DCD" w:rsidRPr="00DB5977">
        <w:rPr>
          <w:rFonts w:ascii="Verdana" w:hAnsi="Verdana"/>
          <w:sz w:val="20"/>
          <w:szCs w:val="20"/>
        </w:rPr>
        <w:t>s</w:t>
      </w:r>
      <w:r w:rsidR="009A40C5" w:rsidRPr="00DB5977">
        <w:rPr>
          <w:rFonts w:ascii="Verdana" w:hAnsi="Verdana"/>
          <w:sz w:val="20"/>
          <w:szCs w:val="20"/>
        </w:rPr>
        <w:t xml:space="preserve"> </w:t>
      </w:r>
      <w:r w:rsidR="009A40C5" w:rsidRPr="00DB5977">
        <w:rPr>
          <w:rFonts w:ascii="Verdana" w:hAnsi="Verdana"/>
          <w:sz w:val="20"/>
          <w:szCs w:val="20"/>
        </w:rPr>
        <w:lastRenderedPageBreak/>
        <w:t>$15</w:t>
      </w:r>
      <w:r w:rsidR="00721472">
        <w:rPr>
          <w:rFonts w:ascii="Verdana" w:hAnsi="Verdana"/>
          <w:sz w:val="20"/>
          <w:szCs w:val="20"/>
        </w:rPr>
        <w:t>,</w:t>
      </w:r>
      <w:r w:rsidR="009A40C5" w:rsidRPr="00DB5977">
        <w:rPr>
          <w:rFonts w:ascii="Verdana" w:hAnsi="Verdana"/>
          <w:sz w:val="20"/>
          <w:szCs w:val="20"/>
        </w:rPr>
        <w:t>00</w:t>
      </w:r>
      <w:r w:rsidR="00721472">
        <w:rPr>
          <w:rFonts w:ascii="Verdana" w:hAnsi="Verdana"/>
          <w:sz w:val="20"/>
          <w:szCs w:val="20"/>
        </w:rPr>
        <w:t>9</w:t>
      </w:r>
      <w:r w:rsidR="00154DCD" w:rsidRPr="00DB5977">
        <w:rPr>
          <w:rFonts w:ascii="Verdana" w:hAnsi="Verdana"/>
          <w:sz w:val="20"/>
          <w:szCs w:val="20"/>
        </w:rPr>
        <w:t xml:space="preserve"> </w:t>
      </w:r>
      <w:r w:rsidR="00721472">
        <w:rPr>
          <w:rFonts w:ascii="Verdana" w:hAnsi="Verdana"/>
          <w:sz w:val="20"/>
          <w:szCs w:val="20"/>
        </w:rPr>
        <w:t>m</w:t>
      </w:r>
      <w:r w:rsidR="00154DCD" w:rsidRPr="00DB5977">
        <w:rPr>
          <w:rFonts w:ascii="Verdana" w:hAnsi="Verdana"/>
          <w:sz w:val="20"/>
          <w:szCs w:val="20"/>
        </w:rPr>
        <w:t xml:space="preserve">illion in </w:t>
      </w:r>
      <w:r w:rsidR="002F2D1B" w:rsidRPr="00DB5977">
        <w:rPr>
          <w:rFonts w:ascii="Verdana" w:hAnsi="Verdana"/>
          <w:sz w:val="20"/>
          <w:szCs w:val="20"/>
        </w:rPr>
        <w:t>common equity</w:t>
      </w:r>
      <w:r w:rsidR="00154DCD" w:rsidRPr="00DB5977">
        <w:rPr>
          <w:rFonts w:ascii="Verdana" w:hAnsi="Verdana"/>
          <w:sz w:val="20"/>
          <w:szCs w:val="20"/>
        </w:rPr>
        <w:t xml:space="preserve"> less </w:t>
      </w:r>
      <w:r w:rsidR="00297BEC" w:rsidRPr="00DB5977">
        <w:rPr>
          <w:rFonts w:ascii="Verdana" w:hAnsi="Verdana"/>
          <w:sz w:val="20"/>
          <w:szCs w:val="20"/>
        </w:rPr>
        <w:t xml:space="preserve">other comprehensive income </w:t>
      </w:r>
      <w:r w:rsidR="008B24B7" w:rsidRPr="00DB5977">
        <w:rPr>
          <w:rFonts w:ascii="Verdana" w:hAnsi="Verdana"/>
          <w:sz w:val="20"/>
          <w:szCs w:val="20"/>
        </w:rPr>
        <w:t>and</w:t>
      </w:r>
      <w:r w:rsidR="004035F9" w:rsidRPr="00DB5977">
        <w:rPr>
          <w:rFonts w:ascii="Verdana" w:hAnsi="Verdana"/>
          <w:sz w:val="20"/>
          <w:szCs w:val="20"/>
        </w:rPr>
        <w:t xml:space="preserve"> long-term debt</w:t>
      </w:r>
      <w:r w:rsidR="008F1D50" w:rsidRPr="00DB5977">
        <w:rPr>
          <w:rFonts w:ascii="Verdana" w:hAnsi="Verdana"/>
          <w:sz w:val="20"/>
          <w:szCs w:val="20"/>
        </w:rPr>
        <w:t xml:space="preserve"> of </w:t>
      </w:r>
      <w:r w:rsidR="00C57FCD" w:rsidRPr="00DB5977">
        <w:rPr>
          <w:rFonts w:ascii="Verdana" w:hAnsi="Verdana"/>
          <w:sz w:val="20"/>
          <w:szCs w:val="20"/>
        </w:rPr>
        <w:t>$11</w:t>
      </w:r>
      <w:r w:rsidR="00721472">
        <w:rPr>
          <w:rFonts w:ascii="Verdana" w:hAnsi="Verdana"/>
          <w:sz w:val="20"/>
          <w:szCs w:val="20"/>
        </w:rPr>
        <w:t>,</w:t>
      </w:r>
      <w:r w:rsidR="00C57FCD" w:rsidRPr="00DB5977">
        <w:rPr>
          <w:rFonts w:ascii="Verdana" w:hAnsi="Verdana"/>
          <w:sz w:val="20"/>
          <w:szCs w:val="20"/>
        </w:rPr>
        <w:t>75</w:t>
      </w:r>
      <w:r w:rsidR="00721472">
        <w:rPr>
          <w:rFonts w:ascii="Verdana" w:hAnsi="Verdana"/>
          <w:sz w:val="20"/>
          <w:szCs w:val="20"/>
        </w:rPr>
        <w:t>3</w:t>
      </w:r>
      <w:r w:rsidR="00A503D9" w:rsidRPr="00DB5977">
        <w:rPr>
          <w:rFonts w:ascii="Verdana" w:hAnsi="Verdana"/>
          <w:sz w:val="20"/>
          <w:szCs w:val="20"/>
        </w:rPr>
        <w:t xml:space="preserve"> </w:t>
      </w:r>
      <w:r w:rsidR="00721472">
        <w:rPr>
          <w:rFonts w:ascii="Verdana" w:hAnsi="Verdana"/>
          <w:sz w:val="20"/>
          <w:szCs w:val="20"/>
        </w:rPr>
        <w:t>m</w:t>
      </w:r>
      <w:r w:rsidR="00270C17" w:rsidRPr="00DB5977">
        <w:rPr>
          <w:rFonts w:ascii="Verdana" w:hAnsi="Verdana"/>
          <w:sz w:val="20"/>
          <w:szCs w:val="20"/>
        </w:rPr>
        <w:t>illion</w:t>
      </w:r>
      <w:r w:rsidR="000D75C0" w:rsidRPr="00DB5977">
        <w:rPr>
          <w:rFonts w:ascii="Verdana" w:hAnsi="Verdana"/>
          <w:sz w:val="20"/>
          <w:szCs w:val="20"/>
        </w:rPr>
        <w:t xml:space="preserve">. The long-term debt component </w:t>
      </w:r>
      <w:r w:rsidR="00AB004C" w:rsidRPr="00DB5977">
        <w:rPr>
          <w:rFonts w:ascii="Verdana" w:hAnsi="Verdana"/>
          <w:sz w:val="20"/>
          <w:szCs w:val="20"/>
        </w:rPr>
        <w:t>includes</w:t>
      </w:r>
      <w:r w:rsidR="001647A1" w:rsidRPr="00DB5977">
        <w:rPr>
          <w:rFonts w:ascii="Verdana" w:hAnsi="Verdana"/>
          <w:sz w:val="20"/>
          <w:szCs w:val="20"/>
        </w:rPr>
        <w:t xml:space="preserve"> $1</w:t>
      </w:r>
      <w:r w:rsidR="00DB4965">
        <w:rPr>
          <w:rFonts w:ascii="Verdana" w:hAnsi="Verdana"/>
          <w:sz w:val="20"/>
          <w:szCs w:val="20"/>
        </w:rPr>
        <w:t>,</w:t>
      </w:r>
      <w:r w:rsidR="001647A1" w:rsidRPr="00DB5977">
        <w:rPr>
          <w:rFonts w:ascii="Verdana" w:hAnsi="Verdana"/>
          <w:sz w:val="20"/>
          <w:szCs w:val="20"/>
        </w:rPr>
        <w:t xml:space="preserve">759 </w:t>
      </w:r>
      <w:r w:rsidR="00DB4965">
        <w:rPr>
          <w:rFonts w:ascii="Verdana" w:hAnsi="Verdana"/>
          <w:sz w:val="20"/>
          <w:szCs w:val="20"/>
        </w:rPr>
        <w:t>m</w:t>
      </w:r>
      <w:r w:rsidR="001647A1" w:rsidRPr="00DB5977">
        <w:rPr>
          <w:rFonts w:ascii="Verdana" w:hAnsi="Verdana"/>
          <w:sz w:val="20"/>
          <w:szCs w:val="20"/>
        </w:rPr>
        <w:t xml:space="preserve">illion in </w:t>
      </w:r>
      <w:r w:rsidR="00D57209" w:rsidRPr="00DB5977">
        <w:rPr>
          <w:rFonts w:ascii="Verdana" w:hAnsi="Verdana"/>
          <w:sz w:val="20"/>
          <w:szCs w:val="20"/>
        </w:rPr>
        <w:t>Pollution Control Bonds</w:t>
      </w:r>
      <w:r w:rsidR="005F519B">
        <w:rPr>
          <w:rFonts w:ascii="Verdana" w:hAnsi="Verdana"/>
          <w:sz w:val="20"/>
          <w:szCs w:val="20"/>
        </w:rPr>
        <w:t>;</w:t>
      </w:r>
      <w:r w:rsidR="00D57209" w:rsidRPr="00DB5977">
        <w:rPr>
          <w:rFonts w:ascii="Verdana" w:hAnsi="Verdana"/>
          <w:sz w:val="20"/>
          <w:szCs w:val="20"/>
        </w:rPr>
        <w:t xml:space="preserve"> </w:t>
      </w:r>
      <w:r w:rsidR="007B0CFB" w:rsidRPr="00DB5977">
        <w:rPr>
          <w:rFonts w:ascii="Verdana" w:hAnsi="Verdana"/>
          <w:sz w:val="20"/>
          <w:szCs w:val="20"/>
        </w:rPr>
        <w:t>$</w:t>
      </w:r>
      <w:r w:rsidR="00A503D9" w:rsidRPr="00DB5977">
        <w:rPr>
          <w:rFonts w:ascii="Verdana" w:hAnsi="Verdana"/>
          <w:sz w:val="20"/>
          <w:szCs w:val="20"/>
        </w:rPr>
        <w:t>5</w:t>
      </w:r>
      <w:r w:rsidR="00DB4965">
        <w:rPr>
          <w:rFonts w:ascii="Verdana" w:hAnsi="Verdana"/>
          <w:sz w:val="20"/>
          <w:szCs w:val="20"/>
        </w:rPr>
        <w:t>,</w:t>
      </w:r>
      <w:r w:rsidR="00A503D9" w:rsidRPr="00DB5977">
        <w:rPr>
          <w:rFonts w:ascii="Verdana" w:hAnsi="Verdana"/>
          <w:sz w:val="20"/>
          <w:szCs w:val="20"/>
        </w:rPr>
        <w:t xml:space="preserve">886 </w:t>
      </w:r>
      <w:r w:rsidR="00DB4965">
        <w:rPr>
          <w:rFonts w:ascii="Verdana" w:hAnsi="Verdana"/>
          <w:sz w:val="20"/>
          <w:szCs w:val="20"/>
        </w:rPr>
        <w:t>m</w:t>
      </w:r>
      <w:r w:rsidR="00A503D9" w:rsidRPr="00DB5977">
        <w:rPr>
          <w:rFonts w:ascii="Verdana" w:hAnsi="Verdana"/>
          <w:sz w:val="20"/>
          <w:szCs w:val="20"/>
        </w:rPr>
        <w:t>illion</w:t>
      </w:r>
      <w:r w:rsidR="00AB004C" w:rsidRPr="00DB5977">
        <w:rPr>
          <w:rFonts w:ascii="Verdana" w:hAnsi="Verdana"/>
          <w:sz w:val="20"/>
          <w:szCs w:val="20"/>
        </w:rPr>
        <w:t xml:space="preserve"> in</w:t>
      </w:r>
      <w:r w:rsidR="00673025" w:rsidRPr="00DB5977">
        <w:rPr>
          <w:rFonts w:ascii="Verdana" w:hAnsi="Verdana"/>
          <w:sz w:val="20"/>
          <w:szCs w:val="20"/>
        </w:rPr>
        <w:t xml:space="preserve"> Sen</w:t>
      </w:r>
      <w:r w:rsidR="00681F87" w:rsidRPr="00DB5977">
        <w:rPr>
          <w:rFonts w:ascii="Verdana" w:hAnsi="Verdana"/>
          <w:sz w:val="20"/>
          <w:szCs w:val="20"/>
        </w:rPr>
        <w:t>ior Notes</w:t>
      </w:r>
      <w:r w:rsidR="005F519B">
        <w:rPr>
          <w:rFonts w:ascii="Verdana" w:hAnsi="Verdana"/>
          <w:sz w:val="20"/>
          <w:szCs w:val="20"/>
        </w:rPr>
        <w:t>;</w:t>
      </w:r>
      <w:r w:rsidR="00681F87" w:rsidRPr="00DB5977">
        <w:rPr>
          <w:rFonts w:ascii="Verdana" w:hAnsi="Verdana"/>
          <w:sz w:val="20"/>
          <w:szCs w:val="20"/>
        </w:rPr>
        <w:t xml:space="preserve"> </w:t>
      </w:r>
      <w:r w:rsidR="00AC7572" w:rsidRPr="00DB5977">
        <w:rPr>
          <w:rFonts w:ascii="Verdana" w:hAnsi="Verdana"/>
          <w:sz w:val="20"/>
          <w:szCs w:val="20"/>
        </w:rPr>
        <w:t>$</w:t>
      </w:r>
      <w:r w:rsidR="00681F87" w:rsidRPr="00DB5977">
        <w:rPr>
          <w:rFonts w:ascii="Verdana" w:hAnsi="Verdana"/>
          <w:sz w:val="20"/>
          <w:szCs w:val="20"/>
        </w:rPr>
        <w:t>3</w:t>
      </w:r>
      <w:r w:rsidR="00DB4965">
        <w:rPr>
          <w:rFonts w:ascii="Verdana" w:hAnsi="Verdana"/>
          <w:sz w:val="20"/>
          <w:szCs w:val="20"/>
        </w:rPr>
        <w:t>,</w:t>
      </w:r>
      <w:r w:rsidR="00681F87" w:rsidRPr="00DB5977">
        <w:rPr>
          <w:rFonts w:ascii="Verdana" w:hAnsi="Verdana"/>
          <w:sz w:val="20"/>
          <w:szCs w:val="20"/>
        </w:rPr>
        <w:t xml:space="preserve">748 </w:t>
      </w:r>
      <w:r w:rsidR="00DB4965">
        <w:rPr>
          <w:rFonts w:ascii="Verdana" w:hAnsi="Verdana"/>
          <w:sz w:val="20"/>
          <w:szCs w:val="20"/>
        </w:rPr>
        <w:t>m</w:t>
      </w:r>
      <w:r w:rsidR="00681F87" w:rsidRPr="00DB5977">
        <w:rPr>
          <w:rFonts w:ascii="Verdana" w:hAnsi="Verdana"/>
          <w:sz w:val="20"/>
          <w:szCs w:val="20"/>
        </w:rPr>
        <w:t xml:space="preserve">illion </w:t>
      </w:r>
      <w:r w:rsidR="005B111B" w:rsidRPr="00DB5977">
        <w:rPr>
          <w:rFonts w:ascii="Verdana" w:hAnsi="Verdana"/>
          <w:sz w:val="20"/>
          <w:szCs w:val="20"/>
        </w:rPr>
        <w:t xml:space="preserve">in </w:t>
      </w:r>
      <w:r w:rsidR="00D80873" w:rsidRPr="00DB5977">
        <w:rPr>
          <w:rFonts w:ascii="Verdana" w:hAnsi="Verdana"/>
          <w:sz w:val="20"/>
          <w:szCs w:val="20"/>
        </w:rPr>
        <w:t>U.S. Department of Energy (“</w:t>
      </w:r>
      <w:r w:rsidR="005B111B" w:rsidRPr="00DB5977">
        <w:rPr>
          <w:rFonts w:ascii="Verdana" w:hAnsi="Verdana"/>
          <w:sz w:val="20"/>
          <w:szCs w:val="20"/>
        </w:rPr>
        <w:t>DOE</w:t>
      </w:r>
      <w:r w:rsidR="00D80873" w:rsidRPr="00DB5977">
        <w:rPr>
          <w:rFonts w:ascii="Verdana" w:hAnsi="Verdana"/>
          <w:sz w:val="20"/>
          <w:szCs w:val="20"/>
        </w:rPr>
        <w:t>”)</w:t>
      </w:r>
      <w:r w:rsidR="005B111B" w:rsidRPr="00DB5977">
        <w:rPr>
          <w:rFonts w:ascii="Verdana" w:hAnsi="Verdana"/>
          <w:sz w:val="20"/>
          <w:szCs w:val="20"/>
        </w:rPr>
        <w:t xml:space="preserve"> </w:t>
      </w:r>
      <w:r w:rsidR="002F2D1B">
        <w:rPr>
          <w:rFonts w:ascii="Verdana" w:hAnsi="Verdana"/>
          <w:sz w:val="20"/>
          <w:szCs w:val="20"/>
        </w:rPr>
        <w:t>l</w:t>
      </w:r>
      <w:r w:rsidR="005B111B" w:rsidRPr="00DB5977">
        <w:rPr>
          <w:rFonts w:ascii="Verdana" w:hAnsi="Verdana"/>
          <w:sz w:val="20"/>
          <w:szCs w:val="20"/>
        </w:rPr>
        <w:t>oans</w:t>
      </w:r>
      <w:r w:rsidR="005F519B">
        <w:rPr>
          <w:rFonts w:ascii="Verdana" w:hAnsi="Verdana"/>
          <w:sz w:val="20"/>
          <w:szCs w:val="20"/>
        </w:rPr>
        <w:t>;</w:t>
      </w:r>
      <w:r w:rsidR="00C57AEE" w:rsidRPr="00DB5977">
        <w:rPr>
          <w:rFonts w:ascii="Verdana" w:hAnsi="Verdana"/>
          <w:sz w:val="20"/>
          <w:szCs w:val="20"/>
        </w:rPr>
        <w:t xml:space="preserve"> </w:t>
      </w:r>
      <w:r w:rsidR="00AC7572" w:rsidRPr="00DB5977">
        <w:rPr>
          <w:rFonts w:ascii="Verdana" w:hAnsi="Verdana"/>
          <w:sz w:val="20"/>
          <w:szCs w:val="20"/>
        </w:rPr>
        <w:t>$</w:t>
      </w:r>
      <w:r w:rsidR="00C57AEE" w:rsidRPr="00DB5977">
        <w:rPr>
          <w:rFonts w:ascii="Verdana" w:hAnsi="Verdana"/>
          <w:sz w:val="20"/>
          <w:szCs w:val="20"/>
        </w:rPr>
        <w:t>262</w:t>
      </w:r>
      <w:r w:rsidR="009F6ED0" w:rsidRPr="00DB5977">
        <w:rPr>
          <w:rFonts w:ascii="Verdana" w:hAnsi="Verdana"/>
          <w:sz w:val="20"/>
          <w:szCs w:val="20"/>
        </w:rPr>
        <w:t xml:space="preserve"> million in Junior Subordinated </w:t>
      </w:r>
      <w:r w:rsidR="001B14F4" w:rsidRPr="00DB5977">
        <w:rPr>
          <w:rFonts w:ascii="Verdana" w:hAnsi="Verdana"/>
          <w:sz w:val="20"/>
          <w:szCs w:val="20"/>
        </w:rPr>
        <w:t>Notes</w:t>
      </w:r>
      <w:r w:rsidR="005F519B">
        <w:rPr>
          <w:rFonts w:ascii="Verdana" w:hAnsi="Verdana"/>
          <w:sz w:val="20"/>
          <w:szCs w:val="20"/>
        </w:rPr>
        <w:t>;</w:t>
      </w:r>
      <w:r w:rsidR="001B14F4" w:rsidRPr="00DB5977">
        <w:rPr>
          <w:rFonts w:ascii="Verdana" w:hAnsi="Verdana"/>
          <w:sz w:val="20"/>
          <w:szCs w:val="20"/>
        </w:rPr>
        <w:t xml:space="preserve"> and </w:t>
      </w:r>
      <w:r w:rsidR="002F2D1B">
        <w:rPr>
          <w:rFonts w:ascii="Verdana" w:hAnsi="Verdana"/>
          <w:sz w:val="20"/>
          <w:szCs w:val="20"/>
        </w:rPr>
        <w:t>$</w:t>
      </w:r>
      <w:r w:rsidR="00855F89" w:rsidRPr="00DB5977">
        <w:rPr>
          <w:rFonts w:ascii="Verdana" w:hAnsi="Verdana"/>
          <w:sz w:val="20"/>
          <w:szCs w:val="20"/>
        </w:rPr>
        <w:t xml:space="preserve">123 million in </w:t>
      </w:r>
      <w:r w:rsidR="00D80873" w:rsidRPr="00DB5977">
        <w:rPr>
          <w:rFonts w:ascii="Verdana" w:hAnsi="Verdana"/>
          <w:sz w:val="20"/>
          <w:szCs w:val="20"/>
        </w:rPr>
        <w:t>Power Purchase Agreement (“</w:t>
      </w:r>
      <w:r w:rsidR="001B14F4" w:rsidRPr="00DB5977">
        <w:rPr>
          <w:rFonts w:ascii="Verdana" w:hAnsi="Verdana"/>
          <w:sz w:val="20"/>
          <w:szCs w:val="20"/>
        </w:rPr>
        <w:t>PPA</w:t>
      </w:r>
      <w:r w:rsidR="00D80873" w:rsidRPr="00DB5977">
        <w:rPr>
          <w:rFonts w:ascii="Verdana" w:hAnsi="Verdana"/>
          <w:sz w:val="20"/>
          <w:szCs w:val="20"/>
        </w:rPr>
        <w:t>”)</w:t>
      </w:r>
      <w:r w:rsidR="001B14F4" w:rsidRPr="00DB5977">
        <w:rPr>
          <w:rFonts w:ascii="Verdana" w:hAnsi="Verdana"/>
          <w:sz w:val="20"/>
          <w:szCs w:val="20"/>
        </w:rPr>
        <w:t xml:space="preserve"> Capitalized Leases</w:t>
      </w:r>
      <w:r w:rsidR="00D17E74">
        <w:rPr>
          <w:rFonts w:ascii="Verdana" w:hAnsi="Verdana"/>
          <w:sz w:val="20"/>
          <w:szCs w:val="20"/>
        </w:rPr>
        <w:t>;</w:t>
      </w:r>
      <w:r w:rsidR="00855F89" w:rsidRPr="00DB5977">
        <w:rPr>
          <w:rFonts w:ascii="Verdana" w:hAnsi="Verdana"/>
          <w:sz w:val="20"/>
          <w:szCs w:val="20"/>
        </w:rPr>
        <w:t xml:space="preserve"> less </w:t>
      </w:r>
      <w:r w:rsidR="00A66335" w:rsidRPr="00DB5977">
        <w:rPr>
          <w:rFonts w:ascii="Verdana" w:hAnsi="Verdana"/>
          <w:sz w:val="20"/>
          <w:szCs w:val="20"/>
        </w:rPr>
        <w:t xml:space="preserve">$18 million in Preferred Securities and </w:t>
      </w:r>
      <w:r w:rsidR="007C312D" w:rsidRPr="00DB5977">
        <w:rPr>
          <w:rFonts w:ascii="Verdana" w:hAnsi="Verdana"/>
          <w:sz w:val="20"/>
          <w:szCs w:val="20"/>
        </w:rPr>
        <w:t>$9 million in First Mortgage Bonds.</w:t>
      </w:r>
      <w:r w:rsidR="004A3B4F" w:rsidRPr="00DB5977">
        <w:rPr>
          <w:rFonts w:ascii="Verdana" w:hAnsi="Verdana"/>
          <w:sz w:val="20"/>
          <w:szCs w:val="20"/>
        </w:rPr>
        <w:t xml:space="preserve"> (</w:t>
      </w:r>
      <w:r w:rsidR="004A3B4F" w:rsidRPr="00DB5977">
        <w:rPr>
          <w:rFonts w:ascii="Verdana" w:hAnsi="Verdana"/>
          <w:i/>
          <w:iCs/>
          <w:sz w:val="20"/>
          <w:szCs w:val="20"/>
          <w:u w:val="single"/>
        </w:rPr>
        <w:t>See</w:t>
      </w:r>
      <w:r w:rsidR="004A3B4F" w:rsidRPr="00DB5977">
        <w:rPr>
          <w:rFonts w:ascii="Verdana" w:hAnsi="Verdana"/>
          <w:sz w:val="20"/>
          <w:szCs w:val="20"/>
        </w:rPr>
        <w:t xml:space="preserve"> Schedule DPP-SPA-</w:t>
      </w:r>
      <w:r w:rsidR="00DB4965">
        <w:rPr>
          <w:rFonts w:ascii="Verdana" w:hAnsi="Verdana"/>
          <w:sz w:val="20"/>
          <w:szCs w:val="20"/>
        </w:rPr>
        <w:t>MBR-</w:t>
      </w:r>
      <w:r w:rsidR="004A3B4F" w:rsidRPr="00DB5977">
        <w:rPr>
          <w:rFonts w:ascii="Verdana" w:hAnsi="Verdana"/>
          <w:sz w:val="20"/>
          <w:szCs w:val="20"/>
        </w:rPr>
        <w:t>3, Sch. 1, WP2.)</w:t>
      </w:r>
    </w:p>
    <w:p w14:paraId="1AA93BF5" w14:textId="77777777" w:rsidR="00A617FB" w:rsidRPr="00DB5977" w:rsidRDefault="00A617FB" w:rsidP="00486739">
      <w:pPr>
        <w:pStyle w:val="DirectQuestion"/>
      </w:pPr>
      <w:r w:rsidRPr="00DB5977">
        <w:t>What is the basis of the company</w:t>
      </w:r>
      <w:r w:rsidR="00D17E74">
        <w:t>’s</w:t>
      </w:r>
      <w:r w:rsidRPr="00DB5977">
        <w:t xml:space="preserve"> proposed cost of long-term debt of 4.</w:t>
      </w:r>
      <w:r w:rsidR="008D1E2F" w:rsidRPr="00DB5977">
        <w:t>14</w:t>
      </w:r>
      <w:r w:rsidRPr="00DB5977">
        <w:t xml:space="preserve"> percent?</w:t>
      </w:r>
    </w:p>
    <w:p w14:paraId="696DDD86" w14:textId="0511E320" w:rsidR="00992A3B" w:rsidRPr="00DB5977" w:rsidRDefault="007A0CE2" w:rsidP="00486739">
      <w:pPr>
        <w:pStyle w:val="DirectAnswer"/>
        <w:jc w:val="both"/>
        <w:rPr>
          <w:rFonts w:ascii="Verdana" w:hAnsi="Verdana"/>
          <w:sz w:val="20"/>
          <w:szCs w:val="20"/>
        </w:rPr>
      </w:pPr>
      <w:r w:rsidRPr="00DB5977">
        <w:rPr>
          <w:rFonts w:ascii="Verdana" w:hAnsi="Verdana"/>
          <w:sz w:val="20"/>
          <w:szCs w:val="20"/>
        </w:rPr>
        <w:t xml:space="preserve">The Company </w:t>
      </w:r>
      <w:r w:rsidR="00891A5F" w:rsidRPr="00DB5977">
        <w:rPr>
          <w:rFonts w:ascii="Verdana" w:hAnsi="Verdana"/>
          <w:sz w:val="20"/>
          <w:szCs w:val="20"/>
        </w:rPr>
        <w:t xml:space="preserve">is </w:t>
      </w:r>
      <w:r w:rsidRPr="00DB5977">
        <w:rPr>
          <w:rFonts w:ascii="Verdana" w:hAnsi="Verdana"/>
          <w:sz w:val="20"/>
          <w:szCs w:val="20"/>
        </w:rPr>
        <w:t>propos</w:t>
      </w:r>
      <w:r w:rsidR="00891A5F" w:rsidRPr="00DB5977">
        <w:rPr>
          <w:rFonts w:ascii="Verdana" w:hAnsi="Verdana"/>
          <w:sz w:val="20"/>
          <w:szCs w:val="20"/>
        </w:rPr>
        <w:t>ing a</w:t>
      </w:r>
      <w:r w:rsidRPr="00DB5977">
        <w:rPr>
          <w:rFonts w:ascii="Verdana" w:hAnsi="Verdana"/>
          <w:sz w:val="20"/>
          <w:szCs w:val="20"/>
        </w:rPr>
        <w:t xml:space="preserve"> cost of long-term debt of 4.</w:t>
      </w:r>
      <w:r w:rsidR="008D1E2F" w:rsidRPr="00DB5977">
        <w:rPr>
          <w:rFonts w:ascii="Verdana" w:hAnsi="Verdana"/>
          <w:sz w:val="20"/>
          <w:szCs w:val="20"/>
        </w:rPr>
        <w:t>14</w:t>
      </w:r>
      <w:r w:rsidRPr="00DB5977">
        <w:rPr>
          <w:rFonts w:ascii="Verdana" w:hAnsi="Verdana"/>
          <w:sz w:val="20"/>
          <w:szCs w:val="20"/>
        </w:rPr>
        <w:t xml:space="preserve"> percent</w:t>
      </w:r>
      <w:r w:rsidR="00074AE1" w:rsidRPr="00DB5977">
        <w:rPr>
          <w:rFonts w:ascii="Verdana" w:hAnsi="Verdana"/>
          <w:sz w:val="20"/>
          <w:szCs w:val="20"/>
        </w:rPr>
        <w:t xml:space="preserve">, </w:t>
      </w:r>
      <w:r w:rsidR="009C5B91" w:rsidRPr="00DB5977">
        <w:rPr>
          <w:rFonts w:ascii="Verdana" w:hAnsi="Verdana"/>
          <w:sz w:val="20"/>
          <w:szCs w:val="20"/>
        </w:rPr>
        <w:t xml:space="preserve">which is the </w:t>
      </w:r>
      <w:r w:rsidR="00D80873" w:rsidRPr="00DB5977">
        <w:rPr>
          <w:rFonts w:ascii="Verdana" w:hAnsi="Verdana"/>
          <w:sz w:val="20"/>
          <w:szCs w:val="20"/>
        </w:rPr>
        <w:t xml:space="preserve">Company’s estimated </w:t>
      </w:r>
      <w:r w:rsidR="001A6D76">
        <w:rPr>
          <w:rFonts w:ascii="Verdana" w:hAnsi="Verdana"/>
          <w:sz w:val="20"/>
          <w:szCs w:val="20"/>
        </w:rPr>
        <w:t xml:space="preserve">average for the </w:t>
      </w:r>
      <w:r w:rsidR="009C5B91" w:rsidRPr="00DB5977">
        <w:rPr>
          <w:rFonts w:ascii="Verdana" w:hAnsi="Verdana"/>
          <w:sz w:val="20"/>
          <w:szCs w:val="20"/>
        </w:rPr>
        <w:t>13</w:t>
      </w:r>
      <w:r w:rsidR="00E40267" w:rsidRPr="00DB5977">
        <w:rPr>
          <w:rFonts w:ascii="Verdana" w:hAnsi="Verdana"/>
          <w:sz w:val="20"/>
          <w:szCs w:val="20"/>
        </w:rPr>
        <w:t xml:space="preserve">-month </w:t>
      </w:r>
      <w:r w:rsidR="001A6D76">
        <w:rPr>
          <w:rFonts w:ascii="Verdana" w:hAnsi="Verdana"/>
          <w:sz w:val="20"/>
          <w:szCs w:val="20"/>
        </w:rPr>
        <w:t xml:space="preserve">period </w:t>
      </w:r>
      <w:r w:rsidR="00E40267" w:rsidRPr="00DB5977">
        <w:rPr>
          <w:rFonts w:ascii="Verdana" w:hAnsi="Verdana"/>
          <w:sz w:val="20"/>
          <w:szCs w:val="20"/>
        </w:rPr>
        <w:t>ending July 31, 2020</w:t>
      </w:r>
      <w:r w:rsidR="00D80873" w:rsidRPr="00DB5977">
        <w:rPr>
          <w:rFonts w:ascii="Verdana" w:hAnsi="Verdana"/>
          <w:sz w:val="20"/>
          <w:szCs w:val="20"/>
        </w:rPr>
        <w:t>.</w:t>
      </w:r>
      <w:r w:rsidR="0025065A">
        <w:rPr>
          <w:rFonts w:ascii="Verdana" w:hAnsi="Verdana"/>
          <w:sz w:val="20"/>
          <w:szCs w:val="20"/>
        </w:rPr>
        <w:t xml:space="preserve"> </w:t>
      </w:r>
      <w:r w:rsidR="005869E6" w:rsidRPr="00DB5977">
        <w:rPr>
          <w:rFonts w:ascii="Verdana" w:hAnsi="Verdana"/>
          <w:sz w:val="20"/>
          <w:szCs w:val="20"/>
        </w:rPr>
        <w:t xml:space="preserve">The </w:t>
      </w:r>
      <w:r w:rsidR="00D80873" w:rsidRPr="00DB5977">
        <w:rPr>
          <w:rFonts w:ascii="Verdana" w:hAnsi="Verdana"/>
          <w:sz w:val="20"/>
          <w:szCs w:val="20"/>
        </w:rPr>
        <w:t>beginning estimated rate of</w:t>
      </w:r>
      <w:r w:rsidR="00A10069" w:rsidRPr="00DB5977">
        <w:rPr>
          <w:rFonts w:ascii="Verdana" w:hAnsi="Verdana"/>
          <w:sz w:val="20"/>
          <w:szCs w:val="20"/>
        </w:rPr>
        <w:t xml:space="preserve"> 3.98 percent in </w:t>
      </w:r>
      <w:r w:rsidR="00852905" w:rsidRPr="00DB5977">
        <w:rPr>
          <w:rFonts w:ascii="Verdana" w:hAnsi="Verdana"/>
          <w:sz w:val="20"/>
          <w:szCs w:val="20"/>
        </w:rPr>
        <w:t>July 2019 increase</w:t>
      </w:r>
      <w:r w:rsidR="00D80873" w:rsidRPr="00DB5977">
        <w:rPr>
          <w:rFonts w:ascii="Verdana" w:hAnsi="Verdana"/>
          <w:sz w:val="20"/>
          <w:szCs w:val="20"/>
        </w:rPr>
        <w:t>s</w:t>
      </w:r>
      <w:r w:rsidR="00852905" w:rsidRPr="00DB5977">
        <w:rPr>
          <w:rFonts w:ascii="Verdana" w:hAnsi="Verdana"/>
          <w:sz w:val="20"/>
          <w:szCs w:val="20"/>
        </w:rPr>
        <w:t xml:space="preserve"> gradually to 4.25</w:t>
      </w:r>
      <w:r w:rsidR="00275DD8">
        <w:rPr>
          <w:rFonts w:ascii="Verdana" w:hAnsi="Verdana"/>
          <w:sz w:val="20"/>
          <w:szCs w:val="20"/>
        </w:rPr>
        <w:t> </w:t>
      </w:r>
      <w:r w:rsidR="00852905" w:rsidRPr="00DB5977">
        <w:rPr>
          <w:rFonts w:ascii="Verdana" w:hAnsi="Verdana"/>
          <w:sz w:val="20"/>
          <w:szCs w:val="20"/>
        </w:rPr>
        <w:t>percent in July 2020.</w:t>
      </w:r>
    </w:p>
    <w:p w14:paraId="36D84E5F" w14:textId="77777777" w:rsidR="00BD00FE" w:rsidRPr="00DB5977" w:rsidRDefault="00BD00FE" w:rsidP="00486739">
      <w:pPr>
        <w:pStyle w:val="DirectQuestion"/>
      </w:pPr>
      <w:r w:rsidRPr="00DB5977">
        <w:t>Does the company use the 4.14 percent for every year of the ARP?</w:t>
      </w:r>
    </w:p>
    <w:p w14:paraId="2343738C" w14:textId="5B401FC1" w:rsidR="00BD00FE" w:rsidRPr="00DB5977" w:rsidRDefault="00BD00FE" w:rsidP="00486739">
      <w:pPr>
        <w:pStyle w:val="DirectAnswer"/>
        <w:jc w:val="both"/>
        <w:rPr>
          <w:rFonts w:ascii="Verdana" w:hAnsi="Verdana"/>
          <w:sz w:val="20"/>
          <w:szCs w:val="20"/>
        </w:rPr>
      </w:pPr>
      <w:r w:rsidRPr="00DB5977">
        <w:rPr>
          <w:rFonts w:ascii="Verdana" w:hAnsi="Verdana"/>
          <w:sz w:val="20"/>
          <w:szCs w:val="20"/>
        </w:rPr>
        <w:t xml:space="preserve">No. As shown in Schedule </w:t>
      </w:r>
      <w:r w:rsidR="00A8362B">
        <w:rPr>
          <w:rFonts w:ascii="Verdana" w:hAnsi="Verdana"/>
          <w:sz w:val="20"/>
          <w:szCs w:val="20"/>
        </w:rPr>
        <w:t xml:space="preserve">DPP-SPA-MBR-3, Schedule </w:t>
      </w:r>
      <w:r w:rsidR="00A8362B" w:rsidRPr="00AD2446">
        <w:rPr>
          <w:rFonts w:ascii="Verdana" w:hAnsi="Verdana"/>
          <w:sz w:val="20"/>
          <w:szCs w:val="20"/>
        </w:rPr>
        <w:t xml:space="preserve">2, </w:t>
      </w:r>
      <w:proofErr w:type="spellStart"/>
      <w:r w:rsidR="00A8362B" w:rsidRPr="00AD2446">
        <w:rPr>
          <w:rFonts w:ascii="Verdana" w:hAnsi="Verdana"/>
          <w:sz w:val="20"/>
          <w:szCs w:val="20"/>
        </w:rPr>
        <w:t>Workpapers</w:t>
      </w:r>
      <w:proofErr w:type="spellEnd"/>
      <w:r w:rsidR="00A8362B" w:rsidRPr="00AD2446">
        <w:rPr>
          <w:rFonts w:ascii="Verdana" w:hAnsi="Verdana"/>
          <w:sz w:val="20"/>
          <w:szCs w:val="20"/>
        </w:rPr>
        <w:t xml:space="preserve"> </w:t>
      </w:r>
      <w:r w:rsidR="009016B9">
        <w:rPr>
          <w:rFonts w:ascii="Verdana" w:hAnsi="Verdana"/>
          <w:sz w:val="20"/>
          <w:szCs w:val="20"/>
        </w:rPr>
        <w:t>1-4</w:t>
      </w:r>
      <w:r w:rsidRPr="00DB5977">
        <w:rPr>
          <w:rFonts w:ascii="Verdana" w:hAnsi="Verdana"/>
          <w:sz w:val="20"/>
          <w:szCs w:val="20"/>
        </w:rPr>
        <w:t xml:space="preserve">, the Company is proposing to increase both the amount of long-term debt and the cost of long-term </w:t>
      </w:r>
      <w:r w:rsidR="004610F9" w:rsidRPr="00DB5977">
        <w:rPr>
          <w:rFonts w:ascii="Verdana" w:hAnsi="Verdana"/>
          <w:sz w:val="20"/>
          <w:szCs w:val="20"/>
        </w:rPr>
        <w:t xml:space="preserve">debt for each of the years of the ARP (for periods ending </w:t>
      </w:r>
      <w:r w:rsidR="00A8362B">
        <w:rPr>
          <w:rFonts w:ascii="Verdana" w:hAnsi="Verdana"/>
          <w:sz w:val="20"/>
          <w:szCs w:val="20"/>
        </w:rPr>
        <w:t xml:space="preserve">December 31, 2020; December 31, 2021; and December 31, </w:t>
      </w:r>
      <w:r w:rsidR="00A8362B">
        <w:rPr>
          <w:rFonts w:ascii="Verdana" w:hAnsi="Verdana"/>
          <w:sz w:val="20"/>
          <w:szCs w:val="20"/>
        </w:rPr>
        <w:lastRenderedPageBreak/>
        <w:t>2022</w:t>
      </w:r>
      <w:r w:rsidR="004610F9" w:rsidRPr="00DB5977">
        <w:rPr>
          <w:rFonts w:ascii="Verdana" w:hAnsi="Verdana"/>
          <w:sz w:val="20"/>
          <w:szCs w:val="20"/>
        </w:rPr>
        <w:t xml:space="preserve">). The Company is proposing to use a cost </w:t>
      </w:r>
      <w:r w:rsidR="004610F9" w:rsidRPr="00AD2446">
        <w:rPr>
          <w:rFonts w:ascii="Verdana" w:hAnsi="Verdana"/>
          <w:sz w:val="20"/>
          <w:szCs w:val="20"/>
        </w:rPr>
        <w:t>rate of 4.</w:t>
      </w:r>
      <w:r w:rsidR="00A8362B" w:rsidRPr="00AD2446">
        <w:rPr>
          <w:rFonts w:ascii="Verdana" w:hAnsi="Verdana"/>
          <w:sz w:val="20"/>
          <w:szCs w:val="20"/>
        </w:rPr>
        <w:t>26</w:t>
      </w:r>
      <w:r w:rsidR="004610F9" w:rsidRPr="00AD2446">
        <w:rPr>
          <w:rFonts w:ascii="Verdana" w:hAnsi="Verdana"/>
          <w:sz w:val="20"/>
          <w:szCs w:val="20"/>
        </w:rPr>
        <w:t xml:space="preserve"> </w:t>
      </w:r>
      <w:r w:rsidR="0061784B" w:rsidRPr="00AD2446">
        <w:rPr>
          <w:rFonts w:ascii="Verdana" w:hAnsi="Verdana"/>
          <w:sz w:val="20"/>
          <w:szCs w:val="20"/>
        </w:rPr>
        <w:t>p</w:t>
      </w:r>
      <w:r w:rsidR="004610F9" w:rsidRPr="00AD2446">
        <w:rPr>
          <w:rFonts w:ascii="Verdana" w:hAnsi="Verdana"/>
          <w:sz w:val="20"/>
          <w:szCs w:val="20"/>
        </w:rPr>
        <w:t>ercent</w:t>
      </w:r>
      <w:r w:rsidR="00A8362B" w:rsidRPr="00AD2446">
        <w:rPr>
          <w:rFonts w:ascii="Verdana" w:hAnsi="Verdana"/>
          <w:sz w:val="20"/>
          <w:szCs w:val="20"/>
        </w:rPr>
        <w:t>, 4.47 percent;</w:t>
      </w:r>
      <w:r w:rsidR="00C2755A" w:rsidRPr="00AD2446">
        <w:rPr>
          <w:rFonts w:ascii="Verdana" w:hAnsi="Verdana"/>
          <w:sz w:val="20"/>
          <w:szCs w:val="20"/>
        </w:rPr>
        <w:t xml:space="preserve"> </w:t>
      </w:r>
      <w:r w:rsidR="004610F9" w:rsidRPr="00AD2446">
        <w:rPr>
          <w:rFonts w:ascii="Verdana" w:hAnsi="Verdana"/>
          <w:sz w:val="20"/>
          <w:szCs w:val="20"/>
        </w:rPr>
        <w:t>and 4</w:t>
      </w:r>
      <w:r w:rsidR="00A8362B" w:rsidRPr="00AD2446">
        <w:rPr>
          <w:rFonts w:ascii="Verdana" w:hAnsi="Verdana"/>
          <w:sz w:val="20"/>
          <w:szCs w:val="20"/>
        </w:rPr>
        <w:t>.60</w:t>
      </w:r>
      <w:r w:rsidR="004610F9" w:rsidRPr="00AD2446">
        <w:rPr>
          <w:rFonts w:ascii="Verdana" w:hAnsi="Verdana"/>
          <w:sz w:val="20"/>
          <w:szCs w:val="20"/>
        </w:rPr>
        <w:t xml:space="preserve"> </w:t>
      </w:r>
      <w:r w:rsidR="0061784B" w:rsidRPr="00AD2446">
        <w:rPr>
          <w:rFonts w:ascii="Verdana" w:hAnsi="Verdana"/>
          <w:sz w:val="20"/>
          <w:szCs w:val="20"/>
        </w:rPr>
        <w:t>p</w:t>
      </w:r>
      <w:r w:rsidR="004610F9" w:rsidRPr="00AD2446">
        <w:rPr>
          <w:rFonts w:ascii="Verdana" w:hAnsi="Verdana"/>
          <w:sz w:val="20"/>
          <w:szCs w:val="20"/>
        </w:rPr>
        <w:t>ercent</w:t>
      </w:r>
      <w:r w:rsidR="0061784B" w:rsidRPr="00AD2446">
        <w:rPr>
          <w:rFonts w:ascii="Verdana" w:hAnsi="Verdana"/>
          <w:sz w:val="20"/>
          <w:szCs w:val="20"/>
        </w:rPr>
        <w:t>, respectively,</w:t>
      </w:r>
      <w:r w:rsidR="004610F9" w:rsidRPr="00AD2446">
        <w:rPr>
          <w:rFonts w:ascii="Verdana" w:hAnsi="Verdana"/>
          <w:sz w:val="20"/>
          <w:szCs w:val="20"/>
        </w:rPr>
        <w:t xml:space="preserve"> for the</w:t>
      </w:r>
      <w:r w:rsidR="0061784B" w:rsidRPr="00AD2446">
        <w:rPr>
          <w:rFonts w:ascii="Verdana" w:hAnsi="Verdana"/>
          <w:sz w:val="20"/>
          <w:szCs w:val="20"/>
        </w:rPr>
        <w:t xml:space="preserve">se </w:t>
      </w:r>
      <w:r w:rsidR="004610F9" w:rsidRPr="00AD2446">
        <w:rPr>
          <w:rFonts w:ascii="Verdana" w:hAnsi="Verdana"/>
          <w:sz w:val="20"/>
          <w:szCs w:val="20"/>
        </w:rPr>
        <w:t>periods</w:t>
      </w:r>
      <w:r w:rsidR="004610F9" w:rsidRPr="00DB5977">
        <w:rPr>
          <w:rFonts w:ascii="Verdana" w:hAnsi="Verdana"/>
          <w:sz w:val="20"/>
          <w:szCs w:val="20"/>
        </w:rPr>
        <w:t>.</w:t>
      </w:r>
    </w:p>
    <w:p w14:paraId="6DB47DF3" w14:textId="77777777" w:rsidR="00823379" w:rsidRPr="00DB5977" w:rsidRDefault="00823379" w:rsidP="00486739">
      <w:pPr>
        <w:pStyle w:val="DirectQuestion"/>
      </w:pPr>
      <w:r w:rsidRPr="00DB5977">
        <w:t xml:space="preserve">DO YOU </w:t>
      </w:r>
      <w:r w:rsidR="00947E54" w:rsidRPr="00DB5977">
        <w:t>RECOMMEND THAT THE COMMISSION ACCEPT</w:t>
      </w:r>
      <w:r w:rsidRPr="00DB5977">
        <w:t xml:space="preserve"> THE COMPANY’S REQUESTED </w:t>
      </w:r>
      <w:r w:rsidR="000B732E" w:rsidRPr="00DB5977">
        <w:t xml:space="preserve">Long-term </w:t>
      </w:r>
      <w:r w:rsidRPr="00DB5977">
        <w:t>COST OF DEBT?</w:t>
      </w:r>
    </w:p>
    <w:p w14:paraId="4050C70B" w14:textId="1C243057" w:rsidR="003D5E3B" w:rsidRPr="00DB5977" w:rsidRDefault="00BA2684" w:rsidP="00450A8A">
      <w:pPr>
        <w:pStyle w:val="DirectAnswer"/>
        <w:jc w:val="both"/>
        <w:rPr>
          <w:rFonts w:ascii="Verdana" w:hAnsi="Verdana"/>
          <w:sz w:val="20"/>
          <w:szCs w:val="20"/>
        </w:rPr>
      </w:pPr>
      <w:r>
        <w:rPr>
          <w:rFonts w:ascii="Verdana" w:hAnsi="Verdana" w:cstheme="minorHAnsi"/>
          <w:sz w:val="20"/>
          <w:szCs w:val="20"/>
        </w:rPr>
        <w:t>No</w:t>
      </w:r>
      <w:r w:rsidR="00450A8A">
        <w:rPr>
          <w:rFonts w:ascii="Verdana" w:hAnsi="Verdana" w:cstheme="minorHAnsi"/>
          <w:sz w:val="20"/>
          <w:szCs w:val="20"/>
        </w:rPr>
        <w:t>,</w:t>
      </w:r>
      <w:r w:rsidR="00885456" w:rsidRPr="00DB5977">
        <w:rPr>
          <w:rFonts w:ascii="Verdana" w:hAnsi="Verdana" w:cstheme="minorHAnsi"/>
          <w:sz w:val="20"/>
          <w:szCs w:val="20"/>
        </w:rPr>
        <w:t xml:space="preserve"> </w:t>
      </w:r>
      <w:r>
        <w:rPr>
          <w:rFonts w:ascii="Verdana" w:hAnsi="Verdana" w:cstheme="minorHAnsi"/>
          <w:sz w:val="20"/>
          <w:szCs w:val="20"/>
        </w:rPr>
        <w:t xml:space="preserve">while </w:t>
      </w:r>
      <w:r w:rsidR="00175DE1">
        <w:rPr>
          <w:rFonts w:ascii="Verdana" w:hAnsi="Verdana" w:cstheme="minorHAnsi"/>
          <w:sz w:val="20"/>
          <w:szCs w:val="20"/>
        </w:rPr>
        <w:t>I agree that the Company’s proposed</w:t>
      </w:r>
      <w:r w:rsidR="00885456" w:rsidRPr="00DB5977">
        <w:rPr>
          <w:rFonts w:ascii="Verdana" w:hAnsi="Verdana" w:cstheme="minorHAnsi"/>
          <w:sz w:val="20"/>
          <w:szCs w:val="20"/>
        </w:rPr>
        <w:t xml:space="preserve"> cost of debt</w:t>
      </w:r>
      <w:r w:rsidR="005869E6" w:rsidRPr="00DB5977">
        <w:rPr>
          <w:rFonts w:ascii="Verdana" w:hAnsi="Verdana" w:cstheme="minorHAnsi"/>
          <w:sz w:val="20"/>
          <w:szCs w:val="20"/>
        </w:rPr>
        <w:t xml:space="preserve"> </w:t>
      </w:r>
      <w:r w:rsidR="00885456" w:rsidRPr="00DB5977">
        <w:rPr>
          <w:rFonts w:ascii="Verdana" w:hAnsi="Verdana" w:cstheme="minorHAnsi"/>
          <w:sz w:val="20"/>
          <w:szCs w:val="20"/>
        </w:rPr>
        <w:t>for the test year</w:t>
      </w:r>
      <w:r w:rsidR="00175DE1">
        <w:rPr>
          <w:rFonts w:ascii="Verdana" w:hAnsi="Verdana" w:cstheme="minorHAnsi"/>
          <w:sz w:val="20"/>
          <w:szCs w:val="20"/>
        </w:rPr>
        <w:t xml:space="preserve"> is reasonable</w:t>
      </w:r>
      <w:r>
        <w:rPr>
          <w:rFonts w:ascii="Verdana" w:hAnsi="Verdana" w:cstheme="minorHAnsi"/>
          <w:sz w:val="20"/>
          <w:szCs w:val="20"/>
        </w:rPr>
        <w:t xml:space="preserve">, market and economic indicators do not support </w:t>
      </w:r>
      <w:r w:rsidR="00BD00FE" w:rsidRPr="00DB5977">
        <w:rPr>
          <w:rFonts w:ascii="Verdana" w:hAnsi="Verdana" w:cstheme="minorHAnsi"/>
          <w:sz w:val="20"/>
          <w:szCs w:val="20"/>
        </w:rPr>
        <w:t>the increasing cost of debt proposed in</w:t>
      </w:r>
      <w:r w:rsidR="00EE4D00" w:rsidRPr="00DB5977">
        <w:rPr>
          <w:rFonts w:ascii="Verdana" w:hAnsi="Verdana" w:cstheme="minorHAnsi"/>
          <w:sz w:val="20"/>
          <w:szCs w:val="20"/>
        </w:rPr>
        <w:t xml:space="preserve"> the ARP</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BD00FE" w:rsidRPr="00DB5977">
        <w:rPr>
          <w:rFonts w:ascii="Verdana" w:hAnsi="Verdana"/>
          <w:sz w:val="20"/>
          <w:szCs w:val="20"/>
        </w:rPr>
        <w:t>In its cost of debt for the ARP, t</w:t>
      </w:r>
      <w:r w:rsidR="00753594" w:rsidRPr="00DB5977">
        <w:rPr>
          <w:rFonts w:ascii="Verdana" w:hAnsi="Verdana"/>
          <w:sz w:val="20"/>
          <w:szCs w:val="20"/>
        </w:rPr>
        <w:t xml:space="preserve">he Company is assuming that </w:t>
      </w:r>
      <w:r w:rsidR="00DA22E5" w:rsidRPr="00DB5977">
        <w:rPr>
          <w:rFonts w:ascii="Verdana" w:hAnsi="Verdana"/>
          <w:sz w:val="20"/>
          <w:szCs w:val="20"/>
        </w:rPr>
        <w:t xml:space="preserve">interest rates on </w:t>
      </w:r>
      <w:r w:rsidR="00753594" w:rsidRPr="00DB5977">
        <w:rPr>
          <w:rFonts w:ascii="Verdana" w:hAnsi="Verdana"/>
          <w:sz w:val="20"/>
          <w:szCs w:val="20"/>
        </w:rPr>
        <w:t>long-term debt</w:t>
      </w:r>
      <w:r w:rsidR="00DA22E5" w:rsidRPr="00DB5977">
        <w:rPr>
          <w:rFonts w:ascii="Verdana" w:hAnsi="Verdana"/>
          <w:sz w:val="20"/>
          <w:szCs w:val="20"/>
        </w:rPr>
        <w:t xml:space="preserve"> will increase over the </w:t>
      </w:r>
      <w:r w:rsidR="00802712" w:rsidRPr="00DB5977">
        <w:rPr>
          <w:rFonts w:ascii="Verdana" w:hAnsi="Verdana"/>
          <w:sz w:val="20"/>
          <w:szCs w:val="20"/>
        </w:rPr>
        <w:t>next three years</w:t>
      </w:r>
      <w:r w:rsidR="002B4A2C" w:rsidRPr="00DB5977">
        <w:rPr>
          <w:rFonts w:ascii="Verdana" w:hAnsi="Verdana"/>
          <w:sz w:val="20"/>
          <w:szCs w:val="20"/>
        </w:rPr>
        <w:t xml:space="preserve">. However, </w:t>
      </w:r>
      <w:r w:rsidR="00D51710" w:rsidRPr="00DB5977">
        <w:rPr>
          <w:rFonts w:ascii="Verdana" w:hAnsi="Verdana"/>
          <w:sz w:val="20"/>
          <w:szCs w:val="20"/>
        </w:rPr>
        <w:t>long</w:t>
      </w:r>
      <w:r w:rsidR="00906CF3">
        <w:rPr>
          <w:rFonts w:ascii="Verdana" w:hAnsi="Verdana"/>
          <w:sz w:val="20"/>
          <w:szCs w:val="20"/>
        </w:rPr>
        <w:t>-</w:t>
      </w:r>
      <w:r w:rsidR="00D51710" w:rsidRPr="00DB5977">
        <w:rPr>
          <w:rFonts w:ascii="Verdana" w:hAnsi="Verdana"/>
          <w:sz w:val="20"/>
          <w:szCs w:val="20"/>
        </w:rPr>
        <w:t>term interest rates</w:t>
      </w:r>
      <w:r w:rsidR="00BD00FE" w:rsidRPr="00DB5977">
        <w:rPr>
          <w:rFonts w:ascii="Verdana" w:hAnsi="Verdana"/>
          <w:sz w:val="20"/>
          <w:szCs w:val="20"/>
        </w:rPr>
        <w:t xml:space="preserve"> in general</w:t>
      </w:r>
      <w:r w:rsidR="00D51710" w:rsidRPr="00DB5977">
        <w:rPr>
          <w:rFonts w:ascii="Verdana" w:hAnsi="Verdana"/>
          <w:sz w:val="20"/>
          <w:szCs w:val="20"/>
        </w:rPr>
        <w:t xml:space="preserve"> are experiencing a downward trend</w:t>
      </w:r>
      <w:r w:rsidR="003B59CA" w:rsidRPr="00DB5977">
        <w:rPr>
          <w:rFonts w:ascii="Verdana" w:hAnsi="Verdana"/>
          <w:sz w:val="20"/>
          <w:szCs w:val="20"/>
        </w:rPr>
        <w:t xml:space="preserve">. Therefore, allowing the Company an increase over the next three years </w:t>
      </w:r>
      <w:r w:rsidR="00C46DAA" w:rsidRPr="00DB5977">
        <w:rPr>
          <w:rFonts w:ascii="Verdana" w:hAnsi="Verdana"/>
          <w:sz w:val="20"/>
          <w:szCs w:val="20"/>
        </w:rPr>
        <w:t>will expose ratepayers to increasing costs.</w:t>
      </w:r>
      <w:r w:rsidR="00D41C13" w:rsidRPr="00DB5977">
        <w:rPr>
          <w:rFonts w:ascii="Verdana" w:hAnsi="Verdana"/>
          <w:sz w:val="20"/>
          <w:szCs w:val="20"/>
        </w:rPr>
        <w:t xml:space="preserve"> </w:t>
      </w:r>
      <w:r w:rsidR="004610F9" w:rsidRPr="00DB5977">
        <w:rPr>
          <w:rFonts w:ascii="Verdana" w:hAnsi="Verdana"/>
          <w:sz w:val="20"/>
          <w:szCs w:val="20"/>
        </w:rPr>
        <w:t>During the ARP period (through July 2022)</w:t>
      </w:r>
      <w:r w:rsidR="00C16C0A">
        <w:rPr>
          <w:rFonts w:ascii="Verdana" w:hAnsi="Verdana"/>
          <w:sz w:val="20"/>
          <w:szCs w:val="20"/>
        </w:rPr>
        <w:t>,</w:t>
      </w:r>
      <w:r w:rsidR="004610F9" w:rsidRPr="00DB5977">
        <w:rPr>
          <w:rFonts w:ascii="Verdana" w:hAnsi="Verdana"/>
          <w:sz w:val="20"/>
          <w:szCs w:val="20"/>
        </w:rPr>
        <w:t xml:space="preserve"> the cost of long-term debt for the Company could remain relatively stable, </w:t>
      </w:r>
      <w:r w:rsidR="00C16C0A">
        <w:rPr>
          <w:rFonts w:ascii="Verdana" w:hAnsi="Verdana"/>
          <w:sz w:val="20"/>
          <w:szCs w:val="20"/>
        </w:rPr>
        <w:t xml:space="preserve">could </w:t>
      </w:r>
      <w:r w:rsidR="004610F9" w:rsidRPr="00DB5977">
        <w:rPr>
          <w:rFonts w:ascii="Verdana" w:hAnsi="Verdana"/>
          <w:sz w:val="20"/>
          <w:szCs w:val="20"/>
        </w:rPr>
        <w:t xml:space="preserve">decrease, or </w:t>
      </w:r>
      <w:r w:rsidR="00C16C0A">
        <w:rPr>
          <w:rFonts w:ascii="Verdana" w:hAnsi="Verdana"/>
          <w:sz w:val="20"/>
          <w:szCs w:val="20"/>
        </w:rPr>
        <w:t xml:space="preserve">could </w:t>
      </w:r>
      <w:r w:rsidR="004610F9" w:rsidRPr="00DB5977">
        <w:rPr>
          <w:rFonts w:ascii="Verdana" w:hAnsi="Verdana"/>
          <w:sz w:val="20"/>
          <w:szCs w:val="20"/>
        </w:rPr>
        <w:t>increase. At this time</w:t>
      </w:r>
      <w:r w:rsidR="00C16C0A">
        <w:rPr>
          <w:rFonts w:ascii="Verdana" w:hAnsi="Verdana"/>
          <w:sz w:val="20"/>
          <w:szCs w:val="20"/>
        </w:rPr>
        <w:t>,</w:t>
      </w:r>
      <w:r w:rsidR="004610F9" w:rsidRPr="00DB5977">
        <w:rPr>
          <w:rFonts w:ascii="Verdana" w:hAnsi="Verdana"/>
          <w:sz w:val="20"/>
          <w:szCs w:val="20"/>
        </w:rPr>
        <w:t xml:space="preserve"> these costs are unknown. Therefore, I recommend that</w:t>
      </w:r>
      <w:r w:rsidR="00C16C0A">
        <w:rPr>
          <w:rFonts w:ascii="Verdana" w:hAnsi="Verdana"/>
          <w:sz w:val="20"/>
          <w:szCs w:val="20"/>
        </w:rPr>
        <w:t>,</w:t>
      </w:r>
      <w:r w:rsidR="004610F9" w:rsidRPr="00DB5977">
        <w:rPr>
          <w:rFonts w:ascii="Verdana" w:hAnsi="Verdana"/>
          <w:sz w:val="20"/>
          <w:szCs w:val="20"/>
        </w:rPr>
        <w:t xml:space="preserve"> for purposes of the ARP, the Commission order the Company</w:t>
      </w:r>
      <w:r w:rsidR="00AE6367" w:rsidRPr="00DB5977">
        <w:rPr>
          <w:rFonts w:ascii="Verdana" w:hAnsi="Verdana"/>
          <w:sz w:val="20"/>
          <w:szCs w:val="20"/>
        </w:rPr>
        <w:t xml:space="preserve"> </w:t>
      </w:r>
      <w:r w:rsidR="004610F9" w:rsidRPr="00DB5977">
        <w:rPr>
          <w:rFonts w:ascii="Verdana" w:hAnsi="Verdana"/>
          <w:sz w:val="20"/>
          <w:szCs w:val="20"/>
        </w:rPr>
        <w:t>to use the cost of long-term debt for the test year (i.e., 4.14 percent).</w:t>
      </w:r>
      <w:r w:rsidR="0025065A">
        <w:rPr>
          <w:rFonts w:ascii="Verdana" w:hAnsi="Verdana"/>
          <w:sz w:val="20"/>
          <w:szCs w:val="20"/>
        </w:rPr>
        <w:t xml:space="preserve"> </w:t>
      </w:r>
    </w:p>
    <w:p w14:paraId="75F0BCE5" w14:textId="77777777" w:rsidR="00FD47F5" w:rsidRPr="00DB5977" w:rsidRDefault="00FD47F5" w:rsidP="00FD47F5">
      <w:pPr>
        <w:pStyle w:val="DirectNext"/>
        <w:rPr>
          <w:rFonts w:ascii="Verdana" w:hAnsi="Verdana"/>
          <w:sz w:val="20"/>
          <w:szCs w:val="20"/>
          <w:highlight w:val="yellow"/>
        </w:rPr>
      </w:pPr>
    </w:p>
    <w:p w14:paraId="2F8B9D78" w14:textId="78368527" w:rsidR="0025065A" w:rsidRPr="00ED1819" w:rsidRDefault="0025065A" w:rsidP="0025065A">
      <w:pPr>
        <w:pStyle w:val="Heading1"/>
        <w:numPr>
          <w:ilvl w:val="0"/>
          <w:numId w:val="0"/>
        </w:numPr>
        <w:rPr>
          <w:rFonts w:ascii="Verdana" w:hAnsi="Verdana" w:cstheme="minorHAnsi"/>
          <w:sz w:val="20"/>
          <w:szCs w:val="20"/>
        </w:rPr>
      </w:pPr>
      <w:bookmarkStart w:id="17" w:name="_Toc21521236"/>
      <w:bookmarkStart w:id="18" w:name="_Toc21555887"/>
      <w:bookmarkStart w:id="19" w:name="_Toc21873138"/>
      <w:bookmarkStart w:id="20" w:name="_Toc415003972"/>
      <w:r>
        <w:rPr>
          <w:rFonts w:ascii="Verdana" w:hAnsi="Verdana" w:cstheme="minorHAnsi"/>
          <w:sz w:val="20"/>
          <w:szCs w:val="20"/>
          <w:u w:val="none"/>
        </w:rPr>
        <w:t xml:space="preserve">V. </w:t>
      </w:r>
      <w:r w:rsidRPr="00ED1819">
        <w:rPr>
          <w:rFonts w:ascii="Verdana" w:hAnsi="Verdana" w:cstheme="minorHAnsi"/>
          <w:sz w:val="20"/>
          <w:szCs w:val="20"/>
        </w:rPr>
        <w:t>COST OF COMMON EQUITY CAPITAL (ROE)</w:t>
      </w:r>
      <w:bookmarkEnd w:id="17"/>
      <w:bookmarkEnd w:id="18"/>
      <w:bookmarkEnd w:id="19"/>
    </w:p>
    <w:bookmarkEnd w:id="20"/>
    <w:p w14:paraId="1A24DD3D" w14:textId="77777777" w:rsidR="00823379" w:rsidRPr="00DB5977" w:rsidRDefault="00823379" w:rsidP="00486739">
      <w:pPr>
        <w:pStyle w:val="DirectQuestion"/>
      </w:pPr>
      <w:r w:rsidRPr="00DB5977">
        <w:t>What is the basis for your recommended ROE?</w:t>
      </w:r>
    </w:p>
    <w:p w14:paraId="13481C11"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lastRenderedPageBreak/>
        <w:t>For ratemaking purposes, the cost of equity must be estimated because it cannot be directly observed</w:t>
      </w:r>
      <w:r w:rsidR="004318AB" w:rsidRPr="00DB5977">
        <w:rPr>
          <w:rFonts w:ascii="Verdana" w:hAnsi="Verdana" w:cstheme="minorHAnsi"/>
          <w:sz w:val="20"/>
          <w:szCs w:val="20"/>
        </w:rPr>
        <w:t>,</w:t>
      </w:r>
      <w:r w:rsidRPr="00DB5977">
        <w:rPr>
          <w:rFonts w:ascii="Verdana" w:hAnsi="Verdana" w:cstheme="minorHAnsi"/>
          <w:sz w:val="20"/>
          <w:szCs w:val="20"/>
        </w:rPr>
        <w:t xml:space="preserve"> and it varies with changing financial market conditions.</w:t>
      </w:r>
      <w:r w:rsidR="0025065A">
        <w:rPr>
          <w:rFonts w:ascii="Verdana" w:hAnsi="Verdana" w:cstheme="minorHAnsi"/>
          <w:sz w:val="20"/>
          <w:szCs w:val="20"/>
        </w:rPr>
        <w:t xml:space="preserve"> </w:t>
      </w:r>
      <w:r w:rsidR="00623E84" w:rsidRPr="00DB5977">
        <w:rPr>
          <w:rFonts w:ascii="Verdana" w:hAnsi="Verdana" w:cstheme="minorHAnsi"/>
          <w:sz w:val="20"/>
          <w:szCs w:val="20"/>
        </w:rPr>
        <w:t>T</w:t>
      </w:r>
      <w:r w:rsidRPr="00DB5977">
        <w:rPr>
          <w:rFonts w:ascii="Verdana" w:hAnsi="Verdana" w:cstheme="minorHAnsi"/>
          <w:sz w:val="20"/>
          <w:szCs w:val="20"/>
        </w:rPr>
        <w:t xml:space="preserve">he cost of equity is the </w:t>
      </w:r>
      <w:r w:rsidR="00023BD4" w:rsidRPr="00DB5977">
        <w:rPr>
          <w:rFonts w:ascii="Verdana" w:hAnsi="Verdana" w:cstheme="minorHAnsi"/>
          <w:sz w:val="20"/>
          <w:szCs w:val="20"/>
        </w:rPr>
        <w:t xml:space="preserve">long-term annualized </w:t>
      </w:r>
      <w:r w:rsidRPr="00DB5977">
        <w:rPr>
          <w:rFonts w:ascii="Verdana" w:hAnsi="Verdana" w:cstheme="minorHAnsi"/>
          <w:sz w:val="20"/>
          <w:szCs w:val="20"/>
        </w:rPr>
        <w:t>market return investors (in general) expect when they purchase equity shares of a particular company.</w:t>
      </w:r>
      <w:r w:rsidR="0025065A">
        <w:rPr>
          <w:rFonts w:ascii="Verdana" w:hAnsi="Verdana" w:cstheme="minorHAnsi"/>
          <w:sz w:val="20"/>
          <w:szCs w:val="20"/>
        </w:rPr>
        <w:t xml:space="preserve"> </w:t>
      </w:r>
      <w:r w:rsidRPr="00DB5977">
        <w:rPr>
          <w:rFonts w:ascii="Verdana" w:hAnsi="Verdana" w:cstheme="minorHAnsi"/>
          <w:sz w:val="20"/>
          <w:szCs w:val="20"/>
        </w:rPr>
        <w:t xml:space="preserve">It reflects the risk factors of that investment </w:t>
      </w:r>
      <w:r w:rsidR="00023BD4" w:rsidRPr="00DB5977">
        <w:rPr>
          <w:rFonts w:ascii="Verdana" w:hAnsi="Verdana" w:cstheme="minorHAnsi"/>
          <w:sz w:val="20"/>
          <w:szCs w:val="20"/>
        </w:rPr>
        <w:t xml:space="preserve">as </w:t>
      </w:r>
      <w:r w:rsidRPr="00DB5977">
        <w:rPr>
          <w:rFonts w:ascii="Verdana" w:hAnsi="Verdana" w:cstheme="minorHAnsi"/>
          <w:sz w:val="20"/>
          <w:szCs w:val="20"/>
        </w:rPr>
        <w:t>compared to alternative investment opportunities and to investors’ current opportunity cost of investing in the securities of that company; i.e., the investors’ risk-adjusted alternatives.</w:t>
      </w:r>
      <w:r w:rsidR="0025065A">
        <w:rPr>
          <w:rFonts w:ascii="Verdana" w:hAnsi="Verdana" w:cstheme="minorHAnsi"/>
          <w:sz w:val="20"/>
          <w:szCs w:val="20"/>
        </w:rPr>
        <w:t xml:space="preserve"> </w:t>
      </w:r>
    </w:p>
    <w:p w14:paraId="506986C6" w14:textId="77777777" w:rsidR="00823379" w:rsidRPr="00DB5977" w:rsidRDefault="00823379" w:rsidP="00486739">
      <w:pPr>
        <w:pStyle w:val="DirectQuestion"/>
      </w:pPr>
      <w:r w:rsidRPr="00DB5977">
        <w:t>Are you able to directly observe the Company’s cost of equity?</w:t>
      </w:r>
    </w:p>
    <w:p w14:paraId="7B644885" w14:textId="6CC0BB18"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No.</w:t>
      </w:r>
      <w:r w:rsidR="0025065A">
        <w:rPr>
          <w:rFonts w:ascii="Verdana" w:hAnsi="Verdana" w:cstheme="minorHAnsi"/>
          <w:sz w:val="20"/>
          <w:szCs w:val="20"/>
        </w:rPr>
        <w:t xml:space="preserve"> </w:t>
      </w:r>
      <w:r w:rsidRPr="00DB5977">
        <w:rPr>
          <w:rFonts w:ascii="Verdana" w:hAnsi="Verdana" w:cstheme="minorHAnsi"/>
          <w:sz w:val="20"/>
          <w:szCs w:val="20"/>
        </w:rPr>
        <w:t xml:space="preserve">Since </w:t>
      </w:r>
      <w:r w:rsidR="008E6CE8" w:rsidRPr="00DB5977">
        <w:rPr>
          <w:rFonts w:ascii="Verdana" w:hAnsi="Verdana" w:cstheme="minorHAnsi"/>
          <w:sz w:val="20"/>
          <w:szCs w:val="20"/>
        </w:rPr>
        <w:t>Georgi</w:t>
      </w:r>
      <w:r w:rsidR="00FC30DA">
        <w:rPr>
          <w:rFonts w:ascii="Verdana" w:hAnsi="Verdana" w:cstheme="minorHAnsi"/>
          <w:sz w:val="20"/>
          <w:szCs w:val="20"/>
        </w:rPr>
        <w:t>a</w:t>
      </w:r>
      <w:r w:rsidR="008E6CE8" w:rsidRPr="00DB5977">
        <w:rPr>
          <w:rFonts w:ascii="Verdana" w:hAnsi="Verdana" w:cstheme="minorHAnsi"/>
          <w:sz w:val="20"/>
          <w:szCs w:val="20"/>
        </w:rPr>
        <w:t xml:space="preserve"> Power</w:t>
      </w:r>
      <w:r w:rsidRPr="00DB5977">
        <w:rPr>
          <w:rFonts w:ascii="Verdana" w:hAnsi="Verdana" w:cstheme="minorHAnsi"/>
          <w:sz w:val="20"/>
          <w:szCs w:val="20"/>
        </w:rPr>
        <w:t xml:space="preserve"> is a </w:t>
      </w:r>
      <w:r w:rsidR="00D41003" w:rsidRPr="00DB5977">
        <w:rPr>
          <w:rFonts w:ascii="Verdana" w:hAnsi="Verdana" w:cstheme="minorHAnsi"/>
          <w:sz w:val="20"/>
          <w:szCs w:val="20"/>
        </w:rPr>
        <w:t>wholly owned</w:t>
      </w:r>
      <w:r w:rsidRPr="00DB5977">
        <w:rPr>
          <w:rFonts w:ascii="Verdana" w:hAnsi="Verdana" w:cstheme="minorHAnsi"/>
          <w:sz w:val="20"/>
          <w:szCs w:val="20"/>
        </w:rPr>
        <w:t xml:space="preserve"> subsidiary of </w:t>
      </w:r>
      <w:r w:rsidR="008E6CE8" w:rsidRPr="00DB5977">
        <w:rPr>
          <w:rFonts w:ascii="Verdana" w:hAnsi="Verdana" w:cstheme="minorHAnsi"/>
          <w:sz w:val="20"/>
          <w:szCs w:val="20"/>
        </w:rPr>
        <w:t xml:space="preserve">Southern </w:t>
      </w:r>
      <w:r w:rsidR="003E3480" w:rsidRPr="00DB5977">
        <w:rPr>
          <w:rFonts w:ascii="Verdana" w:hAnsi="Verdana" w:cstheme="minorHAnsi"/>
          <w:sz w:val="20"/>
          <w:szCs w:val="20"/>
        </w:rPr>
        <w:t>Company</w:t>
      </w:r>
      <w:r w:rsidR="005B51FC" w:rsidRPr="00DB5977">
        <w:rPr>
          <w:rFonts w:ascii="Verdana" w:hAnsi="Verdana" w:cstheme="minorHAnsi"/>
          <w:sz w:val="20"/>
          <w:szCs w:val="20"/>
        </w:rPr>
        <w:t xml:space="preserve"> </w:t>
      </w:r>
      <w:r w:rsidRPr="00DB5977">
        <w:rPr>
          <w:rFonts w:ascii="Verdana" w:hAnsi="Verdana" w:cstheme="minorHAnsi"/>
          <w:sz w:val="20"/>
          <w:szCs w:val="20"/>
        </w:rPr>
        <w:t>and is not a publicly traded company, it is not possible to directly apply cost of equity models to th</w:t>
      </w:r>
      <w:r w:rsidR="00947E54" w:rsidRPr="00DB5977">
        <w:rPr>
          <w:rFonts w:ascii="Verdana" w:hAnsi="Verdana" w:cstheme="minorHAnsi"/>
          <w:sz w:val="20"/>
          <w:szCs w:val="20"/>
        </w:rPr>
        <w:t>e Company</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As an alternative, I calculate an estimate of </w:t>
      </w:r>
      <w:r w:rsidR="000E7485" w:rsidRPr="00DB5977">
        <w:rPr>
          <w:rFonts w:ascii="Verdana" w:hAnsi="Verdana" w:cstheme="minorHAnsi"/>
          <w:sz w:val="20"/>
          <w:szCs w:val="20"/>
        </w:rPr>
        <w:t>the Company</w:t>
      </w:r>
      <w:r w:rsidR="00947E54" w:rsidRPr="00DB5977">
        <w:rPr>
          <w:rFonts w:ascii="Verdana" w:hAnsi="Verdana" w:cstheme="minorHAnsi"/>
          <w:sz w:val="20"/>
          <w:szCs w:val="20"/>
        </w:rPr>
        <w:t>’s</w:t>
      </w:r>
      <w:r w:rsidRPr="00DB5977">
        <w:rPr>
          <w:rFonts w:ascii="Verdana" w:hAnsi="Verdana" w:cstheme="minorHAnsi"/>
          <w:sz w:val="20"/>
          <w:szCs w:val="20"/>
        </w:rPr>
        <w:t xml:space="preserve"> cost of equity by deriving average expected market returns for a proxy group of regulated </w:t>
      </w:r>
      <w:r w:rsidR="003010D7" w:rsidRPr="00DB5977">
        <w:rPr>
          <w:rFonts w:ascii="Verdana" w:hAnsi="Verdana" w:cstheme="minorHAnsi"/>
          <w:sz w:val="20"/>
          <w:szCs w:val="20"/>
        </w:rPr>
        <w:t>electric</w:t>
      </w:r>
      <w:r w:rsidR="00464EBA" w:rsidRPr="00DB5977">
        <w:rPr>
          <w:rFonts w:ascii="Verdana" w:hAnsi="Verdana" w:cstheme="minorHAnsi"/>
          <w:sz w:val="20"/>
          <w:szCs w:val="20"/>
        </w:rPr>
        <w:t xml:space="preserve"> </w:t>
      </w:r>
      <w:r w:rsidRPr="00DB5977">
        <w:rPr>
          <w:rFonts w:ascii="Verdana" w:hAnsi="Verdana" w:cstheme="minorHAnsi"/>
          <w:sz w:val="20"/>
          <w:szCs w:val="20"/>
        </w:rPr>
        <w:t>companies with comparable risk.</w:t>
      </w:r>
    </w:p>
    <w:p w14:paraId="513F1A6A" w14:textId="77777777" w:rsidR="00823379" w:rsidRPr="00DB5977" w:rsidRDefault="00823379" w:rsidP="00486739">
      <w:pPr>
        <w:pStyle w:val="DirectQuestion"/>
      </w:pPr>
      <w:r w:rsidRPr="00DB5977">
        <w:t>Please discuss the different types of risk that a regulated monopoly, such as a</w:t>
      </w:r>
      <w:r w:rsidR="00604F88" w:rsidRPr="00DB5977">
        <w:t>n electric</w:t>
      </w:r>
      <w:r w:rsidRPr="00DB5977">
        <w:t xml:space="preserve"> utility, may face.</w:t>
      </w:r>
    </w:p>
    <w:p w14:paraId="7CE53756" w14:textId="265B7D36" w:rsidR="00947E54" w:rsidRPr="00DB5977" w:rsidRDefault="00823379" w:rsidP="00297EE8">
      <w:pPr>
        <w:pStyle w:val="DirectAnswer"/>
        <w:keepNext/>
        <w:jc w:val="both"/>
        <w:rPr>
          <w:rFonts w:ascii="Verdana" w:hAnsi="Verdana" w:cstheme="minorHAnsi"/>
          <w:sz w:val="20"/>
          <w:szCs w:val="20"/>
        </w:rPr>
      </w:pPr>
      <w:r w:rsidRPr="00DB5977">
        <w:rPr>
          <w:rFonts w:ascii="Verdana" w:hAnsi="Verdana" w:cstheme="minorHAnsi"/>
          <w:sz w:val="20"/>
          <w:szCs w:val="20"/>
        </w:rPr>
        <w:lastRenderedPageBreak/>
        <w:t xml:space="preserve">An investor’s expected return on an investment is the sum of the real risk-free rate, inflation, business risk, </w:t>
      </w:r>
      <w:r w:rsidR="00947E54" w:rsidRPr="00DB5977">
        <w:rPr>
          <w:rFonts w:ascii="Verdana" w:hAnsi="Verdana" w:cstheme="minorHAnsi"/>
          <w:sz w:val="20"/>
          <w:szCs w:val="20"/>
        </w:rPr>
        <w:t xml:space="preserve">financial risk, interest rate risk, and </w:t>
      </w:r>
      <w:r w:rsidRPr="00DB5977">
        <w:rPr>
          <w:rFonts w:ascii="Verdana" w:hAnsi="Verdana" w:cstheme="minorHAnsi"/>
          <w:sz w:val="20"/>
          <w:szCs w:val="20"/>
        </w:rPr>
        <w:t>regulatory risk.</w:t>
      </w:r>
    </w:p>
    <w:p w14:paraId="0088CE7D" w14:textId="77777777" w:rsidR="00464EBA" w:rsidRPr="00DB5977" w:rsidRDefault="00823379" w:rsidP="00297EE8">
      <w:pPr>
        <w:pStyle w:val="DirectNext"/>
        <w:rPr>
          <w:rFonts w:ascii="Verdana" w:hAnsi="Verdana"/>
          <w:sz w:val="20"/>
          <w:szCs w:val="20"/>
        </w:rPr>
      </w:pPr>
      <w:r w:rsidRPr="00DB5977">
        <w:rPr>
          <w:rFonts w:ascii="Verdana" w:hAnsi="Verdana"/>
          <w:sz w:val="20"/>
          <w:szCs w:val="20"/>
        </w:rPr>
        <w:t>Business risk, as perceived by investors, includes all the operating factors that increase the probability that expected future cash flows accruing to investors may not be realized.</w:t>
      </w:r>
      <w:r w:rsidR="0025065A">
        <w:rPr>
          <w:rFonts w:ascii="Verdana" w:hAnsi="Verdana"/>
          <w:sz w:val="20"/>
          <w:szCs w:val="20"/>
        </w:rPr>
        <w:t xml:space="preserve"> </w:t>
      </w:r>
      <w:r w:rsidRPr="00DB5977">
        <w:rPr>
          <w:rFonts w:ascii="Verdana" w:hAnsi="Verdana"/>
          <w:sz w:val="20"/>
          <w:szCs w:val="20"/>
        </w:rPr>
        <w:t xml:space="preserve">Business risk </w:t>
      </w:r>
      <w:r w:rsidR="00023BD4" w:rsidRPr="00DB5977">
        <w:rPr>
          <w:rFonts w:ascii="Verdana" w:hAnsi="Verdana"/>
          <w:sz w:val="20"/>
          <w:szCs w:val="20"/>
        </w:rPr>
        <w:t>would include such factors as</w:t>
      </w:r>
      <w:r w:rsidRPr="00DB5977">
        <w:rPr>
          <w:rFonts w:ascii="Verdana" w:hAnsi="Verdana"/>
          <w:sz w:val="20"/>
          <w:szCs w:val="20"/>
        </w:rPr>
        <w:t xml:space="preserve"> sales volatility and operating leverage.</w:t>
      </w:r>
      <w:r w:rsidR="0025065A">
        <w:rPr>
          <w:rFonts w:ascii="Verdana" w:hAnsi="Verdana"/>
          <w:sz w:val="20"/>
          <w:szCs w:val="20"/>
        </w:rPr>
        <w:t xml:space="preserve"> </w:t>
      </w:r>
      <w:r w:rsidRPr="00DB5977">
        <w:rPr>
          <w:rFonts w:ascii="Verdana" w:hAnsi="Verdana"/>
          <w:sz w:val="20"/>
          <w:szCs w:val="20"/>
        </w:rPr>
        <w:t xml:space="preserve">A utility’s business risk is a function of such factors as customer base diversity, necessary capital expenditures, the regional and national economy, </w:t>
      </w:r>
      <w:r w:rsidR="00023BD4" w:rsidRPr="00DB5977">
        <w:rPr>
          <w:rFonts w:ascii="Verdana" w:hAnsi="Verdana"/>
          <w:sz w:val="20"/>
          <w:szCs w:val="20"/>
        </w:rPr>
        <w:t xml:space="preserve">the regulatory environment in which it operates, </w:t>
      </w:r>
      <w:r w:rsidRPr="00DB5977">
        <w:rPr>
          <w:rFonts w:ascii="Verdana" w:hAnsi="Verdana"/>
          <w:sz w:val="20"/>
          <w:szCs w:val="20"/>
        </w:rPr>
        <w:t>and inflation.</w:t>
      </w:r>
      <w:r w:rsidR="0025065A">
        <w:rPr>
          <w:rFonts w:ascii="Verdana" w:hAnsi="Verdana"/>
          <w:sz w:val="20"/>
          <w:szCs w:val="20"/>
        </w:rPr>
        <w:t xml:space="preserve"> </w:t>
      </w:r>
      <w:r w:rsidRPr="00DB5977">
        <w:rPr>
          <w:rFonts w:ascii="Verdana" w:hAnsi="Verdana"/>
          <w:sz w:val="20"/>
          <w:szCs w:val="20"/>
        </w:rPr>
        <w:t>As mentioned previously, the risks associated with mixed economic signals, political uncertainty, and contentious international relations are shared by all businesses and, as a result, are reflected in my proxy group’s calculated costs of equity.</w:t>
      </w:r>
      <w:r w:rsidR="0025065A">
        <w:rPr>
          <w:rFonts w:ascii="Verdana" w:hAnsi="Verdana"/>
          <w:sz w:val="20"/>
          <w:szCs w:val="20"/>
        </w:rPr>
        <w:t xml:space="preserve"> </w:t>
      </w:r>
    </w:p>
    <w:p w14:paraId="1B6648C9" w14:textId="28ADAE57" w:rsidR="00A108FB" w:rsidRPr="00DB5977" w:rsidRDefault="00823379" w:rsidP="00297EE8">
      <w:pPr>
        <w:pStyle w:val="DirectNext"/>
        <w:rPr>
          <w:rFonts w:ascii="Verdana" w:hAnsi="Verdana"/>
          <w:sz w:val="20"/>
          <w:szCs w:val="20"/>
        </w:rPr>
      </w:pPr>
      <w:r w:rsidRPr="00DB5977">
        <w:rPr>
          <w:rFonts w:ascii="Verdana" w:hAnsi="Verdana"/>
          <w:sz w:val="20"/>
          <w:szCs w:val="20"/>
        </w:rPr>
        <w:t>Financial risk relates to the capital structure of a company, including its fixed contractual obligations and ability to pay interest on its debt</w:t>
      </w:r>
      <w:r w:rsidR="00023BD4" w:rsidRPr="00DB5977">
        <w:rPr>
          <w:rFonts w:ascii="Verdana" w:hAnsi="Verdana"/>
          <w:sz w:val="20"/>
          <w:szCs w:val="20"/>
        </w:rPr>
        <w:t xml:space="preserve"> and refinance that debt when </w:t>
      </w:r>
      <w:r w:rsidR="00FC30DA">
        <w:rPr>
          <w:rFonts w:ascii="Verdana" w:hAnsi="Verdana"/>
          <w:sz w:val="20"/>
          <w:szCs w:val="20"/>
        </w:rPr>
        <w:t xml:space="preserve">it is </w:t>
      </w:r>
      <w:r w:rsidR="00023BD4" w:rsidRPr="00DB5977">
        <w:rPr>
          <w:rFonts w:ascii="Verdana" w:hAnsi="Verdana"/>
          <w:sz w:val="20"/>
          <w:szCs w:val="20"/>
        </w:rPr>
        <w:t>due</w:t>
      </w:r>
      <w:r w:rsidRPr="00DB5977">
        <w:rPr>
          <w:rFonts w:ascii="Verdana" w:hAnsi="Verdana"/>
          <w:sz w:val="20"/>
          <w:szCs w:val="20"/>
        </w:rPr>
        <w:t>.</w:t>
      </w:r>
      <w:r w:rsidR="0025065A">
        <w:rPr>
          <w:rFonts w:ascii="Verdana" w:hAnsi="Verdana"/>
          <w:sz w:val="20"/>
          <w:szCs w:val="20"/>
        </w:rPr>
        <w:t xml:space="preserve"> </w:t>
      </w:r>
      <w:r w:rsidRPr="00DB5977">
        <w:rPr>
          <w:rFonts w:ascii="Verdana" w:hAnsi="Verdana"/>
          <w:sz w:val="20"/>
          <w:szCs w:val="20"/>
        </w:rPr>
        <w:t xml:space="preserve">I control for financial risk by choosing representative </w:t>
      </w:r>
      <w:r w:rsidR="00102652" w:rsidRPr="00DB5977">
        <w:rPr>
          <w:rFonts w:ascii="Verdana" w:hAnsi="Verdana"/>
          <w:sz w:val="20"/>
          <w:szCs w:val="20"/>
        </w:rPr>
        <w:t>electric</w:t>
      </w:r>
      <w:r w:rsidRPr="00DB5977">
        <w:rPr>
          <w:rFonts w:ascii="Verdana" w:hAnsi="Verdana"/>
          <w:sz w:val="20"/>
          <w:szCs w:val="20"/>
        </w:rPr>
        <w:t xml:space="preserve"> utilities with credit ratings similar to th</w:t>
      </w:r>
      <w:r w:rsidR="00023BD4" w:rsidRPr="00DB5977">
        <w:rPr>
          <w:rFonts w:ascii="Verdana" w:hAnsi="Verdana"/>
          <w:sz w:val="20"/>
          <w:szCs w:val="20"/>
        </w:rPr>
        <w:t>ose</w:t>
      </w:r>
      <w:r w:rsidRPr="00DB5977">
        <w:rPr>
          <w:rFonts w:ascii="Verdana" w:hAnsi="Verdana"/>
          <w:sz w:val="20"/>
          <w:szCs w:val="20"/>
        </w:rPr>
        <w:t xml:space="preserve"> of </w:t>
      </w:r>
      <w:r w:rsidR="00831B2E" w:rsidRPr="00DB5977">
        <w:rPr>
          <w:rFonts w:ascii="Verdana" w:hAnsi="Verdana"/>
          <w:sz w:val="20"/>
          <w:szCs w:val="20"/>
        </w:rPr>
        <w:t>Georgia Power</w:t>
      </w:r>
      <w:r w:rsidRPr="00DB5977">
        <w:rPr>
          <w:rFonts w:ascii="Verdana" w:hAnsi="Verdana"/>
          <w:sz w:val="20"/>
          <w:szCs w:val="20"/>
        </w:rPr>
        <w:t>.</w:t>
      </w:r>
      <w:r w:rsidR="0025065A">
        <w:rPr>
          <w:rFonts w:ascii="Verdana" w:hAnsi="Verdana"/>
          <w:sz w:val="20"/>
          <w:szCs w:val="20"/>
        </w:rPr>
        <w:t xml:space="preserve"> </w:t>
      </w:r>
      <w:r w:rsidRPr="00DB5977">
        <w:rPr>
          <w:rFonts w:ascii="Verdana" w:hAnsi="Verdana"/>
          <w:sz w:val="20"/>
          <w:szCs w:val="20"/>
        </w:rPr>
        <w:t>Credit-rating agencies assess the financial health of a company through the use of key financial ratios that measure the extent to which a company can pay its debt</w:t>
      </w:r>
      <w:r w:rsidR="005E1BD6" w:rsidRPr="00DB5977">
        <w:rPr>
          <w:rFonts w:ascii="Verdana" w:hAnsi="Verdana"/>
          <w:sz w:val="20"/>
          <w:szCs w:val="20"/>
        </w:rPr>
        <w:t>, including principal and interest</w:t>
      </w:r>
      <w:r w:rsidRPr="00DB5977">
        <w:rPr>
          <w:rFonts w:ascii="Verdana" w:hAnsi="Verdana"/>
          <w:sz w:val="20"/>
          <w:szCs w:val="20"/>
        </w:rPr>
        <w:t>.</w:t>
      </w:r>
      <w:r w:rsidR="0025065A">
        <w:rPr>
          <w:rFonts w:ascii="Verdana" w:hAnsi="Verdana"/>
          <w:sz w:val="20"/>
          <w:szCs w:val="20"/>
        </w:rPr>
        <w:t xml:space="preserve"> </w:t>
      </w:r>
      <w:r w:rsidR="005E1BD6" w:rsidRPr="00DB5977">
        <w:rPr>
          <w:rFonts w:ascii="Verdana" w:hAnsi="Verdana"/>
          <w:sz w:val="20"/>
          <w:szCs w:val="20"/>
        </w:rPr>
        <w:t xml:space="preserve">Corporate rating designations that are commonly used </w:t>
      </w:r>
      <w:r w:rsidR="00695856" w:rsidRPr="00DB5977">
        <w:rPr>
          <w:rFonts w:ascii="Verdana" w:hAnsi="Verdana"/>
          <w:sz w:val="20"/>
          <w:szCs w:val="20"/>
        </w:rPr>
        <w:t xml:space="preserve">are shown in </w:t>
      </w:r>
      <w:r w:rsidR="00616B88" w:rsidRPr="00DB5977">
        <w:rPr>
          <w:rFonts w:ascii="Verdana" w:hAnsi="Verdana"/>
          <w:sz w:val="20"/>
          <w:szCs w:val="20"/>
        </w:rPr>
        <w:t xml:space="preserve">Table </w:t>
      </w:r>
      <w:r w:rsidR="0046519F">
        <w:rPr>
          <w:rFonts w:ascii="Verdana" w:hAnsi="Verdana"/>
          <w:sz w:val="20"/>
          <w:szCs w:val="20"/>
        </w:rPr>
        <w:lastRenderedPageBreak/>
        <w:t>3</w:t>
      </w:r>
      <w:r w:rsidR="00616B88" w:rsidRPr="00DB5977">
        <w:rPr>
          <w:rFonts w:ascii="Verdana" w:hAnsi="Verdana"/>
          <w:sz w:val="20"/>
          <w:szCs w:val="20"/>
        </w:rPr>
        <w:t>,</w:t>
      </w:r>
      <w:r w:rsidR="00695856" w:rsidRPr="00DB5977">
        <w:rPr>
          <w:rFonts w:ascii="Verdana" w:hAnsi="Verdana"/>
          <w:sz w:val="20"/>
          <w:szCs w:val="20"/>
        </w:rPr>
        <w:t xml:space="preserve"> which identifies</w:t>
      </w:r>
      <w:r w:rsidR="005E1BD6" w:rsidRPr="00DB5977">
        <w:rPr>
          <w:rFonts w:ascii="Verdana" w:hAnsi="Verdana"/>
          <w:sz w:val="20"/>
          <w:szCs w:val="20"/>
        </w:rPr>
        <w:t xml:space="preserve"> rating categories used by </w:t>
      </w:r>
      <w:r w:rsidR="00695856" w:rsidRPr="00DB5977">
        <w:rPr>
          <w:rFonts w:ascii="Verdana" w:hAnsi="Verdana"/>
          <w:sz w:val="20"/>
          <w:szCs w:val="20"/>
        </w:rPr>
        <w:t>Standard &amp; Poor’s (</w:t>
      </w:r>
      <w:r w:rsidR="00616B88" w:rsidRPr="00DB5977">
        <w:rPr>
          <w:rFonts w:ascii="Verdana" w:hAnsi="Verdana"/>
          <w:sz w:val="20"/>
          <w:szCs w:val="20"/>
        </w:rPr>
        <w:t>“S&amp;P”</w:t>
      </w:r>
      <w:r w:rsidR="00695856" w:rsidRPr="00DB5977">
        <w:rPr>
          <w:rFonts w:ascii="Verdana" w:hAnsi="Verdana"/>
          <w:sz w:val="20"/>
          <w:szCs w:val="20"/>
        </w:rPr>
        <w:t>)</w:t>
      </w:r>
      <w:r w:rsidR="005E1BD6" w:rsidRPr="00DB5977">
        <w:rPr>
          <w:rFonts w:ascii="Verdana" w:hAnsi="Verdana"/>
          <w:sz w:val="20"/>
          <w:szCs w:val="20"/>
        </w:rPr>
        <w:t>, Fitch</w:t>
      </w:r>
      <w:r w:rsidR="00FB44C4" w:rsidRPr="00DB5977">
        <w:rPr>
          <w:rFonts w:ascii="Verdana" w:hAnsi="Verdana"/>
          <w:sz w:val="20"/>
          <w:szCs w:val="20"/>
        </w:rPr>
        <w:t xml:space="preserve"> Ratings, Inc. (“Fitch”)</w:t>
      </w:r>
      <w:r w:rsidR="00695856" w:rsidRPr="00DB5977">
        <w:rPr>
          <w:rFonts w:ascii="Verdana" w:hAnsi="Verdana"/>
          <w:sz w:val="20"/>
          <w:szCs w:val="20"/>
        </w:rPr>
        <w:t>,</w:t>
      </w:r>
      <w:r w:rsidR="005E1BD6" w:rsidRPr="00DB5977">
        <w:rPr>
          <w:rFonts w:ascii="Verdana" w:hAnsi="Verdana"/>
          <w:sz w:val="20"/>
          <w:szCs w:val="20"/>
        </w:rPr>
        <w:t xml:space="preserve"> </w:t>
      </w:r>
      <w:r w:rsidR="008019D2" w:rsidRPr="00DB5977">
        <w:rPr>
          <w:rFonts w:ascii="Verdana" w:hAnsi="Verdana"/>
          <w:sz w:val="20"/>
          <w:szCs w:val="20"/>
        </w:rPr>
        <w:t xml:space="preserve">and </w:t>
      </w:r>
      <w:r w:rsidR="005E1BD6" w:rsidRPr="00DB5977">
        <w:rPr>
          <w:rFonts w:ascii="Verdana" w:hAnsi="Verdana"/>
          <w:sz w:val="20"/>
          <w:szCs w:val="20"/>
        </w:rPr>
        <w:t xml:space="preserve">Moody’s </w:t>
      </w:r>
      <w:bookmarkStart w:id="21" w:name="_Hlk534141124"/>
      <w:r w:rsidR="00FB44C4" w:rsidRPr="00DB5977">
        <w:rPr>
          <w:rFonts w:ascii="Verdana" w:hAnsi="Verdana"/>
          <w:sz w:val="20"/>
          <w:szCs w:val="20"/>
        </w:rPr>
        <w:t>Investors Service (“Moody’s”)</w:t>
      </w:r>
      <w:bookmarkEnd w:id="21"/>
      <w:r w:rsidR="008019D2" w:rsidRPr="00DB5977">
        <w:rPr>
          <w:rFonts w:ascii="Verdana" w:hAnsi="Verdana"/>
          <w:sz w:val="20"/>
          <w:szCs w:val="20"/>
        </w:rPr>
        <w:t>,</w:t>
      </w:r>
      <w:r w:rsidR="00FB44C4" w:rsidRPr="00DB5977">
        <w:rPr>
          <w:rFonts w:ascii="Verdana" w:hAnsi="Verdana"/>
          <w:sz w:val="20"/>
          <w:szCs w:val="20"/>
        </w:rPr>
        <w:t xml:space="preserve"> </w:t>
      </w:r>
      <w:r w:rsidR="005E1BD6" w:rsidRPr="00DB5977">
        <w:rPr>
          <w:rFonts w:ascii="Verdana" w:hAnsi="Verdana"/>
          <w:sz w:val="20"/>
          <w:szCs w:val="20"/>
        </w:rPr>
        <w:t>for investment grade issuances.</w:t>
      </w:r>
      <w:r w:rsidR="008019D2" w:rsidRPr="00DB5977">
        <w:rPr>
          <w:rFonts w:ascii="Verdana" w:hAnsi="Verdana"/>
          <w:sz w:val="20"/>
          <w:szCs w:val="20"/>
        </w:rPr>
        <w:t xml:space="preserve"> </w:t>
      </w:r>
    </w:p>
    <w:p w14:paraId="3E03036A" w14:textId="77777777" w:rsidR="00616B88" w:rsidRPr="00DB5977" w:rsidRDefault="00616B88" w:rsidP="00616B88">
      <w:pPr>
        <w:pStyle w:val="DirectNext"/>
        <w:suppressLineNumbers/>
        <w:spacing w:line="240" w:lineRule="auto"/>
        <w:rPr>
          <w:rFonts w:ascii="Verdana" w:hAnsi="Verdana"/>
          <w:sz w:val="20"/>
          <w:szCs w:val="20"/>
        </w:rPr>
      </w:pPr>
    </w:p>
    <w:tbl>
      <w:tblPr>
        <w:tblStyle w:val="GridTable6Colorful"/>
        <w:tblW w:w="0" w:type="auto"/>
        <w:jc w:val="center"/>
        <w:tblLook w:val="04A0" w:firstRow="1" w:lastRow="0" w:firstColumn="1" w:lastColumn="0" w:noHBand="0" w:noVBand="1"/>
      </w:tblPr>
      <w:tblGrid>
        <w:gridCol w:w="1800"/>
        <w:gridCol w:w="1800"/>
      </w:tblGrid>
      <w:tr w:rsidR="00310701" w:rsidRPr="00FC2C4C" w14:paraId="5D5072C3" w14:textId="77777777" w:rsidTr="00A8362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00" w:type="dxa"/>
            <w:gridSpan w:val="2"/>
            <w:tcBorders>
              <w:top w:val="single" w:sz="12" w:space="0" w:color="auto"/>
              <w:left w:val="nil"/>
              <w:bottom w:val="single" w:sz="4" w:space="0" w:color="auto"/>
              <w:right w:val="nil"/>
            </w:tcBorders>
          </w:tcPr>
          <w:p w14:paraId="14A6C7EC" w14:textId="7848CDC6" w:rsidR="00310701" w:rsidRPr="00FC2C4C" w:rsidRDefault="006556B3" w:rsidP="00A8362B">
            <w:pPr>
              <w:pStyle w:val="DirectNext"/>
              <w:keepNext/>
              <w:spacing w:before="80" w:after="80" w:line="240" w:lineRule="auto"/>
              <w:ind w:left="0" w:firstLine="0"/>
              <w:jc w:val="center"/>
              <w:rPr>
                <w:rFonts w:ascii="Verdana" w:hAnsi="Verdana"/>
                <w:sz w:val="19"/>
                <w:szCs w:val="19"/>
              </w:rPr>
            </w:pPr>
            <w:r w:rsidRPr="006556B3">
              <w:rPr>
                <w:rFonts w:ascii="Verdana" w:hAnsi="Verdana"/>
                <w:sz w:val="19"/>
                <w:szCs w:val="19"/>
              </w:rPr>
              <w:t xml:space="preserve">Table </w:t>
            </w:r>
            <w:r w:rsidRPr="006556B3">
              <w:rPr>
                <w:rFonts w:ascii="Verdana" w:hAnsi="Verdana"/>
                <w:sz w:val="19"/>
                <w:szCs w:val="19"/>
              </w:rPr>
              <w:fldChar w:fldCharType="begin"/>
            </w:r>
            <w:r w:rsidRPr="006556B3">
              <w:rPr>
                <w:rFonts w:ascii="Verdana" w:hAnsi="Verdana"/>
                <w:sz w:val="19"/>
                <w:szCs w:val="19"/>
              </w:rPr>
              <w:instrText xml:space="preserve"> SEQ Table \* ARABIC </w:instrText>
            </w:r>
            <w:r w:rsidRPr="006556B3">
              <w:rPr>
                <w:rFonts w:ascii="Verdana" w:hAnsi="Verdana"/>
                <w:sz w:val="19"/>
                <w:szCs w:val="19"/>
              </w:rPr>
              <w:fldChar w:fldCharType="separate"/>
            </w:r>
            <w:r w:rsidR="005A4CEF">
              <w:rPr>
                <w:rFonts w:ascii="Verdana" w:hAnsi="Verdana"/>
                <w:noProof/>
                <w:sz w:val="19"/>
                <w:szCs w:val="19"/>
              </w:rPr>
              <w:t>3</w:t>
            </w:r>
            <w:r w:rsidRPr="006556B3">
              <w:rPr>
                <w:rFonts w:ascii="Verdana" w:hAnsi="Verdana"/>
                <w:sz w:val="19"/>
                <w:szCs w:val="19"/>
              </w:rPr>
              <w:fldChar w:fldCharType="end"/>
            </w:r>
            <w:r w:rsidRPr="006556B3">
              <w:rPr>
                <w:rFonts w:ascii="Verdana" w:hAnsi="Verdana"/>
                <w:sz w:val="19"/>
                <w:szCs w:val="19"/>
              </w:rPr>
              <w:t>.</w:t>
            </w:r>
            <w:r w:rsidR="00310701" w:rsidRPr="00FC2C4C">
              <w:rPr>
                <w:rFonts w:ascii="Verdana" w:hAnsi="Verdana"/>
                <w:sz w:val="19"/>
                <w:szCs w:val="19"/>
              </w:rPr>
              <w:t xml:space="preserve"> Rating Categories (Investment Grade)</w:t>
            </w:r>
          </w:p>
        </w:tc>
      </w:tr>
      <w:tr w:rsidR="00310701" w:rsidRPr="00FA2B73" w14:paraId="5A0585D6"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nil"/>
              <w:bottom w:val="single" w:sz="4" w:space="0" w:color="auto"/>
              <w:right w:val="nil"/>
            </w:tcBorders>
            <w:shd w:val="clear" w:color="auto" w:fill="auto"/>
          </w:tcPr>
          <w:p w14:paraId="724F8E5C" w14:textId="77777777" w:rsidR="00310701" w:rsidRPr="00FA2B73" w:rsidRDefault="00310701" w:rsidP="00A8362B">
            <w:pPr>
              <w:pStyle w:val="DirectNext"/>
              <w:keepNext/>
              <w:spacing w:line="240" w:lineRule="auto"/>
              <w:ind w:left="0" w:firstLine="0"/>
              <w:jc w:val="center"/>
              <w:rPr>
                <w:rFonts w:ascii="Verdana" w:hAnsi="Verdana"/>
                <w:b w:val="0"/>
                <w:bCs w:val="0"/>
                <w:sz w:val="19"/>
                <w:szCs w:val="19"/>
              </w:rPr>
            </w:pPr>
            <w:r w:rsidRPr="00FA2B73">
              <w:rPr>
                <w:rFonts w:ascii="Verdana" w:hAnsi="Verdana"/>
                <w:b w:val="0"/>
                <w:bCs w:val="0"/>
                <w:sz w:val="19"/>
                <w:szCs w:val="19"/>
              </w:rPr>
              <w:t>S&amp;P and Fitch</w:t>
            </w:r>
          </w:p>
        </w:tc>
        <w:tc>
          <w:tcPr>
            <w:tcW w:w="1800" w:type="dxa"/>
            <w:tcBorders>
              <w:top w:val="single" w:sz="4" w:space="0" w:color="auto"/>
              <w:left w:val="nil"/>
              <w:bottom w:val="single" w:sz="4" w:space="0" w:color="auto"/>
              <w:right w:val="nil"/>
            </w:tcBorders>
            <w:shd w:val="clear" w:color="auto" w:fill="auto"/>
          </w:tcPr>
          <w:p w14:paraId="7115525C" w14:textId="77777777" w:rsidR="00310701" w:rsidRPr="00FA2B73" w:rsidRDefault="00310701" w:rsidP="00A8362B">
            <w:pPr>
              <w:pStyle w:val="DirectNext"/>
              <w:keepNex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Moody’s</w:t>
            </w:r>
          </w:p>
        </w:tc>
      </w:tr>
      <w:tr w:rsidR="00310701" w:rsidRPr="00FA2B73" w14:paraId="2FEAE24F" w14:textId="77777777" w:rsidTr="00A8362B">
        <w:trPr>
          <w:trHeight w:val="54"/>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nil"/>
              <w:bottom w:val="nil"/>
              <w:right w:val="nil"/>
            </w:tcBorders>
            <w:shd w:val="clear" w:color="auto" w:fill="auto"/>
          </w:tcPr>
          <w:p w14:paraId="20EC4AAC"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AAA</w:t>
            </w:r>
          </w:p>
        </w:tc>
        <w:tc>
          <w:tcPr>
            <w:tcW w:w="1800" w:type="dxa"/>
            <w:tcBorders>
              <w:top w:val="single" w:sz="4" w:space="0" w:color="auto"/>
              <w:left w:val="nil"/>
              <w:bottom w:val="nil"/>
              <w:right w:val="nil"/>
            </w:tcBorders>
            <w:shd w:val="clear" w:color="auto" w:fill="auto"/>
          </w:tcPr>
          <w:p w14:paraId="23F9597D" w14:textId="77777777" w:rsidR="00310701" w:rsidRPr="00FA2B73" w:rsidRDefault="00310701" w:rsidP="00A8362B">
            <w:pPr>
              <w:pStyle w:val="DirectNext"/>
              <w:keepNext/>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proofErr w:type="spellStart"/>
            <w:r w:rsidRPr="00FA2B73">
              <w:rPr>
                <w:rFonts w:ascii="Verdana" w:hAnsi="Verdana"/>
                <w:sz w:val="19"/>
                <w:szCs w:val="19"/>
              </w:rPr>
              <w:t>Aaa</w:t>
            </w:r>
            <w:proofErr w:type="spellEnd"/>
          </w:p>
        </w:tc>
      </w:tr>
      <w:tr w:rsidR="00310701" w:rsidRPr="00FA2B73" w14:paraId="01EC995C"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60F8B8A1"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AA+</w:t>
            </w:r>
          </w:p>
        </w:tc>
        <w:tc>
          <w:tcPr>
            <w:tcW w:w="1800" w:type="dxa"/>
            <w:tcBorders>
              <w:top w:val="nil"/>
              <w:left w:val="nil"/>
              <w:bottom w:val="nil"/>
              <w:right w:val="nil"/>
            </w:tcBorders>
            <w:shd w:val="clear" w:color="auto" w:fill="auto"/>
          </w:tcPr>
          <w:p w14:paraId="40CFE0B7" w14:textId="77777777" w:rsidR="00310701" w:rsidRPr="00FA2B73" w:rsidRDefault="00310701" w:rsidP="00A8362B">
            <w:pPr>
              <w:pStyle w:val="DirectNext"/>
              <w:keepNext/>
              <w:spacing w:before="60" w:after="6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Aa1</w:t>
            </w:r>
          </w:p>
        </w:tc>
      </w:tr>
      <w:tr w:rsidR="00310701" w:rsidRPr="00FA2B73" w14:paraId="74C06F33" w14:textId="77777777" w:rsidTr="00A8362B">
        <w:trPr>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6CC41FD5"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AA</w:t>
            </w:r>
          </w:p>
        </w:tc>
        <w:tc>
          <w:tcPr>
            <w:tcW w:w="1800" w:type="dxa"/>
            <w:tcBorders>
              <w:top w:val="nil"/>
              <w:left w:val="nil"/>
              <w:bottom w:val="nil"/>
              <w:right w:val="nil"/>
            </w:tcBorders>
            <w:shd w:val="clear" w:color="auto" w:fill="auto"/>
          </w:tcPr>
          <w:p w14:paraId="3B061E2D" w14:textId="77777777" w:rsidR="00310701" w:rsidRPr="00FA2B73" w:rsidRDefault="00310701" w:rsidP="00A8362B">
            <w:pPr>
              <w:pStyle w:val="DirectNext"/>
              <w:keepNext/>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FA2B73">
              <w:rPr>
                <w:rFonts w:ascii="Verdana" w:hAnsi="Verdana"/>
                <w:sz w:val="19"/>
                <w:szCs w:val="19"/>
              </w:rPr>
              <w:t>Aa2</w:t>
            </w:r>
          </w:p>
        </w:tc>
      </w:tr>
      <w:tr w:rsidR="00310701" w:rsidRPr="00FA2B73" w14:paraId="2E7C49BA"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1576E2FA"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AA-</w:t>
            </w:r>
          </w:p>
        </w:tc>
        <w:tc>
          <w:tcPr>
            <w:tcW w:w="1800" w:type="dxa"/>
            <w:tcBorders>
              <w:top w:val="nil"/>
              <w:left w:val="nil"/>
              <w:bottom w:val="nil"/>
              <w:right w:val="nil"/>
            </w:tcBorders>
            <w:shd w:val="clear" w:color="auto" w:fill="auto"/>
          </w:tcPr>
          <w:p w14:paraId="0CEE5695" w14:textId="77777777" w:rsidR="00310701" w:rsidRPr="00FA2B73" w:rsidRDefault="00310701" w:rsidP="00A8362B">
            <w:pPr>
              <w:pStyle w:val="DirectNext"/>
              <w:keepNext/>
              <w:spacing w:before="60" w:after="6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Aa3</w:t>
            </w:r>
          </w:p>
        </w:tc>
      </w:tr>
      <w:tr w:rsidR="00310701" w:rsidRPr="00FA2B73" w14:paraId="2D21EAC8" w14:textId="77777777" w:rsidTr="00A8362B">
        <w:trPr>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712535DD"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w:t>
            </w:r>
          </w:p>
        </w:tc>
        <w:tc>
          <w:tcPr>
            <w:tcW w:w="1800" w:type="dxa"/>
            <w:tcBorders>
              <w:top w:val="nil"/>
              <w:left w:val="nil"/>
              <w:bottom w:val="nil"/>
              <w:right w:val="nil"/>
            </w:tcBorders>
            <w:shd w:val="clear" w:color="auto" w:fill="auto"/>
          </w:tcPr>
          <w:p w14:paraId="3B90628F" w14:textId="77777777" w:rsidR="00310701" w:rsidRPr="00FA2B73" w:rsidRDefault="00310701" w:rsidP="00A8362B">
            <w:pPr>
              <w:pStyle w:val="DirectNext"/>
              <w:keepNext/>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FA2B73">
              <w:rPr>
                <w:rFonts w:ascii="Verdana" w:hAnsi="Verdana"/>
                <w:sz w:val="19"/>
                <w:szCs w:val="19"/>
              </w:rPr>
              <w:t>A1</w:t>
            </w:r>
          </w:p>
        </w:tc>
      </w:tr>
      <w:tr w:rsidR="00310701" w:rsidRPr="00FA2B73" w14:paraId="4D800CE0"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0938C48A"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w:t>
            </w:r>
          </w:p>
        </w:tc>
        <w:tc>
          <w:tcPr>
            <w:tcW w:w="1800" w:type="dxa"/>
            <w:tcBorders>
              <w:top w:val="nil"/>
              <w:left w:val="nil"/>
              <w:bottom w:val="nil"/>
              <w:right w:val="nil"/>
            </w:tcBorders>
            <w:shd w:val="clear" w:color="auto" w:fill="auto"/>
          </w:tcPr>
          <w:p w14:paraId="61D8995A" w14:textId="77777777" w:rsidR="00310701" w:rsidRPr="00FA2B73" w:rsidRDefault="00310701" w:rsidP="00A8362B">
            <w:pPr>
              <w:pStyle w:val="DirectNext"/>
              <w:keepNext/>
              <w:spacing w:before="60" w:after="6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A2</w:t>
            </w:r>
          </w:p>
        </w:tc>
      </w:tr>
      <w:tr w:rsidR="00310701" w:rsidRPr="00FA2B73" w14:paraId="13424783" w14:textId="77777777" w:rsidTr="00A8362B">
        <w:trPr>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447ADEE4"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A-</w:t>
            </w:r>
          </w:p>
        </w:tc>
        <w:tc>
          <w:tcPr>
            <w:tcW w:w="1800" w:type="dxa"/>
            <w:tcBorders>
              <w:top w:val="nil"/>
              <w:left w:val="nil"/>
              <w:bottom w:val="nil"/>
              <w:right w:val="nil"/>
            </w:tcBorders>
            <w:shd w:val="clear" w:color="auto" w:fill="auto"/>
          </w:tcPr>
          <w:p w14:paraId="38C5B1C9" w14:textId="77777777" w:rsidR="00310701" w:rsidRPr="00FA2B73" w:rsidRDefault="00310701" w:rsidP="00A8362B">
            <w:pPr>
              <w:pStyle w:val="DirectNext"/>
              <w:keepNext/>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FA2B73">
              <w:rPr>
                <w:rFonts w:ascii="Verdana" w:hAnsi="Verdana"/>
                <w:sz w:val="19"/>
                <w:szCs w:val="19"/>
              </w:rPr>
              <w:t>A3</w:t>
            </w:r>
          </w:p>
        </w:tc>
      </w:tr>
      <w:tr w:rsidR="00310701" w:rsidRPr="00FA2B73" w14:paraId="29EF5D6F"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70BE17BF"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BBB+</w:t>
            </w:r>
          </w:p>
        </w:tc>
        <w:tc>
          <w:tcPr>
            <w:tcW w:w="1800" w:type="dxa"/>
            <w:tcBorders>
              <w:top w:val="nil"/>
              <w:left w:val="nil"/>
              <w:bottom w:val="nil"/>
              <w:right w:val="nil"/>
            </w:tcBorders>
            <w:shd w:val="clear" w:color="auto" w:fill="auto"/>
          </w:tcPr>
          <w:p w14:paraId="47A1EC34" w14:textId="77777777" w:rsidR="00310701" w:rsidRPr="00FA2B73" w:rsidRDefault="00310701" w:rsidP="00A8362B">
            <w:pPr>
              <w:pStyle w:val="DirectNext"/>
              <w:keepNext/>
              <w:spacing w:before="60" w:after="6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Baa1</w:t>
            </w:r>
          </w:p>
        </w:tc>
      </w:tr>
      <w:tr w:rsidR="00310701" w:rsidRPr="00FA2B73" w14:paraId="186F6E55" w14:textId="77777777" w:rsidTr="00A8362B">
        <w:trPr>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nil"/>
              <w:right w:val="nil"/>
            </w:tcBorders>
            <w:shd w:val="clear" w:color="auto" w:fill="auto"/>
          </w:tcPr>
          <w:p w14:paraId="5EE03D4B"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BBB</w:t>
            </w:r>
          </w:p>
        </w:tc>
        <w:tc>
          <w:tcPr>
            <w:tcW w:w="1800" w:type="dxa"/>
            <w:tcBorders>
              <w:top w:val="nil"/>
              <w:left w:val="nil"/>
              <w:bottom w:val="nil"/>
              <w:right w:val="nil"/>
            </w:tcBorders>
            <w:shd w:val="clear" w:color="auto" w:fill="auto"/>
          </w:tcPr>
          <w:p w14:paraId="5B9C5B82" w14:textId="77777777" w:rsidR="00310701" w:rsidRPr="00FA2B73" w:rsidRDefault="00310701" w:rsidP="00A8362B">
            <w:pPr>
              <w:pStyle w:val="DirectNext"/>
              <w:keepNext/>
              <w:spacing w:before="60" w:after="6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sz w:val="19"/>
                <w:szCs w:val="19"/>
              </w:rPr>
            </w:pPr>
            <w:r w:rsidRPr="00FA2B73">
              <w:rPr>
                <w:rFonts w:ascii="Verdana" w:hAnsi="Verdana"/>
                <w:sz w:val="19"/>
                <w:szCs w:val="19"/>
              </w:rPr>
              <w:t>Baa2</w:t>
            </w:r>
          </w:p>
        </w:tc>
      </w:tr>
      <w:tr w:rsidR="00310701" w:rsidRPr="00FA2B73" w14:paraId="606163B6" w14:textId="77777777" w:rsidTr="00A8362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00" w:type="dxa"/>
            <w:tcBorders>
              <w:top w:val="nil"/>
              <w:left w:val="nil"/>
              <w:bottom w:val="single" w:sz="12" w:space="0" w:color="auto"/>
              <w:right w:val="nil"/>
            </w:tcBorders>
            <w:shd w:val="clear" w:color="auto" w:fill="auto"/>
          </w:tcPr>
          <w:p w14:paraId="05E88022" w14:textId="77777777" w:rsidR="00310701" w:rsidRPr="00FA2B73" w:rsidRDefault="00310701" w:rsidP="00A8362B">
            <w:pPr>
              <w:pStyle w:val="DirectNext"/>
              <w:keepNext/>
              <w:spacing w:before="60" w:after="60" w:line="240" w:lineRule="auto"/>
              <w:ind w:left="0" w:firstLine="0"/>
              <w:jc w:val="center"/>
              <w:rPr>
                <w:rFonts w:ascii="Verdana" w:hAnsi="Verdana"/>
                <w:b w:val="0"/>
                <w:sz w:val="19"/>
                <w:szCs w:val="19"/>
              </w:rPr>
            </w:pPr>
            <w:r w:rsidRPr="00FA2B73">
              <w:rPr>
                <w:rFonts w:ascii="Verdana" w:hAnsi="Verdana"/>
                <w:b w:val="0"/>
                <w:sz w:val="19"/>
                <w:szCs w:val="19"/>
              </w:rPr>
              <w:t>BBB-</w:t>
            </w:r>
          </w:p>
        </w:tc>
        <w:tc>
          <w:tcPr>
            <w:tcW w:w="1800" w:type="dxa"/>
            <w:tcBorders>
              <w:top w:val="nil"/>
              <w:left w:val="nil"/>
              <w:bottom w:val="single" w:sz="12" w:space="0" w:color="auto"/>
              <w:right w:val="nil"/>
            </w:tcBorders>
            <w:shd w:val="clear" w:color="auto" w:fill="auto"/>
          </w:tcPr>
          <w:p w14:paraId="4388563E" w14:textId="77777777" w:rsidR="00310701" w:rsidRPr="00FA2B73" w:rsidRDefault="00310701" w:rsidP="00A8362B">
            <w:pPr>
              <w:pStyle w:val="DirectNext"/>
              <w:keepNext/>
              <w:spacing w:before="60" w:after="6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sz w:val="19"/>
                <w:szCs w:val="19"/>
              </w:rPr>
            </w:pPr>
            <w:r w:rsidRPr="00FA2B73">
              <w:rPr>
                <w:rFonts w:ascii="Verdana" w:hAnsi="Verdana"/>
                <w:sz w:val="19"/>
                <w:szCs w:val="19"/>
              </w:rPr>
              <w:t>Baa3</w:t>
            </w:r>
          </w:p>
        </w:tc>
      </w:tr>
    </w:tbl>
    <w:p w14:paraId="133B1922" w14:textId="77777777" w:rsidR="005E1BD6" w:rsidRPr="00DB5977" w:rsidRDefault="005E1BD6" w:rsidP="00616B88">
      <w:pPr>
        <w:pStyle w:val="DirectNext"/>
        <w:suppressLineNumbers/>
        <w:spacing w:line="240" w:lineRule="auto"/>
        <w:rPr>
          <w:rFonts w:ascii="Verdana" w:hAnsi="Verdana"/>
          <w:sz w:val="20"/>
          <w:szCs w:val="20"/>
        </w:rPr>
      </w:pPr>
    </w:p>
    <w:p w14:paraId="5D3FE2ED" w14:textId="77777777" w:rsidR="00845700" w:rsidRPr="00DB5977" w:rsidRDefault="00823379" w:rsidP="00845700">
      <w:pPr>
        <w:pStyle w:val="DirectNext"/>
        <w:ind w:firstLine="0"/>
        <w:rPr>
          <w:rFonts w:ascii="Verdana" w:hAnsi="Verdana"/>
          <w:sz w:val="20"/>
          <w:szCs w:val="20"/>
        </w:rPr>
      </w:pPr>
      <w:r w:rsidRPr="00DB5977">
        <w:rPr>
          <w:rFonts w:ascii="Verdana" w:hAnsi="Verdana"/>
          <w:sz w:val="20"/>
          <w:szCs w:val="20"/>
        </w:rPr>
        <w:t xml:space="preserve">According to </w:t>
      </w:r>
      <w:r w:rsidR="00055996" w:rsidRPr="00DB5977">
        <w:rPr>
          <w:rFonts w:ascii="Verdana" w:hAnsi="Verdana"/>
          <w:sz w:val="20"/>
          <w:szCs w:val="20"/>
        </w:rPr>
        <w:t>the Company’s filing</w:t>
      </w:r>
      <w:r w:rsidR="00914EB1" w:rsidRPr="00DB5977">
        <w:rPr>
          <w:rFonts w:ascii="Verdana" w:hAnsi="Verdana"/>
          <w:sz w:val="20"/>
          <w:szCs w:val="20"/>
        </w:rPr>
        <w:t>,</w:t>
      </w:r>
      <w:r w:rsidR="00055996" w:rsidRPr="00DB5977">
        <w:rPr>
          <w:rFonts w:ascii="Verdana" w:hAnsi="Verdana"/>
          <w:sz w:val="20"/>
          <w:szCs w:val="20"/>
        </w:rPr>
        <w:t xml:space="preserve"> </w:t>
      </w:r>
      <w:r w:rsidR="00B52FE2" w:rsidRPr="00DB5977">
        <w:rPr>
          <w:rFonts w:ascii="Verdana" w:hAnsi="Verdana"/>
          <w:sz w:val="20"/>
          <w:szCs w:val="20"/>
        </w:rPr>
        <w:t>Georgia Power</w:t>
      </w:r>
      <w:r w:rsidR="00914EB1" w:rsidRPr="00DB5977">
        <w:rPr>
          <w:rFonts w:ascii="Verdana" w:hAnsi="Verdana"/>
          <w:sz w:val="20"/>
          <w:szCs w:val="20"/>
        </w:rPr>
        <w:t>’s</w:t>
      </w:r>
      <w:r w:rsidR="00E46A10" w:rsidRPr="00DB5977">
        <w:rPr>
          <w:rFonts w:ascii="Verdana" w:hAnsi="Verdana"/>
          <w:sz w:val="20"/>
          <w:szCs w:val="20"/>
        </w:rPr>
        <w:t xml:space="preserve"> </w:t>
      </w:r>
      <w:r w:rsidR="00F4206B" w:rsidRPr="00DB5977">
        <w:rPr>
          <w:rFonts w:ascii="Verdana" w:hAnsi="Verdana"/>
          <w:sz w:val="20"/>
          <w:szCs w:val="20"/>
        </w:rPr>
        <w:t>credit</w:t>
      </w:r>
      <w:r w:rsidR="00E46A10" w:rsidRPr="00DB5977">
        <w:rPr>
          <w:rFonts w:ascii="Verdana" w:hAnsi="Verdana"/>
          <w:sz w:val="20"/>
          <w:szCs w:val="20"/>
        </w:rPr>
        <w:t xml:space="preserve"> is currently rated</w:t>
      </w:r>
      <w:r w:rsidR="00055996" w:rsidRPr="00DB5977">
        <w:rPr>
          <w:rFonts w:ascii="Verdana" w:hAnsi="Verdana"/>
          <w:sz w:val="20"/>
          <w:szCs w:val="20"/>
        </w:rPr>
        <w:t xml:space="preserve"> </w:t>
      </w:r>
      <w:r w:rsidR="00684D85" w:rsidRPr="00DB5977">
        <w:rPr>
          <w:rFonts w:ascii="Verdana" w:hAnsi="Verdana"/>
          <w:sz w:val="20"/>
          <w:szCs w:val="20"/>
        </w:rPr>
        <w:t xml:space="preserve">A- </w:t>
      </w:r>
      <w:r w:rsidR="005972E6" w:rsidRPr="00DB5977">
        <w:rPr>
          <w:rFonts w:ascii="Verdana" w:hAnsi="Verdana"/>
          <w:sz w:val="20"/>
          <w:szCs w:val="20"/>
        </w:rPr>
        <w:t>(</w:t>
      </w:r>
      <w:r w:rsidR="003C6AA8" w:rsidRPr="00DB5977">
        <w:rPr>
          <w:rFonts w:ascii="Verdana" w:hAnsi="Verdana"/>
          <w:sz w:val="20"/>
          <w:szCs w:val="20"/>
        </w:rPr>
        <w:t>Negative Outlook</w:t>
      </w:r>
      <w:r w:rsidR="005972E6" w:rsidRPr="00DB5977">
        <w:rPr>
          <w:rFonts w:ascii="Verdana" w:hAnsi="Verdana"/>
          <w:sz w:val="20"/>
          <w:szCs w:val="20"/>
        </w:rPr>
        <w:t>)</w:t>
      </w:r>
      <w:r w:rsidR="003C6AA8" w:rsidRPr="00DB5977">
        <w:rPr>
          <w:rFonts w:ascii="Verdana" w:hAnsi="Verdana"/>
          <w:sz w:val="20"/>
          <w:szCs w:val="20"/>
        </w:rPr>
        <w:t xml:space="preserve"> by S&amp;P, </w:t>
      </w:r>
      <w:r w:rsidR="0028783F" w:rsidRPr="00DB5977">
        <w:rPr>
          <w:rFonts w:ascii="Verdana" w:hAnsi="Verdana"/>
          <w:sz w:val="20"/>
          <w:szCs w:val="20"/>
        </w:rPr>
        <w:t xml:space="preserve">Baa1 </w:t>
      </w:r>
      <w:r w:rsidR="005972E6" w:rsidRPr="00DB5977">
        <w:rPr>
          <w:rFonts w:ascii="Verdana" w:hAnsi="Verdana"/>
          <w:sz w:val="20"/>
          <w:szCs w:val="20"/>
        </w:rPr>
        <w:t>(</w:t>
      </w:r>
      <w:r w:rsidR="0028783F" w:rsidRPr="00DB5977">
        <w:rPr>
          <w:rFonts w:ascii="Verdana" w:hAnsi="Verdana"/>
          <w:sz w:val="20"/>
          <w:szCs w:val="20"/>
        </w:rPr>
        <w:t>Stable Outlook</w:t>
      </w:r>
      <w:r w:rsidR="005972E6" w:rsidRPr="00DB5977">
        <w:rPr>
          <w:rFonts w:ascii="Verdana" w:hAnsi="Verdana"/>
          <w:sz w:val="20"/>
          <w:szCs w:val="20"/>
        </w:rPr>
        <w:t>)</w:t>
      </w:r>
      <w:r w:rsidR="0028783F" w:rsidRPr="00DB5977">
        <w:rPr>
          <w:rFonts w:ascii="Verdana" w:hAnsi="Verdana"/>
          <w:sz w:val="20"/>
          <w:szCs w:val="20"/>
        </w:rPr>
        <w:t xml:space="preserve"> by Moody’s, and BBB+</w:t>
      </w:r>
      <w:r w:rsidR="00AB3447" w:rsidRPr="00DB5977">
        <w:rPr>
          <w:rFonts w:ascii="Verdana" w:hAnsi="Verdana"/>
          <w:sz w:val="20"/>
          <w:szCs w:val="20"/>
        </w:rPr>
        <w:t xml:space="preserve"> </w:t>
      </w:r>
      <w:r w:rsidR="001F7E79" w:rsidRPr="00DB5977">
        <w:rPr>
          <w:rFonts w:ascii="Verdana" w:hAnsi="Verdana"/>
          <w:sz w:val="20"/>
          <w:szCs w:val="20"/>
        </w:rPr>
        <w:t>(</w:t>
      </w:r>
      <w:r w:rsidR="00AB3447" w:rsidRPr="00DB5977">
        <w:rPr>
          <w:rFonts w:ascii="Verdana" w:hAnsi="Verdana"/>
          <w:sz w:val="20"/>
          <w:szCs w:val="20"/>
        </w:rPr>
        <w:t>Negative Outlook</w:t>
      </w:r>
      <w:r w:rsidR="001F7E79" w:rsidRPr="00DB5977">
        <w:rPr>
          <w:rFonts w:ascii="Verdana" w:hAnsi="Verdana"/>
          <w:sz w:val="20"/>
          <w:szCs w:val="20"/>
        </w:rPr>
        <w:t>)</w:t>
      </w:r>
      <w:r w:rsidR="00AB3447" w:rsidRPr="00DB5977">
        <w:rPr>
          <w:rFonts w:ascii="Verdana" w:hAnsi="Verdana"/>
          <w:sz w:val="20"/>
          <w:szCs w:val="20"/>
        </w:rPr>
        <w:t xml:space="preserve"> by Fitch</w:t>
      </w:r>
      <w:r w:rsidR="00A65627" w:rsidRPr="00DB5977">
        <w:rPr>
          <w:rFonts w:ascii="Verdana" w:hAnsi="Verdana"/>
          <w:sz w:val="20"/>
          <w:szCs w:val="20"/>
        </w:rPr>
        <w:t>.</w:t>
      </w:r>
      <w:r w:rsidR="00E46A10" w:rsidRPr="00DB5977">
        <w:rPr>
          <w:rFonts w:ascii="Verdana" w:hAnsi="Verdana"/>
          <w:sz w:val="20"/>
          <w:szCs w:val="20"/>
        </w:rPr>
        <w:t xml:space="preserve"> </w:t>
      </w:r>
      <w:r w:rsidR="00D77281" w:rsidRPr="00DB5977">
        <w:rPr>
          <w:rFonts w:ascii="Verdana" w:hAnsi="Verdana"/>
          <w:sz w:val="20"/>
          <w:szCs w:val="20"/>
        </w:rPr>
        <w:t>(</w:t>
      </w:r>
      <w:r w:rsidR="003E5856" w:rsidRPr="00DB5977">
        <w:rPr>
          <w:rFonts w:ascii="Verdana" w:hAnsi="Verdana"/>
          <w:i/>
          <w:iCs/>
          <w:sz w:val="20"/>
          <w:szCs w:val="20"/>
          <w:u w:val="single"/>
        </w:rPr>
        <w:t>See</w:t>
      </w:r>
      <w:r w:rsidR="003E5856" w:rsidRPr="00DB5977">
        <w:rPr>
          <w:rFonts w:ascii="Verdana" w:hAnsi="Verdana"/>
          <w:sz w:val="20"/>
          <w:szCs w:val="20"/>
        </w:rPr>
        <w:t xml:space="preserve"> </w:t>
      </w:r>
      <w:r w:rsidR="0015749D" w:rsidRPr="00DB5977">
        <w:rPr>
          <w:rFonts w:ascii="Verdana" w:hAnsi="Verdana"/>
          <w:sz w:val="20"/>
          <w:szCs w:val="20"/>
        </w:rPr>
        <w:t>Fetter</w:t>
      </w:r>
      <w:r w:rsidR="003E5856" w:rsidRPr="00DB5977">
        <w:rPr>
          <w:rFonts w:ascii="Verdana" w:hAnsi="Verdana"/>
          <w:sz w:val="20"/>
          <w:szCs w:val="20"/>
        </w:rPr>
        <w:t xml:space="preserve"> Direct Testimony</w:t>
      </w:r>
      <w:r w:rsidR="007417C9">
        <w:rPr>
          <w:rFonts w:ascii="Verdana" w:hAnsi="Verdana"/>
          <w:sz w:val="20"/>
          <w:szCs w:val="20"/>
        </w:rPr>
        <w:t xml:space="preserve">, </w:t>
      </w:r>
      <w:r w:rsidR="0015749D" w:rsidRPr="00DB5977">
        <w:rPr>
          <w:rFonts w:ascii="Verdana" w:hAnsi="Verdana"/>
          <w:sz w:val="20"/>
          <w:szCs w:val="20"/>
        </w:rPr>
        <w:t>4</w:t>
      </w:r>
      <w:r w:rsidR="007417C9">
        <w:rPr>
          <w:rFonts w:ascii="Verdana" w:hAnsi="Verdana"/>
          <w:sz w:val="20"/>
          <w:szCs w:val="20"/>
        </w:rPr>
        <w:t>:</w:t>
      </w:r>
      <w:r w:rsidR="005E3CC5" w:rsidRPr="00DB5977">
        <w:rPr>
          <w:rFonts w:ascii="Verdana" w:hAnsi="Verdana"/>
          <w:sz w:val="20"/>
          <w:szCs w:val="20"/>
        </w:rPr>
        <w:t>17-21</w:t>
      </w:r>
      <w:r w:rsidR="00E028F7" w:rsidRPr="00DB5977">
        <w:rPr>
          <w:rFonts w:ascii="Verdana" w:hAnsi="Verdana"/>
          <w:sz w:val="20"/>
          <w:szCs w:val="20"/>
        </w:rPr>
        <w:t>.</w:t>
      </w:r>
      <w:r w:rsidR="00FE065F" w:rsidRPr="00DB5977">
        <w:rPr>
          <w:rFonts w:ascii="Verdana" w:hAnsi="Verdana"/>
          <w:sz w:val="20"/>
          <w:szCs w:val="20"/>
        </w:rPr>
        <w:t>)</w:t>
      </w:r>
      <w:r w:rsidR="00E028F7" w:rsidRPr="00DB5977">
        <w:rPr>
          <w:rFonts w:ascii="Verdana" w:hAnsi="Verdana"/>
          <w:sz w:val="20"/>
          <w:szCs w:val="20"/>
        </w:rPr>
        <w:t xml:space="preserve"> </w:t>
      </w:r>
    </w:p>
    <w:p w14:paraId="76F17310" w14:textId="77777777" w:rsidR="00947E54" w:rsidRPr="00DB5977" w:rsidRDefault="00947E54" w:rsidP="00947E54">
      <w:pPr>
        <w:pStyle w:val="DirectNext"/>
        <w:rPr>
          <w:rFonts w:ascii="Verdana" w:hAnsi="Verdana"/>
          <w:sz w:val="20"/>
          <w:szCs w:val="20"/>
        </w:rPr>
      </w:pPr>
      <w:r w:rsidRPr="00DB5977">
        <w:rPr>
          <w:rFonts w:ascii="Verdana" w:hAnsi="Verdana"/>
          <w:sz w:val="20"/>
          <w:szCs w:val="20"/>
        </w:rPr>
        <w:t>Interest rate risk is the risk that arises for bond owners from fluctuating interest rates, which depends on how sensitive its price is to interest rate changes in the market.</w:t>
      </w:r>
      <w:r w:rsidR="0025065A">
        <w:rPr>
          <w:rFonts w:ascii="Verdana" w:hAnsi="Verdana"/>
          <w:sz w:val="20"/>
          <w:szCs w:val="20"/>
        </w:rPr>
        <w:t xml:space="preserve"> </w:t>
      </w:r>
      <w:r w:rsidRPr="00DB5977">
        <w:rPr>
          <w:rFonts w:ascii="Verdana" w:hAnsi="Verdana"/>
          <w:sz w:val="20"/>
          <w:szCs w:val="20"/>
        </w:rPr>
        <w:t xml:space="preserve">Its sensitivity depends </w:t>
      </w:r>
      <w:r w:rsidR="00A74659" w:rsidRPr="00DB5977">
        <w:rPr>
          <w:rFonts w:ascii="Verdana" w:hAnsi="Verdana"/>
          <w:sz w:val="20"/>
          <w:szCs w:val="20"/>
        </w:rPr>
        <w:t xml:space="preserve">on </w:t>
      </w:r>
      <w:r w:rsidRPr="00DB5977">
        <w:rPr>
          <w:rFonts w:ascii="Verdana" w:hAnsi="Verdana"/>
          <w:sz w:val="20"/>
          <w:szCs w:val="20"/>
        </w:rPr>
        <w:t xml:space="preserve">the bond's time to maturity and the coupon rate of the bond. </w:t>
      </w:r>
    </w:p>
    <w:p w14:paraId="27D82C44" w14:textId="77777777" w:rsidR="00823379" w:rsidRPr="00DB5977" w:rsidRDefault="00947E54" w:rsidP="00B80159">
      <w:pPr>
        <w:pStyle w:val="DirectNext"/>
        <w:rPr>
          <w:rFonts w:ascii="Verdana" w:hAnsi="Verdana"/>
          <w:sz w:val="20"/>
          <w:szCs w:val="20"/>
        </w:rPr>
      </w:pPr>
      <w:r w:rsidRPr="00DB5977">
        <w:rPr>
          <w:rFonts w:ascii="Verdana" w:hAnsi="Verdana"/>
          <w:sz w:val="20"/>
          <w:szCs w:val="20"/>
        </w:rPr>
        <w:t>Regulatory risk is based on the investor’s perceived understanding of the current regulatory environment</w:t>
      </w:r>
      <w:r w:rsidR="002F34B8" w:rsidRPr="00DB5977">
        <w:rPr>
          <w:rFonts w:ascii="Verdana" w:hAnsi="Verdana"/>
          <w:sz w:val="20"/>
          <w:szCs w:val="20"/>
        </w:rPr>
        <w:t>,</w:t>
      </w:r>
      <w:r w:rsidRPr="00DB5977">
        <w:rPr>
          <w:rFonts w:ascii="Verdana" w:hAnsi="Verdana"/>
          <w:sz w:val="20"/>
          <w:szCs w:val="20"/>
        </w:rPr>
        <w:t xml:space="preserve"> along with possible changes to that regulatory environment.</w:t>
      </w:r>
      <w:r w:rsidR="0025065A">
        <w:rPr>
          <w:rFonts w:ascii="Verdana" w:hAnsi="Verdana"/>
          <w:sz w:val="20"/>
          <w:szCs w:val="20"/>
        </w:rPr>
        <w:t xml:space="preserve"> </w:t>
      </w:r>
      <w:r w:rsidRPr="00DB5977">
        <w:rPr>
          <w:rFonts w:ascii="Verdana" w:hAnsi="Verdana"/>
          <w:sz w:val="20"/>
          <w:szCs w:val="20"/>
        </w:rPr>
        <w:t xml:space="preserve">How regulators treat regulatory lag is one </w:t>
      </w:r>
      <w:r w:rsidRPr="00DB5977">
        <w:rPr>
          <w:rFonts w:ascii="Verdana" w:hAnsi="Verdana"/>
          <w:sz w:val="20"/>
          <w:szCs w:val="20"/>
        </w:rPr>
        <w:lastRenderedPageBreak/>
        <w:t>example of regulatory risk.</w:t>
      </w:r>
      <w:r w:rsidR="0025065A">
        <w:rPr>
          <w:rFonts w:ascii="Verdana" w:hAnsi="Verdana"/>
          <w:sz w:val="20"/>
          <w:szCs w:val="20"/>
        </w:rPr>
        <w:t xml:space="preserve"> </w:t>
      </w:r>
      <w:r w:rsidRPr="00DB5977">
        <w:rPr>
          <w:rFonts w:ascii="Verdana" w:hAnsi="Verdana"/>
          <w:sz w:val="20"/>
          <w:szCs w:val="20"/>
        </w:rPr>
        <w:t xml:space="preserve">To the extent that companies face a time lag between incurring expenses and cost recovery, such risk is best measured by choosing a proxy group of companies that face similar regulatory oversight and earn </w:t>
      </w:r>
      <w:r w:rsidR="00A74659" w:rsidRPr="00DB5977">
        <w:rPr>
          <w:rFonts w:ascii="Verdana" w:hAnsi="Verdana"/>
          <w:sz w:val="20"/>
          <w:szCs w:val="20"/>
        </w:rPr>
        <w:t xml:space="preserve">the </w:t>
      </w:r>
      <w:r w:rsidRPr="00DB5977">
        <w:rPr>
          <w:rFonts w:ascii="Verdana" w:hAnsi="Verdana"/>
          <w:sz w:val="20"/>
          <w:szCs w:val="20"/>
        </w:rPr>
        <w:t>majority of their revenues from regulated operations.</w:t>
      </w:r>
    </w:p>
    <w:p w14:paraId="2B27057F" w14:textId="2A061819" w:rsidR="00437FA0" w:rsidRPr="00DB5977" w:rsidRDefault="00227F96" w:rsidP="00486739">
      <w:pPr>
        <w:pStyle w:val="DirectQuestion"/>
      </w:pPr>
      <w:r w:rsidRPr="00DB5977">
        <w:t>How do</w:t>
      </w:r>
      <w:r w:rsidR="00820C29" w:rsidRPr="00DB5977">
        <w:t>ES</w:t>
      </w:r>
      <w:r w:rsidRPr="00DB5977">
        <w:t xml:space="preserve"> the company </w:t>
      </w:r>
      <w:r w:rsidR="001515A9" w:rsidRPr="00DB5977">
        <w:t>currently m</w:t>
      </w:r>
      <w:r w:rsidR="00E21CE5" w:rsidRPr="00DB5977">
        <w:t>itigate</w:t>
      </w:r>
      <w:r w:rsidR="001515A9" w:rsidRPr="00DB5977">
        <w:t xml:space="preserve"> regulatory </w:t>
      </w:r>
      <w:r w:rsidR="00DD0DCB">
        <w:t>RISK</w:t>
      </w:r>
      <w:r w:rsidR="00E21CE5" w:rsidRPr="00DB5977">
        <w:t>?</w:t>
      </w:r>
      <w:r w:rsidR="00B52FAF" w:rsidRPr="00DB5977">
        <w:t xml:space="preserve"> </w:t>
      </w:r>
    </w:p>
    <w:p w14:paraId="130A95FB" w14:textId="2BF6D745" w:rsidR="00780D4D" w:rsidRPr="00DB5977" w:rsidRDefault="007573F1" w:rsidP="00486739">
      <w:pPr>
        <w:pStyle w:val="DirectAnswer"/>
        <w:jc w:val="both"/>
        <w:rPr>
          <w:rFonts w:ascii="Verdana" w:hAnsi="Verdana"/>
          <w:sz w:val="20"/>
          <w:szCs w:val="20"/>
        </w:rPr>
      </w:pPr>
      <w:r w:rsidRPr="00DB5977">
        <w:rPr>
          <w:rFonts w:ascii="Verdana" w:hAnsi="Verdana"/>
          <w:sz w:val="20"/>
          <w:szCs w:val="20"/>
        </w:rPr>
        <w:t xml:space="preserve">In its current filing, the Company is asking </w:t>
      </w:r>
      <w:r w:rsidR="00F8740C" w:rsidRPr="00DB5977">
        <w:rPr>
          <w:rFonts w:ascii="Verdana" w:hAnsi="Verdana"/>
          <w:sz w:val="20"/>
          <w:szCs w:val="20"/>
        </w:rPr>
        <w:t xml:space="preserve">the Commission </w:t>
      </w:r>
      <w:r w:rsidR="00636687" w:rsidRPr="00DB5977">
        <w:rPr>
          <w:rFonts w:ascii="Verdana" w:hAnsi="Verdana"/>
          <w:sz w:val="20"/>
          <w:szCs w:val="20"/>
        </w:rPr>
        <w:t xml:space="preserve">to allow </w:t>
      </w:r>
      <w:r w:rsidR="00540400" w:rsidRPr="00DB5977">
        <w:rPr>
          <w:rFonts w:ascii="Verdana" w:hAnsi="Verdana"/>
          <w:sz w:val="20"/>
          <w:szCs w:val="20"/>
        </w:rPr>
        <w:t>it</w:t>
      </w:r>
      <w:r w:rsidR="007A1F31" w:rsidRPr="00DB5977">
        <w:rPr>
          <w:rFonts w:ascii="Verdana" w:hAnsi="Verdana"/>
          <w:sz w:val="20"/>
          <w:szCs w:val="20"/>
        </w:rPr>
        <w:t xml:space="preserve"> to </w:t>
      </w:r>
      <w:r w:rsidR="00466453">
        <w:rPr>
          <w:rFonts w:ascii="Verdana" w:hAnsi="Verdana"/>
          <w:sz w:val="20"/>
          <w:szCs w:val="20"/>
        </w:rPr>
        <w:t>continue</w:t>
      </w:r>
      <w:r w:rsidR="007A1F31" w:rsidRPr="00DB5977">
        <w:rPr>
          <w:rFonts w:ascii="Verdana" w:hAnsi="Verdana"/>
          <w:sz w:val="20"/>
          <w:szCs w:val="20"/>
        </w:rPr>
        <w:t xml:space="preserve"> an ARP </w:t>
      </w:r>
      <w:r w:rsidR="00FC30DA">
        <w:rPr>
          <w:rFonts w:ascii="Verdana" w:hAnsi="Verdana"/>
          <w:sz w:val="20"/>
          <w:szCs w:val="20"/>
        </w:rPr>
        <w:t xml:space="preserve">that </w:t>
      </w:r>
      <w:r w:rsidR="00847675" w:rsidRPr="00DB5977">
        <w:rPr>
          <w:rFonts w:ascii="Verdana" w:hAnsi="Verdana"/>
          <w:sz w:val="20"/>
          <w:szCs w:val="20"/>
        </w:rPr>
        <w:t xml:space="preserve">was </w:t>
      </w:r>
      <w:r w:rsidR="008C4A7F" w:rsidRPr="00DB5977">
        <w:rPr>
          <w:rFonts w:ascii="Verdana" w:hAnsi="Verdana"/>
          <w:sz w:val="20"/>
          <w:szCs w:val="20"/>
        </w:rPr>
        <w:t xml:space="preserve">last approved </w:t>
      </w:r>
      <w:r w:rsidR="00C644A1" w:rsidRPr="00DB5977">
        <w:rPr>
          <w:rFonts w:ascii="Verdana" w:hAnsi="Verdana"/>
          <w:sz w:val="20"/>
          <w:szCs w:val="20"/>
        </w:rPr>
        <w:t xml:space="preserve">in </w:t>
      </w:r>
      <w:r w:rsidR="00F615A7">
        <w:rPr>
          <w:rFonts w:ascii="Verdana" w:hAnsi="Verdana"/>
          <w:sz w:val="20"/>
          <w:szCs w:val="20"/>
        </w:rPr>
        <w:t>the</w:t>
      </w:r>
      <w:r w:rsidR="00C644A1" w:rsidRPr="00DB5977">
        <w:rPr>
          <w:rFonts w:ascii="Verdana" w:hAnsi="Verdana"/>
          <w:sz w:val="20"/>
          <w:szCs w:val="20"/>
        </w:rPr>
        <w:t xml:space="preserve"> Company’s 2013 </w:t>
      </w:r>
      <w:r w:rsidR="00F615A7">
        <w:rPr>
          <w:rFonts w:ascii="Verdana" w:hAnsi="Verdana"/>
          <w:sz w:val="20"/>
          <w:szCs w:val="20"/>
        </w:rPr>
        <w:t>GRC</w:t>
      </w:r>
      <w:r w:rsidR="00C644A1" w:rsidRPr="00DB5977">
        <w:rPr>
          <w:rFonts w:ascii="Verdana" w:hAnsi="Verdana"/>
          <w:sz w:val="20"/>
          <w:szCs w:val="20"/>
        </w:rPr>
        <w:t xml:space="preserve">, </w:t>
      </w:r>
      <w:r w:rsidR="009D1714" w:rsidRPr="00DB5977">
        <w:rPr>
          <w:rFonts w:ascii="Verdana" w:hAnsi="Verdana"/>
          <w:sz w:val="20"/>
          <w:szCs w:val="20"/>
        </w:rPr>
        <w:t xml:space="preserve">and </w:t>
      </w:r>
      <w:r w:rsidR="00AB250B" w:rsidRPr="00DB5977">
        <w:rPr>
          <w:rFonts w:ascii="Verdana" w:hAnsi="Verdana"/>
          <w:sz w:val="20"/>
          <w:szCs w:val="20"/>
        </w:rPr>
        <w:t xml:space="preserve">is </w:t>
      </w:r>
      <w:r w:rsidR="00186FE7" w:rsidRPr="00DB5977">
        <w:rPr>
          <w:rFonts w:ascii="Verdana" w:hAnsi="Verdana"/>
          <w:sz w:val="20"/>
          <w:szCs w:val="20"/>
        </w:rPr>
        <w:t>similar to the ARP Georgia Power has had in place since 1995</w:t>
      </w:r>
      <w:r w:rsidR="002A7FCC" w:rsidRPr="00DB5977">
        <w:rPr>
          <w:rFonts w:ascii="Verdana" w:hAnsi="Verdana"/>
          <w:sz w:val="20"/>
          <w:szCs w:val="20"/>
        </w:rPr>
        <w:t>.</w:t>
      </w:r>
      <w:r w:rsidR="009D1714" w:rsidRPr="00DB5977">
        <w:rPr>
          <w:rStyle w:val="FootnoteReference"/>
          <w:rFonts w:ascii="Verdana" w:hAnsi="Verdana"/>
          <w:sz w:val="20"/>
          <w:szCs w:val="20"/>
        </w:rPr>
        <w:footnoteReference w:id="15"/>
      </w:r>
      <w:r w:rsidR="0025065A">
        <w:rPr>
          <w:rFonts w:ascii="Verdana" w:hAnsi="Verdana"/>
          <w:sz w:val="20"/>
          <w:szCs w:val="20"/>
        </w:rPr>
        <w:t xml:space="preserve"> </w:t>
      </w:r>
      <w:r w:rsidR="00B5534D" w:rsidRPr="00DB5977">
        <w:rPr>
          <w:rFonts w:ascii="Verdana" w:hAnsi="Verdana"/>
          <w:sz w:val="20"/>
          <w:szCs w:val="20"/>
        </w:rPr>
        <w:t xml:space="preserve">This ARP </w:t>
      </w:r>
      <w:r w:rsidR="00C540FD" w:rsidRPr="00DB5977">
        <w:rPr>
          <w:rFonts w:ascii="Verdana" w:hAnsi="Verdana"/>
          <w:sz w:val="20"/>
          <w:szCs w:val="20"/>
        </w:rPr>
        <w:t>involves two step increases during a three</w:t>
      </w:r>
      <w:r w:rsidR="00F615A7">
        <w:rPr>
          <w:rFonts w:ascii="Verdana" w:hAnsi="Verdana"/>
          <w:sz w:val="20"/>
          <w:szCs w:val="20"/>
        </w:rPr>
        <w:t>-</w:t>
      </w:r>
      <w:r w:rsidR="00C540FD" w:rsidRPr="00DB5977">
        <w:rPr>
          <w:rFonts w:ascii="Verdana" w:hAnsi="Verdana"/>
          <w:sz w:val="20"/>
          <w:szCs w:val="20"/>
        </w:rPr>
        <w:t>year period</w:t>
      </w:r>
      <w:r w:rsidR="00595017" w:rsidRPr="00DB5977">
        <w:rPr>
          <w:rFonts w:ascii="Verdana" w:hAnsi="Verdana"/>
          <w:sz w:val="20"/>
          <w:szCs w:val="20"/>
        </w:rPr>
        <w:t xml:space="preserve">. The specific </w:t>
      </w:r>
      <w:r w:rsidR="00AA4EF3" w:rsidRPr="00DB5977">
        <w:rPr>
          <w:rFonts w:ascii="Verdana" w:hAnsi="Verdana"/>
          <w:sz w:val="20"/>
          <w:szCs w:val="20"/>
        </w:rPr>
        <w:t>proposed rate adjustments include increases of $56</w:t>
      </w:r>
      <w:r w:rsidR="00190F47" w:rsidRPr="00DB5977">
        <w:rPr>
          <w:rFonts w:ascii="Verdana" w:hAnsi="Verdana"/>
          <w:sz w:val="20"/>
          <w:szCs w:val="20"/>
        </w:rPr>
        <w:t>0</w:t>
      </w:r>
      <w:r w:rsidR="00AA4EF3" w:rsidRPr="00DB5977">
        <w:rPr>
          <w:rFonts w:ascii="Verdana" w:hAnsi="Verdana"/>
          <w:sz w:val="20"/>
          <w:szCs w:val="20"/>
        </w:rPr>
        <w:t xml:space="preserve"> million, $14</w:t>
      </w:r>
      <w:r w:rsidR="00190F47" w:rsidRPr="00DB5977">
        <w:rPr>
          <w:rFonts w:ascii="Verdana" w:hAnsi="Verdana"/>
          <w:sz w:val="20"/>
          <w:szCs w:val="20"/>
        </w:rPr>
        <w:t>4</w:t>
      </w:r>
      <w:r w:rsidR="00AA4EF3" w:rsidRPr="00DB5977">
        <w:rPr>
          <w:rFonts w:ascii="Verdana" w:hAnsi="Verdana"/>
          <w:sz w:val="20"/>
          <w:szCs w:val="20"/>
        </w:rPr>
        <w:t xml:space="preserve"> million</w:t>
      </w:r>
      <w:r w:rsidR="00D103E0" w:rsidRPr="00DB5977">
        <w:rPr>
          <w:rFonts w:ascii="Verdana" w:hAnsi="Verdana"/>
          <w:sz w:val="20"/>
          <w:szCs w:val="20"/>
        </w:rPr>
        <w:t>, and $23</w:t>
      </w:r>
      <w:r w:rsidR="00190F47" w:rsidRPr="00DB5977">
        <w:rPr>
          <w:rFonts w:ascii="Verdana" w:hAnsi="Verdana"/>
          <w:sz w:val="20"/>
          <w:szCs w:val="20"/>
        </w:rPr>
        <w:t>3</w:t>
      </w:r>
      <w:r w:rsidR="00D103E0" w:rsidRPr="00DB5977">
        <w:rPr>
          <w:rFonts w:ascii="Verdana" w:hAnsi="Verdana"/>
          <w:sz w:val="20"/>
          <w:szCs w:val="20"/>
        </w:rPr>
        <w:t xml:space="preserve"> million to be effective </w:t>
      </w:r>
      <w:r w:rsidR="00FB36E7">
        <w:rPr>
          <w:rFonts w:ascii="Verdana" w:hAnsi="Verdana"/>
          <w:sz w:val="20"/>
          <w:szCs w:val="20"/>
        </w:rPr>
        <w:t xml:space="preserve">on </w:t>
      </w:r>
      <w:r w:rsidR="00D103E0" w:rsidRPr="00DB5977">
        <w:rPr>
          <w:rFonts w:ascii="Verdana" w:hAnsi="Verdana"/>
          <w:sz w:val="20"/>
          <w:szCs w:val="20"/>
        </w:rPr>
        <w:t>January 1</w:t>
      </w:r>
      <w:r w:rsidR="00FB36E7">
        <w:rPr>
          <w:rFonts w:ascii="Verdana" w:hAnsi="Verdana"/>
          <w:sz w:val="20"/>
          <w:szCs w:val="20"/>
        </w:rPr>
        <w:t xml:space="preserve"> in</w:t>
      </w:r>
      <w:r w:rsidR="00D103E0" w:rsidRPr="00DB5977">
        <w:rPr>
          <w:rFonts w:ascii="Verdana" w:hAnsi="Verdana"/>
          <w:sz w:val="20"/>
          <w:szCs w:val="20"/>
        </w:rPr>
        <w:t xml:space="preserve"> 2020, 2021, and 2022, respectively. </w:t>
      </w:r>
      <w:r w:rsidR="004B7AF9" w:rsidRPr="00DB5977">
        <w:rPr>
          <w:rFonts w:ascii="Verdana" w:hAnsi="Verdana"/>
          <w:sz w:val="20"/>
          <w:szCs w:val="20"/>
        </w:rPr>
        <w:t>(</w:t>
      </w:r>
      <w:r w:rsidR="004B7AF9" w:rsidRPr="00DB5977">
        <w:rPr>
          <w:rFonts w:ascii="Verdana" w:hAnsi="Verdana"/>
          <w:i/>
          <w:iCs/>
          <w:sz w:val="20"/>
          <w:szCs w:val="20"/>
          <w:u w:val="single"/>
        </w:rPr>
        <w:t>See</w:t>
      </w:r>
      <w:r w:rsidR="004B7AF9" w:rsidRPr="00DB5977">
        <w:rPr>
          <w:rFonts w:ascii="Verdana" w:hAnsi="Verdana"/>
          <w:sz w:val="20"/>
          <w:szCs w:val="20"/>
        </w:rPr>
        <w:t xml:space="preserve"> </w:t>
      </w:r>
      <w:r w:rsidR="00AD7A99" w:rsidRPr="00DB5977">
        <w:rPr>
          <w:rFonts w:ascii="Verdana" w:hAnsi="Verdana"/>
          <w:sz w:val="20"/>
          <w:szCs w:val="20"/>
        </w:rPr>
        <w:t xml:space="preserve">Errata Filing of </w:t>
      </w:r>
      <w:proofErr w:type="spellStart"/>
      <w:r w:rsidR="004B7AF9" w:rsidRPr="00DB5977">
        <w:rPr>
          <w:rFonts w:ascii="Verdana" w:hAnsi="Verdana"/>
          <w:sz w:val="20"/>
          <w:szCs w:val="20"/>
        </w:rPr>
        <w:t>Poroch</w:t>
      </w:r>
      <w:proofErr w:type="spellEnd"/>
      <w:r w:rsidR="004B7AF9" w:rsidRPr="00DB5977">
        <w:rPr>
          <w:rFonts w:ascii="Verdana" w:hAnsi="Verdana"/>
          <w:sz w:val="20"/>
          <w:szCs w:val="20"/>
        </w:rPr>
        <w:t>, Adams, and Robinson Direct Testimony,</w:t>
      </w:r>
      <w:r w:rsidR="009777F4" w:rsidRPr="00DB5977">
        <w:rPr>
          <w:rFonts w:ascii="Verdana" w:hAnsi="Verdana"/>
          <w:sz w:val="20"/>
          <w:szCs w:val="20"/>
        </w:rPr>
        <w:t xml:space="preserve"> 9</w:t>
      </w:r>
      <w:r w:rsidR="00DD7C98">
        <w:rPr>
          <w:rFonts w:ascii="Verdana" w:hAnsi="Verdana"/>
          <w:sz w:val="20"/>
          <w:szCs w:val="20"/>
        </w:rPr>
        <w:t xml:space="preserve">: </w:t>
      </w:r>
      <w:r w:rsidR="009777F4" w:rsidRPr="00DB5977">
        <w:rPr>
          <w:rFonts w:ascii="Verdana" w:hAnsi="Verdana"/>
          <w:sz w:val="20"/>
          <w:szCs w:val="20"/>
        </w:rPr>
        <w:t>Table 1.)</w:t>
      </w:r>
      <w:r w:rsidR="004B7AF9" w:rsidRPr="00DB5977">
        <w:rPr>
          <w:rFonts w:ascii="Verdana" w:hAnsi="Verdana"/>
          <w:sz w:val="20"/>
          <w:szCs w:val="20"/>
        </w:rPr>
        <w:t xml:space="preserve"> </w:t>
      </w:r>
      <w:r w:rsidR="00190F47" w:rsidRPr="00DB5977">
        <w:rPr>
          <w:rFonts w:ascii="Verdana" w:hAnsi="Verdana"/>
          <w:sz w:val="20"/>
          <w:szCs w:val="20"/>
        </w:rPr>
        <w:t>According to Georgia Power, t</w:t>
      </w:r>
      <w:r w:rsidR="00770892" w:rsidRPr="00DB5977">
        <w:rPr>
          <w:rFonts w:ascii="Verdana" w:hAnsi="Verdana"/>
          <w:sz w:val="20"/>
          <w:szCs w:val="20"/>
        </w:rPr>
        <w:t xml:space="preserve">hese </w:t>
      </w:r>
      <w:r w:rsidR="000C2A7B" w:rsidRPr="00DB5977">
        <w:rPr>
          <w:rFonts w:ascii="Verdana" w:hAnsi="Verdana"/>
          <w:sz w:val="20"/>
          <w:szCs w:val="20"/>
        </w:rPr>
        <w:t xml:space="preserve">requested increases would increase retail rates </w:t>
      </w:r>
      <w:r w:rsidR="00F87759" w:rsidRPr="00DB5977">
        <w:rPr>
          <w:rFonts w:ascii="Verdana" w:hAnsi="Verdana"/>
          <w:sz w:val="20"/>
          <w:szCs w:val="20"/>
        </w:rPr>
        <w:t>by 7.22</w:t>
      </w:r>
      <w:r w:rsidR="00275DD8">
        <w:rPr>
          <w:rFonts w:ascii="Verdana" w:hAnsi="Verdana"/>
          <w:sz w:val="20"/>
          <w:szCs w:val="20"/>
        </w:rPr>
        <w:t> </w:t>
      </w:r>
      <w:r w:rsidR="00E7278A" w:rsidRPr="00DB5977">
        <w:rPr>
          <w:rFonts w:ascii="Verdana" w:hAnsi="Verdana"/>
          <w:sz w:val="20"/>
          <w:szCs w:val="20"/>
        </w:rPr>
        <w:t>percent</w:t>
      </w:r>
      <w:r w:rsidR="00F87759" w:rsidRPr="00DB5977">
        <w:rPr>
          <w:rFonts w:ascii="Verdana" w:hAnsi="Verdana"/>
          <w:sz w:val="20"/>
          <w:szCs w:val="20"/>
        </w:rPr>
        <w:t xml:space="preserve"> in 202</w:t>
      </w:r>
      <w:r w:rsidR="00E7278A" w:rsidRPr="00DB5977">
        <w:rPr>
          <w:rFonts w:ascii="Verdana" w:hAnsi="Verdana"/>
          <w:sz w:val="20"/>
          <w:szCs w:val="20"/>
        </w:rPr>
        <w:t>0</w:t>
      </w:r>
      <w:r w:rsidR="00F87759" w:rsidRPr="00DB5977">
        <w:rPr>
          <w:rFonts w:ascii="Verdana" w:hAnsi="Verdana"/>
          <w:sz w:val="20"/>
          <w:szCs w:val="20"/>
        </w:rPr>
        <w:t>, 1.75 percent in 20</w:t>
      </w:r>
      <w:r w:rsidR="00E7278A" w:rsidRPr="00DB5977">
        <w:rPr>
          <w:rFonts w:ascii="Verdana" w:hAnsi="Verdana"/>
          <w:sz w:val="20"/>
          <w:szCs w:val="20"/>
        </w:rPr>
        <w:t xml:space="preserve">21, and </w:t>
      </w:r>
      <w:r w:rsidR="00B11A35" w:rsidRPr="00DB5977">
        <w:rPr>
          <w:rFonts w:ascii="Verdana" w:hAnsi="Verdana"/>
          <w:sz w:val="20"/>
          <w:szCs w:val="20"/>
        </w:rPr>
        <w:t xml:space="preserve">2.74 percent </w:t>
      </w:r>
      <w:r w:rsidR="005E404B" w:rsidRPr="00DB5977">
        <w:rPr>
          <w:rFonts w:ascii="Verdana" w:hAnsi="Verdana"/>
          <w:sz w:val="20"/>
          <w:szCs w:val="20"/>
        </w:rPr>
        <w:t>in 2022.</w:t>
      </w:r>
    </w:p>
    <w:p w14:paraId="1828848B" w14:textId="4D973630" w:rsidR="00E15AC0" w:rsidRPr="00DB5977" w:rsidRDefault="00D30084" w:rsidP="00E15AC0">
      <w:pPr>
        <w:pStyle w:val="DirectNext"/>
        <w:rPr>
          <w:rFonts w:ascii="Verdana" w:hAnsi="Verdana"/>
          <w:sz w:val="20"/>
          <w:szCs w:val="20"/>
        </w:rPr>
      </w:pPr>
      <w:r w:rsidRPr="00DB5977">
        <w:rPr>
          <w:rFonts w:ascii="Verdana" w:hAnsi="Verdana"/>
          <w:sz w:val="20"/>
          <w:szCs w:val="20"/>
        </w:rPr>
        <w:t>The</w:t>
      </w:r>
      <w:r w:rsidR="00507FD6" w:rsidRPr="00DB5977">
        <w:rPr>
          <w:rFonts w:ascii="Verdana" w:hAnsi="Verdana"/>
          <w:sz w:val="20"/>
          <w:szCs w:val="20"/>
        </w:rPr>
        <w:t xml:space="preserve"> proposed</w:t>
      </w:r>
      <w:r w:rsidRPr="00DB5977">
        <w:rPr>
          <w:rFonts w:ascii="Verdana" w:hAnsi="Verdana"/>
          <w:sz w:val="20"/>
          <w:szCs w:val="20"/>
        </w:rPr>
        <w:t xml:space="preserve"> </w:t>
      </w:r>
      <w:r w:rsidR="00507FD6" w:rsidRPr="00DB5977">
        <w:rPr>
          <w:rFonts w:ascii="Verdana" w:hAnsi="Verdana"/>
          <w:sz w:val="20"/>
          <w:szCs w:val="20"/>
        </w:rPr>
        <w:t>rate adjustments</w:t>
      </w:r>
      <w:r w:rsidR="004E191A" w:rsidRPr="00DB5977">
        <w:rPr>
          <w:rFonts w:ascii="Verdana" w:hAnsi="Verdana"/>
          <w:sz w:val="20"/>
          <w:szCs w:val="20"/>
        </w:rPr>
        <w:t xml:space="preserve"> include</w:t>
      </w:r>
      <w:r w:rsidR="0011772A" w:rsidRPr="00DB5977">
        <w:rPr>
          <w:rFonts w:ascii="Verdana" w:hAnsi="Verdana"/>
          <w:sz w:val="20"/>
          <w:szCs w:val="20"/>
        </w:rPr>
        <w:t xml:space="preserve"> </w:t>
      </w:r>
      <w:proofErr w:type="spellStart"/>
      <w:r w:rsidR="0011772A" w:rsidRPr="00DB5977">
        <w:rPr>
          <w:rFonts w:ascii="Verdana" w:hAnsi="Verdana"/>
          <w:sz w:val="20"/>
          <w:szCs w:val="20"/>
        </w:rPr>
        <w:t>levelized</w:t>
      </w:r>
      <w:proofErr w:type="spellEnd"/>
      <w:r w:rsidR="0011772A" w:rsidRPr="00DB5977">
        <w:rPr>
          <w:rFonts w:ascii="Verdana" w:hAnsi="Verdana"/>
          <w:sz w:val="20"/>
          <w:szCs w:val="20"/>
        </w:rPr>
        <w:t xml:space="preserve"> increase</w:t>
      </w:r>
      <w:r w:rsidR="004F4171">
        <w:rPr>
          <w:rFonts w:ascii="Verdana" w:hAnsi="Verdana"/>
          <w:sz w:val="20"/>
          <w:szCs w:val="20"/>
        </w:rPr>
        <w:t>s</w:t>
      </w:r>
      <w:r w:rsidR="0011772A" w:rsidRPr="00DB5977">
        <w:rPr>
          <w:rFonts w:ascii="Verdana" w:hAnsi="Verdana"/>
          <w:sz w:val="20"/>
          <w:szCs w:val="20"/>
        </w:rPr>
        <w:t xml:space="preserve"> of $2</w:t>
      </w:r>
      <w:r w:rsidR="00190F47" w:rsidRPr="00DB5977">
        <w:rPr>
          <w:rFonts w:ascii="Verdana" w:hAnsi="Verdana"/>
          <w:sz w:val="20"/>
          <w:szCs w:val="20"/>
        </w:rPr>
        <w:t>1</w:t>
      </w:r>
      <w:r w:rsidR="0011772A" w:rsidRPr="00DB5977">
        <w:rPr>
          <w:rFonts w:ascii="Verdana" w:hAnsi="Verdana"/>
          <w:sz w:val="20"/>
          <w:szCs w:val="20"/>
        </w:rPr>
        <w:t xml:space="preserve">0 million of traditional base </w:t>
      </w:r>
      <w:r w:rsidR="00E21A2D">
        <w:rPr>
          <w:rFonts w:ascii="Verdana" w:hAnsi="Verdana"/>
          <w:sz w:val="20"/>
          <w:szCs w:val="20"/>
        </w:rPr>
        <w:t xml:space="preserve">rates </w:t>
      </w:r>
      <w:r w:rsidR="0011772A" w:rsidRPr="00DB5977">
        <w:rPr>
          <w:rFonts w:ascii="Verdana" w:hAnsi="Verdana"/>
          <w:sz w:val="20"/>
          <w:szCs w:val="20"/>
        </w:rPr>
        <w:t>and $16</w:t>
      </w:r>
      <w:r w:rsidR="00190F47" w:rsidRPr="00DB5977">
        <w:rPr>
          <w:rFonts w:ascii="Verdana" w:hAnsi="Verdana"/>
          <w:sz w:val="20"/>
          <w:szCs w:val="20"/>
        </w:rPr>
        <w:t>3</w:t>
      </w:r>
      <w:r w:rsidR="00AD2B8F" w:rsidRPr="00DB5977">
        <w:rPr>
          <w:rFonts w:ascii="Verdana" w:hAnsi="Verdana"/>
          <w:sz w:val="20"/>
          <w:szCs w:val="20"/>
        </w:rPr>
        <w:t xml:space="preserve"> million for the </w:t>
      </w:r>
      <w:r w:rsidR="000438AE" w:rsidRPr="00DB5977">
        <w:rPr>
          <w:rFonts w:ascii="Verdana" w:hAnsi="Verdana"/>
          <w:sz w:val="20"/>
          <w:szCs w:val="20"/>
        </w:rPr>
        <w:t>Environmental Compliance C</w:t>
      </w:r>
      <w:r w:rsidR="00705B35" w:rsidRPr="00DB5977">
        <w:rPr>
          <w:rFonts w:ascii="Verdana" w:hAnsi="Verdana"/>
          <w:sz w:val="20"/>
          <w:szCs w:val="20"/>
        </w:rPr>
        <w:t>ost Recovery</w:t>
      </w:r>
      <w:r w:rsidR="00AD2B8F" w:rsidRPr="00DB5977">
        <w:rPr>
          <w:rFonts w:ascii="Verdana" w:hAnsi="Verdana"/>
          <w:sz w:val="20"/>
          <w:szCs w:val="20"/>
        </w:rPr>
        <w:t xml:space="preserve"> tariff effective January 1, 2020</w:t>
      </w:r>
      <w:r w:rsidR="008D3998" w:rsidRPr="00DB5977">
        <w:rPr>
          <w:rFonts w:ascii="Verdana" w:hAnsi="Verdana"/>
          <w:sz w:val="20"/>
          <w:szCs w:val="20"/>
        </w:rPr>
        <w:t>. Except for ad</w:t>
      </w:r>
      <w:r w:rsidR="008D3998" w:rsidRPr="00DB5977">
        <w:rPr>
          <w:rFonts w:ascii="Verdana" w:hAnsi="Verdana"/>
          <w:sz w:val="20"/>
          <w:szCs w:val="20"/>
        </w:rPr>
        <w:lastRenderedPageBreak/>
        <w:t>justmen</w:t>
      </w:r>
      <w:r w:rsidR="00A73912" w:rsidRPr="00DB5977">
        <w:rPr>
          <w:rFonts w:ascii="Verdana" w:hAnsi="Verdana"/>
          <w:sz w:val="20"/>
          <w:szCs w:val="20"/>
        </w:rPr>
        <w:t>ts set in the</w:t>
      </w:r>
      <w:r w:rsidR="00F70AF6" w:rsidRPr="00DB5977">
        <w:rPr>
          <w:rFonts w:ascii="Verdana" w:hAnsi="Verdana"/>
          <w:sz w:val="20"/>
          <w:szCs w:val="20"/>
        </w:rPr>
        <w:t xml:space="preserve"> Seventeenth Semi-Annual </w:t>
      </w:r>
      <w:proofErr w:type="spellStart"/>
      <w:r w:rsidR="00F70AF6" w:rsidRPr="00DB5977">
        <w:rPr>
          <w:rFonts w:ascii="Verdana" w:hAnsi="Verdana"/>
          <w:sz w:val="20"/>
          <w:szCs w:val="20"/>
        </w:rPr>
        <w:t>Vogtle</w:t>
      </w:r>
      <w:proofErr w:type="spellEnd"/>
      <w:r w:rsidR="00F70AF6" w:rsidRPr="00DB5977">
        <w:rPr>
          <w:rFonts w:ascii="Verdana" w:hAnsi="Verdana"/>
          <w:sz w:val="20"/>
          <w:szCs w:val="20"/>
        </w:rPr>
        <w:t xml:space="preserve"> Construction Monitoring (“</w:t>
      </w:r>
      <w:r w:rsidR="00A73912" w:rsidRPr="00DB5977">
        <w:rPr>
          <w:rFonts w:ascii="Verdana" w:hAnsi="Verdana"/>
          <w:sz w:val="20"/>
          <w:szCs w:val="20"/>
        </w:rPr>
        <w:t>VCM-17</w:t>
      </w:r>
      <w:r w:rsidR="00F70AF6" w:rsidRPr="00DB5977">
        <w:rPr>
          <w:rFonts w:ascii="Verdana" w:hAnsi="Verdana"/>
          <w:sz w:val="20"/>
          <w:szCs w:val="20"/>
        </w:rPr>
        <w:t>”)</w:t>
      </w:r>
      <w:r w:rsidR="00A73912" w:rsidRPr="00DB5977">
        <w:rPr>
          <w:rFonts w:ascii="Verdana" w:hAnsi="Verdana"/>
          <w:sz w:val="20"/>
          <w:szCs w:val="20"/>
        </w:rPr>
        <w:t xml:space="preserve"> final order,</w:t>
      </w:r>
      <w:r w:rsidR="00F70AF6" w:rsidRPr="00DB5977">
        <w:rPr>
          <w:rStyle w:val="FootnoteReference"/>
          <w:rFonts w:ascii="Verdana" w:hAnsi="Verdana"/>
          <w:sz w:val="20"/>
          <w:szCs w:val="20"/>
        </w:rPr>
        <w:footnoteReference w:id="16"/>
      </w:r>
      <w:r w:rsidR="00A73912" w:rsidRPr="00DB5977">
        <w:rPr>
          <w:rFonts w:ascii="Verdana" w:hAnsi="Verdana"/>
          <w:sz w:val="20"/>
          <w:szCs w:val="20"/>
        </w:rPr>
        <w:t xml:space="preserve"> </w:t>
      </w:r>
      <w:r w:rsidR="00FE25B2" w:rsidRPr="00DB5977">
        <w:rPr>
          <w:rFonts w:ascii="Verdana" w:hAnsi="Verdana"/>
          <w:sz w:val="20"/>
          <w:szCs w:val="20"/>
        </w:rPr>
        <w:t>these increase</w:t>
      </w:r>
      <w:r w:rsidR="00196DD6" w:rsidRPr="00DB5977">
        <w:rPr>
          <w:rFonts w:ascii="Verdana" w:hAnsi="Verdana"/>
          <w:sz w:val="20"/>
          <w:szCs w:val="20"/>
        </w:rPr>
        <w:t>s</w:t>
      </w:r>
      <w:r w:rsidR="00FE25B2" w:rsidRPr="00DB5977">
        <w:rPr>
          <w:rFonts w:ascii="Verdana" w:hAnsi="Verdana"/>
          <w:sz w:val="20"/>
          <w:szCs w:val="20"/>
        </w:rPr>
        <w:t xml:space="preserve"> will not change through December 31, 2022.</w:t>
      </w:r>
      <w:r w:rsidR="00502296" w:rsidRPr="00DB5977">
        <w:rPr>
          <w:rFonts w:ascii="Verdana" w:hAnsi="Verdana"/>
          <w:sz w:val="20"/>
          <w:szCs w:val="20"/>
        </w:rPr>
        <w:t xml:space="preserve"> During the three-year </w:t>
      </w:r>
      <w:r w:rsidR="00CF0435" w:rsidRPr="00DB5977">
        <w:rPr>
          <w:rFonts w:ascii="Verdana" w:hAnsi="Verdana"/>
          <w:sz w:val="20"/>
          <w:szCs w:val="20"/>
        </w:rPr>
        <w:t xml:space="preserve">ARP </w:t>
      </w:r>
      <w:r w:rsidR="00502296" w:rsidRPr="00DB5977">
        <w:rPr>
          <w:rFonts w:ascii="Verdana" w:hAnsi="Verdana"/>
          <w:sz w:val="20"/>
          <w:szCs w:val="20"/>
        </w:rPr>
        <w:t>period, the Company proposes to recover its C</w:t>
      </w:r>
      <w:r w:rsidR="0002349C" w:rsidRPr="00DB5977">
        <w:rPr>
          <w:rFonts w:ascii="Verdana" w:hAnsi="Verdana"/>
          <w:sz w:val="20"/>
          <w:szCs w:val="20"/>
        </w:rPr>
        <w:t>oal Combustion Residuals Asse</w:t>
      </w:r>
      <w:r w:rsidR="00A07D79" w:rsidRPr="00DB5977">
        <w:rPr>
          <w:rFonts w:ascii="Verdana" w:hAnsi="Verdana"/>
          <w:sz w:val="20"/>
          <w:szCs w:val="20"/>
        </w:rPr>
        <w:t>t</w:t>
      </w:r>
      <w:r w:rsidR="0002349C" w:rsidRPr="00DB5977">
        <w:rPr>
          <w:rFonts w:ascii="Verdana" w:hAnsi="Verdana"/>
          <w:sz w:val="20"/>
          <w:szCs w:val="20"/>
        </w:rPr>
        <w:t xml:space="preserve"> Retirement Obligation</w:t>
      </w:r>
      <w:r w:rsidR="00502296" w:rsidRPr="00DB5977">
        <w:rPr>
          <w:rFonts w:ascii="Verdana" w:hAnsi="Verdana"/>
          <w:sz w:val="20"/>
          <w:szCs w:val="20"/>
        </w:rPr>
        <w:t xml:space="preserve"> compliance</w:t>
      </w:r>
      <w:r w:rsidR="008A5BA9" w:rsidRPr="00DB5977">
        <w:rPr>
          <w:rFonts w:ascii="Verdana" w:hAnsi="Verdana"/>
          <w:sz w:val="20"/>
          <w:szCs w:val="20"/>
        </w:rPr>
        <w:t xml:space="preserve"> costs through annual increases in traditional base tariffs.</w:t>
      </w:r>
      <w:r w:rsidR="00A87CFE" w:rsidRPr="00DB5977">
        <w:rPr>
          <w:rFonts w:ascii="Verdana" w:hAnsi="Verdana"/>
          <w:sz w:val="20"/>
          <w:szCs w:val="20"/>
        </w:rPr>
        <w:t xml:space="preserve"> Also, </w:t>
      </w:r>
      <w:r w:rsidR="002C69E0" w:rsidRPr="00DB5977">
        <w:rPr>
          <w:rFonts w:ascii="Verdana" w:hAnsi="Verdana"/>
          <w:sz w:val="20"/>
          <w:szCs w:val="20"/>
        </w:rPr>
        <w:t>the Company’s D</w:t>
      </w:r>
      <w:r w:rsidR="00386964" w:rsidRPr="00DB5977">
        <w:rPr>
          <w:rFonts w:ascii="Verdana" w:hAnsi="Verdana"/>
          <w:sz w:val="20"/>
          <w:szCs w:val="20"/>
        </w:rPr>
        <w:t>emand Side Management</w:t>
      </w:r>
      <w:r w:rsidR="002C69E0" w:rsidRPr="00DB5977">
        <w:rPr>
          <w:rFonts w:ascii="Verdana" w:hAnsi="Verdana"/>
          <w:sz w:val="20"/>
          <w:szCs w:val="20"/>
        </w:rPr>
        <w:t xml:space="preserve"> </w:t>
      </w:r>
      <w:r w:rsidR="00EE5E23">
        <w:rPr>
          <w:rFonts w:ascii="Verdana" w:hAnsi="Verdana"/>
          <w:sz w:val="20"/>
          <w:szCs w:val="20"/>
        </w:rPr>
        <w:t xml:space="preserve">(“DSM”) </w:t>
      </w:r>
      <w:r w:rsidR="002C69E0" w:rsidRPr="00DB5977">
        <w:rPr>
          <w:rFonts w:ascii="Verdana" w:hAnsi="Verdana"/>
          <w:sz w:val="20"/>
          <w:szCs w:val="20"/>
        </w:rPr>
        <w:t xml:space="preserve">tariffs </w:t>
      </w:r>
      <w:r w:rsidR="00EE5E23">
        <w:rPr>
          <w:rFonts w:ascii="Verdana" w:hAnsi="Verdana"/>
          <w:sz w:val="20"/>
          <w:szCs w:val="20"/>
        </w:rPr>
        <w:t>would</w:t>
      </w:r>
      <w:r w:rsidR="00EE5E23" w:rsidRPr="00DB5977">
        <w:rPr>
          <w:rFonts w:ascii="Verdana" w:hAnsi="Verdana"/>
          <w:sz w:val="20"/>
          <w:szCs w:val="20"/>
        </w:rPr>
        <w:t xml:space="preserve"> </w:t>
      </w:r>
      <w:r w:rsidR="002C69E0" w:rsidRPr="00DB5977">
        <w:rPr>
          <w:rFonts w:ascii="Verdana" w:hAnsi="Verdana"/>
          <w:sz w:val="20"/>
          <w:szCs w:val="20"/>
        </w:rPr>
        <w:t>be adjusted annually to collect Commission-approved costs</w:t>
      </w:r>
      <w:r w:rsidR="00730369" w:rsidRPr="00DB5977">
        <w:rPr>
          <w:rFonts w:ascii="Verdana" w:hAnsi="Verdana"/>
          <w:sz w:val="20"/>
          <w:szCs w:val="20"/>
        </w:rPr>
        <w:t>,</w:t>
      </w:r>
      <w:r w:rsidR="00F525C6" w:rsidRPr="00DB5977">
        <w:rPr>
          <w:rFonts w:ascii="Verdana" w:hAnsi="Verdana"/>
          <w:sz w:val="20"/>
          <w:szCs w:val="20"/>
        </w:rPr>
        <w:t xml:space="preserve"> and </w:t>
      </w:r>
      <w:r w:rsidR="00EE5E23">
        <w:rPr>
          <w:rFonts w:ascii="Verdana" w:hAnsi="Verdana"/>
          <w:sz w:val="20"/>
          <w:szCs w:val="20"/>
        </w:rPr>
        <w:t>the Company</w:t>
      </w:r>
      <w:r w:rsidR="00EE5E23" w:rsidRPr="00DB5977">
        <w:rPr>
          <w:rFonts w:ascii="Verdana" w:hAnsi="Verdana"/>
          <w:sz w:val="20"/>
          <w:szCs w:val="20"/>
        </w:rPr>
        <w:t xml:space="preserve"> </w:t>
      </w:r>
      <w:r w:rsidR="00EE5E23">
        <w:rPr>
          <w:rFonts w:ascii="Verdana" w:hAnsi="Verdana"/>
          <w:sz w:val="20"/>
          <w:szCs w:val="20"/>
        </w:rPr>
        <w:t>would “</w:t>
      </w:r>
      <w:r w:rsidR="00533674" w:rsidRPr="00DB5977">
        <w:rPr>
          <w:rFonts w:ascii="Verdana" w:hAnsi="Verdana"/>
          <w:sz w:val="20"/>
          <w:szCs w:val="20"/>
        </w:rPr>
        <w:t>true-up</w:t>
      </w:r>
      <w:r w:rsidR="00EE5E23">
        <w:rPr>
          <w:rFonts w:ascii="Verdana" w:hAnsi="Verdana"/>
          <w:sz w:val="20"/>
          <w:szCs w:val="20"/>
        </w:rPr>
        <w:t>”</w:t>
      </w:r>
      <w:r w:rsidR="00533674" w:rsidRPr="00DB5977">
        <w:rPr>
          <w:rFonts w:ascii="Verdana" w:hAnsi="Verdana"/>
          <w:sz w:val="20"/>
          <w:szCs w:val="20"/>
        </w:rPr>
        <w:t xml:space="preserve"> actual revenues </w:t>
      </w:r>
      <w:r w:rsidR="003926DB" w:rsidRPr="00DB5977">
        <w:rPr>
          <w:rFonts w:ascii="Verdana" w:hAnsi="Verdana"/>
          <w:sz w:val="20"/>
          <w:szCs w:val="20"/>
        </w:rPr>
        <w:t>collected</w:t>
      </w:r>
      <w:r w:rsidR="00800F5A" w:rsidRPr="00DB5977">
        <w:rPr>
          <w:rFonts w:ascii="Verdana" w:hAnsi="Verdana"/>
          <w:sz w:val="20"/>
          <w:szCs w:val="20"/>
        </w:rPr>
        <w:t xml:space="preserve"> and expenses incurred through the DSM annual compliance filings.</w:t>
      </w:r>
      <w:r w:rsidR="0025065A">
        <w:rPr>
          <w:rFonts w:ascii="Verdana" w:hAnsi="Verdana"/>
          <w:sz w:val="20"/>
          <w:szCs w:val="20"/>
        </w:rPr>
        <w:t xml:space="preserve"> </w:t>
      </w:r>
      <w:r w:rsidR="006048AF" w:rsidRPr="00DB5977">
        <w:rPr>
          <w:rFonts w:ascii="Verdana" w:hAnsi="Verdana"/>
          <w:sz w:val="20"/>
          <w:szCs w:val="20"/>
        </w:rPr>
        <w:t xml:space="preserve">The </w:t>
      </w:r>
      <w:r w:rsidR="006B5BEE" w:rsidRPr="00DB5977">
        <w:rPr>
          <w:rFonts w:ascii="Verdana" w:hAnsi="Verdana"/>
          <w:sz w:val="20"/>
          <w:szCs w:val="20"/>
        </w:rPr>
        <w:t>Municipal Fran</w:t>
      </w:r>
      <w:r w:rsidR="003813D4" w:rsidRPr="00DB5977">
        <w:rPr>
          <w:rFonts w:ascii="Verdana" w:hAnsi="Verdana"/>
          <w:sz w:val="20"/>
          <w:szCs w:val="20"/>
        </w:rPr>
        <w:t>c</w:t>
      </w:r>
      <w:r w:rsidR="006B5BEE" w:rsidRPr="00DB5977">
        <w:rPr>
          <w:rFonts w:ascii="Verdana" w:hAnsi="Verdana"/>
          <w:sz w:val="20"/>
          <w:szCs w:val="20"/>
        </w:rPr>
        <w:t>hise</w:t>
      </w:r>
      <w:r w:rsidR="006048AF" w:rsidRPr="00DB5977">
        <w:rPr>
          <w:rFonts w:ascii="Verdana" w:hAnsi="Verdana"/>
          <w:sz w:val="20"/>
          <w:szCs w:val="20"/>
        </w:rPr>
        <w:t xml:space="preserve"> </w:t>
      </w:r>
      <w:r w:rsidR="003813D4" w:rsidRPr="00DB5977">
        <w:rPr>
          <w:rFonts w:ascii="Verdana" w:hAnsi="Verdana"/>
          <w:sz w:val="20"/>
          <w:szCs w:val="20"/>
        </w:rPr>
        <w:t xml:space="preserve">Fee </w:t>
      </w:r>
      <w:r w:rsidR="000332E2" w:rsidRPr="00DB5977">
        <w:rPr>
          <w:rFonts w:ascii="Verdana" w:hAnsi="Verdana"/>
          <w:sz w:val="20"/>
          <w:szCs w:val="20"/>
        </w:rPr>
        <w:t xml:space="preserve">tariff </w:t>
      </w:r>
      <w:r w:rsidR="00EE5E23">
        <w:rPr>
          <w:rFonts w:ascii="Verdana" w:hAnsi="Verdana"/>
          <w:sz w:val="20"/>
          <w:szCs w:val="20"/>
        </w:rPr>
        <w:t>would</w:t>
      </w:r>
      <w:r w:rsidR="00EE5E23" w:rsidRPr="00DB5977">
        <w:rPr>
          <w:rFonts w:ascii="Verdana" w:hAnsi="Verdana"/>
          <w:sz w:val="20"/>
          <w:szCs w:val="20"/>
        </w:rPr>
        <w:t xml:space="preserve"> </w:t>
      </w:r>
      <w:r w:rsidR="00CF0435" w:rsidRPr="00DB5977">
        <w:rPr>
          <w:rFonts w:ascii="Verdana" w:hAnsi="Verdana"/>
          <w:sz w:val="20"/>
          <w:szCs w:val="20"/>
        </w:rPr>
        <w:t xml:space="preserve">also </w:t>
      </w:r>
      <w:r w:rsidR="000332E2" w:rsidRPr="00DB5977">
        <w:rPr>
          <w:rFonts w:ascii="Verdana" w:hAnsi="Verdana"/>
          <w:sz w:val="20"/>
          <w:szCs w:val="20"/>
        </w:rPr>
        <w:t>be adjusted to capture the increase in</w:t>
      </w:r>
      <w:r w:rsidR="00F44506" w:rsidRPr="00DB5977">
        <w:rPr>
          <w:rFonts w:ascii="Verdana" w:hAnsi="Verdana"/>
          <w:sz w:val="20"/>
          <w:szCs w:val="20"/>
        </w:rPr>
        <w:t xml:space="preserve"> these tariffs.</w:t>
      </w:r>
    </w:p>
    <w:p w14:paraId="421E4D90" w14:textId="37ED3714" w:rsidR="00AF2F00" w:rsidRPr="00496ACF" w:rsidRDefault="00DC1362" w:rsidP="00496ACF">
      <w:pPr>
        <w:pStyle w:val="DirectNext"/>
        <w:rPr>
          <w:rFonts w:ascii="Verdana" w:hAnsi="Verdana"/>
          <w:sz w:val="20"/>
          <w:szCs w:val="20"/>
        </w:rPr>
      </w:pPr>
      <w:r w:rsidRPr="00DB5977">
        <w:rPr>
          <w:rFonts w:ascii="Verdana" w:hAnsi="Verdana"/>
          <w:sz w:val="20"/>
          <w:szCs w:val="20"/>
        </w:rPr>
        <w:t xml:space="preserve">Investors consider </w:t>
      </w:r>
      <w:r w:rsidR="002541B9" w:rsidRPr="00DB5977">
        <w:rPr>
          <w:rFonts w:ascii="Verdana" w:hAnsi="Verdana"/>
          <w:sz w:val="20"/>
          <w:szCs w:val="20"/>
        </w:rPr>
        <w:t>Georgia</w:t>
      </w:r>
      <w:r w:rsidR="00466453">
        <w:rPr>
          <w:rFonts w:ascii="Verdana" w:hAnsi="Verdana"/>
          <w:sz w:val="20"/>
          <w:szCs w:val="20"/>
        </w:rPr>
        <w:t>’s regulatory environment to be</w:t>
      </w:r>
      <w:r w:rsidR="002541B9" w:rsidRPr="00DB5977">
        <w:rPr>
          <w:rFonts w:ascii="Verdana" w:hAnsi="Verdana"/>
          <w:sz w:val="20"/>
          <w:szCs w:val="20"/>
        </w:rPr>
        <w:t xml:space="preserve"> </w:t>
      </w:r>
      <w:r w:rsidR="005628BF" w:rsidRPr="00DB5977">
        <w:rPr>
          <w:rFonts w:ascii="Verdana" w:hAnsi="Verdana"/>
          <w:sz w:val="20"/>
          <w:szCs w:val="20"/>
        </w:rPr>
        <w:t xml:space="preserve">significantly </w:t>
      </w:r>
      <w:r w:rsidR="002541B9" w:rsidRPr="00DB5977">
        <w:rPr>
          <w:rFonts w:ascii="Verdana" w:hAnsi="Verdana"/>
          <w:sz w:val="20"/>
          <w:szCs w:val="20"/>
        </w:rPr>
        <w:t xml:space="preserve">less risky compared to other states. </w:t>
      </w:r>
      <w:r w:rsidR="006F1A85">
        <w:rPr>
          <w:rFonts w:ascii="Verdana" w:hAnsi="Verdana"/>
          <w:sz w:val="20"/>
          <w:szCs w:val="20"/>
        </w:rPr>
        <w:t xml:space="preserve">S&amp;P’s </w:t>
      </w:r>
      <w:r w:rsidR="002541B9" w:rsidRPr="00DB5977">
        <w:rPr>
          <w:rFonts w:ascii="Verdana" w:hAnsi="Verdana"/>
          <w:sz w:val="20"/>
          <w:szCs w:val="20"/>
        </w:rPr>
        <w:t>RRA Regula</w:t>
      </w:r>
      <w:r w:rsidR="00FB740D" w:rsidRPr="00DB5977">
        <w:rPr>
          <w:rFonts w:ascii="Verdana" w:hAnsi="Verdana"/>
          <w:sz w:val="20"/>
          <w:szCs w:val="20"/>
        </w:rPr>
        <w:t>tory Focus consider</w:t>
      </w:r>
      <w:r w:rsidR="00990F06" w:rsidRPr="00DB5977">
        <w:rPr>
          <w:rFonts w:ascii="Verdana" w:hAnsi="Verdana"/>
          <w:sz w:val="20"/>
          <w:szCs w:val="20"/>
        </w:rPr>
        <w:t>s</w:t>
      </w:r>
      <w:r w:rsidR="00FB740D" w:rsidRPr="00DB5977">
        <w:rPr>
          <w:rFonts w:ascii="Verdana" w:hAnsi="Verdana"/>
          <w:sz w:val="20"/>
          <w:szCs w:val="20"/>
        </w:rPr>
        <w:t xml:space="preserve"> Georgia as </w:t>
      </w:r>
      <w:r w:rsidR="003346B0" w:rsidRPr="00DB5977">
        <w:rPr>
          <w:rFonts w:ascii="Verdana" w:hAnsi="Verdana"/>
          <w:sz w:val="20"/>
          <w:szCs w:val="20"/>
        </w:rPr>
        <w:t>“Above Average/2</w:t>
      </w:r>
      <w:r w:rsidR="006F1A85">
        <w:rPr>
          <w:rFonts w:ascii="Verdana" w:hAnsi="Verdana"/>
          <w:sz w:val="20"/>
          <w:szCs w:val="20"/>
        </w:rPr>
        <w:t>,</w:t>
      </w:r>
      <w:r w:rsidR="003346B0" w:rsidRPr="00DB5977">
        <w:rPr>
          <w:rFonts w:ascii="Verdana" w:hAnsi="Verdana"/>
          <w:sz w:val="20"/>
          <w:szCs w:val="20"/>
        </w:rPr>
        <w:t>”</w:t>
      </w:r>
      <w:r w:rsidR="0076091D" w:rsidRPr="00DB5977">
        <w:rPr>
          <w:rFonts w:ascii="Verdana" w:hAnsi="Verdana"/>
          <w:sz w:val="20"/>
          <w:szCs w:val="20"/>
        </w:rPr>
        <w:t xml:space="preserve"> a ranking awarded to a select few </w:t>
      </w:r>
      <w:r w:rsidR="005628BF" w:rsidRPr="00DB5977">
        <w:rPr>
          <w:rFonts w:ascii="Verdana" w:hAnsi="Verdana"/>
          <w:sz w:val="20"/>
          <w:szCs w:val="20"/>
        </w:rPr>
        <w:t>states</w:t>
      </w:r>
      <w:r w:rsidR="00903E30" w:rsidRPr="00DB5977">
        <w:rPr>
          <w:rFonts w:ascii="Verdana" w:hAnsi="Verdana"/>
          <w:sz w:val="20"/>
          <w:szCs w:val="20"/>
        </w:rPr>
        <w:t>.</w:t>
      </w:r>
      <w:r w:rsidR="00C835BA" w:rsidRPr="00DB5977">
        <w:rPr>
          <w:rStyle w:val="FootnoteReference"/>
          <w:rFonts w:ascii="Verdana" w:hAnsi="Verdana"/>
          <w:sz w:val="20"/>
          <w:szCs w:val="20"/>
        </w:rPr>
        <w:footnoteReference w:id="17"/>
      </w:r>
      <w:r w:rsidR="00C835BA" w:rsidRPr="00DB5977">
        <w:rPr>
          <w:rFonts w:ascii="Verdana" w:hAnsi="Verdana"/>
          <w:sz w:val="20"/>
          <w:szCs w:val="20"/>
        </w:rPr>
        <w:t xml:space="preserve"> </w:t>
      </w:r>
      <w:r w:rsidR="00623C6A">
        <w:rPr>
          <w:rFonts w:ascii="Verdana" w:hAnsi="Verdana"/>
          <w:sz w:val="20"/>
          <w:szCs w:val="20"/>
        </w:rPr>
        <w:t>According to the RRA,</w:t>
      </w:r>
      <w:r w:rsidR="00A8362B">
        <w:rPr>
          <w:rFonts w:ascii="Verdana" w:hAnsi="Verdana"/>
          <w:sz w:val="20"/>
          <w:szCs w:val="20"/>
        </w:rPr>
        <w:t xml:space="preserve"> </w:t>
      </w:r>
      <w:r w:rsidR="000743C6" w:rsidRPr="00DB5977">
        <w:rPr>
          <w:rFonts w:ascii="Verdana" w:hAnsi="Verdana"/>
          <w:sz w:val="20"/>
          <w:szCs w:val="20"/>
        </w:rPr>
        <w:t xml:space="preserve">Georgia finds itself in </w:t>
      </w:r>
      <w:r w:rsidR="008138AF" w:rsidRPr="00DB5977">
        <w:rPr>
          <w:rFonts w:ascii="Verdana" w:hAnsi="Verdana"/>
          <w:sz w:val="20"/>
          <w:szCs w:val="20"/>
        </w:rPr>
        <w:t xml:space="preserve">the </w:t>
      </w:r>
      <w:r w:rsidR="00B53B92" w:rsidRPr="00DB5977">
        <w:rPr>
          <w:rFonts w:ascii="Verdana" w:hAnsi="Verdana"/>
          <w:sz w:val="20"/>
          <w:szCs w:val="20"/>
        </w:rPr>
        <w:t xml:space="preserve">minority of </w:t>
      </w:r>
      <w:r w:rsidR="002E65E3" w:rsidRPr="00DB5977">
        <w:rPr>
          <w:rFonts w:ascii="Verdana" w:hAnsi="Verdana"/>
          <w:sz w:val="20"/>
          <w:szCs w:val="20"/>
        </w:rPr>
        <w:t>state jurisdictions (23 percent) that use a forecasted test year</w:t>
      </w:r>
      <w:r w:rsidR="001A57BD">
        <w:rPr>
          <w:rFonts w:ascii="Verdana" w:hAnsi="Verdana"/>
          <w:sz w:val="20"/>
          <w:szCs w:val="20"/>
        </w:rPr>
        <w:t>,</w:t>
      </w:r>
      <w:r w:rsidR="002E65E3" w:rsidRPr="00DB5977">
        <w:rPr>
          <w:rFonts w:ascii="Verdana" w:hAnsi="Verdana"/>
          <w:sz w:val="20"/>
          <w:szCs w:val="20"/>
        </w:rPr>
        <w:t xml:space="preserve"> and </w:t>
      </w:r>
      <w:r w:rsidR="007B4FC0" w:rsidRPr="00DB5977">
        <w:rPr>
          <w:rFonts w:ascii="Verdana" w:hAnsi="Verdana"/>
          <w:sz w:val="20"/>
          <w:szCs w:val="20"/>
        </w:rPr>
        <w:t xml:space="preserve">one of </w:t>
      </w:r>
      <w:r w:rsidR="005F207F">
        <w:rPr>
          <w:rFonts w:ascii="Verdana" w:hAnsi="Verdana"/>
          <w:sz w:val="20"/>
          <w:szCs w:val="20"/>
        </w:rPr>
        <w:t xml:space="preserve">only </w:t>
      </w:r>
      <w:r w:rsidR="007B4FC0" w:rsidRPr="00DB5977">
        <w:rPr>
          <w:rFonts w:ascii="Verdana" w:hAnsi="Verdana"/>
          <w:sz w:val="20"/>
          <w:szCs w:val="20"/>
        </w:rPr>
        <w:t>six states with a multi-year rate plan</w:t>
      </w:r>
      <w:r w:rsidR="00C821EB" w:rsidRPr="00DB5977">
        <w:rPr>
          <w:rFonts w:ascii="Verdana" w:hAnsi="Verdana"/>
          <w:sz w:val="20"/>
          <w:szCs w:val="20"/>
        </w:rPr>
        <w:t xml:space="preserve">. Also, </w:t>
      </w:r>
      <w:r w:rsidR="005F207F">
        <w:rPr>
          <w:rFonts w:ascii="Verdana" w:hAnsi="Verdana"/>
          <w:sz w:val="20"/>
          <w:szCs w:val="20"/>
        </w:rPr>
        <w:t>Georgia</w:t>
      </w:r>
      <w:r w:rsidR="005F207F" w:rsidRPr="00DB5977">
        <w:rPr>
          <w:rFonts w:ascii="Verdana" w:hAnsi="Verdana"/>
          <w:sz w:val="20"/>
          <w:szCs w:val="20"/>
        </w:rPr>
        <w:t xml:space="preserve"> </w:t>
      </w:r>
      <w:r w:rsidR="00C821EB" w:rsidRPr="00DB5977">
        <w:rPr>
          <w:rFonts w:ascii="Verdana" w:hAnsi="Verdana"/>
          <w:sz w:val="20"/>
          <w:szCs w:val="20"/>
        </w:rPr>
        <w:t xml:space="preserve">is one of </w:t>
      </w:r>
      <w:r w:rsidR="005F207F">
        <w:rPr>
          <w:rFonts w:ascii="Verdana" w:hAnsi="Verdana"/>
          <w:sz w:val="20"/>
          <w:szCs w:val="20"/>
        </w:rPr>
        <w:t xml:space="preserve">only </w:t>
      </w:r>
      <w:r w:rsidR="00C821EB" w:rsidRPr="00DB5977">
        <w:rPr>
          <w:rFonts w:ascii="Verdana" w:hAnsi="Verdana"/>
          <w:sz w:val="20"/>
          <w:szCs w:val="20"/>
        </w:rPr>
        <w:t xml:space="preserve">seven states with </w:t>
      </w:r>
      <w:r w:rsidR="00441654" w:rsidRPr="00DB5977">
        <w:rPr>
          <w:rFonts w:ascii="Verdana" w:hAnsi="Verdana"/>
          <w:sz w:val="20"/>
          <w:szCs w:val="20"/>
        </w:rPr>
        <w:t>earnings sharing</w:t>
      </w:r>
      <w:r w:rsidR="000A06C6">
        <w:rPr>
          <w:rFonts w:ascii="Verdana" w:hAnsi="Verdana"/>
          <w:sz w:val="20"/>
          <w:szCs w:val="20"/>
        </w:rPr>
        <w:t>,</w:t>
      </w:r>
      <w:r w:rsidR="00441654" w:rsidRPr="00DB5977">
        <w:rPr>
          <w:rFonts w:ascii="Verdana" w:hAnsi="Verdana"/>
          <w:sz w:val="20"/>
          <w:szCs w:val="20"/>
        </w:rPr>
        <w:t xml:space="preserve"> whereby Georgia Power is currently </w:t>
      </w:r>
      <w:r w:rsidR="00441654" w:rsidRPr="00DB5977">
        <w:rPr>
          <w:rFonts w:ascii="Verdana" w:hAnsi="Verdana"/>
          <w:sz w:val="20"/>
          <w:szCs w:val="20"/>
        </w:rPr>
        <w:lastRenderedPageBreak/>
        <w:t>allowed a</w:t>
      </w:r>
      <w:r w:rsidR="000A06C6">
        <w:rPr>
          <w:rFonts w:ascii="Verdana" w:hAnsi="Verdana"/>
          <w:sz w:val="20"/>
          <w:szCs w:val="20"/>
        </w:rPr>
        <w:t>n</w:t>
      </w:r>
      <w:r w:rsidR="00441654" w:rsidRPr="00DB5977">
        <w:rPr>
          <w:rFonts w:ascii="Verdana" w:hAnsi="Verdana"/>
          <w:sz w:val="20"/>
          <w:szCs w:val="20"/>
        </w:rPr>
        <w:t xml:space="preserve"> </w:t>
      </w:r>
      <w:r w:rsidR="000A06C6">
        <w:rPr>
          <w:rFonts w:ascii="Verdana" w:hAnsi="Verdana"/>
          <w:sz w:val="20"/>
          <w:szCs w:val="20"/>
        </w:rPr>
        <w:t>ROE</w:t>
      </w:r>
      <w:r w:rsidR="00876EF4" w:rsidRPr="00DB5977">
        <w:rPr>
          <w:rFonts w:ascii="Verdana" w:hAnsi="Verdana"/>
          <w:sz w:val="20"/>
          <w:szCs w:val="20"/>
        </w:rPr>
        <w:t xml:space="preserve"> </w:t>
      </w:r>
      <w:r w:rsidR="00807062" w:rsidRPr="00DB5977">
        <w:rPr>
          <w:rFonts w:ascii="Verdana" w:hAnsi="Verdana"/>
          <w:sz w:val="20"/>
          <w:szCs w:val="20"/>
        </w:rPr>
        <w:t>within a band of 10</w:t>
      </w:r>
      <w:r w:rsidR="00275DD8">
        <w:rPr>
          <w:rFonts w:ascii="Verdana" w:hAnsi="Verdana"/>
          <w:sz w:val="20"/>
          <w:szCs w:val="20"/>
        </w:rPr>
        <w:t> </w:t>
      </w:r>
      <w:r w:rsidR="00807062" w:rsidRPr="00DB5977">
        <w:rPr>
          <w:rFonts w:ascii="Verdana" w:hAnsi="Verdana"/>
          <w:sz w:val="20"/>
          <w:szCs w:val="20"/>
        </w:rPr>
        <w:t>percent to 12 percent</w:t>
      </w:r>
      <w:r w:rsidR="00FE6B7A" w:rsidRPr="00DB5977">
        <w:rPr>
          <w:rFonts w:ascii="Verdana" w:hAnsi="Verdana"/>
          <w:sz w:val="20"/>
          <w:szCs w:val="20"/>
        </w:rPr>
        <w:t xml:space="preserve">. If </w:t>
      </w:r>
      <w:r w:rsidR="00876EF4" w:rsidRPr="00DB5977">
        <w:rPr>
          <w:rFonts w:ascii="Verdana" w:hAnsi="Verdana"/>
          <w:sz w:val="20"/>
          <w:szCs w:val="20"/>
        </w:rPr>
        <w:t>Georgia Power’s actual ROE is greater than 12 percent</w:t>
      </w:r>
      <w:r w:rsidR="00502CCD" w:rsidRPr="00DB5977">
        <w:rPr>
          <w:rFonts w:ascii="Verdana" w:hAnsi="Verdana"/>
          <w:sz w:val="20"/>
          <w:szCs w:val="20"/>
        </w:rPr>
        <w:t xml:space="preserve">, the Company is </w:t>
      </w:r>
      <w:r w:rsidR="00930929">
        <w:rPr>
          <w:rFonts w:ascii="Verdana" w:hAnsi="Verdana"/>
          <w:sz w:val="20"/>
          <w:szCs w:val="20"/>
        </w:rPr>
        <w:t>permitted</w:t>
      </w:r>
      <w:r w:rsidR="00930929" w:rsidRPr="00DB5977">
        <w:rPr>
          <w:rFonts w:ascii="Verdana" w:hAnsi="Verdana"/>
          <w:sz w:val="20"/>
          <w:szCs w:val="20"/>
        </w:rPr>
        <w:t xml:space="preserve"> </w:t>
      </w:r>
      <w:r w:rsidR="005628BF" w:rsidRPr="00DB5977">
        <w:rPr>
          <w:rFonts w:ascii="Verdana" w:hAnsi="Verdana"/>
          <w:sz w:val="20"/>
          <w:szCs w:val="20"/>
        </w:rPr>
        <w:t xml:space="preserve">to keep </w:t>
      </w:r>
      <w:r w:rsidR="00627BEB">
        <w:rPr>
          <w:rFonts w:ascii="Verdana" w:hAnsi="Verdana"/>
          <w:sz w:val="20"/>
          <w:szCs w:val="20"/>
        </w:rPr>
        <w:t>one-third</w:t>
      </w:r>
      <w:r w:rsidR="00502CCD" w:rsidRPr="00DB5977">
        <w:rPr>
          <w:rFonts w:ascii="Verdana" w:hAnsi="Verdana"/>
          <w:sz w:val="20"/>
          <w:szCs w:val="20"/>
        </w:rPr>
        <w:t xml:space="preserve"> </w:t>
      </w:r>
      <w:r w:rsidR="005628BF" w:rsidRPr="00DB5977">
        <w:rPr>
          <w:rFonts w:ascii="Verdana" w:hAnsi="Verdana"/>
          <w:sz w:val="20"/>
          <w:szCs w:val="20"/>
        </w:rPr>
        <w:t xml:space="preserve">of the overearnings </w:t>
      </w:r>
      <w:r w:rsidR="00502CCD" w:rsidRPr="00DB5977">
        <w:rPr>
          <w:rFonts w:ascii="Verdana" w:hAnsi="Verdana"/>
          <w:sz w:val="20"/>
          <w:szCs w:val="20"/>
        </w:rPr>
        <w:t>and customers receive</w:t>
      </w:r>
      <w:r w:rsidR="001F41C3" w:rsidRPr="00DB5977">
        <w:rPr>
          <w:rFonts w:ascii="Verdana" w:hAnsi="Verdana"/>
          <w:sz w:val="20"/>
          <w:szCs w:val="20"/>
        </w:rPr>
        <w:t xml:space="preserve"> </w:t>
      </w:r>
      <w:r w:rsidR="00627BEB">
        <w:rPr>
          <w:rFonts w:ascii="Verdana" w:hAnsi="Verdana"/>
          <w:sz w:val="20"/>
          <w:szCs w:val="20"/>
        </w:rPr>
        <w:t>two-thirds</w:t>
      </w:r>
      <w:r w:rsidR="00D67063" w:rsidRPr="00DB5977">
        <w:rPr>
          <w:rFonts w:ascii="Verdana" w:hAnsi="Verdana"/>
          <w:sz w:val="20"/>
          <w:szCs w:val="20"/>
        </w:rPr>
        <w:t xml:space="preserve"> of revenues</w:t>
      </w:r>
      <w:r w:rsidR="001F41C3" w:rsidRPr="00DB5977">
        <w:rPr>
          <w:rFonts w:ascii="Verdana" w:hAnsi="Verdana"/>
          <w:sz w:val="20"/>
          <w:szCs w:val="20"/>
        </w:rPr>
        <w:t>.</w:t>
      </w:r>
      <w:r w:rsidR="00FE6B7A" w:rsidRPr="00DB5977">
        <w:rPr>
          <w:rFonts w:ascii="Verdana" w:hAnsi="Verdana"/>
          <w:sz w:val="20"/>
          <w:szCs w:val="20"/>
        </w:rPr>
        <w:t xml:space="preserve"> </w:t>
      </w:r>
      <w:r w:rsidR="00DE18CB">
        <w:rPr>
          <w:rFonts w:ascii="Verdana" w:hAnsi="Verdana"/>
          <w:sz w:val="20"/>
          <w:szCs w:val="20"/>
        </w:rPr>
        <w:t>Due to Georgia’s constructive regulatory environment and low regulatory risk, Georgia Power has con</w:t>
      </w:r>
      <w:r w:rsidR="009166C3">
        <w:rPr>
          <w:rFonts w:ascii="Verdana" w:hAnsi="Verdana"/>
          <w:sz w:val="20"/>
          <w:szCs w:val="20"/>
        </w:rPr>
        <w:t>sistently earned actual ROEs within</w:t>
      </w:r>
      <w:r w:rsidR="00E56AB7">
        <w:rPr>
          <w:rFonts w:ascii="Verdana" w:hAnsi="Verdana"/>
          <w:sz w:val="20"/>
          <w:szCs w:val="20"/>
        </w:rPr>
        <w:t xml:space="preserve"> or above</w:t>
      </w:r>
      <w:r w:rsidR="009166C3">
        <w:rPr>
          <w:rFonts w:ascii="Verdana" w:hAnsi="Verdana"/>
          <w:sz w:val="20"/>
          <w:szCs w:val="20"/>
        </w:rPr>
        <w:t xml:space="preserve"> this </w:t>
      </w:r>
      <w:r w:rsidR="00990EC2">
        <w:rPr>
          <w:rFonts w:ascii="Verdana" w:hAnsi="Verdana"/>
          <w:sz w:val="20"/>
          <w:szCs w:val="20"/>
        </w:rPr>
        <w:t>band</w:t>
      </w:r>
      <w:r w:rsidR="00174FC6">
        <w:rPr>
          <w:rFonts w:ascii="Verdana" w:hAnsi="Verdana"/>
          <w:sz w:val="20"/>
          <w:szCs w:val="20"/>
        </w:rPr>
        <w:t xml:space="preserve"> over the past five years. Specifically, the Company’s actual ROE was</w:t>
      </w:r>
      <w:r w:rsidR="00174FC6" w:rsidRPr="00174FC6">
        <w:rPr>
          <w:rFonts w:ascii="Verdana" w:hAnsi="Verdana"/>
          <w:sz w:val="20"/>
          <w:szCs w:val="20"/>
        </w:rPr>
        <w:t xml:space="preserve"> 12.1 percent in 2014, 11.5 percent in 2015, 12.5 percent in 2016,</w:t>
      </w:r>
      <w:r w:rsidR="00174FC6">
        <w:rPr>
          <w:rFonts w:ascii="Verdana" w:hAnsi="Verdana"/>
          <w:sz w:val="20"/>
          <w:szCs w:val="20"/>
        </w:rPr>
        <w:t xml:space="preserve"> </w:t>
      </w:r>
      <w:r w:rsidR="00174FC6" w:rsidRPr="00174FC6">
        <w:rPr>
          <w:rFonts w:ascii="Verdana" w:hAnsi="Verdana"/>
          <w:sz w:val="20"/>
          <w:szCs w:val="20"/>
        </w:rPr>
        <w:t>11.9 percent in 2017</w:t>
      </w:r>
      <w:r w:rsidR="00174FC6">
        <w:rPr>
          <w:rFonts w:ascii="Verdana" w:hAnsi="Verdana"/>
          <w:sz w:val="20"/>
          <w:szCs w:val="20"/>
        </w:rPr>
        <w:t>, and 13.21 percent in 2018.</w:t>
      </w:r>
      <w:r w:rsidR="00A8362B">
        <w:rPr>
          <w:rStyle w:val="FootnoteReference"/>
          <w:rFonts w:ascii="Verdana" w:hAnsi="Verdana"/>
          <w:sz w:val="20"/>
          <w:szCs w:val="20"/>
        </w:rPr>
        <w:footnoteReference w:id="18"/>
      </w:r>
      <w:r w:rsidR="0025065A">
        <w:rPr>
          <w:rFonts w:ascii="Verdana" w:hAnsi="Verdana"/>
          <w:sz w:val="20"/>
          <w:szCs w:val="20"/>
        </w:rPr>
        <w:t xml:space="preserve"> </w:t>
      </w:r>
    </w:p>
    <w:p w14:paraId="4ED9B159" w14:textId="77777777" w:rsidR="00823379" w:rsidRPr="00DB5977" w:rsidRDefault="00A80FEF" w:rsidP="00486739">
      <w:pPr>
        <w:pStyle w:val="DirectQuestion"/>
      </w:pPr>
      <w:r w:rsidRPr="00DB5977">
        <w:t xml:space="preserve">please </w:t>
      </w:r>
      <w:r w:rsidR="00823379" w:rsidRPr="00DB5977">
        <w:t xml:space="preserve">Briefly describe how </w:t>
      </w:r>
      <w:r w:rsidR="00076CB8" w:rsidRPr="00DB5977">
        <w:t>DR</w:t>
      </w:r>
      <w:r w:rsidR="00870785" w:rsidRPr="00DB5977">
        <w:t xml:space="preserve">. </w:t>
      </w:r>
      <w:r w:rsidR="00525556" w:rsidRPr="00DB5977">
        <w:t xml:space="preserve">Vander </w:t>
      </w:r>
      <w:r w:rsidR="00076CB8" w:rsidRPr="00DB5977">
        <w:t>Weide</w:t>
      </w:r>
      <w:r w:rsidR="00823379" w:rsidRPr="00DB5977">
        <w:t xml:space="preserve"> choOseS the companies for h</w:t>
      </w:r>
      <w:r w:rsidR="00076CB8" w:rsidRPr="00DB5977">
        <w:t>is</w:t>
      </w:r>
      <w:r w:rsidR="00823379" w:rsidRPr="00DB5977">
        <w:t xml:space="preserve"> representative sample.</w:t>
      </w:r>
    </w:p>
    <w:p w14:paraId="1075808C" w14:textId="2ACE5A1A" w:rsidR="009C144E" w:rsidRPr="00DB5977" w:rsidRDefault="00F87292" w:rsidP="00486739">
      <w:pPr>
        <w:pStyle w:val="DirectAnswer"/>
        <w:jc w:val="both"/>
        <w:rPr>
          <w:rFonts w:ascii="Verdana" w:hAnsi="Verdana" w:cstheme="minorHAnsi"/>
          <w:sz w:val="20"/>
          <w:szCs w:val="20"/>
        </w:rPr>
      </w:pPr>
      <w:r w:rsidRPr="00DB5977">
        <w:rPr>
          <w:rFonts w:ascii="Verdana" w:hAnsi="Verdana" w:cstheme="minorHAnsi"/>
          <w:sz w:val="20"/>
          <w:szCs w:val="20"/>
        </w:rPr>
        <w:t>D</w:t>
      </w:r>
      <w:r w:rsidR="001865AE" w:rsidRPr="00DB5977">
        <w:rPr>
          <w:rFonts w:ascii="Verdana" w:hAnsi="Verdana" w:cstheme="minorHAnsi"/>
          <w:sz w:val="20"/>
          <w:szCs w:val="20"/>
        </w:rPr>
        <w:t xml:space="preserve">r. </w:t>
      </w:r>
      <w:r w:rsidR="00E40157" w:rsidRPr="00DB5977">
        <w:rPr>
          <w:rFonts w:ascii="Verdana" w:hAnsi="Verdana" w:cstheme="minorHAnsi"/>
          <w:sz w:val="20"/>
          <w:szCs w:val="20"/>
        </w:rPr>
        <w:t xml:space="preserve">Vander </w:t>
      </w:r>
      <w:proofErr w:type="spellStart"/>
      <w:r w:rsidR="001865AE" w:rsidRPr="00DB5977">
        <w:rPr>
          <w:rFonts w:ascii="Verdana" w:hAnsi="Verdana" w:cstheme="minorHAnsi"/>
          <w:sz w:val="20"/>
          <w:szCs w:val="20"/>
        </w:rPr>
        <w:t>Weide</w:t>
      </w:r>
      <w:proofErr w:type="spellEnd"/>
      <w:r w:rsidR="00B550D1" w:rsidRPr="00DB5977">
        <w:rPr>
          <w:rFonts w:ascii="Verdana" w:hAnsi="Verdana" w:cstheme="minorHAnsi"/>
          <w:sz w:val="20"/>
          <w:szCs w:val="20"/>
        </w:rPr>
        <w:t xml:space="preserve"> begins with </w:t>
      </w:r>
      <w:r w:rsidR="007C042B" w:rsidRPr="00DB5977">
        <w:rPr>
          <w:rFonts w:ascii="Verdana" w:hAnsi="Verdana" w:cstheme="minorHAnsi"/>
          <w:sz w:val="20"/>
          <w:szCs w:val="20"/>
        </w:rPr>
        <w:t>all the electric utilities followed by</w:t>
      </w:r>
      <w:r w:rsidR="00E37DFD" w:rsidRPr="00DB5977">
        <w:rPr>
          <w:rFonts w:ascii="Verdana" w:hAnsi="Verdana" w:cstheme="minorHAnsi"/>
          <w:sz w:val="20"/>
          <w:szCs w:val="20"/>
        </w:rPr>
        <w:t xml:space="preserve"> </w:t>
      </w:r>
      <w:r w:rsidR="00E37DFD" w:rsidRPr="00BD7ABD">
        <w:rPr>
          <w:rFonts w:ascii="Verdana" w:hAnsi="Verdana" w:cstheme="minorHAnsi"/>
          <w:i/>
          <w:iCs/>
          <w:sz w:val="20"/>
          <w:szCs w:val="20"/>
        </w:rPr>
        <w:t>Value Line</w:t>
      </w:r>
      <w:r w:rsidR="00066B71" w:rsidRPr="00DB5977">
        <w:rPr>
          <w:rFonts w:ascii="Verdana" w:hAnsi="Verdana" w:cstheme="minorHAnsi"/>
          <w:sz w:val="20"/>
          <w:szCs w:val="20"/>
        </w:rPr>
        <w:t>,</w:t>
      </w:r>
      <w:r w:rsidR="00E37DFD" w:rsidRPr="00DB5977">
        <w:rPr>
          <w:rFonts w:ascii="Verdana" w:hAnsi="Verdana" w:cstheme="minorHAnsi"/>
          <w:sz w:val="20"/>
          <w:szCs w:val="20"/>
        </w:rPr>
        <w:t xml:space="preserve"> and </w:t>
      </w:r>
      <w:r w:rsidR="00BD2F3A" w:rsidRPr="00DB5977">
        <w:rPr>
          <w:rFonts w:ascii="Verdana" w:hAnsi="Verdana" w:cstheme="minorHAnsi"/>
          <w:sz w:val="20"/>
          <w:szCs w:val="20"/>
        </w:rPr>
        <w:t xml:space="preserve">then </w:t>
      </w:r>
      <w:r w:rsidR="00E37DFD" w:rsidRPr="00DB5977">
        <w:rPr>
          <w:rFonts w:ascii="Verdana" w:hAnsi="Verdana" w:cstheme="minorHAnsi"/>
          <w:sz w:val="20"/>
          <w:szCs w:val="20"/>
        </w:rPr>
        <w:t xml:space="preserve">he applies a series of </w:t>
      </w:r>
      <w:r w:rsidR="00B84CD1" w:rsidRPr="00DB5977">
        <w:rPr>
          <w:rFonts w:ascii="Verdana" w:hAnsi="Verdana" w:cstheme="minorHAnsi"/>
          <w:sz w:val="20"/>
          <w:szCs w:val="20"/>
        </w:rPr>
        <w:t xml:space="preserve">sample </w:t>
      </w:r>
      <w:r w:rsidR="00E37DFD" w:rsidRPr="00DB5977">
        <w:rPr>
          <w:rFonts w:ascii="Verdana" w:hAnsi="Verdana" w:cstheme="minorHAnsi"/>
          <w:sz w:val="20"/>
          <w:szCs w:val="20"/>
        </w:rPr>
        <w:t>criteria</w:t>
      </w:r>
      <w:r w:rsidR="00A9372F" w:rsidRPr="00DB5977">
        <w:rPr>
          <w:rFonts w:ascii="Verdana" w:hAnsi="Verdana" w:cstheme="minorHAnsi"/>
          <w:sz w:val="20"/>
          <w:szCs w:val="20"/>
        </w:rPr>
        <w:t xml:space="preserve"> </w:t>
      </w:r>
      <w:r w:rsidR="00B92761">
        <w:rPr>
          <w:rFonts w:ascii="Verdana" w:hAnsi="Verdana" w:cstheme="minorHAnsi"/>
          <w:sz w:val="20"/>
          <w:szCs w:val="20"/>
        </w:rPr>
        <w:t>to</w:t>
      </w:r>
      <w:r w:rsidR="009C144E" w:rsidRPr="00DB5977">
        <w:rPr>
          <w:rFonts w:ascii="Verdana" w:hAnsi="Verdana" w:cstheme="minorHAnsi"/>
          <w:sz w:val="20"/>
          <w:szCs w:val="20"/>
        </w:rPr>
        <w:t xml:space="preserve"> include </w:t>
      </w:r>
      <w:r w:rsidR="00B92761">
        <w:rPr>
          <w:rFonts w:ascii="Verdana" w:hAnsi="Verdana" w:cstheme="minorHAnsi"/>
          <w:sz w:val="20"/>
          <w:szCs w:val="20"/>
        </w:rPr>
        <w:t>companies that</w:t>
      </w:r>
      <w:r w:rsidR="009C144E" w:rsidRPr="00DB5977">
        <w:rPr>
          <w:rFonts w:ascii="Verdana" w:hAnsi="Verdana" w:cstheme="minorHAnsi"/>
          <w:sz w:val="20"/>
          <w:szCs w:val="20"/>
        </w:rPr>
        <w:t>:</w:t>
      </w:r>
    </w:p>
    <w:p w14:paraId="06D12CD7" w14:textId="77777777" w:rsidR="00C952D1" w:rsidRPr="005466FA" w:rsidRDefault="00EF5CD0" w:rsidP="005466FA">
      <w:pPr>
        <w:pStyle w:val="ListParagraph"/>
        <w:numPr>
          <w:ilvl w:val="0"/>
          <w:numId w:val="44"/>
        </w:numPr>
        <w:spacing w:before="240" w:after="240" w:line="240" w:lineRule="auto"/>
        <w:ind w:left="1440"/>
        <w:contextualSpacing w:val="0"/>
        <w:rPr>
          <w:rFonts w:ascii="Verdana" w:hAnsi="Verdana"/>
          <w:sz w:val="20"/>
          <w:szCs w:val="20"/>
        </w:rPr>
      </w:pPr>
      <w:r w:rsidRPr="005466FA">
        <w:rPr>
          <w:rFonts w:ascii="Verdana" w:hAnsi="Verdana"/>
          <w:sz w:val="20"/>
          <w:szCs w:val="20"/>
        </w:rPr>
        <w:t>Have an investment-grade bond rating</w:t>
      </w:r>
      <w:r w:rsidR="00C952D1" w:rsidRPr="005466FA">
        <w:rPr>
          <w:rFonts w:ascii="Verdana" w:hAnsi="Verdana"/>
          <w:sz w:val="20"/>
          <w:szCs w:val="20"/>
        </w:rPr>
        <w:t>;</w:t>
      </w:r>
    </w:p>
    <w:p w14:paraId="21B1ED81" w14:textId="77777777" w:rsidR="00DA7DC4" w:rsidRPr="005466FA" w:rsidRDefault="00EF5CD0" w:rsidP="005466FA">
      <w:pPr>
        <w:pStyle w:val="ListParagraph"/>
        <w:numPr>
          <w:ilvl w:val="0"/>
          <w:numId w:val="44"/>
        </w:numPr>
        <w:spacing w:before="240" w:after="240" w:line="240" w:lineRule="auto"/>
        <w:ind w:left="1440"/>
        <w:contextualSpacing w:val="0"/>
        <w:rPr>
          <w:rFonts w:ascii="Verdana" w:hAnsi="Verdana"/>
          <w:sz w:val="20"/>
          <w:szCs w:val="20"/>
        </w:rPr>
      </w:pPr>
      <w:r w:rsidRPr="005466FA">
        <w:rPr>
          <w:rFonts w:ascii="Verdana" w:hAnsi="Verdana"/>
          <w:sz w:val="20"/>
          <w:szCs w:val="20"/>
        </w:rPr>
        <w:t>Paid dividends during every quart</w:t>
      </w:r>
      <w:r w:rsidR="009E540A" w:rsidRPr="005466FA">
        <w:rPr>
          <w:rFonts w:ascii="Verdana" w:hAnsi="Verdana"/>
          <w:sz w:val="20"/>
          <w:szCs w:val="20"/>
        </w:rPr>
        <w:t>er</w:t>
      </w:r>
      <w:r w:rsidR="00134DDC" w:rsidRPr="005466FA">
        <w:rPr>
          <w:rFonts w:ascii="Verdana" w:hAnsi="Verdana"/>
          <w:sz w:val="20"/>
          <w:szCs w:val="20"/>
        </w:rPr>
        <w:t xml:space="preserve"> of the last two years</w:t>
      </w:r>
      <w:r w:rsidR="00F25C15" w:rsidRPr="005466FA">
        <w:rPr>
          <w:rFonts w:ascii="Verdana" w:hAnsi="Verdana"/>
          <w:sz w:val="20"/>
          <w:szCs w:val="20"/>
        </w:rPr>
        <w:t>;</w:t>
      </w:r>
    </w:p>
    <w:p w14:paraId="41F12696" w14:textId="77777777" w:rsidR="0054105C" w:rsidRPr="005466FA" w:rsidRDefault="00DA7DC4" w:rsidP="005466FA">
      <w:pPr>
        <w:pStyle w:val="ListParagraph"/>
        <w:numPr>
          <w:ilvl w:val="0"/>
          <w:numId w:val="44"/>
        </w:numPr>
        <w:spacing w:before="240" w:after="240" w:line="240" w:lineRule="auto"/>
        <w:ind w:left="1440"/>
        <w:contextualSpacing w:val="0"/>
        <w:rPr>
          <w:rFonts w:ascii="Verdana" w:hAnsi="Verdana"/>
          <w:sz w:val="20"/>
          <w:szCs w:val="20"/>
        </w:rPr>
      </w:pPr>
      <w:r w:rsidRPr="005466FA">
        <w:rPr>
          <w:rFonts w:ascii="Verdana" w:hAnsi="Verdana"/>
          <w:sz w:val="20"/>
          <w:szCs w:val="20"/>
        </w:rPr>
        <w:t>Did not decrease dividends during any quarter of the last two years</w:t>
      </w:r>
      <w:r w:rsidR="0054105C" w:rsidRPr="005466FA">
        <w:rPr>
          <w:rFonts w:ascii="Verdana" w:hAnsi="Verdana"/>
          <w:sz w:val="20"/>
          <w:szCs w:val="20"/>
        </w:rPr>
        <w:t>;</w:t>
      </w:r>
    </w:p>
    <w:p w14:paraId="5B620F39" w14:textId="77777777" w:rsidR="002771FB" w:rsidRPr="005466FA" w:rsidRDefault="0054105C" w:rsidP="005466FA">
      <w:pPr>
        <w:pStyle w:val="ListParagraph"/>
        <w:numPr>
          <w:ilvl w:val="0"/>
          <w:numId w:val="44"/>
        </w:numPr>
        <w:spacing w:before="240" w:after="240" w:line="240" w:lineRule="auto"/>
        <w:ind w:left="1440"/>
        <w:contextualSpacing w:val="0"/>
        <w:rPr>
          <w:rFonts w:ascii="Verdana" w:hAnsi="Verdana"/>
          <w:sz w:val="20"/>
          <w:szCs w:val="20"/>
        </w:rPr>
      </w:pPr>
      <w:r w:rsidRPr="005466FA">
        <w:rPr>
          <w:rFonts w:ascii="Verdana" w:hAnsi="Verdana"/>
          <w:sz w:val="20"/>
          <w:szCs w:val="20"/>
        </w:rPr>
        <w:t>Have a positive I/B/E/S long-term growth forecast</w:t>
      </w:r>
      <w:r w:rsidR="002771FB" w:rsidRPr="005466FA">
        <w:rPr>
          <w:rFonts w:ascii="Verdana" w:hAnsi="Verdana"/>
          <w:sz w:val="20"/>
          <w:szCs w:val="20"/>
        </w:rPr>
        <w:t xml:space="preserve">; and </w:t>
      </w:r>
    </w:p>
    <w:p w14:paraId="5BEEE987" w14:textId="77777777" w:rsidR="00DE4ADB" w:rsidRPr="005466FA" w:rsidRDefault="002771FB" w:rsidP="005466FA">
      <w:pPr>
        <w:pStyle w:val="ListParagraph"/>
        <w:numPr>
          <w:ilvl w:val="0"/>
          <w:numId w:val="44"/>
        </w:numPr>
        <w:spacing w:before="240" w:after="240" w:line="240" w:lineRule="auto"/>
        <w:ind w:left="1440"/>
        <w:contextualSpacing w:val="0"/>
        <w:rPr>
          <w:rFonts w:ascii="Verdana" w:hAnsi="Verdana"/>
          <w:sz w:val="20"/>
          <w:szCs w:val="20"/>
        </w:rPr>
      </w:pPr>
      <w:r w:rsidRPr="005466FA">
        <w:rPr>
          <w:rFonts w:ascii="Verdana" w:hAnsi="Verdana"/>
          <w:sz w:val="20"/>
          <w:szCs w:val="20"/>
        </w:rPr>
        <w:t xml:space="preserve">Are not the subject of a merger offer that has not been </w:t>
      </w:r>
      <w:proofErr w:type="gramStart"/>
      <w:r w:rsidRPr="005466FA">
        <w:rPr>
          <w:rFonts w:ascii="Verdana" w:hAnsi="Verdana"/>
          <w:sz w:val="20"/>
          <w:szCs w:val="20"/>
        </w:rPr>
        <w:t>completed</w:t>
      </w:r>
      <w:r w:rsidR="0037467D" w:rsidRPr="005466FA">
        <w:rPr>
          <w:rFonts w:ascii="Verdana" w:hAnsi="Verdana"/>
          <w:sz w:val="20"/>
          <w:szCs w:val="20"/>
        </w:rPr>
        <w:t>.</w:t>
      </w:r>
      <w:proofErr w:type="gramEnd"/>
      <w:r w:rsidR="0025065A" w:rsidRPr="005466FA">
        <w:rPr>
          <w:rFonts w:ascii="Verdana" w:hAnsi="Verdana"/>
          <w:sz w:val="20"/>
          <w:szCs w:val="20"/>
        </w:rPr>
        <w:t xml:space="preserve"> </w:t>
      </w:r>
    </w:p>
    <w:p w14:paraId="7781C87D" w14:textId="77777777" w:rsidR="00B35FCD" w:rsidRPr="00DB5977" w:rsidRDefault="00E40157" w:rsidP="00486739">
      <w:pPr>
        <w:pStyle w:val="DirectAnswer"/>
        <w:numPr>
          <w:ilvl w:val="0"/>
          <w:numId w:val="0"/>
        </w:numPr>
        <w:ind w:left="720"/>
        <w:jc w:val="both"/>
        <w:rPr>
          <w:rFonts w:ascii="Verdana" w:hAnsi="Verdana"/>
          <w:sz w:val="20"/>
          <w:szCs w:val="20"/>
        </w:rPr>
      </w:pPr>
      <w:r w:rsidRPr="00DB5977">
        <w:rPr>
          <w:rFonts w:ascii="Verdana" w:hAnsi="Verdana"/>
          <w:sz w:val="20"/>
          <w:szCs w:val="20"/>
        </w:rPr>
        <w:lastRenderedPageBreak/>
        <w:t>He</w:t>
      </w:r>
      <w:r w:rsidR="0037467D" w:rsidRPr="00DB5977">
        <w:rPr>
          <w:rFonts w:ascii="Verdana" w:hAnsi="Verdana"/>
          <w:sz w:val="20"/>
          <w:szCs w:val="20"/>
        </w:rPr>
        <w:t xml:space="preserve"> also notes that each of </w:t>
      </w:r>
      <w:r w:rsidR="006A3DCD" w:rsidRPr="00DB5977">
        <w:rPr>
          <w:rFonts w:ascii="Verdana" w:hAnsi="Verdana"/>
          <w:sz w:val="20"/>
          <w:szCs w:val="20"/>
        </w:rPr>
        <w:t xml:space="preserve">the utilities in his comparable </w:t>
      </w:r>
      <w:r w:rsidR="0094390B" w:rsidRPr="00DB5977">
        <w:rPr>
          <w:rFonts w:ascii="Verdana" w:hAnsi="Verdana"/>
          <w:sz w:val="20"/>
          <w:szCs w:val="20"/>
        </w:rPr>
        <w:t xml:space="preserve">electric utility group has a </w:t>
      </w:r>
      <w:r w:rsidR="003A0E5C" w:rsidRPr="003A0E5C">
        <w:rPr>
          <w:rFonts w:ascii="Verdana" w:hAnsi="Verdana"/>
          <w:i/>
          <w:sz w:val="20"/>
          <w:szCs w:val="20"/>
        </w:rPr>
        <w:t>Value Line</w:t>
      </w:r>
      <w:r w:rsidR="0094390B" w:rsidRPr="00DB5977">
        <w:rPr>
          <w:rFonts w:ascii="Verdana" w:hAnsi="Verdana"/>
          <w:sz w:val="20"/>
          <w:szCs w:val="20"/>
        </w:rPr>
        <w:t xml:space="preserve"> Safety Rank of 1, 2, or 3.</w:t>
      </w:r>
      <w:r w:rsidR="00CB79ED" w:rsidRPr="00DB5977">
        <w:rPr>
          <w:rFonts w:ascii="Verdana" w:hAnsi="Verdana"/>
          <w:sz w:val="20"/>
          <w:szCs w:val="20"/>
        </w:rPr>
        <w:t xml:space="preserve"> </w:t>
      </w:r>
      <w:r w:rsidR="006B1D6F" w:rsidRPr="00DB5977">
        <w:rPr>
          <w:rFonts w:ascii="Verdana" w:hAnsi="Verdana"/>
          <w:sz w:val="20"/>
          <w:szCs w:val="20"/>
        </w:rPr>
        <w:t>(</w:t>
      </w:r>
      <w:r w:rsidR="006B1D6F" w:rsidRPr="00DB5977">
        <w:rPr>
          <w:rFonts w:ascii="Verdana" w:hAnsi="Verdana"/>
          <w:i/>
          <w:iCs/>
          <w:sz w:val="20"/>
          <w:szCs w:val="20"/>
          <w:u w:val="single"/>
        </w:rPr>
        <w:t>See</w:t>
      </w:r>
      <w:r w:rsidR="006B1D6F" w:rsidRPr="00DB5977">
        <w:rPr>
          <w:rFonts w:ascii="Verdana" w:hAnsi="Verdana"/>
          <w:sz w:val="20"/>
          <w:szCs w:val="20"/>
        </w:rPr>
        <w:t xml:space="preserve"> </w:t>
      </w:r>
      <w:r w:rsidRPr="00DB5977">
        <w:rPr>
          <w:rFonts w:ascii="Verdana" w:hAnsi="Verdana"/>
          <w:sz w:val="20"/>
          <w:szCs w:val="20"/>
        </w:rPr>
        <w:t xml:space="preserve">Vander </w:t>
      </w:r>
      <w:proofErr w:type="spellStart"/>
      <w:r w:rsidR="00CB79ED" w:rsidRPr="00DB5977">
        <w:rPr>
          <w:rFonts w:ascii="Verdana" w:hAnsi="Verdana"/>
          <w:sz w:val="20"/>
          <w:szCs w:val="20"/>
        </w:rPr>
        <w:t>Weide</w:t>
      </w:r>
      <w:proofErr w:type="spellEnd"/>
      <w:r w:rsidR="006B1D6F" w:rsidRPr="00DB5977">
        <w:rPr>
          <w:rFonts w:ascii="Verdana" w:hAnsi="Verdana"/>
          <w:sz w:val="20"/>
          <w:szCs w:val="20"/>
        </w:rPr>
        <w:t xml:space="preserve"> Direct Testimony</w:t>
      </w:r>
      <w:r w:rsidR="007417C9">
        <w:rPr>
          <w:rFonts w:ascii="Verdana" w:hAnsi="Verdana"/>
          <w:sz w:val="20"/>
          <w:szCs w:val="20"/>
        </w:rPr>
        <w:t xml:space="preserve">, </w:t>
      </w:r>
      <w:r w:rsidR="0027759C" w:rsidRPr="00DB5977">
        <w:rPr>
          <w:rFonts w:ascii="Verdana" w:hAnsi="Verdana"/>
          <w:sz w:val="20"/>
          <w:szCs w:val="20"/>
        </w:rPr>
        <w:t>29</w:t>
      </w:r>
      <w:r w:rsidR="007417C9">
        <w:rPr>
          <w:rFonts w:ascii="Verdana" w:hAnsi="Verdana"/>
          <w:sz w:val="20"/>
          <w:szCs w:val="20"/>
        </w:rPr>
        <w:t>:</w:t>
      </w:r>
      <w:r w:rsidR="0027759C" w:rsidRPr="00DB5977">
        <w:rPr>
          <w:rFonts w:ascii="Verdana" w:hAnsi="Verdana"/>
          <w:sz w:val="20"/>
          <w:szCs w:val="20"/>
        </w:rPr>
        <w:t>23</w:t>
      </w:r>
      <w:r w:rsidR="00275DD8">
        <w:rPr>
          <w:rFonts w:ascii="Verdana" w:hAnsi="Verdana"/>
          <w:sz w:val="20"/>
          <w:szCs w:val="20"/>
        </w:rPr>
        <w:noBreakHyphen/>
      </w:r>
      <w:r w:rsidR="0027759C" w:rsidRPr="00DB5977">
        <w:rPr>
          <w:rFonts w:ascii="Verdana" w:hAnsi="Verdana"/>
          <w:sz w:val="20"/>
          <w:szCs w:val="20"/>
        </w:rPr>
        <w:t>28</w:t>
      </w:r>
      <w:r w:rsidR="006B1D6F" w:rsidRPr="00DB5977">
        <w:rPr>
          <w:rFonts w:ascii="Verdana" w:hAnsi="Verdana"/>
          <w:sz w:val="20"/>
          <w:szCs w:val="20"/>
        </w:rPr>
        <w:t>.)</w:t>
      </w:r>
      <w:r w:rsidR="0025065A">
        <w:rPr>
          <w:rFonts w:ascii="Verdana" w:hAnsi="Verdana"/>
          <w:sz w:val="20"/>
          <w:szCs w:val="20"/>
        </w:rPr>
        <w:t xml:space="preserve"> </w:t>
      </w:r>
      <w:r w:rsidR="0059396D" w:rsidRPr="00DB5977">
        <w:rPr>
          <w:rFonts w:ascii="Verdana" w:hAnsi="Verdana"/>
          <w:sz w:val="20"/>
          <w:szCs w:val="20"/>
        </w:rPr>
        <w:t xml:space="preserve">As a result of applying the above criteria, </w:t>
      </w:r>
      <w:r w:rsidR="00DE4ADB" w:rsidRPr="00DB5977">
        <w:rPr>
          <w:rFonts w:ascii="Verdana" w:hAnsi="Verdana"/>
          <w:sz w:val="20"/>
          <w:szCs w:val="20"/>
        </w:rPr>
        <w:t xml:space="preserve">Dr. </w:t>
      </w:r>
      <w:r w:rsidR="00B052DD" w:rsidRPr="00DB5977">
        <w:rPr>
          <w:rFonts w:ascii="Verdana" w:hAnsi="Verdana"/>
          <w:sz w:val="20"/>
          <w:szCs w:val="20"/>
        </w:rPr>
        <w:t xml:space="preserve">Vander </w:t>
      </w:r>
      <w:proofErr w:type="spellStart"/>
      <w:r w:rsidR="00DE4ADB" w:rsidRPr="00DB5977">
        <w:rPr>
          <w:rFonts w:ascii="Verdana" w:hAnsi="Verdana"/>
          <w:sz w:val="20"/>
          <w:szCs w:val="20"/>
        </w:rPr>
        <w:t>Weide’</w:t>
      </w:r>
      <w:r w:rsidR="00C25186" w:rsidRPr="00DB5977">
        <w:rPr>
          <w:rFonts w:ascii="Verdana" w:hAnsi="Verdana"/>
          <w:sz w:val="20"/>
          <w:szCs w:val="20"/>
        </w:rPr>
        <w:t>s</w:t>
      </w:r>
      <w:proofErr w:type="spellEnd"/>
      <w:r w:rsidR="00C25186" w:rsidRPr="00DB5977">
        <w:rPr>
          <w:rFonts w:ascii="Verdana" w:hAnsi="Verdana"/>
          <w:sz w:val="20"/>
          <w:szCs w:val="20"/>
        </w:rPr>
        <w:t xml:space="preserve"> proxy group consists of </w:t>
      </w:r>
      <w:r w:rsidR="008D1663" w:rsidRPr="00DB5977">
        <w:rPr>
          <w:rFonts w:ascii="Verdana" w:hAnsi="Verdana"/>
          <w:sz w:val="20"/>
          <w:szCs w:val="20"/>
        </w:rPr>
        <w:t>28</w:t>
      </w:r>
      <w:r w:rsidR="00C25186" w:rsidRPr="00DB5977">
        <w:rPr>
          <w:rFonts w:ascii="Verdana" w:hAnsi="Verdana"/>
          <w:sz w:val="20"/>
          <w:szCs w:val="20"/>
        </w:rPr>
        <w:t xml:space="preserve"> electric utili</w:t>
      </w:r>
      <w:r w:rsidR="008029CE" w:rsidRPr="00DB5977">
        <w:rPr>
          <w:rFonts w:ascii="Verdana" w:hAnsi="Verdana"/>
          <w:sz w:val="20"/>
          <w:szCs w:val="20"/>
        </w:rPr>
        <w:t>ti</w:t>
      </w:r>
      <w:r w:rsidR="00C25186" w:rsidRPr="00DB5977">
        <w:rPr>
          <w:rFonts w:ascii="Verdana" w:hAnsi="Verdana"/>
          <w:sz w:val="20"/>
          <w:szCs w:val="20"/>
        </w:rPr>
        <w:t>es.</w:t>
      </w:r>
    </w:p>
    <w:p w14:paraId="48F56B8E" w14:textId="77777777" w:rsidR="00823379" w:rsidRPr="00DB5977" w:rsidRDefault="00823379" w:rsidP="00486739">
      <w:pPr>
        <w:pStyle w:val="DirectQuestion"/>
      </w:pPr>
      <w:r w:rsidRPr="00DB5977">
        <w:t xml:space="preserve">Is </w:t>
      </w:r>
      <w:r w:rsidR="005D7BBC" w:rsidRPr="00DB5977">
        <w:t>Dr</w:t>
      </w:r>
      <w:r w:rsidRPr="00DB5977">
        <w:t xml:space="preserve">. </w:t>
      </w:r>
      <w:r w:rsidR="00FA62CF" w:rsidRPr="00DB5977">
        <w:t xml:space="preserve">Vander </w:t>
      </w:r>
      <w:r w:rsidR="005D7BBC" w:rsidRPr="00DB5977">
        <w:t>weide</w:t>
      </w:r>
      <w:r w:rsidRPr="00DB5977">
        <w:t xml:space="preserve">’s sample </w:t>
      </w:r>
      <w:r w:rsidR="00656E79" w:rsidRPr="00DB5977">
        <w:t xml:space="preserve">of </w:t>
      </w:r>
      <w:r w:rsidR="00C22B2B" w:rsidRPr="00DB5977">
        <w:t>Electric</w:t>
      </w:r>
      <w:r w:rsidR="00656E79" w:rsidRPr="00DB5977">
        <w:t xml:space="preserve"> utilities </w:t>
      </w:r>
      <w:r w:rsidRPr="00DB5977">
        <w:t xml:space="preserve">an ideal proxy group for </w:t>
      </w:r>
      <w:r w:rsidR="005D7BBC" w:rsidRPr="00DB5977">
        <w:t>georg</w:t>
      </w:r>
      <w:r w:rsidR="008B2B76" w:rsidRPr="00DB5977">
        <w:t>ia power</w:t>
      </w:r>
      <w:r w:rsidRPr="00DB5977">
        <w:t>?</w:t>
      </w:r>
    </w:p>
    <w:p w14:paraId="0A2C0214" w14:textId="06B8D24D" w:rsidR="00823379" w:rsidRPr="00DB5977" w:rsidRDefault="00823379" w:rsidP="00486739">
      <w:pPr>
        <w:pStyle w:val="DirectAnswer"/>
        <w:jc w:val="both"/>
        <w:rPr>
          <w:rFonts w:ascii="Verdana" w:hAnsi="Verdana" w:cstheme="minorHAnsi"/>
          <w:sz w:val="20"/>
          <w:szCs w:val="20"/>
        </w:rPr>
      </w:pPr>
      <w:r w:rsidRPr="00DB5977">
        <w:rPr>
          <w:rFonts w:ascii="Verdana" w:hAnsi="Verdana" w:cstheme="minorHAnsi"/>
          <w:sz w:val="20"/>
          <w:szCs w:val="20"/>
        </w:rPr>
        <w:t>No.</w:t>
      </w:r>
      <w:r w:rsidR="0025065A">
        <w:rPr>
          <w:rFonts w:ascii="Verdana" w:hAnsi="Verdana" w:cstheme="minorHAnsi"/>
          <w:sz w:val="20"/>
          <w:szCs w:val="20"/>
        </w:rPr>
        <w:t xml:space="preserve"> </w:t>
      </w:r>
      <w:r w:rsidR="008029CE" w:rsidRPr="00DB5977">
        <w:rPr>
          <w:rFonts w:ascii="Verdana" w:hAnsi="Verdana" w:cstheme="minorHAnsi"/>
          <w:sz w:val="20"/>
          <w:szCs w:val="20"/>
        </w:rPr>
        <w:t xml:space="preserve">Although I </w:t>
      </w:r>
      <w:r w:rsidR="0047154A" w:rsidRPr="00DB5977">
        <w:rPr>
          <w:rFonts w:ascii="Verdana" w:hAnsi="Verdana" w:cstheme="minorHAnsi"/>
          <w:sz w:val="20"/>
          <w:szCs w:val="20"/>
        </w:rPr>
        <w:t xml:space="preserve">do not disagree with </w:t>
      </w:r>
      <w:r w:rsidR="00957818" w:rsidRPr="00DB5977">
        <w:rPr>
          <w:rFonts w:ascii="Verdana" w:hAnsi="Verdana" w:cstheme="minorHAnsi"/>
          <w:sz w:val="20"/>
          <w:szCs w:val="20"/>
        </w:rPr>
        <w:t>his</w:t>
      </w:r>
      <w:r w:rsidR="0047154A" w:rsidRPr="00DB5977">
        <w:rPr>
          <w:rFonts w:ascii="Verdana" w:hAnsi="Verdana" w:cstheme="minorHAnsi"/>
          <w:sz w:val="20"/>
          <w:szCs w:val="20"/>
        </w:rPr>
        <w:t xml:space="preserve"> qualit</w:t>
      </w:r>
      <w:r w:rsidR="009F3039" w:rsidRPr="00DB5977">
        <w:rPr>
          <w:rFonts w:ascii="Verdana" w:hAnsi="Verdana" w:cstheme="minorHAnsi"/>
          <w:sz w:val="20"/>
          <w:szCs w:val="20"/>
        </w:rPr>
        <w:t>ative and quantitative</w:t>
      </w:r>
      <w:r w:rsidR="009A0F37" w:rsidRPr="00DB5977">
        <w:rPr>
          <w:rFonts w:ascii="Verdana" w:hAnsi="Verdana" w:cstheme="minorHAnsi"/>
          <w:sz w:val="20"/>
          <w:szCs w:val="20"/>
        </w:rPr>
        <w:t xml:space="preserve"> criteria</w:t>
      </w:r>
      <w:r w:rsidR="00EA0D23" w:rsidRPr="00DB5977">
        <w:rPr>
          <w:rFonts w:ascii="Verdana" w:hAnsi="Verdana" w:cstheme="minorHAnsi"/>
          <w:sz w:val="20"/>
          <w:szCs w:val="20"/>
        </w:rPr>
        <w:t xml:space="preserve"> or screens</w:t>
      </w:r>
      <w:r w:rsidR="009A0F37" w:rsidRPr="00DB5977">
        <w:rPr>
          <w:rFonts w:ascii="Verdana" w:hAnsi="Verdana" w:cstheme="minorHAnsi"/>
          <w:sz w:val="20"/>
          <w:szCs w:val="20"/>
        </w:rPr>
        <w:t>, he include</w:t>
      </w:r>
      <w:r w:rsidR="00C109DC" w:rsidRPr="00DB5977">
        <w:rPr>
          <w:rFonts w:ascii="Verdana" w:hAnsi="Verdana" w:cstheme="minorHAnsi"/>
          <w:sz w:val="20"/>
          <w:szCs w:val="20"/>
        </w:rPr>
        <w:t>s</w:t>
      </w:r>
      <w:r w:rsidR="009A0F37" w:rsidRPr="00DB5977">
        <w:rPr>
          <w:rFonts w:ascii="Verdana" w:hAnsi="Verdana" w:cstheme="minorHAnsi"/>
          <w:sz w:val="20"/>
          <w:szCs w:val="20"/>
        </w:rPr>
        <w:t xml:space="preserve"> </w:t>
      </w:r>
      <w:r w:rsidR="00A8362B">
        <w:rPr>
          <w:rFonts w:ascii="Verdana" w:hAnsi="Verdana" w:cstheme="minorHAnsi"/>
          <w:sz w:val="20"/>
          <w:szCs w:val="20"/>
        </w:rPr>
        <w:t>a couple</w:t>
      </w:r>
      <w:r w:rsidR="00A8362B" w:rsidRPr="00DB5977">
        <w:rPr>
          <w:rFonts w:ascii="Verdana" w:hAnsi="Verdana" w:cstheme="minorHAnsi"/>
          <w:sz w:val="20"/>
          <w:szCs w:val="20"/>
        </w:rPr>
        <w:t xml:space="preserve"> </w:t>
      </w:r>
      <w:r w:rsidR="00C462E9" w:rsidRPr="00DB5977">
        <w:rPr>
          <w:rFonts w:ascii="Verdana" w:hAnsi="Verdana" w:cstheme="minorHAnsi"/>
          <w:sz w:val="20"/>
          <w:szCs w:val="20"/>
        </w:rPr>
        <w:t>compan</w:t>
      </w:r>
      <w:r w:rsidR="007D6F53" w:rsidRPr="00DB5977">
        <w:rPr>
          <w:rFonts w:ascii="Verdana" w:hAnsi="Verdana" w:cstheme="minorHAnsi"/>
          <w:sz w:val="20"/>
          <w:szCs w:val="20"/>
        </w:rPr>
        <w:t>ies</w:t>
      </w:r>
      <w:r w:rsidR="009A0F37" w:rsidRPr="00DB5977">
        <w:rPr>
          <w:rFonts w:ascii="Verdana" w:hAnsi="Verdana" w:cstheme="minorHAnsi"/>
          <w:sz w:val="20"/>
          <w:szCs w:val="20"/>
        </w:rPr>
        <w:t xml:space="preserve"> </w:t>
      </w:r>
      <w:r w:rsidR="00304E9A" w:rsidRPr="00DB5977">
        <w:rPr>
          <w:rFonts w:ascii="Verdana" w:hAnsi="Verdana" w:cstheme="minorHAnsi"/>
          <w:sz w:val="20"/>
          <w:szCs w:val="20"/>
        </w:rPr>
        <w:t>th</w:t>
      </w:r>
      <w:r w:rsidR="00F57527" w:rsidRPr="00DB5977">
        <w:rPr>
          <w:rFonts w:ascii="Verdana" w:hAnsi="Verdana" w:cstheme="minorHAnsi"/>
          <w:sz w:val="20"/>
          <w:szCs w:val="20"/>
        </w:rPr>
        <w:t>at</w:t>
      </w:r>
      <w:r w:rsidR="00304E9A" w:rsidRPr="00DB5977">
        <w:rPr>
          <w:rFonts w:ascii="Verdana" w:hAnsi="Verdana" w:cstheme="minorHAnsi"/>
          <w:sz w:val="20"/>
          <w:szCs w:val="20"/>
        </w:rPr>
        <w:t xml:space="preserve"> fail to meet his criter</w:t>
      </w:r>
      <w:r w:rsidR="00B9599D" w:rsidRPr="00DB5977">
        <w:rPr>
          <w:rFonts w:ascii="Verdana" w:hAnsi="Verdana" w:cstheme="minorHAnsi"/>
          <w:sz w:val="20"/>
          <w:szCs w:val="20"/>
        </w:rPr>
        <w:t>ia</w:t>
      </w:r>
      <w:r w:rsidR="00EB71E1" w:rsidRPr="00DB5977">
        <w:rPr>
          <w:rFonts w:ascii="Verdana" w:hAnsi="Verdana" w:cstheme="minorHAnsi"/>
          <w:sz w:val="20"/>
          <w:szCs w:val="20"/>
        </w:rPr>
        <w:t>.</w:t>
      </w:r>
    </w:p>
    <w:p w14:paraId="5558646C" w14:textId="77777777" w:rsidR="00823379" w:rsidRPr="00DB5977" w:rsidRDefault="00823379" w:rsidP="00486739">
      <w:pPr>
        <w:pStyle w:val="DirectQuestion"/>
      </w:pPr>
      <w:r w:rsidRPr="00DB5977">
        <w:t>WHAT ADJUSTMENTS D</w:t>
      </w:r>
      <w:r w:rsidR="006825DD" w:rsidRPr="00DB5977">
        <w:t>O</w:t>
      </w:r>
      <w:r w:rsidRPr="00DB5977">
        <w:t xml:space="preserve"> YOU MAKE TO </w:t>
      </w:r>
      <w:r w:rsidR="00FA62CF" w:rsidRPr="00DB5977">
        <w:t>hi</w:t>
      </w:r>
      <w:r w:rsidR="007D4463" w:rsidRPr="00DB5977">
        <w:t>s</w:t>
      </w:r>
      <w:r w:rsidRPr="00DB5977">
        <w:t xml:space="preserve"> PROXY GROUP?</w:t>
      </w:r>
    </w:p>
    <w:p w14:paraId="3B11750D" w14:textId="71A2F528" w:rsidR="00943EA3" w:rsidRPr="00DB5977" w:rsidRDefault="00FF0B10" w:rsidP="00486739">
      <w:pPr>
        <w:pStyle w:val="DirectAnswer"/>
        <w:numPr>
          <w:ilvl w:val="0"/>
          <w:numId w:val="0"/>
        </w:numPr>
        <w:ind w:left="720"/>
        <w:jc w:val="both"/>
        <w:rPr>
          <w:rFonts w:ascii="Verdana" w:hAnsi="Verdana" w:cstheme="minorHAnsi"/>
          <w:sz w:val="20"/>
          <w:szCs w:val="20"/>
        </w:rPr>
      </w:pPr>
      <w:r w:rsidRPr="00DB5977">
        <w:rPr>
          <w:rFonts w:ascii="Verdana" w:hAnsi="Verdana" w:cstheme="minorHAnsi"/>
          <w:sz w:val="20"/>
          <w:szCs w:val="20"/>
        </w:rPr>
        <w:t xml:space="preserve">I </w:t>
      </w:r>
      <w:r w:rsidR="003C3CCC" w:rsidRPr="00DB5977">
        <w:rPr>
          <w:rFonts w:ascii="Verdana" w:hAnsi="Verdana" w:cstheme="minorHAnsi"/>
          <w:sz w:val="20"/>
          <w:szCs w:val="20"/>
        </w:rPr>
        <w:t>e</w:t>
      </w:r>
      <w:r w:rsidR="007C68B1" w:rsidRPr="00DB5977">
        <w:rPr>
          <w:rFonts w:ascii="Verdana" w:hAnsi="Verdana" w:cstheme="minorHAnsi"/>
          <w:sz w:val="20"/>
          <w:szCs w:val="20"/>
        </w:rPr>
        <w:t xml:space="preserve">xclude </w:t>
      </w:r>
      <w:proofErr w:type="spellStart"/>
      <w:r w:rsidR="007C68B1" w:rsidRPr="00DB5977">
        <w:rPr>
          <w:rFonts w:ascii="Verdana" w:hAnsi="Verdana" w:cstheme="minorHAnsi"/>
          <w:sz w:val="20"/>
          <w:szCs w:val="20"/>
        </w:rPr>
        <w:t>Evergy</w:t>
      </w:r>
      <w:proofErr w:type="spellEnd"/>
      <w:r w:rsidR="007C68B1" w:rsidRPr="00DB5977">
        <w:rPr>
          <w:rFonts w:ascii="Verdana" w:hAnsi="Verdana" w:cstheme="minorHAnsi"/>
          <w:sz w:val="20"/>
          <w:szCs w:val="20"/>
        </w:rPr>
        <w:t>, In</w:t>
      </w:r>
      <w:r w:rsidR="00BA7E8C" w:rsidRPr="00DB5977">
        <w:rPr>
          <w:rFonts w:ascii="Verdana" w:hAnsi="Verdana" w:cstheme="minorHAnsi"/>
          <w:sz w:val="20"/>
          <w:szCs w:val="20"/>
        </w:rPr>
        <w:t>c</w:t>
      </w:r>
      <w:r w:rsidR="007C68B1" w:rsidRPr="00DB5977">
        <w:rPr>
          <w:rFonts w:ascii="Verdana" w:hAnsi="Verdana" w:cstheme="minorHAnsi"/>
          <w:sz w:val="20"/>
          <w:szCs w:val="20"/>
        </w:rPr>
        <w:t xml:space="preserve">. </w:t>
      </w:r>
      <w:r w:rsidR="000476B0">
        <w:rPr>
          <w:rFonts w:ascii="Verdana" w:hAnsi="Verdana" w:cstheme="minorHAnsi"/>
          <w:sz w:val="20"/>
          <w:szCs w:val="20"/>
        </w:rPr>
        <w:t>(“</w:t>
      </w:r>
      <w:proofErr w:type="spellStart"/>
      <w:r w:rsidR="000476B0">
        <w:rPr>
          <w:rFonts w:ascii="Verdana" w:hAnsi="Verdana" w:cstheme="minorHAnsi"/>
          <w:sz w:val="20"/>
          <w:szCs w:val="20"/>
        </w:rPr>
        <w:t>Evergy</w:t>
      </w:r>
      <w:proofErr w:type="spellEnd"/>
      <w:r w:rsidR="000476B0">
        <w:rPr>
          <w:rFonts w:ascii="Verdana" w:hAnsi="Verdana" w:cstheme="minorHAnsi"/>
          <w:sz w:val="20"/>
          <w:szCs w:val="20"/>
        </w:rPr>
        <w:t xml:space="preserve">”) </w:t>
      </w:r>
      <w:r w:rsidR="00316AD5" w:rsidRPr="00DB5977">
        <w:rPr>
          <w:rFonts w:ascii="Verdana" w:hAnsi="Verdana" w:cstheme="minorHAnsi"/>
          <w:sz w:val="20"/>
          <w:szCs w:val="20"/>
        </w:rPr>
        <w:t xml:space="preserve">and El Paso Electric </w:t>
      </w:r>
      <w:r w:rsidR="003A0E5C">
        <w:rPr>
          <w:rFonts w:ascii="Verdana" w:hAnsi="Verdana" w:cstheme="minorHAnsi"/>
          <w:sz w:val="20"/>
          <w:szCs w:val="20"/>
        </w:rPr>
        <w:t xml:space="preserve">Company (“El Paso Electric”) </w:t>
      </w:r>
      <w:r w:rsidR="00316AD5" w:rsidRPr="00DB5977">
        <w:rPr>
          <w:rFonts w:ascii="Verdana" w:hAnsi="Verdana" w:cstheme="minorHAnsi"/>
          <w:sz w:val="20"/>
          <w:szCs w:val="20"/>
        </w:rPr>
        <w:t xml:space="preserve">from Dr. Vander </w:t>
      </w:r>
      <w:proofErr w:type="spellStart"/>
      <w:r w:rsidR="00316AD5" w:rsidRPr="00DB5977">
        <w:rPr>
          <w:rFonts w:ascii="Verdana" w:hAnsi="Verdana" w:cstheme="minorHAnsi"/>
          <w:sz w:val="20"/>
          <w:szCs w:val="20"/>
        </w:rPr>
        <w:t>Weide’s</w:t>
      </w:r>
      <w:proofErr w:type="spellEnd"/>
      <w:r w:rsidR="00316AD5" w:rsidRPr="00DB5977">
        <w:rPr>
          <w:rFonts w:ascii="Verdana" w:hAnsi="Verdana" w:cstheme="minorHAnsi"/>
          <w:sz w:val="20"/>
          <w:szCs w:val="20"/>
        </w:rPr>
        <w:t xml:space="preserve"> proxy group</w:t>
      </w:r>
      <w:r w:rsidRPr="00DB5977">
        <w:rPr>
          <w:rFonts w:ascii="Verdana" w:hAnsi="Verdana" w:cstheme="minorHAnsi"/>
          <w:sz w:val="20"/>
          <w:szCs w:val="20"/>
        </w:rPr>
        <w:t xml:space="preserve">. </w:t>
      </w:r>
    </w:p>
    <w:p w14:paraId="27C44A31" w14:textId="13A3F971" w:rsidR="001F3B92" w:rsidRPr="00DB5977" w:rsidRDefault="001F3B92" w:rsidP="00486739">
      <w:pPr>
        <w:pStyle w:val="DirectQuestion"/>
      </w:pPr>
      <w:r w:rsidRPr="00DB5977">
        <w:t xml:space="preserve">WHY </w:t>
      </w:r>
      <w:r w:rsidR="009D528B" w:rsidRPr="00DB5977">
        <w:t>do</w:t>
      </w:r>
      <w:r w:rsidRPr="00DB5977">
        <w:t xml:space="preserve"> YOU</w:t>
      </w:r>
      <w:r w:rsidR="009D528B" w:rsidRPr="00DB5977">
        <w:t xml:space="preserve"> </w:t>
      </w:r>
      <w:r w:rsidRPr="00DB5977">
        <w:t>EXCLUDE Evergy FROM YOUR PROXY GROUP?</w:t>
      </w:r>
    </w:p>
    <w:p w14:paraId="305F04CE" w14:textId="22A7F18A" w:rsidR="00C02614" w:rsidRPr="00DB5977" w:rsidRDefault="001F3B92" w:rsidP="00486739">
      <w:pPr>
        <w:pStyle w:val="DirectAnswer"/>
        <w:jc w:val="both"/>
        <w:rPr>
          <w:rFonts w:ascii="Verdana" w:hAnsi="Verdana"/>
          <w:sz w:val="20"/>
          <w:szCs w:val="20"/>
        </w:rPr>
      </w:pPr>
      <w:r w:rsidRPr="00DB5977">
        <w:rPr>
          <w:rFonts w:ascii="Verdana" w:hAnsi="Verdana"/>
          <w:sz w:val="20"/>
          <w:szCs w:val="20"/>
        </w:rPr>
        <w:t xml:space="preserve">I exclude </w:t>
      </w:r>
      <w:proofErr w:type="spellStart"/>
      <w:r w:rsidR="0065124F" w:rsidRPr="00DB5977">
        <w:rPr>
          <w:rFonts w:ascii="Verdana" w:hAnsi="Verdana"/>
          <w:sz w:val="20"/>
          <w:szCs w:val="20"/>
        </w:rPr>
        <w:t>Evergy</w:t>
      </w:r>
      <w:proofErr w:type="spellEnd"/>
      <w:r w:rsidR="0065124F" w:rsidRPr="00DB5977">
        <w:rPr>
          <w:rFonts w:ascii="Verdana" w:hAnsi="Verdana"/>
          <w:sz w:val="20"/>
          <w:szCs w:val="20"/>
        </w:rPr>
        <w:t xml:space="preserve"> </w:t>
      </w:r>
      <w:r w:rsidRPr="00DB5977">
        <w:rPr>
          <w:rFonts w:ascii="Verdana" w:hAnsi="Verdana"/>
          <w:sz w:val="20"/>
          <w:szCs w:val="20"/>
        </w:rPr>
        <w:t>from my proxy group of regulated electric utilities</w:t>
      </w:r>
      <w:r w:rsidR="003A0E5C">
        <w:rPr>
          <w:rFonts w:ascii="Verdana" w:hAnsi="Verdana"/>
          <w:sz w:val="20"/>
          <w:szCs w:val="20"/>
        </w:rPr>
        <w:t xml:space="preserve"> because it </w:t>
      </w:r>
      <w:r w:rsidRPr="00DB5977">
        <w:rPr>
          <w:rFonts w:ascii="Verdana" w:hAnsi="Verdana"/>
          <w:sz w:val="20"/>
          <w:szCs w:val="20"/>
        </w:rPr>
        <w:t xml:space="preserve">is </w:t>
      </w:r>
      <w:r w:rsidR="00286049" w:rsidRPr="00DB5977">
        <w:rPr>
          <w:rFonts w:ascii="Verdana" w:hAnsi="Verdana"/>
          <w:sz w:val="20"/>
          <w:szCs w:val="20"/>
        </w:rPr>
        <w:t xml:space="preserve">only </w:t>
      </w:r>
      <w:r w:rsidRPr="00DB5977">
        <w:rPr>
          <w:rFonts w:ascii="Verdana" w:hAnsi="Verdana"/>
          <w:sz w:val="20"/>
          <w:szCs w:val="20"/>
        </w:rPr>
        <w:t>in its second year of operation</w:t>
      </w:r>
      <w:r w:rsidR="000678E9">
        <w:rPr>
          <w:rFonts w:ascii="Verdana" w:hAnsi="Verdana"/>
          <w:sz w:val="20"/>
          <w:szCs w:val="20"/>
        </w:rPr>
        <w:t xml:space="preserve">; therefore, it does not meet Dr. Vander </w:t>
      </w:r>
      <w:proofErr w:type="spellStart"/>
      <w:r w:rsidR="000678E9">
        <w:rPr>
          <w:rFonts w:ascii="Verdana" w:hAnsi="Verdana"/>
          <w:sz w:val="20"/>
          <w:szCs w:val="20"/>
        </w:rPr>
        <w:t>Weide’s</w:t>
      </w:r>
      <w:proofErr w:type="spellEnd"/>
      <w:r w:rsidR="000678E9">
        <w:rPr>
          <w:rFonts w:ascii="Verdana" w:hAnsi="Verdana"/>
          <w:sz w:val="20"/>
          <w:szCs w:val="20"/>
        </w:rPr>
        <w:t xml:space="preserve"> criteria of having to pay dividend</w:t>
      </w:r>
      <w:r w:rsidR="00BD42F0">
        <w:rPr>
          <w:rFonts w:ascii="Verdana" w:hAnsi="Verdana"/>
          <w:sz w:val="20"/>
          <w:szCs w:val="20"/>
        </w:rPr>
        <w:t>s</w:t>
      </w:r>
      <w:r w:rsidR="000678E9">
        <w:rPr>
          <w:rFonts w:ascii="Verdana" w:hAnsi="Verdana"/>
          <w:sz w:val="20"/>
          <w:szCs w:val="20"/>
        </w:rPr>
        <w:t xml:space="preserve"> over the past two years</w:t>
      </w:r>
      <w:r w:rsidRPr="00DB5977">
        <w:rPr>
          <w:rFonts w:ascii="Verdana" w:hAnsi="Verdana"/>
          <w:sz w:val="20"/>
          <w:szCs w:val="20"/>
        </w:rPr>
        <w:t xml:space="preserve">. </w:t>
      </w:r>
      <w:proofErr w:type="spellStart"/>
      <w:r w:rsidR="0065124F" w:rsidRPr="00DB5977">
        <w:rPr>
          <w:rFonts w:ascii="Verdana" w:hAnsi="Verdana"/>
          <w:sz w:val="20"/>
          <w:szCs w:val="20"/>
        </w:rPr>
        <w:t>Evergy</w:t>
      </w:r>
      <w:proofErr w:type="spellEnd"/>
      <w:r w:rsidRPr="00DB5977">
        <w:rPr>
          <w:rFonts w:ascii="Verdana" w:hAnsi="Verdana"/>
          <w:sz w:val="20"/>
          <w:szCs w:val="20"/>
        </w:rPr>
        <w:t xml:space="preserve"> was formed in June 2018 through the merger of Westar Energy and Great Plains Energy. </w:t>
      </w:r>
      <w:r w:rsidR="003A0E5C" w:rsidRPr="003A0E5C">
        <w:rPr>
          <w:rFonts w:ascii="Verdana" w:hAnsi="Verdana"/>
          <w:i/>
          <w:sz w:val="20"/>
          <w:szCs w:val="20"/>
        </w:rPr>
        <w:t>Value Line</w:t>
      </w:r>
      <w:r w:rsidRPr="00DB5977">
        <w:rPr>
          <w:rFonts w:ascii="Verdana" w:hAnsi="Verdana"/>
          <w:sz w:val="20"/>
          <w:szCs w:val="20"/>
        </w:rPr>
        <w:t xml:space="preserve"> </w:t>
      </w:r>
      <w:r w:rsidR="0065124F" w:rsidRPr="00DB5977">
        <w:rPr>
          <w:rFonts w:ascii="Verdana" w:hAnsi="Verdana"/>
          <w:sz w:val="20"/>
          <w:szCs w:val="20"/>
        </w:rPr>
        <w:t>r</w:t>
      </w:r>
      <w:r w:rsidRPr="00DB5977">
        <w:rPr>
          <w:rFonts w:ascii="Verdana" w:hAnsi="Verdana"/>
          <w:sz w:val="20"/>
          <w:szCs w:val="20"/>
        </w:rPr>
        <w:t xml:space="preserve">eports that the stock is unranked for timeliness and </w:t>
      </w:r>
      <w:r w:rsidR="0065124F" w:rsidRPr="003A0E5C">
        <w:rPr>
          <w:rFonts w:ascii="Verdana" w:hAnsi="Verdana"/>
          <w:i/>
          <w:iCs/>
          <w:sz w:val="20"/>
          <w:szCs w:val="20"/>
        </w:rPr>
        <w:t>Value Line</w:t>
      </w:r>
      <w:r w:rsidR="0065124F" w:rsidRPr="00DB5977">
        <w:rPr>
          <w:rFonts w:ascii="Verdana" w:hAnsi="Verdana"/>
          <w:sz w:val="20"/>
          <w:szCs w:val="20"/>
        </w:rPr>
        <w:t xml:space="preserve"> </w:t>
      </w:r>
      <w:r w:rsidRPr="00DB5977">
        <w:rPr>
          <w:rFonts w:ascii="Verdana" w:hAnsi="Verdana"/>
          <w:sz w:val="20"/>
          <w:szCs w:val="20"/>
        </w:rPr>
        <w:t>does not estimate a beta, which requires five years of weekly returns relative to the S&amp;P 500 Index.</w:t>
      </w:r>
      <w:r w:rsidRPr="00DB5977">
        <w:rPr>
          <w:rStyle w:val="FootnoteReference"/>
          <w:rFonts w:ascii="Verdana" w:hAnsi="Verdana" w:cstheme="minorHAnsi"/>
          <w:sz w:val="20"/>
          <w:szCs w:val="20"/>
        </w:rPr>
        <w:footnoteReference w:id="19"/>
      </w:r>
      <w:r w:rsidR="0025065A">
        <w:rPr>
          <w:rFonts w:ascii="Verdana" w:hAnsi="Verdana"/>
          <w:sz w:val="20"/>
          <w:szCs w:val="20"/>
        </w:rPr>
        <w:t xml:space="preserve"> </w:t>
      </w:r>
    </w:p>
    <w:p w14:paraId="484825DB" w14:textId="71CBEAC8" w:rsidR="00C6072B" w:rsidRPr="00DB5977" w:rsidRDefault="00A00F37" w:rsidP="00486739">
      <w:pPr>
        <w:pStyle w:val="DirectQuestion"/>
      </w:pPr>
      <w:r w:rsidRPr="00DB5977">
        <w:lastRenderedPageBreak/>
        <w:t xml:space="preserve">Why </w:t>
      </w:r>
      <w:r w:rsidR="00B606F4" w:rsidRPr="00DB5977">
        <w:t xml:space="preserve">Do </w:t>
      </w:r>
      <w:r w:rsidRPr="00DB5977">
        <w:t>you exclude El paso Electric from your Proxy group?</w:t>
      </w:r>
    </w:p>
    <w:p w14:paraId="12E1264B" w14:textId="0A9B3CC9" w:rsidR="00A00F37" w:rsidRPr="00DB5977" w:rsidRDefault="00C6072B" w:rsidP="00486739">
      <w:pPr>
        <w:pStyle w:val="DirectAnswer"/>
        <w:jc w:val="both"/>
        <w:rPr>
          <w:rFonts w:ascii="Verdana" w:hAnsi="Verdana"/>
          <w:sz w:val="20"/>
          <w:szCs w:val="20"/>
        </w:rPr>
      </w:pPr>
      <w:r w:rsidRPr="00DB5977">
        <w:rPr>
          <w:rFonts w:ascii="Verdana" w:hAnsi="Verdana"/>
          <w:sz w:val="20"/>
          <w:szCs w:val="20"/>
        </w:rPr>
        <w:t xml:space="preserve">Applying Dr. Vander </w:t>
      </w:r>
      <w:proofErr w:type="spellStart"/>
      <w:r w:rsidRPr="00DB5977">
        <w:rPr>
          <w:rFonts w:ascii="Verdana" w:hAnsi="Verdana"/>
          <w:sz w:val="20"/>
          <w:szCs w:val="20"/>
        </w:rPr>
        <w:t>Weide’s</w:t>
      </w:r>
      <w:proofErr w:type="spellEnd"/>
      <w:r w:rsidRPr="00DB5977">
        <w:rPr>
          <w:rFonts w:ascii="Verdana" w:hAnsi="Verdana"/>
          <w:sz w:val="20"/>
          <w:szCs w:val="20"/>
        </w:rPr>
        <w:t xml:space="preserve"> criteria, I exclude El Paso Electric from my proxy group because it has accepted a takeover offer. The Infrastructure Investments Fund advised by J.P. Morgan has agreed to pay $68.25 </w:t>
      </w:r>
      <w:r w:rsidR="0065124F" w:rsidRPr="00DB5977">
        <w:rPr>
          <w:rFonts w:ascii="Verdana" w:hAnsi="Verdana"/>
          <w:sz w:val="20"/>
          <w:szCs w:val="20"/>
        </w:rPr>
        <w:t xml:space="preserve">per share </w:t>
      </w:r>
      <w:r w:rsidRPr="00DB5977">
        <w:rPr>
          <w:rFonts w:ascii="Verdana" w:hAnsi="Verdana"/>
          <w:sz w:val="20"/>
          <w:szCs w:val="20"/>
        </w:rPr>
        <w:t>in cash</w:t>
      </w:r>
      <w:r w:rsidR="0065124F" w:rsidRPr="00DB5977">
        <w:rPr>
          <w:rFonts w:ascii="Verdana" w:hAnsi="Verdana"/>
          <w:sz w:val="20"/>
          <w:szCs w:val="20"/>
        </w:rPr>
        <w:t xml:space="preserve"> to current El Paso Electric shareholders for the takeover</w:t>
      </w:r>
      <w:r w:rsidR="000678E9">
        <w:rPr>
          <w:rFonts w:ascii="Verdana" w:hAnsi="Verdana"/>
          <w:sz w:val="20"/>
          <w:szCs w:val="20"/>
        </w:rPr>
        <w:t>, which was a 17 percent increase in stock value at the time of the announcement</w:t>
      </w:r>
      <w:r w:rsidR="0065124F" w:rsidRPr="00DB5977">
        <w:rPr>
          <w:rFonts w:ascii="Verdana" w:hAnsi="Verdana"/>
          <w:sz w:val="20"/>
          <w:szCs w:val="20"/>
        </w:rPr>
        <w:t>.</w:t>
      </w:r>
      <w:r w:rsidR="000678E9">
        <w:rPr>
          <w:rStyle w:val="FootnoteReference"/>
          <w:rFonts w:ascii="Verdana" w:hAnsi="Verdana"/>
          <w:sz w:val="20"/>
          <w:szCs w:val="20"/>
        </w:rPr>
        <w:footnoteReference w:id="20"/>
      </w:r>
      <w:r w:rsidR="0065124F" w:rsidRPr="00DB5977">
        <w:rPr>
          <w:rFonts w:ascii="Verdana" w:hAnsi="Verdana"/>
          <w:sz w:val="20"/>
          <w:szCs w:val="20"/>
        </w:rPr>
        <w:t xml:space="preserve"> This payment</w:t>
      </w:r>
      <w:r w:rsidR="00992CD8" w:rsidRPr="00DB5977">
        <w:rPr>
          <w:rFonts w:ascii="Verdana" w:hAnsi="Verdana"/>
          <w:sz w:val="20"/>
          <w:szCs w:val="20"/>
        </w:rPr>
        <w:t xml:space="preserve"> represent</w:t>
      </w:r>
      <w:r w:rsidR="0065124F" w:rsidRPr="00DB5977">
        <w:rPr>
          <w:rFonts w:ascii="Verdana" w:hAnsi="Verdana"/>
          <w:sz w:val="20"/>
          <w:szCs w:val="20"/>
        </w:rPr>
        <w:t>s</w:t>
      </w:r>
      <w:r w:rsidR="00992CD8" w:rsidRPr="00DB5977">
        <w:rPr>
          <w:rFonts w:ascii="Verdana" w:hAnsi="Verdana"/>
          <w:sz w:val="20"/>
          <w:szCs w:val="20"/>
        </w:rPr>
        <w:t xml:space="preserve"> an </w:t>
      </w:r>
      <w:r w:rsidR="00110090" w:rsidRPr="00DB5977">
        <w:rPr>
          <w:rFonts w:ascii="Verdana" w:hAnsi="Verdana"/>
          <w:sz w:val="20"/>
          <w:szCs w:val="20"/>
        </w:rPr>
        <w:t xml:space="preserve">enterprise value of </w:t>
      </w:r>
      <w:r w:rsidR="000678E9">
        <w:rPr>
          <w:rFonts w:ascii="Verdana" w:hAnsi="Verdana"/>
          <w:sz w:val="20"/>
          <w:szCs w:val="20"/>
        </w:rPr>
        <w:t xml:space="preserve">approximately </w:t>
      </w:r>
      <w:r w:rsidR="00110090" w:rsidRPr="00DB5977">
        <w:rPr>
          <w:rFonts w:ascii="Verdana" w:hAnsi="Verdana"/>
          <w:sz w:val="20"/>
          <w:szCs w:val="20"/>
        </w:rPr>
        <w:t>$4.3 billion</w:t>
      </w:r>
      <w:r w:rsidRPr="00DB5977">
        <w:rPr>
          <w:rFonts w:ascii="Verdana" w:hAnsi="Verdana"/>
          <w:sz w:val="20"/>
          <w:szCs w:val="20"/>
        </w:rPr>
        <w:t>.</w:t>
      </w:r>
      <w:r w:rsidR="00D8204B" w:rsidRPr="00DB5977">
        <w:rPr>
          <w:rStyle w:val="FootnoteReference"/>
          <w:rFonts w:ascii="Verdana" w:hAnsi="Verdana"/>
          <w:sz w:val="20"/>
          <w:szCs w:val="20"/>
        </w:rPr>
        <w:footnoteReference w:id="21"/>
      </w:r>
      <w:r w:rsidRPr="00DB5977">
        <w:rPr>
          <w:rFonts w:ascii="Verdana" w:hAnsi="Verdana"/>
          <w:sz w:val="20"/>
          <w:szCs w:val="20"/>
        </w:rPr>
        <w:t xml:space="preserve"> The deal still requires the approval of stockholders, state and federal regulators, and the </w:t>
      </w:r>
      <w:r w:rsidR="003A0E5C">
        <w:rPr>
          <w:rFonts w:ascii="Verdana" w:hAnsi="Verdana"/>
          <w:sz w:val="20"/>
          <w:szCs w:val="20"/>
        </w:rPr>
        <w:t>C</w:t>
      </w:r>
      <w:r w:rsidRPr="00DB5977">
        <w:rPr>
          <w:rFonts w:ascii="Verdana" w:hAnsi="Verdana"/>
          <w:sz w:val="20"/>
          <w:szCs w:val="20"/>
        </w:rPr>
        <w:t>ity of El Paso.</w:t>
      </w:r>
      <w:r w:rsidRPr="00DB5977">
        <w:rPr>
          <w:rStyle w:val="FootnoteReference"/>
          <w:rFonts w:ascii="Verdana" w:hAnsi="Verdana"/>
          <w:sz w:val="20"/>
          <w:szCs w:val="20"/>
        </w:rPr>
        <w:t xml:space="preserve"> </w:t>
      </w:r>
      <w:r w:rsidRPr="00DB5977">
        <w:rPr>
          <w:rStyle w:val="FootnoteReference"/>
          <w:rFonts w:ascii="Verdana" w:hAnsi="Verdana"/>
          <w:sz w:val="20"/>
          <w:szCs w:val="20"/>
        </w:rPr>
        <w:footnoteReference w:id="22"/>
      </w:r>
      <w:r w:rsidRPr="00DB5977">
        <w:rPr>
          <w:rFonts w:ascii="Verdana" w:hAnsi="Verdana"/>
          <w:sz w:val="20"/>
          <w:szCs w:val="20"/>
        </w:rPr>
        <w:t xml:space="preserve"> </w:t>
      </w:r>
    </w:p>
    <w:p w14:paraId="6286B5A7" w14:textId="77777777" w:rsidR="003C3D2B" w:rsidRPr="00DB5977" w:rsidRDefault="003C3D2B" w:rsidP="00486739">
      <w:pPr>
        <w:pStyle w:val="DirectQuestion"/>
      </w:pPr>
      <w:r w:rsidRPr="00DB5977">
        <w:t xml:space="preserve">why </w:t>
      </w:r>
      <w:r w:rsidR="00B606F4" w:rsidRPr="00DB5977">
        <w:t xml:space="preserve">DO </w:t>
      </w:r>
      <w:r w:rsidRPr="00DB5977">
        <w:t xml:space="preserve">you </w:t>
      </w:r>
      <w:r w:rsidR="00B606F4" w:rsidRPr="00DB5977">
        <w:t xml:space="preserve">INclude </w:t>
      </w:r>
      <w:r w:rsidR="00494489" w:rsidRPr="00DB5977">
        <w:t>certain companies that have participated in Merger and Acquisitions</w:t>
      </w:r>
      <w:r w:rsidR="003A0E5C">
        <w:t xml:space="preserve"> (“M&amp;A”)</w:t>
      </w:r>
      <w:r w:rsidR="00494489" w:rsidRPr="00DB5977">
        <w:t xml:space="preserve">, like </w:t>
      </w:r>
      <w:r w:rsidR="006C2437" w:rsidRPr="00DB5977">
        <w:t>Sempra Energy</w:t>
      </w:r>
      <w:r w:rsidR="003A0E5C">
        <w:t>,</w:t>
      </w:r>
      <w:r w:rsidR="006C2437" w:rsidRPr="00DB5977">
        <w:t xml:space="preserve"> </w:t>
      </w:r>
      <w:r w:rsidR="00B606F4" w:rsidRPr="00DB5977">
        <w:t xml:space="preserve">In </w:t>
      </w:r>
      <w:r w:rsidR="006C2437" w:rsidRPr="00DB5977">
        <w:t>your proxy group?</w:t>
      </w:r>
    </w:p>
    <w:p w14:paraId="64F3C086" w14:textId="0077AF35" w:rsidR="006C2437" w:rsidRPr="00DB5977" w:rsidRDefault="00CC45A6" w:rsidP="006C2437">
      <w:pPr>
        <w:pStyle w:val="DirectAnswer"/>
        <w:rPr>
          <w:rFonts w:ascii="Verdana" w:hAnsi="Verdana"/>
          <w:sz w:val="20"/>
          <w:szCs w:val="20"/>
        </w:rPr>
      </w:pPr>
      <w:r w:rsidRPr="00DB5977">
        <w:rPr>
          <w:rFonts w:ascii="Verdana" w:hAnsi="Verdana"/>
          <w:sz w:val="20"/>
          <w:szCs w:val="20"/>
        </w:rPr>
        <w:t>I</w:t>
      </w:r>
      <w:r w:rsidR="00B606F4" w:rsidRPr="00DB5977">
        <w:rPr>
          <w:rFonts w:ascii="Verdana" w:hAnsi="Verdana"/>
          <w:sz w:val="20"/>
          <w:szCs w:val="20"/>
        </w:rPr>
        <w:t xml:space="preserve"> include Sempra Energy and a few other companies that have participated in </w:t>
      </w:r>
      <w:r w:rsidR="003A0E5C">
        <w:rPr>
          <w:rFonts w:ascii="Verdana" w:hAnsi="Verdana"/>
          <w:sz w:val="20"/>
          <w:szCs w:val="20"/>
        </w:rPr>
        <w:t>M&amp;A</w:t>
      </w:r>
      <w:r w:rsidR="00B606F4" w:rsidRPr="00DB5977">
        <w:rPr>
          <w:rFonts w:ascii="Verdana" w:hAnsi="Verdana"/>
          <w:sz w:val="20"/>
          <w:szCs w:val="20"/>
        </w:rPr>
        <w:t xml:space="preserve"> activities in 2019 because such activities </w:t>
      </w:r>
      <w:r w:rsidR="000678E9">
        <w:rPr>
          <w:rFonts w:ascii="Verdana" w:hAnsi="Verdana"/>
          <w:sz w:val="20"/>
          <w:szCs w:val="20"/>
        </w:rPr>
        <w:t xml:space="preserve">were part of a growth strategy known by investors and thus </w:t>
      </w:r>
      <w:r w:rsidR="00B606F4" w:rsidRPr="00DB5977">
        <w:rPr>
          <w:rFonts w:ascii="Verdana" w:hAnsi="Verdana"/>
          <w:sz w:val="20"/>
          <w:szCs w:val="20"/>
        </w:rPr>
        <w:t xml:space="preserve">did not have a significant impact on </w:t>
      </w:r>
      <w:r w:rsidR="0065124F" w:rsidRPr="00DB5977">
        <w:rPr>
          <w:rFonts w:ascii="Verdana" w:hAnsi="Verdana"/>
          <w:sz w:val="20"/>
          <w:szCs w:val="20"/>
        </w:rPr>
        <w:t xml:space="preserve">their </w:t>
      </w:r>
      <w:r w:rsidR="00B606F4" w:rsidRPr="00DB5977">
        <w:rPr>
          <w:rFonts w:ascii="Verdana" w:hAnsi="Verdana"/>
          <w:sz w:val="20"/>
          <w:szCs w:val="20"/>
        </w:rPr>
        <w:t>stock valuation.</w:t>
      </w:r>
      <w:r w:rsidR="0025065A">
        <w:rPr>
          <w:rFonts w:ascii="Verdana" w:hAnsi="Verdana"/>
          <w:sz w:val="20"/>
          <w:szCs w:val="20"/>
        </w:rPr>
        <w:t xml:space="preserve"> </w:t>
      </w:r>
    </w:p>
    <w:p w14:paraId="762DD45B" w14:textId="77777777" w:rsidR="00C02614" w:rsidRPr="00DB5977" w:rsidRDefault="00C02614" w:rsidP="00486739">
      <w:pPr>
        <w:pStyle w:val="DirectQuestion"/>
      </w:pPr>
      <w:r w:rsidRPr="00DB5977">
        <w:lastRenderedPageBreak/>
        <w:t xml:space="preserve">Why should companies involved in recent </w:t>
      </w:r>
      <w:r w:rsidR="00B606F4" w:rsidRPr="00DB5977">
        <w:t xml:space="preserve">MAJOR </w:t>
      </w:r>
      <w:r w:rsidRPr="00DB5977">
        <w:t>m&amp;a activities BE EXCLUDED?</w:t>
      </w:r>
    </w:p>
    <w:p w14:paraId="573894AD" w14:textId="77777777" w:rsidR="001F3B92" w:rsidRPr="00DB5977" w:rsidRDefault="00C02614" w:rsidP="00626740">
      <w:pPr>
        <w:pStyle w:val="DirectAnswer"/>
        <w:jc w:val="both"/>
        <w:rPr>
          <w:rFonts w:ascii="Verdana" w:hAnsi="Verdana" w:cstheme="minorHAnsi"/>
          <w:sz w:val="20"/>
          <w:szCs w:val="20"/>
        </w:rPr>
      </w:pPr>
      <w:r w:rsidRPr="00DB5977">
        <w:rPr>
          <w:rFonts w:ascii="Verdana" w:hAnsi="Verdana" w:cstheme="minorHAnsi"/>
          <w:sz w:val="20"/>
          <w:szCs w:val="20"/>
        </w:rPr>
        <w:t xml:space="preserve">I agree with </w:t>
      </w:r>
      <w:r w:rsidR="00C70A62" w:rsidRPr="00DB5977">
        <w:rPr>
          <w:rFonts w:ascii="Verdana" w:hAnsi="Verdana" w:cstheme="minorHAnsi"/>
          <w:sz w:val="20"/>
          <w:szCs w:val="20"/>
        </w:rPr>
        <w:t xml:space="preserve">Dr. Vander </w:t>
      </w:r>
      <w:proofErr w:type="spellStart"/>
      <w:r w:rsidR="00C70A62" w:rsidRPr="00DB5977">
        <w:rPr>
          <w:rFonts w:ascii="Verdana" w:hAnsi="Verdana" w:cstheme="minorHAnsi"/>
          <w:sz w:val="20"/>
          <w:szCs w:val="20"/>
        </w:rPr>
        <w:t>Weide’s</w:t>
      </w:r>
      <w:proofErr w:type="spellEnd"/>
      <w:r w:rsidRPr="00DB5977">
        <w:rPr>
          <w:rFonts w:ascii="Verdana" w:hAnsi="Verdana" w:cstheme="minorHAnsi"/>
          <w:sz w:val="20"/>
          <w:szCs w:val="20"/>
        </w:rPr>
        <w:t xml:space="preserve"> criteria that firms involved in any significant merger or acquisition should be excluded from the proxy group of companies with similar risk. The market values of firms involved in merger activities differ significantly from those companies not involved in such activities, and this difference would be reflected in a company’s stock price and dividend yields, which affects the estimated cost of equity.</w:t>
      </w:r>
      <w:r w:rsidR="00C6072B" w:rsidRPr="00DB5977">
        <w:rPr>
          <w:rStyle w:val="FootnoteReference"/>
          <w:rFonts w:ascii="Verdana" w:hAnsi="Verdana" w:cstheme="minorHAnsi"/>
          <w:sz w:val="20"/>
          <w:szCs w:val="20"/>
        </w:rPr>
        <w:footnoteReference w:id="23"/>
      </w:r>
      <w:r w:rsidR="0025065A">
        <w:rPr>
          <w:rFonts w:ascii="Verdana" w:hAnsi="Verdana" w:cstheme="minorHAnsi"/>
          <w:sz w:val="20"/>
          <w:szCs w:val="20"/>
        </w:rPr>
        <w:t xml:space="preserve"> </w:t>
      </w:r>
    </w:p>
    <w:p w14:paraId="30ACA729" w14:textId="77777777" w:rsidR="00B35FCD" w:rsidRPr="00DB5977" w:rsidRDefault="0093086B" w:rsidP="00486739">
      <w:pPr>
        <w:pStyle w:val="DirectQuestion"/>
      </w:pPr>
      <w:r w:rsidRPr="00DB5977">
        <w:t xml:space="preserve">Which </w:t>
      </w:r>
      <w:r w:rsidR="009D57A0" w:rsidRPr="00DB5977">
        <w:t>Compan</w:t>
      </w:r>
      <w:r w:rsidR="00286049" w:rsidRPr="00DB5977">
        <w:t>IES</w:t>
      </w:r>
      <w:r w:rsidR="009D57A0" w:rsidRPr="00DB5977">
        <w:t xml:space="preserve"> </w:t>
      </w:r>
      <w:r w:rsidR="00A64818" w:rsidRPr="00DB5977">
        <w:t xml:space="preserve">Do you </w:t>
      </w:r>
      <w:r w:rsidR="00D67169" w:rsidRPr="00DB5977">
        <w:t>INclude</w:t>
      </w:r>
      <w:r w:rsidR="00A64818" w:rsidRPr="00DB5977">
        <w:t xml:space="preserve"> </w:t>
      </w:r>
      <w:r w:rsidR="005073DD" w:rsidRPr="00DB5977">
        <w:t>in your proxy group</w:t>
      </w:r>
      <w:r w:rsidR="00B35FCD" w:rsidRPr="00DB5977">
        <w:t>?</w:t>
      </w:r>
    </w:p>
    <w:p w14:paraId="6A95A277" w14:textId="2B6D5414" w:rsidR="00823379" w:rsidRPr="00DB5977" w:rsidRDefault="00823379" w:rsidP="00486739">
      <w:pPr>
        <w:pStyle w:val="DirectAnswer"/>
        <w:jc w:val="both"/>
        <w:rPr>
          <w:rFonts w:ascii="Verdana" w:hAnsi="Verdana"/>
          <w:sz w:val="20"/>
          <w:szCs w:val="20"/>
        </w:rPr>
      </w:pPr>
      <w:r w:rsidRPr="00DB5977">
        <w:rPr>
          <w:rFonts w:ascii="Verdana" w:hAnsi="Verdana" w:cstheme="minorHAnsi"/>
          <w:sz w:val="20"/>
          <w:szCs w:val="20"/>
        </w:rPr>
        <w:t>I</w:t>
      </w:r>
      <w:r w:rsidR="00AD0018" w:rsidRPr="00DB5977">
        <w:rPr>
          <w:rFonts w:ascii="Verdana" w:hAnsi="Verdana" w:cstheme="minorHAnsi"/>
          <w:sz w:val="20"/>
          <w:szCs w:val="20"/>
        </w:rPr>
        <w:t xml:space="preserve"> use the remainder of </w:t>
      </w:r>
      <w:r w:rsidR="002D50A5" w:rsidRPr="00DB5977">
        <w:rPr>
          <w:rFonts w:ascii="Verdana" w:hAnsi="Verdana" w:cstheme="minorHAnsi"/>
          <w:sz w:val="20"/>
          <w:szCs w:val="20"/>
        </w:rPr>
        <w:t xml:space="preserve">Dr. Vander </w:t>
      </w:r>
      <w:proofErr w:type="spellStart"/>
      <w:r w:rsidR="002D50A5" w:rsidRPr="00DB5977">
        <w:rPr>
          <w:rFonts w:ascii="Verdana" w:hAnsi="Verdana" w:cstheme="minorHAnsi"/>
          <w:sz w:val="20"/>
          <w:szCs w:val="20"/>
        </w:rPr>
        <w:t>Weide</w:t>
      </w:r>
      <w:r w:rsidR="00AD0018" w:rsidRPr="00DB5977">
        <w:rPr>
          <w:rFonts w:ascii="Verdana" w:hAnsi="Verdana" w:cstheme="minorHAnsi"/>
          <w:sz w:val="20"/>
          <w:szCs w:val="20"/>
        </w:rPr>
        <w:t>’s</w:t>
      </w:r>
      <w:proofErr w:type="spellEnd"/>
      <w:r w:rsidR="00AD0018" w:rsidRPr="00DB5977">
        <w:rPr>
          <w:rFonts w:ascii="Verdana" w:hAnsi="Verdana" w:cstheme="minorHAnsi"/>
          <w:sz w:val="20"/>
          <w:szCs w:val="20"/>
        </w:rPr>
        <w:t xml:space="preserve"> </w:t>
      </w:r>
      <w:r w:rsidR="00D11980" w:rsidRPr="00DB5977">
        <w:rPr>
          <w:rFonts w:ascii="Verdana" w:hAnsi="Verdana" w:cstheme="minorHAnsi"/>
          <w:sz w:val="20"/>
          <w:szCs w:val="20"/>
        </w:rPr>
        <w:t>proxy group, which includes the following companies:</w:t>
      </w:r>
      <w:r w:rsidRPr="00DB5977">
        <w:rPr>
          <w:rFonts w:ascii="Verdana" w:hAnsi="Verdana" w:cstheme="minorHAnsi"/>
          <w:sz w:val="20"/>
          <w:szCs w:val="20"/>
        </w:rPr>
        <w:t xml:space="preserve"> </w:t>
      </w:r>
      <w:r w:rsidR="00D11980" w:rsidRPr="00DB5977">
        <w:rPr>
          <w:rFonts w:ascii="Verdana" w:hAnsi="Verdana" w:cstheme="minorHAnsi"/>
          <w:sz w:val="20"/>
          <w:szCs w:val="20"/>
        </w:rPr>
        <w:t>A</w:t>
      </w:r>
      <w:r w:rsidR="00E13B8E" w:rsidRPr="00DB5977">
        <w:rPr>
          <w:rFonts w:ascii="Verdana" w:hAnsi="Verdana" w:cstheme="minorHAnsi"/>
          <w:sz w:val="20"/>
          <w:szCs w:val="20"/>
        </w:rPr>
        <w:t>lliant</w:t>
      </w:r>
      <w:r w:rsidR="00A249ED" w:rsidRPr="00DB5977">
        <w:rPr>
          <w:rFonts w:ascii="Verdana" w:hAnsi="Verdana" w:cstheme="minorHAnsi"/>
          <w:sz w:val="20"/>
          <w:szCs w:val="20"/>
        </w:rPr>
        <w:t xml:space="preserve"> Energy Corp</w:t>
      </w:r>
      <w:r w:rsidR="002324BB" w:rsidRPr="00DB5977">
        <w:rPr>
          <w:rFonts w:ascii="Verdana" w:hAnsi="Verdana" w:cstheme="minorHAnsi"/>
          <w:sz w:val="20"/>
          <w:szCs w:val="20"/>
        </w:rPr>
        <w:t>.</w:t>
      </w:r>
      <w:r w:rsidR="00D11980" w:rsidRPr="00DB5977">
        <w:rPr>
          <w:rFonts w:ascii="Verdana" w:hAnsi="Verdana" w:cstheme="minorHAnsi"/>
          <w:sz w:val="20"/>
          <w:szCs w:val="20"/>
        </w:rPr>
        <w:t xml:space="preserve">; </w:t>
      </w:r>
      <w:r w:rsidR="00A249ED" w:rsidRPr="00DB5977">
        <w:rPr>
          <w:rFonts w:ascii="Verdana" w:hAnsi="Verdana" w:cstheme="minorHAnsi"/>
          <w:sz w:val="20"/>
          <w:szCs w:val="20"/>
        </w:rPr>
        <w:t>American Electric Power;</w:t>
      </w:r>
      <w:r w:rsidR="00FD5BB0" w:rsidRPr="00DB5977">
        <w:rPr>
          <w:rFonts w:ascii="Verdana" w:hAnsi="Verdana" w:cstheme="minorHAnsi"/>
          <w:sz w:val="20"/>
          <w:szCs w:val="20"/>
        </w:rPr>
        <w:t xml:space="preserve"> Ameren Corp</w:t>
      </w:r>
      <w:r w:rsidR="002324BB" w:rsidRPr="00DB5977">
        <w:rPr>
          <w:rFonts w:ascii="Verdana" w:hAnsi="Verdana" w:cstheme="minorHAnsi"/>
          <w:sz w:val="20"/>
          <w:szCs w:val="20"/>
        </w:rPr>
        <w:t>.</w:t>
      </w:r>
      <w:r w:rsidR="00D11980" w:rsidRPr="00DB5977">
        <w:rPr>
          <w:rFonts w:ascii="Verdana" w:hAnsi="Verdana" w:cstheme="minorHAnsi"/>
          <w:sz w:val="20"/>
          <w:szCs w:val="20"/>
        </w:rPr>
        <w:t xml:space="preserve">; </w:t>
      </w:r>
      <w:proofErr w:type="spellStart"/>
      <w:r w:rsidR="00343C18" w:rsidRPr="00DB5977">
        <w:rPr>
          <w:rFonts w:ascii="Verdana" w:hAnsi="Verdana" w:cstheme="minorHAnsi"/>
          <w:sz w:val="20"/>
          <w:szCs w:val="20"/>
        </w:rPr>
        <w:t>Avangrid</w:t>
      </w:r>
      <w:proofErr w:type="spellEnd"/>
      <w:r w:rsidR="00343C18" w:rsidRPr="00DB5977">
        <w:rPr>
          <w:rFonts w:ascii="Verdana" w:hAnsi="Verdana" w:cstheme="minorHAnsi"/>
          <w:sz w:val="20"/>
          <w:szCs w:val="20"/>
        </w:rPr>
        <w:t xml:space="preserve">, Inc.; Black Hills; CenterPoint Energy; </w:t>
      </w:r>
      <w:r w:rsidR="002324BB" w:rsidRPr="00DB5977">
        <w:rPr>
          <w:rFonts w:ascii="Verdana" w:hAnsi="Verdana" w:cstheme="minorHAnsi"/>
          <w:sz w:val="20"/>
          <w:szCs w:val="20"/>
        </w:rPr>
        <w:t xml:space="preserve">CMS Energy Corp.; </w:t>
      </w:r>
      <w:r w:rsidR="00D57F51" w:rsidRPr="00DB5977">
        <w:rPr>
          <w:rFonts w:ascii="Verdana" w:hAnsi="Verdana" w:cstheme="minorHAnsi"/>
          <w:sz w:val="20"/>
          <w:szCs w:val="20"/>
        </w:rPr>
        <w:t xml:space="preserve">Consolidated Edison; Dominion Energy; DTE Energy; </w:t>
      </w:r>
      <w:r w:rsidR="00D73962" w:rsidRPr="00DB5977">
        <w:rPr>
          <w:rFonts w:ascii="Verdana" w:hAnsi="Verdana" w:cstheme="minorHAnsi"/>
          <w:sz w:val="20"/>
          <w:szCs w:val="20"/>
        </w:rPr>
        <w:t>Duke Energy Corp</w:t>
      </w:r>
      <w:r w:rsidR="006E563E" w:rsidRPr="00DB5977">
        <w:rPr>
          <w:rFonts w:ascii="Verdana" w:hAnsi="Verdana" w:cstheme="minorHAnsi"/>
          <w:sz w:val="20"/>
          <w:szCs w:val="20"/>
        </w:rPr>
        <w:t>.</w:t>
      </w:r>
      <w:r w:rsidR="001C4C94" w:rsidRPr="00DB5977">
        <w:rPr>
          <w:rFonts w:ascii="Verdana" w:hAnsi="Verdana" w:cstheme="minorHAnsi"/>
          <w:sz w:val="20"/>
          <w:szCs w:val="20"/>
        </w:rPr>
        <w:t xml:space="preserve">; </w:t>
      </w:r>
      <w:r w:rsidR="004518E1" w:rsidRPr="00DB5977">
        <w:rPr>
          <w:rFonts w:ascii="Verdana" w:hAnsi="Verdana" w:cstheme="minorHAnsi"/>
          <w:sz w:val="20"/>
          <w:szCs w:val="20"/>
        </w:rPr>
        <w:t xml:space="preserve">Edison International; </w:t>
      </w:r>
      <w:proofErr w:type="spellStart"/>
      <w:r w:rsidR="00D73962" w:rsidRPr="00DB5977">
        <w:rPr>
          <w:rFonts w:ascii="Verdana" w:hAnsi="Verdana" w:cstheme="minorHAnsi"/>
          <w:sz w:val="20"/>
          <w:szCs w:val="20"/>
        </w:rPr>
        <w:t>Eversource</w:t>
      </w:r>
      <w:proofErr w:type="spellEnd"/>
      <w:r w:rsidR="00D73962" w:rsidRPr="00DB5977">
        <w:rPr>
          <w:rFonts w:ascii="Verdana" w:hAnsi="Verdana" w:cstheme="minorHAnsi"/>
          <w:sz w:val="20"/>
          <w:szCs w:val="20"/>
        </w:rPr>
        <w:t xml:space="preserve"> Energy</w:t>
      </w:r>
      <w:r w:rsidR="005E1620" w:rsidRPr="00DB5977">
        <w:rPr>
          <w:rFonts w:ascii="Verdana" w:hAnsi="Verdana" w:cstheme="minorHAnsi"/>
          <w:sz w:val="20"/>
          <w:szCs w:val="20"/>
        </w:rPr>
        <w:t xml:space="preserve">; </w:t>
      </w:r>
      <w:r w:rsidR="008120B4" w:rsidRPr="00DB5977">
        <w:rPr>
          <w:rFonts w:ascii="Verdana" w:hAnsi="Verdana" w:cstheme="minorHAnsi"/>
          <w:sz w:val="20"/>
          <w:szCs w:val="20"/>
        </w:rPr>
        <w:t xml:space="preserve">Exelon Corp.; </w:t>
      </w:r>
      <w:r w:rsidR="00D73962" w:rsidRPr="00DB5977">
        <w:rPr>
          <w:rFonts w:ascii="Verdana" w:hAnsi="Verdana" w:cstheme="minorHAnsi"/>
          <w:sz w:val="20"/>
          <w:szCs w:val="20"/>
        </w:rPr>
        <w:t>Hawaiian Electric Industries, Inc.</w:t>
      </w:r>
      <w:r w:rsidR="003A0E5C">
        <w:rPr>
          <w:rFonts w:ascii="Verdana" w:hAnsi="Verdana" w:cstheme="minorHAnsi"/>
          <w:sz w:val="20"/>
          <w:szCs w:val="20"/>
        </w:rPr>
        <w:t>;</w:t>
      </w:r>
      <w:r w:rsidR="00D73962" w:rsidRPr="00DB5977">
        <w:rPr>
          <w:rFonts w:ascii="Verdana" w:hAnsi="Verdana" w:cstheme="minorHAnsi"/>
          <w:sz w:val="20"/>
          <w:szCs w:val="20"/>
        </w:rPr>
        <w:t xml:space="preserve"> </w:t>
      </w:r>
      <w:r w:rsidR="00A42BBD" w:rsidRPr="00DB5977">
        <w:rPr>
          <w:rFonts w:ascii="Verdana" w:hAnsi="Verdana" w:cstheme="minorHAnsi"/>
          <w:sz w:val="20"/>
          <w:szCs w:val="20"/>
        </w:rPr>
        <w:t>NextEra Energy; Otter Tail Corp.</w:t>
      </w:r>
      <w:r w:rsidR="007A093F" w:rsidRPr="00DB5977">
        <w:rPr>
          <w:rFonts w:ascii="Verdana" w:hAnsi="Verdana" w:cstheme="minorHAnsi"/>
          <w:sz w:val="20"/>
          <w:szCs w:val="20"/>
        </w:rPr>
        <w:t>; Pinnacle West Capital Corp</w:t>
      </w:r>
      <w:r w:rsidR="00673F96" w:rsidRPr="00DB5977">
        <w:rPr>
          <w:rFonts w:ascii="Verdana" w:hAnsi="Verdana" w:cstheme="minorHAnsi"/>
          <w:sz w:val="20"/>
          <w:szCs w:val="20"/>
        </w:rPr>
        <w:t>.</w:t>
      </w:r>
      <w:r w:rsidR="007A093F" w:rsidRPr="00DB5977">
        <w:rPr>
          <w:rFonts w:ascii="Verdana" w:hAnsi="Verdana" w:cstheme="minorHAnsi"/>
          <w:sz w:val="20"/>
          <w:szCs w:val="20"/>
        </w:rPr>
        <w:t>; PNM Resources, Inc.</w:t>
      </w:r>
      <w:r w:rsidR="00BD64DD" w:rsidRPr="00DB5977">
        <w:rPr>
          <w:rFonts w:ascii="Verdana" w:hAnsi="Verdana" w:cstheme="minorHAnsi"/>
          <w:sz w:val="20"/>
          <w:szCs w:val="20"/>
        </w:rPr>
        <w:t xml:space="preserve">; Portland General Company; PPL </w:t>
      </w:r>
      <w:r w:rsidR="00D836FE" w:rsidRPr="00DB5977">
        <w:rPr>
          <w:rFonts w:ascii="Verdana" w:hAnsi="Verdana" w:cstheme="minorHAnsi"/>
          <w:sz w:val="20"/>
          <w:szCs w:val="20"/>
        </w:rPr>
        <w:t>C</w:t>
      </w:r>
      <w:r w:rsidR="00BD64DD" w:rsidRPr="00DB5977">
        <w:rPr>
          <w:rFonts w:ascii="Verdana" w:hAnsi="Verdana" w:cstheme="minorHAnsi"/>
          <w:sz w:val="20"/>
          <w:szCs w:val="20"/>
        </w:rPr>
        <w:t>orp</w:t>
      </w:r>
      <w:r w:rsidR="00D836FE" w:rsidRPr="00DB5977">
        <w:rPr>
          <w:rFonts w:ascii="Verdana" w:hAnsi="Verdana" w:cstheme="minorHAnsi"/>
          <w:sz w:val="20"/>
          <w:szCs w:val="20"/>
        </w:rPr>
        <w:t>.; Public Service Enterprise</w:t>
      </w:r>
      <w:r w:rsidR="006709A1" w:rsidRPr="00DB5977">
        <w:rPr>
          <w:rFonts w:ascii="Verdana" w:hAnsi="Verdana" w:cstheme="minorHAnsi"/>
          <w:sz w:val="20"/>
          <w:szCs w:val="20"/>
        </w:rPr>
        <w:t xml:space="preserve">; Sempra Energy Group; </w:t>
      </w:r>
      <w:r w:rsidR="0068235B" w:rsidRPr="00DB5977">
        <w:rPr>
          <w:rFonts w:ascii="Verdana" w:hAnsi="Verdana" w:cstheme="minorHAnsi"/>
          <w:sz w:val="20"/>
          <w:szCs w:val="20"/>
        </w:rPr>
        <w:t xml:space="preserve">Southern Co.; WEC Energy Group; </w:t>
      </w:r>
      <w:r w:rsidR="00875375" w:rsidRPr="00DB5977">
        <w:rPr>
          <w:rFonts w:ascii="Verdana" w:hAnsi="Verdana" w:cstheme="minorHAnsi"/>
          <w:sz w:val="20"/>
          <w:szCs w:val="20"/>
        </w:rPr>
        <w:t>and Xcel Energy Inc</w:t>
      </w:r>
      <w:r w:rsidR="00BD64DD" w:rsidRPr="00DB5977">
        <w:rPr>
          <w:rFonts w:ascii="Verdana" w:hAnsi="Verdana" w:cstheme="minorHAnsi"/>
          <w:sz w:val="20"/>
          <w:szCs w:val="20"/>
        </w:rPr>
        <w:t>.</w:t>
      </w:r>
      <w:r w:rsidRPr="00DB5977">
        <w:rPr>
          <w:rFonts w:ascii="Verdana" w:hAnsi="Verdana" w:cstheme="minorHAnsi"/>
          <w:sz w:val="20"/>
          <w:szCs w:val="20"/>
        </w:rPr>
        <w:t xml:space="preserve"> (</w:t>
      </w:r>
      <w:r w:rsidRPr="00DB5977">
        <w:rPr>
          <w:rFonts w:ascii="Verdana" w:hAnsi="Verdana" w:cstheme="minorHAnsi"/>
          <w:i/>
          <w:sz w:val="20"/>
          <w:szCs w:val="20"/>
          <w:u w:val="single"/>
        </w:rPr>
        <w:t>See</w:t>
      </w:r>
      <w:r w:rsidRPr="00DB5977">
        <w:rPr>
          <w:rFonts w:ascii="Verdana" w:hAnsi="Verdana" w:cstheme="minorHAnsi"/>
          <w:sz w:val="20"/>
          <w:szCs w:val="20"/>
        </w:rPr>
        <w:t xml:space="preserve"> </w:t>
      </w:r>
      <w:r w:rsidR="0013533B">
        <w:rPr>
          <w:rFonts w:ascii="Verdana" w:hAnsi="Verdana" w:cstheme="minorHAnsi"/>
          <w:sz w:val="20"/>
          <w:szCs w:val="20"/>
        </w:rPr>
        <w:t>Exhibit_(M</w:t>
      </w:r>
      <w:r w:rsidRPr="00DB5977">
        <w:rPr>
          <w:rFonts w:ascii="Verdana" w:hAnsi="Verdana" w:cstheme="minorHAnsi"/>
          <w:sz w:val="20"/>
          <w:szCs w:val="20"/>
        </w:rPr>
        <w:t>LR-4</w:t>
      </w:r>
      <w:r w:rsidR="0013533B">
        <w:rPr>
          <w:rFonts w:ascii="Verdana" w:hAnsi="Verdana" w:cstheme="minorHAnsi"/>
          <w:sz w:val="20"/>
          <w:szCs w:val="20"/>
        </w:rPr>
        <w:t>)</w:t>
      </w:r>
      <w:r w:rsidRPr="00DB5977">
        <w:rPr>
          <w:rFonts w:ascii="Verdana" w:hAnsi="Verdana" w:cstheme="minorHAnsi"/>
          <w:sz w:val="20"/>
          <w:szCs w:val="20"/>
        </w:rPr>
        <w:t>.</w:t>
      </w:r>
      <w:r w:rsidR="0025065A">
        <w:rPr>
          <w:rFonts w:ascii="Verdana" w:hAnsi="Verdana" w:cstheme="minorHAnsi"/>
          <w:sz w:val="20"/>
          <w:szCs w:val="20"/>
        </w:rPr>
        <w:t xml:space="preserve"> </w:t>
      </w:r>
    </w:p>
    <w:p w14:paraId="09868F84" w14:textId="77777777" w:rsidR="00823379" w:rsidRPr="00DB5977" w:rsidRDefault="00823379" w:rsidP="00486739">
      <w:pPr>
        <w:pStyle w:val="DirectQuestion"/>
      </w:pPr>
      <w:r w:rsidRPr="00DB5977">
        <w:lastRenderedPageBreak/>
        <w:t xml:space="preserve">Why do you Include the remaining companies from </w:t>
      </w:r>
      <w:r w:rsidR="00890000" w:rsidRPr="00DB5977">
        <w:t>DR. Vander Weide</w:t>
      </w:r>
      <w:r w:rsidR="00871459" w:rsidRPr="00DB5977">
        <w:t>’s</w:t>
      </w:r>
      <w:r w:rsidR="00931DE8" w:rsidRPr="00DB5977">
        <w:t xml:space="preserve"> proxy group</w:t>
      </w:r>
      <w:r w:rsidRPr="00DB5977">
        <w:t xml:space="preserve"> in your </w:t>
      </w:r>
      <w:r w:rsidR="008A0396" w:rsidRPr="00DB5977">
        <w:t>cost of equity</w:t>
      </w:r>
      <w:r w:rsidRPr="00DB5977">
        <w:t xml:space="preserve"> analysis and ultimately your recommendation to the Commission?</w:t>
      </w:r>
    </w:p>
    <w:p w14:paraId="0A3C7E18" w14:textId="4EDAFF35" w:rsidR="00010879" w:rsidRPr="00DB5977" w:rsidRDefault="00A17804" w:rsidP="00486739">
      <w:pPr>
        <w:pStyle w:val="DirectAnswer"/>
        <w:jc w:val="both"/>
        <w:rPr>
          <w:rFonts w:ascii="Verdana" w:hAnsi="Verdana" w:cstheme="minorHAnsi"/>
          <w:sz w:val="20"/>
          <w:szCs w:val="20"/>
        </w:rPr>
      </w:pPr>
      <w:r w:rsidRPr="00DB5977">
        <w:rPr>
          <w:rFonts w:ascii="Verdana" w:hAnsi="Verdana" w:cstheme="minorHAnsi"/>
          <w:sz w:val="20"/>
          <w:szCs w:val="20"/>
        </w:rPr>
        <w:t xml:space="preserve">Although </w:t>
      </w:r>
      <w:r w:rsidR="00397A0A" w:rsidRPr="00DB5977">
        <w:rPr>
          <w:rFonts w:ascii="Verdana" w:hAnsi="Verdana" w:cstheme="minorHAnsi"/>
          <w:sz w:val="20"/>
          <w:szCs w:val="20"/>
        </w:rPr>
        <w:t xml:space="preserve">his proxy group has more </w:t>
      </w:r>
      <w:r w:rsidR="000C78FC" w:rsidRPr="00DB5977">
        <w:rPr>
          <w:rFonts w:ascii="Verdana" w:hAnsi="Verdana" w:cstheme="minorHAnsi"/>
          <w:sz w:val="20"/>
          <w:szCs w:val="20"/>
        </w:rPr>
        <w:t>business</w:t>
      </w:r>
      <w:r w:rsidR="00397A0A" w:rsidRPr="00DB5977">
        <w:rPr>
          <w:rFonts w:ascii="Verdana" w:hAnsi="Verdana" w:cstheme="minorHAnsi"/>
          <w:sz w:val="20"/>
          <w:szCs w:val="20"/>
        </w:rPr>
        <w:t xml:space="preserve"> risk tha</w:t>
      </w:r>
      <w:r w:rsidR="003A0E5C">
        <w:rPr>
          <w:rFonts w:ascii="Verdana" w:hAnsi="Verdana" w:cstheme="minorHAnsi"/>
          <w:sz w:val="20"/>
          <w:szCs w:val="20"/>
        </w:rPr>
        <w:t>n</w:t>
      </w:r>
      <w:r w:rsidR="00397A0A" w:rsidRPr="00DB5977">
        <w:rPr>
          <w:rFonts w:ascii="Verdana" w:hAnsi="Verdana" w:cstheme="minorHAnsi"/>
          <w:sz w:val="20"/>
          <w:szCs w:val="20"/>
        </w:rPr>
        <w:t xml:space="preserve"> that of Georgia Power</w:t>
      </w:r>
      <w:r w:rsidR="00FB5644" w:rsidRPr="00DB5977">
        <w:rPr>
          <w:rFonts w:ascii="Verdana" w:hAnsi="Verdana" w:cstheme="minorHAnsi"/>
          <w:sz w:val="20"/>
          <w:szCs w:val="20"/>
        </w:rPr>
        <w:t xml:space="preserve">, </w:t>
      </w:r>
      <w:r w:rsidR="00823379" w:rsidRPr="00DB5977">
        <w:rPr>
          <w:rFonts w:ascii="Verdana" w:hAnsi="Verdana" w:cstheme="minorHAnsi"/>
          <w:sz w:val="20"/>
          <w:szCs w:val="20"/>
        </w:rPr>
        <w:t xml:space="preserve">I use </w:t>
      </w:r>
      <w:r w:rsidR="009D523B" w:rsidRPr="00DB5977">
        <w:rPr>
          <w:rFonts w:ascii="Verdana" w:hAnsi="Verdana" w:cstheme="minorHAnsi"/>
          <w:sz w:val="20"/>
          <w:szCs w:val="20"/>
        </w:rPr>
        <w:t xml:space="preserve">Dr. Vander </w:t>
      </w:r>
      <w:proofErr w:type="spellStart"/>
      <w:r w:rsidR="009D523B" w:rsidRPr="00DB5977">
        <w:rPr>
          <w:rFonts w:ascii="Verdana" w:hAnsi="Verdana" w:cstheme="minorHAnsi"/>
          <w:sz w:val="20"/>
          <w:szCs w:val="20"/>
        </w:rPr>
        <w:t>Weide</w:t>
      </w:r>
      <w:r w:rsidR="00EB10C9" w:rsidRPr="00DB5977">
        <w:rPr>
          <w:rFonts w:ascii="Verdana" w:hAnsi="Verdana" w:cstheme="minorHAnsi"/>
          <w:sz w:val="20"/>
          <w:szCs w:val="20"/>
        </w:rPr>
        <w:t>’s</w:t>
      </w:r>
      <w:proofErr w:type="spellEnd"/>
      <w:r w:rsidR="00144203" w:rsidRPr="00DB5977">
        <w:rPr>
          <w:rFonts w:ascii="Verdana" w:hAnsi="Verdana" w:cstheme="minorHAnsi"/>
          <w:sz w:val="20"/>
          <w:szCs w:val="20"/>
        </w:rPr>
        <w:t xml:space="preserve"> proxy group of</w:t>
      </w:r>
      <w:r w:rsidR="00EB10C9" w:rsidRPr="00DB5977">
        <w:rPr>
          <w:rFonts w:ascii="Verdana" w:hAnsi="Verdana" w:cstheme="minorHAnsi"/>
          <w:sz w:val="20"/>
          <w:szCs w:val="20"/>
        </w:rPr>
        <w:t xml:space="preserve"> </w:t>
      </w:r>
      <w:r w:rsidR="00931DE8" w:rsidRPr="00DB5977">
        <w:rPr>
          <w:rFonts w:ascii="Verdana" w:hAnsi="Verdana" w:cstheme="minorHAnsi"/>
          <w:sz w:val="20"/>
          <w:szCs w:val="20"/>
        </w:rPr>
        <w:t>electric</w:t>
      </w:r>
      <w:r w:rsidR="00EB10C9" w:rsidRPr="00DB5977">
        <w:rPr>
          <w:rFonts w:ascii="Verdana" w:hAnsi="Verdana" w:cstheme="minorHAnsi"/>
          <w:sz w:val="20"/>
          <w:szCs w:val="20"/>
        </w:rPr>
        <w:t xml:space="preserve"> utility companies</w:t>
      </w:r>
      <w:r w:rsidR="00823379" w:rsidRPr="00DB5977">
        <w:rPr>
          <w:rFonts w:ascii="Verdana" w:hAnsi="Verdana" w:cstheme="minorHAnsi"/>
          <w:sz w:val="20"/>
          <w:szCs w:val="20"/>
        </w:rPr>
        <w:t xml:space="preserve">, </w:t>
      </w:r>
      <w:r w:rsidR="00EB10C9" w:rsidRPr="00DB5977">
        <w:rPr>
          <w:rFonts w:ascii="Verdana" w:hAnsi="Verdana" w:cstheme="minorHAnsi"/>
          <w:sz w:val="20"/>
          <w:szCs w:val="20"/>
        </w:rPr>
        <w:t>with the exception of</w:t>
      </w:r>
      <w:r w:rsidR="000C78FC" w:rsidRPr="00DB5977">
        <w:rPr>
          <w:rFonts w:ascii="Verdana" w:hAnsi="Verdana" w:cstheme="minorHAnsi"/>
          <w:sz w:val="20"/>
          <w:szCs w:val="20"/>
        </w:rPr>
        <w:t xml:space="preserve"> </w:t>
      </w:r>
      <w:proofErr w:type="spellStart"/>
      <w:r w:rsidR="00BF6148" w:rsidRPr="00DB5977">
        <w:rPr>
          <w:rFonts w:ascii="Verdana" w:hAnsi="Verdana" w:cstheme="minorHAnsi"/>
          <w:sz w:val="20"/>
          <w:szCs w:val="20"/>
        </w:rPr>
        <w:t>Evergy</w:t>
      </w:r>
      <w:proofErr w:type="spellEnd"/>
      <w:r w:rsidR="00494489" w:rsidRPr="00DB5977">
        <w:rPr>
          <w:rFonts w:ascii="Verdana" w:hAnsi="Verdana" w:cstheme="minorHAnsi"/>
          <w:sz w:val="20"/>
          <w:szCs w:val="20"/>
        </w:rPr>
        <w:t xml:space="preserve"> and El Paso Electric</w:t>
      </w:r>
      <w:r w:rsidR="00285823" w:rsidRPr="00DB5977">
        <w:rPr>
          <w:rFonts w:ascii="Verdana" w:hAnsi="Verdana" w:cstheme="minorHAnsi"/>
          <w:sz w:val="20"/>
          <w:szCs w:val="20"/>
        </w:rPr>
        <w:t>,</w:t>
      </w:r>
      <w:r w:rsidR="00010879" w:rsidRPr="00DB5977">
        <w:rPr>
          <w:rFonts w:ascii="Verdana" w:hAnsi="Verdana" w:cstheme="minorHAnsi"/>
          <w:sz w:val="20"/>
          <w:szCs w:val="20"/>
        </w:rPr>
        <w:t xml:space="preserve"> </w:t>
      </w:r>
      <w:r w:rsidR="00823379" w:rsidRPr="00DB5977">
        <w:rPr>
          <w:rFonts w:ascii="Verdana" w:hAnsi="Verdana" w:cstheme="minorHAnsi"/>
          <w:sz w:val="20"/>
          <w:szCs w:val="20"/>
        </w:rPr>
        <w:t xml:space="preserve">to reduce the number of variables introduced between our </w:t>
      </w:r>
      <w:r w:rsidR="003A0E5C">
        <w:rPr>
          <w:rFonts w:ascii="Verdana" w:hAnsi="Verdana" w:cstheme="minorHAnsi"/>
          <w:sz w:val="20"/>
          <w:szCs w:val="20"/>
        </w:rPr>
        <w:t xml:space="preserve">respective </w:t>
      </w:r>
      <w:r w:rsidR="00823379" w:rsidRPr="00DB5977">
        <w:rPr>
          <w:rFonts w:ascii="Verdana" w:hAnsi="Verdana" w:cstheme="minorHAnsi"/>
          <w:sz w:val="20"/>
          <w:szCs w:val="20"/>
        </w:rPr>
        <w:t xml:space="preserve">methodologies for determining a reasonable ROE for </w:t>
      </w:r>
      <w:r w:rsidR="00AA0FEC" w:rsidRPr="00DB5977">
        <w:rPr>
          <w:rFonts w:ascii="Verdana" w:hAnsi="Verdana" w:cstheme="minorHAnsi"/>
          <w:sz w:val="20"/>
          <w:szCs w:val="20"/>
        </w:rPr>
        <w:t>the Company</w:t>
      </w:r>
      <w:r w:rsidR="00823379" w:rsidRPr="00DB5977">
        <w:rPr>
          <w:rFonts w:ascii="Verdana" w:hAnsi="Verdana" w:cstheme="minorHAnsi"/>
          <w:sz w:val="20"/>
          <w:szCs w:val="20"/>
        </w:rPr>
        <w:t>.</w:t>
      </w:r>
      <w:r w:rsidR="0061504D" w:rsidRPr="00DB5977">
        <w:rPr>
          <w:rFonts w:ascii="Verdana" w:hAnsi="Verdana" w:cstheme="minorHAnsi"/>
          <w:sz w:val="20"/>
          <w:szCs w:val="20"/>
        </w:rPr>
        <w:t xml:space="preserve"> </w:t>
      </w:r>
    </w:p>
    <w:p w14:paraId="1D98CE21" w14:textId="77777777" w:rsidR="002D1396" w:rsidRPr="00DB5977" w:rsidRDefault="002D1396" w:rsidP="002D1396">
      <w:pPr>
        <w:pStyle w:val="DirectNext"/>
        <w:rPr>
          <w:rFonts w:ascii="Verdana" w:hAnsi="Verdana"/>
          <w:sz w:val="20"/>
          <w:szCs w:val="20"/>
        </w:rPr>
      </w:pPr>
    </w:p>
    <w:p w14:paraId="0A288CA0" w14:textId="45E6E3A9" w:rsidR="0025065A" w:rsidRPr="00ED1819" w:rsidRDefault="0025065A" w:rsidP="0025065A">
      <w:pPr>
        <w:pStyle w:val="Heading1"/>
        <w:numPr>
          <w:ilvl w:val="0"/>
          <w:numId w:val="0"/>
        </w:numPr>
        <w:rPr>
          <w:rFonts w:ascii="Verdana" w:hAnsi="Verdana" w:cstheme="minorHAnsi"/>
          <w:sz w:val="20"/>
          <w:szCs w:val="20"/>
        </w:rPr>
      </w:pPr>
      <w:bookmarkStart w:id="22" w:name="_Toc21521237"/>
      <w:bookmarkStart w:id="23" w:name="_Toc21555888"/>
      <w:bookmarkStart w:id="24" w:name="_Toc21873139"/>
      <w:bookmarkStart w:id="25" w:name="_Toc415003973"/>
      <w:r>
        <w:rPr>
          <w:rFonts w:ascii="Verdana" w:hAnsi="Verdana" w:cstheme="minorHAnsi"/>
          <w:sz w:val="20"/>
          <w:szCs w:val="20"/>
          <w:u w:val="none"/>
        </w:rPr>
        <w:t>V</w:t>
      </w:r>
      <w:r w:rsidR="00A71594">
        <w:rPr>
          <w:rFonts w:ascii="Verdana" w:hAnsi="Verdana" w:cstheme="minorHAnsi"/>
          <w:sz w:val="20"/>
          <w:szCs w:val="20"/>
          <w:u w:val="none"/>
        </w:rPr>
        <w:t>I</w:t>
      </w:r>
      <w:r>
        <w:rPr>
          <w:rFonts w:ascii="Verdana" w:hAnsi="Verdana" w:cstheme="minorHAnsi"/>
          <w:sz w:val="20"/>
          <w:szCs w:val="20"/>
          <w:u w:val="none"/>
        </w:rPr>
        <w:t xml:space="preserve">. </w:t>
      </w:r>
      <w:r w:rsidRPr="00ED1819">
        <w:rPr>
          <w:rFonts w:ascii="Verdana" w:hAnsi="Verdana" w:cstheme="minorHAnsi"/>
          <w:sz w:val="20"/>
          <w:szCs w:val="20"/>
        </w:rPr>
        <w:t>METHODOLOGIES</w:t>
      </w:r>
      <w:bookmarkEnd w:id="22"/>
      <w:bookmarkEnd w:id="23"/>
      <w:bookmarkEnd w:id="24"/>
    </w:p>
    <w:bookmarkEnd w:id="25"/>
    <w:p w14:paraId="50A79849" w14:textId="77777777" w:rsidR="00823379" w:rsidRPr="00DB5977" w:rsidRDefault="00823379" w:rsidP="00486739">
      <w:pPr>
        <w:pStyle w:val="DirectQuestion"/>
      </w:pPr>
      <w:r w:rsidRPr="00DB5977">
        <w:t xml:space="preserve">What methodologies dO you use to derive your </w:t>
      </w:r>
      <w:r w:rsidR="008A0396" w:rsidRPr="00DB5977">
        <w:t>Cost of equity</w:t>
      </w:r>
      <w:r w:rsidRPr="00DB5977">
        <w:t xml:space="preserve"> recommendation?</w:t>
      </w:r>
    </w:p>
    <w:p w14:paraId="488A1145" w14:textId="35416664"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I use variants of the </w:t>
      </w:r>
      <w:r w:rsidR="00343551" w:rsidRPr="00DB5977">
        <w:rPr>
          <w:rFonts w:ascii="Verdana" w:hAnsi="Verdana" w:cstheme="minorHAnsi"/>
          <w:sz w:val="20"/>
          <w:szCs w:val="20"/>
        </w:rPr>
        <w:t>constant-growth</w:t>
      </w:r>
      <w:r w:rsidRPr="00DB5977">
        <w:rPr>
          <w:rFonts w:ascii="Verdana" w:hAnsi="Verdana" w:cstheme="minorHAnsi"/>
          <w:sz w:val="20"/>
          <w:szCs w:val="20"/>
        </w:rPr>
        <w:t xml:space="preserve"> DCF model</w:t>
      </w:r>
      <w:r w:rsidR="00B450A2" w:rsidRPr="00DB5977">
        <w:rPr>
          <w:rFonts w:ascii="Verdana" w:hAnsi="Verdana" w:cstheme="minorHAnsi"/>
          <w:sz w:val="20"/>
          <w:szCs w:val="20"/>
        </w:rPr>
        <w:t>,</w:t>
      </w:r>
      <w:r w:rsidRPr="00DB5977">
        <w:rPr>
          <w:rFonts w:ascii="Verdana" w:hAnsi="Verdana" w:cstheme="minorHAnsi"/>
          <w:sz w:val="20"/>
          <w:szCs w:val="20"/>
        </w:rPr>
        <w:t xml:space="preserve"> the </w:t>
      </w:r>
      <w:r w:rsidR="003A0E5C">
        <w:rPr>
          <w:rFonts w:ascii="Verdana" w:hAnsi="Verdana" w:cstheme="minorHAnsi"/>
          <w:sz w:val="20"/>
          <w:szCs w:val="20"/>
        </w:rPr>
        <w:t>CAPM</w:t>
      </w:r>
      <w:r w:rsidR="00B450A2" w:rsidRPr="00DB5977">
        <w:rPr>
          <w:rFonts w:ascii="Verdana" w:hAnsi="Verdana" w:cstheme="minorHAnsi"/>
          <w:sz w:val="20"/>
          <w:szCs w:val="20"/>
        </w:rPr>
        <w:t>,</w:t>
      </w:r>
      <w:r w:rsidR="00F63AF2">
        <w:rPr>
          <w:rFonts w:ascii="Verdana" w:hAnsi="Verdana" w:cstheme="minorHAnsi"/>
          <w:sz w:val="20"/>
          <w:szCs w:val="20"/>
        </w:rPr>
        <w:t xml:space="preserve"> </w:t>
      </w:r>
      <w:r w:rsidR="000A415D">
        <w:rPr>
          <w:rFonts w:ascii="Verdana" w:hAnsi="Verdana" w:cstheme="minorHAnsi"/>
          <w:sz w:val="20"/>
          <w:szCs w:val="20"/>
        </w:rPr>
        <w:t>Empirical CAPM (“</w:t>
      </w:r>
      <w:r w:rsidR="00F63AF2">
        <w:rPr>
          <w:rFonts w:ascii="Verdana" w:hAnsi="Verdana" w:cstheme="minorHAnsi"/>
          <w:sz w:val="20"/>
          <w:szCs w:val="20"/>
        </w:rPr>
        <w:t>ECAPM</w:t>
      </w:r>
      <w:r w:rsidR="000A415D">
        <w:rPr>
          <w:rFonts w:ascii="Verdana" w:hAnsi="Verdana" w:cstheme="minorHAnsi"/>
          <w:sz w:val="20"/>
          <w:szCs w:val="20"/>
        </w:rPr>
        <w:t>”)</w:t>
      </w:r>
      <w:r w:rsidR="00F63AF2">
        <w:rPr>
          <w:rFonts w:ascii="Verdana" w:hAnsi="Verdana" w:cstheme="minorHAnsi"/>
          <w:sz w:val="20"/>
          <w:szCs w:val="20"/>
        </w:rPr>
        <w:t>,</w:t>
      </w:r>
      <w:r w:rsidR="00B450A2" w:rsidRPr="00DB5977">
        <w:rPr>
          <w:rFonts w:ascii="Verdana" w:hAnsi="Verdana" w:cstheme="minorHAnsi"/>
          <w:sz w:val="20"/>
          <w:szCs w:val="20"/>
        </w:rPr>
        <w:t xml:space="preserve"> and the Comp</w:t>
      </w:r>
      <w:r w:rsidR="000D3965" w:rsidRPr="00DB5977">
        <w:rPr>
          <w:rFonts w:ascii="Verdana" w:hAnsi="Verdana" w:cstheme="minorHAnsi"/>
          <w:sz w:val="20"/>
          <w:szCs w:val="20"/>
        </w:rPr>
        <w:t>arable Earning</w:t>
      </w:r>
      <w:r w:rsidR="004C5F2A" w:rsidRPr="00DB5977">
        <w:rPr>
          <w:rFonts w:ascii="Verdana" w:hAnsi="Verdana" w:cstheme="minorHAnsi"/>
          <w:sz w:val="20"/>
          <w:szCs w:val="20"/>
        </w:rPr>
        <w:t>s</w:t>
      </w:r>
      <w:r w:rsidR="000D3965" w:rsidRPr="00DB5977">
        <w:rPr>
          <w:rFonts w:ascii="Verdana" w:hAnsi="Verdana" w:cstheme="minorHAnsi"/>
          <w:sz w:val="20"/>
          <w:szCs w:val="20"/>
        </w:rPr>
        <w:t xml:space="preserve"> Model</w:t>
      </w:r>
      <w:r w:rsidR="00010879" w:rsidRPr="00DB5977">
        <w:rPr>
          <w:rFonts w:ascii="Verdana" w:hAnsi="Verdana" w:cstheme="minorHAnsi"/>
          <w:sz w:val="20"/>
          <w:szCs w:val="20"/>
        </w:rPr>
        <w:t xml:space="preserve"> </w:t>
      </w:r>
      <w:r w:rsidR="003A0E5C">
        <w:rPr>
          <w:rFonts w:ascii="Verdana" w:hAnsi="Verdana" w:cstheme="minorHAnsi"/>
          <w:sz w:val="20"/>
          <w:szCs w:val="20"/>
        </w:rPr>
        <w:t xml:space="preserve">(“CEM”) </w:t>
      </w:r>
      <w:r w:rsidRPr="00DB5977">
        <w:rPr>
          <w:rFonts w:ascii="Verdana" w:hAnsi="Verdana" w:cstheme="minorHAnsi"/>
          <w:sz w:val="20"/>
          <w:szCs w:val="20"/>
        </w:rPr>
        <w:t xml:space="preserve">to form the basis of my recommendation of </w:t>
      </w:r>
      <w:r w:rsidR="003A0E5C">
        <w:rPr>
          <w:rFonts w:ascii="Verdana" w:hAnsi="Verdana" w:cstheme="minorHAnsi"/>
          <w:sz w:val="20"/>
          <w:szCs w:val="20"/>
        </w:rPr>
        <w:t xml:space="preserve">a </w:t>
      </w:r>
      <w:r w:rsidR="00DD781C" w:rsidRPr="00DB5977">
        <w:rPr>
          <w:rFonts w:ascii="Verdana" w:hAnsi="Verdana" w:cstheme="minorHAnsi"/>
          <w:sz w:val="20"/>
          <w:szCs w:val="20"/>
        </w:rPr>
        <w:t>9</w:t>
      </w:r>
      <w:r w:rsidR="005E5849" w:rsidRPr="00DB5977">
        <w:rPr>
          <w:rFonts w:ascii="Verdana" w:hAnsi="Verdana" w:cstheme="minorHAnsi"/>
          <w:sz w:val="20"/>
          <w:szCs w:val="20"/>
        </w:rPr>
        <w:t>.</w:t>
      </w:r>
      <w:r w:rsidR="00494489" w:rsidRPr="00DB5977">
        <w:rPr>
          <w:rFonts w:ascii="Verdana" w:hAnsi="Verdana" w:cstheme="minorHAnsi"/>
          <w:sz w:val="20"/>
          <w:szCs w:val="20"/>
        </w:rPr>
        <w:t>1</w:t>
      </w:r>
      <w:r w:rsidRPr="00DB5977">
        <w:rPr>
          <w:rFonts w:ascii="Verdana" w:hAnsi="Verdana" w:cstheme="minorHAnsi"/>
          <w:sz w:val="20"/>
          <w:szCs w:val="20"/>
        </w:rPr>
        <w:t xml:space="preserve"> percent ROE for </w:t>
      </w:r>
      <w:r w:rsidR="00CD4492" w:rsidRPr="00DB5977">
        <w:rPr>
          <w:rFonts w:ascii="Verdana" w:hAnsi="Verdana" w:cstheme="minorHAnsi"/>
          <w:sz w:val="20"/>
          <w:szCs w:val="20"/>
        </w:rPr>
        <w:t>Georgia Power</w:t>
      </w:r>
      <w:r w:rsidRPr="00DB5977">
        <w:rPr>
          <w:rFonts w:ascii="Verdana" w:hAnsi="Verdana" w:cstheme="minorHAnsi"/>
          <w:sz w:val="20"/>
          <w:szCs w:val="20"/>
        </w:rPr>
        <w:t>.</w:t>
      </w:r>
      <w:r w:rsidR="0025065A">
        <w:rPr>
          <w:rFonts w:ascii="Verdana" w:hAnsi="Verdana" w:cstheme="minorHAnsi"/>
          <w:sz w:val="20"/>
          <w:szCs w:val="20"/>
        </w:rPr>
        <w:t xml:space="preserve"> </w:t>
      </w:r>
      <w:r w:rsidR="00A9724E">
        <w:rPr>
          <w:rFonts w:ascii="Verdana" w:hAnsi="Verdana" w:cstheme="minorHAnsi"/>
          <w:sz w:val="20"/>
          <w:szCs w:val="20"/>
        </w:rPr>
        <w:t xml:space="preserve">This recommendation includes </w:t>
      </w:r>
      <w:r w:rsidR="00A2725D">
        <w:rPr>
          <w:rFonts w:ascii="Verdana" w:hAnsi="Verdana" w:cstheme="minorHAnsi"/>
          <w:sz w:val="20"/>
          <w:szCs w:val="20"/>
        </w:rPr>
        <w:t>a 10 basis point adjustment for flotation costs, which</w:t>
      </w:r>
      <w:r w:rsidR="00A27096">
        <w:rPr>
          <w:rFonts w:ascii="Verdana" w:hAnsi="Verdana" w:cstheme="minorHAnsi"/>
          <w:sz w:val="20"/>
          <w:szCs w:val="20"/>
        </w:rPr>
        <w:t>,</w:t>
      </w:r>
      <w:r w:rsidR="00A2725D">
        <w:rPr>
          <w:rFonts w:ascii="Verdana" w:hAnsi="Verdana" w:cstheme="minorHAnsi"/>
          <w:sz w:val="20"/>
          <w:szCs w:val="20"/>
        </w:rPr>
        <w:t xml:space="preserve"> unlike Dr. Vander </w:t>
      </w:r>
      <w:proofErr w:type="spellStart"/>
      <w:r w:rsidR="00A2725D">
        <w:rPr>
          <w:rFonts w:ascii="Verdana" w:hAnsi="Verdana" w:cstheme="minorHAnsi"/>
          <w:sz w:val="20"/>
          <w:szCs w:val="20"/>
        </w:rPr>
        <w:t>Weide’s</w:t>
      </w:r>
      <w:proofErr w:type="spellEnd"/>
      <w:r w:rsidR="00A2725D">
        <w:rPr>
          <w:rFonts w:ascii="Verdana" w:hAnsi="Verdana" w:cstheme="minorHAnsi"/>
          <w:sz w:val="20"/>
          <w:szCs w:val="20"/>
        </w:rPr>
        <w:t xml:space="preserve"> </w:t>
      </w:r>
      <w:r w:rsidR="00AA0429">
        <w:rPr>
          <w:rFonts w:ascii="Verdana" w:hAnsi="Verdana" w:cstheme="minorHAnsi"/>
          <w:sz w:val="20"/>
          <w:szCs w:val="20"/>
        </w:rPr>
        <w:t>flotation cost adjustment</w:t>
      </w:r>
      <w:r w:rsidR="00A27096">
        <w:rPr>
          <w:rFonts w:ascii="Verdana" w:hAnsi="Verdana" w:cstheme="minorHAnsi"/>
          <w:sz w:val="20"/>
          <w:szCs w:val="20"/>
        </w:rPr>
        <w:t xml:space="preserve">, is </w:t>
      </w:r>
      <w:r w:rsidR="00CE1155">
        <w:rPr>
          <w:rFonts w:ascii="Verdana" w:hAnsi="Verdana" w:cstheme="minorHAnsi"/>
          <w:sz w:val="20"/>
          <w:szCs w:val="20"/>
        </w:rPr>
        <w:t xml:space="preserve">more </w:t>
      </w:r>
      <w:r w:rsidR="005B2132">
        <w:rPr>
          <w:rFonts w:ascii="Verdana" w:hAnsi="Verdana" w:cstheme="minorHAnsi"/>
          <w:sz w:val="20"/>
          <w:szCs w:val="20"/>
        </w:rPr>
        <w:t>in line</w:t>
      </w:r>
      <w:r w:rsidR="00CE1155">
        <w:rPr>
          <w:rFonts w:ascii="Verdana" w:hAnsi="Verdana" w:cstheme="minorHAnsi"/>
          <w:sz w:val="20"/>
          <w:szCs w:val="20"/>
        </w:rPr>
        <w:t xml:space="preserve"> with</w:t>
      </w:r>
      <w:r w:rsidR="00A27096">
        <w:rPr>
          <w:rFonts w:ascii="Verdana" w:hAnsi="Verdana" w:cstheme="minorHAnsi"/>
          <w:sz w:val="20"/>
          <w:szCs w:val="20"/>
        </w:rPr>
        <w:t xml:space="preserve"> actual </w:t>
      </w:r>
      <w:r w:rsidR="00891B34">
        <w:rPr>
          <w:rFonts w:ascii="Verdana" w:hAnsi="Verdana" w:cstheme="minorHAnsi"/>
          <w:sz w:val="20"/>
          <w:szCs w:val="20"/>
        </w:rPr>
        <w:t xml:space="preserve">stock </w:t>
      </w:r>
      <w:r w:rsidR="00A27096">
        <w:rPr>
          <w:rFonts w:ascii="Verdana" w:hAnsi="Verdana" w:cstheme="minorHAnsi"/>
          <w:sz w:val="20"/>
          <w:szCs w:val="20"/>
        </w:rPr>
        <w:t>issuance costs by the parent company.</w:t>
      </w:r>
      <w:r w:rsidR="00AA0429">
        <w:rPr>
          <w:rFonts w:ascii="Verdana" w:hAnsi="Verdana" w:cstheme="minorHAnsi"/>
          <w:sz w:val="20"/>
          <w:szCs w:val="20"/>
        </w:rPr>
        <w:t xml:space="preserve"> </w:t>
      </w:r>
      <w:r w:rsidR="00A2725D">
        <w:rPr>
          <w:rFonts w:ascii="Verdana" w:hAnsi="Verdana" w:cstheme="minorHAnsi"/>
          <w:sz w:val="20"/>
          <w:szCs w:val="20"/>
        </w:rPr>
        <w:t xml:space="preserve"> </w:t>
      </w:r>
    </w:p>
    <w:p w14:paraId="73C55B5B" w14:textId="77777777" w:rsidR="00823379" w:rsidRPr="00DB5977" w:rsidRDefault="00343551" w:rsidP="0025065A">
      <w:pPr>
        <w:pStyle w:val="Heading2"/>
        <w:numPr>
          <w:ilvl w:val="1"/>
          <w:numId w:val="41"/>
        </w:numPr>
        <w:ind w:left="0"/>
        <w:rPr>
          <w:rFonts w:ascii="Verdana" w:hAnsi="Verdana" w:cstheme="minorHAnsi"/>
          <w:sz w:val="20"/>
          <w:szCs w:val="22"/>
        </w:rPr>
      </w:pPr>
      <w:bookmarkStart w:id="26" w:name="_Toc415003974"/>
      <w:bookmarkStart w:id="27" w:name="_Toc21873140"/>
      <w:r w:rsidRPr="00DB5977">
        <w:rPr>
          <w:rFonts w:ascii="Verdana" w:hAnsi="Verdana" w:cstheme="minorHAnsi"/>
          <w:sz w:val="20"/>
          <w:szCs w:val="22"/>
        </w:rPr>
        <w:t>Constant-Growth</w:t>
      </w:r>
      <w:r w:rsidR="00823379" w:rsidRPr="00DB5977">
        <w:rPr>
          <w:rFonts w:ascii="Verdana" w:hAnsi="Verdana" w:cstheme="minorHAnsi"/>
          <w:sz w:val="20"/>
          <w:szCs w:val="22"/>
        </w:rPr>
        <w:t xml:space="preserve"> Discounted Cash Flow Model</w:t>
      </w:r>
      <w:bookmarkEnd w:id="26"/>
      <w:bookmarkEnd w:id="27"/>
    </w:p>
    <w:p w14:paraId="754EA359" w14:textId="77777777" w:rsidR="00823379" w:rsidRPr="00DB5977" w:rsidRDefault="00823379" w:rsidP="00486739">
      <w:pPr>
        <w:pStyle w:val="DirectQuestion"/>
      </w:pPr>
      <w:r w:rsidRPr="00DB5977">
        <w:t xml:space="preserve">Please describe the </w:t>
      </w:r>
      <w:r w:rsidR="00343551" w:rsidRPr="00DB5977">
        <w:t>Constant-Growth</w:t>
      </w:r>
      <w:r w:rsidRPr="00DB5977">
        <w:t xml:space="preserve"> DCF model.</w:t>
      </w:r>
    </w:p>
    <w:p w14:paraId="64DD7FBF"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lastRenderedPageBreak/>
        <w:t xml:space="preserve">The </w:t>
      </w:r>
      <w:r w:rsidR="00343551" w:rsidRPr="00DB5977">
        <w:rPr>
          <w:rFonts w:ascii="Verdana" w:hAnsi="Verdana" w:cstheme="minorHAnsi"/>
          <w:sz w:val="20"/>
          <w:szCs w:val="20"/>
        </w:rPr>
        <w:t>Constant-Growth</w:t>
      </w:r>
      <w:r w:rsidRPr="00DB5977">
        <w:rPr>
          <w:rFonts w:ascii="Verdana" w:hAnsi="Verdana" w:cstheme="minorHAnsi"/>
          <w:sz w:val="20"/>
          <w:szCs w:val="20"/>
        </w:rPr>
        <w:t xml:space="preserve"> DCF model is based on the dividend discount model first proposed by J.B. Williams in 1938.</w:t>
      </w:r>
      <w:r w:rsidRPr="00DB5977">
        <w:rPr>
          <w:rFonts w:ascii="Verdana" w:hAnsi="Verdana" w:cstheme="minorHAnsi"/>
          <w:sz w:val="20"/>
          <w:szCs w:val="20"/>
          <w:vertAlign w:val="superscript"/>
        </w:rPr>
        <w:footnoteReference w:id="24"/>
      </w:r>
      <w:r w:rsidR="0025065A">
        <w:rPr>
          <w:rFonts w:ascii="Verdana" w:hAnsi="Verdana" w:cstheme="minorHAnsi"/>
          <w:sz w:val="20"/>
          <w:szCs w:val="20"/>
        </w:rPr>
        <w:t xml:space="preserve"> </w:t>
      </w:r>
      <w:r w:rsidRPr="00DB5977">
        <w:rPr>
          <w:rFonts w:ascii="Verdana" w:hAnsi="Verdana" w:cstheme="minorHAnsi"/>
          <w:sz w:val="20"/>
          <w:szCs w:val="20"/>
        </w:rPr>
        <w:t>The model is based on the premise that since cash dividends are the only income from a share of stock held to infinity, the value of that stock will be the present value of its stream of dividends, where the discount rate is the market’s required return.</w:t>
      </w:r>
      <w:r w:rsidR="0025065A">
        <w:rPr>
          <w:rFonts w:ascii="Verdana" w:hAnsi="Verdana" w:cstheme="minorHAnsi"/>
          <w:sz w:val="20"/>
          <w:szCs w:val="20"/>
        </w:rPr>
        <w:t xml:space="preserve"> </w:t>
      </w:r>
      <w:r w:rsidRPr="00DB5977">
        <w:rPr>
          <w:rFonts w:ascii="Verdana" w:hAnsi="Verdana" w:cstheme="minorHAnsi"/>
          <w:sz w:val="20"/>
          <w:szCs w:val="20"/>
        </w:rPr>
        <w:t>The model can be modified to take into account the (more common) situation whereby shares of stock are bought and sold, producing capital gains income in addition to dividend income.</w:t>
      </w:r>
      <w:r w:rsidR="0025065A">
        <w:rPr>
          <w:rFonts w:ascii="Verdana" w:hAnsi="Verdana" w:cstheme="minorHAnsi"/>
          <w:sz w:val="20"/>
          <w:szCs w:val="20"/>
        </w:rPr>
        <w:t xml:space="preserve"> </w:t>
      </w:r>
      <w:r w:rsidRPr="00DB5977">
        <w:rPr>
          <w:rFonts w:ascii="Verdana" w:hAnsi="Verdana" w:cstheme="minorHAnsi"/>
          <w:sz w:val="20"/>
          <w:szCs w:val="20"/>
        </w:rPr>
        <w:t>In order to simplify the mathematics of the model, expected future dividends are represented by applying a constant growth rate to the current observable dividend.</w:t>
      </w:r>
      <w:r w:rsidR="0025065A">
        <w:rPr>
          <w:rFonts w:ascii="Verdana" w:hAnsi="Verdana" w:cstheme="minorHAnsi"/>
          <w:sz w:val="20"/>
          <w:szCs w:val="20"/>
        </w:rPr>
        <w:t xml:space="preserve"> </w:t>
      </w:r>
      <w:r w:rsidRPr="00DB5977">
        <w:rPr>
          <w:rFonts w:ascii="Verdana" w:hAnsi="Verdana" w:cstheme="minorHAnsi"/>
          <w:sz w:val="20"/>
          <w:szCs w:val="20"/>
        </w:rPr>
        <w:t>Mathematically, the present value of an asset (common stock) is expressed as:</w:t>
      </w:r>
    </w:p>
    <w:p w14:paraId="207AAA51" w14:textId="77777777" w:rsidR="00823379" w:rsidRPr="00DB5977" w:rsidRDefault="0084421A" w:rsidP="00BA1785">
      <w:pPr>
        <w:spacing w:before="240" w:after="240" w:line="240" w:lineRule="auto"/>
        <w:ind w:left="1440"/>
        <w:rPr>
          <w:rFonts w:ascii="Verdana" w:eastAsia="Times New Roman" w:hAnsi="Verdana" w:cstheme="minorHAnsi"/>
          <w:sz w:val="20"/>
          <w:szCs w:val="16"/>
        </w:rPr>
      </w:pPr>
      <m:oMath>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P</m:t>
            </m:r>
          </m:e>
          <m:sub>
            <m:r>
              <w:rPr>
                <w:rFonts w:ascii="Cambria Math" w:eastAsia="Times New Roman" w:hAnsi="Cambria Math" w:cstheme="minorHAnsi"/>
                <w:sz w:val="20"/>
                <w:szCs w:val="16"/>
              </w:rPr>
              <m:t>0</m:t>
            </m:r>
          </m:sub>
        </m:sSub>
        <m:r>
          <w:rPr>
            <w:rFonts w:ascii="Cambria Math" w:eastAsia="Times New Roman" w:hAnsi="Cambria Math" w:cstheme="minorHAnsi"/>
            <w:sz w:val="20"/>
            <w:szCs w:val="16"/>
          </w:rPr>
          <m:t>=</m:t>
        </m:r>
        <m:f>
          <m:fPr>
            <m:ctrlPr>
              <w:rPr>
                <w:rFonts w:ascii="Cambria Math" w:eastAsia="Times New Roman" w:hAnsi="Cambria Math" w:cstheme="minorHAnsi"/>
                <w:i/>
                <w:sz w:val="20"/>
                <w:szCs w:val="16"/>
              </w:rPr>
            </m:ctrlPr>
          </m:fPr>
          <m:num>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D</m:t>
                </m:r>
              </m:e>
              <m:sub>
                <m:r>
                  <w:rPr>
                    <w:rFonts w:ascii="Cambria Math" w:eastAsia="Times New Roman" w:hAnsi="Cambria Math" w:cstheme="minorHAnsi"/>
                    <w:sz w:val="20"/>
                    <w:szCs w:val="16"/>
                  </w:rPr>
                  <m:t>1</m:t>
                </m:r>
              </m:sub>
            </m:sSub>
          </m:num>
          <m:den>
            <m:d>
              <m:dPr>
                <m:ctrlPr>
                  <w:rPr>
                    <w:rFonts w:ascii="Cambria Math" w:eastAsia="Times New Roman" w:hAnsi="Cambria Math" w:cstheme="minorHAnsi"/>
                    <w:i/>
                    <w:sz w:val="20"/>
                    <w:szCs w:val="16"/>
                  </w:rPr>
                </m:ctrlPr>
              </m:dPr>
              <m:e>
                <m:r>
                  <w:rPr>
                    <w:rFonts w:ascii="Cambria Math" w:eastAsia="Times New Roman" w:hAnsi="Cambria Math" w:cstheme="minorHAnsi"/>
                    <w:sz w:val="20"/>
                    <w:szCs w:val="16"/>
                  </w:rPr>
                  <m:t>K-g</m:t>
                </m:r>
              </m:e>
            </m:d>
          </m:den>
        </m:f>
      </m:oMath>
      <w:r w:rsidR="00823379" w:rsidRPr="00DB5977">
        <w:rPr>
          <w:rFonts w:ascii="Verdana" w:eastAsia="Times New Roman" w:hAnsi="Verdana" w:cstheme="minorHAnsi"/>
          <w:sz w:val="20"/>
          <w:szCs w:val="16"/>
        </w:rPr>
        <w:t xml:space="preserve"> ,</w:t>
      </w:r>
    </w:p>
    <w:p w14:paraId="1CE4966E"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Where: </w:t>
      </w:r>
    </w:p>
    <w:p w14:paraId="086BCBDC" w14:textId="77777777" w:rsidR="00823379" w:rsidRPr="00DB5977" w:rsidRDefault="00823379" w:rsidP="00823379">
      <w:pPr>
        <w:spacing w:after="120" w:line="240" w:lineRule="auto"/>
        <w:ind w:left="1440"/>
        <w:rPr>
          <w:rFonts w:ascii="Verdana" w:eastAsia="Times New Roman" w:hAnsi="Verdana" w:cstheme="minorHAnsi"/>
          <w:sz w:val="20"/>
          <w:szCs w:val="16"/>
        </w:rPr>
      </w:pPr>
      <w:r w:rsidRPr="00DB5977">
        <w:rPr>
          <w:rFonts w:ascii="Verdana" w:eastAsia="Times New Roman" w:hAnsi="Verdana" w:cstheme="minorHAnsi"/>
          <w:i/>
          <w:sz w:val="20"/>
          <w:szCs w:val="16"/>
        </w:rPr>
        <w:t>D</w:t>
      </w:r>
      <w:r w:rsidRPr="00DB5977">
        <w:rPr>
          <w:rFonts w:ascii="Verdana" w:eastAsia="Times New Roman" w:hAnsi="Verdana" w:cstheme="minorHAnsi"/>
          <w:i/>
          <w:sz w:val="20"/>
          <w:szCs w:val="16"/>
          <w:vertAlign w:val="subscript"/>
        </w:rPr>
        <w:t>1</w:t>
      </w:r>
      <w:r w:rsidRPr="00DB5977">
        <w:rPr>
          <w:rFonts w:ascii="Verdana" w:eastAsia="Times New Roman" w:hAnsi="Verdana" w:cstheme="minorHAnsi"/>
          <w:sz w:val="20"/>
          <w:szCs w:val="16"/>
        </w:rPr>
        <w:t xml:space="preserve"> is the dividend payment in one year from today or the expected dividend; </w:t>
      </w:r>
    </w:p>
    <w:p w14:paraId="2A787EDB" w14:textId="77777777" w:rsidR="00823379" w:rsidRPr="00DB5977" w:rsidRDefault="00823379" w:rsidP="00823379">
      <w:pPr>
        <w:spacing w:after="120" w:line="240" w:lineRule="auto"/>
        <w:ind w:left="1440"/>
        <w:rPr>
          <w:rFonts w:ascii="Verdana" w:eastAsia="Times New Roman" w:hAnsi="Verdana" w:cstheme="minorHAnsi"/>
          <w:sz w:val="20"/>
          <w:szCs w:val="16"/>
        </w:rPr>
      </w:pPr>
      <w:r w:rsidRPr="00DB5977">
        <w:rPr>
          <w:rFonts w:ascii="Verdana" w:eastAsia="Times New Roman" w:hAnsi="Verdana" w:cstheme="minorHAnsi"/>
          <w:i/>
          <w:sz w:val="20"/>
          <w:szCs w:val="16"/>
        </w:rPr>
        <w:t>K</w:t>
      </w:r>
      <w:r w:rsidRPr="00DB5977">
        <w:rPr>
          <w:rFonts w:ascii="Verdana" w:eastAsia="Times New Roman" w:hAnsi="Verdana" w:cstheme="minorHAnsi"/>
          <w:sz w:val="20"/>
          <w:szCs w:val="16"/>
        </w:rPr>
        <w:t xml:space="preserve"> is the rate of return used by investors to discount future dividends; and </w:t>
      </w:r>
    </w:p>
    <w:p w14:paraId="6BA7596B" w14:textId="77777777" w:rsidR="00823379" w:rsidRPr="00DB5977" w:rsidRDefault="00823379" w:rsidP="00823379">
      <w:pPr>
        <w:spacing w:after="120" w:line="240" w:lineRule="auto"/>
        <w:ind w:left="1440"/>
        <w:rPr>
          <w:rFonts w:ascii="Verdana" w:eastAsia="Times New Roman" w:hAnsi="Verdana" w:cstheme="minorHAnsi"/>
          <w:sz w:val="20"/>
          <w:szCs w:val="16"/>
        </w:rPr>
      </w:pPr>
      <w:proofErr w:type="gramStart"/>
      <w:r w:rsidRPr="00DB5977">
        <w:rPr>
          <w:rFonts w:ascii="Verdana" w:eastAsia="Times New Roman" w:hAnsi="Verdana" w:cstheme="minorHAnsi"/>
          <w:i/>
          <w:sz w:val="20"/>
          <w:szCs w:val="16"/>
        </w:rPr>
        <w:t>g</w:t>
      </w:r>
      <w:proofErr w:type="gramEnd"/>
      <w:r w:rsidRPr="00DB5977">
        <w:rPr>
          <w:rFonts w:ascii="Verdana" w:eastAsia="Times New Roman" w:hAnsi="Verdana" w:cstheme="minorHAnsi"/>
          <w:sz w:val="20"/>
          <w:szCs w:val="16"/>
        </w:rPr>
        <w:t xml:space="preserve"> is the growth rate of the dividend payment.</w:t>
      </w:r>
      <w:r w:rsidR="0025065A">
        <w:rPr>
          <w:rFonts w:ascii="Verdana" w:eastAsia="Times New Roman" w:hAnsi="Verdana" w:cstheme="minorHAnsi"/>
          <w:sz w:val="20"/>
          <w:szCs w:val="16"/>
        </w:rPr>
        <w:t xml:space="preserve"> </w:t>
      </w:r>
    </w:p>
    <w:p w14:paraId="0E1E511D" w14:textId="77777777" w:rsidR="00823379" w:rsidRPr="00DB5977" w:rsidRDefault="00823379" w:rsidP="00823379">
      <w:pPr>
        <w:spacing w:before="240"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The estimated cost of equity, </w:t>
      </w:r>
      <w:r w:rsidRPr="00DB5977">
        <w:rPr>
          <w:rFonts w:ascii="Verdana" w:eastAsia="Times New Roman" w:hAnsi="Verdana" w:cstheme="minorHAnsi"/>
          <w:i/>
          <w:sz w:val="20"/>
          <w:szCs w:val="16"/>
        </w:rPr>
        <w:t>K</w:t>
      </w:r>
      <w:r w:rsidRPr="00DB5977">
        <w:rPr>
          <w:rFonts w:ascii="Verdana" w:eastAsia="Times New Roman" w:hAnsi="Verdana" w:cstheme="minorHAnsi"/>
          <w:sz w:val="20"/>
          <w:szCs w:val="16"/>
        </w:rPr>
        <w:t>, is specified as:</w:t>
      </w:r>
    </w:p>
    <w:p w14:paraId="3C1A8719" w14:textId="77777777" w:rsidR="00823379" w:rsidRPr="00DB5977" w:rsidRDefault="00823379" w:rsidP="00823379">
      <w:pPr>
        <w:tabs>
          <w:tab w:val="left" w:pos="360"/>
        </w:tabs>
        <w:spacing w:after="240" w:line="240" w:lineRule="auto"/>
        <w:ind w:left="1080" w:hanging="360"/>
        <w:rPr>
          <w:rFonts w:ascii="Verdana" w:eastAsia="Times New Roman" w:hAnsi="Verdana" w:cstheme="minorHAnsi"/>
          <w:sz w:val="20"/>
          <w:szCs w:val="16"/>
        </w:rPr>
      </w:pPr>
      <w:r w:rsidRPr="00DB5977">
        <w:rPr>
          <w:rFonts w:ascii="Verdana" w:eastAsia="Times New Roman" w:hAnsi="Verdana" w:cstheme="minorHAnsi"/>
          <w:sz w:val="20"/>
          <w:szCs w:val="16"/>
        </w:rPr>
        <w:tab/>
      </w:r>
      <w:r w:rsidRPr="00DB5977">
        <w:rPr>
          <w:rFonts w:ascii="Verdana" w:eastAsia="Times New Roman" w:hAnsi="Verdana" w:cstheme="minorHAnsi"/>
          <w:sz w:val="20"/>
          <w:szCs w:val="16"/>
        </w:rPr>
        <w:tab/>
      </w:r>
      <m:oMath>
        <m:r>
          <w:rPr>
            <w:rFonts w:ascii="Cambria Math" w:eastAsia="Times New Roman" w:hAnsi="Cambria Math" w:cstheme="minorHAnsi"/>
            <w:sz w:val="20"/>
            <w:szCs w:val="16"/>
          </w:rPr>
          <m:t>K=</m:t>
        </m:r>
        <m:f>
          <m:fPr>
            <m:ctrlPr>
              <w:rPr>
                <w:rFonts w:ascii="Cambria Math" w:eastAsia="Times New Roman" w:hAnsi="Cambria Math" w:cstheme="minorHAnsi"/>
                <w:i/>
                <w:sz w:val="20"/>
                <w:szCs w:val="16"/>
              </w:rPr>
            </m:ctrlPr>
          </m:fPr>
          <m:num>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D</m:t>
                </m:r>
              </m:e>
              <m:sub>
                <m:r>
                  <w:rPr>
                    <w:rFonts w:ascii="Cambria Math" w:eastAsia="Times New Roman" w:hAnsi="Cambria Math" w:cstheme="minorHAnsi"/>
                    <w:sz w:val="20"/>
                    <w:szCs w:val="16"/>
                  </w:rPr>
                  <m:t>1</m:t>
                </m:r>
              </m:sub>
            </m:sSub>
          </m:num>
          <m:den>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P</m:t>
                </m:r>
              </m:e>
              <m:sub>
                <m:r>
                  <w:rPr>
                    <w:rFonts w:ascii="Cambria Math" w:eastAsia="Times New Roman" w:hAnsi="Cambria Math" w:cstheme="minorHAnsi"/>
                    <w:sz w:val="20"/>
                    <w:szCs w:val="16"/>
                  </w:rPr>
                  <m:t>0</m:t>
                </m:r>
              </m:sub>
            </m:sSub>
          </m:den>
        </m:f>
        <m:r>
          <w:rPr>
            <w:rFonts w:ascii="Cambria Math" w:eastAsia="Times New Roman" w:hAnsi="Cambria Math" w:cstheme="minorHAnsi"/>
            <w:sz w:val="20"/>
            <w:szCs w:val="16"/>
          </w:rPr>
          <m:t xml:space="preserve">+g </m:t>
        </m:r>
      </m:oMath>
      <w:r w:rsidRPr="00DB5977">
        <w:rPr>
          <w:rFonts w:ascii="Verdana" w:eastAsia="Times New Roman" w:hAnsi="Verdana" w:cstheme="minorHAnsi"/>
          <w:sz w:val="20"/>
          <w:szCs w:val="16"/>
        </w:rPr>
        <w:t>,</w:t>
      </w:r>
    </w:p>
    <w:p w14:paraId="60BDA172"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lastRenderedPageBreak/>
        <w:t xml:space="preserve">Where: </w:t>
      </w:r>
    </w:p>
    <w:p w14:paraId="65E78AAC" w14:textId="77777777" w:rsidR="00823379" w:rsidRPr="00DB5977" w:rsidRDefault="00823379" w:rsidP="00823379">
      <w:pPr>
        <w:tabs>
          <w:tab w:val="left" w:pos="360"/>
        </w:tabs>
        <w:spacing w:after="240" w:line="240" w:lineRule="auto"/>
        <w:ind w:left="1440" w:hanging="360"/>
        <w:rPr>
          <w:rFonts w:ascii="Verdana" w:eastAsia="Times New Roman" w:hAnsi="Verdana" w:cstheme="minorHAnsi"/>
          <w:sz w:val="20"/>
          <w:szCs w:val="16"/>
        </w:rPr>
      </w:pPr>
      <w:r w:rsidRPr="00DB5977">
        <w:rPr>
          <w:rFonts w:ascii="Verdana" w:eastAsia="Times New Roman" w:hAnsi="Verdana" w:cstheme="minorHAnsi"/>
          <w:sz w:val="20"/>
          <w:szCs w:val="16"/>
        </w:rPr>
        <w:tab/>
      </w:r>
      <w:r w:rsidRPr="00DB5977">
        <w:rPr>
          <w:rFonts w:ascii="Verdana" w:eastAsia="Times New Roman" w:hAnsi="Verdana" w:cstheme="minorHAnsi"/>
          <w:i/>
          <w:sz w:val="20"/>
          <w:szCs w:val="16"/>
        </w:rPr>
        <w:t>D</w:t>
      </w:r>
      <w:r w:rsidRPr="00DB5977">
        <w:rPr>
          <w:rFonts w:ascii="Verdana" w:eastAsia="Times New Roman" w:hAnsi="Verdana" w:cstheme="minorHAnsi"/>
          <w:i/>
          <w:sz w:val="20"/>
          <w:szCs w:val="16"/>
          <w:vertAlign w:val="subscript"/>
        </w:rPr>
        <w:t>1</w:t>
      </w:r>
      <w:r w:rsidRPr="00DB5977">
        <w:rPr>
          <w:rFonts w:ascii="Verdana" w:eastAsia="Times New Roman" w:hAnsi="Verdana" w:cstheme="minorHAnsi"/>
          <w:sz w:val="20"/>
          <w:szCs w:val="16"/>
        </w:rPr>
        <w:t xml:space="preserve"> is the expected dividend, represented by </w:t>
      </w:r>
      <w:r w:rsidRPr="00DB5977">
        <w:rPr>
          <w:rFonts w:ascii="Verdana" w:eastAsia="Times New Roman" w:hAnsi="Verdana" w:cstheme="minorHAnsi"/>
          <w:i/>
          <w:sz w:val="20"/>
          <w:szCs w:val="16"/>
        </w:rPr>
        <w:t>D</w:t>
      </w:r>
      <w:r w:rsidRPr="00DB5977">
        <w:rPr>
          <w:rFonts w:ascii="Verdana" w:eastAsia="Times New Roman" w:hAnsi="Verdana" w:cstheme="minorHAnsi"/>
          <w:i/>
          <w:sz w:val="20"/>
          <w:szCs w:val="16"/>
          <w:vertAlign w:val="subscript"/>
        </w:rPr>
        <w:t>1</w:t>
      </w:r>
      <w:r w:rsidRPr="00DB5977">
        <w:rPr>
          <w:rFonts w:ascii="Verdana" w:eastAsia="Times New Roman" w:hAnsi="Verdana" w:cstheme="minorHAnsi"/>
          <w:i/>
          <w:sz w:val="20"/>
          <w:szCs w:val="16"/>
        </w:rPr>
        <w:t xml:space="preserve"> = D</w:t>
      </w:r>
      <w:r w:rsidRPr="00DB5977">
        <w:rPr>
          <w:rFonts w:ascii="Verdana" w:eastAsia="Times New Roman" w:hAnsi="Verdana" w:cstheme="minorHAnsi"/>
          <w:i/>
          <w:sz w:val="20"/>
          <w:szCs w:val="16"/>
          <w:vertAlign w:val="subscript"/>
        </w:rPr>
        <w:t xml:space="preserve">0 </w:t>
      </w:r>
      <w:r w:rsidRPr="00DB5977">
        <w:rPr>
          <w:rFonts w:ascii="Verdana" w:eastAsia="Times New Roman" w:hAnsi="Verdana" w:cstheme="minorHAnsi"/>
          <w:i/>
          <w:sz w:val="20"/>
          <w:szCs w:val="16"/>
        </w:rPr>
        <w:t>(1 + g)</w:t>
      </w:r>
      <w:r w:rsidRPr="00DB5977">
        <w:rPr>
          <w:rFonts w:ascii="Verdana" w:eastAsia="Times New Roman" w:hAnsi="Verdana" w:cstheme="minorHAnsi"/>
          <w:sz w:val="20"/>
          <w:szCs w:val="16"/>
        </w:rPr>
        <w:t>,</w:t>
      </w:r>
    </w:p>
    <w:p w14:paraId="7EBFD6C6"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Where: </w:t>
      </w:r>
    </w:p>
    <w:p w14:paraId="209F7885" w14:textId="77777777" w:rsidR="00823379" w:rsidRPr="00DB5977" w:rsidRDefault="00823379" w:rsidP="00823379">
      <w:pPr>
        <w:tabs>
          <w:tab w:val="left" w:pos="360"/>
        </w:tabs>
        <w:spacing w:after="120" w:line="240" w:lineRule="auto"/>
        <w:ind w:left="1440" w:hanging="360"/>
        <w:rPr>
          <w:rFonts w:ascii="Verdana" w:eastAsia="Times New Roman" w:hAnsi="Verdana" w:cstheme="minorHAnsi"/>
          <w:sz w:val="20"/>
          <w:szCs w:val="16"/>
        </w:rPr>
      </w:pPr>
      <w:r w:rsidRPr="00DB5977">
        <w:rPr>
          <w:rFonts w:ascii="Verdana" w:eastAsia="Times New Roman" w:hAnsi="Verdana" w:cstheme="minorHAnsi"/>
          <w:i/>
          <w:sz w:val="20"/>
          <w:szCs w:val="16"/>
        </w:rPr>
        <w:tab/>
        <w:t>D</w:t>
      </w:r>
      <w:r w:rsidRPr="00DB5977">
        <w:rPr>
          <w:rFonts w:ascii="Verdana" w:eastAsia="Times New Roman" w:hAnsi="Verdana" w:cstheme="minorHAnsi"/>
          <w:i/>
          <w:sz w:val="20"/>
          <w:szCs w:val="16"/>
          <w:vertAlign w:val="subscript"/>
        </w:rPr>
        <w:t>0</w:t>
      </w:r>
      <w:r w:rsidRPr="00DB5977">
        <w:rPr>
          <w:rFonts w:ascii="Verdana" w:eastAsia="Times New Roman" w:hAnsi="Verdana" w:cstheme="minorHAnsi"/>
          <w:sz w:val="20"/>
          <w:szCs w:val="16"/>
        </w:rPr>
        <w:t xml:space="preserve"> is the current annual dividend per share.</w:t>
      </w:r>
      <w:r w:rsidR="0025065A">
        <w:rPr>
          <w:rFonts w:ascii="Verdana" w:eastAsia="Times New Roman" w:hAnsi="Verdana" w:cstheme="minorHAnsi"/>
          <w:sz w:val="20"/>
          <w:szCs w:val="16"/>
        </w:rPr>
        <w:t xml:space="preserve"> </w:t>
      </w:r>
    </w:p>
    <w:p w14:paraId="20DF5345" w14:textId="77777777" w:rsidR="00823379" w:rsidRPr="00DB5977" w:rsidRDefault="00823379" w:rsidP="00A80FEF">
      <w:pPr>
        <w:pStyle w:val="DirectNext"/>
        <w:ind w:firstLine="0"/>
        <w:rPr>
          <w:rFonts w:ascii="Verdana" w:hAnsi="Verdana"/>
          <w:sz w:val="20"/>
          <w:szCs w:val="20"/>
        </w:rPr>
      </w:pPr>
      <w:r w:rsidRPr="00DB5977">
        <w:rPr>
          <w:rFonts w:ascii="Verdana" w:hAnsi="Verdana"/>
          <w:sz w:val="20"/>
          <w:szCs w:val="20"/>
        </w:rPr>
        <w:t>Therefore, the market rate of return on equity capital is the sum of the dividend yield (anticipated dividend payments divided by the market price) and the expected growth in dividend income.</w:t>
      </w:r>
    </w:p>
    <w:p w14:paraId="328A4673" w14:textId="77777777" w:rsidR="00823379" w:rsidRPr="00DB5977" w:rsidRDefault="00823379" w:rsidP="00486739">
      <w:pPr>
        <w:pStyle w:val="DirectQuestion"/>
      </w:pPr>
      <w:r w:rsidRPr="00DB5977">
        <w:t>Please describe how you derive the dividend yield component of your DCF analysis.</w:t>
      </w:r>
    </w:p>
    <w:p w14:paraId="7DBD6F15" w14:textId="6BC0BB4E" w:rsidR="005D51C6"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The dividend yield in my DCF analysis is the annual dividend per share </w:t>
      </w:r>
      <w:r w:rsidR="005F679C" w:rsidRPr="00DB5977">
        <w:rPr>
          <w:rFonts w:ascii="Verdana" w:hAnsi="Verdana" w:cstheme="minorHAnsi"/>
          <w:sz w:val="20"/>
          <w:szCs w:val="20"/>
        </w:rPr>
        <w:t xml:space="preserve">over </w:t>
      </w:r>
      <w:r w:rsidRPr="00DB5977">
        <w:rPr>
          <w:rFonts w:ascii="Verdana" w:hAnsi="Verdana" w:cstheme="minorHAnsi"/>
          <w:sz w:val="20"/>
          <w:szCs w:val="20"/>
        </w:rPr>
        <w:t xml:space="preserve">the next 12 months, divided by the stock price average for the historical periods ended </w:t>
      </w:r>
      <w:r w:rsidR="00765372" w:rsidRPr="00DB5977">
        <w:rPr>
          <w:rFonts w:ascii="Verdana" w:hAnsi="Verdana" w:cstheme="minorHAnsi"/>
          <w:sz w:val="20"/>
          <w:szCs w:val="20"/>
        </w:rPr>
        <w:t xml:space="preserve">August </w:t>
      </w:r>
      <w:r w:rsidR="00392932" w:rsidRPr="00DB5977">
        <w:rPr>
          <w:rFonts w:ascii="Verdana" w:hAnsi="Verdana" w:cstheme="minorHAnsi"/>
          <w:sz w:val="20"/>
          <w:szCs w:val="20"/>
        </w:rPr>
        <w:t>3</w:t>
      </w:r>
      <w:r w:rsidR="00494489" w:rsidRPr="00DB5977">
        <w:rPr>
          <w:rFonts w:ascii="Verdana" w:hAnsi="Verdana" w:cstheme="minorHAnsi"/>
          <w:sz w:val="20"/>
          <w:szCs w:val="20"/>
        </w:rPr>
        <w:t>1</w:t>
      </w:r>
      <w:r w:rsidRPr="00DB5977">
        <w:rPr>
          <w:rFonts w:ascii="Verdana" w:hAnsi="Verdana" w:cstheme="minorHAnsi"/>
          <w:sz w:val="20"/>
          <w:szCs w:val="20"/>
        </w:rPr>
        <w:t>, 201</w:t>
      </w:r>
      <w:r w:rsidR="00687136" w:rsidRPr="00DB5977">
        <w:rPr>
          <w:rFonts w:ascii="Verdana" w:hAnsi="Verdana" w:cstheme="minorHAnsi"/>
          <w:sz w:val="20"/>
          <w:szCs w:val="20"/>
        </w:rPr>
        <w:t>9</w:t>
      </w:r>
      <w:r w:rsidR="00082FEC" w:rsidRPr="00DB5977">
        <w:rPr>
          <w:rFonts w:ascii="Verdana" w:hAnsi="Verdana" w:cstheme="minorHAnsi"/>
          <w:sz w:val="20"/>
          <w:szCs w:val="20"/>
        </w:rPr>
        <w:t>.</w:t>
      </w:r>
      <w:r w:rsidR="0025065A">
        <w:rPr>
          <w:rFonts w:ascii="Verdana" w:hAnsi="Verdana" w:cstheme="minorHAnsi"/>
          <w:sz w:val="20"/>
          <w:szCs w:val="20"/>
        </w:rPr>
        <w:t xml:space="preserve"> </w:t>
      </w:r>
      <w:r w:rsidR="00082FEC" w:rsidRPr="00DB5977">
        <w:rPr>
          <w:rFonts w:ascii="Verdana" w:hAnsi="Verdana" w:cstheme="minorHAnsi"/>
          <w:sz w:val="20"/>
          <w:szCs w:val="20"/>
        </w:rPr>
        <w:t xml:space="preserve">I first calculate my dividend yields using the </w:t>
      </w:r>
      <w:r w:rsidR="006547EE" w:rsidRPr="00DB5977">
        <w:rPr>
          <w:rFonts w:ascii="Verdana" w:hAnsi="Verdana" w:cstheme="minorHAnsi"/>
          <w:sz w:val="20"/>
          <w:szCs w:val="20"/>
        </w:rPr>
        <w:t>90-</w:t>
      </w:r>
      <w:r w:rsidR="00082FEC" w:rsidRPr="00DB5977">
        <w:rPr>
          <w:rFonts w:ascii="Verdana" w:hAnsi="Verdana" w:cstheme="minorHAnsi"/>
          <w:sz w:val="20"/>
          <w:szCs w:val="20"/>
        </w:rPr>
        <w:t>day average of closing stock price</w:t>
      </w:r>
      <w:r w:rsidR="00767A2E" w:rsidRPr="00DB5977">
        <w:rPr>
          <w:rFonts w:ascii="Verdana" w:hAnsi="Verdana" w:cstheme="minorHAnsi"/>
          <w:sz w:val="20"/>
          <w:szCs w:val="20"/>
        </w:rPr>
        <w:t>s</w:t>
      </w:r>
      <w:r w:rsidR="00082FEC" w:rsidRPr="00DB5977">
        <w:rPr>
          <w:rFonts w:ascii="Verdana" w:hAnsi="Verdana" w:cstheme="minorHAnsi"/>
          <w:sz w:val="20"/>
          <w:szCs w:val="20"/>
        </w:rPr>
        <w:t>.</w:t>
      </w:r>
      <w:r w:rsidR="0025065A">
        <w:rPr>
          <w:rFonts w:ascii="Verdana" w:hAnsi="Verdana" w:cstheme="minorHAnsi"/>
          <w:sz w:val="20"/>
          <w:szCs w:val="20"/>
        </w:rPr>
        <w:t xml:space="preserve"> </w:t>
      </w:r>
    </w:p>
    <w:p w14:paraId="675B7981" w14:textId="3E3370F2" w:rsidR="00823379" w:rsidRPr="00DB5977" w:rsidRDefault="005D51C6" w:rsidP="005D51C6">
      <w:pPr>
        <w:pStyle w:val="DirectAnswer"/>
        <w:numPr>
          <w:ilvl w:val="0"/>
          <w:numId w:val="0"/>
        </w:numPr>
        <w:ind w:left="720" w:firstLine="720"/>
        <w:jc w:val="both"/>
        <w:rPr>
          <w:rFonts w:ascii="Verdana" w:hAnsi="Verdana" w:cstheme="minorHAnsi"/>
          <w:sz w:val="20"/>
          <w:szCs w:val="20"/>
        </w:rPr>
      </w:pPr>
      <w:r w:rsidRPr="00DB5977">
        <w:rPr>
          <w:rFonts w:ascii="Verdana" w:hAnsi="Verdana" w:cstheme="minorHAnsi"/>
          <w:sz w:val="20"/>
          <w:szCs w:val="20"/>
        </w:rPr>
        <w:t>In general, t</w:t>
      </w:r>
      <w:r w:rsidR="00823379" w:rsidRPr="00DB5977">
        <w:rPr>
          <w:rFonts w:ascii="Verdana" w:hAnsi="Verdana" w:cstheme="minorHAnsi"/>
          <w:sz w:val="20"/>
          <w:szCs w:val="20"/>
        </w:rPr>
        <w:t xml:space="preserve">he most recent price of a security can be used to calculate the dividend yield because it represents current valuations in equity markets, calculating an average over time to mitigate any irregularities </w:t>
      </w:r>
      <w:r w:rsidR="003A0E5C">
        <w:rPr>
          <w:rFonts w:ascii="Verdana" w:hAnsi="Verdana" w:cstheme="minorHAnsi"/>
          <w:sz w:val="20"/>
          <w:szCs w:val="20"/>
        </w:rPr>
        <w:t>a</w:t>
      </w:r>
      <w:r w:rsidR="00823379" w:rsidRPr="00DB5977">
        <w:rPr>
          <w:rFonts w:ascii="Verdana" w:hAnsi="Verdana" w:cstheme="minorHAnsi"/>
          <w:sz w:val="20"/>
          <w:szCs w:val="20"/>
        </w:rPr>
        <w:t>s necessary</w:t>
      </w:r>
      <w:r w:rsidR="008A0396" w:rsidRPr="00DB5977">
        <w:rPr>
          <w:rFonts w:ascii="Verdana" w:hAnsi="Verdana" w:cstheme="minorHAnsi"/>
          <w:sz w:val="20"/>
          <w:szCs w:val="20"/>
        </w:rPr>
        <w:t>;</w:t>
      </w:r>
      <w:r w:rsidR="00823379" w:rsidRPr="00DB5977">
        <w:rPr>
          <w:rFonts w:ascii="Verdana" w:hAnsi="Verdana" w:cstheme="minorHAnsi"/>
          <w:sz w:val="20"/>
          <w:szCs w:val="20"/>
        </w:rPr>
        <w:t xml:space="preserve"> </w:t>
      </w:r>
      <w:r w:rsidR="008A0396" w:rsidRPr="00DB5977">
        <w:rPr>
          <w:rFonts w:ascii="Verdana" w:hAnsi="Verdana" w:cstheme="minorHAnsi"/>
          <w:sz w:val="20"/>
          <w:szCs w:val="20"/>
        </w:rPr>
        <w:t>h</w:t>
      </w:r>
      <w:r w:rsidR="00823379" w:rsidRPr="00DB5977">
        <w:rPr>
          <w:rFonts w:ascii="Verdana" w:hAnsi="Verdana" w:cstheme="minorHAnsi"/>
          <w:sz w:val="20"/>
          <w:szCs w:val="20"/>
        </w:rPr>
        <w:t xml:space="preserve">owever, using the average of a range of dates </w:t>
      </w:r>
      <w:r w:rsidR="003A0E5C">
        <w:rPr>
          <w:rFonts w:ascii="Verdana" w:hAnsi="Verdana" w:cstheme="minorHAnsi"/>
          <w:sz w:val="20"/>
          <w:szCs w:val="20"/>
        </w:rPr>
        <w:t xml:space="preserve">(e.g., 90 – 180 days) </w:t>
      </w:r>
      <w:r w:rsidR="00823379" w:rsidRPr="00DB5977">
        <w:rPr>
          <w:rFonts w:ascii="Verdana" w:hAnsi="Verdana" w:cstheme="minorHAnsi"/>
          <w:sz w:val="20"/>
          <w:szCs w:val="20"/>
        </w:rPr>
        <w:t>helps reduce the bias that might occur from day trading-driven irregularities</w:t>
      </w:r>
      <w:r w:rsidR="003C258F" w:rsidRPr="00DB5977">
        <w:rPr>
          <w:rFonts w:ascii="Verdana" w:hAnsi="Verdana" w:cstheme="minorHAnsi"/>
          <w:sz w:val="20"/>
          <w:szCs w:val="20"/>
        </w:rPr>
        <w:t xml:space="preserve"> or short-term volatility</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 xml:space="preserve">Thus, </w:t>
      </w:r>
      <w:r w:rsidR="00823379" w:rsidRPr="00DB5977">
        <w:rPr>
          <w:rFonts w:ascii="Verdana" w:hAnsi="Verdana" w:cstheme="minorHAnsi"/>
          <w:sz w:val="20"/>
          <w:szCs w:val="20"/>
        </w:rPr>
        <w:t xml:space="preserve">I </w:t>
      </w:r>
      <w:r w:rsidRPr="00DB5977">
        <w:rPr>
          <w:rFonts w:ascii="Verdana" w:hAnsi="Verdana" w:cstheme="minorHAnsi"/>
          <w:sz w:val="20"/>
          <w:szCs w:val="20"/>
        </w:rPr>
        <w:t xml:space="preserve">also </w:t>
      </w:r>
      <w:r w:rsidR="00823379" w:rsidRPr="00DB5977">
        <w:rPr>
          <w:rFonts w:ascii="Verdana" w:hAnsi="Verdana" w:cstheme="minorHAnsi"/>
          <w:sz w:val="20"/>
          <w:szCs w:val="20"/>
        </w:rPr>
        <w:t xml:space="preserve">use </w:t>
      </w:r>
      <w:r w:rsidRPr="00DB5977">
        <w:rPr>
          <w:rFonts w:ascii="Verdana" w:hAnsi="Verdana" w:cstheme="minorHAnsi"/>
          <w:sz w:val="20"/>
          <w:szCs w:val="20"/>
        </w:rPr>
        <w:t xml:space="preserve">a </w:t>
      </w:r>
      <w:r w:rsidR="006547EE" w:rsidRPr="00DB5977">
        <w:rPr>
          <w:rFonts w:ascii="Verdana" w:hAnsi="Verdana" w:cstheme="minorHAnsi"/>
          <w:sz w:val="20"/>
          <w:szCs w:val="20"/>
        </w:rPr>
        <w:t>180-</w:t>
      </w:r>
      <w:r w:rsidR="00070843" w:rsidRPr="00DB5977">
        <w:rPr>
          <w:rFonts w:ascii="Verdana" w:hAnsi="Verdana" w:cstheme="minorHAnsi"/>
          <w:sz w:val="20"/>
          <w:szCs w:val="20"/>
        </w:rPr>
        <w:t>day</w:t>
      </w:r>
      <w:r w:rsidR="00823379" w:rsidRPr="00DB5977">
        <w:rPr>
          <w:rFonts w:ascii="Verdana" w:hAnsi="Verdana" w:cstheme="minorHAnsi"/>
          <w:sz w:val="20"/>
          <w:szCs w:val="20"/>
        </w:rPr>
        <w:t xml:space="preserve"> </w:t>
      </w:r>
      <w:r w:rsidRPr="00DB5977">
        <w:rPr>
          <w:rFonts w:ascii="Verdana" w:hAnsi="Verdana" w:cstheme="minorHAnsi"/>
          <w:sz w:val="20"/>
          <w:szCs w:val="20"/>
        </w:rPr>
        <w:t>closing stock price</w:t>
      </w:r>
      <w:r w:rsidR="00823379" w:rsidRPr="00DB5977">
        <w:rPr>
          <w:rFonts w:ascii="Verdana" w:hAnsi="Verdana" w:cstheme="minorHAnsi"/>
          <w:sz w:val="20"/>
          <w:szCs w:val="20"/>
        </w:rPr>
        <w:t xml:space="preserve"> average to capture market trends while </w:t>
      </w:r>
      <w:r w:rsidR="00767A2E" w:rsidRPr="00DB5977">
        <w:rPr>
          <w:rFonts w:ascii="Verdana" w:hAnsi="Verdana" w:cstheme="minorHAnsi"/>
          <w:sz w:val="20"/>
          <w:szCs w:val="20"/>
        </w:rPr>
        <w:t>mitigating</w:t>
      </w:r>
      <w:r w:rsidR="00823379" w:rsidRPr="00DB5977">
        <w:rPr>
          <w:rFonts w:ascii="Verdana" w:hAnsi="Verdana" w:cstheme="minorHAnsi"/>
          <w:sz w:val="20"/>
          <w:szCs w:val="20"/>
        </w:rPr>
        <w:t xml:space="preserve"> </w:t>
      </w:r>
      <w:r w:rsidR="00823379" w:rsidRPr="00DB5977">
        <w:rPr>
          <w:rFonts w:ascii="Verdana" w:hAnsi="Verdana" w:cstheme="minorHAnsi"/>
          <w:sz w:val="20"/>
          <w:szCs w:val="20"/>
        </w:rPr>
        <w:lastRenderedPageBreak/>
        <w:t>market irregularities.</w:t>
      </w:r>
      <w:r w:rsidR="0025065A">
        <w:rPr>
          <w:rFonts w:ascii="Verdana" w:hAnsi="Verdana" w:cstheme="minorHAnsi"/>
          <w:sz w:val="20"/>
          <w:szCs w:val="20"/>
        </w:rPr>
        <w:t xml:space="preserve"> </w:t>
      </w:r>
      <w:r w:rsidR="00823379" w:rsidRPr="00DB5977">
        <w:rPr>
          <w:rFonts w:ascii="Verdana" w:hAnsi="Verdana" w:cstheme="minorHAnsi"/>
          <w:sz w:val="20"/>
          <w:szCs w:val="20"/>
        </w:rPr>
        <w:t>(</w:t>
      </w:r>
      <w:r w:rsidR="00823379" w:rsidRPr="00DB5977">
        <w:rPr>
          <w:rFonts w:ascii="Verdana" w:hAnsi="Verdana" w:cstheme="minorHAnsi"/>
          <w:i/>
          <w:sz w:val="20"/>
          <w:szCs w:val="20"/>
          <w:u w:val="single"/>
        </w:rPr>
        <w:t>See</w:t>
      </w:r>
      <w:r w:rsidR="00823379" w:rsidRPr="00DB5977">
        <w:rPr>
          <w:rFonts w:ascii="Verdana" w:hAnsi="Verdana" w:cstheme="minorHAnsi"/>
          <w: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00823379" w:rsidRPr="00DB5977">
        <w:rPr>
          <w:rFonts w:ascii="Verdana" w:hAnsi="Verdana" w:cstheme="minorHAnsi"/>
          <w:sz w:val="20"/>
          <w:szCs w:val="20"/>
        </w:rPr>
        <w:t>LR-5a through MLR-</w:t>
      </w:r>
      <w:r w:rsidR="00AA6219" w:rsidRPr="00DB5977">
        <w:rPr>
          <w:rFonts w:ascii="Verdana" w:hAnsi="Verdana" w:cstheme="minorHAnsi"/>
          <w:sz w:val="20"/>
          <w:szCs w:val="20"/>
        </w:rPr>
        <w:t>6f</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3C258F" w:rsidRPr="00DB5977">
        <w:rPr>
          <w:rFonts w:ascii="Verdana" w:hAnsi="Verdana" w:cstheme="minorHAnsi"/>
          <w:sz w:val="20"/>
          <w:szCs w:val="20"/>
        </w:rPr>
        <w:t xml:space="preserve">The average </w:t>
      </w:r>
      <w:r w:rsidR="00070843" w:rsidRPr="00DB5977">
        <w:rPr>
          <w:rFonts w:ascii="Verdana" w:hAnsi="Verdana" w:cstheme="minorHAnsi"/>
          <w:sz w:val="20"/>
          <w:szCs w:val="20"/>
        </w:rPr>
        <w:t>9</w:t>
      </w:r>
      <w:r w:rsidR="003C258F" w:rsidRPr="00DB5977">
        <w:rPr>
          <w:rFonts w:ascii="Verdana" w:hAnsi="Verdana" w:cstheme="minorHAnsi"/>
          <w:sz w:val="20"/>
          <w:szCs w:val="20"/>
        </w:rPr>
        <w:t xml:space="preserve">0-day stock price for my sample is </w:t>
      </w:r>
      <w:r w:rsidR="002C3A72" w:rsidRPr="00DB5977">
        <w:rPr>
          <w:rFonts w:ascii="Verdana" w:hAnsi="Verdana" w:cstheme="minorHAnsi"/>
          <w:sz w:val="20"/>
          <w:szCs w:val="20"/>
        </w:rPr>
        <w:t>$</w:t>
      </w:r>
      <w:r w:rsidR="005A2766" w:rsidRPr="00DB5977">
        <w:rPr>
          <w:rFonts w:ascii="Verdana" w:hAnsi="Verdana" w:cstheme="minorHAnsi"/>
          <w:sz w:val="20"/>
          <w:szCs w:val="20"/>
        </w:rPr>
        <w:t>74.</w:t>
      </w:r>
      <w:r w:rsidR="00494489" w:rsidRPr="00DB5977">
        <w:rPr>
          <w:rFonts w:ascii="Verdana" w:hAnsi="Verdana" w:cstheme="minorHAnsi"/>
          <w:sz w:val="20"/>
          <w:szCs w:val="20"/>
        </w:rPr>
        <w:t>87</w:t>
      </w:r>
      <w:r w:rsidR="002C3A72" w:rsidRPr="00DB5977">
        <w:rPr>
          <w:rFonts w:ascii="Verdana" w:hAnsi="Verdana" w:cstheme="minorHAnsi"/>
          <w:sz w:val="20"/>
          <w:szCs w:val="20"/>
        </w:rPr>
        <w:t xml:space="preserve"> per share</w:t>
      </w:r>
      <w:r w:rsidR="00DF2B39" w:rsidRPr="00DB5977">
        <w:rPr>
          <w:rFonts w:ascii="Verdana" w:hAnsi="Verdana" w:cstheme="minorHAnsi"/>
          <w:sz w:val="20"/>
          <w:szCs w:val="20"/>
        </w:rPr>
        <w:t>, which</w:t>
      </w:r>
      <w:r w:rsidR="003C258F" w:rsidRPr="00DB5977">
        <w:rPr>
          <w:rFonts w:ascii="Verdana" w:hAnsi="Verdana" w:cstheme="minorHAnsi"/>
          <w:sz w:val="20"/>
          <w:szCs w:val="20"/>
        </w:rPr>
        <w:t xml:space="preserve"> is greater than the </w:t>
      </w:r>
      <w:r w:rsidR="00070843" w:rsidRPr="00DB5977">
        <w:rPr>
          <w:rFonts w:ascii="Verdana" w:hAnsi="Verdana" w:cstheme="minorHAnsi"/>
          <w:sz w:val="20"/>
          <w:szCs w:val="20"/>
        </w:rPr>
        <w:t>180-day</w:t>
      </w:r>
      <w:r w:rsidR="003C258F" w:rsidRPr="00DB5977">
        <w:rPr>
          <w:rFonts w:ascii="Verdana" w:hAnsi="Verdana" w:cstheme="minorHAnsi"/>
          <w:sz w:val="20"/>
          <w:szCs w:val="20"/>
        </w:rPr>
        <w:t xml:space="preserve"> average stock price of </w:t>
      </w:r>
      <w:r w:rsidR="002C3A72" w:rsidRPr="00DB5977">
        <w:rPr>
          <w:rFonts w:ascii="Verdana" w:hAnsi="Verdana" w:cstheme="minorHAnsi"/>
          <w:sz w:val="20"/>
          <w:szCs w:val="20"/>
        </w:rPr>
        <w:t>$</w:t>
      </w:r>
      <w:r w:rsidR="00494489" w:rsidRPr="00DB5977">
        <w:rPr>
          <w:rFonts w:ascii="Verdana" w:hAnsi="Verdana" w:cstheme="minorHAnsi"/>
          <w:sz w:val="20"/>
          <w:szCs w:val="20"/>
        </w:rPr>
        <w:t>73.05</w:t>
      </w:r>
      <w:r w:rsidR="002C3A72" w:rsidRPr="00DB5977">
        <w:rPr>
          <w:rFonts w:ascii="Verdana" w:hAnsi="Verdana" w:cstheme="minorHAnsi"/>
          <w:sz w:val="20"/>
          <w:szCs w:val="20"/>
        </w:rPr>
        <w:t xml:space="preserve"> per share</w:t>
      </w:r>
      <w:r w:rsidR="0070599D" w:rsidRPr="00DB5977">
        <w:rPr>
          <w:rFonts w:ascii="Verdana" w:hAnsi="Verdana" w:cstheme="minorHAnsi"/>
          <w:sz w:val="20"/>
          <w:szCs w:val="20"/>
        </w:rPr>
        <w:t>.</w:t>
      </w:r>
    </w:p>
    <w:p w14:paraId="3B5133E3" w14:textId="77777777" w:rsidR="00823379" w:rsidRPr="00DB5977" w:rsidRDefault="00823379" w:rsidP="004B2CD5">
      <w:pPr>
        <w:pStyle w:val="DirectNext"/>
        <w:rPr>
          <w:rFonts w:ascii="Verdana" w:hAnsi="Verdana"/>
          <w:sz w:val="20"/>
          <w:szCs w:val="20"/>
        </w:rPr>
      </w:pPr>
      <w:r w:rsidRPr="00DB5977">
        <w:rPr>
          <w:rFonts w:ascii="Verdana" w:hAnsi="Verdana"/>
          <w:sz w:val="20"/>
          <w:szCs w:val="20"/>
        </w:rPr>
        <w:t xml:space="preserve">I then estimate the expected dividend yield by applying the growth rate component of my </w:t>
      </w:r>
      <w:r w:rsidR="00EE1452" w:rsidRPr="00DB5977">
        <w:rPr>
          <w:rFonts w:ascii="Verdana" w:hAnsi="Verdana"/>
          <w:sz w:val="20"/>
          <w:szCs w:val="20"/>
        </w:rPr>
        <w:t>Constant-Growth</w:t>
      </w:r>
      <w:r w:rsidRPr="00DB5977">
        <w:rPr>
          <w:rFonts w:ascii="Verdana" w:hAnsi="Verdana"/>
          <w:sz w:val="20"/>
          <w:szCs w:val="20"/>
        </w:rPr>
        <w:t xml:space="preserve"> DCF analysis.</w:t>
      </w:r>
      <w:r w:rsidR="0025065A">
        <w:rPr>
          <w:rFonts w:ascii="Verdana" w:hAnsi="Verdana"/>
          <w:sz w:val="20"/>
          <w:szCs w:val="20"/>
        </w:rPr>
        <w:t xml:space="preserve"> </w:t>
      </w:r>
      <w:r w:rsidRPr="00DB5977">
        <w:rPr>
          <w:rFonts w:ascii="Verdana" w:hAnsi="Verdana"/>
          <w:sz w:val="20"/>
          <w:szCs w:val="20"/>
        </w:rPr>
        <w:t>I use three variants for calculating the growth rate component that I will discuss later in my testimony.</w:t>
      </w:r>
      <w:r w:rsidR="0025065A">
        <w:rPr>
          <w:rFonts w:ascii="Verdana" w:hAnsi="Verdana"/>
          <w:sz w:val="20"/>
          <w:szCs w:val="20"/>
        </w:rPr>
        <w:t xml:space="preserve"> </w:t>
      </w:r>
      <w:r w:rsidRPr="00DB5977">
        <w:rPr>
          <w:rFonts w:ascii="Verdana" w:hAnsi="Verdana"/>
          <w:sz w:val="20"/>
          <w:szCs w:val="20"/>
        </w:rPr>
        <w:t xml:space="preserve">These methods produce a range of expected (year-ahead) dividend yields from </w:t>
      </w:r>
      <w:r w:rsidR="00726D64" w:rsidRPr="00DB5977">
        <w:rPr>
          <w:rFonts w:ascii="Verdana" w:hAnsi="Verdana"/>
          <w:sz w:val="20"/>
          <w:szCs w:val="20"/>
        </w:rPr>
        <w:t>3.3</w:t>
      </w:r>
      <w:r w:rsidR="000B187A" w:rsidRPr="00DB5977">
        <w:rPr>
          <w:rFonts w:ascii="Verdana" w:hAnsi="Verdana"/>
          <w:sz w:val="20"/>
          <w:szCs w:val="20"/>
        </w:rPr>
        <w:t>7</w:t>
      </w:r>
      <w:r w:rsidRPr="00DB5977">
        <w:rPr>
          <w:rFonts w:ascii="Verdana" w:hAnsi="Verdana"/>
          <w:sz w:val="20"/>
          <w:szCs w:val="20"/>
        </w:rPr>
        <w:t xml:space="preserve"> percent to </w:t>
      </w:r>
      <w:r w:rsidR="00871216" w:rsidRPr="00DB5977">
        <w:rPr>
          <w:rFonts w:ascii="Verdana" w:hAnsi="Verdana"/>
          <w:sz w:val="20"/>
          <w:szCs w:val="20"/>
        </w:rPr>
        <w:t>3.4</w:t>
      </w:r>
      <w:r w:rsidR="000B187A" w:rsidRPr="00DB5977">
        <w:rPr>
          <w:rFonts w:ascii="Verdana" w:hAnsi="Verdana"/>
          <w:sz w:val="20"/>
          <w:szCs w:val="20"/>
        </w:rPr>
        <w:t>4</w:t>
      </w:r>
      <w:r w:rsidRPr="00DB5977">
        <w:rPr>
          <w:rFonts w:ascii="Verdana" w:hAnsi="Verdana"/>
          <w:sz w:val="20"/>
          <w:szCs w:val="20"/>
        </w:rPr>
        <w:t> percent using my sample.</w:t>
      </w:r>
    </w:p>
    <w:p w14:paraId="35406621" w14:textId="77777777" w:rsidR="00823379" w:rsidRPr="00DB5977" w:rsidRDefault="00A80FEF" w:rsidP="00486739">
      <w:pPr>
        <w:pStyle w:val="DirectQuestion"/>
      </w:pPr>
      <w:r w:rsidRPr="00DB5977">
        <w:t xml:space="preserve">please </w:t>
      </w:r>
      <w:r w:rsidR="00823379" w:rsidRPr="00DB5977">
        <w:t>Describe the growth rate component of your DCF analysis.</w:t>
      </w:r>
    </w:p>
    <w:p w14:paraId="029AD197" w14:textId="78D01C9A"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My first set of growth rates </w:t>
      </w:r>
      <w:r w:rsidR="00A80FEF" w:rsidRPr="00DB5977">
        <w:rPr>
          <w:rFonts w:ascii="Verdana" w:hAnsi="Verdana" w:cstheme="minorHAnsi"/>
          <w:sz w:val="20"/>
          <w:szCs w:val="20"/>
        </w:rPr>
        <w:t xml:space="preserve">is </w:t>
      </w:r>
      <w:r w:rsidRPr="00DB5977">
        <w:rPr>
          <w:rFonts w:ascii="Verdana" w:hAnsi="Verdana" w:cstheme="minorHAnsi"/>
          <w:sz w:val="20"/>
          <w:szCs w:val="20"/>
        </w:rPr>
        <w:t xml:space="preserve">based on </w:t>
      </w:r>
      <w:r w:rsidR="000838A7" w:rsidRPr="00DB5977">
        <w:rPr>
          <w:rFonts w:ascii="Verdana" w:hAnsi="Verdana" w:cstheme="minorHAnsi"/>
          <w:sz w:val="20"/>
          <w:szCs w:val="20"/>
        </w:rPr>
        <w:t xml:space="preserve">published </w:t>
      </w:r>
      <w:r w:rsidRPr="00DB5977">
        <w:rPr>
          <w:rFonts w:ascii="Verdana" w:hAnsi="Verdana" w:cstheme="minorHAnsi"/>
          <w:sz w:val="20"/>
          <w:szCs w:val="20"/>
        </w:rPr>
        <w:t>earnings per share (“EPS”) forecast</w:t>
      </w:r>
      <w:r w:rsidR="00AD2446">
        <w:rPr>
          <w:rFonts w:ascii="Verdana" w:hAnsi="Verdana" w:cstheme="minorHAnsi"/>
          <w:sz w:val="20"/>
          <w:szCs w:val="20"/>
        </w:rPr>
        <w:t>s</w:t>
      </w:r>
      <w:r w:rsidRPr="00DB5977">
        <w:rPr>
          <w:rFonts w:ascii="Verdana" w:hAnsi="Verdana" w:cstheme="minorHAnsi"/>
          <w:sz w:val="20"/>
          <w:szCs w:val="20"/>
        </w:rPr>
        <w:t xml:space="preserve"> because investors typically view earnings growth as an indicator of dividend growth.</w:t>
      </w:r>
      <w:r w:rsidR="0025065A">
        <w:rPr>
          <w:rFonts w:ascii="Verdana" w:hAnsi="Verdana" w:cstheme="minorHAnsi"/>
          <w:sz w:val="20"/>
          <w:szCs w:val="20"/>
        </w:rPr>
        <w:t xml:space="preserve"> </w:t>
      </w:r>
      <w:r w:rsidRPr="00DB5977">
        <w:rPr>
          <w:rFonts w:ascii="Verdana" w:hAnsi="Verdana" w:cstheme="minorHAnsi"/>
          <w:sz w:val="20"/>
          <w:szCs w:val="20"/>
        </w:rPr>
        <w:t xml:space="preserve">Unlike </w:t>
      </w:r>
      <w:r w:rsidR="008E5C40" w:rsidRPr="00DB5977">
        <w:rPr>
          <w:rFonts w:ascii="Verdana" w:hAnsi="Verdana" w:cstheme="minorHAnsi"/>
          <w:sz w:val="20"/>
          <w:szCs w:val="20"/>
        </w:rPr>
        <w:t xml:space="preserve">Dr. Vander </w:t>
      </w:r>
      <w:proofErr w:type="spellStart"/>
      <w:r w:rsidR="008E5C40" w:rsidRPr="00DB5977">
        <w:rPr>
          <w:rFonts w:ascii="Verdana" w:hAnsi="Verdana" w:cstheme="minorHAnsi"/>
          <w:sz w:val="20"/>
          <w:szCs w:val="20"/>
        </w:rPr>
        <w:t>Weide</w:t>
      </w:r>
      <w:proofErr w:type="spellEnd"/>
      <w:r w:rsidRPr="00DB5977">
        <w:rPr>
          <w:rFonts w:ascii="Verdana" w:hAnsi="Verdana" w:cstheme="minorHAnsi"/>
          <w:sz w:val="20"/>
          <w:szCs w:val="20"/>
        </w:rPr>
        <w:t>, however, I believe that investors also incorporate other sources of information when setting their expectations of dividend growth, which I will discuss shortly.</w:t>
      </w:r>
      <w:r w:rsidR="0025065A">
        <w:rPr>
          <w:rFonts w:ascii="Verdana" w:hAnsi="Verdana" w:cstheme="minorHAnsi"/>
          <w:sz w:val="20"/>
          <w:szCs w:val="20"/>
        </w:rPr>
        <w:t xml:space="preserve"> </w:t>
      </w:r>
    </w:p>
    <w:p w14:paraId="086739EB" w14:textId="33ACAD29" w:rsidR="007B59B4" w:rsidRPr="00DB5977" w:rsidRDefault="00823379" w:rsidP="00F97A2E">
      <w:pPr>
        <w:pStyle w:val="DirectNext"/>
        <w:rPr>
          <w:rFonts w:ascii="Verdana" w:hAnsi="Verdana"/>
          <w:i/>
          <w:sz w:val="20"/>
          <w:szCs w:val="20"/>
        </w:rPr>
      </w:pPr>
      <w:r w:rsidRPr="00DB5977">
        <w:rPr>
          <w:rFonts w:ascii="Verdana" w:hAnsi="Verdana"/>
          <w:sz w:val="20"/>
          <w:szCs w:val="20"/>
        </w:rPr>
        <w:t xml:space="preserve">I calculate the estimated earnings growth rates by taking the average of analysts’ forecasts (which typically cover </w:t>
      </w:r>
      <w:r w:rsidR="000838A7" w:rsidRPr="00DB5977">
        <w:rPr>
          <w:rFonts w:ascii="Verdana" w:hAnsi="Verdana"/>
          <w:sz w:val="20"/>
          <w:szCs w:val="20"/>
        </w:rPr>
        <w:t xml:space="preserve">roughly </w:t>
      </w:r>
      <w:r w:rsidRPr="00DB5977">
        <w:rPr>
          <w:rFonts w:ascii="Verdana" w:hAnsi="Verdana"/>
          <w:sz w:val="20"/>
          <w:szCs w:val="20"/>
        </w:rPr>
        <w:t xml:space="preserve">the next five years) from </w:t>
      </w:r>
      <w:r w:rsidR="003A0E5C" w:rsidRPr="003A0E5C">
        <w:rPr>
          <w:rFonts w:ascii="Verdana" w:hAnsi="Verdana"/>
          <w:i/>
          <w:sz w:val="20"/>
          <w:szCs w:val="20"/>
        </w:rPr>
        <w:t>Value Line</w:t>
      </w:r>
      <w:r w:rsidRPr="00DB5977">
        <w:rPr>
          <w:rFonts w:ascii="Verdana" w:hAnsi="Verdana"/>
          <w:sz w:val="20"/>
          <w:szCs w:val="20"/>
        </w:rPr>
        <w:t xml:space="preserve">, </w:t>
      </w:r>
      <w:proofErr w:type="spellStart"/>
      <w:r w:rsidRPr="00DB5977">
        <w:rPr>
          <w:rFonts w:ascii="Verdana" w:hAnsi="Verdana"/>
          <w:sz w:val="20"/>
          <w:szCs w:val="20"/>
        </w:rPr>
        <w:t>Zacks</w:t>
      </w:r>
      <w:proofErr w:type="spellEnd"/>
      <w:r w:rsidRPr="00DB5977">
        <w:rPr>
          <w:rFonts w:ascii="Verdana" w:hAnsi="Verdana"/>
          <w:sz w:val="20"/>
          <w:szCs w:val="20"/>
        </w:rPr>
        <w:t xml:space="preserve"> Investment Research (“</w:t>
      </w:r>
      <w:proofErr w:type="spellStart"/>
      <w:r w:rsidRPr="00DB5977">
        <w:rPr>
          <w:rFonts w:ascii="Verdana" w:hAnsi="Verdana"/>
          <w:sz w:val="20"/>
          <w:szCs w:val="20"/>
        </w:rPr>
        <w:t>Zacks</w:t>
      </w:r>
      <w:proofErr w:type="spellEnd"/>
      <w:r w:rsidRPr="00DB5977">
        <w:rPr>
          <w:rFonts w:ascii="Verdana" w:hAnsi="Verdana"/>
          <w:sz w:val="20"/>
          <w:szCs w:val="20"/>
        </w:rPr>
        <w:t xml:space="preserve">”), and </w:t>
      </w:r>
      <w:proofErr w:type="spellStart"/>
      <w:r w:rsidRPr="00DB5977">
        <w:rPr>
          <w:rFonts w:ascii="Verdana" w:hAnsi="Verdana"/>
          <w:sz w:val="20"/>
          <w:szCs w:val="20"/>
        </w:rPr>
        <w:t>YahooFinance</w:t>
      </w:r>
      <w:proofErr w:type="spellEnd"/>
      <w:r w:rsidRPr="00DB5977">
        <w:rPr>
          <w:rFonts w:ascii="Verdana" w:hAnsi="Verdana"/>
          <w:sz w:val="20"/>
          <w:szCs w:val="20"/>
        </w:rPr>
        <w:t>.</w:t>
      </w:r>
      <w:r w:rsidR="00716D3B" w:rsidRPr="00DB5977">
        <w:rPr>
          <w:rStyle w:val="FootnoteReference"/>
          <w:rFonts w:ascii="Verdana" w:hAnsi="Verdana"/>
          <w:sz w:val="20"/>
          <w:szCs w:val="20"/>
        </w:rPr>
        <w:footnoteReference w:id="25"/>
      </w:r>
      <w:r w:rsidR="0025065A">
        <w:rPr>
          <w:rFonts w:ascii="Verdana" w:hAnsi="Verdana"/>
          <w:sz w:val="20"/>
          <w:szCs w:val="20"/>
        </w:rPr>
        <w:t xml:space="preserve"> </w:t>
      </w:r>
      <w:r w:rsidRPr="00DB5977">
        <w:rPr>
          <w:rFonts w:ascii="Verdana" w:hAnsi="Verdana"/>
          <w:sz w:val="20"/>
          <w:szCs w:val="20"/>
        </w:rPr>
        <w:t xml:space="preserve">Both the </w:t>
      </w:r>
      <w:proofErr w:type="spellStart"/>
      <w:r w:rsidRPr="00DB5977">
        <w:rPr>
          <w:rFonts w:ascii="Verdana" w:hAnsi="Verdana"/>
          <w:sz w:val="20"/>
          <w:szCs w:val="20"/>
        </w:rPr>
        <w:t>Zacks</w:t>
      </w:r>
      <w:proofErr w:type="spellEnd"/>
      <w:r w:rsidRPr="00DB5977">
        <w:rPr>
          <w:rFonts w:ascii="Verdana" w:hAnsi="Verdana"/>
          <w:sz w:val="20"/>
          <w:szCs w:val="20"/>
        </w:rPr>
        <w:t xml:space="preserve"> and </w:t>
      </w:r>
      <w:proofErr w:type="spellStart"/>
      <w:r w:rsidRPr="00DB5977">
        <w:rPr>
          <w:rFonts w:ascii="Verdana" w:hAnsi="Verdana"/>
          <w:sz w:val="20"/>
          <w:szCs w:val="20"/>
        </w:rPr>
        <w:t>YahooFinance</w:t>
      </w:r>
      <w:proofErr w:type="spellEnd"/>
      <w:r w:rsidRPr="00DB5977">
        <w:rPr>
          <w:rFonts w:ascii="Verdana" w:hAnsi="Verdana"/>
          <w:sz w:val="20"/>
          <w:szCs w:val="20"/>
        </w:rPr>
        <w:t xml:space="preserve"> websites</w:t>
      </w:r>
      <w:r w:rsidR="000838A7" w:rsidRPr="00DB5977">
        <w:rPr>
          <w:rFonts w:ascii="Verdana" w:hAnsi="Verdana"/>
          <w:sz w:val="20"/>
          <w:szCs w:val="20"/>
        </w:rPr>
        <w:t>, which are pub</w:t>
      </w:r>
      <w:r w:rsidR="000838A7" w:rsidRPr="00DB5977">
        <w:rPr>
          <w:rFonts w:ascii="Verdana" w:hAnsi="Verdana"/>
          <w:sz w:val="20"/>
          <w:szCs w:val="20"/>
        </w:rPr>
        <w:lastRenderedPageBreak/>
        <w:t>licly available,</w:t>
      </w:r>
      <w:r w:rsidRPr="00DB5977">
        <w:rPr>
          <w:rFonts w:ascii="Verdana" w:hAnsi="Verdana"/>
          <w:sz w:val="20"/>
          <w:szCs w:val="20"/>
        </w:rPr>
        <w:t xml:space="preserve"> report results incorporating </w:t>
      </w:r>
      <w:r w:rsidR="00A448CB" w:rsidRPr="00DB5977">
        <w:rPr>
          <w:rFonts w:ascii="Verdana" w:hAnsi="Verdana"/>
          <w:sz w:val="20"/>
          <w:szCs w:val="20"/>
        </w:rPr>
        <w:t>forward</w:t>
      </w:r>
      <w:r w:rsidR="003A0E5C">
        <w:rPr>
          <w:rFonts w:ascii="Verdana" w:hAnsi="Verdana"/>
          <w:sz w:val="20"/>
          <w:szCs w:val="20"/>
        </w:rPr>
        <w:t>-</w:t>
      </w:r>
      <w:r w:rsidR="00A448CB" w:rsidRPr="00DB5977">
        <w:rPr>
          <w:rFonts w:ascii="Verdana" w:hAnsi="Verdana"/>
          <w:sz w:val="20"/>
          <w:szCs w:val="20"/>
        </w:rPr>
        <w:t xml:space="preserve">looking </w:t>
      </w:r>
      <w:r w:rsidRPr="00DB5977">
        <w:rPr>
          <w:rFonts w:ascii="Verdana" w:hAnsi="Verdana"/>
          <w:sz w:val="20"/>
          <w:szCs w:val="20"/>
        </w:rPr>
        <w:t>surveys of securities analysts’ EPS projections.</w:t>
      </w:r>
      <w:r w:rsidR="0025065A">
        <w:rPr>
          <w:rFonts w:ascii="Verdana" w:hAnsi="Verdana"/>
          <w:sz w:val="20"/>
          <w:szCs w:val="20"/>
        </w:rPr>
        <w:t xml:space="preserve"> </w:t>
      </w:r>
      <w:r w:rsidR="003A0E5C" w:rsidRPr="003A0E5C">
        <w:rPr>
          <w:rFonts w:ascii="Verdana" w:hAnsi="Verdana"/>
          <w:i/>
          <w:sz w:val="20"/>
          <w:szCs w:val="20"/>
        </w:rPr>
        <w:t>Value Line</w:t>
      </w:r>
      <w:r w:rsidRPr="00DB5977">
        <w:rPr>
          <w:rFonts w:ascii="Verdana" w:hAnsi="Verdana"/>
          <w:sz w:val="20"/>
          <w:szCs w:val="20"/>
        </w:rPr>
        <w:t>, in contrast, uses a historical base period average value for 201</w:t>
      </w:r>
      <w:r w:rsidR="000D7761" w:rsidRPr="00DB5977">
        <w:rPr>
          <w:rFonts w:ascii="Verdana" w:hAnsi="Verdana"/>
          <w:sz w:val="20"/>
          <w:szCs w:val="20"/>
        </w:rPr>
        <w:t>6</w:t>
      </w:r>
      <w:r w:rsidRPr="00DB5977">
        <w:rPr>
          <w:rFonts w:ascii="Verdana" w:hAnsi="Verdana"/>
          <w:sz w:val="20"/>
          <w:szCs w:val="20"/>
        </w:rPr>
        <w:t>-201</w:t>
      </w:r>
      <w:r w:rsidR="000D7761" w:rsidRPr="00DB5977">
        <w:rPr>
          <w:rFonts w:ascii="Verdana" w:hAnsi="Verdana"/>
          <w:sz w:val="20"/>
          <w:szCs w:val="20"/>
        </w:rPr>
        <w:t>8</w:t>
      </w:r>
      <w:r w:rsidRPr="00DB5977">
        <w:rPr>
          <w:rFonts w:ascii="Verdana" w:hAnsi="Verdana"/>
          <w:sz w:val="20"/>
          <w:szCs w:val="20"/>
        </w:rPr>
        <w:t xml:space="preserve"> and a forecast of 202</w:t>
      </w:r>
      <w:r w:rsidR="000D7761" w:rsidRPr="00DB5977">
        <w:rPr>
          <w:rFonts w:ascii="Verdana" w:hAnsi="Verdana"/>
          <w:sz w:val="20"/>
          <w:szCs w:val="20"/>
        </w:rPr>
        <w:t>2</w:t>
      </w:r>
      <w:r w:rsidRPr="00DB5977">
        <w:rPr>
          <w:rFonts w:ascii="Verdana" w:hAnsi="Verdana"/>
          <w:sz w:val="20"/>
          <w:szCs w:val="20"/>
        </w:rPr>
        <w:t>-202</w:t>
      </w:r>
      <w:r w:rsidR="000D7761" w:rsidRPr="00DB5977">
        <w:rPr>
          <w:rFonts w:ascii="Verdana" w:hAnsi="Verdana"/>
          <w:sz w:val="20"/>
          <w:szCs w:val="20"/>
        </w:rPr>
        <w:t>4</w:t>
      </w:r>
      <w:r w:rsidRPr="00DB5977">
        <w:rPr>
          <w:rFonts w:ascii="Verdana" w:hAnsi="Verdana"/>
          <w:sz w:val="20"/>
          <w:szCs w:val="20"/>
        </w:rPr>
        <w:t xml:space="preserve"> to calculate its growth rates, and is not a survey.</w:t>
      </w:r>
      <w:r w:rsidR="0025065A">
        <w:rPr>
          <w:rFonts w:ascii="Verdana" w:hAnsi="Verdana"/>
          <w:sz w:val="20"/>
          <w:szCs w:val="20"/>
        </w:rPr>
        <w:t xml:space="preserve"> </w:t>
      </w:r>
      <w:r w:rsidRPr="00DB5977">
        <w:rPr>
          <w:rFonts w:ascii="Verdana" w:hAnsi="Verdana"/>
          <w:sz w:val="20"/>
          <w:szCs w:val="20"/>
        </w:rPr>
        <w:t xml:space="preserve">The average expected earnings growth rate using my sample of companies is </w:t>
      </w:r>
      <w:r w:rsidR="00C42BEB" w:rsidRPr="00DB5977">
        <w:rPr>
          <w:rFonts w:ascii="Verdana" w:hAnsi="Verdana"/>
          <w:sz w:val="20"/>
          <w:szCs w:val="20"/>
        </w:rPr>
        <w:t>5.</w:t>
      </w:r>
      <w:r w:rsidR="00494489" w:rsidRPr="00DB5977">
        <w:rPr>
          <w:rFonts w:ascii="Verdana" w:hAnsi="Verdana"/>
          <w:sz w:val="20"/>
          <w:szCs w:val="20"/>
        </w:rPr>
        <w:t>42</w:t>
      </w:r>
      <w:r w:rsidR="00275DD8">
        <w:rPr>
          <w:rFonts w:ascii="Verdana" w:hAnsi="Verdana"/>
          <w:sz w:val="20"/>
          <w:szCs w:val="20"/>
        </w:rPr>
        <w:t> </w:t>
      </w:r>
      <w:r w:rsidRPr="00DB5977">
        <w:rPr>
          <w:rFonts w:ascii="Verdana" w:hAnsi="Verdana"/>
          <w:sz w:val="20"/>
          <w:szCs w:val="20"/>
        </w:rPr>
        <w:t>percent.</w:t>
      </w:r>
      <w:r w:rsidR="0025065A">
        <w:rPr>
          <w:rFonts w:ascii="Verdana" w:hAnsi="Verdana"/>
          <w:sz w:val="20"/>
          <w:szCs w:val="20"/>
        </w:rPr>
        <w:t xml:space="preserve"> </w:t>
      </w:r>
      <w:r w:rsidRPr="00DB5977">
        <w:rPr>
          <w:rFonts w:ascii="Verdana" w:hAnsi="Verdana"/>
          <w:sz w:val="20"/>
          <w:szCs w:val="20"/>
        </w:rPr>
        <w:t>(</w:t>
      </w:r>
      <w:r w:rsidRPr="00DB5977">
        <w:rPr>
          <w:rFonts w:ascii="Verdana" w:hAnsi="Verdana"/>
          <w:i/>
          <w:sz w:val="20"/>
          <w:szCs w:val="20"/>
          <w:u w:val="single"/>
        </w:rPr>
        <w:t>See</w:t>
      </w:r>
      <w:r w:rsidRPr="00DB5977">
        <w:rPr>
          <w:rFonts w:ascii="Verdana" w:hAnsi="Verdana"/>
          <w:i/>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Pr="00DB5977">
        <w:rPr>
          <w:rFonts w:ascii="Verdana" w:hAnsi="Verdana"/>
          <w:sz w:val="20"/>
          <w:szCs w:val="20"/>
        </w:rPr>
        <w:t>LR-5a</w:t>
      </w:r>
      <w:r w:rsidR="00C84078" w:rsidRPr="00DB5977">
        <w:rPr>
          <w:rFonts w:ascii="Verdana" w:hAnsi="Verdana"/>
          <w:sz w:val="20"/>
          <w:szCs w:val="20"/>
        </w:rPr>
        <w:t xml:space="preserve"> and MLR-</w:t>
      </w:r>
      <w:r w:rsidR="00DB4965">
        <w:rPr>
          <w:rFonts w:ascii="Verdana" w:hAnsi="Verdana"/>
          <w:sz w:val="20"/>
          <w:szCs w:val="20"/>
        </w:rPr>
        <w:t>5c</w:t>
      </w:r>
      <w:r w:rsidRPr="00DB5977">
        <w:rPr>
          <w:rFonts w:ascii="Verdana" w:hAnsi="Verdana"/>
          <w:sz w:val="20"/>
          <w:szCs w:val="20"/>
        </w:rPr>
        <w:t>.)</w:t>
      </w:r>
      <w:r w:rsidR="0025065A">
        <w:rPr>
          <w:rFonts w:ascii="Verdana" w:hAnsi="Verdana"/>
          <w:i/>
          <w:sz w:val="20"/>
          <w:szCs w:val="20"/>
        </w:rPr>
        <w:t xml:space="preserve"> </w:t>
      </w:r>
    </w:p>
    <w:p w14:paraId="7B25985A" w14:textId="024DD9FB" w:rsidR="00823379" w:rsidRPr="00DB5977" w:rsidRDefault="00823379" w:rsidP="004B2CD5">
      <w:pPr>
        <w:pStyle w:val="DirectNext"/>
        <w:rPr>
          <w:rFonts w:ascii="Verdana" w:hAnsi="Verdana"/>
          <w:sz w:val="20"/>
          <w:szCs w:val="20"/>
        </w:rPr>
      </w:pPr>
      <w:r w:rsidRPr="00DB5977">
        <w:rPr>
          <w:rFonts w:ascii="Verdana" w:hAnsi="Verdana"/>
          <w:sz w:val="20"/>
          <w:szCs w:val="20"/>
        </w:rPr>
        <w:t xml:space="preserve">I also develop an alternative growth rate by averaging </w:t>
      </w:r>
      <w:r w:rsidR="003A0E5C" w:rsidRPr="003A0E5C">
        <w:rPr>
          <w:rFonts w:ascii="Verdana" w:hAnsi="Verdana"/>
          <w:i/>
          <w:sz w:val="20"/>
          <w:szCs w:val="20"/>
        </w:rPr>
        <w:t>Value Line</w:t>
      </w:r>
      <w:r w:rsidRPr="00DB5977">
        <w:rPr>
          <w:rFonts w:ascii="Verdana" w:hAnsi="Verdana"/>
          <w:sz w:val="20"/>
          <w:szCs w:val="20"/>
        </w:rPr>
        <w:t>’s dividends per share (“DPS”) and book value per share (“BVPS”) estimates with the previously estimated earnings growth rate projections weighted equally.</w:t>
      </w:r>
      <w:r w:rsidR="0025065A">
        <w:rPr>
          <w:rFonts w:ascii="Verdana" w:hAnsi="Verdana"/>
          <w:sz w:val="20"/>
          <w:szCs w:val="20"/>
        </w:rPr>
        <w:t xml:space="preserve"> </w:t>
      </w:r>
      <w:r w:rsidRPr="00DB5977">
        <w:rPr>
          <w:rFonts w:ascii="Verdana" w:hAnsi="Verdana"/>
          <w:sz w:val="20"/>
          <w:szCs w:val="20"/>
        </w:rPr>
        <w:t>I include these three components of growth in my alternative analysis because investors are not only concerned with dividend growth but also earnings and book value growth as an assurance that dividend growth will be sustained.</w:t>
      </w:r>
      <w:r w:rsidR="0025065A">
        <w:rPr>
          <w:rFonts w:ascii="Verdana" w:hAnsi="Verdana"/>
          <w:sz w:val="20"/>
          <w:szCs w:val="20"/>
        </w:rPr>
        <w:t xml:space="preserve"> </w:t>
      </w:r>
      <w:r w:rsidRPr="00DB5977">
        <w:rPr>
          <w:rFonts w:ascii="Verdana" w:hAnsi="Verdana"/>
          <w:sz w:val="20"/>
          <w:szCs w:val="20"/>
        </w:rPr>
        <w:t>Moreover, dividend growth rates are more stable than expected earnings growth.</w:t>
      </w:r>
      <w:r w:rsidR="0025065A">
        <w:rPr>
          <w:rFonts w:ascii="Verdana" w:hAnsi="Verdana"/>
          <w:sz w:val="20"/>
          <w:szCs w:val="20"/>
        </w:rPr>
        <w:t xml:space="preserve"> </w:t>
      </w:r>
      <w:r w:rsidRPr="00DB5977">
        <w:rPr>
          <w:rFonts w:ascii="Verdana" w:hAnsi="Verdana"/>
          <w:sz w:val="20"/>
          <w:szCs w:val="20"/>
        </w:rPr>
        <w:t xml:space="preserve">These calculations produce an average growth rate of </w:t>
      </w:r>
      <w:r w:rsidR="00E74D0F" w:rsidRPr="00DB5977">
        <w:rPr>
          <w:rFonts w:ascii="Verdana" w:hAnsi="Verdana"/>
          <w:sz w:val="20"/>
          <w:szCs w:val="20"/>
        </w:rPr>
        <w:t>5.</w:t>
      </w:r>
      <w:r w:rsidR="00494489" w:rsidRPr="00DB5977">
        <w:rPr>
          <w:rFonts w:ascii="Verdana" w:hAnsi="Verdana"/>
          <w:sz w:val="20"/>
          <w:szCs w:val="20"/>
        </w:rPr>
        <w:t>20</w:t>
      </w:r>
      <w:r w:rsidRPr="00DB5977">
        <w:rPr>
          <w:rFonts w:ascii="Verdana" w:hAnsi="Verdana"/>
          <w:sz w:val="20"/>
          <w:szCs w:val="20"/>
        </w:rPr>
        <w:t xml:space="preserve"> percent.</w:t>
      </w:r>
      <w:r w:rsidR="0025065A">
        <w:rPr>
          <w:rFonts w:ascii="Verdana" w:hAnsi="Verdana"/>
          <w:sz w:val="20"/>
          <w:szCs w:val="20"/>
        </w:rPr>
        <w:t xml:space="preserve"> </w:t>
      </w:r>
      <w:r w:rsidRPr="00DB5977">
        <w:rPr>
          <w:rFonts w:ascii="Verdana" w:hAnsi="Verdana"/>
          <w:sz w:val="20"/>
          <w:szCs w:val="20"/>
        </w:rPr>
        <w:t>(</w:t>
      </w:r>
      <w:r w:rsidRPr="00DB5977">
        <w:rPr>
          <w:rFonts w:ascii="Verdana" w:hAnsi="Verdana"/>
          <w:i/>
          <w:sz w:val="20"/>
          <w:szCs w:val="20"/>
          <w:u w:val="single"/>
        </w:rPr>
        <w:t>See</w:t>
      </w:r>
      <w:r w:rsidRPr="00DB5977">
        <w:rPr>
          <w:rFonts w:ascii="Verdana" w:hAnsi="Verdana"/>
          <w:i/>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Pr="00DB5977">
        <w:rPr>
          <w:rFonts w:ascii="Verdana" w:hAnsi="Verdana"/>
          <w:sz w:val="20"/>
          <w:szCs w:val="20"/>
        </w:rPr>
        <w:t>LR-5b</w:t>
      </w:r>
      <w:r w:rsidR="00C84078" w:rsidRPr="00DB5977">
        <w:rPr>
          <w:rFonts w:ascii="Verdana" w:hAnsi="Verdana"/>
          <w:sz w:val="20"/>
          <w:szCs w:val="20"/>
        </w:rPr>
        <w:t xml:space="preserve"> and MLR-</w:t>
      </w:r>
      <w:r w:rsidR="00DB4965">
        <w:rPr>
          <w:rFonts w:ascii="Verdana" w:hAnsi="Verdana"/>
          <w:sz w:val="20"/>
          <w:szCs w:val="20"/>
        </w:rPr>
        <w:t>5d</w:t>
      </w:r>
      <w:r w:rsidRPr="00DB5977">
        <w:rPr>
          <w:rFonts w:ascii="Verdana" w:hAnsi="Verdana"/>
          <w:i/>
          <w:sz w:val="20"/>
          <w:szCs w:val="20"/>
        </w:rPr>
        <w:t>.</w:t>
      </w:r>
      <w:r w:rsidRPr="00DB5977">
        <w:rPr>
          <w:rFonts w:ascii="Verdana" w:hAnsi="Verdana"/>
          <w:sz w:val="20"/>
          <w:szCs w:val="20"/>
        </w:rPr>
        <w:t>)</w:t>
      </w:r>
    </w:p>
    <w:p w14:paraId="6C52BD6D" w14:textId="77777777" w:rsidR="00144D65" w:rsidRPr="00DB5977" w:rsidRDefault="00144D65" w:rsidP="00144D65">
      <w:pPr>
        <w:pStyle w:val="Heading2"/>
        <w:numPr>
          <w:ilvl w:val="1"/>
          <w:numId w:val="1"/>
        </w:numPr>
        <w:ind w:left="0"/>
        <w:rPr>
          <w:rFonts w:ascii="Verdana" w:hAnsi="Verdana" w:cstheme="minorHAnsi"/>
          <w:sz w:val="20"/>
          <w:szCs w:val="22"/>
        </w:rPr>
      </w:pPr>
      <w:bookmarkStart w:id="28" w:name="_Toc21873141"/>
      <w:r w:rsidRPr="00DB5977">
        <w:rPr>
          <w:rFonts w:ascii="Verdana" w:hAnsi="Verdana" w:cstheme="minorHAnsi"/>
          <w:sz w:val="20"/>
          <w:szCs w:val="22"/>
        </w:rPr>
        <w:t>Sustainabl</w:t>
      </w:r>
      <w:r w:rsidR="00752A73" w:rsidRPr="00DB5977">
        <w:rPr>
          <w:rFonts w:ascii="Verdana" w:hAnsi="Verdana" w:cstheme="minorHAnsi"/>
          <w:sz w:val="20"/>
          <w:szCs w:val="22"/>
        </w:rPr>
        <w:t>e-</w:t>
      </w:r>
      <w:r w:rsidRPr="00DB5977">
        <w:rPr>
          <w:rFonts w:ascii="Verdana" w:hAnsi="Verdana" w:cstheme="minorHAnsi"/>
          <w:sz w:val="20"/>
          <w:szCs w:val="22"/>
        </w:rPr>
        <w:t>Growth Discounted Cash Flow Model</w:t>
      </w:r>
      <w:bookmarkEnd w:id="28"/>
    </w:p>
    <w:p w14:paraId="3D3A028C" w14:textId="77777777" w:rsidR="00823379" w:rsidRPr="00DB5977" w:rsidRDefault="00823379" w:rsidP="00486739">
      <w:pPr>
        <w:pStyle w:val="DirectQuestion"/>
      </w:pPr>
      <w:r w:rsidRPr="00DB5977">
        <w:t>Do you employ other methods to derive growth rates in your DCF model?</w:t>
      </w:r>
    </w:p>
    <w:p w14:paraId="758089C0"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Yes, I also use the sustainable growth method to estimate the rate of dividend growth.</w:t>
      </w:r>
      <w:r w:rsidR="0025065A">
        <w:rPr>
          <w:rFonts w:ascii="Verdana" w:hAnsi="Verdana" w:cstheme="minorHAnsi"/>
          <w:sz w:val="20"/>
          <w:szCs w:val="20"/>
        </w:rPr>
        <w:t xml:space="preserve"> </w:t>
      </w:r>
      <w:r w:rsidRPr="00DB5977">
        <w:rPr>
          <w:rFonts w:ascii="Verdana" w:hAnsi="Verdana" w:cstheme="minorHAnsi"/>
          <w:sz w:val="20"/>
          <w:szCs w:val="20"/>
        </w:rPr>
        <w:t>The standard DCF model assumes only one source of equity financing, namely the retention of earnings.</w:t>
      </w:r>
      <w:r w:rsidR="0025065A">
        <w:rPr>
          <w:rFonts w:ascii="Verdana" w:hAnsi="Verdana" w:cstheme="minorHAnsi"/>
          <w:sz w:val="20"/>
          <w:szCs w:val="20"/>
        </w:rPr>
        <w:t xml:space="preserve"> </w:t>
      </w:r>
      <w:r w:rsidRPr="00DB5977">
        <w:rPr>
          <w:rFonts w:ascii="Verdana" w:hAnsi="Verdana" w:cstheme="minorHAnsi"/>
          <w:sz w:val="20"/>
          <w:szCs w:val="20"/>
        </w:rPr>
        <w:t xml:space="preserve">Growth in earnings </w:t>
      </w:r>
      <w:r w:rsidRPr="00DB5977">
        <w:rPr>
          <w:rFonts w:ascii="Verdana" w:hAnsi="Verdana" w:cstheme="minorHAnsi"/>
          <w:sz w:val="20"/>
          <w:szCs w:val="20"/>
        </w:rPr>
        <w:lastRenderedPageBreak/>
        <w:t>and dividends, however, can also be achieved by the sale of new common equity.</w:t>
      </w:r>
      <w:r w:rsidRPr="00DB5977">
        <w:rPr>
          <w:rStyle w:val="FootnoteReference"/>
          <w:rFonts w:ascii="Verdana" w:hAnsi="Verdana" w:cstheme="minorHAnsi"/>
          <w:sz w:val="20"/>
          <w:szCs w:val="16"/>
        </w:rPr>
        <w:footnoteReference w:id="26"/>
      </w:r>
      <w:r w:rsidR="0025065A">
        <w:rPr>
          <w:rFonts w:ascii="Verdana" w:hAnsi="Verdana" w:cstheme="minorHAnsi"/>
          <w:sz w:val="20"/>
          <w:szCs w:val="20"/>
        </w:rPr>
        <w:t xml:space="preserve"> </w:t>
      </w:r>
      <w:r w:rsidRPr="00DB5977">
        <w:rPr>
          <w:rFonts w:ascii="Verdana" w:hAnsi="Verdana" w:cstheme="minorHAnsi"/>
          <w:sz w:val="20"/>
          <w:szCs w:val="20"/>
        </w:rPr>
        <w:t xml:space="preserve">The basic </w:t>
      </w:r>
      <w:r w:rsidR="00A80CF4" w:rsidRPr="00DB5977">
        <w:rPr>
          <w:rFonts w:ascii="Verdana" w:hAnsi="Verdana" w:cstheme="minorHAnsi"/>
          <w:sz w:val="20"/>
          <w:szCs w:val="20"/>
        </w:rPr>
        <w:t>Constant-Growth</w:t>
      </w:r>
      <w:r w:rsidRPr="00DB5977">
        <w:rPr>
          <w:rFonts w:ascii="Verdana" w:hAnsi="Verdana" w:cstheme="minorHAnsi"/>
          <w:sz w:val="20"/>
          <w:szCs w:val="20"/>
        </w:rPr>
        <w:t xml:space="preserve"> DCF model of:</w:t>
      </w:r>
    </w:p>
    <w:p w14:paraId="5F31833C" w14:textId="77777777" w:rsidR="00C84078" w:rsidRPr="00DB5977" w:rsidRDefault="00C84078" w:rsidP="00823379">
      <w:pPr>
        <w:tabs>
          <w:tab w:val="left" w:pos="360"/>
        </w:tabs>
        <w:spacing w:after="0" w:line="240" w:lineRule="auto"/>
        <w:ind w:left="1080" w:hanging="360"/>
        <w:rPr>
          <w:rFonts w:ascii="Verdana" w:eastAsia="Times New Roman" w:hAnsi="Verdana" w:cstheme="minorHAnsi"/>
          <w:sz w:val="20"/>
          <w:szCs w:val="16"/>
        </w:rPr>
      </w:pPr>
    </w:p>
    <w:p w14:paraId="098471A3" w14:textId="77777777" w:rsidR="00823379" w:rsidRPr="00DB5977" w:rsidRDefault="00823379" w:rsidP="00823379">
      <w:pPr>
        <w:tabs>
          <w:tab w:val="left" w:pos="360"/>
        </w:tabs>
        <w:spacing w:after="0" w:line="240" w:lineRule="auto"/>
        <w:ind w:left="1080" w:hanging="360"/>
        <w:rPr>
          <w:rFonts w:ascii="Verdana" w:eastAsia="Times New Roman" w:hAnsi="Verdana" w:cstheme="minorHAnsi"/>
          <w:sz w:val="20"/>
          <w:szCs w:val="16"/>
        </w:rPr>
      </w:pPr>
      <w:r w:rsidRPr="00DB5977">
        <w:rPr>
          <w:rFonts w:ascii="Verdana" w:eastAsia="Times New Roman" w:hAnsi="Verdana" w:cstheme="minorHAnsi"/>
          <w:sz w:val="20"/>
          <w:szCs w:val="16"/>
        </w:rPr>
        <w:tab/>
      </w:r>
      <w:r w:rsidRPr="00DB5977">
        <w:rPr>
          <w:rFonts w:ascii="Verdana" w:eastAsia="Times New Roman" w:hAnsi="Verdana" w:cstheme="minorHAnsi"/>
          <w:sz w:val="20"/>
          <w:szCs w:val="16"/>
        </w:rPr>
        <w:tab/>
      </w:r>
      <m:oMath>
        <m:r>
          <w:rPr>
            <w:rFonts w:ascii="Cambria Math" w:eastAsia="Times New Roman" w:hAnsi="Cambria Math" w:cstheme="minorHAnsi"/>
            <w:sz w:val="20"/>
            <w:szCs w:val="16"/>
          </w:rPr>
          <m:t>K=</m:t>
        </m:r>
        <m:f>
          <m:fPr>
            <m:ctrlPr>
              <w:rPr>
                <w:rFonts w:ascii="Cambria Math" w:eastAsia="Times New Roman" w:hAnsi="Cambria Math" w:cstheme="minorHAnsi"/>
                <w:i/>
                <w:sz w:val="20"/>
                <w:szCs w:val="16"/>
              </w:rPr>
            </m:ctrlPr>
          </m:fPr>
          <m:num>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D</m:t>
                </m:r>
              </m:e>
              <m:sub>
                <m:r>
                  <w:rPr>
                    <w:rFonts w:ascii="Cambria Math" w:eastAsia="Times New Roman" w:hAnsi="Cambria Math" w:cstheme="minorHAnsi"/>
                    <w:sz w:val="20"/>
                    <w:szCs w:val="16"/>
                  </w:rPr>
                  <m:t>1</m:t>
                </m:r>
              </m:sub>
            </m:sSub>
          </m:num>
          <m:den>
            <m:r>
              <w:rPr>
                <w:rFonts w:ascii="Cambria Math" w:eastAsia="Times New Roman" w:hAnsi="Cambria Math" w:cstheme="minorHAnsi"/>
                <w:sz w:val="20"/>
                <w:szCs w:val="16"/>
              </w:rPr>
              <m:t>P</m:t>
            </m:r>
          </m:den>
        </m:f>
        <m:r>
          <w:rPr>
            <w:rFonts w:ascii="Cambria Math" w:eastAsia="Times New Roman" w:hAnsi="Cambria Math" w:cstheme="minorHAnsi"/>
            <w:sz w:val="20"/>
            <w:szCs w:val="16"/>
          </w:rPr>
          <m:t>+g</m:t>
        </m:r>
      </m:oMath>
    </w:p>
    <w:p w14:paraId="39082FB7" w14:textId="77777777" w:rsidR="00823379" w:rsidRPr="00DB5977" w:rsidRDefault="00823379" w:rsidP="00643513">
      <w:pPr>
        <w:pStyle w:val="DirectNext"/>
        <w:ind w:firstLine="0"/>
        <w:rPr>
          <w:rFonts w:ascii="Verdana" w:hAnsi="Verdana"/>
          <w:sz w:val="20"/>
          <w:szCs w:val="20"/>
        </w:rPr>
      </w:pPr>
      <w:proofErr w:type="gramStart"/>
      <w:r w:rsidRPr="00DB5977">
        <w:rPr>
          <w:rFonts w:ascii="Verdana" w:hAnsi="Verdana"/>
          <w:sz w:val="20"/>
          <w:szCs w:val="20"/>
        </w:rPr>
        <w:t>can</w:t>
      </w:r>
      <w:proofErr w:type="gramEnd"/>
      <w:r w:rsidRPr="00DB5977">
        <w:rPr>
          <w:rFonts w:ascii="Verdana" w:hAnsi="Verdana"/>
          <w:sz w:val="20"/>
          <w:szCs w:val="20"/>
        </w:rPr>
        <w:t xml:space="preserve"> be rewritten to assume that external sources of financing influence investor expectations of dividend growth and is represented as the following: </w:t>
      </w:r>
    </w:p>
    <w:p w14:paraId="0A1B4D7C" w14:textId="77777777" w:rsidR="00823379" w:rsidRPr="00DB5977" w:rsidRDefault="00823379" w:rsidP="004B2CD5">
      <w:pPr>
        <w:pStyle w:val="DirectNext"/>
        <w:rPr>
          <w:rFonts w:ascii="Verdana" w:hAnsi="Verdana"/>
          <w:sz w:val="20"/>
          <w:szCs w:val="20"/>
        </w:rPr>
      </w:pPr>
    </w:p>
    <w:p w14:paraId="547844E5" w14:textId="77777777" w:rsidR="00823379" w:rsidRPr="00DB5977" w:rsidRDefault="00823379" w:rsidP="00823379">
      <w:pPr>
        <w:tabs>
          <w:tab w:val="left" w:pos="360"/>
        </w:tabs>
        <w:spacing w:after="240" w:line="240" w:lineRule="auto"/>
        <w:ind w:left="1080" w:hanging="360"/>
        <w:rPr>
          <w:rFonts w:ascii="Verdana" w:eastAsia="Times New Roman" w:hAnsi="Verdana" w:cstheme="minorHAnsi"/>
          <w:sz w:val="20"/>
          <w:szCs w:val="16"/>
        </w:rPr>
      </w:pPr>
      <w:r w:rsidRPr="00DB5977">
        <w:rPr>
          <w:rFonts w:ascii="Verdana" w:eastAsia="Times New Roman" w:hAnsi="Verdana" w:cstheme="minorHAnsi"/>
          <w:sz w:val="20"/>
          <w:szCs w:val="16"/>
        </w:rPr>
        <w:tab/>
        <w:t xml:space="preserve"> </w:t>
      </w:r>
      <w:r w:rsidRPr="00DB5977">
        <w:rPr>
          <w:rFonts w:ascii="Verdana" w:eastAsia="Times New Roman" w:hAnsi="Verdana" w:cstheme="minorHAnsi"/>
          <w:sz w:val="20"/>
          <w:szCs w:val="16"/>
        </w:rPr>
        <w:tab/>
      </w:r>
      <m:oMath>
        <m:r>
          <w:rPr>
            <w:rFonts w:ascii="Cambria Math" w:eastAsia="Times New Roman" w:hAnsi="Cambria Math" w:cstheme="minorHAnsi"/>
            <w:sz w:val="20"/>
            <w:szCs w:val="16"/>
          </w:rPr>
          <m:t>K=</m:t>
        </m:r>
        <m:f>
          <m:fPr>
            <m:ctrlPr>
              <w:rPr>
                <w:rFonts w:ascii="Cambria Math" w:eastAsia="Times New Roman" w:hAnsi="Cambria Math" w:cstheme="minorHAnsi"/>
                <w:i/>
                <w:sz w:val="20"/>
                <w:szCs w:val="16"/>
              </w:rPr>
            </m:ctrlPr>
          </m:fPr>
          <m:num>
            <m:sSub>
              <m:sSubPr>
                <m:ctrlPr>
                  <w:rPr>
                    <w:rFonts w:ascii="Cambria Math" w:eastAsia="Times New Roman" w:hAnsi="Cambria Math" w:cstheme="minorHAnsi"/>
                    <w:i/>
                    <w:sz w:val="20"/>
                    <w:szCs w:val="16"/>
                  </w:rPr>
                </m:ctrlPr>
              </m:sSubPr>
              <m:e>
                <m:r>
                  <w:rPr>
                    <w:rFonts w:ascii="Cambria Math" w:eastAsia="Times New Roman" w:hAnsi="Cambria Math" w:cstheme="minorHAnsi"/>
                    <w:sz w:val="20"/>
                    <w:szCs w:val="16"/>
                  </w:rPr>
                  <m:t>D</m:t>
                </m:r>
              </m:e>
              <m:sub>
                <m:r>
                  <w:rPr>
                    <w:rFonts w:ascii="Cambria Math" w:eastAsia="Times New Roman" w:hAnsi="Cambria Math" w:cstheme="minorHAnsi"/>
                    <w:sz w:val="20"/>
                    <w:szCs w:val="16"/>
                  </w:rPr>
                  <m:t>1</m:t>
                </m:r>
              </m:sub>
            </m:sSub>
          </m:num>
          <m:den>
            <m:r>
              <w:rPr>
                <w:rFonts w:ascii="Cambria Math" w:eastAsia="Times New Roman" w:hAnsi="Cambria Math" w:cstheme="minorHAnsi"/>
                <w:sz w:val="20"/>
                <w:szCs w:val="16"/>
              </w:rPr>
              <m:t>P</m:t>
            </m:r>
          </m:den>
        </m:f>
        <m:r>
          <w:rPr>
            <w:rFonts w:ascii="Cambria Math" w:eastAsia="Times New Roman" w:hAnsi="Cambria Math" w:cstheme="minorHAnsi"/>
            <w:sz w:val="20"/>
            <w:szCs w:val="16"/>
          </w:rPr>
          <m:t>+br+sv</m:t>
        </m:r>
      </m:oMath>
    </w:p>
    <w:p w14:paraId="24F7DD89"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Therefore:</w:t>
      </w:r>
    </w:p>
    <w:p w14:paraId="53FA8A2A" w14:textId="77777777" w:rsidR="00823379" w:rsidRPr="00DB5977" w:rsidRDefault="00823379" w:rsidP="00823379">
      <w:pPr>
        <w:tabs>
          <w:tab w:val="left" w:pos="360"/>
        </w:tabs>
        <w:spacing w:after="240" w:line="240" w:lineRule="auto"/>
        <w:ind w:left="1080" w:hanging="360"/>
        <w:rPr>
          <w:rFonts w:ascii="Verdana" w:eastAsia="Times New Roman" w:hAnsi="Verdana" w:cstheme="minorHAnsi"/>
          <w:sz w:val="20"/>
          <w:szCs w:val="16"/>
        </w:rPr>
      </w:pPr>
      <w:r w:rsidRPr="00DB5977">
        <w:rPr>
          <w:rFonts w:ascii="Verdana" w:eastAsia="Times New Roman" w:hAnsi="Verdana" w:cstheme="minorHAnsi"/>
          <w:sz w:val="20"/>
          <w:szCs w:val="16"/>
        </w:rPr>
        <w:tab/>
        <w:t xml:space="preserve"> </w:t>
      </w:r>
      <w:r w:rsidRPr="00DB5977">
        <w:rPr>
          <w:rFonts w:ascii="Verdana" w:eastAsia="Times New Roman" w:hAnsi="Verdana" w:cstheme="minorHAnsi"/>
          <w:sz w:val="20"/>
          <w:szCs w:val="16"/>
        </w:rPr>
        <w:tab/>
      </w:r>
      <m:oMath>
        <m:r>
          <w:rPr>
            <w:rFonts w:ascii="Cambria Math" w:eastAsia="Times New Roman" w:hAnsi="Cambria Math" w:cstheme="minorHAnsi"/>
            <w:sz w:val="20"/>
            <w:szCs w:val="16"/>
          </w:rPr>
          <m:t>G=br+sv</m:t>
        </m:r>
      </m:oMath>
      <w:r w:rsidRPr="00DB5977">
        <w:rPr>
          <w:rFonts w:ascii="Verdana" w:eastAsia="Times New Roman" w:hAnsi="Verdana" w:cstheme="minorHAnsi"/>
          <w:sz w:val="20"/>
          <w:szCs w:val="16"/>
        </w:rPr>
        <w:t>,</w:t>
      </w:r>
    </w:p>
    <w:p w14:paraId="4D934C57"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Where: </w:t>
      </w:r>
    </w:p>
    <w:p w14:paraId="26E492B4" w14:textId="77777777" w:rsidR="00823379" w:rsidRPr="00DB5977" w:rsidRDefault="00823379" w:rsidP="00823379">
      <w:pPr>
        <w:spacing w:after="120" w:line="240" w:lineRule="auto"/>
        <w:ind w:left="1440"/>
        <w:rPr>
          <w:rFonts w:ascii="Verdana" w:eastAsia="Times New Roman" w:hAnsi="Verdana" w:cstheme="minorHAnsi"/>
          <w:sz w:val="20"/>
          <w:szCs w:val="16"/>
        </w:rPr>
      </w:pPr>
      <w:r w:rsidRPr="00DB5977">
        <w:rPr>
          <w:rFonts w:ascii="Verdana" w:eastAsia="Times New Roman" w:hAnsi="Verdana" w:cstheme="minorHAnsi"/>
          <w:i/>
          <w:sz w:val="20"/>
          <w:szCs w:val="16"/>
        </w:rPr>
        <w:t>G</w:t>
      </w:r>
      <w:r w:rsidRPr="00DB5977">
        <w:rPr>
          <w:rFonts w:ascii="Verdana" w:eastAsia="Times New Roman" w:hAnsi="Verdana" w:cstheme="minorHAnsi"/>
          <w:sz w:val="20"/>
          <w:szCs w:val="16"/>
        </w:rPr>
        <w:t xml:space="preserve"> is the retention growth rate;</w:t>
      </w:r>
    </w:p>
    <w:p w14:paraId="29DCC8DA" w14:textId="77777777" w:rsidR="00823379" w:rsidRPr="00DB5977" w:rsidRDefault="00823379" w:rsidP="00823379">
      <w:pPr>
        <w:spacing w:after="120" w:line="240" w:lineRule="auto"/>
        <w:ind w:left="1440"/>
        <w:rPr>
          <w:rFonts w:ascii="Verdana" w:eastAsia="Times New Roman" w:hAnsi="Verdana" w:cstheme="minorHAnsi"/>
          <w:sz w:val="20"/>
          <w:szCs w:val="16"/>
        </w:rPr>
      </w:pPr>
      <w:proofErr w:type="gramStart"/>
      <w:r w:rsidRPr="00DB5977">
        <w:rPr>
          <w:rFonts w:ascii="Verdana" w:eastAsia="Times New Roman" w:hAnsi="Verdana" w:cstheme="minorHAnsi"/>
          <w:i/>
          <w:sz w:val="20"/>
          <w:szCs w:val="16"/>
        </w:rPr>
        <w:t>r</w:t>
      </w:r>
      <w:proofErr w:type="gramEnd"/>
      <w:r w:rsidRPr="00DB5977">
        <w:rPr>
          <w:rFonts w:ascii="Verdana" w:eastAsia="Times New Roman" w:hAnsi="Verdana" w:cstheme="minorHAnsi"/>
          <w:sz w:val="20"/>
          <w:szCs w:val="16"/>
        </w:rPr>
        <w:t xml:space="preserve"> is the earned rate of return;</w:t>
      </w:r>
    </w:p>
    <w:p w14:paraId="16121549" w14:textId="77777777" w:rsidR="00823379" w:rsidRPr="00DB5977" w:rsidRDefault="00823379" w:rsidP="00823379">
      <w:pPr>
        <w:spacing w:after="120" w:line="240" w:lineRule="auto"/>
        <w:ind w:left="1440"/>
        <w:rPr>
          <w:rFonts w:ascii="Verdana" w:eastAsia="Times New Roman" w:hAnsi="Verdana" w:cstheme="minorHAnsi"/>
          <w:sz w:val="20"/>
          <w:szCs w:val="16"/>
        </w:rPr>
      </w:pPr>
      <w:proofErr w:type="gramStart"/>
      <w:r w:rsidRPr="00DB5977">
        <w:rPr>
          <w:rFonts w:ascii="Verdana" w:eastAsia="Times New Roman" w:hAnsi="Verdana" w:cstheme="minorHAnsi"/>
          <w:i/>
          <w:sz w:val="20"/>
          <w:szCs w:val="16"/>
        </w:rPr>
        <w:t>b</w:t>
      </w:r>
      <w:proofErr w:type="gramEnd"/>
      <w:r w:rsidRPr="00DB5977">
        <w:rPr>
          <w:rFonts w:ascii="Verdana" w:eastAsia="Times New Roman" w:hAnsi="Verdana" w:cstheme="minorHAnsi"/>
          <w:i/>
          <w:sz w:val="20"/>
          <w:szCs w:val="16"/>
        </w:rPr>
        <w:t xml:space="preserve"> </w:t>
      </w:r>
      <w:r w:rsidRPr="00DB5977">
        <w:rPr>
          <w:rFonts w:ascii="Verdana" w:eastAsia="Times New Roman" w:hAnsi="Verdana" w:cstheme="minorHAnsi"/>
          <w:sz w:val="20"/>
          <w:szCs w:val="16"/>
        </w:rPr>
        <w:t xml:space="preserve">is the portion of retained earnings or 1 minus payout ratio; </w:t>
      </w:r>
    </w:p>
    <w:p w14:paraId="4EC74CF0" w14:textId="77777777" w:rsidR="00823379" w:rsidRPr="00DB5977" w:rsidRDefault="00823379" w:rsidP="00823379">
      <w:pPr>
        <w:spacing w:after="120" w:line="240" w:lineRule="auto"/>
        <w:ind w:left="1440"/>
        <w:rPr>
          <w:rFonts w:ascii="Verdana" w:eastAsia="Times New Roman" w:hAnsi="Verdana" w:cstheme="minorHAnsi"/>
          <w:sz w:val="20"/>
          <w:szCs w:val="16"/>
        </w:rPr>
      </w:pPr>
      <w:proofErr w:type="gramStart"/>
      <w:r w:rsidRPr="00DB5977">
        <w:rPr>
          <w:rFonts w:ascii="Verdana" w:eastAsia="Times New Roman" w:hAnsi="Verdana" w:cstheme="minorHAnsi"/>
          <w:i/>
          <w:sz w:val="20"/>
          <w:szCs w:val="16"/>
        </w:rPr>
        <w:t>s</w:t>
      </w:r>
      <w:proofErr w:type="gramEnd"/>
      <w:r w:rsidRPr="00DB5977">
        <w:rPr>
          <w:rFonts w:ascii="Verdana" w:eastAsia="Times New Roman" w:hAnsi="Verdana" w:cstheme="minorHAnsi"/>
          <w:sz w:val="20"/>
          <w:szCs w:val="16"/>
        </w:rPr>
        <w:t xml:space="preserve"> represents the funds raised from the sale of stock as a fraction of existing common equity; and </w:t>
      </w:r>
    </w:p>
    <w:p w14:paraId="4EDF6E99" w14:textId="77777777" w:rsidR="00823379" w:rsidRPr="00DB5977" w:rsidRDefault="00823379" w:rsidP="00823379">
      <w:pPr>
        <w:spacing w:after="120" w:line="240" w:lineRule="auto"/>
        <w:ind w:left="1440"/>
        <w:rPr>
          <w:rFonts w:ascii="Verdana" w:eastAsia="Times New Roman" w:hAnsi="Verdana" w:cstheme="minorHAnsi"/>
          <w:sz w:val="20"/>
          <w:szCs w:val="16"/>
        </w:rPr>
      </w:pPr>
      <w:proofErr w:type="gramStart"/>
      <w:r w:rsidRPr="00DB5977">
        <w:rPr>
          <w:rFonts w:ascii="Verdana" w:eastAsia="Times New Roman" w:hAnsi="Verdana" w:cstheme="minorHAnsi"/>
          <w:i/>
          <w:sz w:val="20"/>
          <w:szCs w:val="16"/>
        </w:rPr>
        <w:t>v</w:t>
      </w:r>
      <w:proofErr w:type="gramEnd"/>
      <w:r w:rsidRPr="00DB5977">
        <w:rPr>
          <w:rFonts w:ascii="Verdana" w:eastAsia="Times New Roman" w:hAnsi="Verdana" w:cstheme="minorHAnsi"/>
          <w:sz w:val="20"/>
          <w:szCs w:val="16"/>
        </w:rPr>
        <w:t xml:space="preserve"> is the fraction of funds raised from the sale of stock that accrues to current shareholders.</w:t>
      </w:r>
      <w:r w:rsidRPr="00DB5977">
        <w:rPr>
          <w:rStyle w:val="FootnoteReference"/>
          <w:rFonts w:ascii="Verdana" w:eastAsia="Times New Roman" w:hAnsi="Verdana" w:cstheme="minorHAnsi"/>
          <w:sz w:val="20"/>
          <w:szCs w:val="16"/>
        </w:rPr>
        <w:footnoteReference w:id="27"/>
      </w:r>
      <w:r w:rsidR="0025065A">
        <w:rPr>
          <w:rFonts w:ascii="Verdana" w:eastAsia="Times New Roman" w:hAnsi="Verdana" w:cstheme="minorHAnsi"/>
          <w:sz w:val="20"/>
          <w:szCs w:val="16"/>
        </w:rPr>
        <w:t xml:space="preserve"> </w:t>
      </w:r>
    </w:p>
    <w:p w14:paraId="6CA2D47F" w14:textId="74873391" w:rsidR="00823379" w:rsidRPr="00DB5977" w:rsidRDefault="00823379" w:rsidP="004B2CD5">
      <w:pPr>
        <w:pStyle w:val="DirectNext"/>
        <w:rPr>
          <w:rFonts w:ascii="Verdana" w:hAnsi="Verdana"/>
          <w:sz w:val="20"/>
          <w:szCs w:val="20"/>
        </w:rPr>
      </w:pPr>
      <w:r w:rsidRPr="00DB5977">
        <w:rPr>
          <w:rFonts w:ascii="Verdana" w:hAnsi="Verdana"/>
          <w:sz w:val="20"/>
          <w:szCs w:val="20"/>
        </w:rPr>
        <w:t xml:space="preserve">I use </w:t>
      </w:r>
      <w:r w:rsidR="003A0E5C" w:rsidRPr="003A0E5C">
        <w:rPr>
          <w:rFonts w:ascii="Verdana" w:hAnsi="Verdana"/>
          <w:i/>
          <w:sz w:val="20"/>
          <w:szCs w:val="20"/>
        </w:rPr>
        <w:t>Value Line</w:t>
      </w:r>
      <w:r w:rsidRPr="00DB5977">
        <w:rPr>
          <w:rFonts w:ascii="Verdana" w:hAnsi="Verdana"/>
          <w:sz w:val="20"/>
          <w:szCs w:val="20"/>
        </w:rPr>
        <w:t xml:space="preserve"> expectations regarding retention ratios and ROEs for five years into the future to derive estimates for </w:t>
      </w:r>
      <w:r w:rsidRPr="00DB5977">
        <w:rPr>
          <w:rFonts w:ascii="Verdana" w:hAnsi="Verdana"/>
          <w:i/>
          <w:sz w:val="20"/>
          <w:szCs w:val="20"/>
        </w:rPr>
        <w:t>b</w:t>
      </w:r>
      <w:r w:rsidRPr="00DB5977">
        <w:rPr>
          <w:rFonts w:ascii="Verdana" w:hAnsi="Verdana"/>
          <w:sz w:val="20"/>
          <w:szCs w:val="20"/>
        </w:rPr>
        <w:t xml:space="preserve"> and </w:t>
      </w:r>
      <w:r w:rsidRPr="00DB5977">
        <w:rPr>
          <w:rFonts w:ascii="Verdana" w:hAnsi="Verdana"/>
          <w:i/>
          <w:sz w:val="20"/>
          <w:szCs w:val="20"/>
        </w:rPr>
        <w:t>r</w:t>
      </w:r>
      <w:r w:rsidRPr="00DB5977">
        <w:rPr>
          <w:rFonts w:ascii="Verdana" w:hAnsi="Verdana"/>
          <w:sz w:val="20"/>
          <w:szCs w:val="20"/>
        </w:rPr>
        <w:t xml:space="preserve">, which in turn </w:t>
      </w:r>
      <w:r w:rsidRPr="00DB5977">
        <w:rPr>
          <w:rFonts w:ascii="Verdana" w:hAnsi="Verdana"/>
          <w:sz w:val="20"/>
          <w:szCs w:val="20"/>
        </w:rPr>
        <w:lastRenderedPageBreak/>
        <w:t xml:space="preserve">are used to calculate the expected internal growth component, </w:t>
      </w:r>
      <w:r w:rsidRPr="00DB5977">
        <w:rPr>
          <w:rFonts w:ascii="Verdana" w:hAnsi="Verdana"/>
          <w:i/>
          <w:sz w:val="20"/>
          <w:szCs w:val="20"/>
        </w:rPr>
        <w:t>br</w:t>
      </w:r>
      <w:r w:rsidRPr="00DB5977">
        <w:rPr>
          <w:rFonts w:ascii="Verdana" w:hAnsi="Verdana"/>
          <w:sz w:val="20"/>
          <w:szCs w:val="20"/>
        </w:rPr>
        <w:t>.</w:t>
      </w:r>
      <w:r w:rsidR="0025065A">
        <w:rPr>
          <w:rFonts w:ascii="Verdana" w:hAnsi="Verdana"/>
          <w:sz w:val="20"/>
          <w:szCs w:val="20"/>
        </w:rPr>
        <w:t xml:space="preserve"> </w:t>
      </w:r>
      <w:r w:rsidRPr="00DB5977">
        <w:rPr>
          <w:rFonts w:ascii="Verdana" w:hAnsi="Verdana"/>
          <w:sz w:val="20"/>
          <w:szCs w:val="20"/>
        </w:rPr>
        <w:t xml:space="preserve">To incorporate external financing growth, </w:t>
      </w:r>
      <w:proofErr w:type="spellStart"/>
      <w:r w:rsidRPr="00DB5977">
        <w:rPr>
          <w:rFonts w:ascii="Verdana" w:hAnsi="Verdana"/>
          <w:i/>
          <w:sz w:val="20"/>
          <w:szCs w:val="20"/>
        </w:rPr>
        <w:t>sv</w:t>
      </w:r>
      <w:proofErr w:type="spellEnd"/>
      <w:r w:rsidRPr="00DB5977">
        <w:rPr>
          <w:rFonts w:ascii="Verdana" w:hAnsi="Verdana"/>
          <w:sz w:val="20"/>
          <w:szCs w:val="20"/>
        </w:rPr>
        <w:t xml:space="preserve">, I use </w:t>
      </w:r>
      <w:r w:rsidR="003A0E5C" w:rsidRPr="003A0E5C">
        <w:rPr>
          <w:rFonts w:ascii="Verdana" w:hAnsi="Verdana"/>
          <w:i/>
          <w:sz w:val="20"/>
          <w:szCs w:val="20"/>
        </w:rPr>
        <w:t>Value Line</w:t>
      </w:r>
      <w:r w:rsidRPr="00DB5977">
        <w:rPr>
          <w:rFonts w:ascii="Verdana" w:hAnsi="Verdana"/>
          <w:sz w:val="20"/>
          <w:szCs w:val="20"/>
        </w:rPr>
        <w:t xml:space="preserve"> data to derive the market-to-book ratio (which is an actual, observed figure) and expected growth in the number of outstanding shares.</w:t>
      </w:r>
      <w:r w:rsidR="0025065A">
        <w:rPr>
          <w:rFonts w:ascii="Verdana" w:hAnsi="Verdana"/>
          <w:sz w:val="20"/>
          <w:szCs w:val="20"/>
        </w:rPr>
        <w:t xml:space="preserve"> </w:t>
      </w:r>
      <w:r w:rsidRPr="00DB5977">
        <w:rPr>
          <w:rFonts w:ascii="Verdana" w:hAnsi="Verdana"/>
          <w:sz w:val="20"/>
          <w:szCs w:val="20"/>
        </w:rPr>
        <w:t xml:space="preserve">The average sustainable growth rate for my proxy group is </w:t>
      </w:r>
      <w:r w:rsidR="00294DC3" w:rsidRPr="00DB5977">
        <w:rPr>
          <w:rFonts w:ascii="Verdana" w:hAnsi="Verdana"/>
          <w:sz w:val="20"/>
          <w:szCs w:val="20"/>
        </w:rPr>
        <w:t>5.</w:t>
      </w:r>
      <w:r w:rsidR="00494489" w:rsidRPr="00DB5977">
        <w:rPr>
          <w:rFonts w:ascii="Verdana" w:hAnsi="Verdana"/>
          <w:sz w:val="20"/>
          <w:szCs w:val="20"/>
        </w:rPr>
        <w:t>42</w:t>
      </w:r>
      <w:r w:rsidRPr="00DB5977">
        <w:rPr>
          <w:rFonts w:ascii="Verdana" w:hAnsi="Verdana"/>
          <w:sz w:val="20"/>
          <w:szCs w:val="20"/>
        </w:rPr>
        <w:t xml:space="preserve"> percent (</w:t>
      </w:r>
      <w:r w:rsidR="00070843" w:rsidRPr="00DB5977">
        <w:rPr>
          <w:rFonts w:ascii="Verdana" w:hAnsi="Verdana"/>
          <w:sz w:val="20"/>
          <w:szCs w:val="20"/>
        </w:rPr>
        <w:t>9</w:t>
      </w:r>
      <w:r w:rsidRPr="00DB5977">
        <w:rPr>
          <w:rFonts w:ascii="Verdana" w:hAnsi="Verdana"/>
          <w:sz w:val="20"/>
          <w:szCs w:val="20"/>
        </w:rPr>
        <w:t>0</w:t>
      </w:r>
      <w:r w:rsidR="004B2CD5" w:rsidRPr="00DB5977">
        <w:rPr>
          <w:rFonts w:ascii="Verdana" w:hAnsi="Verdana"/>
          <w:sz w:val="20"/>
          <w:szCs w:val="20"/>
        </w:rPr>
        <w:noBreakHyphen/>
      </w:r>
      <w:r w:rsidRPr="00DB5977">
        <w:rPr>
          <w:rFonts w:ascii="Verdana" w:hAnsi="Verdana"/>
          <w:sz w:val="20"/>
          <w:szCs w:val="20"/>
        </w:rPr>
        <w:t xml:space="preserve">day stock prices) and </w:t>
      </w:r>
      <w:r w:rsidR="00D11A7D" w:rsidRPr="00DB5977">
        <w:rPr>
          <w:rFonts w:ascii="Verdana" w:hAnsi="Verdana"/>
          <w:sz w:val="20"/>
          <w:szCs w:val="20"/>
        </w:rPr>
        <w:t>5.3</w:t>
      </w:r>
      <w:r w:rsidR="00D4086E" w:rsidRPr="00DB5977">
        <w:rPr>
          <w:rFonts w:ascii="Verdana" w:hAnsi="Verdana"/>
          <w:sz w:val="20"/>
          <w:szCs w:val="20"/>
        </w:rPr>
        <w:t>6</w:t>
      </w:r>
      <w:r w:rsidRPr="00DB5977">
        <w:rPr>
          <w:rFonts w:ascii="Verdana" w:hAnsi="Verdana"/>
          <w:sz w:val="20"/>
          <w:szCs w:val="20"/>
        </w:rPr>
        <w:t xml:space="preserve"> percent (</w:t>
      </w:r>
      <w:r w:rsidR="00070843" w:rsidRPr="00DB5977">
        <w:rPr>
          <w:rFonts w:ascii="Verdana" w:hAnsi="Verdana"/>
          <w:sz w:val="20"/>
          <w:szCs w:val="20"/>
        </w:rPr>
        <w:t>180-day</w:t>
      </w:r>
      <w:r w:rsidRPr="00DB5977">
        <w:rPr>
          <w:rFonts w:ascii="Verdana" w:hAnsi="Verdana"/>
          <w:sz w:val="20"/>
          <w:szCs w:val="20"/>
        </w:rPr>
        <w:t xml:space="preserve"> stock prices).</w:t>
      </w:r>
      <w:r w:rsidR="0025065A">
        <w:rPr>
          <w:rFonts w:ascii="Verdana" w:hAnsi="Verdana"/>
          <w:sz w:val="20"/>
          <w:szCs w:val="20"/>
        </w:rPr>
        <w:t xml:space="preserve"> </w:t>
      </w:r>
      <w:r w:rsidRPr="00DB5977">
        <w:rPr>
          <w:rFonts w:ascii="Verdana" w:hAnsi="Verdana"/>
          <w:sz w:val="20"/>
          <w:szCs w:val="20"/>
        </w:rPr>
        <w:t>(</w:t>
      </w:r>
      <w:r w:rsidRPr="00DB5977">
        <w:rPr>
          <w:rFonts w:ascii="Verdana" w:hAnsi="Verdana"/>
          <w:i/>
          <w:sz w:val="20"/>
          <w:szCs w:val="20"/>
          <w:u w:val="single"/>
        </w:rPr>
        <w:t>See</w:t>
      </w:r>
      <w:r w:rsidRPr="00DB5977">
        <w:rPr>
          <w:rFonts w:ascii="Verdana" w:hAnsi="Verdana"/>
          <w:i/>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Pr="00DB5977">
        <w:rPr>
          <w:rFonts w:ascii="Verdana" w:hAnsi="Verdana"/>
          <w:sz w:val="20"/>
          <w:szCs w:val="20"/>
        </w:rPr>
        <w:t>LR-6c and MLR-6f.)</w:t>
      </w:r>
    </w:p>
    <w:p w14:paraId="3DBF0213" w14:textId="77777777" w:rsidR="00A85553" w:rsidRPr="00DB5977" w:rsidRDefault="008B1DE2" w:rsidP="00486739">
      <w:pPr>
        <w:pStyle w:val="DirectQuestion"/>
      </w:pPr>
      <w:r w:rsidRPr="00DB5977">
        <w:t>D</w:t>
      </w:r>
      <w:r w:rsidR="000B187A" w:rsidRPr="00DB5977">
        <w:t>o</w:t>
      </w:r>
      <w:r w:rsidRPr="00DB5977">
        <w:t xml:space="preserve"> you Apply a reasonableness screen to your individual ROE results using the DCF Method?</w:t>
      </w:r>
    </w:p>
    <w:p w14:paraId="63BF6925" w14:textId="1FB08E75" w:rsidR="00CC4115" w:rsidRPr="00DB5977" w:rsidRDefault="00BB6CD8" w:rsidP="00486739">
      <w:pPr>
        <w:pStyle w:val="DirectAnswer"/>
        <w:jc w:val="both"/>
        <w:rPr>
          <w:rFonts w:ascii="Verdana" w:hAnsi="Verdana"/>
          <w:sz w:val="20"/>
          <w:szCs w:val="20"/>
        </w:rPr>
      </w:pPr>
      <w:r w:rsidRPr="00DB5977">
        <w:rPr>
          <w:rFonts w:ascii="Verdana" w:hAnsi="Verdana"/>
          <w:sz w:val="20"/>
          <w:szCs w:val="20"/>
        </w:rPr>
        <w:t xml:space="preserve">Yes. After adding the </w:t>
      </w:r>
      <w:r w:rsidR="00EA1B86" w:rsidRPr="00DB5977">
        <w:rPr>
          <w:rFonts w:ascii="Verdana" w:hAnsi="Verdana"/>
          <w:sz w:val="20"/>
          <w:szCs w:val="20"/>
        </w:rPr>
        <w:t xml:space="preserve">growth-rate estimate and the dividend-yield estimates for each company in my proxy group </w:t>
      </w:r>
      <w:r w:rsidR="001F1277" w:rsidRPr="00DB5977">
        <w:rPr>
          <w:rFonts w:ascii="Verdana" w:hAnsi="Verdana"/>
          <w:sz w:val="20"/>
          <w:szCs w:val="20"/>
        </w:rPr>
        <w:t>to obtain the individual ROE</w:t>
      </w:r>
      <w:r w:rsidR="00A86C78" w:rsidRPr="00DB5977">
        <w:rPr>
          <w:rFonts w:ascii="Verdana" w:hAnsi="Verdana"/>
          <w:sz w:val="20"/>
          <w:szCs w:val="20"/>
        </w:rPr>
        <w:t xml:space="preserve"> estimates, I examined my results for reasonableness</w:t>
      </w:r>
      <w:r w:rsidR="00F272EB" w:rsidRPr="00DB5977">
        <w:rPr>
          <w:rFonts w:ascii="Verdana" w:hAnsi="Verdana"/>
          <w:sz w:val="20"/>
          <w:szCs w:val="20"/>
        </w:rPr>
        <w:t xml:space="preserve">. </w:t>
      </w:r>
      <w:r w:rsidR="00A474D1" w:rsidRPr="00DB5977">
        <w:rPr>
          <w:rFonts w:ascii="Verdana" w:hAnsi="Verdana"/>
          <w:sz w:val="20"/>
          <w:szCs w:val="20"/>
        </w:rPr>
        <w:t>Since investors dem</w:t>
      </w:r>
      <w:r w:rsidR="00E87556" w:rsidRPr="00DB5977">
        <w:rPr>
          <w:rFonts w:ascii="Verdana" w:hAnsi="Verdana"/>
          <w:sz w:val="20"/>
          <w:szCs w:val="20"/>
        </w:rPr>
        <w:t>a</w:t>
      </w:r>
      <w:r w:rsidR="00A474D1" w:rsidRPr="00DB5977">
        <w:rPr>
          <w:rFonts w:ascii="Verdana" w:hAnsi="Verdana"/>
          <w:sz w:val="20"/>
          <w:szCs w:val="20"/>
        </w:rPr>
        <w:t>nd a higher return from common equity than from debt to compensate for the greater risk of common equity</w:t>
      </w:r>
      <w:r w:rsidR="00E87556" w:rsidRPr="00DB5977">
        <w:rPr>
          <w:rFonts w:ascii="Verdana" w:hAnsi="Verdana"/>
          <w:sz w:val="20"/>
          <w:szCs w:val="20"/>
        </w:rPr>
        <w:t xml:space="preserve">, I apply a screen </w:t>
      </w:r>
      <w:r w:rsidR="000C41ED" w:rsidRPr="00DB5977">
        <w:rPr>
          <w:rFonts w:ascii="Verdana" w:hAnsi="Verdana"/>
          <w:sz w:val="20"/>
          <w:szCs w:val="20"/>
        </w:rPr>
        <w:t xml:space="preserve">that is equal to </w:t>
      </w:r>
      <w:r w:rsidR="00C64DB0" w:rsidRPr="00DB5977">
        <w:rPr>
          <w:rFonts w:ascii="Verdana" w:hAnsi="Verdana"/>
          <w:sz w:val="20"/>
          <w:szCs w:val="20"/>
        </w:rPr>
        <w:t>the</w:t>
      </w:r>
      <w:r w:rsidR="00794BDE" w:rsidRPr="00DB5977">
        <w:rPr>
          <w:rFonts w:ascii="Verdana" w:hAnsi="Verdana"/>
          <w:sz w:val="20"/>
          <w:szCs w:val="20"/>
        </w:rPr>
        <w:t xml:space="preserve"> minimum of all my average results as a screen of reasonableness, which is the average of my CAPM (Historical Long-term ERP) result of 6.</w:t>
      </w:r>
      <w:r w:rsidR="00287A79">
        <w:rPr>
          <w:rFonts w:ascii="Verdana" w:hAnsi="Verdana"/>
          <w:sz w:val="20"/>
          <w:szCs w:val="20"/>
        </w:rPr>
        <w:t>58</w:t>
      </w:r>
      <w:r w:rsidR="00794BDE" w:rsidRPr="00DB5977">
        <w:rPr>
          <w:rFonts w:ascii="Verdana" w:hAnsi="Verdana"/>
          <w:sz w:val="20"/>
          <w:szCs w:val="20"/>
        </w:rPr>
        <w:t xml:space="preserve"> percent. In my professional judgement, I see any individual company results below this minimum as unreasonable.</w:t>
      </w:r>
    </w:p>
    <w:p w14:paraId="41318CE7" w14:textId="226A6D8F" w:rsidR="00440E4D" w:rsidRPr="00DB5977" w:rsidRDefault="00440E4D" w:rsidP="00486739">
      <w:pPr>
        <w:pStyle w:val="DirectQuestion"/>
      </w:pPr>
      <w:r w:rsidRPr="00DB5977">
        <w:t>D</w:t>
      </w:r>
      <w:r w:rsidR="000B187A" w:rsidRPr="00DB5977">
        <w:t>o</w:t>
      </w:r>
      <w:r w:rsidRPr="00DB5977">
        <w:t xml:space="preserve"> </w:t>
      </w:r>
      <w:r w:rsidR="00D66BD0" w:rsidRPr="00DB5977">
        <w:t xml:space="preserve">you exclude </w:t>
      </w:r>
      <w:r w:rsidRPr="00DB5977">
        <w:t xml:space="preserve">any </w:t>
      </w:r>
      <w:r w:rsidR="00661EAD" w:rsidRPr="00DB5977">
        <w:t>individual company results</w:t>
      </w:r>
      <w:r w:rsidR="00585649" w:rsidRPr="00DB5977">
        <w:t xml:space="preserve"> from</w:t>
      </w:r>
      <w:r w:rsidRPr="00DB5977">
        <w:t xml:space="preserve"> your </w:t>
      </w:r>
      <w:r w:rsidR="0001338E" w:rsidRPr="00DB5977">
        <w:t xml:space="preserve">Proxy Group </w:t>
      </w:r>
      <w:r w:rsidR="002158E7" w:rsidRPr="00DB5977">
        <w:t>DCF</w:t>
      </w:r>
      <w:r w:rsidR="00585649" w:rsidRPr="00DB5977">
        <w:t xml:space="preserve"> </w:t>
      </w:r>
      <w:r w:rsidR="002158E7" w:rsidRPr="00DB5977">
        <w:t xml:space="preserve">Results </w:t>
      </w:r>
      <w:r w:rsidR="003A0E5C">
        <w:t>due to</w:t>
      </w:r>
      <w:r w:rsidR="003A0E5C" w:rsidRPr="00DB5977">
        <w:t xml:space="preserve"> </w:t>
      </w:r>
      <w:r w:rsidRPr="00DB5977">
        <w:t>fail</w:t>
      </w:r>
      <w:r w:rsidR="000F7EA7" w:rsidRPr="00DB5977">
        <w:t>ing</w:t>
      </w:r>
      <w:r w:rsidRPr="00DB5977">
        <w:t xml:space="preserve"> </w:t>
      </w:r>
      <w:r w:rsidR="0031627D" w:rsidRPr="00DB5977">
        <w:t>your</w:t>
      </w:r>
      <w:r w:rsidR="00AE63DC" w:rsidRPr="00DB5977">
        <w:t xml:space="preserve"> 6.</w:t>
      </w:r>
      <w:r w:rsidR="005D7B8A">
        <w:t>58</w:t>
      </w:r>
      <w:r w:rsidR="00AE63DC" w:rsidRPr="00DB5977">
        <w:t xml:space="preserve"> percent ROE Screen?</w:t>
      </w:r>
    </w:p>
    <w:p w14:paraId="24F7594E" w14:textId="356466E4" w:rsidR="00AE63DC" w:rsidRPr="00DB5977" w:rsidRDefault="00AE63DC" w:rsidP="00486739">
      <w:pPr>
        <w:pStyle w:val="DirectAnswer"/>
        <w:jc w:val="both"/>
        <w:rPr>
          <w:rFonts w:ascii="Verdana" w:hAnsi="Verdana"/>
          <w:sz w:val="20"/>
          <w:szCs w:val="20"/>
        </w:rPr>
      </w:pPr>
      <w:r w:rsidRPr="00DB5977">
        <w:rPr>
          <w:rFonts w:ascii="Verdana" w:hAnsi="Verdana"/>
          <w:sz w:val="20"/>
          <w:szCs w:val="20"/>
        </w:rPr>
        <w:lastRenderedPageBreak/>
        <w:t xml:space="preserve">Yes. </w:t>
      </w:r>
      <w:r w:rsidR="0031627D" w:rsidRPr="00DB5977">
        <w:rPr>
          <w:rFonts w:ascii="Verdana" w:hAnsi="Verdana"/>
          <w:sz w:val="20"/>
          <w:szCs w:val="20"/>
        </w:rPr>
        <w:t>I exclude the ROE</w:t>
      </w:r>
      <w:r w:rsidR="00BD3DAB" w:rsidRPr="00DB5977">
        <w:rPr>
          <w:rFonts w:ascii="Verdana" w:hAnsi="Verdana"/>
          <w:sz w:val="20"/>
          <w:szCs w:val="20"/>
        </w:rPr>
        <w:t xml:space="preserve"> estimate</w:t>
      </w:r>
      <w:r w:rsidR="003A0E5C">
        <w:rPr>
          <w:rFonts w:ascii="Verdana" w:hAnsi="Verdana"/>
          <w:sz w:val="20"/>
          <w:szCs w:val="20"/>
        </w:rPr>
        <w:t>s</w:t>
      </w:r>
      <w:r w:rsidR="0059073C" w:rsidRPr="00DB5977">
        <w:rPr>
          <w:rFonts w:ascii="Verdana" w:hAnsi="Verdana"/>
          <w:sz w:val="20"/>
          <w:szCs w:val="20"/>
        </w:rPr>
        <w:t xml:space="preserve"> for Consolidated Edison</w:t>
      </w:r>
      <w:r w:rsidR="009A68ED" w:rsidRPr="00DB5977">
        <w:rPr>
          <w:rFonts w:ascii="Verdana" w:hAnsi="Verdana"/>
          <w:sz w:val="20"/>
          <w:szCs w:val="20"/>
        </w:rPr>
        <w:t xml:space="preserve"> </w:t>
      </w:r>
      <w:r w:rsidR="0031627D" w:rsidRPr="00DB5977">
        <w:rPr>
          <w:rFonts w:ascii="Verdana" w:hAnsi="Verdana"/>
          <w:sz w:val="20"/>
          <w:szCs w:val="20"/>
        </w:rPr>
        <w:t xml:space="preserve">when </w:t>
      </w:r>
      <w:r w:rsidR="003940C5" w:rsidRPr="00DB5977">
        <w:rPr>
          <w:rFonts w:ascii="Verdana" w:hAnsi="Verdana"/>
          <w:sz w:val="20"/>
          <w:szCs w:val="20"/>
        </w:rPr>
        <w:t xml:space="preserve">estimating </w:t>
      </w:r>
      <w:r w:rsidR="00D22BD6" w:rsidRPr="00DB5977">
        <w:rPr>
          <w:rFonts w:ascii="Verdana" w:hAnsi="Verdana"/>
          <w:sz w:val="20"/>
          <w:szCs w:val="20"/>
        </w:rPr>
        <w:t>my proxy group</w:t>
      </w:r>
      <w:r w:rsidR="003940C5" w:rsidRPr="00DB5977">
        <w:rPr>
          <w:rFonts w:ascii="Verdana" w:hAnsi="Verdana"/>
          <w:sz w:val="20"/>
          <w:szCs w:val="20"/>
        </w:rPr>
        <w:t xml:space="preserve"> average for the DCF using only earnings growth</w:t>
      </w:r>
      <w:r w:rsidR="009B1827" w:rsidRPr="00DB5977">
        <w:rPr>
          <w:rFonts w:ascii="Verdana" w:hAnsi="Verdana"/>
          <w:sz w:val="20"/>
          <w:szCs w:val="20"/>
        </w:rPr>
        <w:t xml:space="preserve"> rates</w:t>
      </w:r>
      <w:r w:rsidR="00D22BD6" w:rsidRPr="00DB5977">
        <w:rPr>
          <w:rFonts w:ascii="Verdana" w:hAnsi="Verdana"/>
          <w:sz w:val="20"/>
          <w:szCs w:val="20"/>
        </w:rPr>
        <w:t xml:space="preserve">. </w:t>
      </w:r>
      <w:r w:rsidR="003717B0" w:rsidRPr="00DB5977">
        <w:rPr>
          <w:rFonts w:ascii="Verdana" w:hAnsi="Verdana"/>
          <w:sz w:val="20"/>
          <w:szCs w:val="20"/>
        </w:rPr>
        <w:t xml:space="preserve">I </w:t>
      </w:r>
      <w:r w:rsidR="003A0E5C">
        <w:rPr>
          <w:rFonts w:ascii="Verdana" w:hAnsi="Verdana"/>
          <w:sz w:val="20"/>
          <w:szCs w:val="20"/>
        </w:rPr>
        <w:t xml:space="preserve">also </w:t>
      </w:r>
      <w:r w:rsidR="003717B0" w:rsidRPr="00DB5977">
        <w:rPr>
          <w:rFonts w:ascii="Verdana" w:hAnsi="Verdana"/>
          <w:sz w:val="20"/>
          <w:szCs w:val="20"/>
        </w:rPr>
        <w:t xml:space="preserve">exclude </w:t>
      </w:r>
      <w:proofErr w:type="spellStart"/>
      <w:r w:rsidR="00086806" w:rsidRPr="00DB5977">
        <w:rPr>
          <w:rFonts w:ascii="Verdana" w:hAnsi="Verdana"/>
          <w:sz w:val="20"/>
          <w:szCs w:val="20"/>
        </w:rPr>
        <w:t>Avangrid</w:t>
      </w:r>
      <w:proofErr w:type="spellEnd"/>
      <w:r w:rsidR="000B0198" w:rsidRPr="00DB5977">
        <w:rPr>
          <w:rFonts w:ascii="Verdana" w:hAnsi="Verdana"/>
          <w:sz w:val="20"/>
          <w:szCs w:val="20"/>
        </w:rPr>
        <w:t>, Inc.</w:t>
      </w:r>
      <w:r w:rsidR="00E50750" w:rsidRPr="00DB5977">
        <w:rPr>
          <w:rFonts w:ascii="Verdana" w:hAnsi="Verdana"/>
          <w:sz w:val="20"/>
          <w:szCs w:val="20"/>
        </w:rPr>
        <w:t xml:space="preserve"> and Portland General</w:t>
      </w:r>
      <w:r w:rsidR="00A70E23" w:rsidRPr="00DB5977">
        <w:rPr>
          <w:rFonts w:ascii="Verdana" w:hAnsi="Verdana"/>
          <w:sz w:val="20"/>
          <w:szCs w:val="20"/>
        </w:rPr>
        <w:t xml:space="preserve"> </w:t>
      </w:r>
      <w:r w:rsidR="00CE1309" w:rsidRPr="00DB5977">
        <w:rPr>
          <w:rFonts w:ascii="Verdana" w:hAnsi="Verdana"/>
          <w:sz w:val="20"/>
          <w:szCs w:val="20"/>
        </w:rPr>
        <w:t>w</w:t>
      </w:r>
      <w:r w:rsidR="00A70E23" w:rsidRPr="00DB5977">
        <w:rPr>
          <w:rFonts w:ascii="Verdana" w:hAnsi="Verdana"/>
          <w:sz w:val="20"/>
          <w:szCs w:val="20"/>
        </w:rPr>
        <w:t>hen estimating my proxy group average using sustainable growth</w:t>
      </w:r>
      <w:r w:rsidR="000B187A" w:rsidRPr="00DB5977">
        <w:rPr>
          <w:rFonts w:ascii="Verdana" w:hAnsi="Verdana"/>
          <w:sz w:val="20"/>
          <w:szCs w:val="20"/>
        </w:rPr>
        <w:t xml:space="preserve"> rates</w:t>
      </w:r>
      <w:r w:rsidR="00CE1309" w:rsidRPr="00DB5977">
        <w:rPr>
          <w:rFonts w:ascii="Verdana" w:hAnsi="Verdana"/>
          <w:sz w:val="20"/>
          <w:szCs w:val="20"/>
        </w:rPr>
        <w:t>.</w:t>
      </w:r>
    </w:p>
    <w:p w14:paraId="4029C194" w14:textId="77777777" w:rsidR="00823379" w:rsidRPr="00DB5977" w:rsidRDefault="00823379" w:rsidP="00486739">
      <w:pPr>
        <w:pStyle w:val="DirectQuestion"/>
      </w:pPr>
      <w:r w:rsidRPr="00DB5977">
        <w:t>Please summarize your DCF model results.</w:t>
      </w:r>
    </w:p>
    <w:p w14:paraId="1CF4261B" w14:textId="4BA65629"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I employ three different methods for deriving the growth rate in the DCF model, yielding three</w:t>
      </w:r>
      <w:r w:rsidR="00AB5A75" w:rsidRPr="00DB5977">
        <w:rPr>
          <w:rFonts w:ascii="Verdana" w:hAnsi="Verdana" w:cstheme="minorHAnsi"/>
          <w:sz w:val="20"/>
          <w:szCs w:val="20"/>
        </w:rPr>
        <w:t xml:space="preserve"> set</w:t>
      </w:r>
      <w:r w:rsidR="00643513" w:rsidRPr="00DB5977">
        <w:rPr>
          <w:rFonts w:ascii="Verdana" w:hAnsi="Verdana" w:cstheme="minorHAnsi"/>
          <w:sz w:val="20"/>
          <w:szCs w:val="20"/>
        </w:rPr>
        <w:t>s</w:t>
      </w:r>
      <w:r w:rsidR="00AB5A75" w:rsidRPr="00DB5977">
        <w:rPr>
          <w:rFonts w:ascii="Verdana" w:hAnsi="Verdana" w:cstheme="minorHAnsi"/>
          <w:sz w:val="20"/>
          <w:szCs w:val="20"/>
        </w:rPr>
        <w:t xml:space="preserve"> of</w:t>
      </w:r>
      <w:r w:rsidRPr="00DB5977">
        <w:rPr>
          <w:rFonts w:ascii="Verdana" w:hAnsi="Verdana" w:cstheme="minorHAnsi"/>
          <w:sz w:val="20"/>
          <w:szCs w:val="20"/>
        </w:rPr>
        <w:t xml:space="preserve"> estimates </w:t>
      </w:r>
      <w:r w:rsidR="00AB5A75" w:rsidRPr="00DB5977">
        <w:rPr>
          <w:rFonts w:ascii="Verdana" w:hAnsi="Verdana" w:cstheme="minorHAnsi"/>
          <w:sz w:val="20"/>
          <w:szCs w:val="20"/>
        </w:rPr>
        <w:t>of</w:t>
      </w:r>
      <w:r w:rsidRPr="00DB5977">
        <w:rPr>
          <w:rFonts w:ascii="Verdana" w:hAnsi="Verdana" w:cstheme="minorHAnsi"/>
          <w:sz w:val="20"/>
          <w:szCs w:val="20"/>
        </w:rPr>
        <w:t xml:space="preserve"> the ROE for my proxy group.</w:t>
      </w:r>
      <w:r w:rsidR="0025065A">
        <w:rPr>
          <w:rFonts w:ascii="Verdana" w:hAnsi="Verdana" w:cstheme="minorHAnsi"/>
          <w:sz w:val="20"/>
          <w:szCs w:val="20"/>
        </w:rPr>
        <w:t xml:space="preserve"> </w:t>
      </w:r>
      <w:r w:rsidRPr="00DB5977">
        <w:rPr>
          <w:rFonts w:ascii="Verdana" w:hAnsi="Verdana" w:cstheme="minorHAnsi"/>
          <w:sz w:val="20"/>
          <w:szCs w:val="20"/>
        </w:rPr>
        <w:t xml:space="preserve">When I assume that investors are only concerned with earnings growth when valuing a company’s stock, thereby only using EPS growth in the DCF model, I derive ROE estimates of </w:t>
      </w:r>
      <w:r w:rsidR="000B187A" w:rsidRPr="00DB5977">
        <w:rPr>
          <w:rFonts w:ascii="Verdana" w:hAnsi="Verdana" w:cstheme="minorHAnsi"/>
          <w:sz w:val="20"/>
          <w:szCs w:val="20"/>
        </w:rPr>
        <w:t>9.00</w:t>
      </w:r>
      <w:r w:rsidR="00643513" w:rsidRPr="00DB5977">
        <w:rPr>
          <w:rFonts w:ascii="Verdana" w:hAnsi="Verdana" w:cstheme="minorHAnsi"/>
          <w:sz w:val="20"/>
          <w:szCs w:val="20"/>
        </w:rPr>
        <w:t> </w:t>
      </w:r>
      <w:r w:rsidRPr="00DB5977">
        <w:rPr>
          <w:rFonts w:ascii="Verdana" w:hAnsi="Verdana" w:cstheme="minorHAnsi"/>
          <w:sz w:val="20"/>
          <w:szCs w:val="20"/>
        </w:rPr>
        <w:t>percent (</w:t>
      </w:r>
      <w:r w:rsidR="00077BC2" w:rsidRPr="00DB5977">
        <w:rPr>
          <w:rFonts w:ascii="Verdana" w:hAnsi="Verdana" w:cstheme="minorHAnsi"/>
          <w:sz w:val="20"/>
          <w:szCs w:val="20"/>
        </w:rPr>
        <w:t>9</w:t>
      </w:r>
      <w:r w:rsidRPr="00DB5977">
        <w:rPr>
          <w:rFonts w:ascii="Verdana" w:hAnsi="Verdana" w:cstheme="minorHAnsi"/>
          <w:sz w:val="20"/>
          <w:szCs w:val="20"/>
        </w:rPr>
        <w:t xml:space="preserve">0-day stock prices) and </w:t>
      </w:r>
      <w:r w:rsidR="00DC29FC" w:rsidRPr="00DB5977">
        <w:rPr>
          <w:rFonts w:ascii="Verdana" w:hAnsi="Verdana" w:cstheme="minorHAnsi"/>
          <w:sz w:val="20"/>
          <w:szCs w:val="20"/>
        </w:rPr>
        <w:t>9.0</w:t>
      </w:r>
      <w:r w:rsidR="000B187A" w:rsidRPr="00DB5977">
        <w:rPr>
          <w:rFonts w:ascii="Verdana" w:hAnsi="Verdana" w:cstheme="minorHAnsi"/>
          <w:sz w:val="20"/>
          <w:szCs w:val="20"/>
        </w:rPr>
        <w:t>6</w:t>
      </w:r>
      <w:r w:rsidRPr="00DB5977">
        <w:rPr>
          <w:rFonts w:ascii="Verdana" w:hAnsi="Verdana" w:cstheme="minorHAnsi"/>
          <w:sz w:val="20"/>
          <w:szCs w:val="20"/>
        </w:rPr>
        <w:t xml:space="preserve"> percent (</w:t>
      </w:r>
      <w:r w:rsidR="00E33570" w:rsidRPr="00DB5977">
        <w:rPr>
          <w:rFonts w:ascii="Verdana" w:hAnsi="Verdana" w:cstheme="minorHAnsi"/>
          <w:sz w:val="20"/>
          <w:szCs w:val="20"/>
        </w:rPr>
        <w:t>180-day</w:t>
      </w:r>
      <w:r w:rsidR="00643513" w:rsidRPr="00DB5977">
        <w:rPr>
          <w:rFonts w:ascii="Verdana" w:hAnsi="Verdana" w:cstheme="minorHAnsi"/>
          <w:sz w:val="20"/>
          <w:szCs w:val="20"/>
        </w:rPr>
        <w:t xml:space="preserve"> </w:t>
      </w:r>
      <w:r w:rsidRPr="00DB5977">
        <w:rPr>
          <w:rFonts w:ascii="Verdana" w:hAnsi="Verdana" w:cstheme="minorHAnsi"/>
          <w:sz w:val="20"/>
          <w:szCs w:val="20"/>
        </w:rPr>
        <w:t>stock prices).</w:t>
      </w:r>
      <w:r w:rsidR="0025065A">
        <w:rPr>
          <w:rFonts w:ascii="Verdana" w:hAnsi="Verdana" w:cstheme="minorHAnsi"/>
          <w:sz w:val="20"/>
          <w:szCs w:val="20"/>
        </w:rPr>
        <w:t xml:space="preserve"> </w:t>
      </w:r>
      <w:r w:rsidRPr="00DB5977">
        <w:rPr>
          <w:rFonts w:ascii="Verdana" w:hAnsi="Verdana" w:cstheme="minorHAnsi"/>
          <w:sz w:val="20"/>
          <w:szCs w:val="20"/>
        </w:rPr>
        <w:t>(</w:t>
      </w:r>
      <w:r w:rsidRPr="00DB5977">
        <w:rPr>
          <w:rFonts w:ascii="Verdana" w:hAnsi="Verdana" w:cstheme="minorHAnsi"/>
          <w:i/>
          <w:sz w:val="20"/>
          <w:szCs w:val="20"/>
          <w:u w:val="single"/>
        </w:rPr>
        <w:t>See</w:t>
      </w:r>
      <w:r w:rsidRPr="00DB5977">
        <w:rPr>
          <w:rFonts w:ascii="Verdana" w:hAnsi="Verdana" w:cstheme="minorHAnsi"/>
          <w:i/>
          <w:sz w:val="20"/>
          <w:szCs w:val="20"/>
        </w:rPr>
        <w:t xml:space="preserve"> </w:t>
      </w:r>
      <w:r w:rsidR="0013533B">
        <w:rPr>
          <w:rFonts w:ascii="Verdana" w:hAnsi="Verdana" w:cstheme="minorHAnsi"/>
          <w:sz w:val="20"/>
          <w:szCs w:val="20"/>
        </w:rPr>
        <w:t>Exhibits</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Pr="00DB5977">
        <w:rPr>
          <w:rFonts w:ascii="Verdana" w:hAnsi="Verdana" w:cstheme="minorHAnsi"/>
          <w:sz w:val="20"/>
          <w:szCs w:val="20"/>
        </w:rPr>
        <w:t>LR-5a and MLR-5c</w:t>
      </w:r>
      <w:r w:rsidRPr="00DB5977">
        <w:rPr>
          <w:rFonts w:ascii="Verdana" w:hAnsi="Verdana" w:cstheme="minorHAnsi"/>
          <w:i/>
          <w:sz w:val="20"/>
          <w:szCs w:val="20"/>
        </w:rPr>
        <w:t>.</w:t>
      </w:r>
      <w:r w:rsidRPr="00DB5977">
        <w:rPr>
          <w:rFonts w:ascii="Verdana" w:hAnsi="Verdana" w:cstheme="minorHAnsi"/>
          <w:sz w:val="20"/>
          <w:szCs w:val="20"/>
        </w:rPr>
        <w:t>)</w:t>
      </w:r>
    </w:p>
    <w:p w14:paraId="5D669D64" w14:textId="35D211CA" w:rsidR="00823379" w:rsidRPr="00DB5977" w:rsidRDefault="00823379" w:rsidP="00436890">
      <w:pPr>
        <w:pStyle w:val="DirectNext"/>
        <w:rPr>
          <w:rFonts w:ascii="Verdana" w:hAnsi="Verdana"/>
          <w:sz w:val="20"/>
          <w:szCs w:val="20"/>
        </w:rPr>
      </w:pPr>
      <w:r w:rsidRPr="00DB5977">
        <w:rPr>
          <w:rFonts w:ascii="Verdana" w:hAnsi="Verdana"/>
          <w:sz w:val="20"/>
          <w:szCs w:val="20"/>
        </w:rPr>
        <w:t xml:space="preserve">Once I allow for other sources of growth to influence investors’ expectations of the return on a particular equity, my analyses yield </w:t>
      </w:r>
      <w:r w:rsidR="00A32968" w:rsidRPr="00DB5977">
        <w:rPr>
          <w:rFonts w:ascii="Verdana" w:hAnsi="Verdana"/>
          <w:sz w:val="20"/>
          <w:szCs w:val="20"/>
        </w:rPr>
        <w:t>lower</w:t>
      </w:r>
      <w:r w:rsidRPr="00DB5977">
        <w:rPr>
          <w:rFonts w:ascii="Verdana" w:hAnsi="Verdana"/>
          <w:sz w:val="20"/>
          <w:szCs w:val="20"/>
        </w:rPr>
        <w:t xml:space="preserve"> results.</w:t>
      </w:r>
      <w:r w:rsidR="0025065A">
        <w:rPr>
          <w:rFonts w:ascii="Verdana" w:hAnsi="Verdana"/>
          <w:sz w:val="20"/>
          <w:szCs w:val="20"/>
        </w:rPr>
        <w:t xml:space="preserve"> </w:t>
      </w:r>
      <w:r w:rsidRPr="00DB5977">
        <w:rPr>
          <w:rFonts w:ascii="Verdana" w:hAnsi="Verdana"/>
          <w:sz w:val="20"/>
          <w:szCs w:val="20"/>
        </w:rPr>
        <w:t xml:space="preserve">For instance, adding DPS and BVPS growth results in ROE estimates of </w:t>
      </w:r>
      <w:r w:rsidR="00684FA7" w:rsidRPr="00DB5977">
        <w:rPr>
          <w:rFonts w:ascii="Verdana" w:hAnsi="Verdana"/>
          <w:sz w:val="20"/>
          <w:szCs w:val="20"/>
        </w:rPr>
        <w:t>8.</w:t>
      </w:r>
      <w:r w:rsidR="000B187A" w:rsidRPr="00DB5977">
        <w:rPr>
          <w:rFonts w:ascii="Verdana" w:hAnsi="Verdana"/>
          <w:sz w:val="20"/>
          <w:szCs w:val="20"/>
        </w:rPr>
        <w:t>68</w:t>
      </w:r>
      <w:r w:rsidRPr="00DB5977">
        <w:rPr>
          <w:rFonts w:ascii="Verdana" w:hAnsi="Verdana"/>
          <w:sz w:val="20"/>
          <w:szCs w:val="20"/>
        </w:rPr>
        <w:t xml:space="preserve"> percent (</w:t>
      </w:r>
      <w:r w:rsidR="00E33570" w:rsidRPr="00DB5977">
        <w:rPr>
          <w:rFonts w:ascii="Verdana" w:hAnsi="Verdana"/>
          <w:sz w:val="20"/>
          <w:szCs w:val="20"/>
        </w:rPr>
        <w:t>9</w:t>
      </w:r>
      <w:r w:rsidRPr="00DB5977">
        <w:rPr>
          <w:rFonts w:ascii="Verdana" w:hAnsi="Verdana"/>
          <w:sz w:val="20"/>
          <w:szCs w:val="20"/>
        </w:rPr>
        <w:t xml:space="preserve">0-day stock prices) and </w:t>
      </w:r>
      <w:r w:rsidR="00684FA7" w:rsidRPr="00DB5977">
        <w:rPr>
          <w:rFonts w:ascii="Verdana" w:hAnsi="Verdana"/>
          <w:sz w:val="20"/>
          <w:szCs w:val="20"/>
        </w:rPr>
        <w:t>8.</w:t>
      </w:r>
      <w:r w:rsidR="000B187A" w:rsidRPr="00DB5977">
        <w:rPr>
          <w:rFonts w:ascii="Verdana" w:hAnsi="Verdana"/>
          <w:sz w:val="20"/>
          <w:szCs w:val="20"/>
        </w:rPr>
        <w:t>74</w:t>
      </w:r>
      <w:r w:rsidRPr="00DB5977">
        <w:rPr>
          <w:rFonts w:ascii="Verdana" w:hAnsi="Verdana"/>
          <w:sz w:val="20"/>
          <w:szCs w:val="20"/>
        </w:rPr>
        <w:t xml:space="preserve"> percent (</w:t>
      </w:r>
      <w:r w:rsidR="00E33570" w:rsidRPr="00DB5977">
        <w:rPr>
          <w:rFonts w:ascii="Verdana" w:hAnsi="Verdana"/>
          <w:sz w:val="20"/>
          <w:szCs w:val="20"/>
        </w:rPr>
        <w:t>180-day</w:t>
      </w:r>
      <w:r w:rsidRPr="00DB5977">
        <w:rPr>
          <w:rFonts w:ascii="Verdana" w:hAnsi="Verdana"/>
          <w:sz w:val="20"/>
          <w:szCs w:val="20"/>
        </w:rPr>
        <w:t xml:space="preserve"> stock prices).</w:t>
      </w:r>
      <w:r w:rsidR="0025065A">
        <w:rPr>
          <w:rFonts w:ascii="Verdana" w:hAnsi="Verdana"/>
          <w:sz w:val="20"/>
          <w:szCs w:val="20"/>
        </w:rPr>
        <w:t xml:space="preserve"> </w:t>
      </w:r>
      <w:r w:rsidR="000D4807" w:rsidRPr="00DB5977">
        <w:rPr>
          <w:rFonts w:ascii="Verdana" w:hAnsi="Verdana"/>
          <w:sz w:val="20"/>
          <w:szCs w:val="20"/>
        </w:rPr>
        <w:t>(</w:t>
      </w:r>
      <w:r w:rsidR="000D4807" w:rsidRPr="00DB5977">
        <w:rPr>
          <w:rFonts w:ascii="Verdana" w:hAnsi="Verdana"/>
          <w:i/>
          <w:sz w:val="20"/>
          <w:szCs w:val="20"/>
          <w:u w:val="single"/>
        </w:rPr>
        <w:t>See</w:t>
      </w:r>
      <w:r w:rsidR="000D4807" w:rsidRPr="00DB5977">
        <w:rPr>
          <w:rFonts w:ascii="Verdana" w:hAnsi="Verdana"/>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000D4807" w:rsidRPr="00DB5977">
        <w:rPr>
          <w:rFonts w:ascii="Verdana" w:hAnsi="Verdana"/>
          <w:sz w:val="20"/>
          <w:szCs w:val="20"/>
        </w:rPr>
        <w:t>LR-5b and MLR-5d.)</w:t>
      </w:r>
      <w:r w:rsidR="0025065A">
        <w:rPr>
          <w:rFonts w:ascii="Verdana" w:hAnsi="Verdana"/>
          <w:sz w:val="20"/>
          <w:szCs w:val="20"/>
        </w:rPr>
        <w:t xml:space="preserve"> </w:t>
      </w:r>
      <w:r w:rsidRPr="00DB5977">
        <w:rPr>
          <w:rFonts w:ascii="Verdana" w:hAnsi="Verdana"/>
          <w:sz w:val="20"/>
          <w:szCs w:val="20"/>
        </w:rPr>
        <w:t xml:space="preserve">Finally, when I allow for both internal and external funding sources to drive growth in investor income, for my sustainable growth rate model, I derive an ROE </w:t>
      </w:r>
      <w:r w:rsidR="00A5555D" w:rsidRPr="00DB5977">
        <w:rPr>
          <w:rFonts w:ascii="Verdana" w:hAnsi="Verdana"/>
          <w:sz w:val="20"/>
          <w:szCs w:val="20"/>
        </w:rPr>
        <w:t>result</w:t>
      </w:r>
      <w:r w:rsidRPr="00DB5977">
        <w:rPr>
          <w:rFonts w:ascii="Verdana" w:hAnsi="Verdana"/>
          <w:sz w:val="20"/>
          <w:szCs w:val="20"/>
        </w:rPr>
        <w:t xml:space="preserve"> of </w:t>
      </w:r>
      <w:r w:rsidR="006D7FA4" w:rsidRPr="00DB5977">
        <w:rPr>
          <w:rFonts w:ascii="Verdana" w:hAnsi="Verdana"/>
          <w:sz w:val="20"/>
          <w:szCs w:val="20"/>
        </w:rPr>
        <w:t>9.14</w:t>
      </w:r>
      <w:r w:rsidRPr="00DB5977">
        <w:rPr>
          <w:rFonts w:ascii="Verdana" w:hAnsi="Verdana"/>
          <w:sz w:val="20"/>
          <w:szCs w:val="20"/>
        </w:rPr>
        <w:t xml:space="preserve"> percent.</w:t>
      </w:r>
      <w:r w:rsidR="0025065A">
        <w:rPr>
          <w:rFonts w:ascii="Verdana" w:hAnsi="Verdana"/>
          <w:sz w:val="20"/>
          <w:szCs w:val="20"/>
        </w:rPr>
        <w:t xml:space="preserve"> </w:t>
      </w:r>
      <w:r w:rsidR="000D4807" w:rsidRPr="00DB5977">
        <w:rPr>
          <w:rFonts w:ascii="Verdana" w:hAnsi="Verdana"/>
          <w:sz w:val="20"/>
          <w:szCs w:val="20"/>
        </w:rPr>
        <w:t>(</w:t>
      </w:r>
      <w:r w:rsidR="000D4807" w:rsidRPr="00DB5977">
        <w:rPr>
          <w:rFonts w:ascii="Verdana" w:hAnsi="Verdana"/>
          <w:i/>
          <w:sz w:val="20"/>
          <w:szCs w:val="20"/>
          <w:u w:val="single"/>
        </w:rPr>
        <w:t>See</w:t>
      </w:r>
      <w:r w:rsidR="000D4807" w:rsidRPr="00DB5977">
        <w:rPr>
          <w:rFonts w:ascii="Verdana" w:hAnsi="Verdana"/>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000D4807" w:rsidRPr="00DB5977">
        <w:rPr>
          <w:rFonts w:ascii="Verdana" w:hAnsi="Verdana"/>
          <w:sz w:val="20"/>
          <w:szCs w:val="20"/>
        </w:rPr>
        <w:t>LR-6c and MLR-6d.)</w:t>
      </w:r>
      <w:r w:rsidR="0025065A">
        <w:rPr>
          <w:rFonts w:ascii="Verdana" w:hAnsi="Verdana"/>
          <w:sz w:val="20"/>
          <w:szCs w:val="20"/>
        </w:rPr>
        <w:t xml:space="preserve"> </w:t>
      </w:r>
      <w:r w:rsidRPr="00DB5977">
        <w:rPr>
          <w:rFonts w:ascii="Verdana" w:hAnsi="Verdana"/>
          <w:sz w:val="20"/>
          <w:szCs w:val="20"/>
        </w:rPr>
        <w:t xml:space="preserve">The overall range of </w:t>
      </w:r>
      <w:r w:rsidRPr="00DB5977">
        <w:rPr>
          <w:rFonts w:ascii="Verdana" w:hAnsi="Verdana"/>
          <w:sz w:val="20"/>
          <w:szCs w:val="20"/>
        </w:rPr>
        <w:lastRenderedPageBreak/>
        <w:t xml:space="preserve">ROE estimates using my DCF is </w:t>
      </w:r>
      <w:r w:rsidR="00051D60" w:rsidRPr="00DB5977">
        <w:rPr>
          <w:rFonts w:ascii="Verdana" w:hAnsi="Verdana"/>
          <w:sz w:val="20"/>
          <w:szCs w:val="20"/>
        </w:rPr>
        <w:t>8.</w:t>
      </w:r>
      <w:r w:rsidR="00F8104D" w:rsidRPr="00DB5977">
        <w:rPr>
          <w:rFonts w:ascii="Verdana" w:hAnsi="Verdana"/>
          <w:sz w:val="20"/>
          <w:szCs w:val="20"/>
        </w:rPr>
        <w:t>6</w:t>
      </w:r>
      <w:r w:rsidR="000B187A" w:rsidRPr="00DB5977">
        <w:rPr>
          <w:rFonts w:ascii="Verdana" w:hAnsi="Verdana"/>
          <w:sz w:val="20"/>
          <w:szCs w:val="20"/>
        </w:rPr>
        <w:t>8</w:t>
      </w:r>
      <w:r w:rsidRPr="00DB5977">
        <w:rPr>
          <w:rFonts w:ascii="Verdana" w:hAnsi="Verdana"/>
          <w:sz w:val="20"/>
          <w:szCs w:val="20"/>
        </w:rPr>
        <w:t xml:space="preserve"> percent to </w:t>
      </w:r>
      <w:r w:rsidR="00087158" w:rsidRPr="00DB5977">
        <w:rPr>
          <w:rFonts w:ascii="Verdana" w:hAnsi="Verdana"/>
          <w:sz w:val="20"/>
          <w:szCs w:val="20"/>
        </w:rPr>
        <w:t>9</w:t>
      </w:r>
      <w:r w:rsidR="00F8104D" w:rsidRPr="00DB5977">
        <w:rPr>
          <w:rFonts w:ascii="Verdana" w:hAnsi="Verdana"/>
          <w:sz w:val="20"/>
          <w:szCs w:val="20"/>
        </w:rPr>
        <w:t>.14</w:t>
      </w:r>
      <w:r w:rsidRPr="00DB5977">
        <w:rPr>
          <w:rFonts w:ascii="Verdana" w:hAnsi="Verdana"/>
          <w:sz w:val="20"/>
          <w:szCs w:val="20"/>
        </w:rPr>
        <w:t xml:space="preserve"> percent</w:t>
      </w:r>
      <w:r w:rsidR="00051D60" w:rsidRPr="00DB5977">
        <w:rPr>
          <w:rFonts w:ascii="Verdana" w:hAnsi="Verdana"/>
          <w:sz w:val="20"/>
          <w:szCs w:val="20"/>
        </w:rPr>
        <w:t>, with</w:t>
      </w:r>
      <w:r w:rsidRPr="00DB5977">
        <w:rPr>
          <w:rFonts w:ascii="Verdana" w:hAnsi="Verdana"/>
          <w:sz w:val="20"/>
          <w:szCs w:val="20"/>
        </w:rPr>
        <w:t xml:space="preserve"> an average of </w:t>
      </w:r>
      <w:r w:rsidR="00087158" w:rsidRPr="00DB5977">
        <w:rPr>
          <w:rFonts w:ascii="Verdana" w:hAnsi="Verdana"/>
          <w:sz w:val="20"/>
          <w:szCs w:val="20"/>
        </w:rPr>
        <w:t>8.</w:t>
      </w:r>
      <w:r w:rsidR="00C760FA" w:rsidRPr="00DB5977">
        <w:rPr>
          <w:rFonts w:ascii="Verdana" w:hAnsi="Verdana"/>
          <w:sz w:val="20"/>
          <w:szCs w:val="20"/>
        </w:rPr>
        <w:t>9</w:t>
      </w:r>
      <w:r w:rsidR="000B187A" w:rsidRPr="00DB5977">
        <w:rPr>
          <w:rFonts w:ascii="Verdana" w:hAnsi="Verdana"/>
          <w:sz w:val="20"/>
          <w:szCs w:val="20"/>
        </w:rPr>
        <w:t>1</w:t>
      </w:r>
      <w:r w:rsidRPr="00DB5977">
        <w:rPr>
          <w:rFonts w:ascii="Verdana" w:hAnsi="Verdana"/>
          <w:sz w:val="20"/>
          <w:szCs w:val="20"/>
        </w:rPr>
        <w:t xml:space="preserve"> percent.</w:t>
      </w:r>
      <w:r w:rsidR="0025065A">
        <w:rPr>
          <w:rFonts w:ascii="Verdana" w:hAnsi="Verdana"/>
          <w:sz w:val="20"/>
          <w:szCs w:val="20"/>
        </w:rPr>
        <w:t xml:space="preserve"> </w:t>
      </w:r>
      <w:r w:rsidRPr="00DB5977">
        <w:rPr>
          <w:rFonts w:ascii="Verdana" w:hAnsi="Verdana"/>
          <w:sz w:val="20"/>
          <w:szCs w:val="20"/>
        </w:rPr>
        <w:t>(</w:t>
      </w:r>
      <w:r w:rsidRPr="00DB5977">
        <w:rPr>
          <w:rFonts w:ascii="Verdana" w:hAnsi="Verdana"/>
          <w:i/>
          <w:sz w:val="20"/>
          <w:szCs w:val="20"/>
          <w:u w:val="single"/>
        </w:rPr>
        <w:t>See</w:t>
      </w:r>
      <w:r w:rsidRPr="00DB5977">
        <w:rPr>
          <w:rFonts w:ascii="Verdana" w:hAnsi="Verdana"/>
          <w:i/>
          <w:sz w:val="20"/>
          <w:szCs w:val="20"/>
        </w:rPr>
        <w:t xml:space="preserve"> </w:t>
      </w:r>
      <w:r w:rsidRPr="00DB5977">
        <w:rPr>
          <w:rFonts w:ascii="Verdana" w:hAnsi="Verdana"/>
          <w:sz w:val="20"/>
          <w:szCs w:val="20"/>
        </w:rPr>
        <w:t xml:space="preserve">Table </w:t>
      </w:r>
      <w:r w:rsidR="002C11E9">
        <w:rPr>
          <w:rFonts w:ascii="Verdana" w:hAnsi="Verdana"/>
          <w:sz w:val="20"/>
          <w:szCs w:val="20"/>
        </w:rPr>
        <w:t>4</w:t>
      </w:r>
      <w:r w:rsidRPr="00DB5977">
        <w:rPr>
          <w:rFonts w:ascii="Verdana" w:hAnsi="Verdana"/>
          <w:sz w:val="20"/>
          <w:szCs w:val="20"/>
        </w:rPr>
        <w:t xml:space="preserve"> below</w:t>
      </w:r>
      <w:r w:rsidR="007B2242" w:rsidRPr="00DB5977">
        <w:rPr>
          <w:rFonts w:ascii="Verdana" w:hAnsi="Verdana"/>
          <w:sz w:val="20"/>
          <w:szCs w:val="20"/>
        </w:rPr>
        <w:t>.</w:t>
      </w:r>
      <w:r w:rsidRPr="00DB5977">
        <w:rPr>
          <w:rFonts w:ascii="Verdana" w:hAnsi="Verdana"/>
          <w:sz w:val="20"/>
          <w:szCs w:val="20"/>
        </w:rPr>
        <w:t>)</w:t>
      </w:r>
      <w:r w:rsidR="0025065A">
        <w:rPr>
          <w:rFonts w:ascii="Verdana" w:hAnsi="Verdana"/>
          <w:sz w:val="20"/>
          <w:szCs w:val="20"/>
        </w:rPr>
        <w:t xml:space="preserve"> </w:t>
      </w:r>
    </w:p>
    <w:p w14:paraId="44B0FF63" w14:textId="77777777" w:rsidR="00823379" w:rsidRPr="00DB5977" w:rsidRDefault="00823379" w:rsidP="004B2CD5">
      <w:pPr>
        <w:pStyle w:val="DirectNext"/>
        <w:suppressLineNumbers/>
        <w:spacing w:line="240" w:lineRule="auto"/>
        <w:rPr>
          <w:rFonts w:ascii="Verdana" w:hAnsi="Verdana"/>
          <w:sz w:val="20"/>
          <w:szCs w:val="20"/>
        </w:rPr>
      </w:pPr>
    </w:p>
    <w:tbl>
      <w:tblPr>
        <w:tblW w:w="6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00"/>
        <w:gridCol w:w="1170"/>
        <w:gridCol w:w="1235"/>
      </w:tblGrid>
      <w:tr w:rsidR="009F6BA8" w:rsidRPr="000800FC" w14:paraId="6BD1619E" w14:textId="77777777" w:rsidTr="00A8362B">
        <w:trPr>
          <w:trHeight w:val="285"/>
          <w:jc w:val="center"/>
        </w:trPr>
        <w:tc>
          <w:tcPr>
            <w:tcW w:w="6905" w:type="dxa"/>
            <w:gridSpan w:val="3"/>
            <w:tcBorders>
              <w:top w:val="single" w:sz="12" w:space="0" w:color="auto"/>
              <w:left w:val="nil"/>
              <w:bottom w:val="single" w:sz="4" w:space="0" w:color="auto"/>
              <w:right w:val="nil"/>
            </w:tcBorders>
            <w:shd w:val="clear" w:color="auto" w:fill="auto"/>
            <w:vAlign w:val="center"/>
          </w:tcPr>
          <w:p w14:paraId="55424EAF" w14:textId="0D2F3A0B" w:rsidR="009F6BA8" w:rsidRPr="000800FC" w:rsidRDefault="006556B3" w:rsidP="00A8362B">
            <w:pPr>
              <w:keepNext/>
              <w:spacing w:before="80" w:after="80" w:line="240" w:lineRule="auto"/>
              <w:jc w:val="center"/>
              <w:rPr>
                <w:rFonts w:ascii="Verdana" w:eastAsia="Times New Roman" w:hAnsi="Verdana" w:cstheme="minorHAnsi"/>
                <w:b/>
                <w:bCs/>
                <w:color w:val="000000"/>
                <w:sz w:val="19"/>
                <w:szCs w:val="19"/>
              </w:rPr>
            </w:pPr>
            <w:r w:rsidRPr="006556B3">
              <w:rPr>
                <w:rFonts w:ascii="Verdana" w:hAnsi="Verdana"/>
                <w:b/>
                <w:bCs/>
                <w:sz w:val="19"/>
                <w:szCs w:val="19"/>
              </w:rPr>
              <w:t xml:space="preserve">Table </w:t>
            </w:r>
            <w:r w:rsidRPr="006556B3">
              <w:rPr>
                <w:rFonts w:ascii="Verdana" w:hAnsi="Verdana"/>
                <w:b/>
                <w:bCs/>
                <w:sz w:val="19"/>
                <w:szCs w:val="19"/>
              </w:rPr>
              <w:fldChar w:fldCharType="begin"/>
            </w:r>
            <w:r w:rsidRPr="006556B3">
              <w:rPr>
                <w:rFonts w:ascii="Verdana" w:hAnsi="Verdana"/>
                <w:b/>
                <w:bCs/>
                <w:sz w:val="19"/>
                <w:szCs w:val="19"/>
              </w:rPr>
              <w:instrText xml:space="preserve"> SEQ Table \* ARABIC </w:instrText>
            </w:r>
            <w:r w:rsidRPr="006556B3">
              <w:rPr>
                <w:rFonts w:ascii="Verdana" w:hAnsi="Verdana"/>
                <w:b/>
                <w:bCs/>
                <w:sz w:val="19"/>
                <w:szCs w:val="19"/>
              </w:rPr>
              <w:fldChar w:fldCharType="separate"/>
            </w:r>
            <w:r w:rsidR="005A4CEF">
              <w:rPr>
                <w:rFonts w:ascii="Verdana" w:hAnsi="Verdana"/>
                <w:b/>
                <w:bCs/>
                <w:noProof/>
                <w:sz w:val="19"/>
                <w:szCs w:val="19"/>
              </w:rPr>
              <w:t>4</w:t>
            </w:r>
            <w:r w:rsidRPr="006556B3">
              <w:rPr>
                <w:rFonts w:ascii="Verdana" w:hAnsi="Verdana"/>
                <w:b/>
                <w:bCs/>
                <w:sz w:val="19"/>
                <w:szCs w:val="19"/>
              </w:rPr>
              <w:fldChar w:fldCharType="end"/>
            </w:r>
            <w:r w:rsidRPr="006556B3">
              <w:rPr>
                <w:rFonts w:ascii="Verdana" w:hAnsi="Verdana"/>
                <w:b/>
                <w:bCs/>
                <w:sz w:val="19"/>
                <w:szCs w:val="19"/>
              </w:rPr>
              <w:t>.</w:t>
            </w:r>
            <w:r w:rsidR="009F6BA8" w:rsidRPr="000800FC">
              <w:rPr>
                <w:rFonts w:ascii="Verdana" w:eastAsia="Times New Roman" w:hAnsi="Verdana" w:cstheme="minorHAnsi"/>
                <w:b/>
                <w:bCs/>
                <w:sz w:val="19"/>
                <w:szCs w:val="19"/>
              </w:rPr>
              <w:t xml:space="preserve"> Constant Growth DCF Results</w:t>
            </w:r>
            <w:r w:rsidR="00C41F5A">
              <w:rPr>
                <w:rFonts w:ascii="Verdana" w:eastAsia="Times New Roman" w:hAnsi="Verdana" w:cstheme="minorHAnsi"/>
                <w:b/>
                <w:bCs/>
                <w:sz w:val="19"/>
                <w:szCs w:val="19"/>
              </w:rPr>
              <w:t xml:space="preserve"> – Estimated Return on Equity</w:t>
            </w:r>
          </w:p>
        </w:tc>
      </w:tr>
      <w:tr w:rsidR="00C41F5A" w:rsidRPr="00130FFB" w14:paraId="0F024554" w14:textId="77777777" w:rsidTr="00A8362B">
        <w:trPr>
          <w:trHeight w:val="89"/>
          <w:jc w:val="center"/>
        </w:trPr>
        <w:tc>
          <w:tcPr>
            <w:tcW w:w="4500" w:type="dxa"/>
            <w:vMerge w:val="restart"/>
            <w:tcBorders>
              <w:top w:val="single" w:sz="4" w:space="0" w:color="auto"/>
              <w:left w:val="nil"/>
              <w:right w:val="nil"/>
            </w:tcBorders>
            <w:shd w:val="clear" w:color="auto" w:fill="auto"/>
            <w:vAlign w:val="bottom"/>
            <w:hideMark/>
          </w:tcPr>
          <w:p w14:paraId="5A9AE6A1" w14:textId="77777777" w:rsidR="00C41F5A" w:rsidRPr="00130FFB" w:rsidRDefault="00C41F5A" w:rsidP="00A8362B">
            <w:pPr>
              <w:keepNext/>
              <w:spacing w:after="0" w:line="240" w:lineRule="auto"/>
              <w:rPr>
                <w:rFonts w:ascii="Verdana" w:eastAsia="Times New Roman" w:hAnsi="Verdana" w:cstheme="minorHAnsi"/>
                <w:sz w:val="19"/>
                <w:szCs w:val="19"/>
              </w:rPr>
            </w:pPr>
            <w:r w:rsidRPr="00130FFB">
              <w:rPr>
                <w:rFonts w:ascii="Verdana" w:eastAsia="Times New Roman" w:hAnsi="Verdana" w:cstheme="minorHAnsi"/>
                <w:sz w:val="19"/>
                <w:szCs w:val="19"/>
              </w:rPr>
              <w:t>DCF Methodology</w:t>
            </w:r>
          </w:p>
        </w:tc>
        <w:tc>
          <w:tcPr>
            <w:tcW w:w="2405" w:type="dxa"/>
            <w:gridSpan w:val="2"/>
            <w:tcBorders>
              <w:top w:val="single" w:sz="4" w:space="0" w:color="auto"/>
              <w:left w:val="nil"/>
              <w:bottom w:val="single" w:sz="4" w:space="0" w:color="auto"/>
              <w:right w:val="nil"/>
            </w:tcBorders>
            <w:shd w:val="clear" w:color="auto" w:fill="auto"/>
            <w:vAlign w:val="bottom"/>
            <w:hideMark/>
          </w:tcPr>
          <w:p w14:paraId="038E8EA0" w14:textId="77777777" w:rsidR="00C41F5A" w:rsidRPr="00130FFB" w:rsidRDefault="00C41F5A" w:rsidP="00A8362B">
            <w:pPr>
              <w:keepNext/>
              <w:spacing w:after="0" w:line="240" w:lineRule="auto"/>
              <w:jc w:val="center"/>
              <w:rPr>
                <w:rFonts w:ascii="Verdana" w:eastAsia="Times New Roman" w:hAnsi="Verdana" w:cstheme="minorHAnsi"/>
                <w:color w:val="000000"/>
                <w:sz w:val="19"/>
                <w:szCs w:val="19"/>
              </w:rPr>
            </w:pPr>
            <w:r>
              <w:rPr>
                <w:rFonts w:ascii="Verdana" w:eastAsia="Times New Roman" w:hAnsi="Verdana" w:cstheme="minorHAnsi"/>
                <w:color w:val="000000"/>
                <w:sz w:val="19"/>
                <w:szCs w:val="19"/>
              </w:rPr>
              <w:t>ROE (%)</w:t>
            </w:r>
          </w:p>
        </w:tc>
      </w:tr>
      <w:tr w:rsidR="00C41F5A" w:rsidRPr="00130FFB" w14:paraId="1313CEEA" w14:textId="77777777" w:rsidTr="00A8362B">
        <w:trPr>
          <w:trHeight w:val="378"/>
          <w:jc w:val="center"/>
        </w:trPr>
        <w:tc>
          <w:tcPr>
            <w:tcW w:w="4500" w:type="dxa"/>
            <w:vMerge/>
            <w:tcBorders>
              <w:left w:val="nil"/>
              <w:bottom w:val="single" w:sz="4" w:space="0" w:color="auto"/>
              <w:right w:val="nil"/>
            </w:tcBorders>
            <w:shd w:val="clear" w:color="auto" w:fill="auto"/>
            <w:vAlign w:val="bottom"/>
            <w:hideMark/>
          </w:tcPr>
          <w:p w14:paraId="652A59A4" w14:textId="77777777" w:rsidR="00C41F5A" w:rsidRPr="00130FFB" w:rsidRDefault="00C41F5A" w:rsidP="00A8362B">
            <w:pPr>
              <w:keepNext/>
              <w:spacing w:after="0" w:line="240" w:lineRule="auto"/>
              <w:rPr>
                <w:rFonts w:ascii="Verdana" w:eastAsia="Times New Roman" w:hAnsi="Verdana" w:cstheme="minorHAnsi"/>
                <w:sz w:val="19"/>
                <w:szCs w:val="19"/>
              </w:rPr>
            </w:pPr>
          </w:p>
        </w:tc>
        <w:tc>
          <w:tcPr>
            <w:tcW w:w="1170" w:type="dxa"/>
            <w:tcBorders>
              <w:top w:val="single" w:sz="4" w:space="0" w:color="auto"/>
              <w:left w:val="nil"/>
              <w:bottom w:val="single" w:sz="4" w:space="0" w:color="auto"/>
              <w:right w:val="nil"/>
            </w:tcBorders>
            <w:shd w:val="clear" w:color="auto" w:fill="auto"/>
            <w:vAlign w:val="center"/>
            <w:hideMark/>
          </w:tcPr>
          <w:p w14:paraId="24BDD646" w14:textId="77777777" w:rsidR="00C41F5A" w:rsidRPr="00130FFB" w:rsidRDefault="00C41F5A" w:rsidP="00A8362B">
            <w:pPr>
              <w:keepNext/>
              <w:spacing w:after="0" w:line="240" w:lineRule="auto"/>
              <w:jc w:val="center"/>
              <w:rPr>
                <w:rFonts w:ascii="Verdana" w:eastAsia="Times New Roman" w:hAnsi="Verdana" w:cstheme="minorHAnsi"/>
                <w:color w:val="000000"/>
                <w:sz w:val="19"/>
                <w:szCs w:val="19"/>
              </w:rPr>
            </w:pPr>
            <w:r w:rsidRPr="00130FFB">
              <w:rPr>
                <w:rFonts w:ascii="Verdana" w:eastAsia="Times New Roman" w:hAnsi="Verdana" w:cstheme="minorHAnsi"/>
                <w:color w:val="000000"/>
                <w:sz w:val="19"/>
                <w:szCs w:val="19"/>
              </w:rPr>
              <w:t>90-Day Stock Price</w:t>
            </w:r>
          </w:p>
        </w:tc>
        <w:tc>
          <w:tcPr>
            <w:tcW w:w="1235" w:type="dxa"/>
            <w:tcBorders>
              <w:top w:val="single" w:sz="4" w:space="0" w:color="auto"/>
              <w:left w:val="nil"/>
              <w:bottom w:val="single" w:sz="4" w:space="0" w:color="auto"/>
              <w:right w:val="nil"/>
            </w:tcBorders>
            <w:shd w:val="clear" w:color="auto" w:fill="auto"/>
            <w:vAlign w:val="center"/>
            <w:hideMark/>
          </w:tcPr>
          <w:p w14:paraId="21D21246" w14:textId="77777777" w:rsidR="00C41F5A" w:rsidRPr="00130FFB" w:rsidRDefault="00C41F5A" w:rsidP="00A8362B">
            <w:pPr>
              <w:keepNext/>
              <w:spacing w:after="0" w:line="240" w:lineRule="auto"/>
              <w:jc w:val="center"/>
              <w:rPr>
                <w:rFonts w:ascii="Verdana" w:eastAsia="Times New Roman" w:hAnsi="Verdana" w:cstheme="minorHAnsi"/>
                <w:color w:val="000000"/>
                <w:sz w:val="19"/>
                <w:szCs w:val="19"/>
              </w:rPr>
            </w:pPr>
            <w:r w:rsidRPr="00130FFB">
              <w:rPr>
                <w:rFonts w:ascii="Verdana" w:eastAsia="Times New Roman" w:hAnsi="Verdana" w:cstheme="minorHAnsi"/>
                <w:color w:val="000000"/>
                <w:sz w:val="19"/>
                <w:szCs w:val="19"/>
              </w:rPr>
              <w:t>180-Day Stock Price</w:t>
            </w:r>
          </w:p>
        </w:tc>
      </w:tr>
      <w:tr w:rsidR="009F6BA8" w:rsidRPr="00130FFB" w14:paraId="1E63DDA1" w14:textId="77777777" w:rsidTr="00A8362B">
        <w:trPr>
          <w:trHeight w:val="293"/>
          <w:jc w:val="center"/>
        </w:trPr>
        <w:tc>
          <w:tcPr>
            <w:tcW w:w="4500" w:type="dxa"/>
            <w:tcBorders>
              <w:top w:val="single" w:sz="4" w:space="0" w:color="auto"/>
              <w:left w:val="nil"/>
              <w:bottom w:val="nil"/>
              <w:right w:val="nil"/>
            </w:tcBorders>
            <w:shd w:val="clear" w:color="auto" w:fill="auto"/>
            <w:noWrap/>
            <w:vAlign w:val="center"/>
            <w:hideMark/>
          </w:tcPr>
          <w:p w14:paraId="79F5A56B" w14:textId="77777777" w:rsidR="009F6BA8" w:rsidRPr="00130FFB" w:rsidRDefault="009F6BA8" w:rsidP="009F6BA8">
            <w:pPr>
              <w:keepNext/>
              <w:spacing w:before="60" w:after="60" w:line="240" w:lineRule="auto"/>
              <w:rPr>
                <w:rFonts w:ascii="Verdana" w:eastAsia="Times New Roman" w:hAnsi="Verdana" w:cstheme="minorHAnsi"/>
                <w:sz w:val="19"/>
                <w:szCs w:val="19"/>
              </w:rPr>
            </w:pPr>
            <w:r w:rsidRPr="00130FFB">
              <w:rPr>
                <w:rFonts w:ascii="Verdana" w:eastAsia="Times New Roman" w:hAnsi="Verdana" w:cstheme="minorHAnsi"/>
                <w:sz w:val="19"/>
                <w:szCs w:val="19"/>
              </w:rPr>
              <w:t>Constant Growth DCF (EPS Growth)</w:t>
            </w:r>
          </w:p>
        </w:tc>
        <w:tc>
          <w:tcPr>
            <w:tcW w:w="1170" w:type="dxa"/>
            <w:tcBorders>
              <w:top w:val="single" w:sz="4" w:space="0" w:color="auto"/>
              <w:left w:val="nil"/>
              <w:bottom w:val="nil"/>
              <w:right w:val="nil"/>
            </w:tcBorders>
            <w:shd w:val="clear" w:color="auto" w:fill="auto"/>
            <w:noWrap/>
            <w:vAlign w:val="center"/>
            <w:hideMark/>
          </w:tcPr>
          <w:p w14:paraId="5FD805D6" w14:textId="77777777" w:rsidR="009F6BA8" w:rsidRPr="009F6BA8" w:rsidRDefault="009F6BA8" w:rsidP="009F6BA8">
            <w:pPr>
              <w:keepNext/>
              <w:tabs>
                <w:tab w:val="decimal" w:pos="334"/>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9.00</w:t>
            </w:r>
          </w:p>
        </w:tc>
        <w:tc>
          <w:tcPr>
            <w:tcW w:w="1235" w:type="dxa"/>
            <w:tcBorders>
              <w:top w:val="single" w:sz="4" w:space="0" w:color="auto"/>
              <w:left w:val="nil"/>
              <w:bottom w:val="nil"/>
              <w:right w:val="nil"/>
            </w:tcBorders>
            <w:shd w:val="clear" w:color="auto" w:fill="auto"/>
            <w:noWrap/>
            <w:vAlign w:val="center"/>
            <w:hideMark/>
          </w:tcPr>
          <w:p w14:paraId="7D64C844" w14:textId="77777777" w:rsidR="009F6BA8" w:rsidRPr="009F6BA8" w:rsidRDefault="009F6BA8" w:rsidP="009F6BA8">
            <w:pPr>
              <w:keepNext/>
              <w:tabs>
                <w:tab w:val="decimal" w:pos="397"/>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9.06</w:t>
            </w:r>
          </w:p>
        </w:tc>
      </w:tr>
      <w:tr w:rsidR="009F6BA8" w:rsidRPr="00130FFB" w14:paraId="15511C80" w14:textId="77777777" w:rsidTr="00477330">
        <w:trPr>
          <w:trHeight w:val="285"/>
          <w:jc w:val="center"/>
        </w:trPr>
        <w:tc>
          <w:tcPr>
            <w:tcW w:w="4500" w:type="dxa"/>
            <w:tcBorders>
              <w:top w:val="nil"/>
              <w:left w:val="nil"/>
              <w:bottom w:val="nil"/>
              <w:right w:val="nil"/>
            </w:tcBorders>
            <w:shd w:val="clear" w:color="auto" w:fill="auto"/>
            <w:noWrap/>
            <w:vAlign w:val="center"/>
            <w:hideMark/>
          </w:tcPr>
          <w:p w14:paraId="783A25F4" w14:textId="77777777" w:rsidR="009F6BA8" w:rsidRPr="00130FFB" w:rsidRDefault="009F6BA8" w:rsidP="009F6BA8">
            <w:pPr>
              <w:keepNext/>
              <w:spacing w:before="60" w:after="60" w:line="240" w:lineRule="auto"/>
              <w:rPr>
                <w:rFonts w:ascii="Verdana" w:eastAsia="Times New Roman" w:hAnsi="Verdana" w:cstheme="minorHAnsi"/>
                <w:color w:val="000000"/>
                <w:sz w:val="19"/>
                <w:szCs w:val="19"/>
              </w:rPr>
            </w:pPr>
            <w:r w:rsidRPr="00130FFB">
              <w:rPr>
                <w:rFonts w:ascii="Verdana" w:eastAsia="Times New Roman" w:hAnsi="Verdana" w:cstheme="minorHAnsi"/>
                <w:color w:val="000000"/>
                <w:sz w:val="19"/>
                <w:szCs w:val="19"/>
              </w:rPr>
              <w:t>Constant Growth DCF (DPS, EPS and BVPS)</w:t>
            </w:r>
          </w:p>
        </w:tc>
        <w:tc>
          <w:tcPr>
            <w:tcW w:w="1170" w:type="dxa"/>
            <w:tcBorders>
              <w:top w:val="nil"/>
              <w:left w:val="nil"/>
              <w:bottom w:val="nil"/>
              <w:right w:val="nil"/>
            </w:tcBorders>
            <w:shd w:val="clear" w:color="auto" w:fill="auto"/>
            <w:noWrap/>
            <w:vAlign w:val="center"/>
            <w:hideMark/>
          </w:tcPr>
          <w:p w14:paraId="69CEF1E2" w14:textId="77777777" w:rsidR="009F6BA8" w:rsidRPr="009F6BA8" w:rsidRDefault="009F6BA8" w:rsidP="009F6BA8">
            <w:pPr>
              <w:keepNext/>
              <w:tabs>
                <w:tab w:val="decimal" w:pos="334"/>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8.68</w:t>
            </w:r>
          </w:p>
        </w:tc>
        <w:tc>
          <w:tcPr>
            <w:tcW w:w="1235" w:type="dxa"/>
            <w:tcBorders>
              <w:top w:val="nil"/>
              <w:left w:val="nil"/>
              <w:bottom w:val="nil"/>
              <w:right w:val="nil"/>
            </w:tcBorders>
            <w:shd w:val="clear" w:color="auto" w:fill="auto"/>
            <w:noWrap/>
            <w:vAlign w:val="center"/>
            <w:hideMark/>
          </w:tcPr>
          <w:p w14:paraId="432248D6" w14:textId="77777777" w:rsidR="009F6BA8" w:rsidRPr="009F6BA8" w:rsidRDefault="009F6BA8" w:rsidP="009F6BA8">
            <w:pPr>
              <w:keepNext/>
              <w:tabs>
                <w:tab w:val="decimal" w:pos="397"/>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8.74</w:t>
            </w:r>
          </w:p>
        </w:tc>
      </w:tr>
      <w:tr w:rsidR="009F6BA8" w:rsidRPr="00130FFB" w14:paraId="704A5B40" w14:textId="77777777" w:rsidTr="00477330">
        <w:trPr>
          <w:trHeight w:val="285"/>
          <w:jc w:val="center"/>
        </w:trPr>
        <w:tc>
          <w:tcPr>
            <w:tcW w:w="4500" w:type="dxa"/>
            <w:tcBorders>
              <w:top w:val="nil"/>
              <w:left w:val="nil"/>
              <w:bottom w:val="single" w:sz="4" w:space="0" w:color="auto"/>
              <w:right w:val="nil"/>
            </w:tcBorders>
            <w:shd w:val="clear" w:color="auto" w:fill="auto"/>
            <w:noWrap/>
            <w:vAlign w:val="center"/>
            <w:hideMark/>
          </w:tcPr>
          <w:p w14:paraId="63BF1D69" w14:textId="77777777" w:rsidR="009F6BA8" w:rsidRPr="00130FFB" w:rsidRDefault="009F6BA8" w:rsidP="009F6BA8">
            <w:pPr>
              <w:keepNext/>
              <w:spacing w:before="60" w:after="60" w:line="240" w:lineRule="auto"/>
              <w:rPr>
                <w:rFonts w:ascii="Verdana" w:eastAsia="Times New Roman" w:hAnsi="Verdana" w:cstheme="minorHAnsi"/>
                <w:color w:val="000000"/>
                <w:sz w:val="19"/>
                <w:szCs w:val="19"/>
              </w:rPr>
            </w:pPr>
            <w:r w:rsidRPr="00130FFB">
              <w:rPr>
                <w:rFonts w:ascii="Verdana" w:eastAsia="Times New Roman" w:hAnsi="Verdana" w:cstheme="minorHAnsi"/>
                <w:color w:val="000000"/>
                <w:sz w:val="19"/>
                <w:szCs w:val="19"/>
              </w:rPr>
              <w:t>Sustainable Growth DCF</w:t>
            </w:r>
          </w:p>
        </w:tc>
        <w:tc>
          <w:tcPr>
            <w:tcW w:w="1170" w:type="dxa"/>
            <w:tcBorders>
              <w:top w:val="nil"/>
              <w:left w:val="nil"/>
              <w:bottom w:val="single" w:sz="4" w:space="0" w:color="auto"/>
              <w:right w:val="nil"/>
            </w:tcBorders>
            <w:shd w:val="clear" w:color="auto" w:fill="auto"/>
            <w:noWrap/>
            <w:vAlign w:val="center"/>
            <w:hideMark/>
          </w:tcPr>
          <w:p w14:paraId="35D826DA" w14:textId="77777777" w:rsidR="009F6BA8" w:rsidRPr="009F6BA8" w:rsidRDefault="009F6BA8" w:rsidP="009F6BA8">
            <w:pPr>
              <w:keepNext/>
              <w:tabs>
                <w:tab w:val="decimal" w:pos="334"/>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9.14</w:t>
            </w:r>
          </w:p>
        </w:tc>
        <w:tc>
          <w:tcPr>
            <w:tcW w:w="1235" w:type="dxa"/>
            <w:tcBorders>
              <w:top w:val="nil"/>
              <w:left w:val="nil"/>
              <w:bottom w:val="single" w:sz="4" w:space="0" w:color="auto"/>
              <w:right w:val="nil"/>
            </w:tcBorders>
            <w:shd w:val="clear" w:color="auto" w:fill="auto"/>
            <w:noWrap/>
            <w:vAlign w:val="center"/>
            <w:hideMark/>
          </w:tcPr>
          <w:p w14:paraId="40574DA4" w14:textId="77777777" w:rsidR="009F6BA8" w:rsidRPr="009F6BA8" w:rsidRDefault="009F6BA8" w:rsidP="009F6BA8">
            <w:pPr>
              <w:keepNext/>
              <w:tabs>
                <w:tab w:val="decimal" w:pos="397"/>
              </w:tabs>
              <w:spacing w:before="60" w:after="60" w:line="240" w:lineRule="auto"/>
              <w:rPr>
                <w:rFonts w:ascii="Verdana" w:eastAsia="Times New Roman" w:hAnsi="Verdana" w:cstheme="minorHAnsi"/>
                <w:color w:val="000000"/>
                <w:sz w:val="19"/>
                <w:szCs w:val="19"/>
              </w:rPr>
            </w:pPr>
            <w:r w:rsidRPr="009F6BA8">
              <w:rPr>
                <w:rFonts w:ascii="Verdana" w:eastAsia="Times New Roman" w:hAnsi="Verdana" w:cstheme="minorHAnsi"/>
                <w:color w:val="000000"/>
                <w:sz w:val="19"/>
                <w:szCs w:val="19"/>
              </w:rPr>
              <w:t>9.14</w:t>
            </w:r>
          </w:p>
        </w:tc>
      </w:tr>
      <w:tr w:rsidR="009F6BA8" w:rsidRPr="00130FFB" w14:paraId="59D2E8D5" w14:textId="77777777" w:rsidTr="00477330">
        <w:trPr>
          <w:trHeight w:val="293"/>
          <w:jc w:val="center"/>
        </w:trPr>
        <w:tc>
          <w:tcPr>
            <w:tcW w:w="4500" w:type="dxa"/>
            <w:tcBorders>
              <w:top w:val="single" w:sz="4" w:space="0" w:color="auto"/>
              <w:left w:val="nil"/>
              <w:bottom w:val="single" w:sz="12" w:space="0" w:color="auto"/>
              <w:right w:val="nil"/>
            </w:tcBorders>
            <w:shd w:val="clear" w:color="auto" w:fill="auto"/>
            <w:noWrap/>
            <w:vAlign w:val="center"/>
            <w:hideMark/>
          </w:tcPr>
          <w:p w14:paraId="6F9B9BCF" w14:textId="77777777" w:rsidR="009F6BA8" w:rsidRPr="00130FFB" w:rsidRDefault="009F6BA8" w:rsidP="009F6BA8">
            <w:pPr>
              <w:keepNext/>
              <w:spacing w:before="60" w:after="60" w:line="240" w:lineRule="auto"/>
              <w:rPr>
                <w:rFonts w:ascii="Verdana" w:eastAsia="Times New Roman" w:hAnsi="Verdana" w:cstheme="minorHAnsi"/>
                <w:b/>
                <w:bCs/>
                <w:color w:val="000000"/>
                <w:sz w:val="19"/>
                <w:szCs w:val="19"/>
              </w:rPr>
            </w:pPr>
            <w:r w:rsidRPr="00130FFB">
              <w:rPr>
                <w:rFonts w:ascii="Verdana" w:eastAsia="Times New Roman" w:hAnsi="Verdana" w:cstheme="minorHAnsi"/>
                <w:b/>
                <w:bCs/>
                <w:color w:val="000000"/>
                <w:sz w:val="19"/>
                <w:szCs w:val="19"/>
              </w:rPr>
              <w:t>DCF Range</w:t>
            </w:r>
            <w:r w:rsidR="002C11E9">
              <w:rPr>
                <w:rFonts w:ascii="Verdana" w:eastAsia="Times New Roman" w:hAnsi="Verdana" w:cstheme="minorHAnsi"/>
                <w:b/>
                <w:bCs/>
                <w:color w:val="000000"/>
                <w:sz w:val="19"/>
                <w:szCs w:val="19"/>
              </w:rPr>
              <w:t>:</w:t>
            </w:r>
          </w:p>
        </w:tc>
        <w:tc>
          <w:tcPr>
            <w:tcW w:w="1170" w:type="dxa"/>
            <w:tcBorders>
              <w:top w:val="single" w:sz="4" w:space="0" w:color="auto"/>
              <w:left w:val="nil"/>
              <w:bottom w:val="single" w:sz="12" w:space="0" w:color="auto"/>
              <w:right w:val="nil"/>
            </w:tcBorders>
            <w:shd w:val="clear" w:color="auto" w:fill="auto"/>
            <w:noWrap/>
            <w:vAlign w:val="center"/>
            <w:hideMark/>
          </w:tcPr>
          <w:p w14:paraId="3FB55441" w14:textId="77777777" w:rsidR="009F6BA8" w:rsidRPr="009F6BA8" w:rsidRDefault="009F6BA8" w:rsidP="009F6BA8">
            <w:pPr>
              <w:keepNext/>
              <w:tabs>
                <w:tab w:val="decimal" w:pos="334"/>
              </w:tabs>
              <w:spacing w:before="60" w:after="60" w:line="240" w:lineRule="auto"/>
              <w:rPr>
                <w:rFonts w:ascii="Verdana" w:eastAsia="Times New Roman" w:hAnsi="Verdana" w:cstheme="minorHAnsi"/>
                <w:b/>
                <w:bCs/>
                <w:color w:val="000000"/>
                <w:sz w:val="19"/>
                <w:szCs w:val="19"/>
              </w:rPr>
            </w:pPr>
            <w:r w:rsidRPr="009F6BA8">
              <w:rPr>
                <w:rFonts w:ascii="Verdana" w:eastAsia="Times New Roman" w:hAnsi="Verdana" w:cstheme="minorHAnsi"/>
                <w:b/>
                <w:bCs/>
                <w:color w:val="000000"/>
                <w:sz w:val="19"/>
                <w:szCs w:val="19"/>
              </w:rPr>
              <w:t>8.68</w:t>
            </w:r>
          </w:p>
        </w:tc>
        <w:tc>
          <w:tcPr>
            <w:tcW w:w="1235" w:type="dxa"/>
            <w:tcBorders>
              <w:top w:val="single" w:sz="4" w:space="0" w:color="auto"/>
              <w:left w:val="nil"/>
              <w:bottom w:val="single" w:sz="12" w:space="0" w:color="auto"/>
              <w:right w:val="nil"/>
            </w:tcBorders>
            <w:shd w:val="clear" w:color="auto" w:fill="auto"/>
            <w:noWrap/>
            <w:vAlign w:val="center"/>
            <w:hideMark/>
          </w:tcPr>
          <w:p w14:paraId="2A6E056D" w14:textId="77777777" w:rsidR="009F6BA8" w:rsidRPr="009F6BA8" w:rsidRDefault="009F6BA8" w:rsidP="009F6BA8">
            <w:pPr>
              <w:keepNext/>
              <w:tabs>
                <w:tab w:val="decimal" w:pos="397"/>
              </w:tabs>
              <w:spacing w:before="60" w:after="60" w:line="240" w:lineRule="auto"/>
              <w:rPr>
                <w:rFonts w:ascii="Verdana" w:eastAsia="Times New Roman" w:hAnsi="Verdana" w:cstheme="minorHAnsi"/>
                <w:b/>
                <w:bCs/>
                <w:color w:val="000000"/>
                <w:sz w:val="19"/>
                <w:szCs w:val="19"/>
              </w:rPr>
            </w:pPr>
            <w:r w:rsidRPr="009F6BA8">
              <w:rPr>
                <w:rFonts w:ascii="Verdana" w:eastAsia="Times New Roman" w:hAnsi="Verdana" w:cstheme="minorHAnsi"/>
                <w:b/>
                <w:bCs/>
                <w:color w:val="000000"/>
                <w:sz w:val="19"/>
                <w:szCs w:val="19"/>
              </w:rPr>
              <w:t>9.14</w:t>
            </w:r>
          </w:p>
        </w:tc>
      </w:tr>
    </w:tbl>
    <w:p w14:paraId="0B3B231A" w14:textId="77777777" w:rsidR="009F6BA8" w:rsidRPr="00DB5977" w:rsidRDefault="009F6BA8" w:rsidP="004B2CD5">
      <w:pPr>
        <w:pStyle w:val="DirectNext"/>
        <w:suppressLineNumbers/>
        <w:spacing w:line="240" w:lineRule="auto"/>
        <w:rPr>
          <w:rFonts w:ascii="Verdana" w:hAnsi="Verdana"/>
          <w:sz w:val="20"/>
          <w:szCs w:val="20"/>
        </w:rPr>
      </w:pPr>
    </w:p>
    <w:p w14:paraId="76BE4940" w14:textId="77777777" w:rsidR="00823379" w:rsidRPr="00DB5977" w:rsidRDefault="00823379" w:rsidP="00486739">
      <w:pPr>
        <w:pStyle w:val="DirectQuestion"/>
      </w:pPr>
      <w:r w:rsidRPr="00DB5977">
        <w:t xml:space="preserve">Does your methodology for calculating the DCF growth rate differ from that of </w:t>
      </w:r>
      <w:r w:rsidR="001C2A4A" w:rsidRPr="00DB5977">
        <w:t>Dr. vander weide</w:t>
      </w:r>
      <w:r w:rsidRPr="00DB5977">
        <w:t>?</w:t>
      </w:r>
    </w:p>
    <w:p w14:paraId="7D0D0DEA"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Yes.</w:t>
      </w:r>
      <w:r w:rsidR="0025065A">
        <w:rPr>
          <w:rFonts w:ascii="Verdana" w:hAnsi="Verdana" w:cstheme="minorHAnsi"/>
          <w:sz w:val="20"/>
          <w:szCs w:val="20"/>
        </w:rPr>
        <w:t xml:space="preserve"> </w:t>
      </w:r>
      <w:r w:rsidRPr="00DB5977">
        <w:rPr>
          <w:rFonts w:ascii="Verdana" w:hAnsi="Verdana" w:cstheme="minorHAnsi"/>
          <w:sz w:val="20"/>
          <w:szCs w:val="20"/>
        </w:rPr>
        <w:t xml:space="preserve">Applying </w:t>
      </w:r>
      <w:r w:rsidR="00F34A70" w:rsidRPr="00DB5977">
        <w:rPr>
          <w:rFonts w:ascii="Verdana" w:hAnsi="Verdana" w:cstheme="minorHAnsi"/>
          <w:sz w:val="20"/>
          <w:szCs w:val="20"/>
        </w:rPr>
        <w:t xml:space="preserve">Dr. Vander </w:t>
      </w:r>
      <w:proofErr w:type="spellStart"/>
      <w:r w:rsidR="00F34A70" w:rsidRPr="00DB5977">
        <w:rPr>
          <w:rFonts w:ascii="Verdana" w:hAnsi="Verdana" w:cstheme="minorHAnsi"/>
          <w:sz w:val="20"/>
          <w:szCs w:val="20"/>
        </w:rPr>
        <w:t>Weide</w:t>
      </w:r>
      <w:r w:rsidRPr="00DB5977">
        <w:rPr>
          <w:rFonts w:ascii="Verdana" w:hAnsi="Verdana" w:cstheme="minorHAnsi"/>
          <w:sz w:val="20"/>
          <w:szCs w:val="20"/>
        </w:rPr>
        <w:t>’s</w:t>
      </w:r>
      <w:proofErr w:type="spellEnd"/>
      <w:r w:rsidRPr="00DB5977">
        <w:rPr>
          <w:rFonts w:ascii="Verdana" w:hAnsi="Verdana" w:cstheme="minorHAnsi"/>
          <w:sz w:val="20"/>
          <w:szCs w:val="20"/>
        </w:rPr>
        <w:t xml:space="preserve"> methodology of using a growth rate comprised of only EPS growth yields over the </w:t>
      </w:r>
      <w:r w:rsidR="0082627F" w:rsidRPr="00DB5977">
        <w:rPr>
          <w:rFonts w:ascii="Verdana" w:hAnsi="Verdana" w:cstheme="minorHAnsi"/>
          <w:sz w:val="20"/>
          <w:szCs w:val="20"/>
        </w:rPr>
        <w:t>9</w:t>
      </w:r>
      <w:r w:rsidRPr="00DB5977">
        <w:rPr>
          <w:rFonts w:ascii="Verdana" w:hAnsi="Verdana" w:cstheme="minorHAnsi"/>
          <w:sz w:val="20"/>
          <w:szCs w:val="20"/>
        </w:rPr>
        <w:t xml:space="preserve">0-day and </w:t>
      </w:r>
      <w:r w:rsidR="0082627F" w:rsidRPr="00DB5977">
        <w:rPr>
          <w:rFonts w:ascii="Verdana" w:hAnsi="Verdana" w:cstheme="minorHAnsi"/>
          <w:sz w:val="20"/>
          <w:szCs w:val="20"/>
        </w:rPr>
        <w:t>180-day</w:t>
      </w:r>
      <w:r w:rsidRPr="00DB5977">
        <w:rPr>
          <w:rFonts w:ascii="Verdana" w:hAnsi="Verdana" w:cstheme="minorHAnsi"/>
          <w:sz w:val="20"/>
          <w:szCs w:val="20"/>
        </w:rPr>
        <w:t xml:space="preserve"> periods consistent with my analysis generates ROE results of </w:t>
      </w:r>
      <w:r w:rsidR="000B187A" w:rsidRPr="00DB5977">
        <w:rPr>
          <w:rFonts w:ascii="Verdana" w:hAnsi="Verdana" w:cstheme="minorHAnsi"/>
          <w:sz w:val="20"/>
          <w:szCs w:val="20"/>
        </w:rPr>
        <w:t>9.0</w:t>
      </w:r>
      <w:r w:rsidRPr="00DB5977">
        <w:rPr>
          <w:rFonts w:ascii="Verdana" w:hAnsi="Verdana" w:cstheme="minorHAnsi"/>
          <w:sz w:val="20"/>
          <w:szCs w:val="20"/>
        </w:rPr>
        <w:t xml:space="preserve"> percent </w:t>
      </w:r>
      <w:r w:rsidR="0029532D" w:rsidRPr="00DB5977">
        <w:rPr>
          <w:rFonts w:ascii="Verdana" w:hAnsi="Verdana" w:cstheme="minorHAnsi"/>
          <w:sz w:val="20"/>
          <w:szCs w:val="20"/>
        </w:rPr>
        <w:t xml:space="preserve">and </w:t>
      </w:r>
      <w:r w:rsidR="00047E5F" w:rsidRPr="00DB5977">
        <w:rPr>
          <w:rFonts w:ascii="Verdana" w:hAnsi="Verdana" w:cstheme="minorHAnsi"/>
          <w:sz w:val="20"/>
          <w:szCs w:val="20"/>
        </w:rPr>
        <w:t>9.0</w:t>
      </w:r>
      <w:r w:rsidR="000B187A" w:rsidRPr="00DB5977">
        <w:rPr>
          <w:rFonts w:ascii="Verdana" w:hAnsi="Verdana" w:cstheme="minorHAnsi"/>
          <w:sz w:val="20"/>
          <w:szCs w:val="20"/>
        </w:rPr>
        <w:t>6</w:t>
      </w:r>
      <w:r w:rsidRPr="00DB5977">
        <w:rPr>
          <w:rFonts w:ascii="Verdana" w:hAnsi="Verdana" w:cstheme="minorHAnsi"/>
          <w:sz w:val="20"/>
          <w:szCs w:val="20"/>
        </w:rPr>
        <w:t xml:space="preserve"> percent, </w:t>
      </w:r>
      <w:r w:rsidR="00645AEE">
        <w:rPr>
          <w:rFonts w:ascii="Verdana" w:hAnsi="Verdana" w:cstheme="minorHAnsi"/>
          <w:sz w:val="20"/>
          <w:szCs w:val="20"/>
        </w:rPr>
        <w:t xml:space="preserve">respectively, </w:t>
      </w:r>
      <w:r w:rsidRPr="00DB5977">
        <w:rPr>
          <w:rFonts w:ascii="Verdana" w:hAnsi="Verdana" w:cstheme="minorHAnsi"/>
          <w:sz w:val="20"/>
          <w:szCs w:val="20"/>
        </w:rPr>
        <w:t>as shown above.</w:t>
      </w:r>
      <w:r w:rsidR="0025065A">
        <w:rPr>
          <w:rFonts w:ascii="Verdana" w:hAnsi="Verdana" w:cstheme="minorHAnsi"/>
          <w:sz w:val="20"/>
          <w:szCs w:val="20"/>
        </w:rPr>
        <w:t xml:space="preserve"> </w:t>
      </w:r>
      <w:r w:rsidRPr="00DB5977">
        <w:rPr>
          <w:rFonts w:ascii="Verdana" w:hAnsi="Verdana" w:cstheme="minorHAnsi"/>
          <w:sz w:val="20"/>
          <w:szCs w:val="20"/>
        </w:rPr>
        <w:t>Since the DCF estimate is derived from the concept that cash dividends are the only income from a share of stock, in principle, the growth component should only include dividends.</w:t>
      </w:r>
      <w:r w:rsidR="0025065A">
        <w:rPr>
          <w:rFonts w:ascii="Verdana" w:hAnsi="Verdana" w:cstheme="minorHAnsi"/>
          <w:sz w:val="20"/>
          <w:szCs w:val="20"/>
        </w:rPr>
        <w:t xml:space="preserve"> </w:t>
      </w:r>
      <w:r w:rsidRPr="00DB5977">
        <w:rPr>
          <w:rFonts w:ascii="Verdana" w:hAnsi="Verdana" w:cstheme="minorHAnsi"/>
          <w:sz w:val="20"/>
          <w:szCs w:val="20"/>
        </w:rPr>
        <w:t>Investors, however, are also concerned about whether dividends are sustainable, and they realize that dividend growth sustainability is affected by earnings and book value growth.</w:t>
      </w:r>
      <w:r w:rsidR="0025065A">
        <w:rPr>
          <w:rFonts w:ascii="Verdana" w:hAnsi="Verdana" w:cstheme="minorHAnsi"/>
          <w:sz w:val="20"/>
          <w:szCs w:val="20"/>
        </w:rPr>
        <w:t xml:space="preserve"> </w:t>
      </w:r>
      <w:r w:rsidRPr="00DB5977">
        <w:rPr>
          <w:rFonts w:ascii="Verdana" w:hAnsi="Verdana" w:cstheme="minorHAnsi"/>
          <w:sz w:val="20"/>
          <w:szCs w:val="20"/>
        </w:rPr>
        <w:t xml:space="preserve">As a result, investors </w:t>
      </w:r>
      <w:r w:rsidR="00913BAE" w:rsidRPr="00DB5977">
        <w:rPr>
          <w:rFonts w:ascii="Verdana" w:hAnsi="Verdana" w:cstheme="minorHAnsi"/>
          <w:sz w:val="20"/>
          <w:szCs w:val="20"/>
        </w:rPr>
        <w:t>may</w:t>
      </w:r>
      <w:r w:rsidRPr="00DB5977">
        <w:rPr>
          <w:rFonts w:ascii="Verdana" w:hAnsi="Verdana" w:cstheme="minorHAnsi"/>
          <w:sz w:val="20"/>
          <w:szCs w:val="20"/>
        </w:rPr>
        <w:t xml:space="preserve"> not </w:t>
      </w:r>
      <w:r w:rsidR="00913BAE" w:rsidRPr="00DB5977">
        <w:rPr>
          <w:rFonts w:ascii="Verdana" w:hAnsi="Verdana" w:cstheme="minorHAnsi"/>
          <w:sz w:val="20"/>
          <w:szCs w:val="20"/>
        </w:rPr>
        <w:t xml:space="preserve">necessarily </w:t>
      </w:r>
      <w:r w:rsidRPr="00DB5977">
        <w:rPr>
          <w:rFonts w:ascii="Verdana" w:hAnsi="Verdana" w:cstheme="minorHAnsi"/>
          <w:sz w:val="20"/>
          <w:szCs w:val="20"/>
        </w:rPr>
        <w:t>use a single growth estimate when valuing a utility’s stock.</w:t>
      </w:r>
      <w:r w:rsidR="0025065A">
        <w:rPr>
          <w:rFonts w:ascii="Verdana" w:hAnsi="Verdana" w:cstheme="minorHAnsi"/>
          <w:sz w:val="20"/>
          <w:szCs w:val="20"/>
        </w:rPr>
        <w:t xml:space="preserve"> </w:t>
      </w:r>
      <w:r w:rsidRPr="00DB5977">
        <w:rPr>
          <w:rFonts w:ascii="Verdana" w:hAnsi="Verdana" w:cstheme="minorHAnsi"/>
          <w:sz w:val="20"/>
          <w:szCs w:val="20"/>
        </w:rPr>
        <w:t xml:space="preserve">Therefore, I believe it appropriate to include other measures for the growth component in my analysis. </w:t>
      </w:r>
    </w:p>
    <w:p w14:paraId="78DBB8F9" w14:textId="77777777" w:rsidR="00C73BCE" w:rsidRPr="00DB5977" w:rsidRDefault="00C73BCE" w:rsidP="00486739">
      <w:pPr>
        <w:pStyle w:val="DirectQuestion"/>
      </w:pPr>
      <w:bookmarkStart w:id="29" w:name="_Toc415003976"/>
      <w:r w:rsidRPr="00DB5977">
        <w:lastRenderedPageBreak/>
        <w:t xml:space="preserve">DO YOU HAVE ANY CONCERNS REGARDING </w:t>
      </w:r>
      <w:r w:rsidR="008C181D" w:rsidRPr="00DB5977">
        <w:t>Dr. Vader Weide</w:t>
      </w:r>
      <w:r w:rsidR="00243EBA" w:rsidRPr="00DB5977">
        <w:t>’s</w:t>
      </w:r>
      <w:r w:rsidR="000644BE" w:rsidRPr="00DB5977">
        <w:t xml:space="preserve"> dcf</w:t>
      </w:r>
      <w:r w:rsidRPr="00DB5977">
        <w:t xml:space="preserve"> ANALYSIS?</w:t>
      </w:r>
    </w:p>
    <w:p w14:paraId="2054291C" w14:textId="3CC6BBD8" w:rsidR="00C73BCE" w:rsidRPr="00645AEE" w:rsidRDefault="00243EBA" w:rsidP="00645AEE">
      <w:pPr>
        <w:pStyle w:val="DirectAnswer"/>
        <w:jc w:val="both"/>
        <w:rPr>
          <w:rFonts w:ascii="Verdana" w:hAnsi="Verdana" w:cstheme="minorHAnsi"/>
          <w:sz w:val="20"/>
          <w:szCs w:val="20"/>
        </w:rPr>
      </w:pPr>
      <w:r w:rsidRPr="00DB5977">
        <w:rPr>
          <w:rFonts w:ascii="Verdana" w:hAnsi="Verdana" w:cstheme="minorHAnsi"/>
          <w:sz w:val="20"/>
          <w:szCs w:val="20"/>
        </w:rPr>
        <w:t>Yes.</w:t>
      </w:r>
      <w:r w:rsidR="0025065A">
        <w:rPr>
          <w:rFonts w:ascii="Verdana" w:hAnsi="Verdana" w:cstheme="minorHAnsi"/>
          <w:sz w:val="20"/>
          <w:szCs w:val="20"/>
        </w:rPr>
        <w:t xml:space="preserve"> </w:t>
      </w:r>
      <w:r w:rsidR="00426933" w:rsidRPr="00DB5977">
        <w:rPr>
          <w:rFonts w:ascii="Verdana" w:hAnsi="Verdana" w:cstheme="minorHAnsi"/>
          <w:sz w:val="20"/>
          <w:szCs w:val="20"/>
        </w:rPr>
        <w:t xml:space="preserve">In his DCF model, Dr. Vander </w:t>
      </w:r>
      <w:proofErr w:type="spellStart"/>
      <w:r w:rsidR="00426933" w:rsidRPr="00DB5977">
        <w:rPr>
          <w:rFonts w:ascii="Verdana" w:hAnsi="Verdana" w:cstheme="minorHAnsi"/>
          <w:sz w:val="20"/>
          <w:szCs w:val="20"/>
        </w:rPr>
        <w:t>Weide</w:t>
      </w:r>
      <w:proofErr w:type="spellEnd"/>
      <w:r w:rsidR="00426933" w:rsidRPr="00DB5977">
        <w:rPr>
          <w:rFonts w:ascii="Verdana" w:hAnsi="Verdana" w:cstheme="minorHAnsi"/>
          <w:sz w:val="20"/>
          <w:szCs w:val="20"/>
        </w:rPr>
        <w:t xml:space="preserve"> relies solely on analysts’ </w:t>
      </w:r>
      <w:r w:rsidR="00D94EF2" w:rsidRPr="00DB5977">
        <w:rPr>
          <w:rFonts w:ascii="Verdana" w:hAnsi="Verdana" w:cstheme="minorHAnsi"/>
          <w:sz w:val="20"/>
          <w:szCs w:val="20"/>
        </w:rPr>
        <w:t>forecasts</w:t>
      </w:r>
      <w:r w:rsidR="00426933" w:rsidRPr="00DB5977">
        <w:rPr>
          <w:rFonts w:ascii="Verdana" w:hAnsi="Verdana" w:cstheme="minorHAnsi"/>
          <w:sz w:val="20"/>
          <w:szCs w:val="20"/>
        </w:rPr>
        <w:t xml:space="preserve"> of earnings growth.</w:t>
      </w:r>
      <w:r w:rsidR="0025065A">
        <w:rPr>
          <w:rFonts w:ascii="Verdana" w:hAnsi="Verdana" w:cstheme="minorHAnsi"/>
          <w:sz w:val="20"/>
          <w:szCs w:val="20"/>
        </w:rPr>
        <w:t xml:space="preserve"> </w:t>
      </w:r>
      <w:r w:rsidR="00730CC6">
        <w:rPr>
          <w:rFonts w:ascii="Verdana" w:hAnsi="Verdana" w:cstheme="minorHAnsi"/>
          <w:sz w:val="20"/>
          <w:szCs w:val="20"/>
        </w:rPr>
        <w:t>Additionally</w:t>
      </w:r>
      <w:r w:rsidR="00426933" w:rsidRPr="00DB5977">
        <w:rPr>
          <w:rFonts w:ascii="Verdana" w:hAnsi="Verdana" w:cstheme="minorHAnsi"/>
          <w:sz w:val="20"/>
          <w:szCs w:val="20"/>
        </w:rPr>
        <w:t xml:space="preserve">, </w:t>
      </w:r>
      <w:r w:rsidR="00957010" w:rsidRPr="00DB5977">
        <w:rPr>
          <w:rFonts w:ascii="Verdana" w:hAnsi="Verdana" w:cstheme="minorHAnsi"/>
          <w:sz w:val="20"/>
          <w:szCs w:val="20"/>
        </w:rPr>
        <w:t xml:space="preserve">not only does he rely </w:t>
      </w:r>
      <w:r w:rsidR="00730CC6">
        <w:rPr>
          <w:rFonts w:ascii="Verdana" w:hAnsi="Verdana" w:cstheme="minorHAnsi"/>
          <w:sz w:val="20"/>
          <w:szCs w:val="20"/>
        </w:rPr>
        <w:t xml:space="preserve">solely </w:t>
      </w:r>
      <w:r w:rsidR="00957010" w:rsidRPr="00DB5977">
        <w:rPr>
          <w:rFonts w:ascii="Verdana" w:hAnsi="Verdana" w:cstheme="minorHAnsi"/>
          <w:sz w:val="20"/>
          <w:szCs w:val="20"/>
        </w:rPr>
        <w:t xml:space="preserve">on </w:t>
      </w:r>
      <w:r w:rsidR="00730CC6">
        <w:rPr>
          <w:rFonts w:ascii="Verdana" w:hAnsi="Verdana" w:cstheme="minorHAnsi"/>
          <w:sz w:val="20"/>
          <w:szCs w:val="20"/>
        </w:rPr>
        <w:t xml:space="preserve">forecasted </w:t>
      </w:r>
      <w:r w:rsidR="00A104B9" w:rsidRPr="00DB5977">
        <w:rPr>
          <w:rFonts w:ascii="Verdana" w:hAnsi="Verdana" w:cstheme="minorHAnsi"/>
          <w:sz w:val="20"/>
          <w:szCs w:val="20"/>
        </w:rPr>
        <w:t>earnings growth rates, he uses</w:t>
      </w:r>
      <w:r w:rsidR="00426933" w:rsidRPr="00DB5977">
        <w:rPr>
          <w:rFonts w:ascii="Verdana" w:hAnsi="Verdana" w:cstheme="minorHAnsi"/>
          <w:sz w:val="20"/>
          <w:szCs w:val="20"/>
        </w:rPr>
        <w:t xml:space="preserve"> only </w:t>
      </w:r>
      <w:r w:rsidR="00A104B9" w:rsidRPr="00DB5977">
        <w:rPr>
          <w:rFonts w:ascii="Verdana" w:hAnsi="Verdana" w:cstheme="minorHAnsi"/>
          <w:sz w:val="20"/>
          <w:szCs w:val="20"/>
        </w:rPr>
        <w:t xml:space="preserve">one </w:t>
      </w:r>
      <w:r w:rsidR="00426933" w:rsidRPr="00DB5977">
        <w:rPr>
          <w:rFonts w:ascii="Verdana" w:hAnsi="Verdana" w:cstheme="minorHAnsi"/>
          <w:sz w:val="20"/>
          <w:szCs w:val="20"/>
        </w:rPr>
        <w:t>source of earning</w:t>
      </w:r>
      <w:r w:rsidR="00645AEE">
        <w:rPr>
          <w:rFonts w:ascii="Verdana" w:hAnsi="Verdana" w:cstheme="minorHAnsi"/>
          <w:sz w:val="20"/>
          <w:szCs w:val="20"/>
        </w:rPr>
        <w:t>s</w:t>
      </w:r>
      <w:r w:rsidR="00426933" w:rsidRPr="00DB5977">
        <w:rPr>
          <w:rFonts w:ascii="Verdana" w:hAnsi="Verdana" w:cstheme="minorHAnsi"/>
          <w:sz w:val="20"/>
          <w:szCs w:val="20"/>
        </w:rPr>
        <w:t xml:space="preserve"> per share growth</w:t>
      </w:r>
      <w:r w:rsidR="00645AEE">
        <w:rPr>
          <w:rFonts w:ascii="Verdana" w:hAnsi="Verdana" w:cstheme="minorHAnsi"/>
          <w:sz w:val="20"/>
          <w:szCs w:val="20"/>
        </w:rPr>
        <w:t>—</w:t>
      </w:r>
      <w:r w:rsidR="00426933" w:rsidRPr="00645AEE">
        <w:rPr>
          <w:rFonts w:ascii="Verdana" w:hAnsi="Verdana" w:cstheme="minorHAnsi"/>
          <w:sz w:val="20"/>
          <w:szCs w:val="20"/>
        </w:rPr>
        <w:t>I/B/E/S</w:t>
      </w:r>
      <w:r w:rsidR="00730CC6">
        <w:rPr>
          <w:rFonts w:ascii="Verdana" w:hAnsi="Verdana" w:cstheme="minorHAnsi"/>
          <w:sz w:val="20"/>
          <w:szCs w:val="20"/>
        </w:rPr>
        <w:t xml:space="preserve"> data</w:t>
      </w:r>
      <w:r w:rsidR="00426933" w:rsidRPr="00645AEE">
        <w:rPr>
          <w:rFonts w:ascii="Verdana" w:hAnsi="Verdana" w:cstheme="minorHAnsi"/>
          <w:sz w:val="20"/>
          <w:szCs w:val="20"/>
        </w:rPr>
        <w:t xml:space="preserve">. </w:t>
      </w:r>
      <w:r w:rsidR="00730CC6">
        <w:rPr>
          <w:rFonts w:ascii="Verdana" w:hAnsi="Verdana" w:cstheme="minorHAnsi"/>
          <w:sz w:val="20"/>
          <w:szCs w:val="20"/>
        </w:rPr>
        <w:t>Forecasts are speculative instruments by nature, and a</w:t>
      </w:r>
      <w:r w:rsidR="00426933" w:rsidRPr="00645AEE">
        <w:rPr>
          <w:rFonts w:ascii="Verdana" w:hAnsi="Verdana" w:cstheme="minorHAnsi"/>
          <w:sz w:val="20"/>
          <w:szCs w:val="20"/>
        </w:rPr>
        <w:t xml:space="preserve">lthough the I/B/E/S growth rates are widely used in the financial community, </w:t>
      </w:r>
      <w:r w:rsidR="00730CC6">
        <w:rPr>
          <w:rFonts w:ascii="Verdana" w:hAnsi="Verdana" w:cstheme="minorHAnsi"/>
          <w:sz w:val="20"/>
          <w:szCs w:val="20"/>
        </w:rPr>
        <w:t>selecting just</w:t>
      </w:r>
      <w:r w:rsidR="00426933" w:rsidRPr="00645AEE">
        <w:rPr>
          <w:rFonts w:ascii="Verdana" w:hAnsi="Verdana" w:cstheme="minorHAnsi"/>
          <w:sz w:val="20"/>
          <w:szCs w:val="20"/>
        </w:rPr>
        <w:t xml:space="preserve"> one source </w:t>
      </w:r>
      <w:r w:rsidR="00730CC6">
        <w:rPr>
          <w:rFonts w:ascii="Verdana" w:hAnsi="Verdana" w:cstheme="minorHAnsi"/>
          <w:sz w:val="20"/>
          <w:szCs w:val="20"/>
        </w:rPr>
        <w:t>inflates his</w:t>
      </w:r>
      <w:r w:rsidR="00426933" w:rsidRPr="00645AEE">
        <w:rPr>
          <w:rFonts w:ascii="Verdana" w:hAnsi="Verdana" w:cstheme="minorHAnsi"/>
          <w:sz w:val="20"/>
          <w:szCs w:val="20"/>
        </w:rPr>
        <w:t xml:space="preserve"> DCF estimates. Earnings growth forecasts can vary greatly </w:t>
      </w:r>
      <w:r w:rsidR="00894C5F" w:rsidRPr="00645AEE">
        <w:rPr>
          <w:rFonts w:ascii="Verdana" w:hAnsi="Verdana" w:cstheme="minorHAnsi"/>
          <w:sz w:val="20"/>
          <w:szCs w:val="20"/>
        </w:rPr>
        <w:t xml:space="preserve">among </w:t>
      </w:r>
      <w:r w:rsidR="004C6F89" w:rsidRPr="00645AEE">
        <w:rPr>
          <w:rFonts w:ascii="Verdana" w:hAnsi="Verdana" w:cstheme="minorHAnsi"/>
          <w:sz w:val="20"/>
          <w:szCs w:val="20"/>
        </w:rPr>
        <w:t xml:space="preserve">different </w:t>
      </w:r>
      <w:r w:rsidR="00894C5F" w:rsidRPr="00645AEE">
        <w:rPr>
          <w:rFonts w:ascii="Verdana" w:hAnsi="Verdana" w:cstheme="minorHAnsi"/>
          <w:sz w:val="20"/>
          <w:szCs w:val="20"/>
        </w:rPr>
        <w:t>sources</w:t>
      </w:r>
      <w:r w:rsidR="00EB5970" w:rsidRPr="00645AEE">
        <w:rPr>
          <w:rFonts w:ascii="Verdana" w:hAnsi="Verdana" w:cstheme="minorHAnsi"/>
          <w:sz w:val="20"/>
          <w:szCs w:val="20"/>
        </w:rPr>
        <w:t>;</w:t>
      </w:r>
      <w:r w:rsidR="00426933" w:rsidRPr="00645AEE">
        <w:rPr>
          <w:rFonts w:ascii="Verdana" w:hAnsi="Verdana" w:cstheme="minorHAnsi"/>
          <w:sz w:val="20"/>
          <w:szCs w:val="20"/>
        </w:rPr>
        <w:t xml:space="preserve"> therefore, ROE experts typically rely on </w:t>
      </w:r>
      <w:r w:rsidR="002270E4" w:rsidRPr="00645AEE">
        <w:rPr>
          <w:rFonts w:ascii="Verdana" w:hAnsi="Verdana" w:cstheme="minorHAnsi"/>
          <w:sz w:val="20"/>
          <w:szCs w:val="20"/>
        </w:rPr>
        <w:t>more than</w:t>
      </w:r>
      <w:r w:rsidR="00426933" w:rsidRPr="00645AEE">
        <w:rPr>
          <w:rFonts w:ascii="Verdana" w:hAnsi="Verdana" w:cstheme="minorHAnsi"/>
          <w:sz w:val="20"/>
          <w:szCs w:val="20"/>
        </w:rPr>
        <w:t xml:space="preserve"> </w:t>
      </w:r>
      <w:r w:rsidR="00BF6C2D" w:rsidRPr="00645AEE">
        <w:rPr>
          <w:rFonts w:ascii="Verdana" w:hAnsi="Verdana" w:cstheme="minorHAnsi"/>
          <w:sz w:val="20"/>
          <w:szCs w:val="20"/>
        </w:rPr>
        <w:t xml:space="preserve">one </w:t>
      </w:r>
      <w:r w:rsidR="00426933" w:rsidRPr="00645AEE">
        <w:rPr>
          <w:rFonts w:ascii="Verdana" w:hAnsi="Verdana" w:cstheme="minorHAnsi"/>
          <w:sz w:val="20"/>
          <w:szCs w:val="20"/>
        </w:rPr>
        <w:t>source.</w:t>
      </w:r>
      <w:r w:rsidR="0025065A" w:rsidRPr="00645AEE">
        <w:rPr>
          <w:rFonts w:ascii="Verdana" w:hAnsi="Verdana" w:cstheme="minorHAnsi"/>
          <w:sz w:val="20"/>
          <w:szCs w:val="20"/>
        </w:rPr>
        <w:t xml:space="preserve"> </w:t>
      </w:r>
      <w:r w:rsidR="00FD5D96" w:rsidRPr="00645AEE">
        <w:rPr>
          <w:rFonts w:ascii="Verdana" w:hAnsi="Verdana"/>
          <w:sz w:val="20"/>
          <w:szCs w:val="20"/>
        </w:rPr>
        <w:t xml:space="preserve">Moreover, these </w:t>
      </w:r>
      <w:r w:rsidR="00995421" w:rsidRPr="00645AEE">
        <w:rPr>
          <w:rFonts w:ascii="Verdana" w:hAnsi="Verdana"/>
          <w:sz w:val="20"/>
          <w:szCs w:val="20"/>
        </w:rPr>
        <w:t xml:space="preserve">inflated growth rates drive up his DCF </w:t>
      </w:r>
      <w:r w:rsidR="00841D73" w:rsidRPr="00645AEE">
        <w:rPr>
          <w:rFonts w:ascii="Verdana" w:hAnsi="Verdana"/>
          <w:sz w:val="20"/>
          <w:szCs w:val="20"/>
        </w:rPr>
        <w:t>results used in his Ex-Ante Risk Premium</w:t>
      </w:r>
      <w:r w:rsidR="00B90B87" w:rsidRPr="00645AEE">
        <w:rPr>
          <w:rFonts w:ascii="Verdana" w:hAnsi="Verdana"/>
          <w:sz w:val="20"/>
          <w:szCs w:val="20"/>
        </w:rPr>
        <w:t xml:space="preserve">, thereby inflating his Risk Premium </w:t>
      </w:r>
      <w:r w:rsidR="00D231EA" w:rsidRPr="00645AEE">
        <w:rPr>
          <w:rFonts w:ascii="Verdana" w:hAnsi="Verdana"/>
          <w:sz w:val="20"/>
          <w:szCs w:val="20"/>
        </w:rPr>
        <w:t>results as well.</w:t>
      </w:r>
    </w:p>
    <w:p w14:paraId="57B9EC5D" w14:textId="77777777" w:rsidR="00823379" w:rsidRPr="00DB5977" w:rsidRDefault="00823379" w:rsidP="00823379">
      <w:pPr>
        <w:pStyle w:val="Heading2"/>
        <w:rPr>
          <w:rFonts w:ascii="Verdana" w:hAnsi="Verdana" w:cstheme="minorHAnsi"/>
          <w:sz w:val="20"/>
          <w:szCs w:val="22"/>
        </w:rPr>
      </w:pPr>
      <w:bookmarkStart w:id="30" w:name="_Toc21873142"/>
      <w:r w:rsidRPr="00DB5977">
        <w:rPr>
          <w:rFonts w:ascii="Verdana" w:hAnsi="Verdana" w:cstheme="minorHAnsi"/>
          <w:sz w:val="20"/>
          <w:szCs w:val="22"/>
          <w:u w:val="none"/>
        </w:rPr>
        <w:t>C.</w:t>
      </w:r>
      <w:r w:rsidRPr="00DB5977">
        <w:rPr>
          <w:rFonts w:ascii="Verdana" w:hAnsi="Verdana" w:cstheme="minorHAnsi"/>
          <w:sz w:val="20"/>
          <w:szCs w:val="22"/>
          <w:u w:val="none"/>
        </w:rPr>
        <w:tab/>
      </w:r>
      <w:r w:rsidRPr="00DB5977">
        <w:rPr>
          <w:rFonts w:ascii="Verdana" w:hAnsi="Verdana" w:cstheme="minorHAnsi"/>
          <w:sz w:val="20"/>
          <w:szCs w:val="22"/>
        </w:rPr>
        <w:t>Capital Asset Pricing Model</w:t>
      </w:r>
      <w:bookmarkEnd w:id="29"/>
      <w:bookmarkEnd w:id="30"/>
    </w:p>
    <w:p w14:paraId="12AD99C8" w14:textId="77777777" w:rsidR="00823379" w:rsidRPr="00DB5977" w:rsidRDefault="00823379" w:rsidP="00486739">
      <w:pPr>
        <w:pStyle w:val="DirectQuestion"/>
      </w:pPr>
      <w:r w:rsidRPr="00DB5977">
        <w:t>Do you use any other methodologies to estimate the ROE for the Company?</w:t>
      </w:r>
    </w:p>
    <w:p w14:paraId="28F15A03" w14:textId="6D33CE1F" w:rsidR="00C31ADA" w:rsidRPr="00DB5977" w:rsidRDefault="00823379" w:rsidP="004F472B">
      <w:pPr>
        <w:pStyle w:val="DirectAnswer"/>
        <w:jc w:val="both"/>
        <w:rPr>
          <w:rFonts w:ascii="Verdana" w:hAnsi="Verdana" w:cstheme="minorHAnsi"/>
          <w:sz w:val="20"/>
          <w:szCs w:val="20"/>
        </w:rPr>
      </w:pPr>
      <w:r w:rsidRPr="00DB5977">
        <w:rPr>
          <w:rFonts w:ascii="Verdana" w:hAnsi="Verdana" w:cstheme="minorHAnsi"/>
          <w:sz w:val="20"/>
          <w:szCs w:val="20"/>
        </w:rPr>
        <w:t>Yes, I apply the CAPM</w:t>
      </w:r>
      <w:r w:rsidR="00721C71" w:rsidRPr="00DB5977">
        <w:rPr>
          <w:rFonts w:ascii="Verdana" w:hAnsi="Verdana" w:cstheme="minorHAnsi"/>
          <w:sz w:val="20"/>
          <w:szCs w:val="20"/>
        </w:rPr>
        <w:t xml:space="preserve"> </w:t>
      </w:r>
      <w:r w:rsidR="00FA5A3A" w:rsidRPr="00DB5977">
        <w:rPr>
          <w:rFonts w:ascii="Verdana" w:hAnsi="Verdana" w:cstheme="minorHAnsi"/>
          <w:sz w:val="20"/>
          <w:szCs w:val="20"/>
        </w:rPr>
        <w:t>and</w:t>
      </w:r>
      <w:r w:rsidR="009E10F7" w:rsidRPr="00DB5977">
        <w:rPr>
          <w:rFonts w:ascii="Verdana" w:hAnsi="Verdana" w:cstheme="minorHAnsi"/>
          <w:sz w:val="20"/>
          <w:szCs w:val="20"/>
        </w:rPr>
        <w:t xml:space="preserve"> ECAPM </w:t>
      </w:r>
      <w:r w:rsidR="00721C71" w:rsidRPr="00DB5977">
        <w:rPr>
          <w:rFonts w:ascii="Verdana" w:hAnsi="Verdana" w:cstheme="minorHAnsi"/>
          <w:sz w:val="20"/>
          <w:szCs w:val="20"/>
        </w:rPr>
        <w:t xml:space="preserve">to derive </w:t>
      </w:r>
      <w:r w:rsidR="007C62D5" w:rsidRPr="00DB5977">
        <w:rPr>
          <w:rFonts w:ascii="Verdana" w:hAnsi="Verdana" w:cstheme="minorHAnsi"/>
          <w:sz w:val="20"/>
          <w:szCs w:val="20"/>
        </w:rPr>
        <w:t xml:space="preserve">six </w:t>
      </w:r>
      <w:r w:rsidR="00721C71" w:rsidRPr="00DB5977">
        <w:rPr>
          <w:rFonts w:ascii="Verdana" w:hAnsi="Verdana" w:cstheme="minorHAnsi"/>
          <w:sz w:val="20"/>
          <w:szCs w:val="20"/>
        </w:rPr>
        <w:t>ROE estimates</w:t>
      </w:r>
      <w:r w:rsidRPr="00DB5977">
        <w:rPr>
          <w:rFonts w:ascii="Verdana" w:hAnsi="Verdana" w:cstheme="minorHAnsi"/>
          <w:sz w:val="20"/>
          <w:szCs w:val="20"/>
        </w:rPr>
        <w:t xml:space="preserve">. </w:t>
      </w:r>
    </w:p>
    <w:p w14:paraId="4E16DC16" w14:textId="77777777" w:rsidR="00823379" w:rsidRPr="00DB5977" w:rsidRDefault="00823379" w:rsidP="00486739">
      <w:pPr>
        <w:pStyle w:val="DirectQuestion"/>
      </w:pPr>
      <w:r w:rsidRPr="00DB5977">
        <w:t xml:space="preserve">Describe the CAPM YOU also use to calculate the cost of equity. </w:t>
      </w:r>
    </w:p>
    <w:p w14:paraId="5E061E45" w14:textId="77777777"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The CAPM is a version of the “risk premium” approach that is rooted in modern portfolio theory.</w:t>
      </w:r>
      <w:r w:rsidR="0025065A">
        <w:rPr>
          <w:rFonts w:ascii="Verdana" w:hAnsi="Verdana" w:cstheme="minorHAnsi"/>
          <w:sz w:val="20"/>
          <w:szCs w:val="20"/>
        </w:rPr>
        <w:t xml:space="preserve"> </w:t>
      </w:r>
      <w:r w:rsidRPr="00DB5977">
        <w:rPr>
          <w:rFonts w:ascii="Verdana" w:hAnsi="Verdana" w:cstheme="minorHAnsi"/>
          <w:sz w:val="20"/>
          <w:szCs w:val="20"/>
        </w:rPr>
        <w:t xml:space="preserve">It recognizes that common equity capital is riskier than debt from an investor’s perspective, and that investors require </w:t>
      </w:r>
      <w:r w:rsidRPr="00DB5977">
        <w:rPr>
          <w:rFonts w:ascii="Verdana" w:hAnsi="Verdana" w:cstheme="minorHAnsi"/>
          <w:sz w:val="20"/>
          <w:szCs w:val="20"/>
        </w:rPr>
        <w:lastRenderedPageBreak/>
        <w:t>higher returns on stocks than on bonds to be compensated for the additional risk.</w:t>
      </w:r>
      <w:r w:rsidRPr="00DB5977">
        <w:rPr>
          <w:rStyle w:val="FootnoteReference"/>
          <w:rFonts w:ascii="Verdana" w:hAnsi="Verdana" w:cstheme="minorHAnsi"/>
          <w:sz w:val="20"/>
          <w:szCs w:val="20"/>
        </w:rPr>
        <w:footnoteReference w:id="28"/>
      </w:r>
      <w:r w:rsidR="0025065A">
        <w:rPr>
          <w:rFonts w:ascii="Verdana" w:hAnsi="Verdana" w:cstheme="minorHAnsi"/>
          <w:sz w:val="20"/>
          <w:szCs w:val="20"/>
        </w:rPr>
        <w:t xml:space="preserve"> </w:t>
      </w:r>
      <w:r w:rsidRPr="00DB5977">
        <w:rPr>
          <w:rFonts w:ascii="Verdana" w:hAnsi="Verdana" w:cstheme="minorHAnsi"/>
          <w:sz w:val="20"/>
          <w:szCs w:val="20"/>
        </w:rPr>
        <w:t xml:space="preserve">The cost of common equity is represented by the following equation: </w:t>
      </w:r>
    </w:p>
    <w:p w14:paraId="2BC41496" w14:textId="77777777" w:rsidR="00823379" w:rsidRPr="00DB5977" w:rsidRDefault="00823379" w:rsidP="00823379">
      <w:pPr>
        <w:suppressLineNumbers/>
        <w:tabs>
          <w:tab w:val="left" w:pos="360"/>
        </w:tabs>
        <w:spacing w:after="0" w:line="240" w:lineRule="auto"/>
        <w:ind w:left="1080"/>
        <w:rPr>
          <w:rFonts w:ascii="Verdana" w:eastAsia="Times New Roman" w:hAnsi="Verdana" w:cstheme="minorHAnsi"/>
          <w:sz w:val="20"/>
          <w:szCs w:val="16"/>
        </w:rPr>
      </w:pPr>
    </w:p>
    <w:p w14:paraId="1C5677F7" w14:textId="77777777" w:rsidR="00823379" w:rsidRPr="00DB5977" w:rsidRDefault="00823379" w:rsidP="00823379">
      <w:pPr>
        <w:tabs>
          <w:tab w:val="left" w:pos="360"/>
        </w:tabs>
        <w:spacing w:after="120" w:line="240" w:lineRule="auto"/>
        <w:ind w:left="1080"/>
        <w:rPr>
          <w:rFonts w:ascii="Verdana" w:eastAsia="Times New Roman" w:hAnsi="Verdana" w:cstheme="minorHAnsi"/>
          <w:sz w:val="20"/>
          <w:szCs w:val="16"/>
        </w:rPr>
      </w:pPr>
      <w:r w:rsidRPr="00DB5977">
        <w:rPr>
          <w:rFonts w:ascii="Verdana" w:eastAsia="Times New Roman" w:hAnsi="Verdana" w:cstheme="minorHAnsi"/>
          <w:sz w:val="20"/>
          <w:szCs w:val="16"/>
        </w:rPr>
        <w:tab/>
      </w:r>
      <w:bookmarkStart w:id="31" w:name="_Hlk19522616"/>
      <w:r w:rsidR="0084421A">
        <w:rPr>
          <w:rFonts w:ascii="Verdana" w:hAnsi="Verdana" w:cstheme="minorHAnsi"/>
          <w:noProof/>
          <w:position w:val="-14"/>
          <w:sz w:val="18"/>
          <w:szCs w:val="18"/>
        </w:rPr>
        <w:pict w14:anchorId="77FB3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9.5pt">
            <v:imagedata r:id="rId14" o:title=""/>
          </v:shape>
        </w:pict>
      </w:r>
      <w:bookmarkEnd w:id="31"/>
      <w:r w:rsidRPr="00DB5977">
        <w:rPr>
          <w:rFonts w:ascii="Verdana" w:hAnsi="Verdana" w:cstheme="minorHAnsi"/>
          <w:sz w:val="18"/>
          <w:szCs w:val="18"/>
        </w:rPr>
        <w:t>,</w:t>
      </w:r>
    </w:p>
    <w:p w14:paraId="3C44FE6C" w14:textId="77777777" w:rsidR="00823379" w:rsidRPr="00DB5977" w:rsidRDefault="00823379" w:rsidP="00823379">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Where: </w:t>
      </w:r>
    </w:p>
    <w:p w14:paraId="3DE137D9" w14:textId="77777777" w:rsidR="00823379" w:rsidRPr="00DB5977" w:rsidRDefault="00823379" w:rsidP="00823379">
      <w:pPr>
        <w:tabs>
          <w:tab w:val="left" w:pos="360"/>
        </w:tabs>
        <w:spacing w:after="120" w:line="240" w:lineRule="auto"/>
        <w:ind w:left="1440"/>
        <w:rPr>
          <w:rFonts w:ascii="Verdana" w:eastAsia="Times New Roman" w:hAnsi="Verdana" w:cstheme="minorHAnsi"/>
          <w:sz w:val="20"/>
          <w:szCs w:val="16"/>
        </w:rPr>
      </w:pPr>
      <w:proofErr w:type="spellStart"/>
      <w:r w:rsidRPr="00DB5977">
        <w:rPr>
          <w:rFonts w:ascii="Verdana" w:eastAsia="Times New Roman" w:hAnsi="Verdana" w:cstheme="minorHAnsi"/>
          <w:i/>
          <w:iCs/>
          <w:sz w:val="20"/>
          <w:szCs w:val="16"/>
        </w:rPr>
        <w:t>K</w:t>
      </w:r>
      <w:r w:rsidRPr="00DB5977">
        <w:rPr>
          <w:rFonts w:ascii="Verdana" w:eastAsia="Times New Roman" w:hAnsi="Verdana" w:cstheme="minorHAnsi"/>
          <w:i/>
          <w:iCs/>
          <w:sz w:val="20"/>
          <w:szCs w:val="16"/>
          <w:vertAlign w:val="subscript"/>
        </w:rPr>
        <w:t>e</w:t>
      </w:r>
      <w:proofErr w:type="spellEnd"/>
      <w:r w:rsidRPr="00DB5977">
        <w:rPr>
          <w:rFonts w:ascii="Verdana" w:eastAsia="Times New Roman" w:hAnsi="Verdana" w:cstheme="minorHAnsi"/>
          <w:i/>
          <w:iCs/>
          <w:sz w:val="20"/>
          <w:szCs w:val="16"/>
          <w:vertAlign w:val="subscript"/>
        </w:rPr>
        <w:t xml:space="preserve"> </w:t>
      </w:r>
      <w:r w:rsidRPr="00DB5977">
        <w:rPr>
          <w:rFonts w:ascii="Verdana" w:eastAsia="Times New Roman" w:hAnsi="Verdana" w:cstheme="minorHAnsi"/>
          <w:sz w:val="20"/>
          <w:szCs w:val="16"/>
        </w:rPr>
        <w:t xml:space="preserve">is the cost of equity; </w:t>
      </w:r>
    </w:p>
    <w:p w14:paraId="042845AB" w14:textId="77777777" w:rsidR="00823379" w:rsidRPr="00DB5977" w:rsidRDefault="00823379" w:rsidP="00823379">
      <w:pPr>
        <w:tabs>
          <w:tab w:val="left" w:pos="360"/>
        </w:tabs>
        <w:spacing w:after="120" w:line="240" w:lineRule="auto"/>
        <w:ind w:left="1440"/>
        <w:rPr>
          <w:rFonts w:ascii="Verdana" w:eastAsia="Times New Roman" w:hAnsi="Verdana" w:cstheme="minorHAnsi"/>
          <w:sz w:val="20"/>
          <w:szCs w:val="16"/>
        </w:rPr>
      </w:pPr>
      <w:proofErr w:type="spellStart"/>
      <w:proofErr w:type="gramStart"/>
      <w:r w:rsidRPr="00DB5977">
        <w:rPr>
          <w:rFonts w:ascii="Verdana" w:eastAsia="Times New Roman" w:hAnsi="Verdana" w:cstheme="minorHAnsi"/>
          <w:i/>
          <w:iCs/>
          <w:sz w:val="20"/>
          <w:szCs w:val="16"/>
        </w:rPr>
        <w:t>R</w:t>
      </w:r>
      <w:r w:rsidRPr="00DB5977">
        <w:rPr>
          <w:rFonts w:ascii="Verdana" w:eastAsia="Times New Roman" w:hAnsi="Verdana" w:cstheme="minorHAnsi"/>
          <w:i/>
          <w:iCs/>
          <w:sz w:val="20"/>
          <w:szCs w:val="16"/>
          <w:vertAlign w:val="subscript"/>
        </w:rPr>
        <w:t>f</w:t>
      </w:r>
      <w:proofErr w:type="spellEnd"/>
      <w:proofErr w:type="gramEnd"/>
      <w:r w:rsidR="0025065A">
        <w:rPr>
          <w:rFonts w:ascii="Verdana" w:eastAsia="Times New Roman" w:hAnsi="Verdana" w:cstheme="minorHAnsi"/>
          <w:i/>
          <w:iCs/>
          <w:sz w:val="20"/>
          <w:szCs w:val="16"/>
          <w:vertAlign w:val="subscript"/>
        </w:rPr>
        <w:t xml:space="preserve"> </w:t>
      </w:r>
      <w:r w:rsidRPr="00DB5977">
        <w:rPr>
          <w:rFonts w:ascii="Verdana" w:eastAsia="Times New Roman" w:hAnsi="Verdana" w:cstheme="minorHAnsi"/>
          <w:sz w:val="20"/>
          <w:szCs w:val="16"/>
        </w:rPr>
        <w:t xml:space="preserve">is the yield on risk-free securities; </w:t>
      </w:r>
    </w:p>
    <w:p w14:paraId="18056FB0" w14:textId="77777777" w:rsidR="00823379" w:rsidRPr="00DB5977" w:rsidRDefault="00823379" w:rsidP="00823379">
      <w:pPr>
        <w:tabs>
          <w:tab w:val="left" w:pos="360"/>
        </w:tabs>
        <w:spacing w:after="120" w:line="240" w:lineRule="auto"/>
        <w:ind w:left="1440"/>
        <w:rPr>
          <w:rFonts w:ascii="Verdana" w:eastAsia="Times New Roman" w:hAnsi="Verdana" w:cstheme="minorHAnsi"/>
          <w:sz w:val="20"/>
          <w:szCs w:val="16"/>
        </w:rPr>
      </w:pPr>
      <w:r w:rsidRPr="00DB5977">
        <w:rPr>
          <w:rFonts w:ascii="Verdana" w:eastAsia="Times New Roman" w:hAnsi="Verdana" w:cstheme="minorHAnsi"/>
          <w:i/>
          <w:iCs/>
          <w:sz w:val="20"/>
          <w:szCs w:val="16"/>
        </w:rPr>
        <w:t xml:space="preserve">RP </w:t>
      </w:r>
      <w:r w:rsidRPr="00DB5977">
        <w:rPr>
          <w:rFonts w:ascii="Verdana" w:eastAsia="Times New Roman" w:hAnsi="Verdana" w:cstheme="minorHAnsi"/>
          <w:sz w:val="20"/>
          <w:szCs w:val="16"/>
        </w:rPr>
        <w:t>is the equity risk premium demanded by shareholders to accept equity relative to debt; and</w:t>
      </w:r>
      <w:r w:rsidR="0025065A">
        <w:rPr>
          <w:rFonts w:ascii="Verdana" w:eastAsia="Times New Roman" w:hAnsi="Verdana" w:cstheme="minorHAnsi"/>
          <w:sz w:val="20"/>
          <w:szCs w:val="16"/>
        </w:rPr>
        <w:t xml:space="preserve"> </w:t>
      </w:r>
    </w:p>
    <w:p w14:paraId="239A801E" w14:textId="77777777" w:rsidR="00823379" w:rsidRPr="00DB5977" w:rsidRDefault="00823379" w:rsidP="00823379">
      <w:pPr>
        <w:tabs>
          <w:tab w:val="left" w:pos="360"/>
        </w:tabs>
        <w:spacing w:after="120" w:line="240" w:lineRule="auto"/>
        <w:ind w:left="1440"/>
        <w:rPr>
          <w:rFonts w:ascii="Verdana" w:eastAsia="Times New Roman" w:hAnsi="Verdana" w:cstheme="minorHAnsi"/>
          <w:sz w:val="20"/>
          <w:szCs w:val="16"/>
        </w:rPr>
      </w:pPr>
      <w:proofErr w:type="spellStart"/>
      <w:r w:rsidRPr="00DB5977">
        <w:rPr>
          <w:rFonts w:ascii="Verdana" w:eastAsia="Times New Roman" w:hAnsi="Verdana" w:cstheme="minorHAnsi"/>
          <w:i/>
          <w:sz w:val="20"/>
          <w:szCs w:val="16"/>
        </w:rPr>
        <w:t>ß</w:t>
      </w:r>
      <w:r w:rsidRPr="00DB5977">
        <w:rPr>
          <w:rFonts w:ascii="Verdana" w:eastAsia="Times New Roman" w:hAnsi="Verdana" w:cstheme="minorHAnsi"/>
          <w:i/>
          <w:sz w:val="20"/>
          <w:szCs w:val="16"/>
          <w:vertAlign w:val="subscript"/>
        </w:rPr>
        <w:t>s</w:t>
      </w:r>
      <w:proofErr w:type="spellEnd"/>
      <w:r w:rsidRPr="00DB5977">
        <w:rPr>
          <w:rFonts w:ascii="Verdana" w:eastAsia="Times New Roman" w:hAnsi="Verdana" w:cstheme="minorHAnsi"/>
          <w:sz w:val="20"/>
          <w:szCs w:val="16"/>
          <w:vertAlign w:val="subscript"/>
        </w:rPr>
        <w:t xml:space="preserve"> </w:t>
      </w:r>
      <w:r w:rsidRPr="00DB5977">
        <w:rPr>
          <w:rFonts w:ascii="Verdana" w:eastAsia="Times New Roman" w:hAnsi="Verdana" w:cstheme="minorHAnsi"/>
          <w:sz w:val="20"/>
          <w:szCs w:val="16"/>
        </w:rPr>
        <w:t xml:space="preserve">or </w:t>
      </w:r>
      <w:r w:rsidR="004B765B" w:rsidRPr="00DB5977">
        <w:rPr>
          <w:rFonts w:ascii="Verdana" w:eastAsia="Times New Roman" w:hAnsi="Verdana" w:cstheme="minorHAnsi"/>
          <w:sz w:val="20"/>
          <w:szCs w:val="16"/>
        </w:rPr>
        <w:t>Beta coefficient (</w:t>
      </w:r>
      <w:r w:rsidRPr="00DB5977">
        <w:rPr>
          <w:rFonts w:ascii="Verdana" w:eastAsia="Times New Roman" w:hAnsi="Verdana" w:cstheme="minorHAnsi"/>
          <w:sz w:val="20"/>
          <w:szCs w:val="16"/>
        </w:rPr>
        <w:t>“Beta”</w:t>
      </w:r>
      <w:r w:rsidR="004B765B" w:rsidRPr="00DB5977">
        <w:rPr>
          <w:rFonts w:ascii="Verdana" w:eastAsia="Times New Roman" w:hAnsi="Verdana" w:cstheme="minorHAnsi"/>
          <w:sz w:val="20"/>
          <w:szCs w:val="16"/>
        </w:rPr>
        <w:t>)</w:t>
      </w:r>
      <w:r w:rsidRPr="00DB5977">
        <w:rPr>
          <w:rFonts w:ascii="Verdana" w:eastAsia="Times New Roman" w:hAnsi="Verdana" w:cstheme="minorHAnsi"/>
          <w:sz w:val="20"/>
          <w:szCs w:val="16"/>
        </w:rPr>
        <w:t xml:space="preserve"> is a company-specific measure that reflects the movement in a company’s stock price relative to movements in a composite group of companies representing the stock market.</w:t>
      </w:r>
      <w:r w:rsidR="0025065A">
        <w:rPr>
          <w:rFonts w:ascii="Verdana" w:eastAsia="Times New Roman" w:hAnsi="Verdana" w:cstheme="minorHAnsi"/>
          <w:sz w:val="20"/>
          <w:szCs w:val="16"/>
        </w:rPr>
        <w:t xml:space="preserve"> </w:t>
      </w:r>
      <w:r w:rsidRPr="00DB5977">
        <w:rPr>
          <w:rFonts w:ascii="Verdana" w:eastAsia="Times New Roman" w:hAnsi="Verdana" w:cstheme="minorHAnsi"/>
          <w:sz w:val="20"/>
          <w:szCs w:val="16"/>
        </w:rPr>
        <w:t xml:space="preserve">Beta measures the investment risk that cannot be eliminated by holding a diverse portfolio of assets. </w:t>
      </w:r>
    </w:p>
    <w:p w14:paraId="7931B5D1" w14:textId="77777777" w:rsidR="00823379" w:rsidRPr="00DB5977" w:rsidRDefault="00DC1EE2" w:rsidP="00486739">
      <w:pPr>
        <w:pStyle w:val="DirectQuestion"/>
      </w:pPr>
      <w:r w:rsidRPr="00DB5977">
        <w:t xml:space="preserve">please </w:t>
      </w:r>
      <w:r w:rsidR="00823379" w:rsidRPr="00DB5977">
        <w:t>DESCRIBE THE RISK-FREE RATE YOU USE IN YOUR CAPM ANALYSIS.</w:t>
      </w:r>
    </w:p>
    <w:p w14:paraId="0319189A" w14:textId="0FCA6C86" w:rsidR="00171CA3"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The first term in the CAPM is the risk-free rate (</w:t>
      </w:r>
      <w:proofErr w:type="spellStart"/>
      <w:proofErr w:type="gramStart"/>
      <w:r w:rsidRPr="00DB5977">
        <w:rPr>
          <w:rFonts w:ascii="Verdana" w:hAnsi="Verdana" w:cstheme="minorHAnsi"/>
          <w:i/>
          <w:iCs/>
          <w:sz w:val="20"/>
          <w:szCs w:val="16"/>
        </w:rPr>
        <w:t>R</w:t>
      </w:r>
      <w:r w:rsidRPr="00DB5977">
        <w:rPr>
          <w:rFonts w:ascii="Verdana" w:hAnsi="Verdana" w:cstheme="minorHAnsi"/>
          <w:i/>
          <w:iCs/>
          <w:sz w:val="20"/>
          <w:szCs w:val="16"/>
          <w:vertAlign w:val="subscript"/>
        </w:rPr>
        <w:t>f</w:t>
      </w:r>
      <w:proofErr w:type="spellEnd"/>
      <w:proofErr w:type="gramEnd"/>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The risk-free rate is the level of return investors can achieve without assuming any risk.</w:t>
      </w:r>
      <w:r w:rsidR="0025065A">
        <w:rPr>
          <w:rFonts w:ascii="Verdana" w:hAnsi="Verdana" w:cstheme="minorHAnsi"/>
          <w:sz w:val="20"/>
          <w:szCs w:val="20"/>
        </w:rPr>
        <w:t xml:space="preserve"> </w:t>
      </w:r>
      <w:r w:rsidRPr="00DB5977">
        <w:rPr>
          <w:rFonts w:ascii="Verdana" w:hAnsi="Verdana" w:cstheme="minorHAnsi"/>
          <w:sz w:val="20"/>
          <w:szCs w:val="20"/>
        </w:rPr>
        <w:t>In general, most investors agree that an asset perceived by the market as having relatively less risk than other market bonds is a U.S. Treasury bond because the federal government’s access to tax proceeds to fulfill its debt obligations and strong credit rating makes Treasury securities practically default-free.</w:t>
      </w:r>
      <w:r w:rsidR="0025065A">
        <w:rPr>
          <w:rFonts w:ascii="Verdana" w:hAnsi="Verdana" w:cstheme="minorHAnsi"/>
          <w:sz w:val="20"/>
          <w:szCs w:val="20"/>
        </w:rPr>
        <w:t xml:space="preserve"> </w:t>
      </w:r>
      <w:r w:rsidR="00335344" w:rsidRPr="00DB5977">
        <w:rPr>
          <w:rFonts w:ascii="Verdana" w:hAnsi="Verdana" w:cstheme="minorHAnsi"/>
          <w:sz w:val="20"/>
          <w:szCs w:val="20"/>
        </w:rPr>
        <w:t>However, Treasury bonds</w:t>
      </w:r>
      <w:r w:rsidR="003F4CFB" w:rsidRPr="00DB5977">
        <w:rPr>
          <w:rFonts w:ascii="Verdana" w:hAnsi="Verdana" w:cstheme="minorHAnsi"/>
          <w:sz w:val="20"/>
          <w:szCs w:val="20"/>
        </w:rPr>
        <w:t xml:space="preserve"> are not absolutely risk-</w:t>
      </w:r>
      <w:r w:rsidR="003F4CFB" w:rsidRPr="00DB5977">
        <w:rPr>
          <w:rFonts w:ascii="Verdana" w:hAnsi="Verdana" w:cstheme="minorHAnsi"/>
          <w:sz w:val="20"/>
          <w:szCs w:val="20"/>
        </w:rPr>
        <w:lastRenderedPageBreak/>
        <w:t xml:space="preserve">free because they incorporate a risk-premium </w:t>
      </w:r>
      <w:r w:rsidR="00EA4B19" w:rsidRPr="00DB5977">
        <w:rPr>
          <w:rFonts w:ascii="Verdana" w:hAnsi="Verdana" w:cstheme="minorHAnsi"/>
          <w:sz w:val="20"/>
          <w:szCs w:val="20"/>
        </w:rPr>
        <w:t xml:space="preserve">associated with interest risk, which is the premium investors require to </w:t>
      </w:r>
      <w:r w:rsidR="00D97A4C" w:rsidRPr="00DB5977">
        <w:rPr>
          <w:rFonts w:ascii="Verdana" w:hAnsi="Verdana" w:cstheme="minorHAnsi"/>
          <w:sz w:val="20"/>
          <w:szCs w:val="20"/>
        </w:rPr>
        <w:t xml:space="preserve">compensate </w:t>
      </w:r>
      <w:r w:rsidR="00371317" w:rsidRPr="00DB5977">
        <w:rPr>
          <w:rFonts w:ascii="Verdana" w:hAnsi="Verdana" w:cstheme="minorHAnsi"/>
          <w:sz w:val="20"/>
          <w:szCs w:val="20"/>
        </w:rPr>
        <w:t xml:space="preserve">them </w:t>
      </w:r>
      <w:r w:rsidR="00D97A4C" w:rsidRPr="00DB5977">
        <w:rPr>
          <w:rFonts w:ascii="Verdana" w:hAnsi="Verdana" w:cstheme="minorHAnsi"/>
          <w:sz w:val="20"/>
          <w:szCs w:val="20"/>
        </w:rPr>
        <w:t xml:space="preserve">for the forgone opportunity cost of </w:t>
      </w:r>
      <w:r w:rsidR="00645AEE">
        <w:rPr>
          <w:rFonts w:ascii="Verdana" w:hAnsi="Verdana" w:cstheme="minorHAnsi"/>
          <w:sz w:val="20"/>
          <w:szCs w:val="20"/>
        </w:rPr>
        <w:t xml:space="preserve">an </w:t>
      </w:r>
      <w:r w:rsidR="00371317" w:rsidRPr="00DB5977">
        <w:rPr>
          <w:rFonts w:ascii="Verdana" w:hAnsi="Verdana" w:cstheme="minorHAnsi"/>
          <w:sz w:val="20"/>
          <w:szCs w:val="20"/>
        </w:rPr>
        <w:t>alternative higher interest rate later.</w:t>
      </w:r>
    </w:p>
    <w:p w14:paraId="74D18137" w14:textId="2B5F7004" w:rsidR="00823379" w:rsidRPr="00DB5977" w:rsidRDefault="00823379" w:rsidP="00486739">
      <w:pPr>
        <w:pStyle w:val="DirectAnswer"/>
        <w:numPr>
          <w:ilvl w:val="0"/>
          <w:numId w:val="0"/>
        </w:numPr>
        <w:ind w:left="720" w:firstLine="720"/>
        <w:jc w:val="both"/>
        <w:rPr>
          <w:rFonts w:ascii="Verdana" w:hAnsi="Verdana"/>
          <w:sz w:val="20"/>
          <w:szCs w:val="20"/>
        </w:rPr>
      </w:pPr>
      <w:r w:rsidRPr="00DB5977">
        <w:rPr>
          <w:rFonts w:ascii="Verdana" w:hAnsi="Verdana"/>
          <w:sz w:val="20"/>
          <w:szCs w:val="20"/>
        </w:rPr>
        <w:t>Since there is no close alternative to Treasury securities, I us</w:t>
      </w:r>
      <w:r w:rsidR="00CA3132" w:rsidRPr="00DB5977">
        <w:rPr>
          <w:rFonts w:ascii="Verdana" w:hAnsi="Verdana"/>
          <w:sz w:val="20"/>
          <w:szCs w:val="20"/>
        </w:rPr>
        <w:t>e</w:t>
      </w:r>
      <w:r w:rsidRPr="00DB5977">
        <w:rPr>
          <w:rFonts w:ascii="Verdana" w:hAnsi="Verdana"/>
          <w:sz w:val="20"/>
          <w:szCs w:val="20"/>
        </w:rPr>
        <w:t xml:space="preserve"> the yield on the </w:t>
      </w:r>
      <w:r w:rsidR="009D1126" w:rsidRPr="00DB5977">
        <w:rPr>
          <w:rFonts w:ascii="Verdana" w:hAnsi="Verdana"/>
          <w:sz w:val="20"/>
          <w:szCs w:val="20"/>
        </w:rPr>
        <w:t>3</w:t>
      </w:r>
      <w:r w:rsidRPr="00DB5977">
        <w:rPr>
          <w:rFonts w:ascii="Verdana" w:hAnsi="Verdana"/>
          <w:sz w:val="20"/>
          <w:szCs w:val="20"/>
        </w:rPr>
        <w:t xml:space="preserve">0-year Treasury bond observed over a recent </w:t>
      </w:r>
      <w:r w:rsidR="009D1126" w:rsidRPr="00DB5977">
        <w:rPr>
          <w:rFonts w:ascii="Verdana" w:hAnsi="Verdana"/>
          <w:sz w:val="20"/>
          <w:szCs w:val="20"/>
        </w:rPr>
        <w:t>9</w:t>
      </w:r>
      <w:r w:rsidRPr="00DB5977">
        <w:rPr>
          <w:rFonts w:ascii="Verdana" w:hAnsi="Verdana"/>
          <w:sz w:val="20"/>
          <w:szCs w:val="20"/>
        </w:rPr>
        <w:t>0</w:t>
      </w:r>
      <w:r w:rsidR="00645AEE">
        <w:rPr>
          <w:rFonts w:ascii="Verdana" w:hAnsi="Verdana"/>
          <w:sz w:val="20"/>
          <w:szCs w:val="20"/>
        </w:rPr>
        <w:t>-</w:t>
      </w:r>
      <w:r w:rsidRPr="00DB5977">
        <w:rPr>
          <w:rFonts w:ascii="Verdana" w:hAnsi="Verdana"/>
          <w:sz w:val="20"/>
          <w:szCs w:val="20"/>
        </w:rPr>
        <w:t>day period.</w:t>
      </w:r>
      <w:r w:rsidR="0025065A">
        <w:rPr>
          <w:rFonts w:ascii="Verdana" w:hAnsi="Verdana"/>
          <w:sz w:val="20"/>
          <w:szCs w:val="20"/>
        </w:rPr>
        <w:t xml:space="preserve"> </w:t>
      </w:r>
      <w:r w:rsidRPr="00DB5977">
        <w:rPr>
          <w:rFonts w:ascii="Verdana" w:hAnsi="Verdana"/>
          <w:sz w:val="20"/>
          <w:szCs w:val="20"/>
        </w:rPr>
        <w:t xml:space="preserve">The estimate of </w:t>
      </w:r>
      <w:r w:rsidR="00ED4606" w:rsidRPr="00DB5977">
        <w:rPr>
          <w:rFonts w:ascii="Verdana" w:hAnsi="Verdana"/>
          <w:sz w:val="20"/>
          <w:szCs w:val="20"/>
        </w:rPr>
        <w:t>2.</w:t>
      </w:r>
      <w:r w:rsidR="003C1561" w:rsidRPr="00DB5977">
        <w:rPr>
          <w:rFonts w:ascii="Verdana" w:hAnsi="Verdana"/>
          <w:sz w:val="20"/>
          <w:szCs w:val="20"/>
        </w:rPr>
        <w:t>42</w:t>
      </w:r>
      <w:r w:rsidRPr="00DB5977">
        <w:rPr>
          <w:rFonts w:ascii="Verdana" w:hAnsi="Verdana"/>
          <w:sz w:val="20"/>
          <w:szCs w:val="20"/>
        </w:rPr>
        <w:t xml:space="preserve"> percent (30-year T-Bond) </w:t>
      </w:r>
      <w:r w:rsidR="00897F81" w:rsidRPr="00DB5977">
        <w:rPr>
          <w:rFonts w:ascii="Verdana" w:hAnsi="Verdana"/>
          <w:sz w:val="20"/>
          <w:szCs w:val="20"/>
        </w:rPr>
        <w:t>is</w:t>
      </w:r>
      <w:r w:rsidRPr="00DB5977">
        <w:rPr>
          <w:rFonts w:ascii="Verdana" w:hAnsi="Verdana"/>
          <w:sz w:val="20"/>
          <w:szCs w:val="20"/>
        </w:rPr>
        <w:t xml:space="preserve"> based on recent market information and </w:t>
      </w:r>
      <w:r w:rsidR="00897F81" w:rsidRPr="00DB5977">
        <w:rPr>
          <w:rFonts w:ascii="Verdana" w:hAnsi="Verdana"/>
          <w:sz w:val="20"/>
          <w:szCs w:val="20"/>
        </w:rPr>
        <w:t>is</w:t>
      </w:r>
      <w:r w:rsidRPr="00DB5977">
        <w:rPr>
          <w:rFonts w:ascii="Verdana" w:hAnsi="Verdana"/>
          <w:sz w:val="20"/>
          <w:szCs w:val="20"/>
        </w:rPr>
        <w:t xml:space="preserve"> the average yield from the</w:t>
      </w:r>
      <w:r w:rsidR="009D1126" w:rsidRPr="00DB5977">
        <w:rPr>
          <w:rFonts w:ascii="Verdana" w:hAnsi="Verdana"/>
          <w:sz w:val="20"/>
          <w:szCs w:val="20"/>
        </w:rPr>
        <w:t xml:space="preserve"> 9</w:t>
      </w:r>
      <w:r w:rsidR="00F26F68" w:rsidRPr="00DB5977">
        <w:rPr>
          <w:rFonts w:ascii="Verdana" w:hAnsi="Verdana"/>
          <w:sz w:val="20"/>
          <w:szCs w:val="20"/>
        </w:rPr>
        <w:t xml:space="preserve">0-day </w:t>
      </w:r>
      <w:r w:rsidRPr="00DB5977">
        <w:rPr>
          <w:rFonts w:ascii="Verdana" w:hAnsi="Verdana"/>
          <w:sz w:val="20"/>
          <w:szCs w:val="20"/>
        </w:rPr>
        <w:t xml:space="preserve">period ended </w:t>
      </w:r>
      <w:r w:rsidR="00ED4606" w:rsidRPr="00DB5977">
        <w:rPr>
          <w:rFonts w:ascii="Verdana" w:hAnsi="Verdana"/>
          <w:sz w:val="20"/>
          <w:szCs w:val="20"/>
        </w:rPr>
        <w:t xml:space="preserve">August </w:t>
      </w:r>
      <w:r w:rsidR="003C1561" w:rsidRPr="00DB5977">
        <w:rPr>
          <w:rFonts w:ascii="Verdana" w:hAnsi="Verdana"/>
          <w:sz w:val="20"/>
          <w:szCs w:val="20"/>
        </w:rPr>
        <w:t>3</w:t>
      </w:r>
      <w:r w:rsidR="000B187A" w:rsidRPr="00DB5977">
        <w:rPr>
          <w:rFonts w:ascii="Verdana" w:hAnsi="Verdana"/>
          <w:sz w:val="20"/>
          <w:szCs w:val="20"/>
        </w:rPr>
        <w:t>1</w:t>
      </w:r>
      <w:r w:rsidR="00721C71" w:rsidRPr="00DB5977">
        <w:rPr>
          <w:rFonts w:ascii="Verdana" w:hAnsi="Verdana"/>
          <w:sz w:val="20"/>
          <w:szCs w:val="20"/>
        </w:rPr>
        <w:t>, 2019</w:t>
      </w:r>
      <w:r w:rsidRPr="00DB5977">
        <w:rPr>
          <w:rFonts w:ascii="Verdana" w:hAnsi="Verdana"/>
          <w:sz w:val="20"/>
          <w:szCs w:val="20"/>
        </w:rPr>
        <w:t>.</w:t>
      </w:r>
      <w:r w:rsidR="0025065A">
        <w:rPr>
          <w:rFonts w:ascii="Verdana" w:hAnsi="Verdana"/>
          <w:sz w:val="20"/>
          <w:szCs w:val="20"/>
        </w:rPr>
        <w:t xml:space="preserve"> </w:t>
      </w:r>
      <w:r w:rsidR="00773D41" w:rsidRPr="00DB5977">
        <w:rPr>
          <w:rFonts w:ascii="Verdana" w:hAnsi="Verdana"/>
          <w:sz w:val="20"/>
          <w:szCs w:val="20"/>
        </w:rPr>
        <w:t xml:space="preserve">I also include in one of my CAPM analyses the </w:t>
      </w:r>
      <w:r w:rsidR="00773D41" w:rsidRPr="00C5694C">
        <w:rPr>
          <w:rFonts w:ascii="Verdana" w:hAnsi="Verdana"/>
          <w:iCs/>
          <w:sz w:val="20"/>
          <w:szCs w:val="20"/>
        </w:rPr>
        <w:t>Duff &amp; Phelps</w:t>
      </w:r>
      <w:r w:rsidR="00773D41" w:rsidRPr="00DB5977">
        <w:rPr>
          <w:rFonts w:ascii="Verdana" w:hAnsi="Verdana"/>
          <w:sz w:val="20"/>
          <w:szCs w:val="20"/>
        </w:rPr>
        <w:t xml:space="preserve"> </w:t>
      </w:r>
      <w:r w:rsidR="002A19DA">
        <w:rPr>
          <w:rFonts w:ascii="Verdana" w:hAnsi="Verdana"/>
          <w:sz w:val="20"/>
          <w:szCs w:val="20"/>
        </w:rPr>
        <w:t>n</w:t>
      </w:r>
      <w:r w:rsidR="00773D41" w:rsidRPr="00DB5977">
        <w:rPr>
          <w:rFonts w:ascii="Verdana" w:hAnsi="Verdana"/>
          <w:sz w:val="20"/>
          <w:szCs w:val="20"/>
        </w:rPr>
        <w:t xml:space="preserve">ormalized </w:t>
      </w:r>
      <w:r w:rsidR="002A19DA">
        <w:rPr>
          <w:rFonts w:ascii="Verdana" w:hAnsi="Verdana"/>
          <w:sz w:val="20"/>
          <w:szCs w:val="20"/>
        </w:rPr>
        <w:t>r</w:t>
      </w:r>
      <w:r w:rsidR="00773D41" w:rsidRPr="00DB5977">
        <w:rPr>
          <w:rFonts w:ascii="Verdana" w:hAnsi="Verdana"/>
          <w:sz w:val="20"/>
          <w:szCs w:val="20"/>
        </w:rPr>
        <w:t>isk-</w:t>
      </w:r>
      <w:r w:rsidR="002A19DA">
        <w:rPr>
          <w:rFonts w:ascii="Verdana" w:hAnsi="Verdana"/>
          <w:sz w:val="20"/>
          <w:szCs w:val="20"/>
        </w:rPr>
        <w:t>f</w:t>
      </w:r>
      <w:r w:rsidR="00773D41" w:rsidRPr="00DB5977">
        <w:rPr>
          <w:rFonts w:ascii="Verdana" w:hAnsi="Verdana"/>
          <w:sz w:val="20"/>
          <w:szCs w:val="20"/>
        </w:rPr>
        <w:t xml:space="preserve">ree </w:t>
      </w:r>
      <w:r w:rsidR="002A19DA">
        <w:rPr>
          <w:rFonts w:ascii="Verdana" w:hAnsi="Verdana"/>
          <w:sz w:val="20"/>
          <w:szCs w:val="20"/>
        </w:rPr>
        <w:t>r</w:t>
      </w:r>
      <w:r w:rsidR="00773D41" w:rsidRPr="00DB5977">
        <w:rPr>
          <w:rFonts w:ascii="Verdana" w:hAnsi="Verdana"/>
          <w:sz w:val="20"/>
          <w:szCs w:val="20"/>
        </w:rPr>
        <w:t>ate of 3.50 percent.</w:t>
      </w:r>
    </w:p>
    <w:p w14:paraId="245720CF" w14:textId="77777777" w:rsidR="00823379" w:rsidRPr="00DB5977" w:rsidRDefault="00823379" w:rsidP="00486739">
      <w:pPr>
        <w:pStyle w:val="DirectQuestion"/>
      </w:pPr>
      <w:r w:rsidRPr="00DB5977">
        <w:t xml:space="preserve">Why do you consider </w:t>
      </w:r>
      <w:r w:rsidRPr="00C5694C">
        <w:t xml:space="preserve">the </w:t>
      </w:r>
      <w:r w:rsidR="00B0224A" w:rsidRPr="00C5694C">
        <w:t>Duff &amp; Phelps Normalized</w:t>
      </w:r>
      <w:r w:rsidR="00B0224A" w:rsidRPr="00DB5977">
        <w:t xml:space="preserve"> Risk-Free Rate </w:t>
      </w:r>
      <w:r w:rsidRPr="00DB5977">
        <w:t>in addition to the 30-year treasury</w:t>
      </w:r>
      <w:r w:rsidR="00F7480D" w:rsidRPr="00DB5977">
        <w:t xml:space="preserve"> Bond Rate</w:t>
      </w:r>
      <w:r w:rsidRPr="00DB5977">
        <w:t>?</w:t>
      </w:r>
    </w:p>
    <w:p w14:paraId="3D925920" w14:textId="30603CC4" w:rsidR="00823379" w:rsidRPr="00DB5977" w:rsidRDefault="00DF0026"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When I employ </w:t>
      </w:r>
      <w:r w:rsidRPr="00C5694C">
        <w:rPr>
          <w:rFonts w:ascii="Verdana" w:hAnsi="Verdana" w:cstheme="minorHAnsi"/>
          <w:sz w:val="20"/>
          <w:szCs w:val="20"/>
        </w:rPr>
        <w:t>the Duff &amp; Phelps Recommended U</w:t>
      </w:r>
      <w:r w:rsidR="00D62559" w:rsidRPr="00C5694C">
        <w:rPr>
          <w:rFonts w:ascii="Verdana" w:hAnsi="Verdana" w:cstheme="minorHAnsi"/>
          <w:sz w:val="20"/>
          <w:szCs w:val="20"/>
        </w:rPr>
        <w:t>.</w:t>
      </w:r>
      <w:r w:rsidRPr="00C5694C">
        <w:rPr>
          <w:rFonts w:ascii="Verdana" w:hAnsi="Verdana" w:cstheme="minorHAnsi"/>
          <w:sz w:val="20"/>
          <w:szCs w:val="20"/>
        </w:rPr>
        <w:t>S</w:t>
      </w:r>
      <w:r w:rsidR="00D62559" w:rsidRPr="00C5694C">
        <w:rPr>
          <w:rFonts w:ascii="Verdana" w:hAnsi="Verdana" w:cstheme="minorHAnsi"/>
          <w:sz w:val="20"/>
          <w:szCs w:val="20"/>
        </w:rPr>
        <w:t>.</w:t>
      </w:r>
      <w:r w:rsidRPr="00C5694C">
        <w:rPr>
          <w:rFonts w:ascii="Verdana" w:hAnsi="Verdana" w:cstheme="minorHAnsi"/>
          <w:sz w:val="20"/>
          <w:szCs w:val="20"/>
        </w:rPr>
        <w:t xml:space="preserve"> </w:t>
      </w:r>
      <w:r w:rsidR="00D62559" w:rsidRPr="00C5694C">
        <w:rPr>
          <w:rFonts w:ascii="Verdana" w:hAnsi="Verdana" w:cstheme="minorHAnsi"/>
          <w:sz w:val="20"/>
          <w:szCs w:val="20"/>
        </w:rPr>
        <w:t>ERP</w:t>
      </w:r>
      <w:r w:rsidRPr="00C5694C">
        <w:rPr>
          <w:rFonts w:ascii="Verdana" w:hAnsi="Verdana" w:cstheme="minorHAnsi"/>
          <w:sz w:val="20"/>
          <w:szCs w:val="20"/>
        </w:rPr>
        <w:t>, I employ the corresponding Duff &amp; Phelps</w:t>
      </w:r>
      <w:r w:rsidRPr="00DB5977">
        <w:rPr>
          <w:rFonts w:ascii="Verdana" w:hAnsi="Verdana" w:cstheme="minorHAnsi"/>
          <w:sz w:val="20"/>
          <w:szCs w:val="20"/>
        </w:rPr>
        <w:t xml:space="preserve"> </w:t>
      </w:r>
      <w:r w:rsidR="00777006">
        <w:rPr>
          <w:rFonts w:ascii="Verdana" w:hAnsi="Verdana" w:cstheme="minorHAnsi"/>
          <w:sz w:val="20"/>
          <w:szCs w:val="20"/>
        </w:rPr>
        <w:t>n</w:t>
      </w:r>
      <w:r w:rsidRPr="00DB5977">
        <w:rPr>
          <w:rFonts w:ascii="Verdana" w:hAnsi="Verdana" w:cstheme="minorHAnsi"/>
          <w:sz w:val="20"/>
          <w:szCs w:val="20"/>
        </w:rPr>
        <w:t xml:space="preserve">ormalized </w:t>
      </w:r>
      <w:r w:rsidR="00777006">
        <w:rPr>
          <w:rFonts w:ascii="Verdana" w:hAnsi="Verdana" w:cstheme="minorHAnsi"/>
          <w:sz w:val="20"/>
          <w:szCs w:val="20"/>
        </w:rPr>
        <w:t>r</w:t>
      </w:r>
      <w:r w:rsidRPr="00DB5977">
        <w:rPr>
          <w:rFonts w:ascii="Verdana" w:hAnsi="Verdana" w:cstheme="minorHAnsi"/>
          <w:sz w:val="20"/>
          <w:szCs w:val="20"/>
        </w:rPr>
        <w:t>isk-</w:t>
      </w:r>
      <w:r w:rsidR="00777006">
        <w:rPr>
          <w:rFonts w:ascii="Verdana" w:hAnsi="Verdana" w:cstheme="minorHAnsi"/>
          <w:sz w:val="20"/>
          <w:szCs w:val="20"/>
        </w:rPr>
        <w:t>f</w:t>
      </w:r>
      <w:r w:rsidRPr="00DB5977">
        <w:rPr>
          <w:rFonts w:ascii="Verdana" w:hAnsi="Verdana" w:cstheme="minorHAnsi"/>
          <w:sz w:val="20"/>
          <w:szCs w:val="20"/>
        </w:rPr>
        <w:t xml:space="preserve">ree </w:t>
      </w:r>
      <w:r w:rsidR="00777006">
        <w:rPr>
          <w:rFonts w:ascii="Verdana" w:hAnsi="Verdana" w:cstheme="minorHAnsi"/>
          <w:sz w:val="20"/>
          <w:szCs w:val="20"/>
        </w:rPr>
        <w:t>r</w:t>
      </w:r>
      <w:r w:rsidRPr="00DB5977">
        <w:rPr>
          <w:rFonts w:ascii="Verdana" w:hAnsi="Verdana" w:cstheme="minorHAnsi"/>
          <w:sz w:val="20"/>
          <w:szCs w:val="20"/>
        </w:rPr>
        <w:t>ate because they are estimated in relation to each other.</w:t>
      </w:r>
      <w:r w:rsidRPr="00DB5977">
        <w:rPr>
          <w:rStyle w:val="FootnoteReference"/>
          <w:rFonts w:ascii="Verdana" w:hAnsi="Verdana" w:cstheme="minorHAnsi"/>
          <w:sz w:val="20"/>
          <w:szCs w:val="20"/>
        </w:rPr>
        <w:footnoteReference w:id="29"/>
      </w:r>
    </w:p>
    <w:p w14:paraId="3271F5BF" w14:textId="77777777" w:rsidR="00823379" w:rsidRPr="00DB5977" w:rsidRDefault="00823379" w:rsidP="00486739">
      <w:pPr>
        <w:pStyle w:val="DirectQuestion"/>
      </w:pPr>
      <w:r w:rsidRPr="00DB5977">
        <w:t xml:space="preserve">What beta measure do you use for Your sample? </w:t>
      </w:r>
    </w:p>
    <w:p w14:paraId="58ED610C" w14:textId="69A87D4B"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I rely on </w:t>
      </w:r>
      <w:r w:rsidRPr="00DB5977">
        <w:rPr>
          <w:rFonts w:ascii="Verdana" w:hAnsi="Verdana" w:cstheme="minorHAnsi"/>
          <w:i/>
          <w:sz w:val="20"/>
          <w:szCs w:val="20"/>
        </w:rPr>
        <w:t>Value Line</w:t>
      </w:r>
      <w:r w:rsidRPr="00DB5977">
        <w:rPr>
          <w:rFonts w:ascii="Verdana" w:hAnsi="Verdana" w:cstheme="minorHAnsi"/>
          <w:sz w:val="20"/>
          <w:szCs w:val="20"/>
        </w:rPr>
        <w:t xml:space="preserve"> betas because </w:t>
      </w:r>
      <w:r w:rsidRPr="00DB5977">
        <w:rPr>
          <w:rFonts w:ascii="Verdana" w:hAnsi="Verdana" w:cstheme="minorHAnsi"/>
          <w:i/>
          <w:iCs/>
          <w:sz w:val="20"/>
          <w:szCs w:val="20"/>
        </w:rPr>
        <w:t>Value Line</w:t>
      </w:r>
      <w:r w:rsidRPr="00DB5977">
        <w:rPr>
          <w:rFonts w:ascii="Verdana" w:hAnsi="Verdana" w:cstheme="minorHAnsi"/>
          <w:sz w:val="20"/>
          <w:szCs w:val="20"/>
        </w:rPr>
        <w:t xml:space="preserve"> is widely used by the utility regulatory community and investment community in general.</w:t>
      </w:r>
      <w:r w:rsidR="0025065A">
        <w:rPr>
          <w:rFonts w:ascii="Verdana" w:hAnsi="Verdana" w:cstheme="minorHAnsi"/>
          <w:sz w:val="20"/>
          <w:szCs w:val="20"/>
        </w:rPr>
        <w:t xml:space="preserve"> </w:t>
      </w:r>
      <w:r w:rsidRPr="00DB5977">
        <w:rPr>
          <w:rFonts w:ascii="Verdana" w:hAnsi="Verdana" w:cstheme="minorHAnsi"/>
          <w:sz w:val="20"/>
          <w:szCs w:val="20"/>
        </w:rPr>
        <w:t xml:space="preserve">It is also known that </w:t>
      </w:r>
      <w:r w:rsidRPr="00DB5977">
        <w:rPr>
          <w:rFonts w:ascii="Verdana" w:hAnsi="Verdana" w:cstheme="minorHAnsi"/>
          <w:i/>
          <w:iCs/>
          <w:sz w:val="20"/>
          <w:szCs w:val="20"/>
        </w:rPr>
        <w:t>Value Line</w:t>
      </w:r>
      <w:r w:rsidRPr="00DB5977">
        <w:rPr>
          <w:rFonts w:ascii="Verdana" w:hAnsi="Verdana" w:cstheme="minorHAnsi"/>
          <w:sz w:val="20"/>
          <w:szCs w:val="20"/>
        </w:rPr>
        <w:t xml:space="preserve"> adjusts its betas to account for the long-term </w:t>
      </w:r>
      <w:r w:rsidRPr="00DB5977">
        <w:rPr>
          <w:rFonts w:ascii="Verdana" w:hAnsi="Verdana" w:cstheme="minorHAnsi"/>
          <w:sz w:val="20"/>
          <w:szCs w:val="20"/>
        </w:rPr>
        <w:lastRenderedPageBreak/>
        <w:t>tendencies of stocks to converge to a beta of one (1.0).</w:t>
      </w:r>
      <w:r w:rsidRPr="00DB5977">
        <w:rPr>
          <w:rStyle w:val="FootnoteReference"/>
          <w:rFonts w:ascii="Verdana" w:hAnsi="Verdana" w:cstheme="minorHAnsi"/>
          <w:sz w:val="20"/>
          <w:szCs w:val="16"/>
        </w:rPr>
        <w:footnoteReference w:id="30"/>
      </w:r>
      <w:r w:rsidR="0025065A">
        <w:rPr>
          <w:rFonts w:ascii="Verdana" w:hAnsi="Verdana" w:cstheme="minorHAnsi"/>
          <w:sz w:val="20"/>
          <w:szCs w:val="20"/>
        </w:rPr>
        <w:t xml:space="preserve"> </w:t>
      </w:r>
      <w:r w:rsidRPr="00DB5977">
        <w:rPr>
          <w:rFonts w:ascii="Verdana" w:hAnsi="Verdana" w:cstheme="minorHAnsi"/>
          <w:sz w:val="20"/>
          <w:szCs w:val="20"/>
        </w:rPr>
        <w:t xml:space="preserve">As a result, </w:t>
      </w:r>
      <w:r w:rsidRPr="00DB5977">
        <w:rPr>
          <w:rFonts w:ascii="Verdana" w:hAnsi="Verdana" w:cstheme="minorHAnsi"/>
          <w:i/>
          <w:iCs/>
          <w:sz w:val="20"/>
          <w:szCs w:val="20"/>
        </w:rPr>
        <w:t>Value Line</w:t>
      </w:r>
      <w:r w:rsidRPr="00DB5977">
        <w:rPr>
          <w:rFonts w:ascii="Verdana" w:hAnsi="Verdana" w:cstheme="minorHAnsi"/>
          <w:sz w:val="20"/>
          <w:szCs w:val="20"/>
        </w:rPr>
        <w:t xml:space="preserve"> betas tend to have higher values than betas provided by some other sources.</w:t>
      </w:r>
      <w:r w:rsidR="0025065A">
        <w:rPr>
          <w:rFonts w:ascii="Verdana" w:hAnsi="Verdana" w:cstheme="minorHAnsi"/>
          <w:sz w:val="20"/>
          <w:szCs w:val="20"/>
        </w:rPr>
        <w:t xml:space="preserve"> </w:t>
      </w:r>
      <w:r w:rsidRPr="00DB5977">
        <w:rPr>
          <w:rFonts w:ascii="Verdana" w:hAnsi="Verdana" w:cstheme="minorHAnsi"/>
          <w:sz w:val="20"/>
          <w:szCs w:val="20"/>
        </w:rPr>
        <w:t xml:space="preserve">The average </w:t>
      </w:r>
      <w:r w:rsidRPr="00DB5977">
        <w:rPr>
          <w:rFonts w:ascii="Verdana" w:hAnsi="Verdana" w:cstheme="minorHAnsi"/>
          <w:i/>
          <w:iCs/>
          <w:sz w:val="20"/>
          <w:szCs w:val="20"/>
        </w:rPr>
        <w:t>Value Line</w:t>
      </w:r>
      <w:r w:rsidRPr="00DB5977">
        <w:rPr>
          <w:rFonts w:ascii="Verdana" w:hAnsi="Verdana" w:cstheme="minorHAnsi"/>
          <w:sz w:val="20"/>
          <w:szCs w:val="20"/>
        </w:rPr>
        <w:t xml:space="preserve"> beta for my proxy group is 0.</w:t>
      </w:r>
      <w:r w:rsidR="00873C67">
        <w:rPr>
          <w:rFonts w:ascii="Verdana" w:hAnsi="Verdana" w:cstheme="minorHAnsi"/>
          <w:sz w:val="20"/>
          <w:szCs w:val="20"/>
        </w:rPr>
        <w:t>59</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A beta value of 0.</w:t>
      </w:r>
      <w:r w:rsidR="00873C67">
        <w:rPr>
          <w:rFonts w:ascii="Verdana" w:hAnsi="Verdana" w:cstheme="minorHAnsi"/>
          <w:sz w:val="20"/>
          <w:szCs w:val="20"/>
        </w:rPr>
        <w:t>59</w:t>
      </w:r>
      <w:r w:rsidRPr="00DB5977">
        <w:rPr>
          <w:rFonts w:ascii="Verdana" w:hAnsi="Verdana" w:cstheme="minorHAnsi"/>
          <w:sz w:val="20"/>
          <w:szCs w:val="20"/>
        </w:rPr>
        <w:t xml:space="preserve"> means that the stock price movement is less than the movement in percentage terms </w:t>
      </w:r>
      <w:r w:rsidR="004C5F2A" w:rsidRPr="00DB5977">
        <w:rPr>
          <w:rFonts w:ascii="Verdana" w:hAnsi="Verdana" w:cstheme="minorHAnsi"/>
          <w:sz w:val="20"/>
          <w:szCs w:val="20"/>
        </w:rPr>
        <w:t xml:space="preserve">than </w:t>
      </w:r>
      <w:r w:rsidRPr="00DB5977">
        <w:rPr>
          <w:rFonts w:ascii="Verdana" w:hAnsi="Verdana" w:cstheme="minorHAnsi"/>
          <w:sz w:val="20"/>
          <w:szCs w:val="20"/>
        </w:rPr>
        <w:t>the stock market as a whole.</w:t>
      </w:r>
      <w:r w:rsidR="0025065A">
        <w:rPr>
          <w:rFonts w:ascii="Verdana" w:hAnsi="Verdana" w:cstheme="minorHAnsi"/>
          <w:sz w:val="20"/>
          <w:szCs w:val="20"/>
        </w:rPr>
        <w:t xml:space="preserve"> </w:t>
      </w:r>
      <w:r w:rsidRPr="00DB5977">
        <w:rPr>
          <w:rFonts w:ascii="Verdana" w:hAnsi="Verdana" w:cstheme="minorHAnsi"/>
          <w:sz w:val="20"/>
          <w:szCs w:val="20"/>
        </w:rPr>
        <w:t>The stock is, therefore, less volatile than the overall market.</w:t>
      </w:r>
    </w:p>
    <w:p w14:paraId="25B10033" w14:textId="7FDBA672" w:rsidR="00823379" w:rsidRPr="00DB5977" w:rsidRDefault="00823379" w:rsidP="00486739">
      <w:pPr>
        <w:pStyle w:val="DirectQuestion"/>
      </w:pPr>
      <w:r w:rsidRPr="00DB5977">
        <w:t xml:space="preserve">How do you calculate the </w:t>
      </w:r>
      <w:r w:rsidR="00D62559">
        <w:t>ERP</w:t>
      </w:r>
      <w:r w:rsidRPr="00DB5977">
        <w:t xml:space="preserve">? </w:t>
      </w:r>
    </w:p>
    <w:p w14:paraId="12615B27" w14:textId="2BD703B5" w:rsidR="004F24A0" w:rsidRPr="00DB5977" w:rsidRDefault="00157563" w:rsidP="00823379">
      <w:pPr>
        <w:pStyle w:val="DirectAnswer"/>
        <w:jc w:val="both"/>
        <w:rPr>
          <w:rFonts w:ascii="Verdana" w:hAnsi="Verdana" w:cstheme="minorHAnsi"/>
          <w:sz w:val="20"/>
          <w:szCs w:val="20"/>
        </w:rPr>
      </w:pPr>
      <w:r w:rsidRPr="00DB5977">
        <w:rPr>
          <w:rFonts w:ascii="Verdana" w:hAnsi="Verdana" w:cstheme="minorHAnsi"/>
          <w:sz w:val="20"/>
          <w:szCs w:val="20"/>
        </w:rPr>
        <w:t xml:space="preserve">In each of my </w:t>
      </w:r>
      <w:r w:rsidR="00897F81" w:rsidRPr="00DB5977">
        <w:rPr>
          <w:rFonts w:ascii="Verdana" w:hAnsi="Verdana" w:cstheme="minorHAnsi"/>
          <w:sz w:val="20"/>
          <w:szCs w:val="20"/>
        </w:rPr>
        <w:t xml:space="preserve">three </w:t>
      </w:r>
      <w:r w:rsidRPr="00DB5977">
        <w:rPr>
          <w:rFonts w:ascii="Verdana" w:hAnsi="Verdana" w:cstheme="minorHAnsi"/>
          <w:sz w:val="20"/>
          <w:szCs w:val="20"/>
        </w:rPr>
        <w:t xml:space="preserve">CAPM analyses, I use different estimates of the </w:t>
      </w:r>
      <w:r w:rsidR="00D62559">
        <w:rPr>
          <w:rFonts w:ascii="Verdana" w:hAnsi="Verdana" w:cstheme="minorHAnsi"/>
          <w:sz w:val="20"/>
          <w:szCs w:val="20"/>
        </w:rPr>
        <w:t>ERP</w:t>
      </w:r>
      <w:r w:rsidRPr="00DB5977">
        <w:rPr>
          <w:rFonts w:ascii="Verdana" w:hAnsi="Verdana" w:cstheme="minorHAnsi"/>
          <w:sz w:val="20"/>
          <w:szCs w:val="20"/>
        </w:rPr>
        <w:t xml:space="preserve"> that range from </w:t>
      </w:r>
      <w:r w:rsidR="009832DB" w:rsidRPr="00DB5977">
        <w:rPr>
          <w:rFonts w:ascii="Verdana" w:hAnsi="Verdana" w:cstheme="minorHAnsi"/>
          <w:sz w:val="20"/>
          <w:szCs w:val="20"/>
        </w:rPr>
        <w:t>5.50</w:t>
      </w:r>
      <w:r w:rsidRPr="00DB5977">
        <w:rPr>
          <w:rFonts w:ascii="Verdana" w:hAnsi="Verdana" w:cstheme="minorHAnsi"/>
          <w:sz w:val="20"/>
          <w:szCs w:val="20"/>
        </w:rPr>
        <w:t xml:space="preserve"> percent to </w:t>
      </w:r>
      <w:r w:rsidR="005E289D" w:rsidRPr="00DB5977">
        <w:rPr>
          <w:rFonts w:ascii="Verdana" w:hAnsi="Verdana" w:cstheme="minorHAnsi"/>
          <w:sz w:val="20"/>
          <w:szCs w:val="20"/>
        </w:rPr>
        <w:t>9.48</w:t>
      </w:r>
      <w:r w:rsidRPr="00DB5977">
        <w:rPr>
          <w:rFonts w:ascii="Verdana" w:hAnsi="Verdana" w:cstheme="minorHAnsi"/>
          <w:sz w:val="20"/>
          <w:szCs w:val="20"/>
        </w:rPr>
        <w:t xml:space="preserve"> percent.</w:t>
      </w:r>
      <w:r w:rsidR="0025065A">
        <w:rPr>
          <w:rFonts w:ascii="Verdana" w:hAnsi="Verdana" w:cstheme="minorHAnsi"/>
          <w:sz w:val="20"/>
          <w:szCs w:val="20"/>
        </w:rPr>
        <w:t xml:space="preserve"> </w:t>
      </w:r>
      <w:r w:rsidR="0098514A" w:rsidRPr="00DB5977">
        <w:rPr>
          <w:rFonts w:ascii="Verdana" w:hAnsi="Verdana" w:cstheme="minorHAnsi"/>
          <w:sz w:val="20"/>
          <w:szCs w:val="20"/>
        </w:rPr>
        <w:t xml:space="preserve">For the high-end of this range, </w:t>
      </w:r>
      <w:r w:rsidR="00823379" w:rsidRPr="00DB5977">
        <w:rPr>
          <w:rFonts w:ascii="Verdana" w:hAnsi="Verdana" w:cstheme="minorHAnsi"/>
          <w:sz w:val="20"/>
          <w:szCs w:val="20"/>
        </w:rPr>
        <w:t xml:space="preserve">I use the </w:t>
      </w:r>
      <w:r w:rsidR="0017169C" w:rsidRPr="00DB5977">
        <w:rPr>
          <w:rFonts w:ascii="Verdana" w:hAnsi="Verdana" w:cstheme="minorHAnsi"/>
          <w:sz w:val="20"/>
          <w:szCs w:val="20"/>
        </w:rPr>
        <w:t xml:space="preserve">historical long-term </w:t>
      </w:r>
      <w:r w:rsidR="00D62559">
        <w:rPr>
          <w:rFonts w:ascii="Verdana" w:hAnsi="Verdana" w:cstheme="minorHAnsi"/>
          <w:sz w:val="20"/>
          <w:szCs w:val="20"/>
        </w:rPr>
        <w:t>ERP</w:t>
      </w:r>
      <w:r w:rsidR="0017169C" w:rsidRPr="00DB5977">
        <w:rPr>
          <w:rFonts w:ascii="Verdana" w:hAnsi="Verdana" w:cstheme="minorHAnsi"/>
          <w:sz w:val="20"/>
          <w:szCs w:val="20"/>
        </w:rPr>
        <w:t xml:space="preserve"> provided by</w:t>
      </w:r>
      <w:r w:rsidR="00823379" w:rsidRPr="00DB5977">
        <w:rPr>
          <w:rFonts w:ascii="Verdana" w:hAnsi="Verdana" w:cstheme="minorHAnsi"/>
          <w:sz w:val="20"/>
          <w:szCs w:val="20"/>
        </w:rPr>
        <w:t xml:space="preserve"> Duff &amp; Phelps’ </w:t>
      </w:r>
      <w:r w:rsidR="00823379" w:rsidRPr="00DB5977">
        <w:rPr>
          <w:rFonts w:ascii="Verdana" w:hAnsi="Verdana" w:cstheme="minorHAnsi"/>
          <w:i/>
          <w:sz w:val="20"/>
          <w:szCs w:val="20"/>
        </w:rPr>
        <w:t>201</w:t>
      </w:r>
      <w:r w:rsidR="00E12FDB" w:rsidRPr="00DB5977">
        <w:rPr>
          <w:rFonts w:ascii="Verdana" w:hAnsi="Verdana" w:cstheme="minorHAnsi"/>
          <w:i/>
          <w:sz w:val="20"/>
          <w:szCs w:val="20"/>
        </w:rPr>
        <w:t>9</w:t>
      </w:r>
      <w:r w:rsidR="00823379" w:rsidRPr="00DB5977">
        <w:rPr>
          <w:rFonts w:ascii="Verdana" w:hAnsi="Verdana" w:cstheme="minorHAnsi"/>
          <w:i/>
          <w:sz w:val="20"/>
          <w:szCs w:val="20"/>
        </w:rPr>
        <w:t xml:space="preserve"> </w:t>
      </w:r>
      <w:r w:rsidRPr="00DB5977">
        <w:rPr>
          <w:rFonts w:ascii="Verdana" w:hAnsi="Verdana" w:cstheme="minorHAnsi"/>
          <w:i/>
          <w:sz w:val="20"/>
          <w:szCs w:val="20"/>
        </w:rPr>
        <w:t>Cost of Capital: Annual U.S. Guidance and Examples</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C60DC6" w:rsidRPr="00DB5977">
        <w:rPr>
          <w:rFonts w:ascii="Verdana" w:hAnsi="Verdana" w:cstheme="minorHAnsi"/>
          <w:sz w:val="20"/>
          <w:szCs w:val="20"/>
        </w:rPr>
        <w:t xml:space="preserve">I begin with </w:t>
      </w:r>
      <w:r w:rsidR="00C60DC6" w:rsidRPr="00C5694C">
        <w:rPr>
          <w:rFonts w:ascii="Verdana" w:hAnsi="Verdana" w:cstheme="minorHAnsi"/>
          <w:sz w:val="20"/>
          <w:szCs w:val="20"/>
        </w:rPr>
        <w:t>the Duff &amp; Phelps</w:t>
      </w:r>
      <w:r w:rsidR="00C60DC6" w:rsidRPr="00DB5977">
        <w:rPr>
          <w:rFonts w:ascii="Verdana" w:hAnsi="Verdana" w:cstheme="minorHAnsi"/>
          <w:sz w:val="20"/>
          <w:szCs w:val="20"/>
        </w:rPr>
        <w:t xml:space="preserve"> estimated </w:t>
      </w:r>
      <w:r w:rsidR="007C3EE2">
        <w:rPr>
          <w:rFonts w:ascii="Verdana" w:hAnsi="Verdana" w:cstheme="minorHAnsi"/>
          <w:sz w:val="20"/>
          <w:szCs w:val="20"/>
        </w:rPr>
        <w:t>l</w:t>
      </w:r>
      <w:r w:rsidR="00C60DC6" w:rsidRPr="00DB5977">
        <w:rPr>
          <w:rFonts w:ascii="Verdana" w:hAnsi="Verdana" w:cstheme="minorHAnsi"/>
          <w:sz w:val="20"/>
          <w:szCs w:val="20"/>
        </w:rPr>
        <w:t xml:space="preserve">arge </w:t>
      </w:r>
      <w:r w:rsidR="007C3EE2">
        <w:rPr>
          <w:rFonts w:ascii="Verdana" w:hAnsi="Verdana" w:cstheme="minorHAnsi"/>
          <w:sz w:val="20"/>
          <w:szCs w:val="20"/>
        </w:rPr>
        <w:t>s</w:t>
      </w:r>
      <w:r w:rsidR="00C60DC6" w:rsidRPr="00DB5977">
        <w:rPr>
          <w:rFonts w:ascii="Verdana" w:hAnsi="Verdana" w:cstheme="minorHAnsi"/>
          <w:sz w:val="20"/>
          <w:szCs w:val="20"/>
        </w:rPr>
        <w:t xml:space="preserve">tock </w:t>
      </w:r>
      <w:r w:rsidR="007C3EE2">
        <w:rPr>
          <w:rFonts w:ascii="Verdana" w:hAnsi="Verdana" w:cstheme="minorHAnsi"/>
          <w:sz w:val="20"/>
          <w:szCs w:val="20"/>
        </w:rPr>
        <w:t>a</w:t>
      </w:r>
      <w:r w:rsidR="00C60DC6" w:rsidRPr="00DB5977">
        <w:rPr>
          <w:rFonts w:ascii="Verdana" w:hAnsi="Verdana" w:cstheme="minorHAnsi"/>
          <w:sz w:val="20"/>
          <w:szCs w:val="20"/>
        </w:rPr>
        <w:t xml:space="preserve">rithmetic </w:t>
      </w:r>
      <w:r w:rsidR="007C3EE2">
        <w:rPr>
          <w:rFonts w:ascii="Verdana" w:hAnsi="Verdana" w:cstheme="minorHAnsi"/>
          <w:sz w:val="20"/>
          <w:szCs w:val="20"/>
        </w:rPr>
        <w:t>a</w:t>
      </w:r>
      <w:r w:rsidR="00C60DC6" w:rsidRPr="00DB5977">
        <w:rPr>
          <w:rFonts w:ascii="Verdana" w:hAnsi="Verdana" w:cstheme="minorHAnsi"/>
          <w:sz w:val="20"/>
          <w:szCs w:val="20"/>
        </w:rPr>
        <w:t>ve</w:t>
      </w:r>
      <w:r w:rsidR="008E5E22" w:rsidRPr="00DB5977">
        <w:rPr>
          <w:rFonts w:ascii="Verdana" w:hAnsi="Verdana" w:cstheme="minorHAnsi"/>
          <w:sz w:val="20"/>
          <w:szCs w:val="20"/>
        </w:rPr>
        <w:t>rage</w:t>
      </w:r>
      <w:r w:rsidR="00C60DC6" w:rsidRPr="00DB5977">
        <w:rPr>
          <w:rFonts w:ascii="Verdana" w:hAnsi="Verdana" w:cstheme="minorHAnsi"/>
          <w:sz w:val="20"/>
          <w:szCs w:val="20"/>
        </w:rPr>
        <w:t xml:space="preserve"> </w:t>
      </w:r>
      <w:r w:rsidR="007C3EE2">
        <w:rPr>
          <w:rFonts w:ascii="Verdana" w:hAnsi="Verdana" w:cstheme="minorHAnsi"/>
          <w:sz w:val="20"/>
          <w:szCs w:val="20"/>
        </w:rPr>
        <w:t>r</w:t>
      </w:r>
      <w:r w:rsidR="00C60DC6" w:rsidRPr="00DB5977">
        <w:rPr>
          <w:rFonts w:ascii="Verdana" w:hAnsi="Verdana" w:cstheme="minorHAnsi"/>
          <w:sz w:val="20"/>
          <w:szCs w:val="20"/>
        </w:rPr>
        <w:t>eturn of 1</w:t>
      </w:r>
      <w:r w:rsidR="00151FB2" w:rsidRPr="00DB5977">
        <w:rPr>
          <w:rFonts w:ascii="Verdana" w:hAnsi="Verdana" w:cstheme="minorHAnsi"/>
          <w:sz w:val="20"/>
          <w:szCs w:val="20"/>
        </w:rPr>
        <w:t>1</w:t>
      </w:r>
      <w:r w:rsidR="00C60DC6" w:rsidRPr="00DB5977">
        <w:rPr>
          <w:rFonts w:ascii="Verdana" w:hAnsi="Verdana" w:cstheme="minorHAnsi"/>
          <w:sz w:val="20"/>
          <w:szCs w:val="20"/>
        </w:rPr>
        <w:t>.</w:t>
      </w:r>
      <w:r w:rsidR="00151FB2" w:rsidRPr="00DB5977">
        <w:rPr>
          <w:rFonts w:ascii="Verdana" w:hAnsi="Verdana" w:cstheme="minorHAnsi"/>
          <w:sz w:val="20"/>
          <w:szCs w:val="20"/>
        </w:rPr>
        <w:t>9</w:t>
      </w:r>
      <w:r w:rsidR="00C60DC6" w:rsidRPr="00DB5977">
        <w:rPr>
          <w:rFonts w:ascii="Verdana" w:hAnsi="Verdana" w:cstheme="minorHAnsi"/>
          <w:sz w:val="20"/>
          <w:szCs w:val="20"/>
        </w:rPr>
        <w:t>0 percent and then subtract the yield on the 30</w:t>
      </w:r>
      <w:r w:rsidR="00275DD8">
        <w:rPr>
          <w:rFonts w:ascii="Verdana" w:hAnsi="Verdana" w:cstheme="minorHAnsi"/>
          <w:sz w:val="20"/>
          <w:szCs w:val="20"/>
        </w:rPr>
        <w:noBreakHyphen/>
      </w:r>
      <w:r w:rsidR="00C60DC6" w:rsidRPr="00DB5977">
        <w:rPr>
          <w:rFonts w:ascii="Verdana" w:hAnsi="Verdana" w:cstheme="minorHAnsi"/>
          <w:sz w:val="20"/>
          <w:szCs w:val="20"/>
        </w:rPr>
        <w:t>year T-bond</w:t>
      </w:r>
      <w:r w:rsidR="004F24A0" w:rsidRPr="00DB5977">
        <w:rPr>
          <w:rFonts w:ascii="Verdana" w:hAnsi="Verdana" w:cstheme="minorHAnsi"/>
          <w:sz w:val="20"/>
          <w:szCs w:val="20"/>
        </w:rPr>
        <w:t xml:space="preserve"> to derive an equity risk premium of </w:t>
      </w:r>
      <w:r w:rsidR="00151FB2" w:rsidRPr="00DB5977">
        <w:rPr>
          <w:rFonts w:ascii="Verdana" w:hAnsi="Verdana" w:cstheme="minorHAnsi"/>
          <w:sz w:val="20"/>
          <w:szCs w:val="20"/>
        </w:rPr>
        <w:t>9</w:t>
      </w:r>
      <w:r w:rsidR="00256BCF" w:rsidRPr="00DB5977">
        <w:rPr>
          <w:rFonts w:ascii="Verdana" w:hAnsi="Verdana" w:cstheme="minorHAnsi"/>
          <w:sz w:val="20"/>
          <w:szCs w:val="20"/>
        </w:rPr>
        <w:t>.</w:t>
      </w:r>
      <w:r w:rsidR="00CB6826" w:rsidRPr="00DB5977">
        <w:rPr>
          <w:rFonts w:ascii="Verdana" w:hAnsi="Verdana" w:cstheme="minorHAnsi"/>
          <w:sz w:val="20"/>
          <w:szCs w:val="20"/>
        </w:rPr>
        <w:t>48</w:t>
      </w:r>
      <w:r w:rsidR="004F24A0" w:rsidRPr="00DB5977">
        <w:rPr>
          <w:rFonts w:ascii="Verdana" w:hAnsi="Verdana" w:cstheme="minorHAnsi"/>
          <w:sz w:val="20"/>
          <w:szCs w:val="20"/>
        </w:rPr>
        <w:t xml:space="preserve"> percent</w:t>
      </w:r>
      <w:r w:rsidR="00C60DC6" w:rsidRPr="00DB5977">
        <w:rPr>
          <w:rFonts w:ascii="Verdana" w:hAnsi="Verdana" w:cstheme="minorHAnsi"/>
          <w:sz w:val="20"/>
          <w:szCs w:val="20"/>
        </w:rPr>
        <w:t>.</w:t>
      </w:r>
      <w:r w:rsidR="00C60DC6" w:rsidRPr="00DB5977">
        <w:rPr>
          <w:rStyle w:val="FootnoteReference"/>
          <w:rFonts w:ascii="Verdana" w:hAnsi="Verdana" w:cstheme="minorHAnsi"/>
          <w:sz w:val="20"/>
          <w:szCs w:val="20"/>
        </w:rPr>
        <w:footnoteReference w:id="31"/>
      </w:r>
      <w:r w:rsidR="0025065A">
        <w:rPr>
          <w:rFonts w:ascii="Verdana" w:hAnsi="Verdana" w:cstheme="minorHAnsi"/>
          <w:sz w:val="20"/>
          <w:szCs w:val="20"/>
        </w:rPr>
        <w:t xml:space="preserve"> </w:t>
      </w:r>
      <w:r w:rsidR="00C60DC6" w:rsidRPr="00DB5977">
        <w:rPr>
          <w:rFonts w:ascii="Verdana" w:hAnsi="Verdana" w:cstheme="minorHAnsi"/>
          <w:sz w:val="20"/>
          <w:szCs w:val="20"/>
        </w:rPr>
        <w:t>(</w:t>
      </w:r>
      <w:r w:rsidR="00C60DC6" w:rsidRPr="00DB5977">
        <w:rPr>
          <w:rFonts w:ascii="Verdana" w:hAnsi="Verdana" w:cstheme="minorHAnsi"/>
          <w:sz w:val="20"/>
          <w:szCs w:val="20"/>
          <w:u w:val="single"/>
        </w:rPr>
        <w:t>See</w:t>
      </w:r>
      <w:r w:rsidR="00C60DC6" w:rsidRPr="00DB5977">
        <w:rPr>
          <w:rFonts w:ascii="Verdana" w:hAnsi="Verdana" w:cstheme="minorHAns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00C60DC6" w:rsidRPr="00DB5977">
        <w:rPr>
          <w:rFonts w:ascii="Verdana" w:hAnsi="Verdana" w:cstheme="minorHAnsi"/>
          <w:sz w:val="20"/>
          <w:szCs w:val="20"/>
        </w:rPr>
        <w:t>LR-7</w:t>
      </w:r>
      <w:r w:rsidR="001E308F" w:rsidRPr="00DB5977">
        <w:rPr>
          <w:rFonts w:ascii="Verdana" w:hAnsi="Verdana" w:cstheme="minorHAnsi"/>
          <w:sz w:val="20"/>
          <w:szCs w:val="20"/>
        </w:rPr>
        <w:t>b</w:t>
      </w:r>
      <w:r w:rsidR="00C60DC6" w:rsidRPr="00DB5977">
        <w:rPr>
          <w:rFonts w:ascii="Verdana" w:hAnsi="Verdana" w:cstheme="minorHAnsi"/>
          <w:sz w:val="20"/>
          <w:szCs w:val="20"/>
        </w:rPr>
        <w:t>.)</w:t>
      </w:r>
      <w:r w:rsidR="0025065A">
        <w:rPr>
          <w:rFonts w:ascii="Verdana" w:hAnsi="Verdana" w:cstheme="minorHAnsi"/>
          <w:sz w:val="20"/>
          <w:szCs w:val="20"/>
        </w:rPr>
        <w:t xml:space="preserve"> </w:t>
      </w:r>
    </w:p>
    <w:p w14:paraId="3BF2AA9B" w14:textId="05635C66" w:rsidR="00823379" w:rsidRPr="00DB5977" w:rsidRDefault="004F24A0" w:rsidP="004E081B">
      <w:pPr>
        <w:pStyle w:val="DirectAnswer"/>
        <w:numPr>
          <w:ilvl w:val="0"/>
          <w:numId w:val="0"/>
        </w:numPr>
        <w:ind w:left="720" w:firstLine="720"/>
        <w:jc w:val="both"/>
        <w:rPr>
          <w:rFonts w:ascii="Verdana" w:hAnsi="Verdana" w:cstheme="minorHAnsi"/>
          <w:sz w:val="20"/>
          <w:szCs w:val="20"/>
        </w:rPr>
      </w:pPr>
      <w:r w:rsidRPr="00C5694C">
        <w:rPr>
          <w:rFonts w:ascii="Verdana" w:hAnsi="Verdana" w:cstheme="minorHAnsi"/>
          <w:sz w:val="20"/>
          <w:szCs w:val="20"/>
        </w:rPr>
        <w:t>Duff &amp; Phelps</w:t>
      </w:r>
      <w:r w:rsidRPr="00DB5977">
        <w:rPr>
          <w:rFonts w:ascii="Verdana" w:hAnsi="Verdana" w:cstheme="minorHAnsi"/>
          <w:sz w:val="20"/>
          <w:szCs w:val="20"/>
        </w:rPr>
        <w:t xml:space="preserve"> </w:t>
      </w:r>
      <w:r w:rsidR="00AD05FA" w:rsidRPr="00DB5977">
        <w:rPr>
          <w:rFonts w:ascii="Verdana" w:hAnsi="Verdana" w:cstheme="minorHAnsi"/>
          <w:sz w:val="20"/>
          <w:szCs w:val="20"/>
        </w:rPr>
        <w:t xml:space="preserve">also provides a realized </w:t>
      </w:r>
      <w:r w:rsidR="00AC5F6B">
        <w:rPr>
          <w:rFonts w:ascii="Verdana" w:hAnsi="Verdana" w:cstheme="minorHAnsi"/>
          <w:sz w:val="20"/>
          <w:szCs w:val="20"/>
        </w:rPr>
        <w:t>ERP</w:t>
      </w:r>
      <w:r w:rsidR="00AD05FA" w:rsidRPr="00DB5977">
        <w:rPr>
          <w:rFonts w:ascii="Verdana" w:hAnsi="Verdana" w:cstheme="minorHAnsi"/>
          <w:sz w:val="20"/>
          <w:szCs w:val="20"/>
        </w:rPr>
        <w:t xml:space="preserve"> that is based on stock market returns minus long-term T-bonds.</w:t>
      </w:r>
      <w:r w:rsidR="0025065A">
        <w:rPr>
          <w:rFonts w:ascii="Verdana" w:hAnsi="Verdana" w:cstheme="minorHAnsi"/>
          <w:sz w:val="20"/>
          <w:szCs w:val="20"/>
        </w:rPr>
        <w:t xml:space="preserve"> </w:t>
      </w:r>
      <w:r w:rsidR="00AD05FA" w:rsidRPr="00DB5977">
        <w:rPr>
          <w:rFonts w:ascii="Verdana" w:hAnsi="Verdana" w:cstheme="minorHAnsi"/>
          <w:sz w:val="20"/>
          <w:szCs w:val="20"/>
        </w:rPr>
        <w:t xml:space="preserve">Thus, I also employ the arithmetic average of the </w:t>
      </w:r>
      <w:r w:rsidR="00AD05FA" w:rsidRPr="00C5694C">
        <w:rPr>
          <w:rFonts w:ascii="Verdana" w:hAnsi="Verdana" w:cstheme="minorHAnsi"/>
          <w:sz w:val="20"/>
          <w:szCs w:val="20"/>
        </w:rPr>
        <w:t>Duff &amp; Phelps</w:t>
      </w:r>
      <w:r w:rsidR="00AD05FA" w:rsidRPr="00DB5977">
        <w:rPr>
          <w:rFonts w:ascii="Verdana" w:hAnsi="Verdana" w:cstheme="minorHAnsi"/>
          <w:sz w:val="20"/>
          <w:szCs w:val="20"/>
        </w:rPr>
        <w:t xml:space="preserve"> historical </w:t>
      </w:r>
      <w:r w:rsidR="00AC5F6B">
        <w:rPr>
          <w:rFonts w:ascii="Verdana" w:hAnsi="Verdana" w:cstheme="minorHAnsi"/>
          <w:sz w:val="20"/>
          <w:szCs w:val="20"/>
        </w:rPr>
        <w:t>long-term ERP</w:t>
      </w:r>
      <w:r w:rsidR="00AD05FA" w:rsidRPr="00DB5977">
        <w:rPr>
          <w:rFonts w:ascii="Verdana" w:hAnsi="Verdana" w:cstheme="minorHAnsi"/>
          <w:sz w:val="20"/>
          <w:szCs w:val="20"/>
        </w:rPr>
        <w:t xml:space="preserve"> from 1926 to </w:t>
      </w:r>
      <w:r w:rsidR="00AD05FA" w:rsidRPr="00DB5977">
        <w:rPr>
          <w:rFonts w:ascii="Verdana" w:hAnsi="Verdana" w:cstheme="minorHAnsi"/>
          <w:sz w:val="20"/>
          <w:szCs w:val="20"/>
        </w:rPr>
        <w:lastRenderedPageBreak/>
        <w:t>201</w:t>
      </w:r>
      <w:r w:rsidR="0099741C" w:rsidRPr="00DB5977">
        <w:rPr>
          <w:rFonts w:ascii="Verdana" w:hAnsi="Verdana" w:cstheme="minorHAnsi"/>
          <w:sz w:val="20"/>
          <w:szCs w:val="20"/>
        </w:rPr>
        <w:t>8 of 6.91</w:t>
      </w:r>
      <w:r w:rsidR="00AD05FA" w:rsidRPr="00DB5977">
        <w:rPr>
          <w:rFonts w:ascii="Verdana" w:hAnsi="Verdana" w:cstheme="minorHAnsi"/>
          <w:sz w:val="20"/>
          <w:szCs w:val="20"/>
        </w:rPr>
        <w:t xml:space="preserve"> percent.</w:t>
      </w:r>
      <w:r w:rsidR="00AD05FA" w:rsidRPr="00DB5977">
        <w:rPr>
          <w:rStyle w:val="FootnoteReference"/>
          <w:rFonts w:ascii="Verdana" w:hAnsi="Verdana" w:cstheme="minorHAnsi"/>
          <w:sz w:val="20"/>
          <w:szCs w:val="20"/>
        </w:rPr>
        <w:footnoteReference w:id="32"/>
      </w:r>
      <w:r w:rsidR="0025065A">
        <w:rPr>
          <w:rFonts w:ascii="Verdana" w:hAnsi="Verdana" w:cstheme="minorHAnsi"/>
          <w:sz w:val="20"/>
          <w:szCs w:val="20"/>
        </w:rPr>
        <w:t xml:space="preserve"> </w:t>
      </w:r>
      <w:r w:rsidR="00C60DC6" w:rsidRPr="00DB5977">
        <w:rPr>
          <w:rFonts w:ascii="Verdana" w:hAnsi="Verdana" w:cstheme="minorHAnsi"/>
          <w:sz w:val="20"/>
          <w:szCs w:val="20"/>
        </w:rPr>
        <w:t>(</w:t>
      </w:r>
      <w:r w:rsidR="00C60DC6" w:rsidRPr="00DB5977">
        <w:rPr>
          <w:rFonts w:ascii="Verdana" w:hAnsi="Verdana" w:cstheme="minorHAnsi"/>
          <w:sz w:val="20"/>
          <w:szCs w:val="20"/>
          <w:u w:val="single"/>
        </w:rPr>
        <w:t>See</w:t>
      </w:r>
      <w:r w:rsidR="00C60DC6" w:rsidRPr="00DB5977">
        <w:rPr>
          <w:rFonts w:ascii="Verdana" w:hAnsi="Verdana" w:cstheme="minorHAns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00C60DC6" w:rsidRPr="00DB5977">
        <w:rPr>
          <w:rFonts w:ascii="Verdana" w:hAnsi="Verdana" w:cstheme="minorHAnsi"/>
          <w:sz w:val="20"/>
          <w:szCs w:val="20"/>
        </w:rPr>
        <w:t>LR-7c.)</w:t>
      </w:r>
      <w:r w:rsidR="0025065A">
        <w:rPr>
          <w:rFonts w:ascii="Verdana" w:hAnsi="Verdana" w:cstheme="minorHAnsi"/>
          <w:sz w:val="20"/>
          <w:szCs w:val="20"/>
        </w:rPr>
        <w:t xml:space="preserve"> </w:t>
      </w:r>
      <w:r w:rsidR="00562CF8" w:rsidRPr="00C5694C">
        <w:rPr>
          <w:rFonts w:ascii="Verdana" w:hAnsi="Verdana" w:cstheme="minorHAnsi"/>
          <w:sz w:val="20"/>
          <w:szCs w:val="20"/>
        </w:rPr>
        <w:t>Duff &amp; Phelps</w:t>
      </w:r>
      <w:r w:rsidR="00562CF8" w:rsidRPr="00DB5977">
        <w:rPr>
          <w:rFonts w:ascii="Verdana" w:hAnsi="Verdana" w:cstheme="minorHAnsi"/>
          <w:sz w:val="20"/>
          <w:szCs w:val="20"/>
        </w:rPr>
        <w:t xml:space="preserve"> also recommend</w:t>
      </w:r>
      <w:r w:rsidR="00EA75E3" w:rsidRPr="00DB5977">
        <w:rPr>
          <w:rFonts w:ascii="Verdana" w:hAnsi="Verdana" w:cstheme="minorHAnsi"/>
          <w:sz w:val="20"/>
          <w:szCs w:val="20"/>
        </w:rPr>
        <w:t>s</w:t>
      </w:r>
      <w:r w:rsidR="00562CF8" w:rsidRPr="00DB5977">
        <w:rPr>
          <w:rFonts w:ascii="Verdana" w:hAnsi="Verdana" w:cstheme="minorHAnsi"/>
          <w:sz w:val="20"/>
          <w:szCs w:val="20"/>
        </w:rPr>
        <w:t xml:space="preserve"> a forward-looking </w:t>
      </w:r>
      <w:r w:rsidR="00AC5F6B">
        <w:rPr>
          <w:rFonts w:ascii="Verdana" w:hAnsi="Verdana" w:cstheme="minorHAnsi"/>
          <w:sz w:val="20"/>
          <w:szCs w:val="20"/>
        </w:rPr>
        <w:t>ERP</w:t>
      </w:r>
      <w:r w:rsidR="00562CF8" w:rsidRPr="00DB5977">
        <w:rPr>
          <w:rFonts w:ascii="Verdana" w:hAnsi="Verdana" w:cstheme="minorHAnsi"/>
          <w:sz w:val="20"/>
          <w:szCs w:val="20"/>
        </w:rPr>
        <w:t xml:space="preserve"> that was derived in conjunction with a normalized risk-free rate.</w:t>
      </w:r>
      <w:r w:rsidR="0025065A">
        <w:rPr>
          <w:rFonts w:ascii="Verdana" w:hAnsi="Verdana" w:cstheme="minorHAnsi"/>
          <w:sz w:val="20"/>
          <w:szCs w:val="20"/>
        </w:rPr>
        <w:t xml:space="preserve"> </w:t>
      </w:r>
      <w:r w:rsidR="00562CF8" w:rsidRPr="00DB5977">
        <w:rPr>
          <w:rFonts w:ascii="Verdana" w:hAnsi="Verdana" w:cstheme="minorHAnsi"/>
          <w:sz w:val="20"/>
          <w:szCs w:val="20"/>
        </w:rPr>
        <w:t xml:space="preserve">Therefore, my final CAPM analyses use the </w:t>
      </w:r>
      <w:r w:rsidR="00562CF8" w:rsidRPr="00C5694C">
        <w:rPr>
          <w:rFonts w:ascii="Verdana" w:hAnsi="Verdana" w:cstheme="minorHAnsi"/>
          <w:sz w:val="20"/>
          <w:szCs w:val="20"/>
        </w:rPr>
        <w:t>Duff &amp; Phelps</w:t>
      </w:r>
      <w:r w:rsidR="00562CF8" w:rsidRPr="00DB5977">
        <w:rPr>
          <w:rFonts w:ascii="Verdana" w:hAnsi="Verdana" w:cstheme="minorHAnsi"/>
          <w:sz w:val="20"/>
          <w:szCs w:val="20"/>
        </w:rPr>
        <w:t xml:space="preserve"> </w:t>
      </w:r>
      <w:r w:rsidR="000F1FD6">
        <w:rPr>
          <w:rFonts w:ascii="Verdana" w:hAnsi="Verdana" w:cstheme="minorHAnsi"/>
          <w:sz w:val="20"/>
          <w:szCs w:val="20"/>
        </w:rPr>
        <w:t>r</w:t>
      </w:r>
      <w:r w:rsidR="00562CF8" w:rsidRPr="00DB5977">
        <w:rPr>
          <w:rFonts w:ascii="Verdana" w:hAnsi="Verdana" w:cstheme="minorHAnsi"/>
          <w:sz w:val="20"/>
          <w:szCs w:val="20"/>
        </w:rPr>
        <w:t>ecommended U</w:t>
      </w:r>
      <w:r w:rsidR="00AC5F6B">
        <w:rPr>
          <w:rFonts w:ascii="Verdana" w:hAnsi="Verdana" w:cstheme="minorHAnsi"/>
          <w:sz w:val="20"/>
          <w:szCs w:val="20"/>
        </w:rPr>
        <w:t>.</w:t>
      </w:r>
      <w:r w:rsidR="00562CF8" w:rsidRPr="00DB5977">
        <w:rPr>
          <w:rFonts w:ascii="Verdana" w:hAnsi="Verdana" w:cstheme="minorHAnsi"/>
          <w:sz w:val="20"/>
          <w:szCs w:val="20"/>
        </w:rPr>
        <w:t>S</w:t>
      </w:r>
      <w:r w:rsidR="00AC5F6B">
        <w:rPr>
          <w:rFonts w:ascii="Verdana" w:hAnsi="Verdana" w:cstheme="minorHAnsi"/>
          <w:sz w:val="20"/>
          <w:szCs w:val="20"/>
        </w:rPr>
        <w:t>.</w:t>
      </w:r>
      <w:r w:rsidR="00562CF8" w:rsidRPr="00DB5977">
        <w:rPr>
          <w:rFonts w:ascii="Verdana" w:hAnsi="Verdana" w:cstheme="minorHAnsi"/>
          <w:sz w:val="20"/>
          <w:szCs w:val="20"/>
        </w:rPr>
        <w:t xml:space="preserve"> ERP of 5.50 percent and </w:t>
      </w:r>
      <w:r w:rsidR="004E75F1">
        <w:rPr>
          <w:rFonts w:ascii="Verdana" w:hAnsi="Verdana" w:cstheme="minorHAnsi"/>
          <w:sz w:val="20"/>
          <w:szCs w:val="20"/>
        </w:rPr>
        <w:t>n</w:t>
      </w:r>
      <w:r w:rsidR="00562CF8" w:rsidRPr="00DB5977">
        <w:rPr>
          <w:rFonts w:ascii="Verdana" w:hAnsi="Verdana" w:cstheme="minorHAnsi"/>
          <w:sz w:val="20"/>
          <w:szCs w:val="20"/>
        </w:rPr>
        <w:t xml:space="preserve">ormalized </w:t>
      </w:r>
      <w:r w:rsidR="004E75F1">
        <w:rPr>
          <w:rFonts w:ascii="Verdana" w:hAnsi="Verdana" w:cstheme="minorHAnsi"/>
          <w:sz w:val="20"/>
          <w:szCs w:val="20"/>
        </w:rPr>
        <w:t>r</w:t>
      </w:r>
      <w:r w:rsidR="00562CF8" w:rsidRPr="00DB5977">
        <w:rPr>
          <w:rFonts w:ascii="Verdana" w:hAnsi="Verdana" w:cstheme="minorHAnsi"/>
          <w:sz w:val="20"/>
          <w:szCs w:val="20"/>
        </w:rPr>
        <w:t>isk-</w:t>
      </w:r>
      <w:r w:rsidR="004E75F1">
        <w:rPr>
          <w:rFonts w:ascii="Verdana" w:hAnsi="Verdana" w:cstheme="minorHAnsi"/>
          <w:sz w:val="20"/>
          <w:szCs w:val="20"/>
        </w:rPr>
        <w:t>f</w:t>
      </w:r>
      <w:r w:rsidR="00562CF8" w:rsidRPr="00DB5977">
        <w:rPr>
          <w:rFonts w:ascii="Verdana" w:hAnsi="Verdana" w:cstheme="minorHAnsi"/>
          <w:sz w:val="20"/>
          <w:szCs w:val="20"/>
        </w:rPr>
        <w:t xml:space="preserve">ree </w:t>
      </w:r>
      <w:r w:rsidR="004E75F1">
        <w:rPr>
          <w:rFonts w:ascii="Verdana" w:hAnsi="Verdana" w:cstheme="minorHAnsi"/>
          <w:sz w:val="20"/>
          <w:szCs w:val="20"/>
        </w:rPr>
        <w:t>r</w:t>
      </w:r>
      <w:r w:rsidR="009A799C">
        <w:rPr>
          <w:rFonts w:ascii="Verdana" w:hAnsi="Verdana" w:cstheme="minorHAnsi"/>
          <w:sz w:val="20"/>
          <w:szCs w:val="20"/>
        </w:rPr>
        <w:t>ate</w:t>
      </w:r>
      <w:r w:rsidR="009A799C" w:rsidRPr="00DB5977">
        <w:rPr>
          <w:rFonts w:ascii="Verdana" w:hAnsi="Verdana" w:cstheme="minorHAnsi"/>
          <w:sz w:val="20"/>
          <w:szCs w:val="20"/>
        </w:rPr>
        <w:t xml:space="preserve"> </w:t>
      </w:r>
      <w:r w:rsidR="00562CF8" w:rsidRPr="00DB5977">
        <w:rPr>
          <w:rFonts w:ascii="Verdana" w:hAnsi="Verdana" w:cstheme="minorHAnsi"/>
          <w:sz w:val="20"/>
          <w:szCs w:val="20"/>
        </w:rPr>
        <w:t>of 3.50 percent.</w:t>
      </w:r>
      <w:r w:rsidR="00724E1A" w:rsidRPr="00DB5977">
        <w:rPr>
          <w:rStyle w:val="FootnoteReference"/>
          <w:rFonts w:ascii="Verdana" w:hAnsi="Verdana" w:cstheme="minorHAnsi"/>
          <w:sz w:val="20"/>
          <w:szCs w:val="20"/>
        </w:rPr>
        <w:footnoteReference w:id="33"/>
      </w:r>
      <w:r w:rsidR="0025065A">
        <w:rPr>
          <w:rFonts w:ascii="Verdana" w:hAnsi="Verdana" w:cstheme="minorHAnsi"/>
          <w:sz w:val="20"/>
          <w:szCs w:val="20"/>
        </w:rPr>
        <w:t xml:space="preserve"> </w:t>
      </w:r>
      <w:r w:rsidR="00823379" w:rsidRPr="00DB5977">
        <w:rPr>
          <w:rFonts w:ascii="Verdana" w:hAnsi="Verdana" w:cstheme="minorHAnsi"/>
          <w:sz w:val="20"/>
          <w:szCs w:val="20"/>
        </w:rPr>
        <w:t>(</w:t>
      </w:r>
      <w:r w:rsidR="00823379" w:rsidRPr="00DB5977">
        <w:rPr>
          <w:rFonts w:ascii="Verdana" w:hAnsi="Verdana" w:cstheme="minorHAnsi"/>
          <w:sz w:val="20"/>
          <w:szCs w:val="20"/>
          <w:u w:val="single"/>
        </w:rPr>
        <w:t>See</w:t>
      </w:r>
      <w:r w:rsidR="00823379" w:rsidRPr="00DB5977">
        <w:rPr>
          <w:rFonts w:ascii="Verdana" w:hAnsi="Verdana" w:cstheme="minorHAnsi"/>
          <w: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00823379" w:rsidRPr="00DB5977">
        <w:rPr>
          <w:rFonts w:ascii="Verdana" w:hAnsi="Verdana" w:cstheme="minorHAnsi"/>
          <w:sz w:val="20"/>
          <w:szCs w:val="20"/>
        </w:rPr>
        <w:t>LR</w:t>
      </w:r>
      <w:r w:rsidR="00C60DC6" w:rsidRPr="00DB5977">
        <w:rPr>
          <w:rFonts w:ascii="Verdana" w:hAnsi="Verdana" w:cstheme="minorHAnsi"/>
          <w:sz w:val="20"/>
          <w:szCs w:val="20"/>
        </w:rPr>
        <w:t>-7</w:t>
      </w:r>
      <w:r w:rsidR="00562CF8" w:rsidRPr="00DB5977">
        <w:rPr>
          <w:rFonts w:ascii="Verdana" w:hAnsi="Verdana" w:cstheme="minorHAnsi"/>
          <w:sz w:val="20"/>
          <w:szCs w:val="20"/>
        </w:rPr>
        <w:t>e</w:t>
      </w:r>
      <w:r w:rsidR="00C60DC6" w:rsidRPr="00DB5977">
        <w:rPr>
          <w:rFonts w:ascii="Verdana" w:hAnsi="Verdana" w:cstheme="minorHAnsi"/>
          <w:sz w:val="20"/>
          <w:szCs w:val="20"/>
        </w:rPr>
        <w:t>.</w:t>
      </w:r>
      <w:r w:rsidR="00823379" w:rsidRPr="00DB5977">
        <w:rPr>
          <w:rFonts w:ascii="Verdana" w:hAnsi="Verdana" w:cstheme="minorHAnsi"/>
          <w:sz w:val="20"/>
          <w:szCs w:val="20"/>
        </w:rPr>
        <w:t>)</w:t>
      </w:r>
      <w:r w:rsidR="0025065A">
        <w:rPr>
          <w:rFonts w:ascii="Verdana" w:hAnsi="Verdana" w:cstheme="minorHAnsi"/>
          <w:sz w:val="20"/>
          <w:szCs w:val="20"/>
        </w:rPr>
        <w:t xml:space="preserve"> </w:t>
      </w:r>
      <w:r w:rsidR="00EF392E" w:rsidRPr="00DB5977">
        <w:rPr>
          <w:rFonts w:ascii="Verdana" w:hAnsi="Verdana" w:cstheme="minorHAnsi"/>
          <w:sz w:val="20"/>
          <w:szCs w:val="20"/>
        </w:rPr>
        <w:t>Therefore,</w:t>
      </w:r>
      <w:r w:rsidR="0080485A" w:rsidRPr="00DB5977">
        <w:rPr>
          <w:rFonts w:ascii="Verdana" w:hAnsi="Verdana" w:cstheme="minorHAnsi"/>
          <w:sz w:val="20"/>
          <w:szCs w:val="20"/>
        </w:rPr>
        <w:t xml:space="preserve"> </w:t>
      </w:r>
      <w:r w:rsidR="009A799C">
        <w:rPr>
          <w:rFonts w:ascii="Verdana" w:hAnsi="Verdana" w:cstheme="minorHAnsi"/>
          <w:sz w:val="20"/>
          <w:szCs w:val="20"/>
        </w:rPr>
        <w:t xml:space="preserve">the </w:t>
      </w:r>
      <w:r w:rsidR="0080485A" w:rsidRPr="00DB5977">
        <w:rPr>
          <w:rFonts w:ascii="Verdana" w:hAnsi="Verdana" w:cstheme="minorHAnsi"/>
          <w:sz w:val="20"/>
          <w:szCs w:val="20"/>
        </w:rPr>
        <w:t>estimated</w:t>
      </w:r>
      <w:r w:rsidR="000F429A" w:rsidRPr="00DB5977">
        <w:rPr>
          <w:rFonts w:ascii="Verdana" w:hAnsi="Verdana" w:cstheme="minorHAnsi"/>
          <w:sz w:val="20"/>
          <w:szCs w:val="20"/>
        </w:rPr>
        <w:t xml:space="preserve"> </w:t>
      </w:r>
      <w:r w:rsidR="009A799C">
        <w:rPr>
          <w:rFonts w:ascii="Verdana" w:hAnsi="Verdana" w:cstheme="minorHAnsi"/>
          <w:sz w:val="20"/>
          <w:szCs w:val="20"/>
        </w:rPr>
        <w:t>ERP</w:t>
      </w:r>
      <w:r w:rsidR="006D4746" w:rsidRPr="00DB5977">
        <w:rPr>
          <w:rFonts w:ascii="Verdana" w:hAnsi="Verdana" w:cstheme="minorHAnsi"/>
          <w:sz w:val="20"/>
          <w:szCs w:val="20"/>
        </w:rPr>
        <w:t xml:space="preserve"> </w:t>
      </w:r>
      <w:r w:rsidR="00243D20" w:rsidRPr="00DB5977">
        <w:rPr>
          <w:rFonts w:ascii="Verdana" w:hAnsi="Verdana" w:cstheme="minorHAnsi"/>
          <w:sz w:val="20"/>
          <w:szCs w:val="20"/>
        </w:rPr>
        <w:t xml:space="preserve">used </w:t>
      </w:r>
      <w:r w:rsidR="006D4746" w:rsidRPr="00DB5977">
        <w:rPr>
          <w:rFonts w:ascii="Verdana" w:hAnsi="Verdana" w:cstheme="minorHAnsi"/>
          <w:sz w:val="20"/>
          <w:szCs w:val="20"/>
        </w:rPr>
        <w:t>across my three CAPM methods range</w:t>
      </w:r>
      <w:r w:rsidR="009A799C">
        <w:rPr>
          <w:rFonts w:ascii="Verdana" w:hAnsi="Verdana" w:cstheme="minorHAnsi"/>
          <w:sz w:val="20"/>
          <w:szCs w:val="20"/>
        </w:rPr>
        <w:t>s</w:t>
      </w:r>
      <w:r w:rsidR="006D4746" w:rsidRPr="00DB5977">
        <w:rPr>
          <w:rFonts w:ascii="Verdana" w:hAnsi="Verdana" w:cstheme="minorHAnsi"/>
          <w:sz w:val="20"/>
          <w:szCs w:val="20"/>
        </w:rPr>
        <w:t xml:space="preserve"> from </w:t>
      </w:r>
      <w:r w:rsidR="00E46457" w:rsidRPr="00DB5977">
        <w:rPr>
          <w:rFonts w:ascii="Verdana" w:hAnsi="Verdana" w:cstheme="minorHAnsi"/>
          <w:sz w:val="20"/>
          <w:szCs w:val="20"/>
        </w:rPr>
        <w:t>5.50 percent to 9.48 percent</w:t>
      </w:r>
      <w:r w:rsidR="00436887" w:rsidRPr="00DB5977">
        <w:rPr>
          <w:rFonts w:ascii="Verdana" w:hAnsi="Verdana" w:cstheme="minorHAnsi"/>
          <w:sz w:val="20"/>
          <w:szCs w:val="20"/>
        </w:rPr>
        <w:t xml:space="preserve">. This </w:t>
      </w:r>
      <w:r w:rsidR="00E831F5" w:rsidRPr="00DB5977">
        <w:rPr>
          <w:rFonts w:ascii="Verdana" w:hAnsi="Verdana" w:cstheme="minorHAnsi"/>
          <w:sz w:val="20"/>
          <w:szCs w:val="20"/>
        </w:rPr>
        <w:t>upper bound</w:t>
      </w:r>
      <w:r w:rsidR="00436887" w:rsidRPr="00DB5977">
        <w:rPr>
          <w:rFonts w:ascii="Verdana" w:hAnsi="Verdana" w:cstheme="minorHAnsi"/>
          <w:sz w:val="20"/>
          <w:szCs w:val="20"/>
        </w:rPr>
        <w:t xml:space="preserve"> exceed</w:t>
      </w:r>
      <w:r w:rsidR="00E831F5" w:rsidRPr="00DB5977">
        <w:rPr>
          <w:rFonts w:ascii="Verdana" w:hAnsi="Verdana" w:cstheme="minorHAnsi"/>
          <w:sz w:val="20"/>
          <w:szCs w:val="20"/>
        </w:rPr>
        <w:t>s</w:t>
      </w:r>
      <w:r w:rsidR="00436887" w:rsidRPr="00DB5977">
        <w:rPr>
          <w:rFonts w:ascii="Verdana" w:hAnsi="Verdana" w:cstheme="minorHAnsi"/>
          <w:sz w:val="20"/>
          <w:szCs w:val="20"/>
        </w:rPr>
        <w:t xml:space="preserve"> </w:t>
      </w:r>
      <w:r w:rsidR="00A52446" w:rsidRPr="00DB5977">
        <w:rPr>
          <w:rFonts w:ascii="Verdana" w:hAnsi="Verdana" w:cstheme="minorHAnsi"/>
          <w:sz w:val="20"/>
          <w:szCs w:val="20"/>
        </w:rPr>
        <w:t>historical ranges of 5</w:t>
      </w:r>
      <w:r w:rsidR="00275DD8">
        <w:rPr>
          <w:rFonts w:ascii="Verdana" w:hAnsi="Verdana" w:cstheme="minorHAnsi"/>
          <w:sz w:val="20"/>
          <w:szCs w:val="20"/>
        </w:rPr>
        <w:t> </w:t>
      </w:r>
      <w:r w:rsidR="009A799C">
        <w:rPr>
          <w:rFonts w:ascii="Verdana" w:hAnsi="Verdana" w:cstheme="minorHAnsi"/>
          <w:sz w:val="20"/>
          <w:szCs w:val="20"/>
        </w:rPr>
        <w:t xml:space="preserve">percent </w:t>
      </w:r>
      <w:r w:rsidR="00A52446" w:rsidRPr="00DB5977">
        <w:rPr>
          <w:rFonts w:ascii="Verdana" w:hAnsi="Verdana" w:cstheme="minorHAnsi"/>
          <w:sz w:val="20"/>
          <w:szCs w:val="20"/>
        </w:rPr>
        <w:t xml:space="preserve">to </w:t>
      </w:r>
      <w:r w:rsidR="009A799C">
        <w:rPr>
          <w:rFonts w:ascii="Verdana" w:hAnsi="Verdana" w:cstheme="minorHAnsi"/>
          <w:sz w:val="20"/>
          <w:szCs w:val="20"/>
        </w:rPr>
        <w:t xml:space="preserve">about </w:t>
      </w:r>
      <w:r w:rsidR="00A52446" w:rsidRPr="00DB5977">
        <w:rPr>
          <w:rFonts w:ascii="Verdana" w:hAnsi="Verdana" w:cstheme="minorHAnsi"/>
          <w:sz w:val="20"/>
          <w:szCs w:val="20"/>
        </w:rPr>
        <w:t xml:space="preserve">8 percent found in a </w:t>
      </w:r>
      <w:r w:rsidR="00DF384A" w:rsidRPr="00DB5977">
        <w:rPr>
          <w:rFonts w:ascii="Verdana" w:hAnsi="Verdana" w:cstheme="minorHAnsi"/>
          <w:sz w:val="20"/>
          <w:szCs w:val="20"/>
        </w:rPr>
        <w:t xml:space="preserve">number of studies in </w:t>
      </w:r>
      <w:r w:rsidR="00747407">
        <w:rPr>
          <w:rFonts w:ascii="Verdana" w:hAnsi="Verdana" w:cstheme="minorHAnsi"/>
          <w:sz w:val="20"/>
          <w:szCs w:val="20"/>
        </w:rPr>
        <w:t xml:space="preserve">a number of studies in </w:t>
      </w:r>
      <w:r w:rsidR="00DF384A" w:rsidRPr="00DB5977">
        <w:rPr>
          <w:rFonts w:ascii="Verdana" w:hAnsi="Verdana" w:cstheme="minorHAnsi"/>
          <w:sz w:val="20"/>
          <w:szCs w:val="20"/>
        </w:rPr>
        <w:t>the financial literature.</w:t>
      </w:r>
      <w:r w:rsidR="009127E0" w:rsidRPr="00DB5977">
        <w:rPr>
          <w:rStyle w:val="FootnoteReference"/>
          <w:rFonts w:ascii="Verdana" w:hAnsi="Verdana" w:cstheme="minorHAnsi"/>
          <w:sz w:val="20"/>
          <w:szCs w:val="20"/>
        </w:rPr>
        <w:footnoteReference w:id="34"/>
      </w:r>
      <w:r w:rsidR="0025065A">
        <w:rPr>
          <w:rFonts w:ascii="Verdana" w:hAnsi="Verdana" w:cstheme="minorHAnsi"/>
          <w:sz w:val="20"/>
          <w:szCs w:val="20"/>
        </w:rPr>
        <w:t xml:space="preserve"> </w:t>
      </w:r>
    </w:p>
    <w:p w14:paraId="6787C211" w14:textId="49F8F79F" w:rsidR="002750DE" w:rsidRPr="00DB5977" w:rsidRDefault="00823379" w:rsidP="002750DE">
      <w:pPr>
        <w:pStyle w:val="DirectNext"/>
        <w:rPr>
          <w:rFonts w:ascii="Verdana" w:hAnsi="Verdana"/>
          <w:sz w:val="20"/>
          <w:szCs w:val="20"/>
        </w:rPr>
      </w:pPr>
      <w:r w:rsidRPr="00DB5977">
        <w:rPr>
          <w:rFonts w:ascii="Verdana" w:hAnsi="Verdana"/>
          <w:sz w:val="20"/>
          <w:szCs w:val="20"/>
        </w:rPr>
        <w:t xml:space="preserve">I adjust the </w:t>
      </w:r>
      <w:r w:rsidR="00747407">
        <w:rPr>
          <w:rFonts w:ascii="Verdana" w:hAnsi="Verdana"/>
          <w:sz w:val="20"/>
          <w:szCs w:val="20"/>
        </w:rPr>
        <w:t>ERP</w:t>
      </w:r>
      <w:r w:rsidRPr="00DB5977">
        <w:rPr>
          <w:rFonts w:ascii="Verdana" w:hAnsi="Verdana"/>
          <w:sz w:val="20"/>
          <w:szCs w:val="20"/>
        </w:rPr>
        <w:t xml:space="preserve"> to account for industry-specific risk by multiplying </w:t>
      </w:r>
      <w:r w:rsidR="00747407">
        <w:rPr>
          <w:rFonts w:ascii="Verdana" w:hAnsi="Verdana"/>
          <w:sz w:val="20"/>
          <w:szCs w:val="20"/>
        </w:rPr>
        <w:t>it</w:t>
      </w:r>
      <w:r w:rsidR="00747407" w:rsidRPr="00DB5977">
        <w:rPr>
          <w:rFonts w:ascii="Verdana" w:hAnsi="Verdana"/>
          <w:sz w:val="20"/>
          <w:szCs w:val="20"/>
        </w:rPr>
        <w:t xml:space="preserve"> </w:t>
      </w:r>
      <w:r w:rsidRPr="00DB5977">
        <w:rPr>
          <w:rFonts w:ascii="Verdana" w:hAnsi="Verdana"/>
          <w:sz w:val="20"/>
          <w:szCs w:val="20"/>
        </w:rPr>
        <w:t>by my sample company betas, yielding beta-adjusted risk premi</w:t>
      </w:r>
      <w:r w:rsidR="00C4378D">
        <w:rPr>
          <w:rFonts w:ascii="Verdana" w:hAnsi="Verdana"/>
          <w:sz w:val="20"/>
          <w:szCs w:val="20"/>
        </w:rPr>
        <w:t>um</w:t>
      </w:r>
      <w:r w:rsidRPr="00DB5977">
        <w:rPr>
          <w:rFonts w:ascii="Verdana" w:hAnsi="Verdana"/>
          <w:sz w:val="20"/>
          <w:szCs w:val="20"/>
        </w:rPr>
        <w:t>.</w:t>
      </w:r>
      <w:r w:rsidR="0025065A">
        <w:rPr>
          <w:rFonts w:ascii="Verdana" w:hAnsi="Verdana"/>
          <w:sz w:val="20"/>
          <w:szCs w:val="20"/>
        </w:rPr>
        <w:t xml:space="preserve"> </w:t>
      </w:r>
      <w:r w:rsidRPr="00DB5977">
        <w:rPr>
          <w:rFonts w:ascii="Verdana" w:hAnsi="Verdana"/>
          <w:sz w:val="20"/>
          <w:szCs w:val="20"/>
        </w:rPr>
        <w:t xml:space="preserve">The cost of equity is the sum of the risk-free rate and the beta-adjusted </w:t>
      </w:r>
      <w:r w:rsidR="00C4378D">
        <w:rPr>
          <w:rFonts w:ascii="Verdana" w:hAnsi="Verdana"/>
          <w:sz w:val="20"/>
          <w:szCs w:val="20"/>
        </w:rPr>
        <w:t>ERP</w:t>
      </w:r>
      <w:r w:rsidRPr="00DB5977">
        <w:rPr>
          <w:rFonts w:ascii="Verdana" w:hAnsi="Verdana"/>
          <w:sz w:val="20"/>
          <w:szCs w:val="20"/>
        </w:rPr>
        <w:t xml:space="preserve"> (</w:t>
      </w:r>
      <w:r w:rsidR="00C4378D">
        <w:rPr>
          <w:rFonts w:ascii="Verdana" w:hAnsi="Verdana"/>
          <w:sz w:val="20"/>
          <w:szCs w:val="20"/>
        </w:rPr>
        <w:t>ERP</w:t>
      </w:r>
      <w:r w:rsidRPr="00DB5977">
        <w:rPr>
          <w:rFonts w:ascii="Verdana" w:hAnsi="Verdana"/>
          <w:sz w:val="20"/>
          <w:szCs w:val="20"/>
        </w:rPr>
        <w:t xml:space="preserve"> multiplied by my sample’s average beta</w:t>
      </w:r>
      <w:r w:rsidR="00DF4D47" w:rsidRPr="00DB5977">
        <w:rPr>
          <w:rFonts w:ascii="Verdana" w:hAnsi="Verdana"/>
          <w:sz w:val="20"/>
          <w:szCs w:val="20"/>
        </w:rPr>
        <w:t xml:space="preserve"> of </w:t>
      </w:r>
      <w:r w:rsidR="0084560A" w:rsidRPr="00DB5977">
        <w:rPr>
          <w:rFonts w:ascii="Verdana" w:hAnsi="Verdana"/>
          <w:sz w:val="20"/>
          <w:szCs w:val="20"/>
        </w:rPr>
        <w:t>0.59</w:t>
      </w:r>
      <w:r w:rsidRPr="00DB5977">
        <w:rPr>
          <w:rFonts w:ascii="Verdana" w:hAnsi="Verdana"/>
          <w:sz w:val="20"/>
          <w:szCs w:val="20"/>
        </w:rPr>
        <w:t>).</w:t>
      </w:r>
      <w:r w:rsidR="0025065A">
        <w:rPr>
          <w:rFonts w:ascii="Verdana" w:hAnsi="Verdana"/>
          <w:sz w:val="20"/>
          <w:szCs w:val="20"/>
        </w:rPr>
        <w:t xml:space="preserve"> </w:t>
      </w:r>
      <w:r w:rsidR="0017169C" w:rsidRPr="00DB5977">
        <w:rPr>
          <w:rFonts w:ascii="Verdana" w:hAnsi="Verdana"/>
          <w:sz w:val="20"/>
          <w:szCs w:val="20"/>
        </w:rPr>
        <w:t>I</w:t>
      </w:r>
      <w:r w:rsidRPr="00DB5977">
        <w:rPr>
          <w:rFonts w:ascii="Verdana" w:hAnsi="Verdana"/>
          <w:sz w:val="20"/>
          <w:szCs w:val="20"/>
        </w:rPr>
        <w:t xml:space="preserve"> estimate expected return</w:t>
      </w:r>
      <w:r w:rsidR="002750DE" w:rsidRPr="00DB5977">
        <w:rPr>
          <w:rFonts w:ascii="Verdana" w:hAnsi="Verdana"/>
          <w:sz w:val="20"/>
          <w:szCs w:val="20"/>
        </w:rPr>
        <w:t>s</w:t>
      </w:r>
      <w:r w:rsidRPr="00DB5977">
        <w:rPr>
          <w:rFonts w:ascii="Verdana" w:hAnsi="Verdana"/>
          <w:sz w:val="20"/>
          <w:szCs w:val="20"/>
        </w:rPr>
        <w:t xml:space="preserve"> ranging from </w:t>
      </w:r>
      <w:r w:rsidR="003D4EBD" w:rsidRPr="00DB5977">
        <w:rPr>
          <w:rFonts w:ascii="Verdana" w:hAnsi="Verdana"/>
          <w:sz w:val="20"/>
          <w:szCs w:val="20"/>
        </w:rPr>
        <w:t>6.</w:t>
      </w:r>
      <w:r w:rsidR="00F35410" w:rsidRPr="00DB5977">
        <w:rPr>
          <w:rFonts w:ascii="Verdana" w:hAnsi="Verdana"/>
          <w:sz w:val="20"/>
          <w:szCs w:val="20"/>
        </w:rPr>
        <w:t>5</w:t>
      </w:r>
      <w:r w:rsidR="00EE71C8" w:rsidRPr="00DB5977">
        <w:rPr>
          <w:rFonts w:ascii="Verdana" w:hAnsi="Verdana"/>
          <w:sz w:val="20"/>
          <w:szCs w:val="20"/>
        </w:rPr>
        <w:t>8</w:t>
      </w:r>
      <w:r w:rsidR="00275DD8">
        <w:rPr>
          <w:rFonts w:ascii="Verdana" w:hAnsi="Verdana"/>
          <w:sz w:val="20"/>
          <w:szCs w:val="20"/>
        </w:rPr>
        <w:t> </w:t>
      </w:r>
      <w:r w:rsidRPr="00DB5977">
        <w:rPr>
          <w:rFonts w:ascii="Verdana" w:hAnsi="Verdana"/>
          <w:sz w:val="20"/>
          <w:szCs w:val="20"/>
        </w:rPr>
        <w:t xml:space="preserve">percent to </w:t>
      </w:r>
      <w:r w:rsidR="003D4EBD" w:rsidRPr="00DB5977">
        <w:rPr>
          <w:rFonts w:ascii="Verdana" w:hAnsi="Verdana"/>
          <w:sz w:val="20"/>
          <w:szCs w:val="20"/>
        </w:rPr>
        <w:t>8.1</w:t>
      </w:r>
      <w:r w:rsidR="00EE71C8" w:rsidRPr="00DB5977">
        <w:rPr>
          <w:rFonts w:ascii="Verdana" w:hAnsi="Verdana"/>
          <w:sz w:val="20"/>
          <w:szCs w:val="20"/>
        </w:rPr>
        <w:t>0</w:t>
      </w:r>
      <w:r w:rsidRPr="00DB5977">
        <w:rPr>
          <w:rFonts w:ascii="Verdana" w:hAnsi="Verdana"/>
          <w:sz w:val="20"/>
          <w:szCs w:val="20"/>
        </w:rPr>
        <w:t> percent.</w:t>
      </w:r>
      <w:r w:rsidR="0025065A">
        <w:rPr>
          <w:rFonts w:ascii="Verdana" w:hAnsi="Verdana"/>
          <w:sz w:val="20"/>
          <w:szCs w:val="20"/>
        </w:rPr>
        <w:t xml:space="preserve"> </w:t>
      </w:r>
      <w:r w:rsidR="0017169C" w:rsidRPr="00DB5977">
        <w:rPr>
          <w:rFonts w:ascii="Verdana" w:hAnsi="Verdana"/>
          <w:sz w:val="20"/>
          <w:szCs w:val="20"/>
        </w:rPr>
        <w:t>(</w:t>
      </w:r>
      <w:r w:rsidR="0017169C" w:rsidRPr="00DB5977">
        <w:rPr>
          <w:rFonts w:ascii="Verdana" w:hAnsi="Verdana"/>
          <w:i/>
          <w:sz w:val="20"/>
          <w:szCs w:val="20"/>
          <w:u w:val="single"/>
        </w:rPr>
        <w:t>See</w:t>
      </w:r>
      <w:r w:rsidR="0017169C" w:rsidRPr="00DB5977">
        <w:rPr>
          <w:rFonts w:ascii="Verdana" w:hAnsi="Verdana"/>
          <w:sz w:val="20"/>
          <w:szCs w:val="20"/>
        </w:rPr>
        <w:t xml:space="preserve"> </w:t>
      </w:r>
      <w:r w:rsidR="0013533B">
        <w:rPr>
          <w:rFonts w:ascii="Verdana" w:hAnsi="Verdana"/>
          <w:sz w:val="20"/>
          <w:szCs w:val="20"/>
        </w:rPr>
        <w:t>Exhibits</w:t>
      </w:r>
      <w:proofErr w:type="gramStart"/>
      <w:r w:rsidR="0013533B">
        <w:rPr>
          <w:rFonts w:ascii="Verdana" w:hAnsi="Verdana"/>
          <w:sz w:val="20"/>
          <w:szCs w:val="20"/>
        </w:rPr>
        <w:t>_(</w:t>
      </w:r>
      <w:proofErr w:type="gramEnd"/>
      <w:r w:rsidR="0013533B">
        <w:rPr>
          <w:rFonts w:ascii="Verdana" w:hAnsi="Verdana"/>
          <w:sz w:val="20"/>
          <w:szCs w:val="20"/>
        </w:rPr>
        <w:t>M</w:t>
      </w:r>
      <w:r w:rsidR="0017169C" w:rsidRPr="00DB5977">
        <w:rPr>
          <w:rFonts w:ascii="Verdana" w:hAnsi="Verdana"/>
          <w:sz w:val="20"/>
          <w:szCs w:val="20"/>
        </w:rPr>
        <w:t>LR-</w:t>
      </w:r>
      <w:r w:rsidR="00B46441" w:rsidRPr="00DB5977">
        <w:rPr>
          <w:rFonts w:ascii="Verdana" w:hAnsi="Verdana"/>
          <w:sz w:val="20"/>
          <w:szCs w:val="20"/>
        </w:rPr>
        <w:t>7</w:t>
      </w:r>
      <w:r w:rsidR="0017169C" w:rsidRPr="00DB5977">
        <w:rPr>
          <w:rFonts w:ascii="Verdana" w:hAnsi="Verdana"/>
          <w:sz w:val="20"/>
          <w:szCs w:val="20"/>
        </w:rPr>
        <w:t>b</w:t>
      </w:r>
      <w:r w:rsidR="00DB4965">
        <w:rPr>
          <w:rFonts w:ascii="Verdana" w:hAnsi="Verdana"/>
          <w:sz w:val="20"/>
          <w:szCs w:val="20"/>
        </w:rPr>
        <w:t>, MLR</w:t>
      </w:r>
      <w:r w:rsidR="0058047D">
        <w:rPr>
          <w:rFonts w:ascii="Verdana" w:hAnsi="Verdana"/>
          <w:sz w:val="20"/>
          <w:szCs w:val="20"/>
        </w:rPr>
        <w:t>-7d,</w:t>
      </w:r>
      <w:r w:rsidR="0017169C" w:rsidRPr="00DB5977">
        <w:rPr>
          <w:rFonts w:ascii="Verdana" w:hAnsi="Verdana"/>
          <w:sz w:val="20"/>
          <w:szCs w:val="20"/>
        </w:rPr>
        <w:t xml:space="preserve"> and MLR-</w:t>
      </w:r>
      <w:r w:rsidR="00B46441" w:rsidRPr="00DB5977">
        <w:rPr>
          <w:rFonts w:ascii="Verdana" w:hAnsi="Verdana"/>
          <w:sz w:val="20"/>
          <w:szCs w:val="20"/>
        </w:rPr>
        <w:t>7f</w:t>
      </w:r>
      <w:r w:rsidR="0017169C" w:rsidRPr="00DB5977">
        <w:rPr>
          <w:rFonts w:ascii="Verdana" w:hAnsi="Verdana"/>
          <w:sz w:val="20"/>
          <w:szCs w:val="20"/>
        </w:rPr>
        <w:t>.)</w:t>
      </w:r>
      <w:r w:rsidR="0025065A">
        <w:rPr>
          <w:rFonts w:ascii="Verdana" w:hAnsi="Verdana"/>
          <w:sz w:val="20"/>
          <w:szCs w:val="20"/>
        </w:rPr>
        <w:t xml:space="preserve"> </w:t>
      </w:r>
      <w:r w:rsidR="006E7C08" w:rsidRPr="00DB5977">
        <w:rPr>
          <w:rFonts w:ascii="Verdana" w:hAnsi="Verdana"/>
          <w:sz w:val="20"/>
          <w:szCs w:val="20"/>
        </w:rPr>
        <w:t>(</w:t>
      </w:r>
      <w:r w:rsidR="006E7C08" w:rsidRPr="00DB5977">
        <w:rPr>
          <w:rFonts w:ascii="Verdana" w:hAnsi="Verdana"/>
          <w:i/>
          <w:sz w:val="20"/>
          <w:szCs w:val="20"/>
          <w:u w:val="single"/>
        </w:rPr>
        <w:t>See</w:t>
      </w:r>
      <w:r w:rsidR="006E7C08" w:rsidRPr="00DB5977">
        <w:rPr>
          <w:rFonts w:ascii="Verdana" w:hAnsi="Verdana"/>
          <w:i/>
          <w:sz w:val="20"/>
          <w:szCs w:val="20"/>
        </w:rPr>
        <w:t xml:space="preserve"> </w:t>
      </w:r>
      <w:r w:rsidR="006E7C08" w:rsidRPr="00DB5977">
        <w:rPr>
          <w:rFonts w:ascii="Verdana" w:hAnsi="Verdana"/>
          <w:sz w:val="20"/>
          <w:szCs w:val="20"/>
        </w:rPr>
        <w:t xml:space="preserve">Table </w:t>
      </w:r>
      <w:r w:rsidR="00C4378D">
        <w:rPr>
          <w:rFonts w:ascii="Verdana" w:hAnsi="Verdana"/>
          <w:sz w:val="20"/>
          <w:szCs w:val="20"/>
        </w:rPr>
        <w:t>5</w:t>
      </w:r>
      <w:r w:rsidR="006E7C08" w:rsidRPr="00DB5977">
        <w:rPr>
          <w:rFonts w:ascii="Verdana" w:hAnsi="Verdana"/>
          <w:sz w:val="20"/>
          <w:szCs w:val="20"/>
        </w:rPr>
        <w:t xml:space="preserve"> </w:t>
      </w:r>
      <w:r w:rsidR="002750DE" w:rsidRPr="00DB5977">
        <w:rPr>
          <w:rFonts w:ascii="Verdana" w:hAnsi="Verdana"/>
          <w:sz w:val="20"/>
          <w:szCs w:val="20"/>
        </w:rPr>
        <w:t>on the following page</w:t>
      </w:r>
      <w:r w:rsidR="006E7C08" w:rsidRPr="00DB5977">
        <w:rPr>
          <w:rFonts w:ascii="Verdana" w:hAnsi="Verdana"/>
          <w:sz w:val="20"/>
          <w:szCs w:val="20"/>
        </w:rPr>
        <w:t>.)</w:t>
      </w:r>
      <w:r w:rsidR="0025065A">
        <w:rPr>
          <w:rFonts w:ascii="Verdana" w:hAnsi="Verdana"/>
          <w:sz w:val="20"/>
          <w:szCs w:val="20"/>
        </w:rPr>
        <w:t xml:space="preserve"> </w:t>
      </w:r>
    </w:p>
    <w:p w14:paraId="5E2CE422" w14:textId="77777777" w:rsidR="009920E3" w:rsidRPr="00DB5977" w:rsidRDefault="009920E3" w:rsidP="00486739">
      <w:pPr>
        <w:pStyle w:val="DirectQuestion"/>
      </w:pPr>
      <w:r w:rsidRPr="00DB5977">
        <w:t>do you perform additional Capm Analys</w:t>
      </w:r>
      <w:r w:rsidR="00BC75DF" w:rsidRPr="00DB5977">
        <w:t>E</w:t>
      </w:r>
      <w:r w:rsidRPr="00DB5977">
        <w:t>s</w:t>
      </w:r>
      <w:r w:rsidR="00707DCD" w:rsidRPr="00DB5977">
        <w:t>?</w:t>
      </w:r>
    </w:p>
    <w:p w14:paraId="7B38E402" w14:textId="792E1596" w:rsidR="00707DCD" w:rsidRPr="00DB5977" w:rsidRDefault="003A6F8E" w:rsidP="00486739">
      <w:pPr>
        <w:pStyle w:val="DirectAnswer"/>
        <w:jc w:val="both"/>
        <w:rPr>
          <w:rFonts w:ascii="Verdana" w:hAnsi="Verdana"/>
          <w:sz w:val="20"/>
          <w:szCs w:val="20"/>
        </w:rPr>
      </w:pPr>
      <w:r w:rsidRPr="00DB5977">
        <w:rPr>
          <w:rFonts w:ascii="Verdana" w:hAnsi="Verdana"/>
          <w:sz w:val="20"/>
          <w:szCs w:val="20"/>
        </w:rPr>
        <w:t xml:space="preserve">Yes. </w:t>
      </w:r>
      <w:r w:rsidR="008076CB" w:rsidRPr="00DB5977">
        <w:rPr>
          <w:rFonts w:ascii="Verdana" w:hAnsi="Verdana"/>
          <w:sz w:val="20"/>
          <w:szCs w:val="20"/>
        </w:rPr>
        <w:t xml:space="preserve">The simple CAPM </w:t>
      </w:r>
      <w:r w:rsidR="00087B6C">
        <w:rPr>
          <w:rFonts w:ascii="Verdana" w:hAnsi="Verdana"/>
          <w:sz w:val="20"/>
          <w:szCs w:val="20"/>
        </w:rPr>
        <w:t xml:space="preserve">has been criticized for </w:t>
      </w:r>
      <w:r w:rsidR="008076CB" w:rsidRPr="00DB5977">
        <w:rPr>
          <w:rFonts w:ascii="Verdana" w:hAnsi="Verdana"/>
          <w:sz w:val="20"/>
          <w:szCs w:val="20"/>
        </w:rPr>
        <w:t>underestimat</w:t>
      </w:r>
      <w:r w:rsidR="00087B6C">
        <w:rPr>
          <w:rFonts w:ascii="Verdana" w:hAnsi="Verdana"/>
          <w:sz w:val="20"/>
          <w:szCs w:val="20"/>
        </w:rPr>
        <w:t>ing</w:t>
      </w:r>
      <w:r w:rsidR="008076CB" w:rsidRPr="00DB5977">
        <w:rPr>
          <w:rFonts w:ascii="Verdana" w:hAnsi="Verdana"/>
          <w:sz w:val="20"/>
          <w:szCs w:val="20"/>
        </w:rPr>
        <w:t xml:space="preserve"> the ROE for companies with betas less than 1 and overestimat</w:t>
      </w:r>
      <w:r w:rsidR="00087B6C">
        <w:rPr>
          <w:rFonts w:ascii="Verdana" w:hAnsi="Verdana"/>
          <w:sz w:val="20"/>
          <w:szCs w:val="20"/>
        </w:rPr>
        <w:t>ing</w:t>
      </w:r>
      <w:r w:rsidR="008076CB" w:rsidRPr="00DB5977">
        <w:rPr>
          <w:rFonts w:ascii="Verdana" w:hAnsi="Verdana"/>
          <w:sz w:val="20"/>
          <w:szCs w:val="20"/>
        </w:rPr>
        <w:t xml:space="preserve"> the ROE for companies with betas greater than 1. </w:t>
      </w:r>
      <w:r w:rsidR="00920D4E" w:rsidRPr="00DB5977">
        <w:rPr>
          <w:rFonts w:ascii="Verdana" w:hAnsi="Verdana"/>
          <w:sz w:val="20"/>
          <w:szCs w:val="20"/>
        </w:rPr>
        <w:t>Among the different version</w:t>
      </w:r>
      <w:r w:rsidR="005C0C9B" w:rsidRPr="00DB5977">
        <w:rPr>
          <w:rFonts w:ascii="Verdana" w:hAnsi="Verdana"/>
          <w:sz w:val="20"/>
          <w:szCs w:val="20"/>
        </w:rPr>
        <w:t>s</w:t>
      </w:r>
      <w:r w:rsidR="00920D4E" w:rsidRPr="00DB5977">
        <w:rPr>
          <w:rFonts w:ascii="Verdana" w:hAnsi="Verdana"/>
          <w:sz w:val="20"/>
          <w:szCs w:val="20"/>
        </w:rPr>
        <w:t xml:space="preserve"> of the </w:t>
      </w:r>
      <w:r w:rsidR="00334D59" w:rsidRPr="00DB5977">
        <w:rPr>
          <w:rFonts w:ascii="Verdana" w:hAnsi="Verdana"/>
          <w:sz w:val="20"/>
          <w:szCs w:val="20"/>
        </w:rPr>
        <w:lastRenderedPageBreak/>
        <w:t>ECAPM</w:t>
      </w:r>
      <w:r w:rsidR="00722FC1" w:rsidRPr="00DB5977">
        <w:rPr>
          <w:rFonts w:ascii="Verdana" w:hAnsi="Verdana"/>
          <w:sz w:val="20"/>
          <w:szCs w:val="20"/>
        </w:rPr>
        <w:t>,</w:t>
      </w:r>
      <w:r w:rsidR="00334D59" w:rsidRPr="00DB5977">
        <w:rPr>
          <w:rFonts w:ascii="Verdana" w:hAnsi="Verdana"/>
          <w:sz w:val="20"/>
          <w:szCs w:val="20"/>
        </w:rPr>
        <w:t xml:space="preserve"> the commonality is th</w:t>
      </w:r>
      <w:r w:rsidR="00401A1E" w:rsidRPr="00DB5977">
        <w:rPr>
          <w:rFonts w:ascii="Verdana" w:hAnsi="Verdana"/>
          <w:sz w:val="20"/>
          <w:szCs w:val="20"/>
        </w:rPr>
        <w:t xml:space="preserve">at </w:t>
      </w:r>
      <w:r w:rsidR="00087B6C">
        <w:rPr>
          <w:rFonts w:ascii="Verdana" w:hAnsi="Verdana"/>
          <w:sz w:val="20"/>
          <w:szCs w:val="20"/>
        </w:rPr>
        <w:t>researchers</w:t>
      </w:r>
      <w:r w:rsidR="00401A1E" w:rsidRPr="00DB5977">
        <w:rPr>
          <w:rFonts w:ascii="Verdana" w:hAnsi="Verdana"/>
          <w:sz w:val="20"/>
          <w:szCs w:val="20"/>
        </w:rPr>
        <w:t xml:space="preserve"> apply an adjustment factor to increase </w:t>
      </w:r>
      <w:r w:rsidR="00E94695" w:rsidRPr="00DB5977">
        <w:rPr>
          <w:rFonts w:ascii="Verdana" w:hAnsi="Verdana"/>
          <w:sz w:val="20"/>
          <w:szCs w:val="20"/>
        </w:rPr>
        <w:t>the</w:t>
      </w:r>
      <w:r w:rsidR="00401A1E" w:rsidRPr="00DB5977">
        <w:rPr>
          <w:rFonts w:ascii="Verdana" w:hAnsi="Verdana"/>
          <w:sz w:val="20"/>
          <w:szCs w:val="20"/>
        </w:rPr>
        <w:t xml:space="preserve"> intercept and reduce its slope to c</w:t>
      </w:r>
      <w:r w:rsidR="00E94695" w:rsidRPr="00DB5977">
        <w:rPr>
          <w:rFonts w:ascii="Verdana" w:hAnsi="Verdana"/>
          <w:sz w:val="20"/>
          <w:szCs w:val="20"/>
        </w:rPr>
        <w:t>orrect</w:t>
      </w:r>
      <w:r w:rsidR="00401A1E" w:rsidRPr="00DB5977">
        <w:rPr>
          <w:rFonts w:ascii="Verdana" w:hAnsi="Verdana"/>
          <w:sz w:val="20"/>
          <w:szCs w:val="20"/>
        </w:rPr>
        <w:t xml:space="preserve"> </w:t>
      </w:r>
      <w:r w:rsidR="001B1242" w:rsidRPr="00DB5977">
        <w:rPr>
          <w:rFonts w:ascii="Verdana" w:hAnsi="Verdana"/>
          <w:sz w:val="20"/>
          <w:szCs w:val="20"/>
        </w:rPr>
        <w:t>this under or over-estimation ROE problem</w:t>
      </w:r>
      <w:r w:rsidR="00630B46" w:rsidRPr="00DB5977">
        <w:rPr>
          <w:rFonts w:ascii="Verdana" w:hAnsi="Verdana"/>
          <w:sz w:val="20"/>
          <w:szCs w:val="20"/>
        </w:rPr>
        <w:t>.</w:t>
      </w:r>
    </w:p>
    <w:p w14:paraId="50902400" w14:textId="77FF1805" w:rsidR="0077211B" w:rsidRPr="00DB5977" w:rsidRDefault="003C1FE4" w:rsidP="00C4378D">
      <w:pPr>
        <w:pStyle w:val="DirectQuestion"/>
        <w:tabs>
          <w:tab w:val="clear" w:pos="1440"/>
        </w:tabs>
      </w:pPr>
      <w:r w:rsidRPr="00DB5977">
        <w:t>Please explain the ECAPM that you use in your analys</w:t>
      </w:r>
      <w:r w:rsidR="00C4378D">
        <w:t>e</w:t>
      </w:r>
      <w:r w:rsidRPr="00DB5977">
        <w:t>s.</w:t>
      </w:r>
    </w:p>
    <w:p w14:paraId="44C1F6D5" w14:textId="77777777" w:rsidR="0019749E" w:rsidRPr="00DB5977" w:rsidRDefault="003C1FE4" w:rsidP="00C4378D">
      <w:pPr>
        <w:pStyle w:val="DirectAnswer"/>
        <w:jc w:val="both"/>
        <w:rPr>
          <w:rFonts w:ascii="Verdana" w:hAnsi="Verdana" w:cstheme="minorHAnsi"/>
          <w:sz w:val="20"/>
          <w:szCs w:val="20"/>
        </w:rPr>
      </w:pPr>
      <w:r w:rsidRPr="00DB5977">
        <w:rPr>
          <w:rFonts w:ascii="Verdana" w:hAnsi="Verdana"/>
          <w:sz w:val="20"/>
          <w:szCs w:val="20"/>
        </w:rPr>
        <w:t xml:space="preserve">The ECAPM that I apply </w:t>
      </w:r>
      <w:r w:rsidR="00D647E9" w:rsidRPr="00DB5977">
        <w:rPr>
          <w:rFonts w:ascii="Verdana" w:hAnsi="Verdana"/>
          <w:sz w:val="20"/>
          <w:szCs w:val="20"/>
        </w:rPr>
        <w:t>includes an adjustment factor “x” as shown in the following modified CAPM equation.</w:t>
      </w:r>
    </w:p>
    <w:p w14:paraId="60271342" w14:textId="77777777" w:rsidR="00570F50" w:rsidRPr="00DB5977" w:rsidRDefault="0084421A" w:rsidP="00114227">
      <w:pPr>
        <w:pStyle w:val="DirectNext"/>
        <w:spacing w:line="240" w:lineRule="auto"/>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f</m:t>
              </m:r>
            </m:sub>
          </m:sSub>
          <m:r>
            <w:rPr>
              <w:rFonts w:ascii="Cambria Math" w:hAnsi="Cambria Math"/>
              <w:sz w:val="20"/>
              <w:szCs w:val="20"/>
            </w:rPr>
            <m:t>+x</m:t>
          </m:r>
          <m:d>
            <m:dPr>
              <m:ctrlPr>
                <w:rPr>
                  <w:rFonts w:ascii="Cambria Math" w:hAnsi="Cambria Math"/>
                  <w:i/>
                  <w:sz w:val="20"/>
                  <w:szCs w:val="20"/>
                </w:rPr>
              </m:ctrlPr>
            </m:dPr>
            <m:e>
              <m:r>
                <w:rPr>
                  <w:rFonts w:ascii="Cambria Math" w:hAnsi="Cambria Math"/>
                  <w:sz w:val="20"/>
                  <w:szCs w:val="20"/>
                </w:rPr>
                <m:t>RP</m:t>
              </m:r>
            </m:e>
          </m:d>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1-x</m:t>
              </m:r>
            </m:e>
          </m:d>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RP</m:t>
              </m:r>
            </m:e>
          </m:d>
        </m:oMath>
      </m:oMathPara>
    </w:p>
    <w:p w14:paraId="561AA890" w14:textId="77777777" w:rsidR="00114227" w:rsidRPr="00DB5977" w:rsidRDefault="00014362" w:rsidP="00114227">
      <w:pPr>
        <w:spacing w:after="240" w:line="240" w:lineRule="auto"/>
        <w:ind w:left="720"/>
        <w:rPr>
          <w:rFonts w:ascii="Verdana" w:eastAsia="Times New Roman" w:hAnsi="Verdana" w:cstheme="minorHAnsi"/>
          <w:sz w:val="20"/>
          <w:szCs w:val="16"/>
        </w:rPr>
      </w:pPr>
      <w:r w:rsidRPr="00DB5977">
        <w:rPr>
          <w:rFonts w:ascii="Verdana" w:eastAsia="Times New Roman" w:hAnsi="Verdana" w:cstheme="minorHAnsi"/>
          <w:sz w:val="20"/>
          <w:szCs w:val="16"/>
        </w:rPr>
        <w:t xml:space="preserve">Where: </w:t>
      </w:r>
    </w:p>
    <w:p w14:paraId="57C17121" w14:textId="77777777" w:rsidR="003D141D" w:rsidRPr="00DB5977" w:rsidRDefault="009C325A" w:rsidP="00554F89">
      <w:pPr>
        <w:spacing w:after="120" w:line="240" w:lineRule="auto"/>
        <w:ind w:left="1440"/>
        <w:rPr>
          <w:rFonts w:ascii="Verdana" w:eastAsia="Times New Roman" w:hAnsi="Verdana" w:cstheme="minorHAnsi"/>
          <w:sz w:val="20"/>
          <w:szCs w:val="16"/>
        </w:rPr>
      </w:pPr>
      <w:r w:rsidRPr="00DB5977">
        <w:rPr>
          <w:rFonts w:ascii="Verdana" w:eastAsia="Times New Roman" w:hAnsi="Verdana" w:cstheme="minorHAnsi"/>
          <w:sz w:val="20"/>
          <w:szCs w:val="16"/>
        </w:rPr>
        <w:t>The</w:t>
      </w:r>
      <w:r w:rsidRPr="00DB5977">
        <w:rPr>
          <w:rFonts w:ascii="Verdana" w:eastAsia="Times New Roman" w:hAnsi="Verdana" w:cstheme="minorHAnsi"/>
          <w:i/>
          <w:iCs/>
          <w:sz w:val="20"/>
          <w:szCs w:val="16"/>
        </w:rPr>
        <w:t xml:space="preserve"> x</w:t>
      </w:r>
      <w:r w:rsidRPr="00DB5977">
        <w:rPr>
          <w:rFonts w:ascii="Verdana" w:eastAsia="Times New Roman" w:hAnsi="Verdana" w:cstheme="minorHAnsi"/>
          <w:sz w:val="20"/>
          <w:szCs w:val="16"/>
        </w:rPr>
        <w:t>-term multiplied by the risk premium increases the intercept (the risk</w:t>
      </w:r>
      <w:r w:rsidR="00114227" w:rsidRPr="00DB5977">
        <w:rPr>
          <w:rFonts w:ascii="Verdana" w:eastAsia="Times New Roman" w:hAnsi="Verdana" w:cstheme="minorHAnsi"/>
          <w:sz w:val="20"/>
          <w:szCs w:val="16"/>
        </w:rPr>
        <w:t>-</w:t>
      </w:r>
      <w:r w:rsidRPr="00DB5977">
        <w:rPr>
          <w:rFonts w:ascii="Verdana" w:eastAsia="Times New Roman" w:hAnsi="Verdana" w:cstheme="minorHAnsi"/>
          <w:sz w:val="20"/>
          <w:szCs w:val="16"/>
        </w:rPr>
        <w:t>free rate), while (</w:t>
      </w:r>
      <w:r w:rsidRPr="00DB5977">
        <w:rPr>
          <w:rFonts w:ascii="Verdana" w:eastAsia="Times New Roman" w:hAnsi="Verdana" w:cstheme="minorHAnsi"/>
          <w:i/>
          <w:iCs/>
          <w:sz w:val="20"/>
          <w:szCs w:val="16"/>
        </w:rPr>
        <w:t>1-x</w:t>
      </w:r>
      <w:r w:rsidR="00030921" w:rsidRPr="00DB5977">
        <w:rPr>
          <w:rFonts w:ascii="Verdana" w:eastAsia="Times New Roman" w:hAnsi="Verdana" w:cstheme="minorHAnsi"/>
          <w:sz w:val="20"/>
          <w:szCs w:val="16"/>
        </w:rPr>
        <w:t>) decreases the slope of the equatio</w:t>
      </w:r>
      <w:r w:rsidR="00D24378" w:rsidRPr="00DB5977">
        <w:rPr>
          <w:rFonts w:ascii="Verdana" w:eastAsia="Times New Roman" w:hAnsi="Verdana" w:cstheme="minorHAnsi"/>
          <w:sz w:val="20"/>
          <w:szCs w:val="16"/>
        </w:rPr>
        <w:t>n.</w:t>
      </w:r>
    </w:p>
    <w:p w14:paraId="331DF081" w14:textId="77777777" w:rsidR="009C0EE9" w:rsidRPr="00DB5977" w:rsidRDefault="009C0EE9" w:rsidP="00486739">
      <w:pPr>
        <w:pStyle w:val="DirectQuestion"/>
      </w:pPr>
      <w:r w:rsidRPr="00DB5977">
        <w:t>How is the Value of X Determined?</w:t>
      </w:r>
    </w:p>
    <w:p w14:paraId="1EA065D3" w14:textId="104973D3" w:rsidR="00492E28" w:rsidRPr="00DB5977" w:rsidRDefault="00E94E18" w:rsidP="00486739">
      <w:pPr>
        <w:pStyle w:val="DirectAnswer"/>
        <w:jc w:val="both"/>
        <w:rPr>
          <w:rFonts w:ascii="Verdana" w:hAnsi="Verdana"/>
          <w:sz w:val="20"/>
          <w:szCs w:val="20"/>
        </w:rPr>
      </w:pPr>
      <w:r w:rsidRPr="00DB5977">
        <w:rPr>
          <w:rFonts w:ascii="Verdana" w:hAnsi="Verdana"/>
          <w:sz w:val="20"/>
          <w:szCs w:val="20"/>
        </w:rPr>
        <w:t>X is equal to 0.25</w:t>
      </w:r>
      <w:r w:rsidR="004E615E" w:rsidRPr="00DB5977">
        <w:rPr>
          <w:rFonts w:ascii="Verdana" w:hAnsi="Verdana"/>
          <w:sz w:val="20"/>
          <w:szCs w:val="20"/>
        </w:rPr>
        <w:t>,</w:t>
      </w:r>
      <w:r w:rsidRPr="00DB5977">
        <w:rPr>
          <w:rFonts w:ascii="Verdana" w:hAnsi="Verdana"/>
          <w:sz w:val="20"/>
          <w:szCs w:val="20"/>
        </w:rPr>
        <w:t xml:space="preserve"> </w:t>
      </w:r>
      <w:r w:rsidR="00353841" w:rsidRPr="00DB5977">
        <w:rPr>
          <w:rFonts w:ascii="Verdana" w:hAnsi="Verdana"/>
          <w:sz w:val="20"/>
          <w:szCs w:val="20"/>
        </w:rPr>
        <w:t xml:space="preserve">such that </w:t>
      </w:r>
      <w:r w:rsidR="004E615E" w:rsidRPr="00DB5977">
        <w:rPr>
          <w:rFonts w:ascii="Verdana" w:hAnsi="Verdana"/>
          <w:sz w:val="20"/>
          <w:szCs w:val="20"/>
        </w:rPr>
        <w:t>(</w:t>
      </w:r>
      <w:r w:rsidR="00353841" w:rsidRPr="00DB5977">
        <w:rPr>
          <w:rFonts w:ascii="Verdana" w:hAnsi="Verdana"/>
          <w:sz w:val="20"/>
          <w:szCs w:val="20"/>
        </w:rPr>
        <w:t>1-X</w:t>
      </w:r>
      <w:r w:rsidR="004E615E" w:rsidRPr="00DB5977">
        <w:rPr>
          <w:rFonts w:ascii="Verdana" w:hAnsi="Verdana"/>
          <w:sz w:val="20"/>
          <w:szCs w:val="20"/>
        </w:rPr>
        <w:t>)</w:t>
      </w:r>
      <w:r w:rsidR="00353841" w:rsidRPr="00DB5977">
        <w:rPr>
          <w:rFonts w:ascii="Verdana" w:hAnsi="Verdana"/>
          <w:sz w:val="20"/>
          <w:szCs w:val="20"/>
        </w:rPr>
        <w:t xml:space="preserve"> is 0.75.</w:t>
      </w:r>
      <w:r w:rsidR="005C759D" w:rsidRPr="00DB5977">
        <w:rPr>
          <w:rFonts w:ascii="Verdana" w:hAnsi="Verdana"/>
          <w:sz w:val="20"/>
          <w:szCs w:val="20"/>
        </w:rPr>
        <w:t xml:space="preserve"> The</w:t>
      </w:r>
      <w:r w:rsidR="00D56FA5" w:rsidRPr="00DB5977">
        <w:rPr>
          <w:rFonts w:ascii="Verdana" w:hAnsi="Verdana"/>
          <w:sz w:val="20"/>
          <w:szCs w:val="20"/>
        </w:rPr>
        <w:t xml:space="preserve">refore, the only difference </w:t>
      </w:r>
      <w:r w:rsidR="00420511" w:rsidRPr="00DB5977">
        <w:rPr>
          <w:rFonts w:ascii="Verdana" w:hAnsi="Verdana"/>
          <w:sz w:val="20"/>
          <w:szCs w:val="20"/>
        </w:rPr>
        <w:t xml:space="preserve">the </w:t>
      </w:r>
      <w:r w:rsidR="006D22ED" w:rsidRPr="00DB5977">
        <w:rPr>
          <w:rFonts w:ascii="Verdana" w:hAnsi="Verdana"/>
          <w:sz w:val="20"/>
          <w:szCs w:val="20"/>
        </w:rPr>
        <w:t xml:space="preserve">traditional CAPM and the ECAPM is that the </w:t>
      </w:r>
      <w:r w:rsidR="00437EA9" w:rsidRPr="00DB5977">
        <w:rPr>
          <w:rFonts w:ascii="Verdana" w:hAnsi="Verdana"/>
          <w:sz w:val="20"/>
          <w:szCs w:val="20"/>
        </w:rPr>
        <w:t xml:space="preserve">beta-adjusted </w:t>
      </w:r>
      <w:r w:rsidR="00251BE4">
        <w:rPr>
          <w:rFonts w:ascii="Verdana" w:hAnsi="Verdana"/>
          <w:sz w:val="20"/>
          <w:szCs w:val="20"/>
        </w:rPr>
        <w:t>ERP</w:t>
      </w:r>
      <w:r w:rsidR="00437EA9" w:rsidRPr="00DB5977">
        <w:rPr>
          <w:rFonts w:ascii="Verdana" w:hAnsi="Verdana"/>
          <w:sz w:val="20"/>
          <w:szCs w:val="20"/>
        </w:rPr>
        <w:t xml:space="preserve"> is weighted </w:t>
      </w:r>
      <w:r w:rsidR="00725701" w:rsidRPr="00DB5977">
        <w:rPr>
          <w:rFonts w:ascii="Verdana" w:hAnsi="Verdana"/>
          <w:sz w:val="20"/>
          <w:szCs w:val="20"/>
        </w:rPr>
        <w:t xml:space="preserve">by 0.75, while the market risk premium is weighted by </w:t>
      </w:r>
      <w:r w:rsidR="00044560" w:rsidRPr="00DB5977">
        <w:rPr>
          <w:rFonts w:ascii="Verdana" w:hAnsi="Verdana"/>
          <w:sz w:val="20"/>
          <w:szCs w:val="20"/>
        </w:rPr>
        <w:t>0.25</w:t>
      </w:r>
      <w:r w:rsidR="00904D48" w:rsidRPr="00DB5977">
        <w:rPr>
          <w:rFonts w:ascii="Verdana" w:hAnsi="Verdana"/>
          <w:sz w:val="20"/>
          <w:szCs w:val="20"/>
        </w:rPr>
        <w:t xml:space="preserve">, resulting in the following </w:t>
      </w:r>
      <w:r w:rsidR="000B1C04" w:rsidRPr="00DB5977">
        <w:rPr>
          <w:rFonts w:ascii="Verdana" w:hAnsi="Verdana"/>
          <w:sz w:val="20"/>
          <w:szCs w:val="20"/>
        </w:rPr>
        <w:t>equation.</w:t>
      </w:r>
      <w:r w:rsidR="00FE6858" w:rsidRPr="00DB5977">
        <w:rPr>
          <w:rFonts w:ascii="Verdana" w:hAnsi="Verdana"/>
          <w:sz w:val="20"/>
          <w:szCs w:val="20"/>
        </w:rPr>
        <w:t xml:space="preserve"> </w:t>
      </w:r>
    </w:p>
    <w:p w14:paraId="0A6F04C8" w14:textId="77777777" w:rsidR="004F5365" w:rsidRPr="00DB5977" w:rsidRDefault="004F5365" w:rsidP="004F5365">
      <w:pPr>
        <w:pStyle w:val="DirectNext"/>
        <w:spacing w:line="240" w:lineRule="auto"/>
        <w:ind w:left="1440" w:firstLine="0"/>
        <w:rPr>
          <w:rFonts w:ascii="Verdana" w:hAnsi="Verdana" w:cs="Times New Roman"/>
          <w:sz w:val="20"/>
          <w:szCs w:val="20"/>
        </w:rPr>
      </w:pPr>
    </w:p>
    <w:p w14:paraId="601717D0" w14:textId="77777777" w:rsidR="004F5365" w:rsidRPr="00DB5977" w:rsidRDefault="0084421A" w:rsidP="0081699A">
      <w:pPr>
        <w:pStyle w:val="DirectNext"/>
        <w:spacing w:after="120" w:line="240" w:lineRule="auto"/>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f</m:t>
              </m:r>
            </m:sub>
          </m:sSub>
          <m:r>
            <w:rPr>
              <w:rFonts w:ascii="Cambria Math" w:hAnsi="Cambria Math"/>
              <w:sz w:val="20"/>
              <w:szCs w:val="20"/>
            </w:rPr>
            <m:t>+0.25</m:t>
          </m:r>
          <m:d>
            <m:dPr>
              <m:ctrlPr>
                <w:rPr>
                  <w:rFonts w:ascii="Cambria Math" w:hAnsi="Cambria Math"/>
                  <w:i/>
                  <w:sz w:val="20"/>
                  <w:szCs w:val="20"/>
                </w:rPr>
              </m:ctrlPr>
            </m:dPr>
            <m:e>
              <m:r>
                <w:rPr>
                  <w:rFonts w:ascii="Cambria Math" w:hAnsi="Cambria Math"/>
                  <w:sz w:val="20"/>
                  <w:szCs w:val="20"/>
                </w:rPr>
                <m:t>RP</m:t>
              </m:r>
            </m:e>
          </m:d>
          <m:r>
            <w:rPr>
              <w:rFonts w:ascii="Cambria Math" w:hAnsi="Cambria Math"/>
              <w:sz w:val="20"/>
              <w:szCs w:val="20"/>
            </w:rPr>
            <m:t>+ 0.75β</m:t>
          </m:r>
          <m:d>
            <m:dPr>
              <m:ctrlPr>
                <w:rPr>
                  <w:rFonts w:ascii="Cambria Math" w:hAnsi="Cambria Math"/>
                  <w:i/>
                  <w:sz w:val="20"/>
                  <w:szCs w:val="20"/>
                </w:rPr>
              </m:ctrlPr>
            </m:dPr>
            <m:e>
              <m:r>
                <w:rPr>
                  <w:rFonts w:ascii="Cambria Math" w:hAnsi="Cambria Math"/>
                  <w:sz w:val="20"/>
                  <w:szCs w:val="20"/>
                </w:rPr>
                <m:t>RP</m:t>
              </m:r>
            </m:e>
          </m:d>
        </m:oMath>
      </m:oMathPara>
    </w:p>
    <w:p w14:paraId="70F97860" w14:textId="77777777" w:rsidR="000A3AB8" w:rsidRPr="00DB5977" w:rsidRDefault="007A0719" w:rsidP="00486739">
      <w:pPr>
        <w:pStyle w:val="DirectQuestion"/>
      </w:pPr>
      <w:r w:rsidRPr="00DB5977">
        <w:t>What are the results of your ECAPM analyses</w:t>
      </w:r>
      <w:r w:rsidR="00E46CE5" w:rsidRPr="00DB5977">
        <w:t>?</w:t>
      </w:r>
    </w:p>
    <w:p w14:paraId="2D8BF7B5" w14:textId="77777777" w:rsidR="00E46CE5" w:rsidRPr="00DB5977" w:rsidRDefault="00E46CE5" w:rsidP="00486739">
      <w:pPr>
        <w:pStyle w:val="DirectAnswer"/>
        <w:jc w:val="both"/>
        <w:rPr>
          <w:rFonts w:ascii="Verdana" w:hAnsi="Verdana"/>
          <w:sz w:val="20"/>
          <w:szCs w:val="20"/>
        </w:rPr>
      </w:pPr>
      <w:r w:rsidRPr="00DB5977">
        <w:rPr>
          <w:rFonts w:ascii="Verdana" w:hAnsi="Verdana"/>
          <w:sz w:val="20"/>
          <w:szCs w:val="20"/>
        </w:rPr>
        <w:t>Applying the same</w:t>
      </w:r>
      <w:r w:rsidR="005F639B" w:rsidRPr="00DB5977">
        <w:rPr>
          <w:rFonts w:ascii="Verdana" w:hAnsi="Verdana"/>
          <w:sz w:val="20"/>
          <w:szCs w:val="20"/>
        </w:rPr>
        <w:t xml:space="preserve"> risk-free rates, market risk premi</w:t>
      </w:r>
      <w:r w:rsidR="00EE71C8" w:rsidRPr="00DB5977">
        <w:rPr>
          <w:rFonts w:ascii="Verdana" w:hAnsi="Verdana"/>
          <w:sz w:val="20"/>
          <w:szCs w:val="20"/>
        </w:rPr>
        <w:t>um</w:t>
      </w:r>
      <w:r w:rsidR="005F639B" w:rsidRPr="00DB5977">
        <w:rPr>
          <w:rFonts w:ascii="Verdana" w:hAnsi="Verdana"/>
          <w:sz w:val="20"/>
          <w:szCs w:val="20"/>
        </w:rPr>
        <w:t xml:space="preserve">, and </w:t>
      </w:r>
      <w:r w:rsidR="001B6F40" w:rsidRPr="00DB5977">
        <w:rPr>
          <w:rFonts w:ascii="Verdana" w:hAnsi="Verdana"/>
          <w:sz w:val="20"/>
          <w:szCs w:val="20"/>
        </w:rPr>
        <w:t xml:space="preserve">betas from </w:t>
      </w:r>
      <w:r w:rsidR="00251BE4">
        <w:rPr>
          <w:rFonts w:ascii="Verdana" w:hAnsi="Verdana"/>
          <w:sz w:val="20"/>
          <w:szCs w:val="20"/>
        </w:rPr>
        <w:t xml:space="preserve">the </w:t>
      </w:r>
      <w:r w:rsidR="008F69C9" w:rsidRPr="00DB5977">
        <w:rPr>
          <w:rFonts w:ascii="Verdana" w:hAnsi="Verdana"/>
          <w:sz w:val="20"/>
          <w:szCs w:val="20"/>
        </w:rPr>
        <w:t xml:space="preserve">proxy groups, I estimate expected returns ranging from </w:t>
      </w:r>
      <w:r w:rsidR="00D7423D" w:rsidRPr="00DB5977">
        <w:rPr>
          <w:rFonts w:ascii="Verdana" w:hAnsi="Verdana"/>
          <w:sz w:val="20"/>
          <w:szCs w:val="20"/>
        </w:rPr>
        <w:t>7.2</w:t>
      </w:r>
      <w:r w:rsidR="00EE71C8" w:rsidRPr="00DB5977">
        <w:rPr>
          <w:rFonts w:ascii="Verdana" w:hAnsi="Verdana"/>
          <w:sz w:val="20"/>
          <w:szCs w:val="20"/>
        </w:rPr>
        <w:t>9</w:t>
      </w:r>
      <w:r w:rsidR="00D7423D" w:rsidRPr="00DB5977">
        <w:rPr>
          <w:rFonts w:ascii="Verdana" w:hAnsi="Verdana"/>
          <w:sz w:val="20"/>
          <w:szCs w:val="20"/>
        </w:rPr>
        <w:t xml:space="preserve"> percent to 9.0</w:t>
      </w:r>
      <w:r w:rsidR="00EE71C8" w:rsidRPr="00DB5977">
        <w:rPr>
          <w:rFonts w:ascii="Verdana" w:hAnsi="Verdana"/>
          <w:sz w:val="20"/>
          <w:szCs w:val="20"/>
        </w:rPr>
        <w:t>7</w:t>
      </w:r>
      <w:r w:rsidR="00D7423D" w:rsidRPr="00DB5977">
        <w:rPr>
          <w:rFonts w:ascii="Verdana" w:hAnsi="Verdana"/>
          <w:sz w:val="20"/>
          <w:szCs w:val="20"/>
        </w:rPr>
        <w:t xml:space="preserve"> percent</w:t>
      </w:r>
      <w:r w:rsidR="00251BE4">
        <w:rPr>
          <w:rFonts w:ascii="Verdana" w:hAnsi="Verdana"/>
          <w:sz w:val="20"/>
          <w:szCs w:val="20"/>
        </w:rPr>
        <w:t xml:space="preserve"> (see Table 5 below)</w:t>
      </w:r>
      <w:r w:rsidR="00D7423D" w:rsidRPr="00DB5977">
        <w:rPr>
          <w:rFonts w:ascii="Verdana" w:hAnsi="Verdana"/>
          <w:sz w:val="20"/>
          <w:szCs w:val="20"/>
        </w:rPr>
        <w:t>.</w:t>
      </w:r>
      <w:r w:rsidR="00251BE4">
        <w:rPr>
          <w:rFonts w:ascii="Verdana" w:hAnsi="Verdana"/>
          <w:sz w:val="20"/>
          <w:szCs w:val="20"/>
        </w:rPr>
        <w:t xml:space="preserve"> </w:t>
      </w:r>
    </w:p>
    <w:p w14:paraId="6DAAA5E8" w14:textId="77777777" w:rsidR="00823379" w:rsidRDefault="00823379" w:rsidP="00E46A8A">
      <w:pPr>
        <w:suppressLineNumbers/>
        <w:spacing w:after="0"/>
      </w:pPr>
    </w:p>
    <w:tbl>
      <w:tblPr>
        <w:tblW w:w="8052" w:type="dxa"/>
        <w:jc w:val="right"/>
        <w:tblLook w:val="04A0" w:firstRow="1" w:lastRow="0" w:firstColumn="1" w:lastColumn="0" w:noHBand="0" w:noVBand="1"/>
      </w:tblPr>
      <w:tblGrid>
        <w:gridCol w:w="3240"/>
        <w:gridCol w:w="810"/>
        <w:gridCol w:w="1115"/>
        <w:gridCol w:w="888"/>
        <w:gridCol w:w="960"/>
        <w:gridCol w:w="1028"/>
        <w:gridCol w:w="11"/>
      </w:tblGrid>
      <w:tr w:rsidR="00E90D26" w:rsidRPr="00ED1819" w14:paraId="3FAF7DCC" w14:textId="77777777" w:rsidTr="00A8362B">
        <w:trPr>
          <w:trHeight w:val="285"/>
          <w:jc w:val="right"/>
        </w:trPr>
        <w:tc>
          <w:tcPr>
            <w:tcW w:w="8052" w:type="dxa"/>
            <w:gridSpan w:val="7"/>
            <w:tcBorders>
              <w:top w:val="single" w:sz="12" w:space="0" w:color="auto"/>
              <w:bottom w:val="single" w:sz="4" w:space="0" w:color="auto"/>
            </w:tcBorders>
            <w:shd w:val="clear" w:color="auto" w:fill="auto"/>
            <w:noWrap/>
            <w:vAlign w:val="bottom"/>
            <w:hideMark/>
          </w:tcPr>
          <w:p w14:paraId="46AB963D" w14:textId="124D3551" w:rsidR="00E90D26" w:rsidRPr="00ED1819" w:rsidRDefault="006556B3" w:rsidP="00A8362B">
            <w:pPr>
              <w:keepNext/>
              <w:spacing w:before="80" w:after="80" w:line="240" w:lineRule="auto"/>
              <w:jc w:val="center"/>
              <w:rPr>
                <w:rFonts w:ascii="Verdana" w:eastAsia="Times New Roman" w:hAnsi="Verdana" w:cs="Times New Roman"/>
                <w:b/>
                <w:bCs/>
                <w:color w:val="000000"/>
                <w:sz w:val="20"/>
                <w:szCs w:val="20"/>
              </w:rPr>
            </w:pPr>
            <w:r w:rsidRPr="006556B3">
              <w:rPr>
                <w:rFonts w:ascii="Verdana" w:hAnsi="Verdana"/>
                <w:b/>
                <w:bCs/>
                <w:sz w:val="19"/>
                <w:szCs w:val="19"/>
              </w:rPr>
              <w:t xml:space="preserve">Table </w:t>
            </w:r>
            <w:r w:rsidRPr="006556B3">
              <w:rPr>
                <w:rFonts w:ascii="Verdana" w:hAnsi="Verdana"/>
                <w:b/>
                <w:bCs/>
                <w:sz w:val="19"/>
                <w:szCs w:val="19"/>
              </w:rPr>
              <w:fldChar w:fldCharType="begin"/>
            </w:r>
            <w:r w:rsidRPr="006556B3">
              <w:rPr>
                <w:rFonts w:ascii="Verdana" w:hAnsi="Verdana"/>
                <w:b/>
                <w:bCs/>
                <w:sz w:val="19"/>
                <w:szCs w:val="19"/>
              </w:rPr>
              <w:instrText xml:space="preserve"> SEQ Table \* ARABIC </w:instrText>
            </w:r>
            <w:r w:rsidRPr="006556B3">
              <w:rPr>
                <w:rFonts w:ascii="Verdana" w:hAnsi="Verdana"/>
                <w:b/>
                <w:bCs/>
                <w:sz w:val="19"/>
                <w:szCs w:val="19"/>
              </w:rPr>
              <w:fldChar w:fldCharType="separate"/>
            </w:r>
            <w:r w:rsidR="005A4CEF">
              <w:rPr>
                <w:rFonts w:ascii="Verdana" w:hAnsi="Verdana"/>
                <w:b/>
                <w:bCs/>
                <w:noProof/>
                <w:sz w:val="19"/>
                <w:szCs w:val="19"/>
              </w:rPr>
              <w:t>5</w:t>
            </w:r>
            <w:r w:rsidRPr="006556B3">
              <w:rPr>
                <w:rFonts w:ascii="Verdana" w:hAnsi="Verdana"/>
                <w:b/>
                <w:bCs/>
                <w:sz w:val="19"/>
                <w:szCs w:val="19"/>
              </w:rPr>
              <w:fldChar w:fldCharType="end"/>
            </w:r>
            <w:r w:rsidRPr="006556B3">
              <w:rPr>
                <w:rFonts w:ascii="Verdana" w:hAnsi="Verdana"/>
                <w:b/>
                <w:bCs/>
                <w:sz w:val="19"/>
                <w:szCs w:val="19"/>
              </w:rPr>
              <w:t>.</w:t>
            </w:r>
            <w:r w:rsidR="00E90D26" w:rsidRPr="00ED1819">
              <w:rPr>
                <w:rFonts w:ascii="Verdana" w:eastAsia="Times New Roman" w:hAnsi="Verdana" w:cs="Times New Roman"/>
                <w:b/>
                <w:bCs/>
                <w:color w:val="000000"/>
                <w:sz w:val="20"/>
                <w:szCs w:val="20"/>
              </w:rPr>
              <w:t xml:space="preserve"> Capital Asset Pricing Models </w:t>
            </w:r>
            <w:r w:rsidR="00E90D26">
              <w:rPr>
                <w:rFonts w:ascii="Verdana" w:eastAsia="Times New Roman" w:hAnsi="Verdana" w:cs="Times New Roman"/>
                <w:b/>
                <w:bCs/>
                <w:color w:val="000000"/>
                <w:sz w:val="20"/>
                <w:szCs w:val="20"/>
              </w:rPr>
              <w:t>–</w:t>
            </w:r>
            <w:r w:rsidR="00E90D26" w:rsidRPr="00ED1819">
              <w:rPr>
                <w:rFonts w:ascii="Verdana" w:eastAsia="Times New Roman" w:hAnsi="Verdana" w:cs="Times New Roman"/>
                <w:b/>
                <w:bCs/>
                <w:color w:val="000000"/>
                <w:sz w:val="20"/>
                <w:szCs w:val="20"/>
              </w:rPr>
              <w:t xml:space="preserve"> Estimated Return on Equity</w:t>
            </w:r>
          </w:p>
        </w:tc>
      </w:tr>
      <w:tr w:rsidR="00E90D26" w:rsidRPr="002C5323" w14:paraId="44118F8F" w14:textId="77777777" w:rsidTr="00A8362B">
        <w:trPr>
          <w:gridAfter w:val="1"/>
          <w:wAfter w:w="11" w:type="dxa"/>
          <w:trHeight w:val="103"/>
          <w:jc w:val="right"/>
        </w:trPr>
        <w:tc>
          <w:tcPr>
            <w:tcW w:w="3240" w:type="dxa"/>
            <w:tcBorders>
              <w:top w:val="single" w:sz="4" w:space="0" w:color="auto"/>
              <w:bottom w:val="single" w:sz="4" w:space="0" w:color="auto"/>
              <w:right w:val="nil"/>
            </w:tcBorders>
            <w:shd w:val="clear" w:color="auto" w:fill="auto"/>
            <w:noWrap/>
            <w:vAlign w:val="bottom"/>
            <w:hideMark/>
          </w:tcPr>
          <w:p w14:paraId="4A79DA91" w14:textId="77777777" w:rsidR="00E90D26" w:rsidRPr="002C5323" w:rsidRDefault="00E90D26" w:rsidP="00A8362B">
            <w:pPr>
              <w:spacing w:after="0" w:line="240" w:lineRule="auto"/>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lastRenderedPageBreak/>
              <w:t>CAPM</w:t>
            </w:r>
          </w:p>
        </w:tc>
        <w:tc>
          <w:tcPr>
            <w:tcW w:w="810" w:type="dxa"/>
            <w:tcBorders>
              <w:top w:val="single" w:sz="4" w:space="0" w:color="auto"/>
              <w:left w:val="nil"/>
              <w:bottom w:val="single" w:sz="4" w:space="0" w:color="auto"/>
              <w:right w:val="nil"/>
            </w:tcBorders>
            <w:shd w:val="clear" w:color="auto" w:fill="auto"/>
            <w:noWrap/>
            <w:vAlign w:val="bottom"/>
            <w:hideMark/>
          </w:tcPr>
          <w:p w14:paraId="3FC2D640" w14:textId="77777777" w:rsidR="00E90D26" w:rsidRPr="002C5323" w:rsidRDefault="00E90D26" w:rsidP="00A8362B">
            <w:pPr>
              <w:spacing w:after="0" w:line="240" w:lineRule="auto"/>
              <w:jc w:val="center"/>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t>ERP</w:t>
            </w:r>
          </w:p>
        </w:tc>
        <w:tc>
          <w:tcPr>
            <w:tcW w:w="1115" w:type="dxa"/>
            <w:tcBorders>
              <w:top w:val="single" w:sz="4" w:space="0" w:color="auto"/>
              <w:left w:val="nil"/>
              <w:bottom w:val="single" w:sz="4" w:space="0" w:color="auto"/>
              <w:right w:val="nil"/>
            </w:tcBorders>
            <w:shd w:val="clear" w:color="auto" w:fill="auto"/>
            <w:vAlign w:val="bottom"/>
            <w:hideMark/>
          </w:tcPr>
          <w:p w14:paraId="30A22C78" w14:textId="77777777" w:rsidR="00E90D26" w:rsidRPr="002C5323" w:rsidRDefault="00E90D26" w:rsidP="00A8362B">
            <w:pPr>
              <w:spacing w:after="0" w:line="240" w:lineRule="auto"/>
              <w:jc w:val="center"/>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t>Beta-Adjusted ERP</w:t>
            </w:r>
          </w:p>
        </w:tc>
        <w:tc>
          <w:tcPr>
            <w:tcW w:w="888" w:type="dxa"/>
            <w:tcBorders>
              <w:top w:val="single" w:sz="4" w:space="0" w:color="auto"/>
              <w:left w:val="nil"/>
              <w:bottom w:val="single" w:sz="4" w:space="0" w:color="auto"/>
              <w:right w:val="nil"/>
            </w:tcBorders>
            <w:shd w:val="clear" w:color="auto" w:fill="auto"/>
            <w:vAlign w:val="bottom"/>
            <w:hideMark/>
          </w:tcPr>
          <w:p w14:paraId="5890BB8D" w14:textId="77777777" w:rsidR="00E90D26" w:rsidRPr="002C5323" w:rsidRDefault="00E90D26" w:rsidP="00A8362B">
            <w:pPr>
              <w:spacing w:after="0" w:line="240" w:lineRule="auto"/>
              <w:jc w:val="center"/>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t>Risk-Free Rate</w:t>
            </w:r>
          </w:p>
        </w:tc>
        <w:tc>
          <w:tcPr>
            <w:tcW w:w="960" w:type="dxa"/>
            <w:tcBorders>
              <w:top w:val="single" w:sz="4" w:space="0" w:color="auto"/>
              <w:left w:val="nil"/>
              <w:bottom w:val="single" w:sz="4" w:space="0" w:color="auto"/>
              <w:right w:val="nil"/>
            </w:tcBorders>
            <w:shd w:val="clear" w:color="auto" w:fill="auto"/>
            <w:vAlign w:val="bottom"/>
            <w:hideMark/>
          </w:tcPr>
          <w:p w14:paraId="437806C2" w14:textId="77777777" w:rsidR="00E90D26" w:rsidRPr="002C5323" w:rsidRDefault="00E90D26" w:rsidP="00A8362B">
            <w:pPr>
              <w:spacing w:after="0" w:line="240" w:lineRule="auto"/>
              <w:jc w:val="center"/>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t>CAPM ROE</w:t>
            </w:r>
          </w:p>
        </w:tc>
        <w:tc>
          <w:tcPr>
            <w:tcW w:w="1028" w:type="dxa"/>
            <w:tcBorders>
              <w:top w:val="single" w:sz="4" w:space="0" w:color="auto"/>
              <w:left w:val="nil"/>
              <w:bottom w:val="single" w:sz="4" w:space="0" w:color="auto"/>
            </w:tcBorders>
            <w:shd w:val="clear" w:color="auto" w:fill="auto"/>
            <w:vAlign w:val="bottom"/>
            <w:hideMark/>
          </w:tcPr>
          <w:p w14:paraId="6EA827F3" w14:textId="77777777" w:rsidR="00E90D26" w:rsidRPr="002C5323" w:rsidRDefault="00E90D26" w:rsidP="00A8362B">
            <w:pPr>
              <w:spacing w:after="0" w:line="240" w:lineRule="auto"/>
              <w:jc w:val="center"/>
              <w:rPr>
                <w:rFonts w:ascii="Verdana" w:eastAsia="Times New Roman" w:hAnsi="Verdana" w:cs="Times New Roman"/>
                <w:color w:val="000000"/>
                <w:sz w:val="20"/>
                <w:szCs w:val="20"/>
              </w:rPr>
            </w:pPr>
            <w:r w:rsidRPr="002C5323">
              <w:rPr>
                <w:rFonts w:ascii="Verdana" w:eastAsia="Times New Roman" w:hAnsi="Verdana" w:cs="Times New Roman"/>
                <w:color w:val="000000"/>
                <w:sz w:val="20"/>
                <w:szCs w:val="20"/>
              </w:rPr>
              <w:t>ECAPM ROE</w:t>
            </w:r>
          </w:p>
        </w:tc>
      </w:tr>
      <w:tr w:rsidR="003B55C0" w:rsidRPr="00ED1819" w14:paraId="306DB74F" w14:textId="77777777" w:rsidTr="00A8362B">
        <w:trPr>
          <w:gridAfter w:val="1"/>
          <w:wAfter w:w="11" w:type="dxa"/>
          <w:trHeight w:val="20"/>
          <w:jc w:val="right"/>
        </w:trPr>
        <w:tc>
          <w:tcPr>
            <w:tcW w:w="3240" w:type="dxa"/>
            <w:tcBorders>
              <w:top w:val="single" w:sz="4" w:space="0" w:color="auto"/>
            </w:tcBorders>
            <w:shd w:val="clear" w:color="auto" w:fill="auto"/>
            <w:noWrap/>
            <w:vAlign w:val="bottom"/>
            <w:hideMark/>
          </w:tcPr>
          <w:p w14:paraId="70BD4B92" w14:textId="77777777" w:rsidR="003B55C0" w:rsidRPr="00ED1819" w:rsidRDefault="003B55C0" w:rsidP="003B55C0">
            <w:pPr>
              <w:keepNext/>
              <w:spacing w:before="60" w:after="60" w:line="240" w:lineRule="auto"/>
              <w:rPr>
                <w:rFonts w:ascii="Verdana" w:eastAsia="Times New Roman" w:hAnsi="Verdana" w:cs="Times New Roman"/>
                <w:color w:val="000000"/>
                <w:sz w:val="20"/>
                <w:szCs w:val="20"/>
              </w:rPr>
            </w:pPr>
            <w:r w:rsidRPr="00ED1819">
              <w:rPr>
                <w:rFonts w:ascii="Verdana" w:eastAsia="Times New Roman" w:hAnsi="Verdana" w:cs="Times New Roman"/>
                <w:color w:val="000000"/>
                <w:sz w:val="20"/>
                <w:szCs w:val="20"/>
              </w:rPr>
              <w:t>CAPM (Large Stock Return)</w:t>
            </w:r>
          </w:p>
        </w:tc>
        <w:tc>
          <w:tcPr>
            <w:tcW w:w="810" w:type="dxa"/>
            <w:tcBorders>
              <w:top w:val="single" w:sz="4" w:space="0" w:color="auto"/>
            </w:tcBorders>
            <w:shd w:val="clear" w:color="auto" w:fill="auto"/>
            <w:noWrap/>
            <w:vAlign w:val="bottom"/>
            <w:hideMark/>
          </w:tcPr>
          <w:p w14:paraId="29090C16"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9.48</w:t>
            </w:r>
          </w:p>
        </w:tc>
        <w:tc>
          <w:tcPr>
            <w:tcW w:w="1115" w:type="dxa"/>
            <w:tcBorders>
              <w:top w:val="single" w:sz="4" w:space="0" w:color="auto"/>
            </w:tcBorders>
            <w:shd w:val="clear" w:color="auto" w:fill="auto"/>
            <w:noWrap/>
            <w:vAlign w:val="bottom"/>
            <w:hideMark/>
          </w:tcPr>
          <w:p w14:paraId="5B217F22"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5.58</w:t>
            </w:r>
          </w:p>
        </w:tc>
        <w:tc>
          <w:tcPr>
            <w:tcW w:w="888" w:type="dxa"/>
            <w:tcBorders>
              <w:top w:val="single" w:sz="4" w:space="0" w:color="auto"/>
            </w:tcBorders>
            <w:shd w:val="clear" w:color="auto" w:fill="auto"/>
            <w:noWrap/>
            <w:vAlign w:val="bottom"/>
            <w:hideMark/>
          </w:tcPr>
          <w:p w14:paraId="2F171EB5"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2.42</w:t>
            </w:r>
          </w:p>
        </w:tc>
        <w:tc>
          <w:tcPr>
            <w:tcW w:w="960" w:type="dxa"/>
            <w:tcBorders>
              <w:top w:val="single" w:sz="4" w:space="0" w:color="auto"/>
            </w:tcBorders>
            <w:shd w:val="clear" w:color="auto" w:fill="auto"/>
            <w:noWrap/>
            <w:vAlign w:val="bottom"/>
            <w:hideMark/>
          </w:tcPr>
          <w:p w14:paraId="2501DA0D"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8.10%</w:t>
            </w:r>
          </w:p>
        </w:tc>
        <w:tc>
          <w:tcPr>
            <w:tcW w:w="1028" w:type="dxa"/>
            <w:tcBorders>
              <w:top w:val="single" w:sz="4" w:space="0" w:color="auto"/>
            </w:tcBorders>
            <w:shd w:val="clear" w:color="auto" w:fill="auto"/>
            <w:noWrap/>
            <w:vAlign w:val="bottom"/>
            <w:hideMark/>
          </w:tcPr>
          <w:p w14:paraId="5316E576"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9.07%</w:t>
            </w:r>
          </w:p>
        </w:tc>
      </w:tr>
      <w:tr w:rsidR="003B55C0" w:rsidRPr="00ED1819" w14:paraId="2B6A7E16" w14:textId="77777777" w:rsidTr="00A8362B">
        <w:trPr>
          <w:gridAfter w:val="1"/>
          <w:wAfter w:w="11" w:type="dxa"/>
          <w:trHeight w:val="285"/>
          <w:jc w:val="right"/>
        </w:trPr>
        <w:tc>
          <w:tcPr>
            <w:tcW w:w="3240" w:type="dxa"/>
            <w:tcBorders>
              <w:top w:val="nil"/>
            </w:tcBorders>
            <w:shd w:val="clear" w:color="auto" w:fill="auto"/>
            <w:noWrap/>
            <w:vAlign w:val="bottom"/>
            <w:hideMark/>
          </w:tcPr>
          <w:p w14:paraId="7C1E2A90" w14:textId="77777777" w:rsidR="003B55C0" w:rsidRPr="00ED1819" w:rsidRDefault="003B55C0" w:rsidP="003B55C0">
            <w:pPr>
              <w:keepNext/>
              <w:spacing w:before="60" w:after="60" w:line="240" w:lineRule="auto"/>
              <w:rPr>
                <w:rFonts w:ascii="Verdana" w:eastAsia="Times New Roman" w:hAnsi="Verdana" w:cs="Times New Roman"/>
                <w:color w:val="000000"/>
                <w:sz w:val="20"/>
                <w:szCs w:val="20"/>
              </w:rPr>
            </w:pPr>
            <w:r w:rsidRPr="00ED1819">
              <w:rPr>
                <w:rFonts w:ascii="Verdana" w:eastAsia="Times New Roman" w:hAnsi="Verdana" w:cs="Times New Roman"/>
                <w:color w:val="000000"/>
                <w:sz w:val="20"/>
                <w:szCs w:val="20"/>
              </w:rPr>
              <w:t>CAPM (Historical L-T ERP)</w:t>
            </w:r>
          </w:p>
        </w:tc>
        <w:tc>
          <w:tcPr>
            <w:tcW w:w="810" w:type="dxa"/>
            <w:tcBorders>
              <w:top w:val="nil"/>
            </w:tcBorders>
            <w:shd w:val="clear" w:color="auto" w:fill="auto"/>
            <w:noWrap/>
            <w:vAlign w:val="bottom"/>
            <w:hideMark/>
          </w:tcPr>
          <w:p w14:paraId="2C53C07D"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6.91</w:t>
            </w:r>
          </w:p>
        </w:tc>
        <w:tc>
          <w:tcPr>
            <w:tcW w:w="1115" w:type="dxa"/>
            <w:tcBorders>
              <w:top w:val="nil"/>
            </w:tcBorders>
            <w:shd w:val="clear" w:color="auto" w:fill="auto"/>
            <w:noWrap/>
            <w:vAlign w:val="bottom"/>
            <w:hideMark/>
          </w:tcPr>
          <w:p w14:paraId="240C3DB9"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4.07</w:t>
            </w:r>
          </w:p>
        </w:tc>
        <w:tc>
          <w:tcPr>
            <w:tcW w:w="888" w:type="dxa"/>
            <w:tcBorders>
              <w:top w:val="nil"/>
            </w:tcBorders>
            <w:shd w:val="clear" w:color="auto" w:fill="auto"/>
            <w:noWrap/>
            <w:vAlign w:val="bottom"/>
            <w:hideMark/>
          </w:tcPr>
          <w:p w14:paraId="04A8B289"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2.42</w:t>
            </w:r>
          </w:p>
        </w:tc>
        <w:tc>
          <w:tcPr>
            <w:tcW w:w="960" w:type="dxa"/>
            <w:tcBorders>
              <w:top w:val="nil"/>
            </w:tcBorders>
            <w:shd w:val="clear" w:color="auto" w:fill="auto"/>
            <w:noWrap/>
            <w:vAlign w:val="bottom"/>
            <w:hideMark/>
          </w:tcPr>
          <w:p w14:paraId="56D5DA74"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6.58%</w:t>
            </w:r>
          </w:p>
        </w:tc>
        <w:tc>
          <w:tcPr>
            <w:tcW w:w="1028" w:type="dxa"/>
            <w:tcBorders>
              <w:top w:val="nil"/>
            </w:tcBorders>
            <w:shd w:val="clear" w:color="auto" w:fill="auto"/>
            <w:noWrap/>
            <w:vAlign w:val="bottom"/>
            <w:hideMark/>
          </w:tcPr>
          <w:p w14:paraId="652A862E"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7.29%</w:t>
            </w:r>
          </w:p>
        </w:tc>
      </w:tr>
      <w:tr w:rsidR="003B55C0" w:rsidRPr="00ED1819" w14:paraId="274528F3" w14:textId="77777777" w:rsidTr="00A8362B">
        <w:trPr>
          <w:gridAfter w:val="1"/>
          <w:wAfter w:w="11" w:type="dxa"/>
          <w:trHeight w:val="285"/>
          <w:jc w:val="right"/>
        </w:trPr>
        <w:tc>
          <w:tcPr>
            <w:tcW w:w="3240" w:type="dxa"/>
            <w:tcBorders>
              <w:top w:val="nil"/>
              <w:bottom w:val="single" w:sz="12" w:space="0" w:color="auto"/>
            </w:tcBorders>
            <w:shd w:val="clear" w:color="auto" w:fill="auto"/>
            <w:noWrap/>
            <w:vAlign w:val="bottom"/>
            <w:hideMark/>
          </w:tcPr>
          <w:p w14:paraId="2F73D0A2" w14:textId="77777777" w:rsidR="003B55C0" w:rsidRPr="00ED1819" w:rsidRDefault="003B55C0" w:rsidP="003B55C0">
            <w:pPr>
              <w:keepNext/>
              <w:spacing w:before="60" w:after="60" w:line="240" w:lineRule="auto"/>
              <w:rPr>
                <w:rFonts w:ascii="Verdana" w:eastAsia="Times New Roman" w:hAnsi="Verdana" w:cs="Times New Roman"/>
                <w:color w:val="000000"/>
                <w:sz w:val="20"/>
                <w:szCs w:val="20"/>
              </w:rPr>
            </w:pPr>
            <w:r w:rsidRPr="00ED1819">
              <w:rPr>
                <w:rFonts w:ascii="Verdana" w:eastAsia="Times New Roman" w:hAnsi="Verdana" w:cs="Times New Roman"/>
                <w:color w:val="000000"/>
                <w:sz w:val="20"/>
                <w:szCs w:val="20"/>
              </w:rPr>
              <w:t>CAPM (Duff &amp; Phelps Recommended ERP)</w:t>
            </w:r>
          </w:p>
        </w:tc>
        <w:tc>
          <w:tcPr>
            <w:tcW w:w="810" w:type="dxa"/>
            <w:tcBorders>
              <w:top w:val="nil"/>
              <w:bottom w:val="single" w:sz="12" w:space="0" w:color="auto"/>
            </w:tcBorders>
            <w:shd w:val="clear" w:color="auto" w:fill="auto"/>
            <w:noWrap/>
            <w:vAlign w:val="bottom"/>
            <w:hideMark/>
          </w:tcPr>
          <w:p w14:paraId="0917AB00"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5.50</w:t>
            </w:r>
          </w:p>
        </w:tc>
        <w:tc>
          <w:tcPr>
            <w:tcW w:w="1115" w:type="dxa"/>
            <w:tcBorders>
              <w:top w:val="nil"/>
              <w:bottom w:val="single" w:sz="12" w:space="0" w:color="auto"/>
            </w:tcBorders>
            <w:shd w:val="clear" w:color="auto" w:fill="auto"/>
            <w:noWrap/>
            <w:vAlign w:val="bottom"/>
            <w:hideMark/>
          </w:tcPr>
          <w:p w14:paraId="6C07D1CD"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3.24</w:t>
            </w:r>
          </w:p>
        </w:tc>
        <w:tc>
          <w:tcPr>
            <w:tcW w:w="888" w:type="dxa"/>
            <w:tcBorders>
              <w:top w:val="nil"/>
              <w:bottom w:val="single" w:sz="12" w:space="0" w:color="auto"/>
            </w:tcBorders>
            <w:shd w:val="clear" w:color="auto" w:fill="auto"/>
            <w:noWrap/>
            <w:vAlign w:val="bottom"/>
            <w:hideMark/>
          </w:tcPr>
          <w:p w14:paraId="03088529"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3.50</w:t>
            </w:r>
          </w:p>
        </w:tc>
        <w:tc>
          <w:tcPr>
            <w:tcW w:w="960" w:type="dxa"/>
            <w:tcBorders>
              <w:top w:val="nil"/>
              <w:bottom w:val="single" w:sz="12" w:space="0" w:color="auto"/>
            </w:tcBorders>
            <w:shd w:val="clear" w:color="auto" w:fill="auto"/>
            <w:noWrap/>
            <w:vAlign w:val="bottom"/>
            <w:hideMark/>
          </w:tcPr>
          <w:p w14:paraId="78E927B8"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6.84%</w:t>
            </w:r>
          </w:p>
        </w:tc>
        <w:tc>
          <w:tcPr>
            <w:tcW w:w="1028" w:type="dxa"/>
            <w:tcBorders>
              <w:top w:val="nil"/>
              <w:bottom w:val="single" w:sz="12" w:space="0" w:color="auto"/>
            </w:tcBorders>
            <w:shd w:val="clear" w:color="auto" w:fill="auto"/>
            <w:noWrap/>
            <w:vAlign w:val="bottom"/>
            <w:hideMark/>
          </w:tcPr>
          <w:p w14:paraId="23A5B608" w14:textId="77777777" w:rsidR="003B55C0" w:rsidRPr="003B55C0" w:rsidRDefault="003B55C0" w:rsidP="003B55C0">
            <w:pPr>
              <w:keepNext/>
              <w:spacing w:before="60" w:after="60" w:line="240" w:lineRule="auto"/>
              <w:jc w:val="center"/>
              <w:rPr>
                <w:rFonts w:ascii="Verdana" w:eastAsia="Times New Roman" w:hAnsi="Verdana" w:cs="Times New Roman"/>
                <w:color w:val="000000"/>
                <w:sz w:val="19"/>
                <w:szCs w:val="19"/>
              </w:rPr>
            </w:pPr>
            <w:r w:rsidRPr="003B55C0">
              <w:rPr>
                <w:rFonts w:ascii="Verdana" w:eastAsia="Times New Roman" w:hAnsi="Verdana" w:cs="Times New Roman"/>
                <w:color w:val="000000"/>
                <w:sz w:val="19"/>
                <w:szCs w:val="19"/>
              </w:rPr>
              <w:t>7.40%</w:t>
            </w:r>
          </w:p>
        </w:tc>
      </w:tr>
    </w:tbl>
    <w:p w14:paraId="2340B62A" w14:textId="77777777" w:rsidR="00E90D26" w:rsidRPr="00DB5977" w:rsidRDefault="00E90D26" w:rsidP="00E46A8A">
      <w:pPr>
        <w:suppressLineNumbers/>
        <w:spacing w:after="0"/>
      </w:pPr>
    </w:p>
    <w:p w14:paraId="04993277" w14:textId="77777777" w:rsidR="00DE0E68" w:rsidRPr="00DB5977" w:rsidRDefault="00DE0E68" w:rsidP="00486739">
      <w:pPr>
        <w:pStyle w:val="DirectQuestion"/>
      </w:pPr>
      <w:r w:rsidRPr="00DB5977">
        <w:t xml:space="preserve">DO YOU HAVE ANY CONCERNS REGARDING </w:t>
      </w:r>
      <w:r w:rsidR="00CC3941" w:rsidRPr="00DB5977">
        <w:t>DR. Vander weide</w:t>
      </w:r>
      <w:r w:rsidR="003B55C0">
        <w:t>’</w:t>
      </w:r>
      <w:r w:rsidRPr="00DB5977">
        <w:t>S CAPM ANALYSIS?</w:t>
      </w:r>
    </w:p>
    <w:p w14:paraId="0431C478" w14:textId="1528F3E5" w:rsidR="006F3DD6" w:rsidRPr="00DB5977" w:rsidRDefault="00CF107A" w:rsidP="00486739">
      <w:pPr>
        <w:pStyle w:val="DirectAnswer"/>
        <w:keepNext/>
        <w:jc w:val="both"/>
        <w:rPr>
          <w:rFonts w:ascii="Verdana" w:hAnsi="Verdana" w:cstheme="minorHAnsi"/>
          <w:sz w:val="20"/>
          <w:szCs w:val="20"/>
        </w:rPr>
      </w:pPr>
      <w:r w:rsidRPr="00DB5977">
        <w:rPr>
          <w:rFonts w:ascii="Verdana" w:hAnsi="Verdana" w:cstheme="minorHAnsi"/>
          <w:sz w:val="20"/>
          <w:szCs w:val="20"/>
        </w:rPr>
        <w:t>Yes.</w:t>
      </w:r>
      <w:r w:rsidR="0025065A">
        <w:rPr>
          <w:rFonts w:ascii="Verdana" w:hAnsi="Verdana" w:cstheme="minorHAnsi"/>
          <w:sz w:val="20"/>
          <w:szCs w:val="20"/>
        </w:rPr>
        <w:t xml:space="preserve"> </w:t>
      </w:r>
      <w:r w:rsidR="009957F7" w:rsidRPr="00DB5977">
        <w:rPr>
          <w:rFonts w:ascii="Verdana" w:hAnsi="Verdana" w:cstheme="minorHAnsi"/>
          <w:sz w:val="20"/>
          <w:szCs w:val="20"/>
        </w:rPr>
        <w:t>In h</w:t>
      </w:r>
      <w:r w:rsidR="0037110D" w:rsidRPr="00DB5977">
        <w:rPr>
          <w:rFonts w:ascii="Verdana" w:hAnsi="Verdana" w:cstheme="minorHAnsi"/>
          <w:sz w:val="20"/>
          <w:szCs w:val="20"/>
        </w:rPr>
        <w:t>is</w:t>
      </w:r>
      <w:r w:rsidR="009957F7" w:rsidRPr="00DB5977">
        <w:rPr>
          <w:rFonts w:ascii="Verdana" w:hAnsi="Verdana" w:cstheme="minorHAnsi"/>
          <w:sz w:val="20"/>
          <w:szCs w:val="20"/>
        </w:rPr>
        <w:t xml:space="preserve"> </w:t>
      </w:r>
      <w:r w:rsidR="0037110D" w:rsidRPr="00DB5977">
        <w:rPr>
          <w:rFonts w:ascii="Verdana" w:hAnsi="Verdana" w:cstheme="minorHAnsi"/>
          <w:sz w:val="20"/>
          <w:szCs w:val="20"/>
        </w:rPr>
        <w:t>DCF-</w:t>
      </w:r>
      <w:r w:rsidR="0081699A">
        <w:rPr>
          <w:rFonts w:ascii="Verdana" w:hAnsi="Verdana" w:cstheme="minorHAnsi"/>
          <w:sz w:val="20"/>
          <w:szCs w:val="20"/>
        </w:rPr>
        <w:t>b</w:t>
      </w:r>
      <w:r w:rsidR="0037110D" w:rsidRPr="00DB5977">
        <w:rPr>
          <w:rFonts w:ascii="Verdana" w:hAnsi="Verdana" w:cstheme="minorHAnsi"/>
          <w:sz w:val="20"/>
          <w:szCs w:val="20"/>
        </w:rPr>
        <w:t xml:space="preserve">ased </w:t>
      </w:r>
      <w:r w:rsidR="009957F7" w:rsidRPr="00DB5977">
        <w:rPr>
          <w:rFonts w:ascii="Verdana" w:hAnsi="Verdana" w:cstheme="minorHAnsi"/>
          <w:sz w:val="20"/>
          <w:szCs w:val="20"/>
        </w:rPr>
        <w:t>CAPM analys</w:t>
      </w:r>
      <w:r w:rsidR="007E10EA" w:rsidRPr="00DB5977">
        <w:rPr>
          <w:rFonts w:ascii="Verdana" w:hAnsi="Verdana" w:cstheme="minorHAnsi"/>
          <w:sz w:val="20"/>
          <w:szCs w:val="20"/>
        </w:rPr>
        <w:t>e</w:t>
      </w:r>
      <w:r w:rsidR="009957F7" w:rsidRPr="00DB5977">
        <w:rPr>
          <w:rFonts w:ascii="Verdana" w:hAnsi="Verdana" w:cstheme="minorHAnsi"/>
          <w:sz w:val="20"/>
          <w:szCs w:val="20"/>
        </w:rPr>
        <w:t xml:space="preserve">s, </w:t>
      </w:r>
      <w:r w:rsidR="0037110D" w:rsidRPr="00DB5977">
        <w:rPr>
          <w:rFonts w:ascii="Verdana" w:hAnsi="Verdana" w:cstheme="minorHAnsi"/>
          <w:sz w:val="20"/>
          <w:szCs w:val="20"/>
        </w:rPr>
        <w:t xml:space="preserve">Dr. Vander </w:t>
      </w:r>
      <w:proofErr w:type="spellStart"/>
      <w:r w:rsidR="0037110D" w:rsidRPr="00DB5977">
        <w:rPr>
          <w:rFonts w:ascii="Verdana" w:hAnsi="Verdana" w:cstheme="minorHAnsi"/>
          <w:sz w:val="20"/>
          <w:szCs w:val="20"/>
        </w:rPr>
        <w:t>Weide</w:t>
      </w:r>
      <w:proofErr w:type="spellEnd"/>
      <w:r w:rsidR="008476ED" w:rsidRPr="00DB5977">
        <w:rPr>
          <w:rFonts w:ascii="Verdana" w:hAnsi="Verdana" w:cstheme="minorHAnsi"/>
          <w:sz w:val="20"/>
          <w:szCs w:val="20"/>
        </w:rPr>
        <w:t xml:space="preserve"> calculates h</w:t>
      </w:r>
      <w:r w:rsidR="0037110D" w:rsidRPr="00DB5977">
        <w:rPr>
          <w:rFonts w:ascii="Verdana" w:hAnsi="Verdana" w:cstheme="minorHAnsi"/>
          <w:sz w:val="20"/>
          <w:szCs w:val="20"/>
        </w:rPr>
        <w:t>is</w:t>
      </w:r>
      <w:r w:rsidR="008476ED" w:rsidRPr="00DB5977">
        <w:rPr>
          <w:rFonts w:ascii="Verdana" w:hAnsi="Verdana" w:cstheme="minorHAnsi"/>
          <w:sz w:val="20"/>
          <w:szCs w:val="20"/>
        </w:rPr>
        <w:t xml:space="preserve"> </w:t>
      </w:r>
      <w:r w:rsidR="002C7C44">
        <w:rPr>
          <w:rFonts w:ascii="Verdana" w:hAnsi="Verdana" w:cstheme="minorHAnsi"/>
          <w:sz w:val="20"/>
          <w:szCs w:val="20"/>
        </w:rPr>
        <w:t>m</w:t>
      </w:r>
      <w:r w:rsidR="008476ED" w:rsidRPr="00DB5977">
        <w:rPr>
          <w:rFonts w:ascii="Verdana" w:hAnsi="Verdana" w:cstheme="minorHAnsi"/>
          <w:sz w:val="20"/>
          <w:szCs w:val="20"/>
        </w:rPr>
        <w:t xml:space="preserve">arket </w:t>
      </w:r>
      <w:r w:rsidR="002C7C44">
        <w:rPr>
          <w:rFonts w:ascii="Verdana" w:hAnsi="Verdana" w:cstheme="minorHAnsi"/>
          <w:sz w:val="20"/>
          <w:szCs w:val="20"/>
        </w:rPr>
        <w:t>r</w:t>
      </w:r>
      <w:r w:rsidR="008476ED" w:rsidRPr="00DB5977">
        <w:rPr>
          <w:rFonts w:ascii="Verdana" w:hAnsi="Verdana" w:cstheme="minorHAnsi"/>
          <w:sz w:val="20"/>
          <w:szCs w:val="20"/>
        </w:rPr>
        <w:t xml:space="preserve">isk </w:t>
      </w:r>
      <w:r w:rsidR="002C7C44">
        <w:rPr>
          <w:rFonts w:ascii="Verdana" w:hAnsi="Verdana" w:cstheme="minorHAnsi"/>
          <w:sz w:val="20"/>
          <w:szCs w:val="20"/>
        </w:rPr>
        <w:t>p</w:t>
      </w:r>
      <w:r w:rsidR="008476ED" w:rsidRPr="00DB5977">
        <w:rPr>
          <w:rFonts w:ascii="Verdana" w:hAnsi="Verdana" w:cstheme="minorHAnsi"/>
          <w:sz w:val="20"/>
          <w:szCs w:val="20"/>
        </w:rPr>
        <w:t>remium</w:t>
      </w:r>
      <w:r w:rsidR="00401A44" w:rsidRPr="00DB5977">
        <w:rPr>
          <w:rFonts w:ascii="Verdana" w:hAnsi="Verdana" w:cstheme="minorHAnsi"/>
          <w:sz w:val="20"/>
          <w:szCs w:val="20"/>
        </w:rPr>
        <w:t xml:space="preserve"> based </w:t>
      </w:r>
      <w:r w:rsidR="00C63D4A" w:rsidRPr="00DB5977">
        <w:rPr>
          <w:rFonts w:ascii="Verdana" w:hAnsi="Verdana" w:cstheme="minorHAnsi"/>
          <w:sz w:val="20"/>
          <w:szCs w:val="20"/>
        </w:rPr>
        <w:t xml:space="preserve">on the expected total return on the S&amp;P 500 Index less the </w:t>
      </w:r>
      <w:r w:rsidR="00335E76" w:rsidRPr="00DB5977">
        <w:rPr>
          <w:rFonts w:ascii="Verdana" w:hAnsi="Verdana" w:cstheme="minorHAnsi"/>
          <w:sz w:val="20"/>
          <w:szCs w:val="20"/>
        </w:rPr>
        <w:t xml:space="preserve">forecasted yield to maturity </w:t>
      </w:r>
      <w:r w:rsidR="002A0FB0" w:rsidRPr="00DB5977">
        <w:rPr>
          <w:rFonts w:ascii="Verdana" w:hAnsi="Verdana" w:cstheme="minorHAnsi"/>
          <w:sz w:val="20"/>
          <w:szCs w:val="20"/>
        </w:rPr>
        <w:t xml:space="preserve">on </w:t>
      </w:r>
      <w:r w:rsidR="0063370C" w:rsidRPr="00DB5977">
        <w:rPr>
          <w:rFonts w:ascii="Verdana" w:hAnsi="Verdana" w:cstheme="minorHAnsi"/>
          <w:sz w:val="20"/>
          <w:szCs w:val="20"/>
        </w:rPr>
        <w:t>2</w:t>
      </w:r>
      <w:r w:rsidR="00C63D4A" w:rsidRPr="00DB5977">
        <w:rPr>
          <w:rFonts w:ascii="Verdana" w:hAnsi="Verdana" w:cstheme="minorHAnsi"/>
          <w:sz w:val="20"/>
          <w:szCs w:val="20"/>
        </w:rPr>
        <w:t>0-year Treasury bond</w:t>
      </w:r>
      <w:r w:rsidR="002A0FB0" w:rsidRPr="00DB5977">
        <w:rPr>
          <w:rFonts w:ascii="Verdana" w:hAnsi="Verdana" w:cstheme="minorHAnsi"/>
          <w:sz w:val="20"/>
          <w:szCs w:val="20"/>
        </w:rPr>
        <w:t>s</w:t>
      </w:r>
      <w:r w:rsidR="000F45A0" w:rsidRPr="00DB5977">
        <w:rPr>
          <w:rFonts w:ascii="Verdana" w:hAnsi="Verdana" w:cstheme="minorHAnsi"/>
          <w:sz w:val="20"/>
          <w:szCs w:val="20"/>
        </w:rPr>
        <w:t>.</w:t>
      </w:r>
      <w:r w:rsidR="0025065A">
        <w:rPr>
          <w:rFonts w:ascii="Verdana" w:hAnsi="Verdana" w:cstheme="minorHAnsi"/>
          <w:sz w:val="20"/>
          <w:szCs w:val="20"/>
        </w:rPr>
        <w:t xml:space="preserve"> </w:t>
      </w:r>
      <w:r w:rsidR="002A0FB0" w:rsidRPr="00DB5977">
        <w:rPr>
          <w:rFonts w:ascii="Verdana" w:hAnsi="Verdana" w:cstheme="minorHAnsi"/>
          <w:sz w:val="20"/>
          <w:szCs w:val="20"/>
        </w:rPr>
        <w:t>H</w:t>
      </w:r>
      <w:r w:rsidR="000F45A0" w:rsidRPr="00DB5977">
        <w:rPr>
          <w:rFonts w:ascii="Verdana" w:hAnsi="Verdana" w:cstheme="minorHAnsi"/>
          <w:sz w:val="20"/>
          <w:szCs w:val="20"/>
        </w:rPr>
        <w:t xml:space="preserve">e estimates the expected total return on the </w:t>
      </w:r>
      <w:r w:rsidR="000F6DB0" w:rsidRPr="00DB5977">
        <w:rPr>
          <w:rFonts w:ascii="Verdana" w:hAnsi="Verdana" w:cstheme="minorHAnsi"/>
          <w:sz w:val="20"/>
          <w:szCs w:val="20"/>
        </w:rPr>
        <w:t>S&amp;P 500 Index using h</w:t>
      </w:r>
      <w:r w:rsidR="002A0FB0" w:rsidRPr="00DB5977">
        <w:rPr>
          <w:rFonts w:ascii="Verdana" w:hAnsi="Verdana" w:cstheme="minorHAnsi"/>
          <w:sz w:val="20"/>
          <w:szCs w:val="20"/>
        </w:rPr>
        <w:t>is</w:t>
      </w:r>
      <w:r w:rsidR="00A06074" w:rsidRPr="00DB5977">
        <w:rPr>
          <w:rFonts w:ascii="Verdana" w:hAnsi="Verdana" w:cstheme="minorHAnsi"/>
          <w:sz w:val="20"/>
          <w:szCs w:val="20"/>
        </w:rPr>
        <w:t xml:space="preserve"> DCF analys</w:t>
      </w:r>
      <w:r w:rsidR="004605EA" w:rsidRPr="00DB5977">
        <w:rPr>
          <w:rFonts w:ascii="Verdana" w:hAnsi="Verdana" w:cstheme="minorHAnsi"/>
          <w:sz w:val="20"/>
          <w:szCs w:val="20"/>
        </w:rPr>
        <w:t>e</w:t>
      </w:r>
      <w:r w:rsidR="00A06074" w:rsidRPr="00DB5977">
        <w:rPr>
          <w:rFonts w:ascii="Verdana" w:hAnsi="Verdana" w:cstheme="minorHAnsi"/>
          <w:sz w:val="20"/>
          <w:szCs w:val="20"/>
        </w:rPr>
        <w:t xml:space="preserve">s </w:t>
      </w:r>
      <w:r w:rsidR="00D6123D" w:rsidRPr="00DB5977">
        <w:rPr>
          <w:rFonts w:ascii="Verdana" w:hAnsi="Verdana" w:cstheme="minorHAnsi"/>
          <w:sz w:val="20"/>
          <w:szCs w:val="20"/>
        </w:rPr>
        <w:t>for companies listed</w:t>
      </w:r>
      <w:r w:rsidR="00A06074" w:rsidRPr="00DB5977">
        <w:rPr>
          <w:rFonts w:ascii="Verdana" w:hAnsi="Verdana" w:cstheme="minorHAnsi"/>
          <w:sz w:val="20"/>
          <w:szCs w:val="20"/>
        </w:rPr>
        <w:t xml:space="preserve"> in the S&amp;P 500.</w:t>
      </w:r>
      <w:r w:rsidR="0025065A">
        <w:rPr>
          <w:rFonts w:ascii="Verdana" w:hAnsi="Verdana" w:cstheme="minorHAnsi"/>
          <w:sz w:val="20"/>
          <w:szCs w:val="20"/>
        </w:rPr>
        <w:t xml:space="preserve"> </w:t>
      </w:r>
      <w:r w:rsidR="00A17BC5" w:rsidRPr="00DB5977">
        <w:rPr>
          <w:rFonts w:ascii="Verdana" w:hAnsi="Verdana" w:cstheme="minorHAnsi"/>
          <w:sz w:val="20"/>
          <w:szCs w:val="20"/>
        </w:rPr>
        <w:t>As I previously discuss</w:t>
      </w:r>
      <w:r w:rsidR="008F636F" w:rsidRPr="00DB5977">
        <w:rPr>
          <w:rFonts w:ascii="Verdana" w:hAnsi="Verdana" w:cstheme="minorHAnsi"/>
          <w:sz w:val="20"/>
          <w:szCs w:val="20"/>
        </w:rPr>
        <w:t>ed</w:t>
      </w:r>
      <w:r w:rsidR="00A17BC5" w:rsidRPr="00DB5977">
        <w:rPr>
          <w:rFonts w:ascii="Verdana" w:hAnsi="Verdana" w:cstheme="minorHAnsi"/>
          <w:sz w:val="20"/>
          <w:szCs w:val="20"/>
        </w:rPr>
        <w:t xml:space="preserve"> in this testimony, </w:t>
      </w:r>
      <w:r w:rsidR="00AF7DA1" w:rsidRPr="00DB5977">
        <w:rPr>
          <w:rFonts w:ascii="Verdana" w:hAnsi="Verdana" w:cstheme="minorHAnsi"/>
          <w:sz w:val="20"/>
          <w:szCs w:val="20"/>
        </w:rPr>
        <w:t xml:space="preserve">Dr. Vander </w:t>
      </w:r>
      <w:proofErr w:type="spellStart"/>
      <w:r w:rsidR="00AF7DA1" w:rsidRPr="00DB5977">
        <w:rPr>
          <w:rFonts w:ascii="Verdana" w:hAnsi="Verdana" w:cstheme="minorHAnsi"/>
          <w:sz w:val="20"/>
          <w:szCs w:val="20"/>
        </w:rPr>
        <w:t>Weide</w:t>
      </w:r>
      <w:proofErr w:type="spellEnd"/>
      <w:r w:rsidR="00A17BC5" w:rsidRPr="00DB5977">
        <w:rPr>
          <w:rFonts w:ascii="Verdana" w:hAnsi="Verdana" w:cstheme="minorHAnsi"/>
          <w:sz w:val="20"/>
          <w:szCs w:val="20"/>
        </w:rPr>
        <w:t xml:space="preserve"> relies solely on earnings growth projections</w:t>
      </w:r>
      <w:r w:rsidR="008A4422" w:rsidRPr="00DB5977">
        <w:rPr>
          <w:rFonts w:ascii="Verdana" w:hAnsi="Verdana" w:cstheme="minorHAnsi"/>
          <w:sz w:val="20"/>
          <w:szCs w:val="20"/>
        </w:rPr>
        <w:t xml:space="preserve"> in h</w:t>
      </w:r>
      <w:r w:rsidR="003E00C5" w:rsidRPr="00DB5977">
        <w:rPr>
          <w:rFonts w:ascii="Verdana" w:hAnsi="Verdana" w:cstheme="minorHAnsi"/>
          <w:sz w:val="20"/>
          <w:szCs w:val="20"/>
        </w:rPr>
        <w:t>is</w:t>
      </w:r>
      <w:r w:rsidR="008A4422" w:rsidRPr="00DB5977">
        <w:rPr>
          <w:rFonts w:ascii="Verdana" w:hAnsi="Verdana" w:cstheme="minorHAnsi"/>
          <w:sz w:val="20"/>
          <w:szCs w:val="20"/>
        </w:rPr>
        <w:t xml:space="preserve"> </w:t>
      </w:r>
      <w:r w:rsidR="004605EA" w:rsidRPr="00DB5977">
        <w:rPr>
          <w:rFonts w:ascii="Verdana" w:hAnsi="Verdana" w:cstheme="minorHAnsi"/>
          <w:sz w:val="20"/>
          <w:szCs w:val="20"/>
        </w:rPr>
        <w:t>DCF analyses</w:t>
      </w:r>
      <w:r w:rsidR="00A17BC5" w:rsidRPr="00DB5977">
        <w:rPr>
          <w:rFonts w:ascii="Verdana" w:hAnsi="Verdana" w:cstheme="minorHAnsi"/>
          <w:sz w:val="20"/>
          <w:szCs w:val="20"/>
        </w:rPr>
        <w:t>.</w:t>
      </w:r>
      <w:r w:rsidR="0025065A">
        <w:rPr>
          <w:rFonts w:ascii="Verdana" w:hAnsi="Verdana" w:cstheme="minorHAnsi"/>
          <w:sz w:val="20"/>
          <w:szCs w:val="20"/>
        </w:rPr>
        <w:t xml:space="preserve"> </w:t>
      </w:r>
      <w:r w:rsidR="007E10EA" w:rsidRPr="00DB5977">
        <w:rPr>
          <w:rFonts w:ascii="Verdana" w:hAnsi="Verdana" w:cstheme="minorHAnsi"/>
          <w:sz w:val="20"/>
          <w:szCs w:val="20"/>
        </w:rPr>
        <w:t>A</w:t>
      </w:r>
      <w:r w:rsidR="0002296E" w:rsidRPr="00DB5977">
        <w:rPr>
          <w:rFonts w:ascii="Verdana" w:hAnsi="Verdana" w:cstheme="minorHAnsi"/>
          <w:sz w:val="20"/>
          <w:szCs w:val="20"/>
        </w:rPr>
        <w:t>pplying such growth rates</w:t>
      </w:r>
      <w:r w:rsidR="007E10EA" w:rsidRPr="00DB5977">
        <w:rPr>
          <w:rFonts w:ascii="Verdana" w:hAnsi="Verdana" w:cstheme="minorHAnsi"/>
          <w:sz w:val="20"/>
          <w:szCs w:val="20"/>
        </w:rPr>
        <w:t xml:space="preserve"> in h</w:t>
      </w:r>
      <w:r w:rsidR="0074120A" w:rsidRPr="00DB5977">
        <w:rPr>
          <w:rFonts w:ascii="Verdana" w:hAnsi="Verdana" w:cstheme="minorHAnsi"/>
          <w:sz w:val="20"/>
          <w:szCs w:val="20"/>
        </w:rPr>
        <w:t>is</w:t>
      </w:r>
      <w:r w:rsidR="00EB4FB1" w:rsidRPr="00DB5977">
        <w:rPr>
          <w:rFonts w:ascii="Verdana" w:hAnsi="Verdana" w:cstheme="minorHAnsi"/>
          <w:sz w:val="20"/>
          <w:szCs w:val="20"/>
        </w:rPr>
        <w:t xml:space="preserve"> </w:t>
      </w:r>
      <w:r w:rsidR="003E00C5" w:rsidRPr="00DB5977">
        <w:rPr>
          <w:rFonts w:ascii="Verdana" w:hAnsi="Verdana" w:cstheme="minorHAnsi"/>
          <w:sz w:val="20"/>
          <w:szCs w:val="20"/>
        </w:rPr>
        <w:t xml:space="preserve">DCF-based </w:t>
      </w:r>
      <w:r w:rsidR="00EB4FB1" w:rsidRPr="00DB5977">
        <w:rPr>
          <w:rFonts w:ascii="Verdana" w:hAnsi="Verdana" w:cstheme="minorHAnsi"/>
          <w:sz w:val="20"/>
          <w:szCs w:val="20"/>
        </w:rPr>
        <w:t>CAPM</w:t>
      </w:r>
      <w:r w:rsidR="007E10EA" w:rsidRPr="00DB5977">
        <w:rPr>
          <w:rFonts w:ascii="Verdana" w:hAnsi="Verdana" w:cstheme="minorHAnsi"/>
          <w:sz w:val="20"/>
          <w:szCs w:val="20"/>
        </w:rPr>
        <w:t xml:space="preserve"> </w:t>
      </w:r>
      <w:r w:rsidR="008F4BAA" w:rsidRPr="00DB5977">
        <w:rPr>
          <w:rFonts w:ascii="Verdana" w:hAnsi="Verdana" w:cstheme="minorHAnsi"/>
          <w:sz w:val="20"/>
          <w:szCs w:val="20"/>
        </w:rPr>
        <w:t>produc</w:t>
      </w:r>
      <w:r w:rsidR="00B074B4" w:rsidRPr="00DB5977">
        <w:rPr>
          <w:rFonts w:ascii="Verdana" w:hAnsi="Verdana" w:cstheme="minorHAnsi"/>
          <w:sz w:val="20"/>
          <w:szCs w:val="20"/>
        </w:rPr>
        <w:t xml:space="preserve">es </w:t>
      </w:r>
      <w:r w:rsidR="0052225A" w:rsidRPr="00DB5977">
        <w:rPr>
          <w:rFonts w:ascii="Verdana" w:hAnsi="Verdana" w:cstheme="minorHAnsi"/>
          <w:sz w:val="20"/>
          <w:szCs w:val="20"/>
        </w:rPr>
        <w:t xml:space="preserve">an estimated required </w:t>
      </w:r>
      <w:r w:rsidR="00E94695" w:rsidRPr="00DB5977">
        <w:rPr>
          <w:rFonts w:ascii="Verdana" w:hAnsi="Verdana" w:cstheme="minorHAnsi"/>
          <w:sz w:val="20"/>
          <w:szCs w:val="20"/>
        </w:rPr>
        <w:t xml:space="preserve">annual </w:t>
      </w:r>
      <w:r w:rsidR="0052225A" w:rsidRPr="00DB5977">
        <w:rPr>
          <w:rFonts w:ascii="Verdana" w:hAnsi="Verdana" w:cstheme="minorHAnsi"/>
          <w:sz w:val="20"/>
          <w:szCs w:val="20"/>
        </w:rPr>
        <w:t>market return for the S&amp;P 500 Index of 14.</w:t>
      </w:r>
      <w:r w:rsidR="00FE1F91" w:rsidRPr="00DB5977">
        <w:rPr>
          <w:rFonts w:ascii="Verdana" w:hAnsi="Verdana" w:cstheme="minorHAnsi"/>
          <w:sz w:val="20"/>
          <w:szCs w:val="20"/>
        </w:rPr>
        <w:t>2</w:t>
      </w:r>
      <w:r w:rsidR="0052225A" w:rsidRPr="00DB5977">
        <w:rPr>
          <w:rFonts w:ascii="Verdana" w:hAnsi="Verdana" w:cstheme="minorHAnsi"/>
          <w:sz w:val="20"/>
          <w:szCs w:val="20"/>
        </w:rPr>
        <w:t xml:space="preserve"> percent</w:t>
      </w:r>
      <w:r w:rsidR="00517B99" w:rsidRPr="00DB5977">
        <w:rPr>
          <w:rFonts w:ascii="Verdana" w:hAnsi="Verdana" w:cstheme="minorHAnsi"/>
          <w:sz w:val="20"/>
          <w:szCs w:val="20"/>
        </w:rPr>
        <w:t xml:space="preserve"> and,</w:t>
      </w:r>
      <w:r w:rsidR="002807A6" w:rsidRPr="00DB5977">
        <w:rPr>
          <w:rFonts w:ascii="Verdana" w:hAnsi="Verdana" w:cstheme="minorHAnsi"/>
          <w:sz w:val="20"/>
          <w:szCs w:val="20"/>
        </w:rPr>
        <w:t xml:space="preserve"> </w:t>
      </w:r>
      <w:r w:rsidR="00517B99" w:rsidRPr="00DB5977">
        <w:rPr>
          <w:rFonts w:ascii="Verdana" w:hAnsi="Verdana" w:cstheme="minorHAnsi"/>
          <w:sz w:val="20"/>
          <w:szCs w:val="20"/>
        </w:rPr>
        <w:t xml:space="preserve">as </w:t>
      </w:r>
      <w:r w:rsidR="002807A6" w:rsidRPr="00DB5977">
        <w:rPr>
          <w:rFonts w:ascii="Verdana" w:hAnsi="Verdana" w:cstheme="minorHAnsi"/>
          <w:sz w:val="20"/>
          <w:szCs w:val="20"/>
        </w:rPr>
        <w:t>a result,</w:t>
      </w:r>
      <w:r w:rsidR="0002296E" w:rsidRPr="00DB5977">
        <w:rPr>
          <w:rFonts w:ascii="Verdana" w:hAnsi="Verdana" w:cstheme="minorHAnsi"/>
          <w:sz w:val="20"/>
          <w:szCs w:val="20"/>
        </w:rPr>
        <w:t xml:space="preserve"> </w:t>
      </w:r>
      <w:r w:rsidR="00517B99" w:rsidRPr="00DB5977">
        <w:rPr>
          <w:rFonts w:ascii="Verdana" w:hAnsi="Verdana" w:cstheme="minorHAnsi"/>
          <w:sz w:val="20"/>
          <w:szCs w:val="20"/>
        </w:rPr>
        <w:t>h</w:t>
      </w:r>
      <w:r w:rsidR="00FE1F91" w:rsidRPr="00DB5977">
        <w:rPr>
          <w:rFonts w:ascii="Verdana" w:hAnsi="Verdana" w:cstheme="minorHAnsi"/>
          <w:sz w:val="20"/>
          <w:szCs w:val="20"/>
        </w:rPr>
        <w:t>is</w:t>
      </w:r>
      <w:r w:rsidR="00FB7185" w:rsidRPr="00DB5977">
        <w:rPr>
          <w:rFonts w:ascii="Verdana" w:hAnsi="Verdana" w:cstheme="minorHAnsi"/>
          <w:sz w:val="20"/>
          <w:szCs w:val="20"/>
        </w:rPr>
        <w:t xml:space="preserve"> </w:t>
      </w:r>
      <w:r w:rsidR="00517B99" w:rsidRPr="00DB5977">
        <w:rPr>
          <w:rFonts w:ascii="Verdana" w:hAnsi="Verdana" w:cstheme="minorHAnsi"/>
          <w:sz w:val="20"/>
          <w:szCs w:val="20"/>
        </w:rPr>
        <w:t xml:space="preserve">market risk premiums </w:t>
      </w:r>
      <w:r w:rsidR="00C52619" w:rsidRPr="00DB5977">
        <w:rPr>
          <w:rFonts w:ascii="Verdana" w:hAnsi="Verdana" w:cstheme="minorHAnsi"/>
          <w:sz w:val="20"/>
          <w:szCs w:val="20"/>
        </w:rPr>
        <w:t>over a</w:t>
      </w:r>
      <w:r w:rsidR="00236AF6" w:rsidRPr="00DB5977">
        <w:rPr>
          <w:rFonts w:ascii="Verdana" w:hAnsi="Verdana" w:cstheme="minorHAnsi"/>
          <w:sz w:val="20"/>
          <w:szCs w:val="20"/>
        </w:rPr>
        <w:t xml:space="preserve"> 3.8 percent risk-free rate equal </w:t>
      </w:r>
      <w:r w:rsidR="001A058C" w:rsidRPr="00DB5977">
        <w:rPr>
          <w:rFonts w:ascii="Verdana" w:hAnsi="Verdana" w:cstheme="minorHAnsi"/>
          <w:sz w:val="20"/>
          <w:szCs w:val="20"/>
        </w:rPr>
        <w:t>10.4 percent</w:t>
      </w:r>
      <w:r w:rsidR="00C52619" w:rsidRPr="00DB5977">
        <w:rPr>
          <w:rFonts w:ascii="Verdana" w:hAnsi="Verdana" w:cstheme="minorHAnsi"/>
          <w:sz w:val="20"/>
          <w:szCs w:val="20"/>
        </w:rPr>
        <w:t>. (</w:t>
      </w:r>
      <w:r w:rsidR="00C52619" w:rsidRPr="00DB5977">
        <w:rPr>
          <w:rFonts w:ascii="Verdana" w:hAnsi="Verdana" w:cstheme="minorHAnsi"/>
          <w:i/>
          <w:sz w:val="20"/>
          <w:szCs w:val="20"/>
          <w:u w:val="single"/>
        </w:rPr>
        <w:t>See</w:t>
      </w:r>
      <w:r w:rsidR="00C52619" w:rsidRPr="00DB5977">
        <w:rPr>
          <w:rFonts w:ascii="Verdana" w:hAnsi="Verdana" w:cstheme="minorHAnsi"/>
          <w:sz w:val="20"/>
          <w:szCs w:val="20"/>
        </w:rPr>
        <w:t xml:space="preserve"> </w:t>
      </w:r>
      <w:r w:rsidR="00F50701" w:rsidRPr="00DB5977">
        <w:rPr>
          <w:rFonts w:ascii="Verdana" w:hAnsi="Verdana" w:cstheme="minorHAnsi"/>
          <w:sz w:val="20"/>
          <w:szCs w:val="20"/>
        </w:rPr>
        <w:t xml:space="preserve">Vander </w:t>
      </w:r>
      <w:proofErr w:type="spellStart"/>
      <w:r w:rsidR="00F50701" w:rsidRPr="00DB5977">
        <w:rPr>
          <w:rFonts w:ascii="Verdana" w:hAnsi="Verdana" w:cstheme="minorHAnsi"/>
          <w:sz w:val="20"/>
          <w:szCs w:val="20"/>
        </w:rPr>
        <w:t>Weide</w:t>
      </w:r>
      <w:proofErr w:type="spellEnd"/>
      <w:r w:rsidR="00C52619" w:rsidRPr="00DB5977">
        <w:rPr>
          <w:rFonts w:ascii="Verdana" w:hAnsi="Verdana" w:cstheme="minorHAnsi"/>
          <w:sz w:val="20"/>
          <w:szCs w:val="20"/>
        </w:rPr>
        <w:t xml:space="preserve"> Direct Testi</w:t>
      </w:r>
      <w:r w:rsidR="00EB05EE" w:rsidRPr="00DB5977">
        <w:rPr>
          <w:rFonts w:ascii="Verdana" w:hAnsi="Verdana" w:cstheme="minorHAnsi"/>
          <w:sz w:val="20"/>
          <w:szCs w:val="20"/>
        </w:rPr>
        <w:t>mony</w:t>
      </w:r>
      <w:r w:rsidR="007417C9">
        <w:rPr>
          <w:rFonts w:ascii="Verdana" w:hAnsi="Verdana" w:cstheme="minorHAnsi"/>
          <w:sz w:val="20"/>
          <w:szCs w:val="20"/>
        </w:rPr>
        <w:t xml:space="preserve">, </w:t>
      </w:r>
      <w:r w:rsidR="0067182C" w:rsidRPr="00DB5977">
        <w:rPr>
          <w:rFonts w:ascii="Verdana" w:hAnsi="Verdana" w:cstheme="minorHAnsi"/>
          <w:sz w:val="20"/>
          <w:szCs w:val="20"/>
        </w:rPr>
        <w:t>43</w:t>
      </w:r>
      <w:r w:rsidR="007417C9">
        <w:rPr>
          <w:rFonts w:ascii="Verdana" w:hAnsi="Verdana" w:cstheme="minorHAnsi"/>
          <w:sz w:val="20"/>
          <w:szCs w:val="20"/>
        </w:rPr>
        <w:t>:</w:t>
      </w:r>
      <w:r w:rsidR="00714DA6" w:rsidRPr="00DB5977">
        <w:rPr>
          <w:rFonts w:ascii="Verdana" w:hAnsi="Verdana" w:cstheme="minorHAnsi"/>
          <w:sz w:val="20"/>
          <w:szCs w:val="20"/>
        </w:rPr>
        <w:t xml:space="preserve">25-27 and </w:t>
      </w:r>
      <w:r w:rsidR="00EB05EE" w:rsidRPr="00DB5977">
        <w:rPr>
          <w:rFonts w:ascii="Verdana" w:hAnsi="Verdana" w:cstheme="minorHAnsi"/>
          <w:sz w:val="20"/>
          <w:szCs w:val="20"/>
        </w:rPr>
        <w:t>Schedule 8.</w:t>
      </w:r>
      <w:r w:rsidR="00C52619" w:rsidRPr="00DB5977">
        <w:rPr>
          <w:rFonts w:ascii="Verdana" w:hAnsi="Verdana" w:cstheme="minorHAnsi"/>
          <w:sz w:val="20"/>
          <w:szCs w:val="20"/>
        </w:rPr>
        <w:t>)</w:t>
      </w:r>
    </w:p>
    <w:p w14:paraId="044ADCC8" w14:textId="4DEB4157" w:rsidR="006F3DD6" w:rsidRPr="00DB5977" w:rsidRDefault="006F3DD6" w:rsidP="00486739">
      <w:pPr>
        <w:pStyle w:val="DirectQuestion"/>
      </w:pPr>
      <w:r w:rsidRPr="00DB5977">
        <w:t xml:space="preserve">why do you consider </w:t>
      </w:r>
      <w:r w:rsidR="00DE4F01" w:rsidRPr="00DB5977">
        <w:t>Dr. vander weide</w:t>
      </w:r>
      <w:r w:rsidRPr="00DB5977">
        <w:t xml:space="preserve">’s </w:t>
      </w:r>
      <w:r w:rsidR="001B3907" w:rsidRPr="00DB5977">
        <w:t>Market</w:t>
      </w:r>
      <w:r w:rsidRPr="00DB5977">
        <w:t xml:space="preserve"> risk premi</w:t>
      </w:r>
      <w:r w:rsidR="00226CA1">
        <w:t>um</w:t>
      </w:r>
      <w:r w:rsidRPr="00DB5977">
        <w:t xml:space="preserve"> </w:t>
      </w:r>
      <w:r w:rsidR="009D1126" w:rsidRPr="00DB5977">
        <w:t xml:space="preserve">too </w:t>
      </w:r>
      <w:r w:rsidRPr="00DB5977">
        <w:t>high?</w:t>
      </w:r>
    </w:p>
    <w:p w14:paraId="47048613" w14:textId="1039C578" w:rsidR="008476ED" w:rsidRPr="00DB5977" w:rsidRDefault="008660A2" w:rsidP="00CF107A">
      <w:pPr>
        <w:pStyle w:val="DirectAnswer"/>
        <w:keepNext/>
        <w:jc w:val="both"/>
        <w:rPr>
          <w:rFonts w:ascii="Verdana" w:hAnsi="Verdana" w:cstheme="minorHAnsi"/>
          <w:sz w:val="20"/>
          <w:szCs w:val="20"/>
        </w:rPr>
      </w:pPr>
      <w:r w:rsidRPr="00DB5977">
        <w:rPr>
          <w:rFonts w:ascii="Verdana" w:hAnsi="Verdana" w:cstheme="minorHAnsi"/>
          <w:sz w:val="20"/>
          <w:szCs w:val="20"/>
        </w:rPr>
        <w:t xml:space="preserve">Market analysts have recently stated that </w:t>
      </w:r>
      <w:r w:rsidR="00357094">
        <w:rPr>
          <w:rFonts w:ascii="Verdana" w:hAnsi="Verdana" w:cstheme="minorHAnsi"/>
          <w:sz w:val="20"/>
          <w:szCs w:val="20"/>
        </w:rPr>
        <w:t xml:space="preserve">the </w:t>
      </w:r>
      <w:r w:rsidRPr="00DB5977">
        <w:rPr>
          <w:rFonts w:ascii="Verdana" w:hAnsi="Verdana" w:cstheme="minorHAnsi"/>
          <w:sz w:val="20"/>
          <w:szCs w:val="20"/>
        </w:rPr>
        <w:t>current expectation of U</w:t>
      </w:r>
      <w:r w:rsidR="001B3907" w:rsidRPr="00DB5977">
        <w:rPr>
          <w:rFonts w:ascii="Verdana" w:hAnsi="Verdana" w:cstheme="minorHAnsi"/>
          <w:sz w:val="20"/>
          <w:szCs w:val="20"/>
        </w:rPr>
        <w:t>.</w:t>
      </w:r>
      <w:r w:rsidRPr="00DB5977">
        <w:rPr>
          <w:rFonts w:ascii="Verdana" w:hAnsi="Verdana" w:cstheme="minorHAnsi"/>
          <w:sz w:val="20"/>
          <w:szCs w:val="20"/>
        </w:rPr>
        <w:t>S</w:t>
      </w:r>
      <w:r w:rsidR="001B3907" w:rsidRPr="00DB5977">
        <w:rPr>
          <w:rFonts w:ascii="Verdana" w:hAnsi="Verdana" w:cstheme="minorHAnsi"/>
          <w:sz w:val="20"/>
          <w:szCs w:val="20"/>
        </w:rPr>
        <w:t>.</w:t>
      </w:r>
      <w:r w:rsidRPr="00DB5977">
        <w:rPr>
          <w:rFonts w:ascii="Verdana" w:hAnsi="Verdana" w:cstheme="minorHAnsi"/>
          <w:sz w:val="20"/>
          <w:szCs w:val="20"/>
        </w:rPr>
        <w:t xml:space="preserve"> equity markets is </w:t>
      </w:r>
      <w:r w:rsidR="00952B1D" w:rsidRPr="00DB5977">
        <w:rPr>
          <w:rFonts w:ascii="Verdana" w:hAnsi="Verdana" w:cstheme="minorHAnsi"/>
          <w:sz w:val="20"/>
          <w:szCs w:val="20"/>
        </w:rPr>
        <w:t>about</w:t>
      </w:r>
      <w:r w:rsidRPr="00DB5977">
        <w:rPr>
          <w:rFonts w:ascii="Verdana" w:hAnsi="Verdana" w:cstheme="minorHAnsi"/>
          <w:sz w:val="20"/>
          <w:szCs w:val="20"/>
        </w:rPr>
        <w:t xml:space="preserve"> a 5 percent median annualized return, which has </w:t>
      </w:r>
      <w:r w:rsidR="00952B1D" w:rsidRPr="00DB5977">
        <w:rPr>
          <w:rFonts w:ascii="Verdana" w:hAnsi="Verdana" w:cstheme="minorHAnsi"/>
          <w:sz w:val="20"/>
          <w:szCs w:val="20"/>
        </w:rPr>
        <w:t>fallen</w:t>
      </w:r>
      <w:r w:rsidRPr="00DB5977">
        <w:rPr>
          <w:rFonts w:ascii="Verdana" w:hAnsi="Verdana" w:cstheme="minorHAnsi"/>
          <w:sz w:val="20"/>
          <w:szCs w:val="20"/>
        </w:rPr>
        <w:t xml:space="preserve"> from 8</w:t>
      </w:r>
      <w:r w:rsidR="00275DD8">
        <w:rPr>
          <w:rFonts w:ascii="Verdana" w:hAnsi="Verdana" w:cstheme="minorHAnsi"/>
          <w:sz w:val="20"/>
          <w:szCs w:val="20"/>
        </w:rPr>
        <w:t> </w:t>
      </w:r>
      <w:r w:rsidRPr="00DB5977">
        <w:rPr>
          <w:rFonts w:ascii="Verdana" w:hAnsi="Verdana" w:cstheme="minorHAnsi"/>
          <w:sz w:val="20"/>
          <w:szCs w:val="20"/>
        </w:rPr>
        <w:t>percent just five years ago.</w:t>
      </w:r>
      <w:r w:rsidRPr="00DB5977">
        <w:rPr>
          <w:rStyle w:val="FootnoteReference"/>
          <w:rFonts w:ascii="Verdana" w:hAnsi="Verdana" w:cstheme="minorHAnsi"/>
          <w:sz w:val="20"/>
          <w:szCs w:val="20"/>
        </w:rPr>
        <w:footnoteReference w:id="35"/>
      </w:r>
      <w:r w:rsidR="0025065A">
        <w:rPr>
          <w:rFonts w:ascii="Verdana" w:hAnsi="Verdana" w:cstheme="minorHAnsi"/>
          <w:sz w:val="20"/>
          <w:szCs w:val="20"/>
        </w:rPr>
        <w:t xml:space="preserve"> </w:t>
      </w:r>
      <w:r w:rsidR="00D85467" w:rsidRPr="00DB5977">
        <w:rPr>
          <w:rFonts w:ascii="Verdana" w:hAnsi="Verdana" w:cstheme="minorHAnsi"/>
          <w:sz w:val="20"/>
          <w:szCs w:val="20"/>
        </w:rPr>
        <w:t xml:space="preserve">Moreover, </w:t>
      </w:r>
      <w:r w:rsidR="00D11F42" w:rsidRPr="00DB5977">
        <w:rPr>
          <w:rFonts w:ascii="Verdana" w:hAnsi="Verdana" w:cstheme="minorHAnsi"/>
          <w:sz w:val="20"/>
          <w:szCs w:val="20"/>
        </w:rPr>
        <w:t xml:space="preserve">the Federal Reserve Bank of Philadelphia </w:t>
      </w:r>
      <w:r w:rsidR="00C84F5F" w:rsidRPr="00DB5977">
        <w:rPr>
          <w:rFonts w:ascii="Verdana" w:hAnsi="Verdana" w:cstheme="minorHAnsi"/>
          <w:sz w:val="20"/>
          <w:szCs w:val="20"/>
        </w:rPr>
        <w:t xml:space="preserve">reported earlier this year </w:t>
      </w:r>
      <w:r w:rsidR="003927E0" w:rsidRPr="00DB5977">
        <w:rPr>
          <w:rFonts w:ascii="Verdana" w:hAnsi="Verdana" w:cstheme="minorHAnsi"/>
          <w:sz w:val="20"/>
          <w:szCs w:val="20"/>
        </w:rPr>
        <w:t xml:space="preserve">that the average (mean) forecast of expected </w:t>
      </w:r>
      <w:r w:rsidR="009E6A82" w:rsidRPr="00DB5977">
        <w:rPr>
          <w:rFonts w:ascii="Verdana" w:hAnsi="Verdana" w:cstheme="minorHAnsi"/>
          <w:sz w:val="20"/>
          <w:szCs w:val="20"/>
        </w:rPr>
        <w:t xml:space="preserve">stock returns (S&amp;P 500) over the next </w:t>
      </w:r>
      <w:r w:rsidR="00357094">
        <w:rPr>
          <w:rFonts w:ascii="Verdana" w:hAnsi="Verdana" w:cstheme="minorHAnsi"/>
          <w:sz w:val="20"/>
          <w:szCs w:val="20"/>
        </w:rPr>
        <w:t>ten</w:t>
      </w:r>
      <w:r w:rsidR="00357094" w:rsidRPr="00DB5977">
        <w:rPr>
          <w:rFonts w:ascii="Verdana" w:hAnsi="Verdana" w:cstheme="minorHAnsi"/>
          <w:sz w:val="20"/>
          <w:szCs w:val="20"/>
        </w:rPr>
        <w:t xml:space="preserve"> </w:t>
      </w:r>
      <w:r w:rsidR="009E6A82" w:rsidRPr="00DB5977">
        <w:rPr>
          <w:rFonts w:ascii="Verdana" w:hAnsi="Verdana" w:cstheme="minorHAnsi"/>
          <w:sz w:val="20"/>
          <w:szCs w:val="20"/>
        </w:rPr>
        <w:t xml:space="preserve">years is </w:t>
      </w:r>
      <w:r w:rsidR="00522350" w:rsidRPr="00DB5977">
        <w:rPr>
          <w:rFonts w:ascii="Verdana" w:hAnsi="Verdana" w:cstheme="minorHAnsi"/>
          <w:sz w:val="20"/>
          <w:szCs w:val="20"/>
        </w:rPr>
        <w:t>5.38 percent.</w:t>
      </w:r>
      <w:r w:rsidR="00522350" w:rsidRPr="00DB5977">
        <w:rPr>
          <w:rStyle w:val="FootnoteReference"/>
          <w:rFonts w:ascii="Verdana" w:hAnsi="Verdana" w:cstheme="minorHAnsi"/>
          <w:sz w:val="20"/>
          <w:szCs w:val="20"/>
        </w:rPr>
        <w:footnoteReference w:id="36"/>
      </w:r>
      <w:r w:rsidR="00522350" w:rsidRPr="00DB5977">
        <w:rPr>
          <w:rFonts w:ascii="Verdana" w:hAnsi="Verdana" w:cstheme="minorHAnsi"/>
          <w:sz w:val="20"/>
          <w:szCs w:val="20"/>
        </w:rPr>
        <w:t xml:space="preserve"> </w:t>
      </w:r>
      <w:r w:rsidR="00952B1D" w:rsidRPr="00DB5977">
        <w:rPr>
          <w:rFonts w:ascii="Verdana" w:hAnsi="Verdana" w:cstheme="minorHAnsi"/>
          <w:sz w:val="20"/>
          <w:szCs w:val="20"/>
        </w:rPr>
        <w:t xml:space="preserve">Therefore, </w:t>
      </w:r>
      <w:r w:rsidR="0023746B" w:rsidRPr="00DB5977">
        <w:rPr>
          <w:rFonts w:ascii="Verdana" w:hAnsi="Verdana" w:cstheme="minorHAnsi"/>
          <w:sz w:val="20"/>
          <w:szCs w:val="20"/>
        </w:rPr>
        <w:t xml:space="preserve">his forecasted market risk </w:t>
      </w:r>
      <w:r w:rsidR="00150794" w:rsidRPr="00DB5977">
        <w:rPr>
          <w:rFonts w:ascii="Verdana" w:hAnsi="Verdana" w:cstheme="minorHAnsi"/>
          <w:sz w:val="20"/>
          <w:szCs w:val="20"/>
        </w:rPr>
        <w:t>premi</w:t>
      </w:r>
      <w:r w:rsidR="00357094">
        <w:rPr>
          <w:rFonts w:ascii="Verdana" w:hAnsi="Verdana" w:cstheme="minorHAnsi"/>
          <w:sz w:val="20"/>
          <w:szCs w:val="20"/>
        </w:rPr>
        <w:t>um</w:t>
      </w:r>
      <w:r w:rsidR="00150794" w:rsidRPr="00DB5977">
        <w:rPr>
          <w:rFonts w:ascii="Verdana" w:hAnsi="Verdana" w:cstheme="minorHAnsi"/>
          <w:sz w:val="20"/>
          <w:szCs w:val="20"/>
        </w:rPr>
        <w:t xml:space="preserve"> </w:t>
      </w:r>
      <w:r w:rsidR="001E199A">
        <w:rPr>
          <w:rFonts w:ascii="Verdana" w:hAnsi="Verdana" w:cstheme="minorHAnsi"/>
          <w:sz w:val="20"/>
          <w:szCs w:val="20"/>
        </w:rPr>
        <w:t xml:space="preserve">is </w:t>
      </w:r>
      <w:r w:rsidR="00150794" w:rsidRPr="00DB5977">
        <w:rPr>
          <w:rFonts w:ascii="Verdana" w:hAnsi="Verdana" w:cstheme="minorHAnsi"/>
          <w:sz w:val="20"/>
          <w:szCs w:val="20"/>
        </w:rPr>
        <w:t xml:space="preserve">too high. </w:t>
      </w:r>
      <w:r w:rsidR="00C41206" w:rsidRPr="00DB5977">
        <w:rPr>
          <w:rFonts w:ascii="Verdana" w:hAnsi="Verdana" w:cstheme="minorHAnsi"/>
          <w:sz w:val="20"/>
          <w:szCs w:val="20"/>
        </w:rPr>
        <w:t>W</w:t>
      </w:r>
      <w:r w:rsidR="00952B1D" w:rsidRPr="00DB5977">
        <w:rPr>
          <w:rFonts w:ascii="Verdana" w:hAnsi="Verdana" w:cstheme="minorHAnsi"/>
          <w:sz w:val="20"/>
          <w:szCs w:val="20"/>
        </w:rPr>
        <w:t>hen a</w:t>
      </w:r>
      <w:r w:rsidR="00EF1420" w:rsidRPr="00DB5977">
        <w:rPr>
          <w:rFonts w:ascii="Verdana" w:hAnsi="Verdana" w:cstheme="minorHAnsi"/>
          <w:sz w:val="20"/>
          <w:szCs w:val="20"/>
        </w:rPr>
        <w:t xml:space="preserve">pplying </w:t>
      </w:r>
      <w:r w:rsidR="00952B1D" w:rsidRPr="00DB5977">
        <w:rPr>
          <w:rFonts w:ascii="Verdana" w:hAnsi="Verdana" w:cstheme="minorHAnsi"/>
          <w:sz w:val="20"/>
          <w:szCs w:val="20"/>
        </w:rPr>
        <w:t>h</w:t>
      </w:r>
      <w:r w:rsidR="00107212" w:rsidRPr="00DB5977">
        <w:rPr>
          <w:rFonts w:ascii="Verdana" w:hAnsi="Verdana" w:cstheme="minorHAnsi"/>
          <w:sz w:val="20"/>
          <w:szCs w:val="20"/>
        </w:rPr>
        <w:t>is</w:t>
      </w:r>
      <w:r w:rsidR="00EF1420" w:rsidRPr="00DB5977">
        <w:rPr>
          <w:rFonts w:ascii="Verdana" w:hAnsi="Verdana" w:cstheme="minorHAnsi"/>
          <w:sz w:val="20"/>
          <w:szCs w:val="20"/>
        </w:rPr>
        <w:t xml:space="preserve"> </w:t>
      </w:r>
      <w:r w:rsidR="007E10EA" w:rsidRPr="00DB5977">
        <w:rPr>
          <w:rFonts w:ascii="Verdana" w:hAnsi="Verdana" w:cstheme="minorHAnsi"/>
          <w:sz w:val="20"/>
          <w:szCs w:val="20"/>
        </w:rPr>
        <w:t>unrealistically high premi</w:t>
      </w:r>
      <w:r w:rsidR="007E3DD2">
        <w:rPr>
          <w:rFonts w:ascii="Verdana" w:hAnsi="Verdana" w:cstheme="minorHAnsi"/>
          <w:sz w:val="20"/>
          <w:szCs w:val="20"/>
        </w:rPr>
        <w:t>um</w:t>
      </w:r>
      <w:r w:rsidR="007E10EA" w:rsidRPr="00DB5977">
        <w:rPr>
          <w:rFonts w:ascii="Verdana" w:hAnsi="Verdana" w:cstheme="minorHAnsi"/>
          <w:sz w:val="20"/>
          <w:szCs w:val="20"/>
        </w:rPr>
        <w:t xml:space="preserve"> to h</w:t>
      </w:r>
      <w:r w:rsidR="00107212" w:rsidRPr="00DB5977">
        <w:rPr>
          <w:rFonts w:ascii="Verdana" w:hAnsi="Verdana" w:cstheme="minorHAnsi"/>
          <w:sz w:val="20"/>
          <w:szCs w:val="20"/>
        </w:rPr>
        <w:t>is</w:t>
      </w:r>
      <w:r w:rsidR="007E10EA" w:rsidRPr="00DB5977">
        <w:rPr>
          <w:rFonts w:ascii="Verdana" w:hAnsi="Verdana" w:cstheme="minorHAnsi"/>
          <w:sz w:val="20"/>
          <w:szCs w:val="20"/>
        </w:rPr>
        <w:t xml:space="preserve"> </w:t>
      </w:r>
      <w:r w:rsidR="00107212" w:rsidRPr="00DB5977">
        <w:rPr>
          <w:rFonts w:ascii="Verdana" w:hAnsi="Verdana" w:cstheme="minorHAnsi"/>
          <w:sz w:val="20"/>
          <w:szCs w:val="20"/>
        </w:rPr>
        <w:t xml:space="preserve">DCF-based </w:t>
      </w:r>
      <w:r w:rsidR="007E10EA" w:rsidRPr="00DB5977">
        <w:rPr>
          <w:rFonts w:ascii="Verdana" w:hAnsi="Verdana" w:cstheme="minorHAnsi"/>
          <w:sz w:val="20"/>
          <w:szCs w:val="20"/>
        </w:rPr>
        <w:t xml:space="preserve">CAPM, </w:t>
      </w:r>
      <w:r w:rsidR="00107212" w:rsidRPr="00DB5977">
        <w:rPr>
          <w:rFonts w:ascii="Verdana" w:hAnsi="Verdana" w:cstheme="minorHAnsi"/>
          <w:sz w:val="20"/>
          <w:szCs w:val="20"/>
        </w:rPr>
        <w:t xml:space="preserve">Dr. Vander </w:t>
      </w:r>
      <w:proofErr w:type="spellStart"/>
      <w:r w:rsidR="00107212" w:rsidRPr="00DB5977">
        <w:rPr>
          <w:rFonts w:ascii="Verdana" w:hAnsi="Verdana" w:cstheme="minorHAnsi"/>
          <w:sz w:val="20"/>
          <w:szCs w:val="20"/>
        </w:rPr>
        <w:t>Weide</w:t>
      </w:r>
      <w:proofErr w:type="spellEnd"/>
      <w:r w:rsidR="007E10EA" w:rsidRPr="00DB5977">
        <w:rPr>
          <w:rFonts w:ascii="Verdana" w:hAnsi="Verdana" w:cstheme="minorHAnsi"/>
          <w:sz w:val="20"/>
          <w:szCs w:val="20"/>
        </w:rPr>
        <w:t xml:space="preserve"> derives</w:t>
      </w:r>
      <w:r w:rsidR="0002296E" w:rsidRPr="00DB5977">
        <w:rPr>
          <w:rFonts w:ascii="Verdana" w:hAnsi="Verdana" w:cstheme="minorHAnsi"/>
          <w:sz w:val="20"/>
          <w:szCs w:val="20"/>
        </w:rPr>
        <w:t xml:space="preserve"> common equity estimate</w:t>
      </w:r>
      <w:r w:rsidR="00051B53" w:rsidRPr="00DB5977">
        <w:rPr>
          <w:rFonts w:ascii="Verdana" w:hAnsi="Verdana" w:cstheme="minorHAnsi"/>
          <w:sz w:val="20"/>
          <w:szCs w:val="20"/>
        </w:rPr>
        <w:t xml:space="preserve">s </w:t>
      </w:r>
      <w:r w:rsidR="00333F6B" w:rsidRPr="00DB5977">
        <w:rPr>
          <w:rFonts w:ascii="Verdana" w:hAnsi="Verdana" w:cstheme="minorHAnsi"/>
          <w:sz w:val="20"/>
          <w:szCs w:val="20"/>
        </w:rPr>
        <w:t>of</w:t>
      </w:r>
      <w:r w:rsidR="002251D9" w:rsidRPr="00DB5977">
        <w:rPr>
          <w:rFonts w:ascii="Verdana" w:hAnsi="Verdana" w:cstheme="minorHAnsi"/>
          <w:sz w:val="20"/>
          <w:szCs w:val="20"/>
        </w:rPr>
        <w:t xml:space="preserve"> 10.2</w:t>
      </w:r>
      <w:r w:rsidR="00051B53" w:rsidRPr="00DB5977">
        <w:rPr>
          <w:rFonts w:ascii="Verdana" w:hAnsi="Verdana" w:cstheme="minorHAnsi"/>
          <w:sz w:val="20"/>
          <w:szCs w:val="20"/>
        </w:rPr>
        <w:t xml:space="preserve"> percent </w:t>
      </w:r>
      <w:r w:rsidR="002251D9" w:rsidRPr="00DB5977">
        <w:rPr>
          <w:rFonts w:ascii="Verdana" w:hAnsi="Verdana" w:cstheme="minorHAnsi"/>
          <w:sz w:val="20"/>
          <w:szCs w:val="20"/>
        </w:rPr>
        <w:t>and 13.3</w:t>
      </w:r>
      <w:r w:rsidR="00051B53" w:rsidRPr="00DB5977">
        <w:rPr>
          <w:rFonts w:ascii="Verdana" w:hAnsi="Verdana" w:cstheme="minorHAnsi"/>
          <w:sz w:val="20"/>
          <w:szCs w:val="20"/>
        </w:rPr>
        <w:t xml:space="preserve"> percent.</w:t>
      </w:r>
      <w:r w:rsidR="0025065A">
        <w:rPr>
          <w:rFonts w:ascii="Verdana" w:hAnsi="Verdana" w:cstheme="minorHAnsi"/>
          <w:sz w:val="20"/>
          <w:szCs w:val="20"/>
        </w:rPr>
        <w:t xml:space="preserve"> </w:t>
      </w:r>
      <w:r w:rsidR="00CC0DC3" w:rsidRPr="00DB5977">
        <w:rPr>
          <w:rFonts w:ascii="Verdana" w:hAnsi="Verdana" w:cstheme="minorHAnsi"/>
          <w:sz w:val="20"/>
          <w:szCs w:val="20"/>
        </w:rPr>
        <w:t>(</w:t>
      </w:r>
      <w:r w:rsidR="00CC0DC3" w:rsidRPr="00DB5977">
        <w:rPr>
          <w:rFonts w:ascii="Verdana" w:hAnsi="Verdana" w:cstheme="minorHAnsi"/>
          <w:i/>
          <w:sz w:val="20"/>
          <w:szCs w:val="20"/>
          <w:u w:val="single"/>
        </w:rPr>
        <w:t>See</w:t>
      </w:r>
      <w:r w:rsidR="00CC0DC3" w:rsidRPr="00DB5977">
        <w:rPr>
          <w:rFonts w:ascii="Verdana" w:hAnsi="Verdana" w:cstheme="minorHAnsi"/>
          <w:sz w:val="20"/>
          <w:szCs w:val="20"/>
        </w:rPr>
        <w:t xml:space="preserve"> </w:t>
      </w:r>
      <w:r w:rsidR="00B02990" w:rsidRPr="00DB5977">
        <w:rPr>
          <w:rFonts w:ascii="Verdana" w:hAnsi="Verdana" w:cstheme="minorHAnsi"/>
          <w:sz w:val="20"/>
          <w:szCs w:val="20"/>
        </w:rPr>
        <w:t xml:space="preserve">Vander </w:t>
      </w:r>
      <w:proofErr w:type="spellStart"/>
      <w:r w:rsidR="00B02990" w:rsidRPr="00DB5977">
        <w:rPr>
          <w:rFonts w:ascii="Verdana" w:hAnsi="Verdana" w:cstheme="minorHAnsi"/>
          <w:sz w:val="20"/>
          <w:szCs w:val="20"/>
        </w:rPr>
        <w:t>Weide</w:t>
      </w:r>
      <w:proofErr w:type="spellEnd"/>
      <w:r w:rsidR="00CC0DC3" w:rsidRPr="00DB5977">
        <w:rPr>
          <w:rFonts w:ascii="Verdana" w:hAnsi="Verdana" w:cstheme="minorHAnsi"/>
          <w:sz w:val="20"/>
          <w:szCs w:val="20"/>
        </w:rPr>
        <w:t xml:space="preserve"> Direct Testimony</w:t>
      </w:r>
      <w:r w:rsidR="007417C9">
        <w:rPr>
          <w:rFonts w:ascii="Verdana" w:hAnsi="Verdana" w:cstheme="minorHAnsi"/>
          <w:sz w:val="20"/>
          <w:szCs w:val="20"/>
        </w:rPr>
        <w:t xml:space="preserve">, </w:t>
      </w:r>
      <w:r w:rsidR="00B02990" w:rsidRPr="00DB5977">
        <w:rPr>
          <w:rFonts w:ascii="Verdana" w:hAnsi="Verdana" w:cstheme="minorHAnsi"/>
          <w:sz w:val="20"/>
          <w:szCs w:val="20"/>
        </w:rPr>
        <w:t>44</w:t>
      </w:r>
      <w:r w:rsidR="007417C9">
        <w:rPr>
          <w:rFonts w:ascii="Verdana" w:hAnsi="Verdana" w:cstheme="minorHAnsi"/>
          <w:sz w:val="20"/>
          <w:szCs w:val="20"/>
        </w:rPr>
        <w:t>:</w:t>
      </w:r>
      <w:r w:rsidR="001A3A9D" w:rsidRPr="00DB5977">
        <w:rPr>
          <w:rFonts w:ascii="Verdana" w:hAnsi="Verdana" w:cstheme="minorHAnsi"/>
          <w:sz w:val="20"/>
          <w:szCs w:val="20"/>
        </w:rPr>
        <w:t>4-12</w:t>
      </w:r>
      <w:r w:rsidR="00CC0DC3" w:rsidRPr="00DB5977">
        <w:rPr>
          <w:rFonts w:ascii="Verdana" w:hAnsi="Verdana" w:cstheme="minorHAnsi"/>
          <w:sz w:val="20"/>
          <w:szCs w:val="20"/>
        </w:rPr>
        <w:t xml:space="preserve">.) </w:t>
      </w:r>
      <w:r w:rsidR="00051B53" w:rsidRPr="00DB5977">
        <w:rPr>
          <w:rFonts w:ascii="Verdana" w:hAnsi="Verdana" w:cstheme="minorHAnsi"/>
          <w:sz w:val="20"/>
          <w:szCs w:val="20"/>
        </w:rPr>
        <w:t>These</w:t>
      </w:r>
      <w:r w:rsidR="000F70E3" w:rsidRPr="00DB5977">
        <w:rPr>
          <w:rFonts w:ascii="Verdana" w:hAnsi="Verdana" w:cstheme="minorHAnsi"/>
          <w:sz w:val="20"/>
          <w:szCs w:val="20"/>
        </w:rPr>
        <w:t xml:space="preserve"> inflated earnings growth rate</w:t>
      </w:r>
      <w:r w:rsidR="00051B53" w:rsidRPr="00DB5977">
        <w:rPr>
          <w:rFonts w:ascii="Verdana" w:hAnsi="Verdana" w:cstheme="minorHAnsi"/>
          <w:sz w:val="20"/>
          <w:szCs w:val="20"/>
        </w:rPr>
        <w:t>s</w:t>
      </w:r>
      <w:r w:rsidR="000F70E3" w:rsidRPr="00DB5977">
        <w:rPr>
          <w:rFonts w:ascii="Verdana" w:hAnsi="Verdana" w:cstheme="minorHAnsi"/>
          <w:sz w:val="20"/>
          <w:szCs w:val="20"/>
        </w:rPr>
        <w:t xml:space="preserve"> </w:t>
      </w:r>
      <w:r w:rsidR="00051B53" w:rsidRPr="00DB5977">
        <w:rPr>
          <w:rFonts w:ascii="Verdana" w:hAnsi="Verdana" w:cstheme="minorHAnsi"/>
          <w:sz w:val="20"/>
          <w:szCs w:val="20"/>
        </w:rPr>
        <w:t xml:space="preserve">and resulting </w:t>
      </w:r>
      <w:r w:rsidR="001E199A">
        <w:rPr>
          <w:rFonts w:ascii="Verdana" w:hAnsi="Verdana" w:cstheme="minorHAnsi"/>
          <w:sz w:val="20"/>
          <w:szCs w:val="20"/>
        </w:rPr>
        <w:t>ERP</w:t>
      </w:r>
      <w:r w:rsidR="00051B53" w:rsidRPr="00DB5977">
        <w:rPr>
          <w:rFonts w:ascii="Verdana" w:hAnsi="Verdana" w:cstheme="minorHAnsi"/>
          <w:sz w:val="20"/>
          <w:szCs w:val="20"/>
        </w:rPr>
        <w:t xml:space="preserve"> </w:t>
      </w:r>
      <w:r w:rsidR="000F70E3" w:rsidRPr="00DB5977">
        <w:rPr>
          <w:rFonts w:ascii="Verdana" w:hAnsi="Verdana" w:cstheme="minorHAnsi"/>
          <w:sz w:val="20"/>
          <w:szCs w:val="20"/>
        </w:rPr>
        <w:t>overestimat</w:t>
      </w:r>
      <w:r w:rsidR="00051B53" w:rsidRPr="00DB5977">
        <w:rPr>
          <w:rFonts w:ascii="Verdana" w:hAnsi="Verdana" w:cstheme="minorHAnsi"/>
          <w:sz w:val="20"/>
          <w:szCs w:val="20"/>
        </w:rPr>
        <w:t>e</w:t>
      </w:r>
      <w:r w:rsidR="000F70E3" w:rsidRPr="00DB5977">
        <w:rPr>
          <w:rFonts w:ascii="Verdana" w:hAnsi="Verdana" w:cstheme="minorHAnsi"/>
          <w:sz w:val="20"/>
          <w:szCs w:val="20"/>
        </w:rPr>
        <w:t xml:space="preserve"> the ROE for the </w:t>
      </w:r>
      <w:r w:rsidR="00DA471A" w:rsidRPr="00DB5977">
        <w:rPr>
          <w:rFonts w:ascii="Verdana" w:hAnsi="Verdana" w:cstheme="minorHAnsi"/>
          <w:sz w:val="20"/>
          <w:szCs w:val="20"/>
        </w:rPr>
        <w:t>C</w:t>
      </w:r>
      <w:r w:rsidR="000F70E3" w:rsidRPr="00DB5977">
        <w:rPr>
          <w:rFonts w:ascii="Verdana" w:hAnsi="Verdana" w:cstheme="minorHAnsi"/>
          <w:sz w:val="20"/>
          <w:szCs w:val="20"/>
        </w:rPr>
        <w:t>ompany.</w:t>
      </w:r>
    </w:p>
    <w:p w14:paraId="13986132" w14:textId="77777777" w:rsidR="0075508B" w:rsidRPr="00DB5977" w:rsidRDefault="00F10499" w:rsidP="00486739">
      <w:pPr>
        <w:pStyle w:val="DirectQuestion"/>
      </w:pPr>
      <w:r w:rsidRPr="00DB5977">
        <w:t xml:space="preserve">What other concerns do you have regarding </w:t>
      </w:r>
      <w:r w:rsidR="00271AE6" w:rsidRPr="00DB5977">
        <w:t>Dr. Vander Weide</w:t>
      </w:r>
      <w:r w:rsidRPr="00DB5977">
        <w:t xml:space="preserve">’s </w:t>
      </w:r>
      <w:r w:rsidR="001A2DDB" w:rsidRPr="00DB5977">
        <w:t>capm analyses?</w:t>
      </w:r>
    </w:p>
    <w:p w14:paraId="57D569EB" w14:textId="632281E0" w:rsidR="004F5F1A" w:rsidRPr="00DB5977" w:rsidRDefault="002F4ECB" w:rsidP="00486739">
      <w:pPr>
        <w:pStyle w:val="DirectAnswer"/>
        <w:jc w:val="both"/>
        <w:rPr>
          <w:rFonts w:ascii="Verdana" w:hAnsi="Verdana"/>
          <w:sz w:val="20"/>
          <w:szCs w:val="20"/>
        </w:rPr>
      </w:pPr>
      <w:r w:rsidRPr="00DB5977">
        <w:rPr>
          <w:rFonts w:ascii="Verdana" w:hAnsi="Verdana"/>
          <w:sz w:val="20"/>
          <w:szCs w:val="20"/>
        </w:rPr>
        <w:t>In his critique o</w:t>
      </w:r>
      <w:r w:rsidR="00F51AA9" w:rsidRPr="00DB5977">
        <w:rPr>
          <w:rFonts w:ascii="Verdana" w:hAnsi="Verdana"/>
          <w:sz w:val="20"/>
          <w:szCs w:val="20"/>
        </w:rPr>
        <w:t>f</w:t>
      </w:r>
      <w:r w:rsidRPr="00DB5977">
        <w:rPr>
          <w:rFonts w:ascii="Verdana" w:hAnsi="Verdana"/>
          <w:sz w:val="20"/>
          <w:szCs w:val="20"/>
        </w:rPr>
        <w:t xml:space="preserve"> </w:t>
      </w:r>
      <w:r w:rsidR="005222DF" w:rsidRPr="00DB5977">
        <w:rPr>
          <w:rFonts w:ascii="Verdana" w:hAnsi="Verdana"/>
          <w:sz w:val="20"/>
          <w:szCs w:val="20"/>
        </w:rPr>
        <w:t xml:space="preserve">the CAPM </w:t>
      </w:r>
      <w:r w:rsidR="00504D7B" w:rsidRPr="00DB5977">
        <w:rPr>
          <w:rFonts w:ascii="Verdana" w:hAnsi="Verdana"/>
          <w:sz w:val="20"/>
          <w:szCs w:val="20"/>
        </w:rPr>
        <w:t xml:space="preserve">underestimating the cost of equity for companies with betas less than 1.0, </w:t>
      </w:r>
      <w:r w:rsidR="001E199A">
        <w:rPr>
          <w:rFonts w:ascii="Verdana" w:hAnsi="Verdana"/>
          <w:sz w:val="20"/>
          <w:szCs w:val="20"/>
        </w:rPr>
        <w:t xml:space="preserve">Dr. Vander </w:t>
      </w:r>
      <w:proofErr w:type="spellStart"/>
      <w:r w:rsidR="001E199A">
        <w:rPr>
          <w:rFonts w:ascii="Verdana" w:hAnsi="Verdana"/>
          <w:sz w:val="20"/>
          <w:szCs w:val="20"/>
        </w:rPr>
        <w:t>Weide</w:t>
      </w:r>
      <w:proofErr w:type="spellEnd"/>
      <w:r w:rsidR="001E199A" w:rsidRPr="00DB5977">
        <w:rPr>
          <w:rFonts w:ascii="Verdana" w:hAnsi="Verdana"/>
          <w:sz w:val="20"/>
          <w:szCs w:val="20"/>
        </w:rPr>
        <w:t xml:space="preserve"> </w:t>
      </w:r>
      <w:r w:rsidR="00504D7B" w:rsidRPr="00DB5977">
        <w:rPr>
          <w:rFonts w:ascii="Verdana" w:hAnsi="Verdana"/>
          <w:sz w:val="20"/>
          <w:szCs w:val="20"/>
        </w:rPr>
        <w:t xml:space="preserve">provides </w:t>
      </w:r>
      <w:r w:rsidR="00453425" w:rsidRPr="00DB5977">
        <w:rPr>
          <w:rFonts w:ascii="Verdana" w:hAnsi="Verdana"/>
          <w:sz w:val="20"/>
          <w:szCs w:val="20"/>
        </w:rPr>
        <w:t>an alternative sample average beta of 0.89</w:t>
      </w:r>
      <w:r w:rsidR="00E8259E" w:rsidRPr="00DB5977">
        <w:rPr>
          <w:rFonts w:ascii="Verdana" w:hAnsi="Verdana"/>
          <w:sz w:val="20"/>
          <w:szCs w:val="20"/>
        </w:rPr>
        <w:t xml:space="preserve">. This alternative beta is the </w:t>
      </w:r>
      <w:r w:rsidR="00941E05" w:rsidRPr="00DB5977">
        <w:rPr>
          <w:rFonts w:ascii="Verdana" w:hAnsi="Verdana"/>
          <w:sz w:val="20"/>
          <w:szCs w:val="20"/>
        </w:rPr>
        <w:t xml:space="preserve">historical </w:t>
      </w:r>
      <w:r w:rsidR="00E8259E" w:rsidRPr="00DB5977">
        <w:rPr>
          <w:rFonts w:ascii="Verdana" w:hAnsi="Verdana"/>
          <w:sz w:val="20"/>
          <w:szCs w:val="20"/>
        </w:rPr>
        <w:t>ratio of</w:t>
      </w:r>
      <w:r w:rsidR="00941E05" w:rsidRPr="00DB5977">
        <w:rPr>
          <w:rFonts w:ascii="Verdana" w:hAnsi="Verdana"/>
          <w:sz w:val="20"/>
          <w:szCs w:val="20"/>
        </w:rPr>
        <w:t xml:space="preserve"> the utility risk premium </w:t>
      </w:r>
      <w:r w:rsidR="00AE671A" w:rsidRPr="00DB5977">
        <w:rPr>
          <w:rFonts w:ascii="Verdana" w:hAnsi="Verdana"/>
          <w:sz w:val="20"/>
          <w:szCs w:val="20"/>
        </w:rPr>
        <w:t>to the S&amp;P 500</w:t>
      </w:r>
      <w:r w:rsidR="00F51AA9" w:rsidRPr="00DB5977">
        <w:rPr>
          <w:rFonts w:ascii="Verdana" w:hAnsi="Verdana"/>
          <w:sz w:val="20"/>
          <w:szCs w:val="20"/>
        </w:rPr>
        <w:t xml:space="preserve"> risk premium</w:t>
      </w:r>
      <w:r w:rsidR="00F43421" w:rsidRPr="00DB5977">
        <w:rPr>
          <w:rFonts w:ascii="Verdana" w:hAnsi="Verdana"/>
          <w:sz w:val="20"/>
          <w:szCs w:val="20"/>
        </w:rPr>
        <w:t xml:space="preserve">. </w:t>
      </w:r>
      <w:r w:rsidR="00082BAA" w:rsidRPr="00DB5977">
        <w:rPr>
          <w:rFonts w:ascii="Verdana" w:hAnsi="Verdana"/>
          <w:sz w:val="20"/>
          <w:szCs w:val="20"/>
        </w:rPr>
        <w:t xml:space="preserve">As explained previously in </w:t>
      </w:r>
      <w:r w:rsidR="00660FCA">
        <w:rPr>
          <w:rFonts w:ascii="Verdana" w:hAnsi="Verdana"/>
          <w:sz w:val="20"/>
          <w:szCs w:val="20"/>
        </w:rPr>
        <w:t>my</w:t>
      </w:r>
      <w:r w:rsidR="00660FCA" w:rsidRPr="00DB5977">
        <w:rPr>
          <w:rFonts w:ascii="Verdana" w:hAnsi="Verdana"/>
          <w:sz w:val="20"/>
          <w:szCs w:val="20"/>
        </w:rPr>
        <w:t xml:space="preserve"> </w:t>
      </w:r>
      <w:r w:rsidR="00082BAA" w:rsidRPr="00DB5977">
        <w:rPr>
          <w:rFonts w:ascii="Verdana" w:hAnsi="Verdana"/>
          <w:sz w:val="20"/>
          <w:szCs w:val="20"/>
        </w:rPr>
        <w:t xml:space="preserve">testimony, the beta coefficient </w:t>
      </w:r>
      <w:r w:rsidR="00701320" w:rsidRPr="00DB5977">
        <w:rPr>
          <w:rFonts w:ascii="Verdana" w:hAnsi="Verdana" w:cstheme="minorHAnsi"/>
          <w:sz w:val="20"/>
          <w:szCs w:val="16"/>
        </w:rPr>
        <w:t>reflects the movement in a company’s stock price relative to movements in a composite group of companies representing the stock market.</w:t>
      </w:r>
      <w:r w:rsidR="008C58A9" w:rsidRPr="00DB5977">
        <w:rPr>
          <w:rFonts w:ascii="Verdana" w:hAnsi="Verdana" w:cstheme="minorHAnsi"/>
          <w:sz w:val="20"/>
          <w:szCs w:val="16"/>
        </w:rPr>
        <w:t xml:space="preserve"> (</w:t>
      </w:r>
      <w:r w:rsidR="008C58A9" w:rsidRPr="00DB5977">
        <w:rPr>
          <w:rFonts w:ascii="Verdana" w:hAnsi="Verdana" w:cstheme="minorHAnsi"/>
          <w:i/>
          <w:iCs/>
          <w:sz w:val="20"/>
          <w:szCs w:val="16"/>
          <w:u w:val="single"/>
        </w:rPr>
        <w:t>See</w:t>
      </w:r>
      <w:r w:rsidR="008C58A9" w:rsidRPr="00DB5977">
        <w:rPr>
          <w:rFonts w:ascii="Verdana" w:hAnsi="Verdana" w:cstheme="minorHAnsi"/>
          <w:sz w:val="20"/>
          <w:szCs w:val="16"/>
        </w:rPr>
        <w:t xml:space="preserve"> Vander </w:t>
      </w:r>
      <w:proofErr w:type="spellStart"/>
      <w:r w:rsidR="008C58A9" w:rsidRPr="00DB5977">
        <w:rPr>
          <w:rFonts w:ascii="Verdana" w:hAnsi="Verdana" w:cstheme="minorHAnsi"/>
          <w:sz w:val="20"/>
          <w:szCs w:val="16"/>
        </w:rPr>
        <w:t>Weide</w:t>
      </w:r>
      <w:proofErr w:type="spellEnd"/>
      <w:r w:rsidR="008C58A9" w:rsidRPr="00DB5977">
        <w:rPr>
          <w:rFonts w:ascii="Verdana" w:hAnsi="Verdana" w:cstheme="minorHAnsi"/>
          <w:sz w:val="20"/>
          <w:szCs w:val="16"/>
        </w:rPr>
        <w:t xml:space="preserve"> Direct Testimony</w:t>
      </w:r>
      <w:r w:rsidR="007417C9">
        <w:rPr>
          <w:rFonts w:ascii="Verdana" w:hAnsi="Verdana" w:cstheme="minorHAnsi"/>
          <w:sz w:val="20"/>
          <w:szCs w:val="16"/>
        </w:rPr>
        <w:t xml:space="preserve">, </w:t>
      </w:r>
      <w:r w:rsidR="008C58A9" w:rsidRPr="00DB5977">
        <w:rPr>
          <w:rFonts w:ascii="Verdana" w:hAnsi="Verdana" w:cstheme="minorHAnsi"/>
          <w:sz w:val="20"/>
          <w:szCs w:val="16"/>
        </w:rPr>
        <w:t>42</w:t>
      </w:r>
      <w:r w:rsidR="007417C9">
        <w:rPr>
          <w:rFonts w:ascii="Verdana" w:hAnsi="Verdana" w:cstheme="minorHAnsi"/>
          <w:sz w:val="20"/>
          <w:szCs w:val="16"/>
        </w:rPr>
        <w:t>:</w:t>
      </w:r>
      <w:r w:rsidR="003C3EC0" w:rsidRPr="00DB5977">
        <w:rPr>
          <w:rFonts w:ascii="Verdana" w:hAnsi="Verdana" w:cstheme="minorHAnsi"/>
          <w:sz w:val="20"/>
          <w:szCs w:val="16"/>
        </w:rPr>
        <w:t>9-11.)</w:t>
      </w:r>
      <w:r w:rsidR="004575A1" w:rsidRPr="00DB5977">
        <w:rPr>
          <w:rFonts w:ascii="Verdana" w:hAnsi="Verdana" w:cstheme="minorHAnsi"/>
          <w:sz w:val="20"/>
          <w:szCs w:val="16"/>
        </w:rPr>
        <w:t xml:space="preserve"> </w:t>
      </w:r>
      <w:r w:rsidR="00953F50" w:rsidRPr="00DB5977">
        <w:rPr>
          <w:rFonts w:ascii="Verdana" w:hAnsi="Verdana"/>
          <w:sz w:val="20"/>
          <w:szCs w:val="20"/>
        </w:rPr>
        <w:t xml:space="preserve">Dr. Vander </w:t>
      </w:r>
      <w:proofErr w:type="spellStart"/>
      <w:r w:rsidR="00953F50" w:rsidRPr="00DB5977">
        <w:rPr>
          <w:rFonts w:ascii="Verdana" w:hAnsi="Verdana"/>
          <w:sz w:val="20"/>
          <w:szCs w:val="20"/>
        </w:rPr>
        <w:t>Weide</w:t>
      </w:r>
      <w:r w:rsidR="00736717" w:rsidRPr="00DB5977">
        <w:rPr>
          <w:rFonts w:ascii="Verdana" w:hAnsi="Verdana"/>
          <w:sz w:val="20"/>
          <w:szCs w:val="20"/>
        </w:rPr>
        <w:t>’s</w:t>
      </w:r>
      <w:proofErr w:type="spellEnd"/>
      <w:r w:rsidR="00736717" w:rsidRPr="00DB5977">
        <w:rPr>
          <w:rFonts w:ascii="Verdana" w:hAnsi="Verdana"/>
          <w:sz w:val="20"/>
          <w:szCs w:val="20"/>
        </w:rPr>
        <w:t xml:space="preserve"> a</w:t>
      </w:r>
      <w:r w:rsidR="004F5F1A" w:rsidRPr="00DB5977">
        <w:rPr>
          <w:rFonts w:ascii="Verdana" w:hAnsi="Verdana"/>
          <w:sz w:val="20"/>
          <w:szCs w:val="20"/>
        </w:rPr>
        <w:t>l</w:t>
      </w:r>
      <w:r w:rsidR="00736717" w:rsidRPr="00DB5977">
        <w:rPr>
          <w:rFonts w:ascii="Verdana" w:hAnsi="Verdana"/>
          <w:sz w:val="20"/>
          <w:szCs w:val="20"/>
        </w:rPr>
        <w:t xml:space="preserve">ternative beta </w:t>
      </w:r>
      <w:r w:rsidR="00344582" w:rsidRPr="00DB5977">
        <w:rPr>
          <w:rFonts w:ascii="Verdana" w:hAnsi="Verdana"/>
          <w:sz w:val="20"/>
          <w:szCs w:val="20"/>
        </w:rPr>
        <w:t xml:space="preserve">is </w:t>
      </w:r>
      <w:r w:rsidR="00B055D0" w:rsidRPr="00DB5977">
        <w:rPr>
          <w:rFonts w:ascii="Verdana" w:hAnsi="Verdana"/>
          <w:sz w:val="20"/>
          <w:szCs w:val="20"/>
        </w:rPr>
        <w:t xml:space="preserve">fundamentally </w:t>
      </w:r>
      <w:r w:rsidR="00344582" w:rsidRPr="00DB5977">
        <w:rPr>
          <w:rFonts w:ascii="Verdana" w:hAnsi="Verdana"/>
          <w:sz w:val="20"/>
          <w:szCs w:val="20"/>
        </w:rPr>
        <w:t xml:space="preserve">different than </w:t>
      </w:r>
      <w:r w:rsidR="00B055D0" w:rsidRPr="00DB5977">
        <w:rPr>
          <w:rFonts w:ascii="Verdana" w:hAnsi="Verdana"/>
          <w:sz w:val="20"/>
          <w:szCs w:val="20"/>
        </w:rPr>
        <w:t xml:space="preserve">this traditional beta, </w:t>
      </w:r>
      <w:r w:rsidR="00F31312" w:rsidRPr="00DB5977">
        <w:rPr>
          <w:rFonts w:ascii="Verdana" w:hAnsi="Verdana"/>
          <w:sz w:val="20"/>
          <w:szCs w:val="20"/>
        </w:rPr>
        <w:t>and</w:t>
      </w:r>
      <w:r w:rsidR="00C745A9" w:rsidRPr="00DB5977">
        <w:rPr>
          <w:rFonts w:ascii="Verdana" w:hAnsi="Verdana"/>
          <w:sz w:val="20"/>
          <w:szCs w:val="20"/>
        </w:rPr>
        <w:t xml:space="preserve"> he</w:t>
      </w:r>
      <w:r w:rsidR="00953F50" w:rsidRPr="00DB5977">
        <w:rPr>
          <w:rFonts w:ascii="Verdana" w:hAnsi="Verdana"/>
          <w:sz w:val="20"/>
          <w:szCs w:val="20"/>
        </w:rPr>
        <w:t xml:space="preserve"> fails to provide </w:t>
      </w:r>
      <w:r w:rsidR="00082BAA" w:rsidRPr="00DB5977">
        <w:rPr>
          <w:rFonts w:ascii="Verdana" w:hAnsi="Verdana"/>
          <w:sz w:val="20"/>
          <w:szCs w:val="20"/>
        </w:rPr>
        <w:t>support that his alternative beta</w:t>
      </w:r>
      <w:r w:rsidR="00C745A9" w:rsidRPr="00DB5977">
        <w:rPr>
          <w:rFonts w:ascii="Verdana" w:hAnsi="Verdana"/>
          <w:sz w:val="20"/>
          <w:szCs w:val="20"/>
        </w:rPr>
        <w:t xml:space="preserve"> </w:t>
      </w:r>
      <w:r w:rsidR="00E137ED" w:rsidRPr="00DB5977">
        <w:rPr>
          <w:rFonts w:ascii="Verdana" w:hAnsi="Verdana"/>
          <w:sz w:val="20"/>
          <w:szCs w:val="20"/>
        </w:rPr>
        <w:t xml:space="preserve">has been vetted and endorsed by </w:t>
      </w:r>
      <w:r w:rsidR="00434169">
        <w:rPr>
          <w:rFonts w:ascii="Verdana" w:hAnsi="Verdana"/>
          <w:sz w:val="20"/>
          <w:szCs w:val="20"/>
        </w:rPr>
        <w:t xml:space="preserve">the </w:t>
      </w:r>
      <w:r w:rsidR="00E137ED" w:rsidRPr="00DB5977">
        <w:rPr>
          <w:rFonts w:ascii="Verdana" w:hAnsi="Verdana"/>
          <w:sz w:val="20"/>
          <w:szCs w:val="20"/>
        </w:rPr>
        <w:t>financ</w:t>
      </w:r>
      <w:r w:rsidR="00EB4503">
        <w:rPr>
          <w:rFonts w:ascii="Verdana" w:hAnsi="Verdana"/>
          <w:sz w:val="20"/>
          <w:szCs w:val="20"/>
        </w:rPr>
        <w:t>e</w:t>
      </w:r>
      <w:r w:rsidR="00E137ED" w:rsidRPr="00DB5977">
        <w:rPr>
          <w:rFonts w:ascii="Verdana" w:hAnsi="Verdana"/>
          <w:sz w:val="20"/>
          <w:szCs w:val="20"/>
        </w:rPr>
        <w:t xml:space="preserve"> </w:t>
      </w:r>
      <w:r w:rsidR="00434169">
        <w:rPr>
          <w:rFonts w:ascii="Verdana" w:hAnsi="Verdana"/>
          <w:sz w:val="20"/>
          <w:szCs w:val="20"/>
        </w:rPr>
        <w:t>community</w:t>
      </w:r>
      <w:r w:rsidR="00E137ED" w:rsidRPr="00DB5977">
        <w:rPr>
          <w:rFonts w:ascii="Verdana" w:hAnsi="Verdana"/>
          <w:sz w:val="20"/>
          <w:szCs w:val="20"/>
        </w:rPr>
        <w:t>.</w:t>
      </w:r>
      <w:r w:rsidR="004E5399">
        <w:rPr>
          <w:rStyle w:val="FootnoteReference"/>
          <w:rFonts w:ascii="Verdana" w:hAnsi="Verdana"/>
          <w:sz w:val="20"/>
          <w:szCs w:val="20"/>
        </w:rPr>
        <w:footnoteReference w:id="37"/>
      </w:r>
      <w:r w:rsidR="004F5F1A" w:rsidRPr="00DB5977">
        <w:rPr>
          <w:rFonts w:ascii="Verdana" w:hAnsi="Verdana"/>
          <w:sz w:val="20"/>
          <w:szCs w:val="20"/>
        </w:rPr>
        <w:t xml:space="preserve"> </w:t>
      </w:r>
    </w:p>
    <w:p w14:paraId="314D4366" w14:textId="06547F05" w:rsidR="003E5268" w:rsidRPr="00DB5977" w:rsidRDefault="004F5F1A" w:rsidP="00486739">
      <w:pPr>
        <w:pStyle w:val="DirectAnswer"/>
        <w:numPr>
          <w:ilvl w:val="0"/>
          <w:numId w:val="0"/>
        </w:numPr>
        <w:ind w:left="720" w:firstLine="720"/>
        <w:jc w:val="both"/>
        <w:rPr>
          <w:rFonts w:ascii="Verdana" w:hAnsi="Verdana"/>
          <w:sz w:val="20"/>
          <w:szCs w:val="20"/>
        </w:rPr>
      </w:pPr>
      <w:r w:rsidRPr="00DB5977">
        <w:rPr>
          <w:rFonts w:ascii="Verdana" w:hAnsi="Verdana"/>
          <w:sz w:val="20"/>
          <w:szCs w:val="20"/>
        </w:rPr>
        <w:t xml:space="preserve">When Dr. Vander </w:t>
      </w:r>
      <w:proofErr w:type="spellStart"/>
      <w:r w:rsidRPr="00DB5977">
        <w:rPr>
          <w:rFonts w:ascii="Verdana" w:hAnsi="Verdana"/>
          <w:sz w:val="20"/>
          <w:szCs w:val="20"/>
        </w:rPr>
        <w:t>Weide</w:t>
      </w:r>
      <w:proofErr w:type="spellEnd"/>
      <w:r w:rsidRPr="00DB5977">
        <w:rPr>
          <w:rFonts w:ascii="Verdana" w:hAnsi="Verdana"/>
          <w:sz w:val="20"/>
          <w:szCs w:val="20"/>
        </w:rPr>
        <w:t xml:space="preserve"> </w:t>
      </w:r>
      <w:r w:rsidR="002B3B03" w:rsidRPr="00DB5977">
        <w:rPr>
          <w:rFonts w:ascii="Verdana" w:hAnsi="Verdana"/>
          <w:sz w:val="20"/>
          <w:szCs w:val="20"/>
        </w:rPr>
        <w:t xml:space="preserve">uses his </w:t>
      </w:r>
      <w:r w:rsidR="00761C47" w:rsidRPr="00DB5977">
        <w:rPr>
          <w:rFonts w:ascii="Verdana" w:hAnsi="Verdana"/>
          <w:sz w:val="20"/>
          <w:szCs w:val="20"/>
        </w:rPr>
        <w:t xml:space="preserve">proxy group’s average </w:t>
      </w:r>
      <w:r w:rsidR="002B3B03" w:rsidRPr="00DB5977">
        <w:rPr>
          <w:rFonts w:ascii="Verdana" w:hAnsi="Verdana"/>
          <w:sz w:val="20"/>
          <w:szCs w:val="20"/>
        </w:rPr>
        <w:t xml:space="preserve">alternative beta </w:t>
      </w:r>
      <w:r w:rsidR="00E316F2" w:rsidRPr="00DB5977">
        <w:rPr>
          <w:rFonts w:ascii="Verdana" w:hAnsi="Verdana"/>
          <w:sz w:val="20"/>
          <w:szCs w:val="20"/>
        </w:rPr>
        <w:t>of</w:t>
      </w:r>
      <w:r w:rsidR="00761C47" w:rsidRPr="00DB5977">
        <w:rPr>
          <w:rFonts w:ascii="Verdana" w:hAnsi="Verdana"/>
          <w:sz w:val="20"/>
          <w:szCs w:val="20"/>
        </w:rPr>
        <w:t xml:space="preserve"> 0.89 in lieu of 0.60, he </w:t>
      </w:r>
      <w:r w:rsidR="00546501" w:rsidRPr="00DB5977">
        <w:rPr>
          <w:rFonts w:ascii="Verdana" w:hAnsi="Verdana"/>
          <w:sz w:val="20"/>
          <w:szCs w:val="20"/>
        </w:rPr>
        <w:t xml:space="preserve">inflates his CAPM-derived ROE estimates. For </w:t>
      </w:r>
      <w:r w:rsidR="005574D8" w:rsidRPr="00DB5977">
        <w:rPr>
          <w:rFonts w:ascii="Verdana" w:hAnsi="Verdana"/>
          <w:sz w:val="20"/>
          <w:szCs w:val="20"/>
        </w:rPr>
        <w:t xml:space="preserve">example, </w:t>
      </w:r>
      <w:r w:rsidR="00FB10F7" w:rsidRPr="00DB5977">
        <w:rPr>
          <w:rFonts w:ascii="Verdana" w:hAnsi="Verdana"/>
          <w:sz w:val="20"/>
          <w:szCs w:val="20"/>
        </w:rPr>
        <w:t xml:space="preserve">his </w:t>
      </w:r>
      <w:r w:rsidR="00F124CA" w:rsidRPr="00DB5977">
        <w:rPr>
          <w:rFonts w:ascii="Verdana" w:hAnsi="Verdana"/>
          <w:sz w:val="20"/>
          <w:szCs w:val="20"/>
        </w:rPr>
        <w:t>historical CAPM result increase</w:t>
      </w:r>
      <w:r w:rsidR="002B46E4">
        <w:rPr>
          <w:rFonts w:ascii="Verdana" w:hAnsi="Verdana"/>
          <w:sz w:val="20"/>
          <w:szCs w:val="20"/>
        </w:rPr>
        <w:t>s</w:t>
      </w:r>
      <w:r w:rsidR="00F124CA" w:rsidRPr="00DB5977">
        <w:rPr>
          <w:rFonts w:ascii="Verdana" w:hAnsi="Verdana"/>
          <w:sz w:val="20"/>
          <w:szCs w:val="20"/>
        </w:rPr>
        <w:t xml:space="preserve"> from 8.2 percent to 10.3 percent</w:t>
      </w:r>
      <w:r w:rsidR="00F27AAD" w:rsidRPr="00DB5977">
        <w:rPr>
          <w:rFonts w:ascii="Verdana" w:hAnsi="Verdana"/>
          <w:sz w:val="20"/>
          <w:szCs w:val="20"/>
        </w:rPr>
        <w:t>, and his DCF-based CAPM result increase</w:t>
      </w:r>
      <w:r w:rsidR="002B46E4">
        <w:rPr>
          <w:rFonts w:ascii="Verdana" w:hAnsi="Verdana"/>
          <w:sz w:val="20"/>
          <w:szCs w:val="20"/>
        </w:rPr>
        <w:t>s</w:t>
      </w:r>
      <w:r w:rsidR="00F27AAD" w:rsidRPr="00DB5977">
        <w:rPr>
          <w:rFonts w:ascii="Verdana" w:hAnsi="Verdana"/>
          <w:sz w:val="20"/>
          <w:szCs w:val="20"/>
        </w:rPr>
        <w:t xml:space="preserve"> from </w:t>
      </w:r>
      <w:r w:rsidR="005574D8" w:rsidRPr="00DB5977">
        <w:rPr>
          <w:rFonts w:ascii="Verdana" w:hAnsi="Verdana"/>
          <w:sz w:val="20"/>
          <w:szCs w:val="20"/>
        </w:rPr>
        <w:t>10.2 percent to 13.3 percent.</w:t>
      </w:r>
    </w:p>
    <w:p w14:paraId="7C1F7086" w14:textId="77777777" w:rsidR="00D90C8F" w:rsidRPr="00DB5977" w:rsidRDefault="003E5268" w:rsidP="00486739">
      <w:pPr>
        <w:pStyle w:val="DirectQuestion"/>
      </w:pPr>
      <w:r w:rsidRPr="00DB5977">
        <w:t>What other inflated inputs drive Dr. Vander Weide’s high CAPM</w:t>
      </w:r>
      <w:r w:rsidR="00546501" w:rsidRPr="00DB5977">
        <w:t xml:space="preserve"> </w:t>
      </w:r>
      <w:r w:rsidRPr="00DB5977">
        <w:t>results?</w:t>
      </w:r>
      <w:r w:rsidR="00E8259E" w:rsidRPr="00DB5977">
        <w:t xml:space="preserve"> </w:t>
      </w:r>
    </w:p>
    <w:p w14:paraId="5D2CC807" w14:textId="6E47AAB8" w:rsidR="009F328E" w:rsidRPr="00DB5977" w:rsidRDefault="003E5268" w:rsidP="00486739">
      <w:pPr>
        <w:pStyle w:val="DirectAnswer"/>
        <w:jc w:val="both"/>
        <w:rPr>
          <w:rFonts w:ascii="Verdana" w:hAnsi="Verdana" w:cstheme="minorHAnsi"/>
          <w:sz w:val="20"/>
          <w:szCs w:val="20"/>
        </w:rPr>
      </w:pPr>
      <w:r w:rsidRPr="00DB5977">
        <w:rPr>
          <w:rFonts w:ascii="Verdana" w:hAnsi="Verdana"/>
          <w:sz w:val="20"/>
          <w:szCs w:val="20"/>
        </w:rPr>
        <w:t xml:space="preserve">Dr. Vander </w:t>
      </w:r>
      <w:proofErr w:type="spellStart"/>
      <w:r w:rsidRPr="00DB5977">
        <w:rPr>
          <w:rFonts w:ascii="Verdana" w:hAnsi="Verdana"/>
          <w:sz w:val="20"/>
          <w:szCs w:val="20"/>
        </w:rPr>
        <w:t>Weide</w:t>
      </w:r>
      <w:proofErr w:type="spellEnd"/>
      <w:r w:rsidR="00D66E0B" w:rsidRPr="00DB5977">
        <w:rPr>
          <w:rFonts w:ascii="Verdana" w:hAnsi="Verdana"/>
          <w:sz w:val="20"/>
          <w:szCs w:val="20"/>
        </w:rPr>
        <w:t xml:space="preserve"> </w:t>
      </w:r>
      <w:r w:rsidR="00023B78" w:rsidRPr="00DB5977">
        <w:rPr>
          <w:rFonts w:ascii="Verdana" w:hAnsi="Verdana"/>
          <w:sz w:val="20"/>
          <w:szCs w:val="20"/>
        </w:rPr>
        <w:t>uses a</w:t>
      </w:r>
      <w:r w:rsidR="009D4392" w:rsidRPr="00DB5977">
        <w:rPr>
          <w:rFonts w:ascii="Verdana" w:hAnsi="Verdana"/>
          <w:sz w:val="20"/>
          <w:szCs w:val="20"/>
        </w:rPr>
        <w:t xml:space="preserve"> high </w:t>
      </w:r>
      <w:r w:rsidR="00923A2A" w:rsidRPr="00DB5977">
        <w:rPr>
          <w:rFonts w:ascii="Verdana" w:hAnsi="Verdana"/>
          <w:sz w:val="20"/>
          <w:szCs w:val="20"/>
        </w:rPr>
        <w:t>forecasted</w:t>
      </w:r>
      <w:r w:rsidR="009D4392" w:rsidRPr="00DB5977">
        <w:rPr>
          <w:rFonts w:ascii="Verdana" w:hAnsi="Verdana"/>
          <w:sz w:val="20"/>
          <w:szCs w:val="20"/>
        </w:rPr>
        <w:t xml:space="preserve"> yield on the </w:t>
      </w:r>
      <w:r w:rsidR="00023B78" w:rsidRPr="00DB5977">
        <w:rPr>
          <w:rFonts w:ascii="Verdana" w:hAnsi="Verdana"/>
          <w:sz w:val="20"/>
          <w:szCs w:val="20"/>
        </w:rPr>
        <w:t>2</w:t>
      </w:r>
      <w:r w:rsidR="009D4392" w:rsidRPr="00DB5977">
        <w:rPr>
          <w:rFonts w:ascii="Verdana" w:hAnsi="Verdana"/>
          <w:sz w:val="20"/>
          <w:szCs w:val="20"/>
        </w:rPr>
        <w:t>0-year Treasury bond</w:t>
      </w:r>
      <w:r w:rsidR="00023B78" w:rsidRPr="00DB5977">
        <w:rPr>
          <w:rFonts w:ascii="Verdana" w:hAnsi="Verdana"/>
          <w:sz w:val="20"/>
          <w:szCs w:val="20"/>
        </w:rPr>
        <w:t xml:space="preserve"> of 3.8</w:t>
      </w:r>
      <w:r w:rsidR="00275DD8">
        <w:rPr>
          <w:rFonts w:ascii="Verdana" w:hAnsi="Verdana"/>
          <w:sz w:val="20"/>
          <w:szCs w:val="20"/>
        </w:rPr>
        <w:t> </w:t>
      </w:r>
      <w:r w:rsidR="00023B78" w:rsidRPr="00DB5977">
        <w:rPr>
          <w:rFonts w:ascii="Verdana" w:hAnsi="Verdana"/>
          <w:sz w:val="20"/>
          <w:szCs w:val="20"/>
        </w:rPr>
        <w:t xml:space="preserve">percent in </w:t>
      </w:r>
      <w:r w:rsidR="00B6232E" w:rsidRPr="00DB5977">
        <w:rPr>
          <w:rFonts w:ascii="Verdana" w:hAnsi="Verdana"/>
          <w:sz w:val="20"/>
          <w:szCs w:val="20"/>
        </w:rPr>
        <w:t>his historical and DCF-based</w:t>
      </w:r>
      <w:r w:rsidR="00023B78" w:rsidRPr="00DB5977">
        <w:rPr>
          <w:rFonts w:ascii="Verdana" w:hAnsi="Verdana"/>
          <w:sz w:val="20"/>
          <w:szCs w:val="20"/>
        </w:rPr>
        <w:t xml:space="preserve"> CAPM analyses</w:t>
      </w:r>
      <w:r w:rsidR="00B6232E" w:rsidRPr="00DB5977">
        <w:rPr>
          <w:rFonts w:ascii="Verdana" w:hAnsi="Verdana"/>
          <w:sz w:val="20"/>
          <w:szCs w:val="20"/>
        </w:rPr>
        <w:t xml:space="preserve">. </w:t>
      </w:r>
      <w:r w:rsidR="0056413A" w:rsidRPr="00DB5977">
        <w:rPr>
          <w:rFonts w:ascii="Verdana" w:hAnsi="Verdana"/>
          <w:sz w:val="20"/>
          <w:szCs w:val="20"/>
        </w:rPr>
        <w:t xml:space="preserve">This forecast is based on the average of the </w:t>
      </w:r>
      <w:r w:rsidR="003A0E5C" w:rsidRPr="003A0E5C">
        <w:rPr>
          <w:rFonts w:ascii="Verdana" w:hAnsi="Verdana"/>
          <w:i/>
          <w:sz w:val="20"/>
          <w:szCs w:val="20"/>
        </w:rPr>
        <w:t>Value Line</w:t>
      </w:r>
      <w:r w:rsidR="0056413A" w:rsidRPr="00DB5977">
        <w:rPr>
          <w:rFonts w:ascii="Verdana" w:hAnsi="Verdana"/>
          <w:sz w:val="20"/>
          <w:szCs w:val="20"/>
        </w:rPr>
        <w:t xml:space="preserve"> </w:t>
      </w:r>
      <w:r w:rsidR="0005063A" w:rsidRPr="00DB5977">
        <w:rPr>
          <w:rFonts w:ascii="Verdana" w:hAnsi="Verdana"/>
          <w:sz w:val="20"/>
          <w:szCs w:val="20"/>
        </w:rPr>
        <w:t xml:space="preserve">and </w:t>
      </w:r>
      <w:r w:rsidR="00325244">
        <w:rPr>
          <w:rFonts w:ascii="Verdana" w:hAnsi="Verdana"/>
          <w:sz w:val="20"/>
          <w:szCs w:val="20"/>
        </w:rPr>
        <w:t>U.S. Energy Information Administration (“</w:t>
      </w:r>
      <w:r w:rsidR="0005063A" w:rsidRPr="00DB5977">
        <w:rPr>
          <w:rFonts w:ascii="Verdana" w:hAnsi="Verdana"/>
          <w:sz w:val="20"/>
          <w:szCs w:val="20"/>
        </w:rPr>
        <w:t>EIA</w:t>
      </w:r>
      <w:r w:rsidR="00325244">
        <w:rPr>
          <w:rFonts w:ascii="Verdana" w:hAnsi="Verdana"/>
          <w:sz w:val="20"/>
          <w:szCs w:val="20"/>
        </w:rPr>
        <w:t>”)</w:t>
      </w:r>
      <w:r w:rsidR="0005063A" w:rsidRPr="00DB5977">
        <w:rPr>
          <w:rFonts w:ascii="Verdana" w:hAnsi="Verdana"/>
          <w:sz w:val="20"/>
          <w:szCs w:val="20"/>
        </w:rPr>
        <w:t xml:space="preserve"> forecasted yields on 10-year Treasury bonds plus </w:t>
      </w:r>
      <w:r w:rsidR="00E73A8F" w:rsidRPr="00DB5977">
        <w:rPr>
          <w:rFonts w:ascii="Verdana" w:hAnsi="Verdana"/>
          <w:sz w:val="20"/>
          <w:szCs w:val="20"/>
        </w:rPr>
        <w:t xml:space="preserve">the spread </w:t>
      </w:r>
      <w:r w:rsidR="003F5A6B" w:rsidRPr="00DB5977">
        <w:rPr>
          <w:rFonts w:ascii="Verdana" w:hAnsi="Verdana"/>
          <w:sz w:val="20"/>
          <w:szCs w:val="20"/>
        </w:rPr>
        <w:t>between 10</w:t>
      </w:r>
      <w:r w:rsidR="00275DD8">
        <w:rPr>
          <w:rFonts w:ascii="Verdana" w:hAnsi="Verdana"/>
          <w:sz w:val="20"/>
          <w:szCs w:val="20"/>
        </w:rPr>
        <w:noBreakHyphen/>
      </w:r>
      <w:r w:rsidR="003F5A6B" w:rsidRPr="00DB5977">
        <w:rPr>
          <w:rFonts w:ascii="Verdana" w:hAnsi="Verdana"/>
          <w:sz w:val="20"/>
          <w:szCs w:val="20"/>
        </w:rPr>
        <w:t>year and 20-year Treasury bond yields</w:t>
      </w:r>
      <w:r w:rsidR="008960B4" w:rsidRPr="00DB5977">
        <w:rPr>
          <w:rFonts w:ascii="Verdana" w:hAnsi="Verdana"/>
          <w:sz w:val="20"/>
          <w:szCs w:val="20"/>
        </w:rPr>
        <w:t xml:space="preserve">. </w:t>
      </w:r>
      <w:r w:rsidR="004518E6" w:rsidRPr="00DB5977">
        <w:rPr>
          <w:rFonts w:ascii="Verdana" w:hAnsi="Verdana" w:cstheme="minorHAnsi"/>
          <w:sz w:val="20"/>
          <w:szCs w:val="20"/>
        </w:rPr>
        <w:t>(</w:t>
      </w:r>
      <w:r w:rsidR="004518E6" w:rsidRPr="00DB5977">
        <w:rPr>
          <w:rFonts w:ascii="Verdana" w:hAnsi="Verdana" w:cstheme="minorHAnsi"/>
          <w:i/>
          <w:sz w:val="20"/>
          <w:szCs w:val="20"/>
          <w:u w:val="single"/>
        </w:rPr>
        <w:t>See</w:t>
      </w:r>
      <w:r w:rsidR="004518E6" w:rsidRPr="00DB5977">
        <w:rPr>
          <w:rFonts w:ascii="Verdana" w:hAnsi="Verdana" w:cstheme="minorHAnsi"/>
          <w:sz w:val="20"/>
          <w:szCs w:val="20"/>
        </w:rPr>
        <w:t xml:space="preserve"> </w:t>
      </w:r>
      <w:r w:rsidR="008960B4" w:rsidRPr="00DB5977">
        <w:rPr>
          <w:rFonts w:ascii="Verdana" w:hAnsi="Verdana" w:cstheme="minorHAnsi"/>
          <w:sz w:val="20"/>
          <w:szCs w:val="20"/>
        </w:rPr>
        <w:t xml:space="preserve">Vander </w:t>
      </w:r>
      <w:proofErr w:type="spellStart"/>
      <w:r w:rsidR="008960B4" w:rsidRPr="00DB5977">
        <w:rPr>
          <w:rFonts w:ascii="Verdana" w:hAnsi="Verdana" w:cstheme="minorHAnsi"/>
          <w:sz w:val="20"/>
          <w:szCs w:val="20"/>
        </w:rPr>
        <w:t>Weide</w:t>
      </w:r>
      <w:proofErr w:type="spellEnd"/>
      <w:r w:rsidR="004518E6" w:rsidRPr="00DB5977">
        <w:rPr>
          <w:rFonts w:ascii="Verdana" w:hAnsi="Verdana" w:cstheme="minorHAnsi"/>
          <w:sz w:val="20"/>
          <w:szCs w:val="20"/>
        </w:rPr>
        <w:t xml:space="preserve"> Testimony</w:t>
      </w:r>
      <w:r w:rsidR="007417C9">
        <w:rPr>
          <w:rFonts w:ascii="Verdana" w:hAnsi="Verdana" w:cstheme="minorHAnsi"/>
          <w:sz w:val="20"/>
          <w:szCs w:val="20"/>
        </w:rPr>
        <w:t xml:space="preserve">, </w:t>
      </w:r>
      <w:r w:rsidR="00D12C97" w:rsidRPr="00DB5977">
        <w:rPr>
          <w:rFonts w:ascii="Verdana" w:hAnsi="Verdana" w:cstheme="minorHAnsi"/>
          <w:sz w:val="20"/>
          <w:szCs w:val="20"/>
        </w:rPr>
        <w:t>38</w:t>
      </w:r>
      <w:r w:rsidR="007417C9">
        <w:rPr>
          <w:rFonts w:ascii="Verdana" w:hAnsi="Verdana" w:cstheme="minorHAnsi"/>
          <w:sz w:val="20"/>
          <w:szCs w:val="20"/>
        </w:rPr>
        <w:t>:</w:t>
      </w:r>
      <w:r w:rsidR="00D12C97" w:rsidRPr="00DB5977">
        <w:rPr>
          <w:rFonts w:ascii="Verdana" w:hAnsi="Verdana" w:cstheme="minorHAnsi"/>
          <w:sz w:val="20"/>
          <w:szCs w:val="20"/>
        </w:rPr>
        <w:t>10</w:t>
      </w:r>
      <w:r w:rsidR="00275DD8">
        <w:rPr>
          <w:rFonts w:ascii="Verdana" w:hAnsi="Verdana" w:cstheme="minorHAnsi"/>
          <w:sz w:val="20"/>
          <w:szCs w:val="20"/>
        </w:rPr>
        <w:noBreakHyphen/>
      </w:r>
      <w:r w:rsidR="00D12C97" w:rsidRPr="00DB5977">
        <w:rPr>
          <w:rFonts w:ascii="Verdana" w:hAnsi="Verdana" w:cstheme="minorHAnsi"/>
          <w:sz w:val="20"/>
          <w:szCs w:val="20"/>
        </w:rPr>
        <w:t>21</w:t>
      </w:r>
      <w:r w:rsidR="004518E6" w:rsidRPr="00DB5977">
        <w:rPr>
          <w:rFonts w:ascii="Verdana" w:hAnsi="Verdana" w:cstheme="minorHAnsi"/>
          <w:sz w:val="20"/>
          <w:szCs w:val="20"/>
        </w:rPr>
        <w:t>.)</w:t>
      </w:r>
      <w:r w:rsidR="00F117D6" w:rsidRPr="00DB5977">
        <w:rPr>
          <w:rFonts w:ascii="Verdana" w:hAnsi="Verdana" w:cstheme="minorHAnsi"/>
          <w:sz w:val="20"/>
          <w:szCs w:val="20"/>
        </w:rPr>
        <w:t xml:space="preserve"> Such </w:t>
      </w:r>
      <w:r w:rsidR="00525D08" w:rsidRPr="00DB5977">
        <w:rPr>
          <w:rFonts w:ascii="Verdana" w:hAnsi="Verdana" w:cstheme="minorHAnsi"/>
          <w:sz w:val="20"/>
          <w:szCs w:val="20"/>
        </w:rPr>
        <w:t xml:space="preserve">yields do not reflect the current market levels of about </w:t>
      </w:r>
      <w:r w:rsidR="00102179" w:rsidRPr="00DB5977">
        <w:rPr>
          <w:rFonts w:ascii="Verdana" w:hAnsi="Verdana" w:cstheme="minorHAnsi"/>
          <w:sz w:val="20"/>
          <w:szCs w:val="20"/>
        </w:rPr>
        <w:t>2.42</w:t>
      </w:r>
      <w:r w:rsidR="00275DD8">
        <w:rPr>
          <w:rFonts w:ascii="Verdana" w:hAnsi="Verdana" w:cstheme="minorHAnsi"/>
          <w:sz w:val="20"/>
          <w:szCs w:val="20"/>
        </w:rPr>
        <w:t> </w:t>
      </w:r>
      <w:r w:rsidR="00102179" w:rsidRPr="00DB5977">
        <w:rPr>
          <w:rFonts w:ascii="Verdana" w:hAnsi="Verdana" w:cstheme="minorHAnsi"/>
          <w:sz w:val="20"/>
          <w:szCs w:val="20"/>
        </w:rPr>
        <w:t xml:space="preserve">percent, which is the </w:t>
      </w:r>
      <w:r w:rsidR="009C2D5B" w:rsidRPr="00DB5977">
        <w:rPr>
          <w:rFonts w:ascii="Verdana" w:hAnsi="Verdana" w:cstheme="minorHAnsi"/>
          <w:sz w:val="20"/>
          <w:szCs w:val="20"/>
        </w:rPr>
        <w:t>90-day average of the yield on the 30-year Treasury bond.</w:t>
      </w:r>
      <w:r w:rsidR="00295A02" w:rsidRPr="00DB5977">
        <w:rPr>
          <w:rFonts w:ascii="Verdana" w:hAnsi="Verdana" w:cstheme="minorHAnsi"/>
          <w:sz w:val="20"/>
          <w:szCs w:val="20"/>
        </w:rPr>
        <w:t xml:space="preserve"> Moreover</w:t>
      </w:r>
      <w:r w:rsidR="00BE1C40" w:rsidRPr="00DB5977">
        <w:rPr>
          <w:rFonts w:ascii="Verdana" w:hAnsi="Verdana" w:cstheme="minorHAnsi"/>
          <w:sz w:val="20"/>
          <w:szCs w:val="20"/>
        </w:rPr>
        <w:t>,</w:t>
      </w:r>
      <w:r w:rsidR="003D69FC" w:rsidRPr="00DB5977">
        <w:rPr>
          <w:rFonts w:ascii="Verdana" w:hAnsi="Verdana" w:cstheme="minorHAnsi"/>
          <w:sz w:val="20"/>
          <w:szCs w:val="20"/>
        </w:rPr>
        <w:t xml:space="preserve"> </w:t>
      </w:r>
      <w:r w:rsidR="005C3FBE" w:rsidRPr="00DB5977">
        <w:rPr>
          <w:rFonts w:ascii="Verdana" w:hAnsi="Verdana" w:cstheme="minorHAnsi"/>
          <w:i/>
          <w:iCs/>
          <w:sz w:val="20"/>
          <w:szCs w:val="20"/>
        </w:rPr>
        <w:t>Blue Chip</w:t>
      </w:r>
      <w:r w:rsidR="00325244">
        <w:rPr>
          <w:rFonts w:ascii="Verdana" w:hAnsi="Verdana" w:cstheme="minorHAnsi"/>
          <w:i/>
          <w:iCs/>
          <w:sz w:val="20"/>
          <w:szCs w:val="20"/>
        </w:rPr>
        <w:t xml:space="preserve"> Economic Indicators</w:t>
      </w:r>
      <w:r w:rsidR="00500621">
        <w:rPr>
          <w:rFonts w:ascii="Verdana" w:hAnsi="Verdana" w:cstheme="minorHAnsi"/>
          <w:i/>
          <w:iCs/>
          <w:sz w:val="20"/>
          <w:szCs w:val="20"/>
        </w:rPr>
        <w:t xml:space="preserve"> </w:t>
      </w:r>
      <w:r w:rsidR="00500621" w:rsidRPr="00500621">
        <w:rPr>
          <w:rFonts w:ascii="Verdana" w:hAnsi="Verdana" w:cstheme="minorHAnsi"/>
          <w:sz w:val="20"/>
          <w:szCs w:val="20"/>
        </w:rPr>
        <w:t>(“</w:t>
      </w:r>
      <w:r w:rsidR="00500621">
        <w:rPr>
          <w:rFonts w:ascii="Verdana" w:hAnsi="Verdana" w:cstheme="minorHAnsi"/>
          <w:i/>
          <w:iCs/>
          <w:sz w:val="20"/>
          <w:szCs w:val="20"/>
        </w:rPr>
        <w:t>Blue Chip</w:t>
      </w:r>
      <w:r w:rsidR="00500621" w:rsidRPr="00500621">
        <w:rPr>
          <w:rFonts w:ascii="Verdana" w:hAnsi="Verdana" w:cstheme="minorHAnsi"/>
          <w:sz w:val="20"/>
          <w:szCs w:val="20"/>
        </w:rPr>
        <w:t>”)</w:t>
      </w:r>
      <w:r w:rsidR="005C3FBE" w:rsidRPr="00DB5977">
        <w:rPr>
          <w:rFonts w:ascii="Verdana" w:hAnsi="Verdana" w:cstheme="minorHAnsi"/>
          <w:sz w:val="20"/>
          <w:szCs w:val="20"/>
        </w:rPr>
        <w:t xml:space="preserve"> </w:t>
      </w:r>
      <w:r w:rsidR="00444160" w:rsidRPr="00DB5977">
        <w:rPr>
          <w:rFonts w:ascii="Verdana" w:hAnsi="Verdana" w:cstheme="minorHAnsi"/>
          <w:sz w:val="20"/>
          <w:szCs w:val="20"/>
        </w:rPr>
        <w:t xml:space="preserve">reports that the consensus forecast for the </w:t>
      </w:r>
      <w:r w:rsidR="002F27AA" w:rsidRPr="00DB5977">
        <w:rPr>
          <w:rFonts w:ascii="Verdana" w:hAnsi="Verdana" w:cstheme="minorHAnsi"/>
          <w:sz w:val="20"/>
          <w:szCs w:val="20"/>
        </w:rPr>
        <w:t xml:space="preserve">yield on the 30-year Treasury bond </w:t>
      </w:r>
      <w:r w:rsidR="00842F5A" w:rsidRPr="00DB5977">
        <w:rPr>
          <w:rFonts w:ascii="Verdana" w:hAnsi="Verdana" w:cstheme="minorHAnsi"/>
          <w:sz w:val="20"/>
          <w:szCs w:val="20"/>
        </w:rPr>
        <w:t xml:space="preserve">will </w:t>
      </w:r>
      <w:r w:rsidR="00032C44" w:rsidRPr="00DB5977">
        <w:rPr>
          <w:rFonts w:ascii="Verdana" w:hAnsi="Verdana" w:cstheme="minorHAnsi"/>
          <w:sz w:val="20"/>
          <w:szCs w:val="20"/>
        </w:rPr>
        <w:t>decrease to about 2.</w:t>
      </w:r>
      <w:r w:rsidR="00DD3321" w:rsidRPr="00DB5977">
        <w:rPr>
          <w:rFonts w:ascii="Verdana" w:hAnsi="Verdana" w:cstheme="minorHAnsi"/>
          <w:sz w:val="20"/>
          <w:szCs w:val="20"/>
        </w:rPr>
        <w:t xml:space="preserve">20 percent during </w:t>
      </w:r>
      <w:r w:rsidR="009F1486" w:rsidRPr="00DB5977">
        <w:rPr>
          <w:rFonts w:ascii="Verdana" w:hAnsi="Verdana" w:cstheme="minorHAnsi"/>
          <w:sz w:val="20"/>
          <w:szCs w:val="20"/>
        </w:rPr>
        <w:t>Q</w:t>
      </w:r>
      <w:r w:rsidR="00500621">
        <w:rPr>
          <w:rFonts w:ascii="Verdana" w:hAnsi="Verdana" w:cstheme="minorHAnsi"/>
          <w:sz w:val="20"/>
          <w:szCs w:val="20"/>
        </w:rPr>
        <w:t>3</w:t>
      </w:r>
      <w:r w:rsidR="009F1486" w:rsidRPr="00DB5977">
        <w:rPr>
          <w:rFonts w:ascii="Verdana" w:hAnsi="Verdana" w:cstheme="minorHAnsi"/>
          <w:sz w:val="20"/>
          <w:szCs w:val="20"/>
        </w:rPr>
        <w:t xml:space="preserve"> </w:t>
      </w:r>
      <w:r w:rsidR="00DD3321" w:rsidRPr="00DB5977">
        <w:rPr>
          <w:rFonts w:ascii="Verdana" w:hAnsi="Verdana" w:cstheme="minorHAnsi"/>
          <w:sz w:val="20"/>
          <w:szCs w:val="20"/>
        </w:rPr>
        <w:t xml:space="preserve">2019 and </w:t>
      </w:r>
      <w:r w:rsidR="009A3DF3" w:rsidRPr="00DB5977">
        <w:rPr>
          <w:rFonts w:ascii="Verdana" w:hAnsi="Verdana" w:cstheme="minorHAnsi"/>
          <w:sz w:val="20"/>
          <w:szCs w:val="20"/>
        </w:rPr>
        <w:t>will gradually increase to about 2.60</w:t>
      </w:r>
      <w:r w:rsidR="00275DD8">
        <w:rPr>
          <w:rFonts w:ascii="Verdana" w:hAnsi="Verdana" w:cstheme="minorHAnsi"/>
          <w:sz w:val="20"/>
          <w:szCs w:val="20"/>
        </w:rPr>
        <w:t> </w:t>
      </w:r>
      <w:r w:rsidR="009A3DF3" w:rsidRPr="00DB5977">
        <w:rPr>
          <w:rFonts w:ascii="Verdana" w:hAnsi="Verdana" w:cstheme="minorHAnsi"/>
          <w:sz w:val="20"/>
          <w:szCs w:val="20"/>
        </w:rPr>
        <w:t xml:space="preserve">percent </w:t>
      </w:r>
      <w:r w:rsidR="009F1486" w:rsidRPr="00DB5977">
        <w:rPr>
          <w:rFonts w:ascii="Verdana" w:hAnsi="Verdana" w:cstheme="minorHAnsi"/>
          <w:sz w:val="20"/>
          <w:szCs w:val="20"/>
        </w:rPr>
        <w:t>in Q</w:t>
      </w:r>
      <w:r w:rsidR="00500621">
        <w:rPr>
          <w:rFonts w:ascii="Verdana" w:hAnsi="Verdana" w:cstheme="minorHAnsi"/>
          <w:sz w:val="20"/>
          <w:szCs w:val="20"/>
        </w:rPr>
        <w:t>4</w:t>
      </w:r>
      <w:r w:rsidR="009F1486" w:rsidRPr="00DB5977">
        <w:rPr>
          <w:rFonts w:ascii="Verdana" w:hAnsi="Verdana" w:cstheme="minorHAnsi"/>
          <w:sz w:val="20"/>
          <w:szCs w:val="20"/>
        </w:rPr>
        <w:t xml:space="preserve"> 2020.</w:t>
      </w:r>
      <w:r w:rsidR="00FF70D4" w:rsidRPr="00DB5977">
        <w:rPr>
          <w:rStyle w:val="FootnoteReference"/>
          <w:rFonts w:ascii="Verdana" w:hAnsi="Verdana" w:cstheme="minorHAnsi"/>
          <w:sz w:val="20"/>
          <w:szCs w:val="20"/>
        </w:rPr>
        <w:footnoteReference w:id="38"/>
      </w:r>
      <w:r w:rsidR="0025065A">
        <w:rPr>
          <w:rFonts w:ascii="Verdana" w:hAnsi="Verdana" w:cstheme="minorHAnsi"/>
          <w:sz w:val="20"/>
          <w:szCs w:val="20"/>
        </w:rPr>
        <w:t xml:space="preserve"> </w:t>
      </w:r>
    </w:p>
    <w:p w14:paraId="1A029E6B" w14:textId="77777777" w:rsidR="00174E8D" w:rsidRPr="00DB5977" w:rsidRDefault="00174E8D" w:rsidP="00174E8D">
      <w:pPr>
        <w:pStyle w:val="Heading2"/>
        <w:rPr>
          <w:rFonts w:ascii="Verdana" w:hAnsi="Verdana" w:cstheme="minorHAnsi"/>
          <w:sz w:val="20"/>
          <w:szCs w:val="22"/>
        </w:rPr>
      </w:pPr>
      <w:bookmarkStart w:id="32" w:name="_Toc21873143"/>
      <w:r w:rsidRPr="00DB5977">
        <w:rPr>
          <w:rFonts w:ascii="Verdana" w:hAnsi="Verdana" w:cstheme="minorHAnsi"/>
          <w:sz w:val="20"/>
          <w:szCs w:val="22"/>
          <w:u w:val="none"/>
        </w:rPr>
        <w:t>D.</w:t>
      </w:r>
      <w:r w:rsidRPr="00DB5977">
        <w:rPr>
          <w:rFonts w:ascii="Verdana" w:hAnsi="Verdana" w:cstheme="minorHAnsi"/>
          <w:sz w:val="20"/>
          <w:szCs w:val="22"/>
          <w:u w:val="none"/>
        </w:rPr>
        <w:tab/>
      </w:r>
      <w:r w:rsidRPr="00DB5977">
        <w:rPr>
          <w:rFonts w:ascii="Verdana" w:hAnsi="Verdana" w:cstheme="minorHAnsi"/>
          <w:sz w:val="20"/>
          <w:szCs w:val="22"/>
        </w:rPr>
        <w:t>Comparable Earnings Model</w:t>
      </w:r>
      <w:bookmarkEnd w:id="32"/>
    </w:p>
    <w:p w14:paraId="71843B98" w14:textId="77777777" w:rsidR="00823379" w:rsidRPr="00DB5977" w:rsidRDefault="00823379" w:rsidP="00486739">
      <w:pPr>
        <w:pStyle w:val="DirectQuestion"/>
      </w:pPr>
      <w:r w:rsidRPr="00DB5977">
        <w:t xml:space="preserve">DO YOU EMPLOY OTHER METHODOLOGIES FOR YOUR ROE ESTIMATE FOR THE COMPANY? </w:t>
      </w:r>
    </w:p>
    <w:p w14:paraId="78EF366B" w14:textId="66DAC075" w:rsidR="00823379" w:rsidRPr="00DB5977" w:rsidRDefault="00823379" w:rsidP="00823379">
      <w:pPr>
        <w:pStyle w:val="DirectAnswer"/>
        <w:jc w:val="both"/>
        <w:rPr>
          <w:rFonts w:ascii="Verdana" w:hAnsi="Verdana" w:cstheme="minorHAnsi"/>
          <w:sz w:val="20"/>
          <w:szCs w:val="20"/>
        </w:rPr>
      </w:pPr>
      <w:r w:rsidRPr="00DB5977">
        <w:rPr>
          <w:rFonts w:ascii="Verdana" w:hAnsi="Verdana" w:cstheme="minorHAnsi"/>
          <w:sz w:val="20"/>
          <w:szCs w:val="20"/>
        </w:rPr>
        <w:t>Yes.</w:t>
      </w:r>
      <w:r w:rsidR="0025065A">
        <w:rPr>
          <w:rFonts w:ascii="Verdana" w:hAnsi="Verdana" w:cstheme="minorHAnsi"/>
          <w:sz w:val="20"/>
          <w:szCs w:val="20"/>
        </w:rPr>
        <w:t xml:space="preserve"> </w:t>
      </w:r>
      <w:r w:rsidRPr="00DB5977">
        <w:rPr>
          <w:rFonts w:ascii="Verdana" w:hAnsi="Verdana" w:cstheme="minorHAnsi"/>
          <w:sz w:val="20"/>
          <w:szCs w:val="20"/>
        </w:rPr>
        <w:t>I use the CE</w:t>
      </w:r>
      <w:r w:rsidR="00D400C0" w:rsidRPr="00DB5977">
        <w:rPr>
          <w:rFonts w:ascii="Verdana" w:hAnsi="Verdana" w:cstheme="minorHAnsi"/>
          <w:sz w:val="20"/>
          <w:szCs w:val="20"/>
        </w:rPr>
        <w:t>M</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A CE</w:t>
      </w:r>
      <w:r w:rsidR="00D400C0" w:rsidRPr="00DB5977">
        <w:rPr>
          <w:rFonts w:ascii="Verdana" w:hAnsi="Verdana" w:cstheme="minorHAnsi"/>
          <w:sz w:val="20"/>
          <w:szCs w:val="20"/>
        </w:rPr>
        <w:t>M</w:t>
      </w:r>
      <w:r w:rsidRPr="00DB5977">
        <w:rPr>
          <w:rFonts w:ascii="Verdana" w:hAnsi="Verdana" w:cstheme="minorHAnsi"/>
          <w:sz w:val="20"/>
          <w:szCs w:val="20"/>
        </w:rPr>
        <w:t xml:space="preserve"> estimate is derived from the “corresponding risk” standard of the </w:t>
      </w:r>
      <w:r w:rsidRPr="00DB5977">
        <w:rPr>
          <w:rFonts w:ascii="Verdana" w:hAnsi="Verdana" w:cstheme="minorHAnsi"/>
          <w:i/>
          <w:iCs/>
          <w:sz w:val="20"/>
          <w:szCs w:val="20"/>
        </w:rPr>
        <w:t>Hope</w:t>
      </w:r>
      <w:r w:rsidRPr="00DB5977">
        <w:rPr>
          <w:rFonts w:ascii="Verdana" w:hAnsi="Verdana" w:cstheme="minorHAnsi"/>
          <w:sz w:val="20"/>
          <w:szCs w:val="20"/>
        </w:rPr>
        <w:t xml:space="preserve"> and </w:t>
      </w:r>
      <w:r w:rsidRPr="00DB5977">
        <w:rPr>
          <w:rFonts w:ascii="Verdana" w:hAnsi="Verdana" w:cstheme="minorHAnsi"/>
          <w:i/>
          <w:iCs/>
          <w:sz w:val="20"/>
          <w:szCs w:val="20"/>
        </w:rPr>
        <w:t xml:space="preserve">Bluefield </w:t>
      </w:r>
      <w:r w:rsidRPr="00DB5977">
        <w:rPr>
          <w:rFonts w:ascii="Verdana" w:hAnsi="Verdana" w:cstheme="minorHAnsi"/>
          <w:sz w:val="20"/>
          <w:szCs w:val="20"/>
        </w:rPr>
        <w:t>cases and is based on the economic concept of opportunity cost.</w:t>
      </w:r>
      <w:r w:rsidR="0025065A">
        <w:rPr>
          <w:rFonts w:ascii="Verdana" w:hAnsi="Verdana" w:cstheme="minorHAnsi"/>
          <w:sz w:val="20"/>
          <w:szCs w:val="20"/>
        </w:rPr>
        <w:t xml:space="preserve"> </w:t>
      </w:r>
      <w:r w:rsidRPr="00DB5977">
        <w:rPr>
          <w:rFonts w:ascii="Verdana" w:hAnsi="Verdana" w:cstheme="minorHAnsi"/>
          <w:sz w:val="20"/>
          <w:szCs w:val="20"/>
        </w:rPr>
        <w:t>The cost of capital is an opportunity cost whereby a company’s return represents a return available from alternative investments of similar risk.</w:t>
      </w:r>
      <w:r w:rsidR="0025065A">
        <w:rPr>
          <w:rFonts w:ascii="Verdana" w:hAnsi="Verdana" w:cstheme="minorHAnsi"/>
          <w:sz w:val="20"/>
          <w:szCs w:val="20"/>
        </w:rPr>
        <w:t xml:space="preserve"> </w:t>
      </w:r>
      <w:r w:rsidRPr="00DB5977">
        <w:rPr>
          <w:rFonts w:ascii="Verdana" w:hAnsi="Verdana" w:cstheme="minorHAnsi"/>
          <w:sz w:val="20"/>
          <w:szCs w:val="20"/>
        </w:rPr>
        <w:t>I use the CE</w:t>
      </w:r>
      <w:r w:rsidR="00D400C0" w:rsidRPr="00DB5977">
        <w:rPr>
          <w:rFonts w:ascii="Verdana" w:hAnsi="Verdana" w:cstheme="minorHAnsi"/>
          <w:sz w:val="20"/>
          <w:szCs w:val="20"/>
        </w:rPr>
        <w:t>M</w:t>
      </w:r>
      <w:r w:rsidRPr="00DB5977">
        <w:rPr>
          <w:rFonts w:ascii="Verdana" w:hAnsi="Verdana" w:cstheme="minorHAnsi"/>
          <w:sz w:val="20"/>
          <w:szCs w:val="20"/>
        </w:rPr>
        <w:t xml:space="preserve"> by examining realized ROEs for my proxy group and comparing investor acceptance of these returns via corresponding market</w:t>
      </w:r>
      <w:r w:rsidR="00BA1785" w:rsidRPr="00DB5977">
        <w:rPr>
          <w:rFonts w:ascii="Verdana" w:hAnsi="Verdana" w:cstheme="minorHAnsi"/>
          <w:sz w:val="20"/>
          <w:szCs w:val="20"/>
        </w:rPr>
        <w:noBreakHyphen/>
      </w:r>
      <w:r w:rsidRPr="00DB5977">
        <w:rPr>
          <w:rFonts w:ascii="Verdana" w:hAnsi="Verdana" w:cstheme="minorHAnsi"/>
          <w:sz w:val="20"/>
          <w:szCs w:val="20"/>
        </w:rPr>
        <w:t xml:space="preserve">to-book </w:t>
      </w:r>
      <w:r w:rsidR="00C23855" w:rsidRPr="00DB5977">
        <w:rPr>
          <w:rFonts w:ascii="Verdana" w:hAnsi="Verdana" w:cstheme="minorHAnsi"/>
          <w:sz w:val="20"/>
          <w:szCs w:val="20"/>
        </w:rPr>
        <w:t xml:space="preserve">(“M/B”) </w:t>
      </w:r>
      <w:r w:rsidRPr="00DB5977">
        <w:rPr>
          <w:rFonts w:ascii="Verdana" w:hAnsi="Verdana" w:cstheme="minorHAnsi"/>
          <w:sz w:val="20"/>
          <w:szCs w:val="20"/>
        </w:rPr>
        <w:t>ratios.</w:t>
      </w:r>
      <w:r w:rsidR="0025065A">
        <w:rPr>
          <w:rFonts w:ascii="Verdana" w:hAnsi="Verdana" w:cstheme="minorHAnsi"/>
          <w:sz w:val="20"/>
          <w:szCs w:val="20"/>
        </w:rPr>
        <w:t xml:space="preserve"> </w:t>
      </w:r>
      <w:r w:rsidRPr="00DB5977">
        <w:rPr>
          <w:rFonts w:ascii="Verdana" w:hAnsi="Verdana" w:cstheme="minorHAnsi"/>
          <w:sz w:val="20"/>
          <w:szCs w:val="20"/>
        </w:rPr>
        <w:t>The M/B ratio is the stock price divided by the BVPS and shows the degree to which a given level of ROE equals the cost of capital.</w:t>
      </w:r>
      <w:r w:rsidR="0025065A">
        <w:rPr>
          <w:rFonts w:ascii="Verdana" w:hAnsi="Verdana" w:cstheme="minorHAnsi"/>
          <w:sz w:val="20"/>
          <w:szCs w:val="20"/>
        </w:rPr>
        <w:t xml:space="preserve"> </w:t>
      </w:r>
      <w:r w:rsidRPr="00DB5977">
        <w:rPr>
          <w:rFonts w:ascii="Verdana" w:hAnsi="Verdana" w:cstheme="minorHAnsi"/>
          <w:sz w:val="20"/>
          <w:szCs w:val="20"/>
        </w:rPr>
        <w:t xml:space="preserve">An M/B of greater than one (1) shows that a company </w:t>
      </w:r>
      <w:r w:rsidR="006313A5" w:rsidRPr="00DB5977">
        <w:rPr>
          <w:rFonts w:ascii="Verdana" w:hAnsi="Verdana" w:cstheme="minorHAnsi"/>
          <w:sz w:val="20"/>
          <w:szCs w:val="20"/>
        </w:rPr>
        <w:t>can</w:t>
      </w:r>
      <w:r w:rsidRPr="00DB5977">
        <w:rPr>
          <w:rFonts w:ascii="Verdana" w:hAnsi="Verdana" w:cstheme="minorHAnsi"/>
          <w:sz w:val="20"/>
          <w:szCs w:val="20"/>
        </w:rPr>
        <w:t xml:space="preserve"> attract new equity capital without dilution. </w:t>
      </w:r>
    </w:p>
    <w:p w14:paraId="0C079EFC" w14:textId="5B40882D" w:rsidR="00823379" w:rsidRPr="00DB5977" w:rsidRDefault="00823379" w:rsidP="00506D3E">
      <w:pPr>
        <w:pStyle w:val="DirectAnswer"/>
        <w:numPr>
          <w:ilvl w:val="0"/>
          <w:numId w:val="0"/>
        </w:numPr>
        <w:ind w:left="720"/>
        <w:jc w:val="both"/>
        <w:rPr>
          <w:rFonts w:ascii="Verdana" w:hAnsi="Verdana" w:cstheme="minorHAnsi"/>
          <w:sz w:val="20"/>
          <w:szCs w:val="20"/>
        </w:rPr>
      </w:pPr>
      <w:r w:rsidRPr="00DB5977">
        <w:rPr>
          <w:rFonts w:ascii="Verdana" w:hAnsi="Verdana" w:cstheme="minorHAnsi"/>
          <w:sz w:val="20"/>
          <w:szCs w:val="20"/>
        </w:rPr>
        <w:tab/>
        <w:t>Using market-based information via the M/B ratios, I show that historical ROEs have attracted investors to purchase shares of utility stock.</w:t>
      </w:r>
      <w:r w:rsidR="0025065A">
        <w:rPr>
          <w:rFonts w:ascii="Verdana" w:hAnsi="Verdana" w:cstheme="minorHAnsi"/>
          <w:sz w:val="20"/>
          <w:szCs w:val="20"/>
        </w:rPr>
        <w:t xml:space="preserve"> </w:t>
      </w:r>
      <w:r w:rsidRPr="00DB5977">
        <w:rPr>
          <w:rFonts w:ascii="Verdana" w:hAnsi="Verdana" w:cstheme="minorHAnsi"/>
          <w:sz w:val="20"/>
          <w:szCs w:val="20"/>
        </w:rPr>
        <w:t xml:space="preserve">I calculate historical M/B ratios using average annual stock prices and the </w:t>
      </w:r>
      <w:r w:rsidRPr="00DB5977">
        <w:rPr>
          <w:rFonts w:ascii="Verdana" w:hAnsi="Verdana" w:cstheme="minorHAnsi"/>
          <w:i/>
          <w:sz w:val="20"/>
          <w:szCs w:val="20"/>
        </w:rPr>
        <w:t>Value Line</w:t>
      </w:r>
      <w:r w:rsidRPr="00DB5977">
        <w:rPr>
          <w:rFonts w:ascii="Verdana" w:hAnsi="Verdana" w:cstheme="minorHAnsi"/>
          <w:sz w:val="20"/>
          <w:szCs w:val="20"/>
        </w:rPr>
        <w:t xml:space="preserve"> reported BVPS data from 20</w:t>
      </w:r>
      <w:r w:rsidR="006313A5" w:rsidRPr="00DB5977">
        <w:rPr>
          <w:rFonts w:ascii="Verdana" w:hAnsi="Verdana" w:cstheme="minorHAnsi"/>
          <w:sz w:val="20"/>
          <w:szCs w:val="20"/>
        </w:rPr>
        <w:t>10</w:t>
      </w:r>
      <w:r w:rsidRPr="00DB5977">
        <w:rPr>
          <w:rFonts w:ascii="Verdana" w:hAnsi="Verdana" w:cstheme="minorHAnsi"/>
          <w:sz w:val="20"/>
          <w:szCs w:val="20"/>
        </w:rPr>
        <w:t xml:space="preserve"> through 201</w:t>
      </w:r>
      <w:r w:rsidR="00063E2E" w:rsidRPr="00DB5977">
        <w:rPr>
          <w:rFonts w:ascii="Verdana" w:hAnsi="Verdana" w:cstheme="minorHAnsi"/>
          <w:sz w:val="20"/>
          <w:szCs w:val="20"/>
        </w:rPr>
        <w:t>8</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w:t>
      </w:r>
      <w:r w:rsidRPr="00DB5977">
        <w:rPr>
          <w:rFonts w:ascii="Verdana" w:hAnsi="Verdana" w:cstheme="minorHAnsi"/>
          <w:i/>
          <w:sz w:val="20"/>
          <w:szCs w:val="20"/>
          <w:u w:val="single"/>
        </w:rPr>
        <w:t>See</w:t>
      </w:r>
      <w:r w:rsidRPr="00DB5977">
        <w:rPr>
          <w:rFonts w:ascii="Verdana" w:hAnsi="Verdana" w:cstheme="minorHAns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Pr="00DB5977">
        <w:rPr>
          <w:rFonts w:ascii="Verdana" w:hAnsi="Verdana" w:cstheme="minorHAnsi"/>
          <w:sz w:val="20"/>
          <w:szCs w:val="20"/>
        </w:rPr>
        <w:t>LR-</w:t>
      </w:r>
      <w:r w:rsidR="00063E2E" w:rsidRPr="00DB5977">
        <w:rPr>
          <w:rFonts w:ascii="Verdana" w:hAnsi="Verdana" w:cstheme="minorHAnsi"/>
          <w:sz w:val="20"/>
          <w:szCs w:val="20"/>
        </w:rPr>
        <w:t>8</w:t>
      </w:r>
      <w:r w:rsidR="00010879" w:rsidRPr="00DB5977">
        <w:rPr>
          <w:rFonts w:ascii="Verdana" w:hAnsi="Verdana" w:cstheme="minorHAnsi"/>
          <w:sz w:val="20"/>
          <w:szCs w:val="20"/>
        </w:rPr>
        <w:t>c</w:t>
      </w:r>
      <w:r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My results show that the companies in my proxy group were successful in attracting investors given reported historical</w:t>
      </w:r>
      <w:r w:rsidR="00C23855" w:rsidRPr="00DB5977">
        <w:rPr>
          <w:rFonts w:ascii="Verdana" w:hAnsi="Verdana" w:cstheme="minorHAnsi"/>
          <w:sz w:val="20"/>
          <w:szCs w:val="20"/>
        </w:rPr>
        <w:t>,</w:t>
      </w:r>
      <w:r w:rsidRPr="00DB5977">
        <w:rPr>
          <w:rFonts w:ascii="Verdana" w:hAnsi="Verdana" w:cstheme="minorHAnsi"/>
          <w:sz w:val="20"/>
          <w:szCs w:val="20"/>
        </w:rPr>
        <w:t xml:space="preserve"> book value-derived ROEs.</w:t>
      </w:r>
      <w:r w:rsidR="0025065A">
        <w:rPr>
          <w:rFonts w:ascii="Verdana" w:hAnsi="Verdana" w:cstheme="minorHAnsi"/>
          <w:sz w:val="20"/>
          <w:szCs w:val="20"/>
        </w:rPr>
        <w:t xml:space="preserve"> </w:t>
      </w:r>
      <w:r w:rsidRPr="00DB5977">
        <w:rPr>
          <w:rFonts w:ascii="Verdana" w:hAnsi="Verdana" w:cstheme="minorHAnsi"/>
          <w:sz w:val="20"/>
          <w:szCs w:val="20"/>
        </w:rPr>
        <w:t xml:space="preserve">Even in cases where a company’s ROEs were as low as </w:t>
      </w:r>
      <w:r w:rsidR="001733EA" w:rsidRPr="00DB5977">
        <w:rPr>
          <w:rFonts w:ascii="Verdana" w:hAnsi="Verdana" w:cstheme="minorHAnsi"/>
          <w:sz w:val="20"/>
          <w:szCs w:val="20"/>
        </w:rPr>
        <w:t>6.9</w:t>
      </w:r>
      <w:r w:rsidR="00C23855" w:rsidRPr="00DB5977">
        <w:rPr>
          <w:rFonts w:ascii="Verdana" w:hAnsi="Verdana" w:cstheme="minorHAnsi"/>
          <w:sz w:val="20"/>
          <w:szCs w:val="20"/>
        </w:rPr>
        <w:t> </w:t>
      </w:r>
      <w:r w:rsidRPr="00DB5977">
        <w:rPr>
          <w:rFonts w:ascii="Verdana" w:hAnsi="Verdana" w:cstheme="minorHAnsi"/>
          <w:sz w:val="20"/>
          <w:szCs w:val="20"/>
        </w:rPr>
        <w:t xml:space="preserve">percent, a company’s stock was valued higher than book value as demonstrated by M/B ratios greater than </w:t>
      </w:r>
      <w:r w:rsidR="00C23855" w:rsidRPr="00DB5977">
        <w:rPr>
          <w:rFonts w:ascii="Verdana" w:hAnsi="Verdana" w:cstheme="minorHAnsi"/>
          <w:sz w:val="20"/>
          <w:szCs w:val="20"/>
        </w:rPr>
        <w:t>one (</w:t>
      </w:r>
      <w:r w:rsidRPr="00DB5977">
        <w:rPr>
          <w:rFonts w:ascii="Verdana" w:hAnsi="Verdana" w:cstheme="minorHAnsi"/>
          <w:sz w:val="20"/>
          <w:szCs w:val="20"/>
        </w:rPr>
        <w:t>1</w:t>
      </w:r>
      <w:r w:rsidR="00C23855" w:rsidRPr="00DB5977">
        <w:rPr>
          <w:rFonts w:ascii="Verdana" w:hAnsi="Verdana" w:cstheme="minorHAnsi"/>
          <w:sz w:val="20"/>
          <w:szCs w:val="20"/>
        </w:rPr>
        <w:t>)</w:t>
      </w:r>
      <w:r w:rsidR="001733EA" w:rsidRPr="00DB5977">
        <w:rPr>
          <w:rFonts w:ascii="Verdana" w:hAnsi="Verdana" w:cstheme="minorHAnsi"/>
          <w:sz w:val="20"/>
          <w:szCs w:val="20"/>
        </w:rPr>
        <w:t xml:space="preserve"> at 1.2</w:t>
      </w:r>
      <w:r w:rsidR="00EE71C8" w:rsidRPr="00DB5977">
        <w:rPr>
          <w:rFonts w:ascii="Verdana" w:hAnsi="Verdana" w:cstheme="minorHAnsi"/>
          <w:sz w:val="20"/>
          <w:szCs w:val="20"/>
        </w:rPr>
        <w:t>6</w:t>
      </w:r>
      <w:r w:rsidRPr="00DB5977">
        <w:rPr>
          <w:rFonts w:ascii="Verdana" w:hAnsi="Verdana" w:cstheme="minorHAnsi"/>
          <w:sz w:val="20"/>
          <w:szCs w:val="20"/>
        </w:rPr>
        <w:t>.</w:t>
      </w:r>
      <w:r w:rsidR="0025065A">
        <w:rPr>
          <w:rFonts w:ascii="Verdana" w:hAnsi="Verdana" w:cstheme="minorHAnsi"/>
          <w:sz w:val="20"/>
          <w:szCs w:val="20"/>
        </w:rPr>
        <w:t xml:space="preserve"> </w:t>
      </w:r>
      <w:r w:rsidR="006E6453" w:rsidRPr="00DB5977">
        <w:rPr>
          <w:rFonts w:ascii="Verdana" w:hAnsi="Verdana" w:cstheme="minorHAnsi"/>
          <w:sz w:val="20"/>
          <w:szCs w:val="20"/>
        </w:rPr>
        <w:t xml:space="preserve">For my proxy sample, the average historical M/B ratio is </w:t>
      </w:r>
      <w:r w:rsidR="001733EA" w:rsidRPr="00DB5977">
        <w:rPr>
          <w:rFonts w:ascii="Verdana" w:hAnsi="Verdana" w:cstheme="minorHAnsi"/>
          <w:sz w:val="20"/>
          <w:szCs w:val="20"/>
        </w:rPr>
        <w:t>1.</w:t>
      </w:r>
      <w:r w:rsidR="00E96857" w:rsidRPr="00DB5977">
        <w:rPr>
          <w:rFonts w:ascii="Verdana" w:hAnsi="Verdana" w:cstheme="minorHAnsi"/>
          <w:sz w:val="20"/>
          <w:szCs w:val="20"/>
        </w:rPr>
        <w:t>6</w:t>
      </w:r>
      <w:r w:rsidR="00EE71C8" w:rsidRPr="00DB5977">
        <w:rPr>
          <w:rFonts w:ascii="Verdana" w:hAnsi="Verdana" w:cstheme="minorHAnsi"/>
          <w:sz w:val="20"/>
          <w:szCs w:val="20"/>
        </w:rPr>
        <w:t>9</w:t>
      </w:r>
      <w:r w:rsidR="006E6453" w:rsidRPr="00DB5977">
        <w:rPr>
          <w:rFonts w:ascii="Verdana" w:hAnsi="Verdana" w:cstheme="minorHAnsi"/>
          <w:sz w:val="20"/>
          <w:szCs w:val="20"/>
        </w:rPr>
        <w:t xml:space="preserve"> and average </w:t>
      </w:r>
      <w:r w:rsidR="002E265E" w:rsidRPr="00DB5977">
        <w:rPr>
          <w:rFonts w:ascii="Verdana" w:hAnsi="Verdana" w:cstheme="minorHAnsi"/>
          <w:sz w:val="20"/>
          <w:szCs w:val="20"/>
        </w:rPr>
        <w:t xml:space="preserve">historical </w:t>
      </w:r>
      <w:r w:rsidR="006E6453" w:rsidRPr="00DB5977">
        <w:rPr>
          <w:rFonts w:ascii="Verdana" w:hAnsi="Verdana" w:cstheme="minorHAnsi"/>
          <w:sz w:val="20"/>
          <w:szCs w:val="20"/>
        </w:rPr>
        <w:t xml:space="preserve">ROE is </w:t>
      </w:r>
      <w:r w:rsidR="00E96857" w:rsidRPr="00DB5977">
        <w:rPr>
          <w:rFonts w:ascii="Verdana" w:hAnsi="Verdana" w:cstheme="minorHAnsi"/>
          <w:sz w:val="20"/>
          <w:szCs w:val="20"/>
        </w:rPr>
        <w:t>10.1</w:t>
      </w:r>
      <w:r w:rsidR="00EE71C8" w:rsidRPr="00DB5977">
        <w:rPr>
          <w:rFonts w:ascii="Verdana" w:hAnsi="Verdana" w:cstheme="minorHAnsi"/>
          <w:sz w:val="20"/>
          <w:szCs w:val="20"/>
        </w:rPr>
        <w:t>3</w:t>
      </w:r>
      <w:r w:rsidR="00275DD8">
        <w:rPr>
          <w:rFonts w:ascii="Verdana" w:hAnsi="Verdana" w:cstheme="minorHAnsi"/>
          <w:sz w:val="20"/>
          <w:szCs w:val="20"/>
        </w:rPr>
        <w:t> </w:t>
      </w:r>
      <w:r w:rsidR="006E6453" w:rsidRPr="00DB5977">
        <w:rPr>
          <w:rFonts w:ascii="Verdana" w:hAnsi="Verdana" w:cstheme="minorHAnsi"/>
          <w:sz w:val="20"/>
          <w:szCs w:val="20"/>
        </w:rPr>
        <w:t>percent.</w:t>
      </w:r>
      <w:r w:rsidR="00EE71C8" w:rsidRPr="00DB5977">
        <w:rPr>
          <w:rFonts w:ascii="Verdana" w:hAnsi="Verdana" w:cstheme="minorHAnsi"/>
          <w:sz w:val="20"/>
          <w:szCs w:val="20"/>
        </w:rPr>
        <w:t xml:space="preserve"> My sample average </w:t>
      </w:r>
      <w:r w:rsidR="003A0E5C" w:rsidRPr="003A0E5C">
        <w:rPr>
          <w:rFonts w:ascii="Verdana" w:hAnsi="Verdana" w:cstheme="minorHAnsi"/>
          <w:i/>
          <w:sz w:val="20"/>
          <w:szCs w:val="20"/>
        </w:rPr>
        <w:t>Value Line</w:t>
      </w:r>
      <w:r w:rsidR="00EE71C8" w:rsidRPr="00DB5977">
        <w:rPr>
          <w:rFonts w:ascii="Verdana" w:hAnsi="Verdana" w:cstheme="minorHAnsi"/>
          <w:sz w:val="20"/>
          <w:szCs w:val="20"/>
        </w:rPr>
        <w:t xml:space="preserve"> </w:t>
      </w:r>
      <w:r w:rsidR="002E265E">
        <w:rPr>
          <w:rFonts w:ascii="Verdana" w:hAnsi="Verdana" w:cstheme="minorHAnsi"/>
          <w:sz w:val="20"/>
          <w:szCs w:val="20"/>
        </w:rPr>
        <w:t>f</w:t>
      </w:r>
      <w:r w:rsidR="00EE71C8" w:rsidRPr="00DB5977">
        <w:rPr>
          <w:rFonts w:ascii="Verdana" w:hAnsi="Verdana" w:cstheme="minorHAnsi"/>
          <w:sz w:val="20"/>
          <w:szCs w:val="20"/>
        </w:rPr>
        <w:t>orecasted ROE (2022-2024) is 10.</w:t>
      </w:r>
      <w:r w:rsidR="004165B4">
        <w:rPr>
          <w:rFonts w:ascii="Verdana" w:hAnsi="Verdana" w:cstheme="minorHAnsi"/>
          <w:sz w:val="20"/>
          <w:szCs w:val="20"/>
        </w:rPr>
        <w:t>7</w:t>
      </w:r>
      <w:r w:rsidR="00EE71C8" w:rsidRPr="00DB5977">
        <w:rPr>
          <w:rFonts w:ascii="Verdana" w:hAnsi="Verdana" w:cstheme="minorHAnsi"/>
          <w:sz w:val="20"/>
          <w:szCs w:val="20"/>
        </w:rPr>
        <w:t xml:space="preserve">0 percent. </w:t>
      </w:r>
      <w:r w:rsidRPr="00DB5977">
        <w:rPr>
          <w:rFonts w:ascii="Verdana" w:hAnsi="Verdana" w:cstheme="minorHAnsi"/>
          <w:sz w:val="20"/>
          <w:szCs w:val="20"/>
        </w:rPr>
        <w:t>(</w:t>
      </w:r>
      <w:r w:rsidRPr="00DB5977">
        <w:rPr>
          <w:rFonts w:ascii="Verdana" w:hAnsi="Verdana" w:cstheme="minorHAnsi"/>
          <w:i/>
          <w:sz w:val="20"/>
          <w:szCs w:val="20"/>
          <w:u w:val="single"/>
        </w:rPr>
        <w:t>See</w:t>
      </w:r>
      <w:r w:rsidRPr="00DB5977">
        <w:rPr>
          <w:rFonts w:ascii="Verdana" w:hAnsi="Verdana" w:cstheme="minorHAnsi"/>
          <w:sz w:val="20"/>
          <w:szCs w:val="20"/>
        </w:rPr>
        <w:t xml:space="preserve"> </w:t>
      </w:r>
      <w:r w:rsidR="0013533B">
        <w:rPr>
          <w:rFonts w:ascii="Verdana" w:hAnsi="Verdana" w:cstheme="minorHAnsi"/>
          <w:sz w:val="20"/>
          <w:szCs w:val="20"/>
        </w:rPr>
        <w:t>Exhibit</w:t>
      </w:r>
      <w:proofErr w:type="gramStart"/>
      <w:r w:rsidR="0013533B">
        <w:rPr>
          <w:rFonts w:ascii="Verdana" w:hAnsi="Verdana" w:cstheme="minorHAnsi"/>
          <w:sz w:val="20"/>
          <w:szCs w:val="20"/>
        </w:rPr>
        <w:t>_(</w:t>
      </w:r>
      <w:proofErr w:type="gramEnd"/>
      <w:r w:rsidR="0013533B">
        <w:rPr>
          <w:rFonts w:ascii="Verdana" w:hAnsi="Verdana" w:cstheme="minorHAnsi"/>
          <w:sz w:val="20"/>
          <w:szCs w:val="20"/>
        </w:rPr>
        <w:t>M</w:t>
      </w:r>
      <w:r w:rsidRPr="00DB5977">
        <w:rPr>
          <w:rFonts w:ascii="Verdana" w:hAnsi="Verdana" w:cstheme="minorHAnsi"/>
          <w:sz w:val="20"/>
          <w:szCs w:val="20"/>
        </w:rPr>
        <w:t>LR-</w:t>
      </w:r>
      <w:r w:rsidR="00B15C8D" w:rsidRPr="00DB5977">
        <w:rPr>
          <w:rFonts w:ascii="Verdana" w:hAnsi="Verdana" w:cstheme="minorHAnsi"/>
          <w:sz w:val="20"/>
          <w:szCs w:val="20"/>
        </w:rPr>
        <w:t>8</w:t>
      </w:r>
      <w:r w:rsidR="00010879" w:rsidRPr="00DB5977">
        <w:rPr>
          <w:rFonts w:ascii="Verdana" w:hAnsi="Verdana" w:cstheme="minorHAnsi"/>
          <w:sz w:val="20"/>
          <w:szCs w:val="20"/>
        </w:rPr>
        <w:t>e</w:t>
      </w:r>
      <w:r w:rsidRPr="00DB5977">
        <w:rPr>
          <w:rFonts w:ascii="Verdana" w:hAnsi="Verdana" w:cstheme="minorHAnsi"/>
          <w:sz w:val="20"/>
          <w:szCs w:val="20"/>
        </w:rPr>
        <w:t>.)</w:t>
      </w:r>
      <w:r w:rsidR="0025065A">
        <w:rPr>
          <w:rFonts w:ascii="Verdana" w:hAnsi="Verdana" w:cstheme="minorHAnsi"/>
          <w:sz w:val="20"/>
          <w:szCs w:val="20"/>
        </w:rPr>
        <w:t xml:space="preserve"> </w:t>
      </w:r>
    </w:p>
    <w:p w14:paraId="1B6AE39E" w14:textId="77777777" w:rsidR="00823379" w:rsidRPr="00DB5977" w:rsidRDefault="00823379" w:rsidP="00486739">
      <w:pPr>
        <w:pStyle w:val="DirectQuestion"/>
      </w:pPr>
      <w:r w:rsidRPr="00DB5977">
        <w:t>HOW DO YOUR CE</w:t>
      </w:r>
      <w:r w:rsidR="00D400C0" w:rsidRPr="00DB5977">
        <w:t>M</w:t>
      </w:r>
      <w:r w:rsidRPr="00DB5977">
        <w:t xml:space="preserve"> RESULTS RELATE TO YOUR DCF</w:t>
      </w:r>
      <w:r w:rsidR="00CC1C8E" w:rsidRPr="00DB5977">
        <w:t xml:space="preserve">, </w:t>
      </w:r>
      <w:r w:rsidRPr="00DB5977">
        <w:t>CAPM</w:t>
      </w:r>
      <w:r w:rsidR="002E265E">
        <w:t>,</w:t>
      </w:r>
      <w:r w:rsidRPr="00DB5977">
        <w:t xml:space="preserve"> </w:t>
      </w:r>
      <w:r w:rsidR="00CC1C8E" w:rsidRPr="00DB5977">
        <w:t xml:space="preserve">and ECAPM </w:t>
      </w:r>
      <w:r w:rsidRPr="00DB5977">
        <w:t>RESULTS?</w:t>
      </w:r>
    </w:p>
    <w:p w14:paraId="6EAAF578" w14:textId="459BBF2C" w:rsidR="00C30159" w:rsidRPr="00DB5977" w:rsidRDefault="002E265E" w:rsidP="00050CA9">
      <w:pPr>
        <w:pStyle w:val="DirectAnswer"/>
        <w:jc w:val="both"/>
        <w:rPr>
          <w:rFonts w:ascii="Verdana" w:hAnsi="Verdana" w:cstheme="minorHAnsi"/>
          <w:sz w:val="20"/>
          <w:szCs w:val="20"/>
        </w:rPr>
      </w:pPr>
      <w:r>
        <w:rPr>
          <w:rFonts w:ascii="Verdana" w:hAnsi="Verdana" w:cstheme="minorHAnsi"/>
          <w:sz w:val="20"/>
          <w:szCs w:val="20"/>
        </w:rPr>
        <w:t>My CEM</w:t>
      </w:r>
      <w:r w:rsidRPr="00DB5977">
        <w:rPr>
          <w:rFonts w:ascii="Verdana" w:hAnsi="Verdana" w:cstheme="minorHAnsi"/>
          <w:sz w:val="20"/>
          <w:szCs w:val="20"/>
        </w:rPr>
        <w:t xml:space="preserve"> </w:t>
      </w:r>
      <w:r w:rsidR="00823379" w:rsidRPr="00DB5977">
        <w:rPr>
          <w:rFonts w:ascii="Verdana" w:hAnsi="Verdana" w:cstheme="minorHAnsi"/>
          <w:sz w:val="20"/>
          <w:szCs w:val="20"/>
        </w:rPr>
        <w:t>results demonstrate that my ROE estimates discussed earlier reflect current market expectations and will attract investors.</w:t>
      </w:r>
    </w:p>
    <w:p w14:paraId="2F97EAF7" w14:textId="77777777" w:rsidR="00721A15" w:rsidRPr="00DB5977" w:rsidRDefault="00721A15" w:rsidP="00486739">
      <w:pPr>
        <w:pStyle w:val="DirectQuestion"/>
      </w:pPr>
      <w:r w:rsidRPr="00DB5977">
        <w:t xml:space="preserve">DO YOU RELY ON ANY </w:t>
      </w:r>
      <w:r w:rsidR="002E265E">
        <w:t xml:space="preserve">one </w:t>
      </w:r>
      <w:r w:rsidRPr="00DB5977">
        <w:t>MODEL MORE THAN THE OTHERS?</w:t>
      </w:r>
    </w:p>
    <w:p w14:paraId="721DCEA2" w14:textId="77777777" w:rsidR="00721A15" w:rsidRPr="00DB5977" w:rsidRDefault="00721A15" w:rsidP="00721A15">
      <w:pPr>
        <w:pStyle w:val="DirectAnswer"/>
        <w:jc w:val="both"/>
        <w:rPr>
          <w:rFonts w:ascii="Verdana" w:hAnsi="Verdana" w:cstheme="minorHAnsi"/>
          <w:sz w:val="20"/>
          <w:szCs w:val="20"/>
        </w:rPr>
      </w:pPr>
      <w:r w:rsidRPr="00DB5977">
        <w:rPr>
          <w:rFonts w:ascii="Verdana" w:hAnsi="Verdana" w:cstheme="minorHAnsi"/>
          <w:sz w:val="20"/>
          <w:szCs w:val="20"/>
        </w:rPr>
        <w:t>Yes. Although I employ the DCF, CAPM and the CE</w:t>
      </w:r>
      <w:r w:rsidR="002E265E">
        <w:rPr>
          <w:rFonts w:ascii="Verdana" w:hAnsi="Verdana" w:cstheme="minorHAnsi"/>
          <w:sz w:val="20"/>
          <w:szCs w:val="20"/>
        </w:rPr>
        <w:t>M</w:t>
      </w:r>
      <w:r w:rsidRPr="00DB5977">
        <w:rPr>
          <w:rFonts w:ascii="Verdana" w:hAnsi="Verdana" w:cstheme="minorHAnsi"/>
          <w:sz w:val="20"/>
          <w:szCs w:val="20"/>
        </w:rPr>
        <w:t xml:space="preserve"> models for estimates, my recommended ROE is based on estimates derived using the DCF</w:t>
      </w:r>
      <w:r w:rsidR="002E265E">
        <w:rPr>
          <w:rFonts w:ascii="Verdana" w:hAnsi="Verdana" w:cstheme="minorHAnsi"/>
          <w:sz w:val="20"/>
          <w:szCs w:val="20"/>
        </w:rPr>
        <w:t xml:space="preserve"> model</w:t>
      </w:r>
      <w:r w:rsidRPr="00DB5977">
        <w:rPr>
          <w:rFonts w:ascii="Verdana" w:hAnsi="Verdana" w:cstheme="minorHAnsi"/>
          <w:sz w:val="20"/>
          <w:szCs w:val="20"/>
        </w:rPr>
        <w:t xml:space="preserve">. </w:t>
      </w:r>
    </w:p>
    <w:p w14:paraId="7C8D12EF" w14:textId="77777777" w:rsidR="00721A15" w:rsidRPr="00DB5977" w:rsidRDefault="00721A15" w:rsidP="00486739">
      <w:pPr>
        <w:pStyle w:val="DirectQuestion"/>
      </w:pPr>
      <w:r w:rsidRPr="00DB5977">
        <w:t xml:space="preserve">WHY IS YOUR ROE RECOMMENDATION OF </w:t>
      </w:r>
      <w:r w:rsidR="00CC1C8E" w:rsidRPr="00DB5977">
        <w:t>9</w:t>
      </w:r>
      <w:r w:rsidR="00E96857" w:rsidRPr="00DB5977">
        <w:t>.1</w:t>
      </w:r>
      <w:r w:rsidRPr="00DB5977">
        <w:t xml:space="preserve"> PERCENT BASED ON A RANGE DERIVED FROM YOUR DCF METHODOLOGIES AND NOT </w:t>
      </w:r>
      <w:proofErr w:type="gramStart"/>
      <w:r w:rsidRPr="00DB5977">
        <w:t>YOUR</w:t>
      </w:r>
      <w:proofErr w:type="gramEnd"/>
      <w:r w:rsidRPr="00DB5977">
        <w:t xml:space="preserve"> OVERALL RANGE?</w:t>
      </w:r>
    </w:p>
    <w:p w14:paraId="4B1C6537" w14:textId="0301D9B3" w:rsidR="00721A15" w:rsidRPr="00DB5977" w:rsidRDefault="00721A15" w:rsidP="00721A15">
      <w:pPr>
        <w:pStyle w:val="DirectAnswer"/>
        <w:jc w:val="both"/>
        <w:rPr>
          <w:rFonts w:ascii="Verdana" w:hAnsi="Verdana" w:cstheme="minorHAnsi"/>
          <w:sz w:val="20"/>
          <w:szCs w:val="20"/>
        </w:rPr>
      </w:pPr>
      <w:r w:rsidRPr="00DB5977">
        <w:rPr>
          <w:rFonts w:ascii="Verdana" w:hAnsi="Verdana" w:cstheme="minorHAnsi"/>
          <w:sz w:val="20"/>
          <w:szCs w:val="20"/>
        </w:rPr>
        <w:t xml:space="preserve">I place more </w:t>
      </w:r>
      <w:r w:rsidR="00982CFC" w:rsidRPr="00DB5977">
        <w:rPr>
          <w:rFonts w:ascii="Verdana" w:hAnsi="Verdana" w:cstheme="minorHAnsi"/>
          <w:sz w:val="20"/>
          <w:szCs w:val="20"/>
        </w:rPr>
        <w:t>emphasis</w:t>
      </w:r>
      <w:r w:rsidRPr="00DB5977">
        <w:rPr>
          <w:rFonts w:ascii="Verdana" w:hAnsi="Verdana" w:cstheme="minorHAnsi"/>
          <w:sz w:val="20"/>
          <w:szCs w:val="20"/>
        </w:rPr>
        <w:t xml:space="preserve"> on my DCF</w:t>
      </w:r>
      <w:r w:rsidR="002E265E">
        <w:rPr>
          <w:rFonts w:ascii="Verdana" w:hAnsi="Verdana" w:cstheme="minorHAnsi"/>
          <w:sz w:val="20"/>
          <w:szCs w:val="20"/>
        </w:rPr>
        <w:t>-</w:t>
      </w:r>
      <w:r w:rsidRPr="00DB5977">
        <w:rPr>
          <w:rFonts w:ascii="Verdana" w:hAnsi="Verdana" w:cstheme="minorHAnsi"/>
          <w:sz w:val="20"/>
          <w:szCs w:val="20"/>
        </w:rPr>
        <w:t>derived results because it is widely used by both the finance community and public utility commissions and yields more reliable results.</w:t>
      </w:r>
      <w:r w:rsidR="0025065A">
        <w:rPr>
          <w:rFonts w:ascii="Verdana" w:hAnsi="Verdana" w:cstheme="minorHAnsi"/>
          <w:sz w:val="20"/>
          <w:szCs w:val="20"/>
        </w:rPr>
        <w:t xml:space="preserve"> </w:t>
      </w:r>
      <w:r w:rsidRPr="00DB5977">
        <w:rPr>
          <w:rFonts w:ascii="Verdana" w:hAnsi="Verdana" w:cstheme="minorHAnsi"/>
          <w:sz w:val="20"/>
          <w:szCs w:val="20"/>
        </w:rPr>
        <w:t xml:space="preserve">It is a forward-looking model that directly incorporates investors’ expectations of company dividend income through market pricing signals, particularly in the case of utility stocks where stock valuations are telling a different story than the general market. </w:t>
      </w:r>
    </w:p>
    <w:p w14:paraId="1B63DBB4" w14:textId="79094BEA" w:rsidR="005B2554" w:rsidRPr="00DB5977" w:rsidRDefault="00721A15" w:rsidP="00486739">
      <w:pPr>
        <w:pStyle w:val="DirectAnswer"/>
        <w:numPr>
          <w:ilvl w:val="0"/>
          <w:numId w:val="0"/>
        </w:numPr>
        <w:ind w:left="720" w:firstLine="720"/>
        <w:jc w:val="both"/>
        <w:rPr>
          <w:rFonts w:ascii="Verdana" w:hAnsi="Verdana"/>
          <w:sz w:val="20"/>
          <w:szCs w:val="20"/>
        </w:rPr>
      </w:pPr>
      <w:r w:rsidRPr="00DB5977">
        <w:rPr>
          <w:rFonts w:ascii="Verdana" w:hAnsi="Verdana"/>
          <w:sz w:val="20"/>
          <w:szCs w:val="20"/>
        </w:rPr>
        <w:t>The CAPM model, in contrast, is largely reliant on financial market outcomes complicated by monetary policy and near historically low interest rates.</w:t>
      </w:r>
      <w:r w:rsidR="0025065A">
        <w:rPr>
          <w:rFonts w:ascii="Verdana" w:hAnsi="Verdana"/>
          <w:sz w:val="20"/>
          <w:szCs w:val="20"/>
        </w:rPr>
        <w:t xml:space="preserve"> </w:t>
      </w:r>
      <w:r w:rsidRPr="00DB5977">
        <w:rPr>
          <w:rFonts w:ascii="Verdana" w:hAnsi="Verdana"/>
          <w:sz w:val="20"/>
          <w:szCs w:val="20"/>
        </w:rPr>
        <w:t>These low interest rates have persisted many years longer than anticipated.</w:t>
      </w:r>
      <w:r w:rsidR="0025065A">
        <w:rPr>
          <w:rFonts w:ascii="Verdana" w:hAnsi="Verdana"/>
          <w:sz w:val="20"/>
          <w:szCs w:val="20"/>
        </w:rPr>
        <w:t xml:space="preserve"> </w:t>
      </w:r>
      <w:r w:rsidRPr="00DB5977">
        <w:rPr>
          <w:rFonts w:ascii="Verdana" w:hAnsi="Verdana"/>
          <w:sz w:val="20"/>
          <w:szCs w:val="20"/>
        </w:rPr>
        <w:t>Given current expectations of low inflation and recent decisions by the Fed</w:t>
      </w:r>
      <w:r w:rsidR="00FD7F8C">
        <w:rPr>
          <w:rFonts w:ascii="Verdana" w:hAnsi="Verdana"/>
          <w:sz w:val="20"/>
          <w:szCs w:val="20"/>
        </w:rPr>
        <w:t>eral Reserve</w:t>
      </w:r>
      <w:r w:rsidRPr="00DB5977">
        <w:rPr>
          <w:rFonts w:ascii="Verdana" w:hAnsi="Verdana"/>
          <w:sz w:val="20"/>
          <w:szCs w:val="20"/>
        </w:rPr>
        <w:t xml:space="preserve"> to </w:t>
      </w:r>
      <w:r w:rsidR="004502D5" w:rsidRPr="00DB5977">
        <w:rPr>
          <w:rFonts w:ascii="Verdana" w:hAnsi="Verdana"/>
          <w:sz w:val="20"/>
          <w:szCs w:val="20"/>
        </w:rPr>
        <w:t xml:space="preserve">decrease </w:t>
      </w:r>
      <w:r w:rsidRPr="00DB5977">
        <w:rPr>
          <w:rFonts w:ascii="Verdana" w:hAnsi="Verdana"/>
          <w:sz w:val="20"/>
          <w:szCs w:val="20"/>
        </w:rPr>
        <w:t>short</w:t>
      </w:r>
      <w:r w:rsidR="00FD7F8C">
        <w:rPr>
          <w:rFonts w:ascii="Verdana" w:hAnsi="Verdana"/>
          <w:sz w:val="20"/>
          <w:szCs w:val="20"/>
        </w:rPr>
        <w:t>-</w:t>
      </w:r>
      <w:r w:rsidRPr="00DB5977">
        <w:rPr>
          <w:rFonts w:ascii="Verdana" w:hAnsi="Verdana"/>
          <w:sz w:val="20"/>
          <w:szCs w:val="20"/>
        </w:rPr>
        <w:t>term rates, low interest rates will likely persist.</w:t>
      </w:r>
      <w:r w:rsidR="0025065A">
        <w:rPr>
          <w:rFonts w:ascii="Verdana" w:hAnsi="Verdana"/>
          <w:sz w:val="20"/>
          <w:szCs w:val="20"/>
        </w:rPr>
        <w:t xml:space="preserve"> </w:t>
      </w:r>
      <w:bookmarkStart w:id="33" w:name="_Toc415003978"/>
    </w:p>
    <w:p w14:paraId="60F0515E" w14:textId="77777777" w:rsidR="0046014E" w:rsidRPr="00DB5977" w:rsidRDefault="00A36E90" w:rsidP="00486739">
      <w:pPr>
        <w:pStyle w:val="DirectQuestion"/>
      </w:pPr>
      <w:r w:rsidRPr="00DB5977">
        <w:t>how does</w:t>
      </w:r>
      <w:r w:rsidR="00E74DD1" w:rsidRPr="00DB5977">
        <w:t xml:space="preserve"> your recommendation</w:t>
      </w:r>
      <w:r w:rsidRPr="00DB5977">
        <w:t xml:space="preserve"> compare to recently allowed </w:t>
      </w:r>
      <w:r w:rsidR="00094EB8" w:rsidRPr="00DB5977">
        <w:t>equity returns</w:t>
      </w:r>
      <w:r w:rsidR="0046014E" w:rsidRPr="00DB5977">
        <w:t>?</w:t>
      </w:r>
    </w:p>
    <w:p w14:paraId="7E6E8033" w14:textId="4FE9D31A" w:rsidR="000127A8" w:rsidRPr="00DB5977" w:rsidRDefault="005B0067" w:rsidP="00486739">
      <w:pPr>
        <w:pStyle w:val="DirectAnswer"/>
        <w:jc w:val="both"/>
        <w:rPr>
          <w:rFonts w:ascii="Verdana" w:hAnsi="Verdana"/>
          <w:sz w:val="20"/>
          <w:szCs w:val="20"/>
        </w:rPr>
      </w:pPr>
      <w:r w:rsidRPr="00DB5977">
        <w:rPr>
          <w:rFonts w:ascii="Verdana" w:hAnsi="Verdana"/>
          <w:i/>
          <w:iCs/>
          <w:sz w:val="20"/>
          <w:szCs w:val="20"/>
        </w:rPr>
        <w:t>RRA Regulatory Focus</w:t>
      </w:r>
      <w:r w:rsidRPr="00DB5977">
        <w:rPr>
          <w:rFonts w:ascii="Verdana" w:hAnsi="Verdana"/>
          <w:sz w:val="20"/>
          <w:szCs w:val="20"/>
        </w:rPr>
        <w:t xml:space="preserve"> reports that </w:t>
      </w:r>
      <w:r w:rsidR="0021152C" w:rsidRPr="00DB5977">
        <w:rPr>
          <w:rFonts w:ascii="Verdana" w:hAnsi="Verdana"/>
          <w:sz w:val="20"/>
          <w:szCs w:val="20"/>
        </w:rPr>
        <w:t xml:space="preserve">the average </w:t>
      </w:r>
      <w:r w:rsidRPr="00DB5977">
        <w:rPr>
          <w:rFonts w:ascii="Verdana" w:hAnsi="Verdana"/>
          <w:sz w:val="20"/>
          <w:szCs w:val="20"/>
        </w:rPr>
        <w:t xml:space="preserve">allowed equity </w:t>
      </w:r>
      <w:r w:rsidR="00025DAA" w:rsidRPr="00DB5977">
        <w:rPr>
          <w:rFonts w:ascii="Verdana" w:hAnsi="Verdana"/>
          <w:sz w:val="20"/>
          <w:szCs w:val="20"/>
        </w:rPr>
        <w:t>returns</w:t>
      </w:r>
      <w:r w:rsidRPr="00DB5977">
        <w:rPr>
          <w:rFonts w:ascii="Verdana" w:hAnsi="Verdana"/>
          <w:sz w:val="20"/>
          <w:szCs w:val="20"/>
        </w:rPr>
        <w:t xml:space="preserve"> </w:t>
      </w:r>
      <w:r w:rsidR="00EA38C8" w:rsidRPr="00DB5977">
        <w:rPr>
          <w:rFonts w:ascii="Verdana" w:hAnsi="Verdana"/>
          <w:sz w:val="20"/>
          <w:szCs w:val="20"/>
        </w:rPr>
        <w:t xml:space="preserve">across vertically integrated electric utilities </w:t>
      </w:r>
      <w:r w:rsidRPr="00DB5977">
        <w:rPr>
          <w:rFonts w:ascii="Verdana" w:hAnsi="Verdana"/>
          <w:sz w:val="20"/>
          <w:szCs w:val="20"/>
        </w:rPr>
        <w:t xml:space="preserve">during the first half </w:t>
      </w:r>
      <w:r w:rsidR="00FD7F8C">
        <w:rPr>
          <w:rFonts w:ascii="Verdana" w:hAnsi="Verdana"/>
          <w:sz w:val="20"/>
          <w:szCs w:val="20"/>
        </w:rPr>
        <w:t xml:space="preserve">of 2019 </w:t>
      </w:r>
      <w:r w:rsidR="00EA38C8" w:rsidRPr="00DB5977">
        <w:rPr>
          <w:rFonts w:ascii="Verdana" w:hAnsi="Verdana"/>
          <w:sz w:val="20"/>
          <w:szCs w:val="20"/>
        </w:rPr>
        <w:t xml:space="preserve">fell to </w:t>
      </w:r>
      <w:r w:rsidR="0072360D" w:rsidRPr="00DB5977">
        <w:rPr>
          <w:rFonts w:ascii="Verdana" w:hAnsi="Verdana"/>
          <w:sz w:val="20"/>
          <w:szCs w:val="20"/>
        </w:rPr>
        <w:t xml:space="preserve">9.61 percent from 9.70 percent </w:t>
      </w:r>
      <w:r w:rsidR="001D24A7" w:rsidRPr="00DB5977">
        <w:rPr>
          <w:rFonts w:ascii="Verdana" w:hAnsi="Verdana"/>
          <w:sz w:val="20"/>
          <w:szCs w:val="20"/>
        </w:rPr>
        <w:t>during</w:t>
      </w:r>
      <w:r w:rsidR="00583A96" w:rsidRPr="00DB5977">
        <w:rPr>
          <w:rFonts w:ascii="Verdana" w:hAnsi="Verdana"/>
          <w:sz w:val="20"/>
          <w:szCs w:val="20"/>
        </w:rPr>
        <w:t xml:space="preserve"> the </w:t>
      </w:r>
      <w:r w:rsidR="00FD7F8C">
        <w:rPr>
          <w:rFonts w:ascii="Verdana" w:hAnsi="Verdana"/>
          <w:sz w:val="20"/>
          <w:szCs w:val="20"/>
        </w:rPr>
        <w:t xml:space="preserve">all </w:t>
      </w:r>
      <w:r w:rsidR="00583A96" w:rsidRPr="00DB5977">
        <w:rPr>
          <w:rFonts w:ascii="Verdana" w:hAnsi="Verdana"/>
          <w:sz w:val="20"/>
          <w:szCs w:val="20"/>
        </w:rPr>
        <w:t>of 2018</w:t>
      </w:r>
      <w:r w:rsidR="0072360D" w:rsidRPr="00DB5977">
        <w:rPr>
          <w:rFonts w:ascii="Verdana" w:hAnsi="Verdana"/>
          <w:sz w:val="20"/>
          <w:szCs w:val="20"/>
        </w:rPr>
        <w:t>.</w:t>
      </w:r>
      <w:r w:rsidR="00420864" w:rsidRPr="00DB5977">
        <w:rPr>
          <w:rStyle w:val="FootnoteReference"/>
          <w:rFonts w:ascii="Verdana" w:hAnsi="Verdana"/>
          <w:sz w:val="20"/>
          <w:szCs w:val="20"/>
        </w:rPr>
        <w:footnoteReference w:id="39"/>
      </w:r>
      <w:r w:rsidR="00737FBB" w:rsidRPr="00DB5977">
        <w:rPr>
          <w:rFonts w:ascii="Verdana" w:hAnsi="Verdana"/>
          <w:sz w:val="20"/>
          <w:szCs w:val="20"/>
        </w:rPr>
        <w:t xml:space="preserve"> </w:t>
      </w:r>
      <w:r w:rsidR="00025DAA" w:rsidRPr="00DB5977">
        <w:rPr>
          <w:rFonts w:ascii="Verdana" w:hAnsi="Verdana"/>
          <w:sz w:val="20"/>
          <w:szCs w:val="20"/>
        </w:rPr>
        <w:t xml:space="preserve">My recommended </w:t>
      </w:r>
      <w:r w:rsidR="00FD7F8C">
        <w:rPr>
          <w:rFonts w:ascii="Verdana" w:hAnsi="Verdana"/>
          <w:sz w:val="20"/>
          <w:szCs w:val="20"/>
        </w:rPr>
        <w:t>ROE</w:t>
      </w:r>
      <w:r w:rsidR="00025DAA" w:rsidRPr="00DB5977">
        <w:rPr>
          <w:rFonts w:ascii="Verdana" w:hAnsi="Verdana"/>
          <w:sz w:val="20"/>
          <w:szCs w:val="20"/>
        </w:rPr>
        <w:t xml:space="preserve"> of 9</w:t>
      </w:r>
      <w:r w:rsidR="002876CA">
        <w:rPr>
          <w:rFonts w:ascii="Verdana" w:hAnsi="Verdana"/>
          <w:sz w:val="20"/>
          <w:szCs w:val="20"/>
        </w:rPr>
        <w:t>.1</w:t>
      </w:r>
      <w:r w:rsidR="00025DAA" w:rsidRPr="00DB5977">
        <w:rPr>
          <w:rFonts w:ascii="Verdana" w:hAnsi="Verdana"/>
          <w:sz w:val="20"/>
          <w:szCs w:val="20"/>
        </w:rPr>
        <w:t xml:space="preserve"> percent is more in line with recent allowed equity returns than </w:t>
      </w:r>
      <w:r w:rsidR="00581060" w:rsidRPr="00DB5977">
        <w:rPr>
          <w:rFonts w:ascii="Verdana" w:hAnsi="Verdana"/>
          <w:sz w:val="20"/>
          <w:szCs w:val="20"/>
        </w:rPr>
        <w:t xml:space="preserve">Dr. Vander </w:t>
      </w:r>
      <w:proofErr w:type="spellStart"/>
      <w:r w:rsidR="00581060" w:rsidRPr="00DB5977">
        <w:rPr>
          <w:rFonts w:ascii="Verdana" w:hAnsi="Verdana"/>
          <w:sz w:val="20"/>
          <w:szCs w:val="20"/>
        </w:rPr>
        <w:t>Weide</w:t>
      </w:r>
      <w:r w:rsidR="00025DAA" w:rsidRPr="00DB5977">
        <w:rPr>
          <w:rFonts w:ascii="Verdana" w:hAnsi="Verdana"/>
          <w:sz w:val="20"/>
          <w:szCs w:val="20"/>
        </w:rPr>
        <w:t>’s</w:t>
      </w:r>
      <w:proofErr w:type="spellEnd"/>
      <w:r w:rsidR="00025DAA" w:rsidRPr="00DB5977">
        <w:rPr>
          <w:rFonts w:ascii="Verdana" w:hAnsi="Verdana"/>
          <w:sz w:val="20"/>
          <w:szCs w:val="20"/>
        </w:rPr>
        <w:t xml:space="preserve"> requested amount of 10.</w:t>
      </w:r>
      <w:r w:rsidR="00581060" w:rsidRPr="00DB5977">
        <w:rPr>
          <w:rFonts w:ascii="Verdana" w:hAnsi="Verdana"/>
          <w:sz w:val="20"/>
          <w:szCs w:val="20"/>
        </w:rPr>
        <w:t>9</w:t>
      </w:r>
      <w:r w:rsidR="00025DAA" w:rsidRPr="00DB5977">
        <w:rPr>
          <w:rFonts w:ascii="Verdana" w:hAnsi="Verdana"/>
          <w:sz w:val="20"/>
          <w:szCs w:val="20"/>
        </w:rPr>
        <w:t xml:space="preserve"> percent</w:t>
      </w:r>
      <w:r w:rsidR="0092122A" w:rsidRPr="00DB5977">
        <w:rPr>
          <w:rFonts w:ascii="Verdana" w:hAnsi="Verdana"/>
          <w:sz w:val="20"/>
          <w:szCs w:val="20"/>
        </w:rPr>
        <w:t xml:space="preserve">, which is </w:t>
      </w:r>
      <w:r w:rsidR="00D978B6" w:rsidRPr="00DB5977">
        <w:rPr>
          <w:rFonts w:ascii="Verdana" w:hAnsi="Verdana"/>
          <w:sz w:val="20"/>
          <w:szCs w:val="20"/>
        </w:rPr>
        <w:t>129</w:t>
      </w:r>
      <w:r w:rsidR="009F465F" w:rsidRPr="00DB5977">
        <w:rPr>
          <w:rFonts w:ascii="Verdana" w:hAnsi="Verdana"/>
          <w:sz w:val="20"/>
          <w:szCs w:val="20"/>
        </w:rPr>
        <w:t xml:space="preserve"> basis points higher than the 2019 average</w:t>
      </w:r>
      <w:r w:rsidR="00025DAA" w:rsidRPr="00DB5977">
        <w:rPr>
          <w:rFonts w:ascii="Verdana" w:hAnsi="Verdana"/>
          <w:sz w:val="20"/>
          <w:szCs w:val="20"/>
        </w:rPr>
        <w:t>.</w:t>
      </w:r>
    </w:p>
    <w:p w14:paraId="70392ACC" w14:textId="77777777" w:rsidR="0025065A" w:rsidRDefault="0025065A" w:rsidP="0025065A">
      <w:pPr>
        <w:pStyle w:val="Heading1"/>
        <w:numPr>
          <w:ilvl w:val="0"/>
          <w:numId w:val="0"/>
        </w:numPr>
        <w:spacing w:before="240" w:after="120" w:line="240" w:lineRule="auto"/>
        <w:rPr>
          <w:rFonts w:ascii="Verdana" w:hAnsi="Verdana"/>
          <w:sz w:val="20"/>
          <w:szCs w:val="22"/>
          <w:u w:val="none"/>
        </w:rPr>
      </w:pPr>
      <w:bookmarkStart w:id="34" w:name="_Toc21521242"/>
      <w:bookmarkStart w:id="35" w:name="_Toc21555893"/>
    </w:p>
    <w:p w14:paraId="5C2BC121" w14:textId="03E4F2F7" w:rsidR="0025065A" w:rsidRPr="00733C83" w:rsidRDefault="0025065A" w:rsidP="0025065A">
      <w:pPr>
        <w:pStyle w:val="Heading1"/>
        <w:numPr>
          <w:ilvl w:val="0"/>
          <w:numId w:val="0"/>
        </w:numPr>
        <w:spacing w:before="240" w:after="120" w:line="240" w:lineRule="auto"/>
        <w:rPr>
          <w:rFonts w:ascii="Verdana" w:hAnsi="Verdana"/>
          <w:sz w:val="20"/>
          <w:szCs w:val="22"/>
        </w:rPr>
      </w:pPr>
      <w:bookmarkStart w:id="36" w:name="_Toc21873144"/>
      <w:r w:rsidRPr="00733C83">
        <w:rPr>
          <w:rFonts w:ascii="Verdana" w:hAnsi="Verdana"/>
          <w:sz w:val="20"/>
          <w:szCs w:val="22"/>
          <w:u w:val="none"/>
        </w:rPr>
        <w:t>VI</w:t>
      </w:r>
      <w:r w:rsidR="00A71594">
        <w:rPr>
          <w:rFonts w:ascii="Verdana" w:hAnsi="Verdana"/>
          <w:sz w:val="20"/>
          <w:szCs w:val="22"/>
          <w:u w:val="none"/>
        </w:rPr>
        <w:t>I</w:t>
      </w:r>
      <w:r w:rsidRPr="00733C83">
        <w:rPr>
          <w:rFonts w:ascii="Verdana" w:hAnsi="Verdana"/>
          <w:sz w:val="20"/>
          <w:szCs w:val="22"/>
          <w:u w:val="none"/>
        </w:rPr>
        <w:t xml:space="preserve">. </w:t>
      </w:r>
      <w:r w:rsidRPr="00733C83">
        <w:rPr>
          <w:rFonts w:ascii="Verdana" w:hAnsi="Verdana"/>
          <w:sz w:val="20"/>
          <w:szCs w:val="22"/>
        </w:rPr>
        <w:t xml:space="preserve">RESPONSE TO </w:t>
      </w:r>
      <w:r w:rsidRPr="00DB5977">
        <w:rPr>
          <w:rFonts w:ascii="Verdana" w:hAnsi="Verdana" w:cstheme="minorHAnsi"/>
          <w:sz w:val="20"/>
          <w:szCs w:val="22"/>
        </w:rPr>
        <w:t>DR. VANDER WEIDE’S</w:t>
      </w:r>
      <w:r w:rsidRPr="00733C83">
        <w:rPr>
          <w:rFonts w:ascii="Verdana" w:hAnsi="Verdana"/>
          <w:sz w:val="20"/>
          <w:szCs w:val="22"/>
        </w:rPr>
        <w:t xml:space="preserve"> ASSESSMENT OF </w:t>
      </w:r>
      <w:r w:rsidRPr="00DB5977">
        <w:rPr>
          <w:rFonts w:ascii="Verdana" w:hAnsi="Verdana" w:cstheme="minorHAnsi"/>
          <w:sz w:val="20"/>
          <w:szCs w:val="22"/>
        </w:rPr>
        <w:t xml:space="preserve">GEORGIA POWER’S </w:t>
      </w:r>
      <w:r w:rsidRPr="00733C83">
        <w:rPr>
          <w:rFonts w:ascii="Verdana" w:hAnsi="Verdana"/>
          <w:sz w:val="20"/>
          <w:szCs w:val="22"/>
        </w:rPr>
        <w:t>BUSINESS RISKS</w:t>
      </w:r>
      <w:bookmarkEnd w:id="34"/>
      <w:bookmarkEnd w:id="35"/>
      <w:bookmarkEnd w:id="36"/>
    </w:p>
    <w:p w14:paraId="159CF3EB" w14:textId="77777777" w:rsidR="008940D1" w:rsidRPr="00DB5977" w:rsidRDefault="00852BDE" w:rsidP="00486739">
      <w:pPr>
        <w:pStyle w:val="DirectQuestion"/>
      </w:pPr>
      <w:r w:rsidRPr="00DB5977">
        <w:t xml:space="preserve">do you have any comments regarding </w:t>
      </w:r>
      <w:r w:rsidR="00F40352" w:rsidRPr="00DB5977">
        <w:t>Dr</w:t>
      </w:r>
      <w:r w:rsidR="00F15CAC" w:rsidRPr="00DB5977">
        <w:t>. Vander weide</w:t>
      </w:r>
      <w:r w:rsidRPr="00DB5977">
        <w:t xml:space="preserve">’s </w:t>
      </w:r>
      <w:r w:rsidR="00227DDC" w:rsidRPr="00DB5977">
        <w:t xml:space="preserve">assessment of risk the company faces as a result of the </w:t>
      </w:r>
      <w:r w:rsidR="00ED7135" w:rsidRPr="00DB5977">
        <w:t>tAX cUTS AND jOBS aCT (“</w:t>
      </w:r>
      <w:r w:rsidR="00227DDC" w:rsidRPr="00DB5977">
        <w:t>tcja</w:t>
      </w:r>
      <w:r w:rsidR="00ED7135" w:rsidRPr="00DB5977">
        <w:t>”) OF 2017</w:t>
      </w:r>
      <w:r w:rsidR="0017498B" w:rsidRPr="00DB5977">
        <w:t>?</w:t>
      </w:r>
    </w:p>
    <w:p w14:paraId="41464B8C" w14:textId="5F214FDD" w:rsidR="00CB556F" w:rsidRPr="00DB5977" w:rsidRDefault="0017498B" w:rsidP="00486739">
      <w:pPr>
        <w:pStyle w:val="DirectAnswer"/>
        <w:jc w:val="both"/>
        <w:rPr>
          <w:rFonts w:ascii="Verdana" w:hAnsi="Verdana"/>
          <w:sz w:val="20"/>
          <w:szCs w:val="20"/>
        </w:rPr>
      </w:pPr>
      <w:r w:rsidRPr="00DB5977">
        <w:rPr>
          <w:rFonts w:ascii="Verdana" w:hAnsi="Verdana"/>
          <w:sz w:val="20"/>
          <w:szCs w:val="20"/>
        </w:rPr>
        <w:t xml:space="preserve">Yes. </w:t>
      </w:r>
      <w:r w:rsidR="007C76F9" w:rsidRPr="00DB5977">
        <w:rPr>
          <w:rFonts w:ascii="Verdana" w:hAnsi="Verdana"/>
          <w:sz w:val="20"/>
          <w:szCs w:val="20"/>
        </w:rPr>
        <w:t xml:space="preserve">Dr. Vander </w:t>
      </w:r>
      <w:proofErr w:type="spellStart"/>
      <w:r w:rsidR="007C76F9" w:rsidRPr="00DB5977">
        <w:rPr>
          <w:rFonts w:ascii="Verdana" w:hAnsi="Verdana"/>
          <w:sz w:val="20"/>
          <w:szCs w:val="20"/>
        </w:rPr>
        <w:t>Weide</w:t>
      </w:r>
      <w:proofErr w:type="spellEnd"/>
      <w:r w:rsidR="007C76F9" w:rsidRPr="00DB5977">
        <w:rPr>
          <w:rFonts w:ascii="Verdana" w:hAnsi="Verdana"/>
          <w:sz w:val="20"/>
          <w:szCs w:val="20"/>
        </w:rPr>
        <w:t xml:space="preserve"> states that the TCJA</w:t>
      </w:r>
      <w:r w:rsidR="00793642" w:rsidRPr="00DB5977">
        <w:rPr>
          <w:rFonts w:ascii="Verdana" w:hAnsi="Verdana"/>
          <w:sz w:val="20"/>
          <w:szCs w:val="20"/>
        </w:rPr>
        <w:t xml:space="preserve">, which </w:t>
      </w:r>
      <w:r w:rsidR="00077DD0" w:rsidRPr="00DB5977">
        <w:rPr>
          <w:rFonts w:ascii="Verdana" w:hAnsi="Verdana"/>
          <w:sz w:val="20"/>
          <w:szCs w:val="20"/>
        </w:rPr>
        <w:t>lowered the federal corporate tax rate from 35 percent to 21 percent</w:t>
      </w:r>
      <w:r w:rsidR="00874DF4" w:rsidRPr="00DB5977">
        <w:rPr>
          <w:rFonts w:ascii="Verdana" w:hAnsi="Verdana"/>
          <w:sz w:val="20"/>
          <w:szCs w:val="20"/>
        </w:rPr>
        <w:t xml:space="preserve"> and eliminat</w:t>
      </w:r>
      <w:r w:rsidR="00DC1399">
        <w:rPr>
          <w:rFonts w:ascii="Verdana" w:hAnsi="Verdana"/>
          <w:sz w:val="20"/>
          <w:szCs w:val="20"/>
        </w:rPr>
        <w:t>ed</w:t>
      </w:r>
      <w:r w:rsidR="00874DF4" w:rsidRPr="00DB5977">
        <w:rPr>
          <w:rFonts w:ascii="Verdana" w:hAnsi="Verdana"/>
          <w:sz w:val="20"/>
          <w:szCs w:val="20"/>
        </w:rPr>
        <w:t xml:space="preserve"> bonus depreciation</w:t>
      </w:r>
      <w:r w:rsidR="00077DD0" w:rsidRPr="00DB5977">
        <w:rPr>
          <w:rFonts w:ascii="Verdana" w:hAnsi="Verdana"/>
          <w:sz w:val="20"/>
          <w:szCs w:val="20"/>
        </w:rPr>
        <w:t xml:space="preserve">, has increased the risk of </w:t>
      </w:r>
      <w:r w:rsidR="009B2A7E" w:rsidRPr="00DB5977">
        <w:rPr>
          <w:rFonts w:ascii="Verdana" w:hAnsi="Verdana"/>
          <w:sz w:val="20"/>
          <w:szCs w:val="20"/>
        </w:rPr>
        <w:t>high</w:t>
      </w:r>
      <w:r w:rsidR="00DD66A4" w:rsidRPr="00DB5977">
        <w:rPr>
          <w:rFonts w:ascii="Verdana" w:hAnsi="Verdana"/>
          <w:sz w:val="20"/>
          <w:szCs w:val="20"/>
        </w:rPr>
        <w:t>ly</w:t>
      </w:r>
      <w:r w:rsidR="009B2A7E" w:rsidRPr="00DB5977">
        <w:rPr>
          <w:rFonts w:ascii="Verdana" w:hAnsi="Verdana"/>
          <w:sz w:val="20"/>
          <w:szCs w:val="20"/>
        </w:rPr>
        <w:t xml:space="preserve"> financial</w:t>
      </w:r>
      <w:r w:rsidR="00DC1399">
        <w:rPr>
          <w:rFonts w:ascii="Verdana" w:hAnsi="Verdana"/>
          <w:sz w:val="20"/>
          <w:szCs w:val="20"/>
        </w:rPr>
        <w:t>ly</w:t>
      </w:r>
      <w:r w:rsidR="009B2A7E" w:rsidRPr="00DB5977">
        <w:rPr>
          <w:rFonts w:ascii="Verdana" w:hAnsi="Verdana"/>
          <w:sz w:val="20"/>
          <w:szCs w:val="20"/>
        </w:rPr>
        <w:t xml:space="preserve"> leveraged utilities such as Georgia Power</w:t>
      </w:r>
      <w:r w:rsidR="00287F2F" w:rsidRPr="00DB5977">
        <w:rPr>
          <w:rFonts w:ascii="Verdana" w:hAnsi="Verdana"/>
          <w:sz w:val="20"/>
          <w:szCs w:val="20"/>
        </w:rPr>
        <w:t xml:space="preserve"> due </w:t>
      </w:r>
      <w:r w:rsidR="00874DF4" w:rsidRPr="00DB5977">
        <w:rPr>
          <w:rFonts w:ascii="Verdana" w:hAnsi="Verdana"/>
          <w:sz w:val="20"/>
          <w:szCs w:val="20"/>
        </w:rPr>
        <w:t>to declining cash flows</w:t>
      </w:r>
      <w:r w:rsidR="00BE06FE" w:rsidRPr="00DB5977">
        <w:rPr>
          <w:rFonts w:ascii="Verdana" w:hAnsi="Verdana"/>
          <w:sz w:val="20"/>
          <w:szCs w:val="20"/>
        </w:rPr>
        <w:t xml:space="preserve"> that are available to cover </w:t>
      </w:r>
      <w:r w:rsidR="00BE149A" w:rsidRPr="00DB5977">
        <w:rPr>
          <w:rFonts w:ascii="Verdana" w:hAnsi="Verdana"/>
          <w:sz w:val="20"/>
          <w:szCs w:val="20"/>
        </w:rPr>
        <w:t>debt costs and princip</w:t>
      </w:r>
      <w:r w:rsidR="00250CC3">
        <w:rPr>
          <w:rFonts w:ascii="Verdana" w:hAnsi="Verdana"/>
          <w:sz w:val="20"/>
          <w:szCs w:val="20"/>
        </w:rPr>
        <w:t>a</w:t>
      </w:r>
      <w:r w:rsidR="00BE149A" w:rsidRPr="00DB5977">
        <w:rPr>
          <w:rFonts w:ascii="Verdana" w:hAnsi="Verdana"/>
          <w:sz w:val="20"/>
          <w:szCs w:val="20"/>
        </w:rPr>
        <w:t>l</w:t>
      </w:r>
      <w:r w:rsidR="009B2A7E" w:rsidRPr="00DB5977">
        <w:rPr>
          <w:rFonts w:ascii="Verdana" w:hAnsi="Verdana"/>
          <w:sz w:val="20"/>
          <w:szCs w:val="20"/>
        </w:rPr>
        <w:t>. (</w:t>
      </w:r>
      <w:r w:rsidR="009B2A7E" w:rsidRPr="00685CC6">
        <w:rPr>
          <w:rFonts w:ascii="Verdana" w:hAnsi="Verdana"/>
          <w:i/>
          <w:iCs/>
          <w:sz w:val="20"/>
          <w:szCs w:val="20"/>
          <w:u w:val="single"/>
        </w:rPr>
        <w:t>See</w:t>
      </w:r>
      <w:r w:rsidR="009B2A7E" w:rsidRPr="00DB5977">
        <w:rPr>
          <w:rFonts w:ascii="Verdana" w:hAnsi="Verdana"/>
          <w:sz w:val="20"/>
          <w:szCs w:val="20"/>
        </w:rPr>
        <w:t xml:space="preserve"> Vander </w:t>
      </w:r>
      <w:proofErr w:type="spellStart"/>
      <w:r w:rsidR="009B2A7E" w:rsidRPr="00DB5977">
        <w:rPr>
          <w:rFonts w:ascii="Verdana" w:hAnsi="Verdana"/>
          <w:sz w:val="20"/>
          <w:szCs w:val="20"/>
        </w:rPr>
        <w:t>Weide</w:t>
      </w:r>
      <w:proofErr w:type="spellEnd"/>
      <w:r w:rsidR="009B2A7E" w:rsidRPr="00DB5977">
        <w:rPr>
          <w:rFonts w:ascii="Verdana" w:hAnsi="Verdana"/>
          <w:sz w:val="20"/>
          <w:szCs w:val="20"/>
        </w:rPr>
        <w:t xml:space="preserve"> D</w:t>
      </w:r>
      <w:r w:rsidR="00E0634F" w:rsidRPr="00DB5977">
        <w:rPr>
          <w:rFonts w:ascii="Verdana" w:hAnsi="Verdana"/>
          <w:sz w:val="20"/>
          <w:szCs w:val="20"/>
        </w:rPr>
        <w:t>ire</w:t>
      </w:r>
      <w:r w:rsidR="009B2A7E" w:rsidRPr="00DB5977">
        <w:rPr>
          <w:rFonts w:ascii="Verdana" w:hAnsi="Verdana"/>
          <w:sz w:val="20"/>
          <w:szCs w:val="20"/>
        </w:rPr>
        <w:t>ct Testimony, 21</w:t>
      </w:r>
      <w:r w:rsidR="007417C9">
        <w:rPr>
          <w:rFonts w:ascii="Verdana" w:hAnsi="Verdana"/>
          <w:sz w:val="20"/>
          <w:szCs w:val="20"/>
        </w:rPr>
        <w:t>:</w:t>
      </w:r>
      <w:r w:rsidR="002B30E7" w:rsidRPr="00DB5977">
        <w:rPr>
          <w:rFonts w:ascii="Verdana" w:hAnsi="Verdana"/>
          <w:sz w:val="20"/>
          <w:szCs w:val="20"/>
        </w:rPr>
        <w:t>13-</w:t>
      </w:r>
      <w:r w:rsidR="00E464E6" w:rsidRPr="00DB5977">
        <w:rPr>
          <w:rFonts w:ascii="Verdana" w:hAnsi="Verdana"/>
          <w:sz w:val="20"/>
          <w:szCs w:val="20"/>
        </w:rPr>
        <w:t>30.)</w:t>
      </w:r>
      <w:r w:rsidR="007D4862" w:rsidRPr="00DB5977">
        <w:rPr>
          <w:rFonts w:ascii="Verdana" w:hAnsi="Verdana"/>
          <w:sz w:val="20"/>
          <w:szCs w:val="20"/>
        </w:rPr>
        <w:t xml:space="preserve"> </w:t>
      </w:r>
      <w:r w:rsidR="00537AB3" w:rsidRPr="00DB5977">
        <w:rPr>
          <w:rFonts w:ascii="Verdana" w:hAnsi="Verdana"/>
          <w:sz w:val="20"/>
          <w:szCs w:val="20"/>
        </w:rPr>
        <w:t>The reduced income tax rate</w:t>
      </w:r>
      <w:r w:rsidR="00DE7E57" w:rsidRPr="00DB5977">
        <w:rPr>
          <w:rFonts w:ascii="Verdana" w:hAnsi="Verdana"/>
          <w:sz w:val="20"/>
          <w:szCs w:val="20"/>
        </w:rPr>
        <w:t xml:space="preserve"> </w:t>
      </w:r>
      <w:r w:rsidR="00537AB3" w:rsidRPr="00DB5977">
        <w:rPr>
          <w:rFonts w:ascii="Verdana" w:hAnsi="Verdana"/>
          <w:sz w:val="20"/>
          <w:szCs w:val="20"/>
        </w:rPr>
        <w:t>will reduce tax expense obligations and revenue requirements</w:t>
      </w:r>
      <w:r w:rsidR="00782950" w:rsidRPr="00DB5977">
        <w:rPr>
          <w:rFonts w:ascii="Verdana" w:hAnsi="Verdana"/>
          <w:sz w:val="20"/>
          <w:szCs w:val="20"/>
        </w:rPr>
        <w:t>.</w:t>
      </w:r>
      <w:r w:rsidR="00537AB3" w:rsidRPr="00DB5977">
        <w:rPr>
          <w:rFonts w:ascii="Verdana" w:hAnsi="Verdana"/>
          <w:sz w:val="20"/>
          <w:szCs w:val="20"/>
        </w:rPr>
        <w:t xml:space="preserve"> </w:t>
      </w:r>
      <w:r w:rsidR="00DE1DF1" w:rsidRPr="00DB5977">
        <w:rPr>
          <w:rFonts w:ascii="Verdana" w:hAnsi="Verdana"/>
          <w:sz w:val="20"/>
          <w:szCs w:val="20"/>
        </w:rPr>
        <w:t xml:space="preserve">The short-term impacts </w:t>
      </w:r>
      <w:r w:rsidR="00013AC7" w:rsidRPr="00DB5977">
        <w:rPr>
          <w:rFonts w:ascii="Verdana" w:hAnsi="Verdana"/>
          <w:sz w:val="20"/>
          <w:szCs w:val="20"/>
        </w:rPr>
        <w:t>of th</w:t>
      </w:r>
      <w:r w:rsidR="00DE7E57" w:rsidRPr="00DB5977">
        <w:rPr>
          <w:rFonts w:ascii="Verdana" w:hAnsi="Verdana"/>
          <w:sz w:val="20"/>
          <w:szCs w:val="20"/>
        </w:rPr>
        <w:t>is tax rate</w:t>
      </w:r>
      <w:r w:rsidR="00013AC7" w:rsidRPr="00DB5977">
        <w:rPr>
          <w:rFonts w:ascii="Verdana" w:hAnsi="Verdana"/>
          <w:sz w:val="20"/>
          <w:szCs w:val="20"/>
        </w:rPr>
        <w:t xml:space="preserve"> reduction</w:t>
      </w:r>
      <w:r w:rsidR="00437639" w:rsidRPr="00DB5977">
        <w:rPr>
          <w:rFonts w:ascii="Verdana" w:hAnsi="Verdana"/>
          <w:sz w:val="20"/>
          <w:szCs w:val="20"/>
        </w:rPr>
        <w:t xml:space="preserve"> and the elimination of bonus depreciation</w:t>
      </w:r>
      <w:r w:rsidR="00823539" w:rsidRPr="00DB5977">
        <w:rPr>
          <w:rFonts w:ascii="Verdana" w:hAnsi="Verdana"/>
          <w:sz w:val="20"/>
          <w:szCs w:val="20"/>
        </w:rPr>
        <w:t xml:space="preserve"> include</w:t>
      </w:r>
      <w:r w:rsidR="00D92FD3" w:rsidRPr="00DB5977">
        <w:rPr>
          <w:rFonts w:ascii="Verdana" w:hAnsi="Verdana"/>
          <w:sz w:val="20"/>
          <w:szCs w:val="20"/>
        </w:rPr>
        <w:t xml:space="preserve"> </w:t>
      </w:r>
      <w:r w:rsidR="00D918CD" w:rsidRPr="00DB5977">
        <w:rPr>
          <w:rFonts w:ascii="Verdana" w:hAnsi="Verdana"/>
          <w:sz w:val="20"/>
          <w:szCs w:val="20"/>
        </w:rPr>
        <w:t>lower</w:t>
      </w:r>
      <w:r w:rsidR="00B315FF" w:rsidRPr="00DB5977">
        <w:rPr>
          <w:rFonts w:ascii="Verdana" w:hAnsi="Verdana"/>
          <w:sz w:val="20"/>
          <w:szCs w:val="20"/>
        </w:rPr>
        <w:t xml:space="preserve"> accumulated deferred </w:t>
      </w:r>
      <w:r w:rsidR="00CF2304" w:rsidRPr="00DB5977">
        <w:rPr>
          <w:rFonts w:ascii="Verdana" w:hAnsi="Verdana"/>
          <w:sz w:val="20"/>
          <w:szCs w:val="20"/>
        </w:rPr>
        <w:t xml:space="preserve">federal </w:t>
      </w:r>
      <w:r w:rsidR="00B315FF" w:rsidRPr="00DB5977">
        <w:rPr>
          <w:rFonts w:ascii="Verdana" w:hAnsi="Verdana"/>
          <w:sz w:val="20"/>
          <w:szCs w:val="20"/>
        </w:rPr>
        <w:t>income taxes (“AD</w:t>
      </w:r>
      <w:r w:rsidR="00202355" w:rsidRPr="00DB5977">
        <w:rPr>
          <w:rFonts w:ascii="Verdana" w:hAnsi="Verdana"/>
          <w:sz w:val="20"/>
          <w:szCs w:val="20"/>
        </w:rPr>
        <w:t>F</w:t>
      </w:r>
      <w:r w:rsidR="00B315FF" w:rsidRPr="00DB5977">
        <w:rPr>
          <w:rFonts w:ascii="Verdana" w:hAnsi="Verdana"/>
          <w:sz w:val="20"/>
          <w:szCs w:val="20"/>
        </w:rPr>
        <w:t>IT”)</w:t>
      </w:r>
      <w:r w:rsidR="00D918CD" w:rsidRPr="00DB5977">
        <w:rPr>
          <w:rFonts w:ascii="Verdana" w:hAnsi="Verdana"/>
          <w:sz w:val="20"/>
          <w:szCs w:val="20"/>
        </w:rPr>
        <w:t xml:space="preserve"> </w:t>
      </w:r>
      <w:r w:rsidR="00104728" w:rsidRPr="00DB5977">
        <w:rPr>
          <w:rFonts w:ascii="Verdana" w:hAnsi="Verdana"/>
          <w:sz w:val="20"/>
          <w:szCs w:val="20"/>
        </w:rPr>
        <w:t>and reduces</w:t>
      </w:r>
      <w:r w:rsidR="0019669E" w:rsidRPr="00DB5977">
        <w:rPr>
          <w:rFonts w:ascii="Verdana" w:hAnsi="Verdana"/>
          <w:sz w:val="20"/>
          <w:szCs w:val="20"/>
        </w:rPr>
        <w:t xml:space="preserve"> </w:t>
      </w:r>
      <w:r w:rsidR="00D918CD" w:rsidRPr="00DB5977">
        <w:rPr>
          <w:rFonts w:ascii="Verdana" w:hAnsi="Verdana"/>
          <w:sz w:val="20"/>
          <w:szCs w:val="20"/>
        </w:rPr>
        <w:t>cash flow</w:t>
      </w:r>
      <w:r w:rsidR="00A60E68" w:rsidRPr="00DB5977">
        <w:rPr>
          <w:rFonts w:ascii="Verdana" w:hAnsi="Verdana"/>
          <w:sz w:val="20"/>
          <w:szCs w:val="20"/>
        </w:rPr>
        <w:t xml:space="preserve"> to utility operations</w:t>
      </w:r>
      <w:r w:rsidR="00A641F2" w:rsidRPr="00DB5977">
        <w:rPr>
          <w:rFonts w:ascii="Verdana" w:hAnsi="Verdana"/>
          <w:sz w:val="20"/>
          <w:szCs w:val="20"/>
        </w:rPr>
        <w:t>, which puts pressu</w:t>
      </w:r>
      <w:r w:rsidR="007A14C1" w:rsidRPr="00DB5977">
        <w:rPr>
          <w:rFonts w:ascii="Verdana" w:hAnsi="Verdana"/>
          <w:sz w:val="20"/>
          <w:szCs w:val="20"/>
        </w:rPr>
        <w:t>r</w:t>
      </w:r>
      <w:r w:rsidR="00A641F2" w:rsidRPr="00DB5977">
        <w:rPr>
          <w:rFonts w:ascii="Verdana" w:hAnsi="Verdana"/>
          <w:sz w:val="20"/>
          <w:szCs w:val="20"/>
        </w:rPr>
        <w:t>e on utility credit metrics</w:t>
      </w:r>
      <w:r w:rsidR="009C21DD" w:rsidRPr="00DB5977">
        <w:rPr>
          <w:rFonts w:ascii="Verdana" w:hAnsi="Verdana"/>
          <w:sz w:val="20"/>
          <w:szCs w:val="20"/>
        </w:rPr>
        <w:t xml:space="preserve"> used to evaluate financial integrity</w:t>
      </w:r>
      <w:r w:rsidR="00344C98" w:rsidRPr="00DB5977">
        <w:rPr>
          <w:rFonts w:ascii="Verdana" w:hAnsi="Verdana"/>
          <w:sz w:val="20"/>
          <w:szCs w:val="20"/>
        </w:rPr>
        <w:t>, such as debt coverage</w:t>
      </w:r>
      <w:r w:rsidR="007A14C1" w:rsidRPr="00DB5977">
        <w:rPr>
          <w:rFonts w:ascii="Verdana" w:hAnsi="Verdana"/>
          <w:sz w:val="20"/>
          <w:szCs w:val="20"/>
        </w:rPr>
        <w:t xml:space="preserve">. </w:t>
      </w:r>
      <w:r w:rsidR="00BE0F7C" w:rsidRPr="00DB5977">
        <w:rPr>
          <w:rFonts w:ascii="Verdana" w:hAnsi="Verdana"/>
          <w:sz w:val="20"/>
          <w:szCs w:val="20"/>
        </w:rPr>
        <w:t xml:space="preserve">However, he ignores the fact that </w:t>
      </w:r>
      <w:r w:rsidR="007D4862" w:rsidRPr="00DB5977">
        <w:rPr>
          <w:rFonts w:ascii="Verdana" w:hAnsi="Verdana"/>
          <w:sz w:val="20"/>
          <w:szCs w:val="20"/>
        </w:rPr>
        <w:t>the longer-term rate base will be higher (due to lower ADFIT buildup) and cash flows as well as earnings will increase.</w:t>
      </w:r>
      <w:r w:rsidR="0025065A">
        <w:rPr>
          <w:rFonts w:ascii="Verdana" w:hAnsi="Verdana"/>
          <w:sz w:val="20"/>
          <w:szCs w:val="20"/>
        </w:rPr>
        <w:t xml:space="preserve"> </w:t>
      </w:r>
      <w:r w:rsidR="00991641" w:rsidRPr="00DB5977">
        <w:rPr>
          <w:rFonts w:ascii="Verdana" w:hAnsi="Verdana"/>
          <w:sz w:val="20"/>
          <w:szCs w:val="20"/>
        </w:rPr>
        <w:t>T</w:t>
      </w:r>
      <w:r w:rsidR="00D12577" w:rsidRPr="00DB5977">
        <w:rPr>
          <w:rFonts w:ascii="Verdana" w:hAnsi="Verdana"/>
          <w:sz w:val="20"/>
          <w:szCs w:val="20"/>
        </w:rPr>
        <w:t>he reduction</w:t>
      </w:r>
      <w:r w:rsidR="002B1BB6" w:rsidRPr="00DB5977">
        <w:rPr>
          <w:rFonts w:ascii="Verdana" w:hAnsi="Verdana"/>
          <w:sz w:val="20"/>
          <w:szCs w:val="20"/>
        </w:rPr>
        <w:t xml:space="preserve"> in</w:t>
      </w:r>
      <w:r w:rsidR="00D12577" w:rsidRPr="00DB5977">
        <w:rPr>
          <w:rFonts w:ascii="Verdana" w:hAnsi="Verdana"/>
          <w:sz w:val="20"/>
          <w:szCs w:val="20"/>
        </w:rPr>
        <w:t xml:space="preserve"> </w:t>
      </w:r>
      <w:r w:rsidR="00E42963" w:rsidRPr="00DB5977">
        <w:rPr>
          <w:rFonts w:ascii="Verdana" w:hAnsi="Verdana"/>
          <w:sz w:val="20"/>
          <w:szCs w:val="20"/>
        </w:rPr>
        <w:t>deferred federal income taxes</w:t>
      </w:r>
      <w:r w:rsidR="00A642DB" w:rsidRPr="00DB5977">
        <w:rPr>
          <w:rFonts w:ascii="Verdana" w:hAnsi="Verdana"/>
          <w:sz w:val="20"/>
          <w:szCs w:val="20"/>
        </w:rPr>
        <w:t xml:space="preserve"> </w:t>
      </w:r>
      <w:r w:rsidR="00656F86" w:rsidRPr="00DB5977">
        <w:rPr>
          <w:rFonts w:ascii="Verdana" w:hAnsi="Verdana"/>
          <w:sz w:val="20"/>
          <w:szCs w:val="20"/>
        </w:rPr>
        <w:t xml:space="preserve">via the TCJA </w:t>
      </w:r>
      <w:r w:rsidR="00685CC6">
        <w:rPr>
          <w:rFonts w:ascii="Verdana" w:hAnsi="Verdana"/>
          <w:sz w:val="20"/>
          <w:szCs w:val="20"/>
        </w:rPr>
        <w:t>is</w:t>
      </w:r>
      <w:r w:rsidR="00685CC6" w:rsidRPr="00DB5977">
        <w:rPr>
          <w:rFonts w:ascii="Verdana" w:hAnsi="Verdana"/>
          <w:sz w:val="20"/>
          <w:szCs w:val="20"/>
        </w:rPr>
        <w:t xml:space="preserve"> </w:t>
      </w:r>
      <w:r w:rsidR="00A642DB" w:rsidRPr="00DB5977">
        <w:rPr>
          <w:rFonts w:ascii="Verdana" w:hAnsi="Verdana"/>
          <w:sz w:val="20"/>
          <w:szCs w:val="20"/>
        </w:rPr>
        <w:t xml:space="preserve">expected </w:t>
      </w:r>
      <w:r w:rsidR="00656F86" w:rsidRPr="00DB5977">
        <w:rPr>
          <w:rFonts w:ascii="Verdana" w:hAnsi="Verdana"/>
          <w:sz w:val="20"/>
          <w:szCs w:val="20"/>
        </w:rPr>
        <w:t>to increase</w:t>
      </w:r>
      <w:r w:rsidR="00971BF2" w:rsidRPr="00DB5977">
        <w:rPr>
          <w:rFonts w:ascii="Verdana" w:hAnsi="Verdana"/>
          <w:sz w:val="20"/>
          <w:szCs w:val="20"/>
        </w:rPr>
        <w:t xml:space="preserve"> rate base growth among utilities </w:t>
      </w:r>
      <w:r w:rsidR="009266A6" w:rsidRPr="00DB5977">
        <w:rPr>
          <w:rFonts w:ascii="Verdana" w:hAnsi="Verdana"/>
          <w:sz w:val="20"/>
          <w:szCs w:val="20"/>
        </w:rPr>
        <w:t>because most states deduct</w:t>
      </w:r>
      <w:r w:rsidR="00B315FF" w:rsidRPr="00DB5977">
        <w:rPr>
          <w:rFonts w:ascii="Verdana" w:hAnsi="Verdana"/>
          <w:sz w:val="20"/>
          <w:szCs w:val="20"/>
        </w:rPr>
        <w:t xml:space="preserve"> </w:t>
      </w:r>
      <w:r w:rsidR="009266A6" w:rsidRPr="00DB5977">
        <w:rPr>
          <w:rFonts w:ascii="Verdana" w:hAnsi="Verdana"/>
          <w:sz w:val="20"/>
          <w:szCs w:val="20"/>
        </w:rPr>
        <w:t>AD</w:t>
      </w:r>
      <w:r w:rsidR="00202355" w:rsidRPr="00DB5977">
        <w:rPr>
          <w:rFonts w:ascii="Verdana" w:hAnsi="Verdana"/>
          <w:sz w:val="20"/>
          <w:szCs w:val="20"/>
        </w:rPr>
        <w:t>F</w:t>
      </w:r>
      <w:r w:rsidR="009266A6" w:rsidRPr="00DB5977">
        <w:rPr>
          <w:rFonts w:ascii="Verdana" w:hAnsi="Verdana"/>
          <w:sz w:val="20"/>
          <w:szCs w:val="20"/>
        </w:rPr>
        <w:t>IT</w:t>
      </w:r>
      <w:r w:rsidR="00517827" w:rsidRPr="00DB5977">
        <w:rPr>
          <w:rFonts w:ascii="Verdana" w:hAnsi="Verdana"/>
          <w:sz w:val="20"/>
          <w:szCs w:val="20"/>
        </w:rPr>
        <w:t xml:space="preserve"> in calculating the rate base</w:t>
      </w:r>
      <w:r w:rsidR="008E6B3D" w:rsidRPr="00DB5977">
        <w:rPr>
          <w:rFonts w:ascii="Verdana" w:hAnsi="Verdana"/>
          <w:sz w:val="20"/>
          <w:szCs w:val="20"/>
        </w:rPr>
        <w:t>.</w:t>
      </w:r>
      <w:r w:rsidR="00023710" w:rsidRPr="00DB5977">
        <w:rPr>
          <w:rFonts w:ascii="Verdana" w:hAnsi="Verdana"/>
          <w:color w:val="FF0000"/>
          <w:sz w:val="20"/>
          <w:szCs w:val="20"/>
        </w:rPr>
        <w:t xml:space="preserve"> </w:t>
      </w:r>
      <w:r w:rsidR="00D745EA" w:rsidRPr="00DB5977">
        <w:rPr>
          <w:rFonts w:ascii="Verdana" w:hAnsi="Verdana"/>
          <w:sz w:val="20"/>
          <w:szCs w:val="20"/>
        </w:rPr>
        <w:t xml:space="preserve">Therefore, </w:t>
      </w:r>
      <w:r w:rsidR="002D21CD" w:rsidRPr="00DB5977">
        <w:rPr>
          <w:rFonts w:ascii="Verdana" w:hAnsi="Verdana"/>
          <w:sz w:val="20"/>
          <w:szCs w:val="20"/>
        </w:rPr>
        <w:t>this smaller AD</w:t>
      </w:r>
      <w:r w:rsidR="00202355" w:rsidRPr="00DB5977">
        <w:rPr>
          <w:rFonts w:ascii="Verdana" w:hAnsi="Verdana"/>
          <w:sz w:val="20"/>
          <w:szCs w:val="20"/>
        </w:rPr>
        <w:t>F</w:t>
      </w:r>
      <w:r w:rsidR="002D21CD" w:rsidRPr="00DB5977">
        <w:rPr>
          <w:rFonts w:ascii="Verdana" w:hAnsi="Verdana"/>
          <w:sz w:val="20"/>
          <w:szCs w:val="20"/>
        </w:rPr>
        <w:t>IT balance would increase rate base, all else equal.</w:t>
      </w:r>
      <w:r w:rsidR="00E42963" w:rsidRPr="00DB5977">
        <w:rPr>
          <w:rFonts w:ascii="Verdana" w:hAnsi="Verdana"/>
          <w:sz w:val="20"/>
          <w:szCs w:val="20"/>
        </w:rPr>
        <w:t xml:space="preserve"> </w:t>
      </w:r>
      <w:r w:rsidR="003F6757" w:rsidRPr="00DB5977">
        <w:rPr>
          <w:rFonts w:ascii="Verdana" w:hAnsi="Verdana"/>
          <w:sz w:val="20"/>
          <w:szCs w:val="20"/>
        </w:rPr>
        <w:t xml:space="preserve">Accordingly, </w:t>
      </w:r>
      <w:r w:rsidR="007B4CF0" w:rsidRPr="00DB5977">
        <w:rPr>
          <w:rFonts w:ascii="Verdana" w:hAnsi="Verdana"/>
          <w:sz w:val="20"/>
          <w:szCs w:val="20"/>
        </w:rPr>
        <w:t xml:space="preserve">utilities would have more </w:t>
      </w:r>
      <w:r w:rsidR="0021132B" w:rsidRPr="00DB5977">
        <w:rPr>
          <w:rFonts w:ascii="Verdana" w:hAnsi="Verdana"/>
          <w:sz w:val="20"/>
          <w:szCs w:val="20"/>
        </w:rPr>
        <w:t>“headroom” in proceedings seeking a</w:t>
      </w:r>
      <w:r w:rsidR="00CF2B34" w:rsidRPr="00DB5977">
        <w:rPr>
          <w:rFonts w:ascii="Verdana" w:hAnsi="Verdana"/>
          <w:sz w:val="20"/>
          <w:szCs w:val="20"/>
        </w:rPr>
        <w:t>dded capital investments</w:t>
      </w:r>
      <w:r w:rsidR="00F6307A" w:rsidRPr="00DB5977">
        <w:rPr>
          <w:rFonts w:ascii="Verdana" w:hAnsi="Verdana"/>
          <w:sz w:val="20"/>
          <w:szCs w:val="20"/>
        </w:rPr>
        <w:t>.</w:t>
      </w:r>
      <w:r w:rsidR="00CF2B34" w:rsidRPr="00DB5977">
        <w:rPr>
          <w:rStyle w:val="FootnoteReference"/>
          <w:rFonts w:ascii="Verdana" w:hAnsi="Verdana"/>
          <w:sz w:val="20"/>
          <w:szCs w:val="20"/>
        </w:rPr>
        <w:footnoteReference w:id="40"/>
      </w:r>
      <w:r w:rsidR="0025065A">
        <w:rPr>
          <w:rFonts w:ascii="Verdana" w:hAnsi="Verdana"/>
          <w:sz w:val="20"/>
          <w:szCs w:val="20"/>
        </w:rPr>
        <w:t xml:space="preserve"> </w:t>
      </w:r>
      <w:r w:rsidR="00A014D9" w:rsidRPr="00DB5977">
        <w:rPr>
          <w:rFonts w:ascii="Verdana" w:hAnsi="Verdana"/>
          <w:sz w:val="20"/>
          <w:szCs w:val="20"/>
        </w:rPr>
        <w:t>Also</w:t>
      </w:r>
      <w:r w:rsidR="00685CC6">
        <w:rPr>
          <w:rFonts w:ascii="Verdana" w:hAnsi="Verdana"/>
          <w:sz w:val="20"/>
          <w:szCs w:val="20"/>
        </w:rPr>
        <w:t>,</w:t>
      </w:r>
      <w:r w:rsidR="00A014D9" w:rsidRPr="00DB5977">
        <w:rPr>
          <w:rFonts w:ascii="Verdana" w:hAnsi="Verdana"/>
          <w:sz w:val="20"/>
          <w:szCs w:val="20"/>
        </w:rPr>
        <w:t xml:space="preserve"> the TCJA </w:t>
      </w:r>
      <w:r w:rsidR="00561D3E" w:rsidRPr="00DB5977">
        <w:rPr>
          <w:rFonts w:ascii="Verdana" w:hAnsi="Verdana"/>
          <w:sz w:val="20"/>
          <w:szCs w:val="20"/>
        </w:rPr>
        <w:t xml:space="preserve">creates a substantial amount of excess deferred taxes because </w:t>
      </w:r>
      <w:r w:rsidR="00733036" w:rsidRPr="00DB5977">
        <w:rPr>
          <w:rFonts w:ascii="Verdana" w:hAnsi="Verdana"/>
          <w:sz w:val="20"/>
          <w:szCs w:val="20"/>
        </w:rPr>
        <w:t xml:space="preserve">the deferred </w:t>
      </w:r>
      <w:r w:rsidR="000872EE" w:rsidRPr="00DB5977">
        <w:rPr>
          <w:rFonts w:ascii="Verdana" w:hAnsi="Verdana"/>
          <w:sz w:val="20"/>
          <w:szCs w:val="20"/>
        </w:rPr>
        <w:t>taxes currently on the Company’s book were collected at a 35 percent tax rate</w:t>
      </w:r>
      <w:r w:rsidR="00141903" w:rsidRPr="00DB5977">
        <w:rPr>
          <w:rFonts w:ascii="Verdana" w:hAnsi="Verdana"/>
          <w:sz w:val="20"/>
          <w:szCs w:val="20"/>
        </w:rPr>
        <w:t xml:space="preserve">. The ADFIT balance </w:t>
      </w:r>
      <w:r w:rsidR="00300630" w:rsidRPr="00DB5977">
        <w:rPr>
          <w:rFonts w:ascii="Verdana" w:hAnsi="Verdana"/>
          <w:sz w:val="20"/>
          <w:szCs w:val="20"/>
        </w:rPr>
        <w:t xml:space="preserve">will be paid at the new 21 percent rate yielding a </w:t>
      </w:r>
      <w:r w:rsidR="00141903" w:rsidRPr="00DB5977">
        <w:rPr>
          <w:rFonts w:ascii="Verdana" w:hAnsi="Verdana"/>
          <w:sz w:val="20"/>
          <w:szCs w:val="20"/>
        </w:rPr>
        <w:t xml:space="preserve">difference </w:t>
      </w:r>
      <w:r w:rsidR="00C72F07" w:rsidRPr="00DB5977">
        <w:rPr>
          <w:rFonts w:ascii="Verdana" w:hAnsi="Verdana"/>
          <w:sz w:val="20"/>
          <w:szCs w:val="20"/>
        </w:rPr>
        <w:t>that is referred to as excess deferred taxes</w:t>
      </w:r>
      <w:r w:rsidR="0081205A" w:rsidRPr="00DB5977">
        <w:rPr>
          <w:rFonts w:ascii="Verdana" w:hAnsi="Verdana"/>
          <w:sz w:val="20"/>
          <w:szCs w:val="20"/>
        </w:rPr>
        <w:t xml:space="preserve">. </w:t>
      </w:r>
      <w:r w:rsidR="00F43DD3" w:rsidRPr="00DB5977">
        <w:rPr>
          <w:rFonts w:ascii="Verdana" w:hAnsi="Verdana"/>
          <w:sz w:val="20"/>
          <w:szCs w:val="20"/>
        </w:rPr>
        <w:t>If</w:t>
      </w:r>
      <w:r w:rsidR="0081205A" w:rsidRPr="00DB5977">
        <w:rPr>
          <w:rFonts w:ascii="Verdana" w:hAnsi="Verdana"/>
          <w:sz w:val="20"/>
          <w:szCs w:val="20"/>
        </w:rPr>
        <w:t xml:space="preserve"> </w:t>
      </w:r>
      <w:r w:rsidR="00CB2EDC" w:rsidRPr="00DB5977">
        <w:rPr>
          <w:rFonts w:ascii="Verdana" w:hAnsi="Verdana"/>
          <w:sz w:val="20"/>
          <w:szCs w:val="20"/>
        </w:rPr>
        <w:t xml:space="preserve">these excess deferred taxes are treated </w:t>
      </w:r>
      <w:r w:rsidR="00C563FB" w:rsidRPr="00DB5977">
        <w:rPr>
          <w:rFonts w:ascii="Verdana" w:hAnsi="Verdana"/>
          <w:sz w:val="20"/>
          <w:szCs w:val="20"/>
        </w:rPr>
        <w:t xml:space="preserve">as protected ADFIT and returned to customers over the </w:t>
      </w:r>
      <w:r w:rsidR="00D42569" w:rsidRPr="00DB5977">
        <w:rPr>
          <w:rFonts w:ascii="Verdana" w:hAnsi="Verdana"/>
          <w:sz w:val="20"/>
          <w:szCs w:val="20"/>
        </w:rPr>
        <w:t>average life of the remaining assets via the Average Rate Assumption Method</w:t>
      </w:r>
      <w:r w:rsidR="00715330" w:rsidRPr="00DB5977">
        <w:rPr>
          <w:rFonts w:ascii="Verdana" w:hAnsi="Verdana"/>
          <w:sz w:val="20"/>
          <w:szCs w:val="20"/>
        </w:rPr>
        <w:t xml:space="preserve">, then cash flows </w:t>
      </w:r>
      <w:r w:rsidR="00F43DD3" w:rsidRPr="00DB5977">
        <w:rPr>
          <w:rFonts w:ascii="Verdana" w:hAnsi="Verdana"/>
          <w:sz w:val="20"/>
          <w:szCs w:val="20"/>
        </w:rPr>
        <w:t>should</w:t>
      </w:r>
      <w:r w:rsidR="00715330" w:rsidRPr="00DB5977">
        <w:rPr>
          <w:rFonts w:ascii="Verdana" w:hAnsi="Verdana"/>
          <w:sz w:val="20"/>
          <w:szCs w:val="20"/>
        </w:rPr>
        <w:t xml:space="preserve"> not be impacted</w:t>
      </w:r>
      <w:r w:rsidR="00C176C2">
        <w:rPr>
          <w:rFonts w:ascii="Verdana" w:hAnsi="Verdana"/>
          <w:sz w:val="20"/>
          <w:szCs w:val="20"/>
        </w:rPr>
        <w:t xml:space="preserve"> in the long run</w:t>
      </w:r>
      <w:r w:rsidR="00715330" w:rsidRPr="00DB5977">
        <w:rPr>
          <w:rFonts w:ascii="Verdana" w:hAnsi="Verdana"/>
          <w:sz w:val="20"/>
          <w:szCs w:val="20"/>
        </w:rPr>
        <w:t>.</w:t>
      </w:r>
      <w:r w:rsidR="004F2A1A" w:rsidRPr="00DB5977">
        <w:rPr>
          <w:rFonts w:ascii="Verdana" w:hAnsi="Verdana"/>
          <w:sz w:val="20"/>
          <w:szCs w:val="20"/>
        </w:rPr>
        <w:t xml:space="preserve"> </w:t>
      </w:r>
    </w:p>
    <w:p w14:paraId="40CD1725" w14:textId="5183E1E5" w:rsidR="005914F8" w:rsidRPr="00DB5977" w:rsidRDefault="00685CC6" w:rsidP="00486739">
      <w:pPr>
        <w:pStyle w:val="DirectAnswer"/>
        <w:numPr>
          <w:ilvl w:val="0"/>
          <w:numId w:val="0"/>
        </w:numPr>
        <w:ind w:left="720" w:firstLine="720"/>
        <w:jc w:val="both"/>
        <w:rPr>
          <w:rFonts w:ascii="Verdana" w:hAnsi="Verdana"/>
          <w:sz w:val="20"/>
          <w:szCs w:val="20"/>
        </w:rPr>
      </w:pPr>
      <w:r>
        <w:rPr>
          <w:rFonts w:ascii="Verdana" w:hAnsi="Verdana"/>
          <w:sz w:val="20"/>
          <w:szCs w:val="20"/>
        </w:rPr>
        <w:t>Finally</w:t>
      </w:r>
      <w:r w:rsidR="00D5644B" w:rsidRPr="00DB5977">
        <w:rPr>
          <w:rFonts w:ascii="Verdana" w:hAnsi="Verdana"/>
          <w:sz w:val="20"/>
          <w:szCs w:val="20"/>
        </w:rPr>
        <w:t xml:space="preserve">, </w:t>
      </w:r>
      <w:r w:rsidR="0020692A" w:rsidRPr="00DB5977">
        <w:rPr>
          <w:rFonts w:ascii="Verdana" w:hAnsi="Verdana"/>
          <w:sz w:val="20"/>
          <w:szCs w:val="20"/>
        </w:rPr>
        <w:t xml:space="preserve">to the extent that there is increased risk from the TCJA, these risks impact all utility </w:t>
      </w:r>
      <w:r w:rsidR="00C265EE" w:rsidRPr="00DB5977">
        <w:rPr>
          <w:rFonts w:ascii="Verdana" w:hAnsi="Verdana"/>
          <w:sz w:val="20"/>
          <w:szCs w:val="20"/>
        </w:rPr>
        <w:t xml:space="preserve">companies not just </w:t>
      </w:r>
      <w:r>
        <w:rPr>
          <w:rFonts w:ascii="Verdana" w:hAnsi="Verdana"/>
          <w:sz w:val="20"/>
          <w:szCs w:val="20"/>
        </w:rPr>
        <w:t>Georgia Power</w:t>
      </w:r>
      <w:r w:rsidR="00C265EE" w:rsidRPr="00DB5977">
        <w:rPr>
          <w:rFonts w:ascii="Verdana" w:hAnsi="Verdana"/>
          <w:sz w:val="20"/>
          <w:szCs w:val="20"/>
        </w:rPr>
        <w:t xml:space="preserve">. Therefore, there is no increased risk for the Company relative to the </w:t>
      </w:r>
      <w:r w:rsidR="009B53D3">
        <w:rPr>
          <w:rFonts w:ascii="Verdana" w:hAnsi="Verdana"/>
          <w:sz w:val="20"/>
          <w:szCs w:val="20"/>
        </w:rPr>
        <w:t>proxy group</w:t>
      </w:r>
      <w:r w:rsidR="00CB556F" w:rsidRPr="00DB5977">
        <w:rPr>
          <w:rFonts w:ascii="Verdana" w:hAnsi="Verdana"/>
          <w:sz w:val="20"/>
          <w:szCs w:val="20"/>
        </w:rPr>
        <w:t>, and any adjustment to the estimate</w:t>
      </w:r>
      <w:r>
        <w:rPr>
          <w:rFonts w:ascii="Verdana" w:hAnsi="Verdana"/>
          <w:sz w:val="20"/>
          <w:szCs w:val="20"/>
        </w:rPr>
        <w:t>d</w:t>
      </w:r>
      <w:r w:rsidR="00CB556F" w:rsidRPr="00DB5977">
        <w:rPr>
          <w:rFonts w:ascii="Verdana" w:hAnsi="Verdana"/>
          <w:sz w:val="20"/>
          <w:szCs w:val="20"/>
        </w:rPr>
        <w:t xml:space="preserve"> ROE is no</w:t>
      </w:r>
      <w:r w:rsidR="00380F3C" w:rsidRPr="00DB5977">
        <w:rPr>
          <w:rFonts w:ascii="Verdana" w:hAnsi="Verdana"/>
          <w:sz w:val="20"/>
          <w:szCs w:val="20"/>
        </w:rPr>
        <w:t>t</w:t>
      </w:r>
      <w:r w:rsidR="00CB556F" w:rsidRPr="00DB5977">
        <w:rPr>
          <w:rFonts w:ascii="Verdana" w:hAnsi="Verdana"/>
          <w:sz w:val="20"/>
          <w:szCs w:val="20"/>
        </w:rPr>
        <w:t xml:space="preserve"> necessary.</w:t>
      </w:r>
      <w:r w:rsidR="0025065A">
        <w:rPr>
          <w:rFonts w:ascii="Verdana" w:hAnsi="Verdana"/>
          <w:sz w:val="20"/>
          <w:szCs w:val="20"/>
        </w:rPr>
        <w:t xml:space="preserve"> </w:t>
      </w:r>
    </w:p>
    <w:p w14:paraId="16FDC5C1" w14:textId="7E800E8E" w:rsidR="00B62623" w:rsidRPr="00DB5977" w:rsidRDefault="00B62623" w:rsidP="00486739">
      <w:pPr>
        <w:pStyle w:val="DirectQuestion"/>
      </w:pPr>
      <w:r w:rsidRPr="00DB5977">
        <w:t xml:space="preserve">How has </w:t>
      </w:r>
      <w:r w:rsidR="00C176C2">
        <w:t>the commission</w:t>
      </w:r>
      <w:r w:rsidRPr="00DB5977">
        <w:t xml:space="preserve"> addressed the changes incurred by the t</w:t>
      </w:r>
      <w:r w:rsidR="00165FCC" w:rsidRPr="00DB5977">
        <w:t>cja?</w:t>
      </w:r>
    </w:p>
    <w:p w14:paraId="20983264" w14:textId="54203EF8" w:rsidR="001A372D" w:rsidRDefault="00D55FC9" w:rsidP="00486739">
      <w:pPr>
        <w:pStyle w:val="DirectAnswer"/>
        <w:jc w:val="both"/>
        <w:rPr>
          <w:rFonts w:ascii="Verdana" w:hAnsi="Verdana"/>
          <w:sz w:val="20"/>
          <w:szCs w:val="20"/>
        </w:rPr>
      </w:pPr>
      <w:r w:rsidRPr="00DB5977">
        <w:rPr>
          <w:rFonts w:ascii="Verdana" w:hAnsi="Verdana"/>
          <w:sz w:val="20"/>
          <w:szCs w:val="20"/>
        </w:rPr>
        <w:t>Pursuant to the Commission’s Order in the 201</w:t>
      </w:r>
      <w:r w:rsidR="00A8362B">
        <w:rPr>
          <w:rFonts w:ascii="Verdana" w:hAnsi="Verdana"/>
          <w:sz w:val="20"/>
          <w:szCs w:val="20"/>
        </w:rPr>
        <w:t>3</w:t>
      </w:r>
      <w:r w:rsidRPr="00DB5977">
        <w:rPr>
          <w:rFonts w:ascii="Verdana" w:hAnsi="Verdana"/>
          <w:sz w:val="20"/>
          <w:szCs w:val="20"/>
        </w:rPr>
        <w:t xml:space="preserve"> </w:t>
      </w:r>
      <w:r w:rsidR="003806F7">
        <w:rPr>
          <w:rFonts w:ascii="Verdana" w:hAnsi="Verdana"/>
          <w:sz w:val="20"/>
          <w:szCs w:val="20"/>
        </w:rPr>
        <w:t>GRC</w:t>
      </w:r>
      <w:r w:rsidRPr="00DB5977">
        <w:rPr>
          <w:rFonts w:ascii="Verdana" w:hAnsi="Verdana"/>
          <w:sz w:val="20"/>
          <w:szCs w:val="20"/>
        </w:rPr>
        <w:t xml:space="preserve"> in relation to the TCJA, the Commission approved the 2018 TCJA </w:t>
      </w:r>
      <w:r w:rsidR="00A34BD1">
        <w:rPr>
          <w:rFonts w:ascii="Verdana" w:hAnsi="Verdana"/>
          <w:sz w:val="20"/>
          <w:szCs w:val="20"/>
        </w:rPr>
        <w:t>B</w:t>
      </w:r>
      <w:r w:rsidRPr="00DB5977">
        <w:rPr>
          <w:rFonts w:ascii="Verdana" w:hAnsi="Verdana"/>
          <w:sz w:val="20"/>
          <w:szCs w:val="20"/>
        </w:rPr>
        <w:t xml:space="preserve">ase </w:t>
      </w:r>
      <w:r w:rsidR="00A34BD1">
        <w:rPr>
          <w:rFonts w:ascii="Verdana" w:hAnsi="Verdana"/>
          <w:sz w:val="20"/>
          <w:szCs w:val="20"/>
        </w:rPr>
        <w:t>R</w:t>
      </w:r>
      <w:r w:rsidRPr="00DB5977">
        <w:rPr>
          <w:rFonts w:ascii="Verdana" w:hAnsi="Verdana"/>
          <w:sz w:val="20"/>
          <w:szCs w:val="20"/>
        </w:rPr>
        <w:t xml:space="preserve">ates </w:t>
      </w:r>
      <w:r w:rsidR="00A34BD1">
        <w:rPr>
          <w:rFonts w:ascii="Verdana" w:hAnsi="Verdana"/>
          <w:sz w:val="20"/>
          <w:szCs w:val="20"/>
        </w:rPr>
        <w:t>S</w:t>
      </w:r>
      <w:r w:rsidRPr="00DB5977">
        <w:rPr>
          <w:rFonts w:ascii="Verdana" w:hAnsi="Verdana"/>
          <w:sz w:val="20"/>
          <w:szCs w:val="20"/>
        </w:rPr>
        <w:t>ettlement.</w:t>
      </w:r>
      <w:r w:rsidRPr="00DB5977">
        <w:rPr>
          <w:rStyle w:val="FootnoteReference"/>
          <w:rFonts w:ascii="Verdana" w:hAnsi="Verdana"/>
          <w:sz w:val="20"/>
          <w:szCs w:val="20"/>
        </w:rPr>
        <w:footnoteReference w:id="41"/>
      </w:r>
      <w:r w:rsidRPr="00DB5977">
        <w:rPr>
          <w:rFonts w:ascii="Verdana" w:hAnsi="Verdana"/>
          <w:sz w:val="20"/>
          <w:szCs w:val="20"/>
        </w:rPr>
        <w:t xml:space="preserve"> The </w:t>
      </w:r>
      <w:r w:rsidR="009B53D3">
        <w:rPr>
          <w:rFonts w:ascii="Verdana" w:hAnsi="Verdana"/>
          <w:sz w:val="20"/>
          <w:szCs w:val="20"/>
        </w:rPr>
        <w:t>O</w:t>
      </w:r>
      <w:r w:rsidR="00A8362B">
        <w:rPr>
          <w:rFonts w:ascii="Verdana" w:hAnsi="Verdana"/>
          <w:sz w:val="20"/>
          <w:szCs w:val="20"/>
        </w:rPr>
        <w:t>rder contained four</w:t>
      </w:r>
      <w:r w:rsidRPr="00DB5977">
        <w:rPr>
          <w:rFonts w:ascii="Verdana" w:hAnsi="Verdana"/>
          <w:sz w:val="20"/>
          <w:szCs w:val="20"/>
        </w:rPr>
        <w:t xml:space="preserve"> major provisions</w:t>
      </w:r>
      <w:r w:rsidR="00A8362B">
        <w:rPr>
          <w:rFonts w:ascii="Verdana" w:hAnsi="Verdana"/>
          <w:sz w:val="20"/>
          <w:szCs w:val="20"/>
        </w:rPr>
        <w:t xml:space="preserve">: </w:t>
      </w:r>
    </w:p>
    <w:p w14:paraId="09D1DF6D" w14:textId="77777777" w:rsidR="001A372D" w:rsidRDefault="00A8362B" w:rsidP="001A372D">
      <w:pPr>
        <w:pStyle w:val="DirectAnswer"/>
        <w:numPr>
          <w:ilvl w:val="0"/>
          <w:numId w:val="0"/>
        </w:numPr>
        <w:tabs>
          <w:tab w:val="left" w:pos="1440"/>
        </w:tabs>
        <w:ind w:left="1440"/>
        <w:jc w:val="both"/>
        <w:rPr>
          <w:rFonts w:ascii="Verdana" w:hAnsi="Verdana"/>
          <w:sz w:val="20"/>
          <w:szCs w:val="20"/>
        </w:rPr>
      </w:pPr>
      <w:r>
        <w:rPr>
          <w:rFonts w:ascii="Verdana" w:hAnsi="Verdana"/>
          <w:sz w:val="20"/>
          <w:szCs w:val="20"/>
        </w:rPr>
        <w:t xml:space="preserve">1) Credits to customer bills totaling $185 million in 2018 and $145 million in 2019 for reductions in the Federal tax rate from 35 percent to 21 percent; </w:t>
      </w:r>
    </w:p>
    <w:p w14:paraId="53751BCF" w14:textId="741C9C4A" w:rsidR="001A372D" w:rsidRDefault="00A8362B" w:rsidP="001A372D">
      <w:pPr>
        <w:pStyle w:val="DirectAnswer"/>
        <w:numPr>
          <w:ilvl w:val="0"/>
          <w:numId w:val="0"/>
        </w:numPr>
        <w:ind w:left="1440"/>
        <w:jc w:val="both"/>
        <w:rPr>
          <w:rFonts w:ascii="Verdana" w:hAnsi="Verdana"/>
          <w:sz w:val="20"/>
          <w:szCs w:val="20"/>
        </w:rPr>
      </w:pPr>
      <w:r>
        <w:rPr>
          <w:rFonts w:ascii="Verdana" w:hAnsi="Verdana"/>
          <w:sz w:val="20"/>
          <w:szCs w:val="20"/>
        </w:rPr>
        <w:t xml:space="preserve">2) </w:t>
      </w:r>
      <w:r w:rsidR="001A372D">
        <w:rPr>
          <w:rFonts w:ascii="Verdana" w:hAnsi="Verdana"/>
          <w:sz w:val="20"/>
          <w:szCs w:val="20"/>
        </w:rPr>
        <w:t>Deferral</w:t>
      </w:r>
      <w:r>
        <w:rPr>
          <w:rFonts w:ascii="Verdana" w:hAnsi="Verdana"/>
          <w:sz w:val="20"/>
          <w:szCs w:val="20"/>
        </w:rPr>
        <w:t xml:space="preserve"> in a regulatory liability of protected and unprotected accumulated Deferred Income Taxes (“ADIT”) until the next rate case; </w:t>
      </w:r>
    </w:p>
    <w:p w14:paraId="4EB8AB6A" w14:textId="77777777" w:rsidR="001A372D" w:rsidRDefault="00A8362B" w:rsidP="001A372D">
      <w:pPr>
        <w:pStyle w:val="DirectAnswer"/>
        <w:numPr>
          <w:ilvl w:val="0"/>
          <w:numId w:val="0"/>
        </w:numPr>
        <w:ind w:left="1440"/>
        <w:jc w:val="both"/>
        <w:rPr>
          <w:rFonts w:ascii="Verdana" w:hAnsi="Verdana"/>
          <w:sz w:val="20"/>
          <w:szCs w:val="20"/>
        </w:rPr>
      </w:pPr>
      <w:r>
        <w:rPr>
          <w:rFonts w:ascii="Verdana" w:hAnsi="Verdana"/>
          <w:sz w:val="20"/>
          <w:szCs w:val="20"/>
        </w:rPr>
        <w:t xml:space="preserve">3) A reduction in rate base until the next rate case for lower state income tax rate and excess ADIT; and </w:t>
      </w:r>
    </w:p>
    <w:p w14:paraId="1D94EBD5" w14:textId="1C01A98E" w:rsidR="001A372D" w:rsidRDefault="00A8362B" w:rsidP="001A372D">
      <w:pPr>
        <w:pStyle w:val="DirectAnswer"/>
        <w:numPr>
          <w:ilvl w:val="0"/>
          <w:numId w:val="0"/>
        </w:numPr>
        <w:ind w:left="1440"/>
        <w:jc w:val="both"/>
        <w:rPr>
          <w:rFonts w:ascii="Verdana" w:hAnsi="Verdana"/>
          <w:sz w:val="20"/>
          <w:szCs w:val="20"/>
        </w:rPr>
      </w:pPr>
      <w:r>
        <w:rPr>
          <w:rFonts w:ascii="Verdana" w:hAnsi="Verdana"/>
          <w:sz w:val="20"/>
          <w:szCs w:val="20"/>
        </w:rPr>
        <w:t xml:space="preserve">4) </w:t>
      </w:r>
      <w:r w:rsidR="00265DFA">
        <w:rPr>
          <w:rFonts w:ascii="Verdana" w:hAnsi="Verdana"/>
          <w:sz w:val="20"/>
          <w:szCs w:val="20"/>
        </w:rPr>
        <w:t>S</w:t>
      </w:r>
      <w:r>
        <w:rPr>
          <w:rFonts w:ascii="Verdana" w:hAnsi="Verdana"/>
          <w:sz w:val="20"/>
          <w:szCs w:val="20"/>
        </w:rPr>
        <w:t>tarting in 2018, for ASR purposes only, the common equity in the rate of return will be set at the lower of: a) the actual common equity weight in capital structure or b) 55 percent until the next rate case</w:t>
      </w:r>
      <w:r w:rsidR="00D55FC9" w:rsidRPr="00DB5977">
        <w:rPr>
          <w:rFonts w:ascii="Verdana" w:hAnsi="Verdana"/>
          <w:sz w:val="20"/>
          <w:szCs w:val="20"/>
        </w:rPr>
        <w:t xml:space="preserve">. </w:t>
      </w:r>
    </w:p>
    <w:p w14:paraId="1E8F7AB3" w14:textId="4F93D94B" w:rsidR="00D76DFA" w:rsidRPr="001A372D" w:rsidRDefault="00D55FC9" w:rsidP="001A372D">
      <w:pPr>
        <w:pStyle w:val="DirectAnswer"/>
        <w:numPr>
          <w:ilvl w:val="0"/>
          <w:numId w:val="0"/>
        </w:numPr>
        <w:ind w:left="720" w:firstLine="720"/>
        <w:jc w:val="both"/>
        <w:rPr>
          <w:rFonts w:ascii="Verdana" w:hAnsi="Verdana"/>
          <w:sz w:val="20"/>
          <w:szCs w:val="20"/>
        </w:rPr>
      </w:pPr>
      <w:r w:rsidRPr="00DB5977">
        <w:rPr>
          <w:rFonts w:ascii="Verdana" w:hAnsi="Verdana"/>
          <w:sz w:val="20"/>
          <w:szCs w:val="20"/>
        </w:rPr>
        <w:t xml:space="preserve">The benefits </w:t>
      </w:r>
      <w:r w:rsidR="00D76DFA">
        <w:rPr>
          <w:rFonts w:ascii="Verdana" w:hAnsi="Verdana"/>
          <w:sz w:val="20"/>
          <w:szCs w:val="20"/>
        </w:rPr>
        <w:t xml:space="preserve">enumerated above under 1 through 3 </w:t>
      </w:r>
      <w:r w:rsidRPr="00DB5977">
        <w:rPr>
          <w:rFonts w:ascii="Verdana" w:hAnsi="Verdana"/>
          <w:sz w:val="20"/>
          <w:szCs w:val="20"/>
        </w:rPr>
        <w:t xml:space="preserve">are similar to the benefits that </w:t>
      </w:r>
      <w:r w:rsidRPr="00706717">
        <w:rPr>
          <w:rFonts w:ascii="Verdana" w:hAnsi="Verdana"/>
          <w:sz w:val="20"/>
          <w:szCs w:val="20"/>
        </w:rPr>
        <w:t xml:space="preserve">were provided by other utilities in many states. </w:t>
      </w:r>
      <w:r w:rsidR="00D76DFA">
        <w:rPr>
          <w:rFonts w:ascii="Verdana" w:hAnsi="Verdana"/>
          <w:sz w:val="20"/>
          <w:szCs w:val="20"/>
        </w:rPr>
        <w:t xml:space="preserve">Numeral four above, related to </w:t>
      </w:r>
      <w:r w:rsidR="00C2755A">
        <w:rPr>
          <w:rFonts w:ascii="Verdana" w:hAnsi="Verdana"/>
          <w:sz w:val="20"/>
          <w:szCs w:val="20"/>
        </w:rPr>
        <w:t xml:space="preserve">the </w:t>
      </w:r>
      <w:r w:rsidR="00D76DFA">
        <w:rPr>
          <w:rFonts w:ascii="Verdana" w:hAnsi="Verdana"/>
          <w:sz w:val="20"/>
          <w:szCs w:val="20"/>
        </w:rPr>
        <w:t>common equity percentage for capital structure purposes</w:t>
      </w:r>
      <w:r w:rsidR="009B53D3">
        <w:rPr>
          <w:rFonts w:ascii="Verdana" w:hAnsi="Verdana"/>
          <w:sz w:val="20"/>
          <w:szCs w:val="20"/>
        </w:rPr>
        <w:t>,</w:t>
      </w:r>
      <w:r w:rsidR="00D76DFA">
        <w:rPr>
          <w:rFonts w:ascii="Verdana" w:hAnsi="Verdana"/>
          <w:sz w:val="20"/>
          <w:szCs w:val="20"/>
        </w:rPr>
        <w:t xml:space="preserve"> is </w:t>
      </w:r>
      <w:r w:rsidRPr="00706717">
        <w:rPr>
          <w:rFonts w:ascii="Verdana" w:hAnsi="Verdana"/>
          <w:sz w:val="20"/>
          <w:szCs w:val="20"/>
        </w:rPr>
        <w:t>fairly unique to Georgia</w:t>
      </w:r>
      <w:r w:rsidR="009B53D3" w:rsidRPr="004E5399">
        <w:rPr>
          <w:rFonts w:ascii="Verdana" w:hAnsi="Verdana"/>
          <w:sz w:val="20"/>
          <w:szCs w:val="20"/>
        </w:rPr>
        <w:t>.</w:t>
      </w:r>
      <w:r w:rsidRPr="004E5399">
        <w:rPr>
          <w:rFonts w:ascii="Verdana" w:hAnsi="Verdana"/>
          <w:sz w:val="20"/>
          <w:szCs w:val="20"/>
        </w:rPr>
        <w:t xml:space="preserve"> </w:t>
      </w:r>
      <w:r w:rsidR="00D83522" w:rsidRPr="004E5399">
        <w:rPr>
          <w:rFonts w:ascii="Verdana" w:hAnsi="Verdana"/>
          <w:sz w:val="20"/>
          <w:szCs w:val="20"/>
        </w:rPr>
        <w:t>In its</w:t>
      </w:r>
      <w:r w:rsidR="00D83522" w:rsidRPr="001A372D">
        <w:rPr>
          <w:rFonts w:ascii="Verdana" w:hAnsi="Verdana"/>
          <w:sz w:val="20"/>
          <w:szCs w:val="20"/>
        </w:rPr>
        <w:t xml:space="preserve"> 2018 ASR filing, the Company was able to use the 55 percent weight on capital structure to reduce the amount of revenue sharing with retail customers. This provision of the </w:t>
      </w:r>
      <w:r w:rsidR="00D76DFA" w:rsidRPr="001A372D">
        <w:rPr>
          <w:rFonts w:ascii="Verdana" w:hAnsi="Verdana"/>
          <w:sz w:val="20"/>
          <w:szCs w:val="20"/>
        </w:rPr>
        <w:t>Order</w:t>
      </w:r>
      <w:r w:rsidR="00D83522" w:rsidRPr="001A372D">
        <w:rPr>
          <w:rFonts w:ascii="Verdana" w:hAnsi="Verdana"/>
          <w:sz w:val="20"/>
          <w:szCs w:val="20"/>
        </w:rPr>
        <w:t xml:space="preserve"> provided cash flow </w:t>
      </w:r>
      <w:r w:rsidR="00D76DFA" w:rsidRPr="001A372D">
        <w:rPr>
          <w:rFonts w:ascii="Verdana" w:hAnsi="Verdana"/>
          <w:sz w:val="20"/>
          <w:szCs w:val="20"/>
        </w:rPr>
        <w:t xml:space="preserve">and credit risk </w:t>
      </w:r>
      <w:r w:rsidR="00D83522" w:rsidRPr="001A372D">
        <w:rPr>
          <w:rFonts w:ascii="Verdana" w:hAnsi="Verdana"/>
          <w:sz w:val="20"/>
          <w:szCs w:val="20"/>
        </w:rPr>
        <w:t>relief to Georgia Power</w:t>
      </w:r>
      <w:r w:rsidR="00D76DFA" w:rsidRPr="001A372D">
        <w:rPr>
          <w:rFonts w:ascii="Verdana" w:hAnsi="Verdana"/>
          <w:sz w:val="20"/>
          <w:szCs w:val="20"/>
        </w:rPr>
        <w:t xml:space="preserve"> as reflected in the hearing that took place on October 1, 2019</w:t>
      </w:r>
      <w:r w:rsidR="001A372D" w:rsidRPr="001A372D">
        <w:rPr>
          <w:rFonts w:ascii="Verdana" w:hAnsi="Verdana"/>
          <w:sz w:val="20"/>
          <w:szCs w:val="20"/>
        </w:rPr>
        <w:t>,</w:t>
      </w:r>
      <w:r w:rsidR="00D76DFA" w:rsidRPr="001A372D">
        <w:rPr>
          <w:rFonts w:ascii="Verdana" w:hAnsi="Verdana"/>
          <w:sz w:val="20"/>
          <w:szCs w:val="20"/>
        </w:rPr>
        <w:t xml:space="preserve"> whereby Georgia Power’s </w:t>
      </w:r>
      <w:r w:rsidR="008E45EA">
        <w:rPr>
          <w:rFonts w:ascii="Verdana" w:hAnsi="Verdana"/>
          <w:sz w:val="20"/>
          <w:szCs w:val="20"/>
        </w:rPr>
        <w:t xml:space="preserve">witness David P. </w:t>
      </w:r>
      <w:proofErr w:type="spellStart"/>
      <w:r w:rsidR="008E45EA">
        <w:rPr>
          <w:rFonts w:ascii="Verdana" w:hAnsi="Verdana"/>
          <w:sz w:val="20"/>
          <w:szCs w:val="20"/>
        </w:rPr>
        <w:t>Poroch</w:t>
      </w:r>
      <w:proofErr w:type="spellEnd"/>
      <w:r w:rsidR="008E45EA">
        <w:rPr>
          <w:rFonts w:ascii="Verdana" w:hAnsi="Verdana"/>
          <w:sz w:val="20"/>
          <w:szCs w:val="20"/>
        </w:rPr>
        <w:t xml:space="preserve">, </w:t>
      </w:r>
      <w:r w:rsidR="00D76DFA" w:rsidRPr="001A372D">
        <w:rPr>
          <w:rFonts w:ascii="Verdana" w:hAnsi="Verdana"/>
          <w:sz w:val="20"/>
          <w:szCs w:val="20"/>
        </w:rPr>
        <w:t>Executive Vice President, Chief Financial Officer, Treasurer and Comptroller stated</w:t>
      </w:r>
      <w:r w:rsidR="00265DFA">
        <w:rPr>
          <w:rFonts w:ascii="Verdana" w:hAnsi="Verdana"/>
          <w:sz w:val="20"/>
          <w:szCs w:val="20"/>
        </w:rPr>
        <w:t>:</w:t>
      </w:r>
      <w:r w:rsidR="00D76DFA" w:rsidRPr="001A372D">
        <w:rPr>
          <w:rFonts w:ascii="Verdana" w:hAnsi="Verdana"/>
          <w:sz w:val="20"/>
          <w:szCs w:val="20"/>
        </w:rPr>
        <w:t xml:space="preserve">  </w:t>
      </w:r>
    </w:p>
    <w:p w14:paraId="0162F907" w14:textId="1F2A885D" w:rsidR="00D76DFA" w:rsidRPr="001A372D" w:rsidRDefault="00D76DFA" w:rsidP="00574BE6">
      <w:pPr>
        <w:pStyle w:val="Qoute"/>
        <w:rPr>
          <w:rFonts w:eastAsiaTheme="minorHAnsi"/>
        </w:rPr>
      </w:pPr>
      <w:r w:rsidRPr="001A372D">
        <w:t>…the Tax Cuts and Jobs Act has put pretty significant pressure on our credit metrics. So from a credit risk perspective I think that the Tax Cuts and Jobs Act has increased our credit risk. And the company and the Commission recognized that in the spring of 2018 where we agreed on how to address the impacts of the Tax Cuts and Jobs Act in order to supplement our equity to protect that credit rating.</w:t>
      </w:r>
      <w:r w:rsidRPr="001A372D">
        <w:rPr>
          <w:rStyle w:val="FootnoteReference"/>
        </w:rPr>
        <w:footnoteReference w:id="42"/>
      </w:r>
    </w:p>
    <w:p w14:paraId="4CF82668" w14:textId="7603FEF7" w:rsidR="00D76DFA" w:rsidRPr="001A372D" w:rsidRDefault="00D76DFA" w:rsidP="00D76DFA">
      <w:pPr>
        <w:pStyle w:val="DirectNext"/>
        <w:spacing w:after="240"/>
        <w:ind w:firstLine="0"/>
        <w:rPr>
          <w:rFonts w:ascii="Verdana" w:hAnsi="Verdana"/>
          <w:sz w:val="20"/>
          <w:szCs w:val="20"/>
        </w:rPr>
      </w:pPr>
      <w:r w:rsidRPr="001A372D">
        <w:rPr>
          <w:rFonts w:ascii="Verdana" w:hAnsi="Verdana"/>
          <w:sz w:val="20"/>
          <w:szCs w:val="20"/>
        </w:rPr>
        <w:t>Further, Georgia Power’s witness Steven Fetter added at the hearing:</w:t>
      </w:r>
    </w:p>
    <w:p w14:paraId="2E27E15F" w14:textId="3C0B8507" w:rsidR="0017498B" w:rsidRPr="001A372D" w:rsidRDefault="00D76DFA" w:rsidP="00FB590C">
      <w:pPr>
        <w:pStyle w:val="Qoute"/>
      </w:pPr>
      <w:r w:rsidRPr="001A372D">
        <w:t xml:space="preserve">With those rating agency positions in mind, the Georgia Public Service Commission is viewed very positively.  Moody's, citing the Commission's strong regulatory support for continuation of construction of the </w:t>
      </w:r>
      <w:proofErr w:type="spellStart"/>
      <w:r w:rsidRPr="001A372D">
        <w:t>Vogtle</w:t>
      </w:r>
      <w:proofErr w:type="spellEnd"/>
      <w:r w:rsidRPr="001A372D">
        <w:t xml:space="preserve"> new nuclear plant, </w:t>
      </w:r>
      <w:r w:rsidRPr="001A372D">
        <w:rPr>
          <w:u w:val="single"/>
        </w:rPr>
        <w:t>and a settlement agreement that increased the company's equity ratio to mitigate the negative cash flow effects from the recent U.S. tax legislation,</w:t>
      </w:r>
      <w:r w:rsidRPr="001A372D">
        <w:t xml:space="preserve"> stated that Georgia's overall regulatory environment remains credit supportive.</w:t>
      </w:r>
      <w:r w:rsidR="001A372D" w:rsidRPr="001A372D">
        <w:rPr>
          <w:rStyle w:val="FootnoteReference"/>
        </w:rPr>
        <w:footnoteReference w:id="43"/>
      </w:r>
      <w:r w:rsidRPr="001A372D">
        <w:t xml:space="preserve">  [Emphasis added]</w:t>
      </w:r>
    </w:p>
    <w:p w14:paraId="4AFDD719" w14:textId="238CD97F" w:rsidR="000B75D7" w:rsidRPr="001A372D" w:rsidRDefault="0025065A" w:rsidP="0025065A">
      <w:pPr>
        <w:pStyle w:val="Heading1"/>
        <w:numPr>
          <w:ilvl w:val="0"/>
          <w:numId w:val="0"/>
        </w:numPr>
        <w:rPr>
          <w:rFonts w:ascii="Verdana" w:hAnsi="Verdana" w:cstheme="minorHAnsi"/>
          <w:sz w:val="20"/>
          <w:szCs w:val="22"/>
        </w:rPr>
      </w:pPr>
      <w:bookmarkStart w:id="37" w:name="_Toc21873145"/>
      <w:r w:rsidRPr="001A372D">
        <w:rPr>
          <w:rFonts w:ascii="Verdana" w:hAnsi="Verdana" w:cstheme="minorHAnsi"/>
          <w:sz w:val="20"/>
          <w:szCs w:val="20"/>
          <w:u w:val="none"/>
        </w:rPr>
        <w:t>VII</w:t>
      </w:r>
      <w:r w:rsidR="00157D9F">
        <w:rPr>
          <w:rFonts w:ascii="Verdana" w:hAnsi="Verdana" w:cstheme="minorHAnsi"/>
          <w:sz w:val="20"/>
          <w:szCs w:val="20"/>
          <w:u w:val="none"/>
        </w:rPr>
        <w:t>I</w:t>
      </w:r>
      <w:r w:rsidRPr="001A372D">
        <w:rPr>
          <w:rFonts w:ascii="Verdana" w:hAnsi="Verdana" w:cstheme="minorHAnsi"/>
          <w:sz w:val="20"/>
          <w:szCs w:val="20"/>
          <w:u w:val="none"/>
        </w:rPr>
        <w:t xml:space="preserve">. </w:t>
      </w:r>
      <w:r w:rsidR="000B75D7" w:rsidRPr="001A372D">
        <w:rPr>
          <w:rFonts w:ascii="Verdana" w:hAnsi="Verdana" w:cstheme="minorHAnsi"/>
          <w:sz w:val="20"/>
          <w:szCs w:val="22"/>
        </w:rPr>
        <w:t>FLOTATION COSTS</w:t>
      </w:r>
      <w:bookmarkEnd w:id="37"/>
    </w:p>
    <w:p w14:paraId="0731AEE8" w14:textId="77777777" w:rsidR="00565218" w:rsidRPr="00DB5977" w:rsidRDefault="00565218" w:rsidP="00486739">
      <w:pPr>
        <w:pStyle w:val="DirectQuestion"/>
      </w:pPr>
      <w:r w:rsidRPr="001A372D">
        <w:t>HAVE YOU READ dr. Vander weide’s TESTIMONY A</w:t>
      </w:r>
      <w:r w:rsidRPr="00DB5977">
        <w:t xml:space="preserve">T PAGE 28 </w:t>
      </w:r>
      <w:r w:rsidR="005D3412" w:rsidRPr="00DB5977">
        <w:t xml:space="preserve">and Appendix 3 </w:t>
      </w:r>
      <w:r w:rsidRPr="00DB5977">
        <w:t xml:space="preserve">WHERE HE RECOMMENDS </w:t>
      </w:r>
      <w:r w:rsidR="00A34BD1">
        <w:t xml:space="preserve">that </w:t>
      </w:r>
      <w:r w:rsidRPr="00DB5977">
        <w:t>THE COMMISSION ALLOW THE COMPANY TO RECOVER FLOTATION COSTS?</w:t>
      </w:r>
    </w:p>
    <w:p w14:paraId="180F9F13" w14:textId="6FBA4344" w:rsidR="00565218" w:rsidRPr="00DB5977" w:rsidRDefault="00565218" w:rsidP="00486739">
      <w:pPr>
        <w:pStyle w:val="DirectAnswer"/>
        <w:jc w:val="both"/>
        <w:rPr>
          <w:rFonts w:ascii="Verdana" w:hAnsi="Verdana"/>
          <w:sz w:val="20"/>
          <w:szCs w:val="20"/>
        </w:rPr>
      </w:pPr>
      <w:r w:rsidRPr="00DB5977">
        <w:rPr>
          <w:rFonts w:ascii="Verdana" w:hAnsi="Verdana"/>
          <w:sz w:val="20"/>
          <w:szCs w:val="20"/>
        </w:rPr>
        <w:t xml:space="preserve">Yes, Dr. Vander </w:t>
      </w:r>
      <w:proofErr w:type="spellStart"/>
      <w:r w:rsidRPr="00DB5977">
        <w:rPr>
          <w:rFonts w:ascii="Verdana" w:hAnsi="Verdana"/>
          <w:sz w:val="20"/>
          <w:szCs w:val="20"/>
        </w:rPr>
        <w:t>Weide</w:t>
      </w:r>
      <w:proofErr w:type="spellEnd"/>
      <w:r w:rsidRPr="00DB5977">
        <w:rPr>
          <w:rFonts w:ascii="Verdana" w:hAnsi="Verdana"/>
          <w:sz w:val="20"/>
          <w:szCs w:val="20"/>
        </w:rPr>
        <w:t xml:space="preserve"> modifies his DCF calculation to </w:t>
      </w:r>
      <w:r w:rsidR="005D3412" w:rsidRPr="00DB5977">
        <w:rPr>
          <w:rFonts w:ascii="Verdana" w:hAnsi="Verdana"/>
          <w:sz w:val="20"/>
          <w:szCs w:val="20"/>
        </w:rPr>
        <w:t xml:space="preserve">include a </w:t>
      </w:r>
      <w:r w:rsidR="00A34BD1">
        <w:rPr>
          <w:rFonts w:ascii="Verdana" w:hAnsi="Verdana"/>
          <w:sz w:val="20"/>
          <w:szCs w:val="20"/>
        </w:rPr>
        <w:t>5</w:t>
      </w:r>
      <w:r w:rsidR="00A34BD1" w:rsidRPr="00DB5977">
        <w:rPr>
          <w:rFonts w:ascii="Verdana" w:hAnsi="Verdana"/>
          <w:sz w:val="20"/>
          <w:szCs w:val="20"/>
        </w:rPr>
        <w:t xml:space="preserve"> </w:t>
      </w:r>
      <w:r w:rsidR="005D3412" w:rsidRPr="00DB5977">
        <w:rPr>
          <w:rFonts w:ascii="Verdana" w:hAnsi="Verdana"/>
          <w:sz w:val="20"/>
          <w:szCs w:val="20"/>
        </w:rPr>
        <w:t xml:space="preserve">percent allowance for flotation costs. </w:t>
      </w:r>
      <w:r w:rsidR="00CB670A" w:rsidRPr="00DB5977">
        <w:rPr>
          <w:rFonts w:ascii="Verdana" w:hAnsi="Verdana"/>
          <w:sz w:val="20"/>
          <w:szCs w:val="20"/>
        </w:rPr>
        <w:t>(</w:t>
      </w:r>
      <w:r w:rsidR="00CB670A" w:rsidRPr="00DB5977">
        <w:rPr>
          <w:rFonts w:ascii="Verdana" w:hAnsi="Verdana"/>
          <w:i/>
          <w:sz w:val="20"/>
          <w:szCs w:val="20"/>
          <w:u w:val="single"/>
        </w:rPr>
        <w:t>See</w:t>
      </w:r>
      <w:r w:rsidR="00CB670A" w:rsidRPr="00DB5977">
        <w:rPr>
          <w:rFonts w:ascii="Verdana" w:hAnsi="Verdana"/>
          <w:iCs/>
          <w:sz w:val="20"/>
          <w:szCs w:val="20"/>
        </w:rPr>
        <w:t xml:space="preserve"> Vander </w:t>
      </w:r>
      <w:proofErr w:type="spellStart"/>
      <w:r w:rsidR="00CB670A" w:rsidRPr="00DB5977">
        <w:rPr>
          <w:rFonts w:ascii="Verdana" w:hAnsi="Verdana"/>
          <w:iCs/>
          <w:sz w:val="20"/>
          <w:szCs w:val="20"/>
        </w:rPr>
        <w:t>Weide</w:t>
      </w:r>
      <w:proofErr w:type="spellEnd"/>
      <w:r w:rsidR="00CB670A" w:rsidRPr="00DB5977">
        <w:rPr>
          <w:rFonts w:ascii="Verdana" w:hAnsi="Verdana"/>
          <w:iCs/>
          <w:sz w:val="20"/>
          <w:szCs w:val="20"/>
        </w:rPr>
        <w:t xml:space="preserve"> Direct</w:t>
      </w:r>
      <w:r w:rsidR="00CB670A" w:rsidRPr="00DB5977">
        <w:rPr>
          <w:rFonts w:ascii="Verdana" w:hAnsi="Verdana"/>
          <w:sz w:val="20"/>
          <w:szCs w:val="20"/>
        </w:rPr>
        <w:t xml:space="preserve"> Testimony</w:t>
      </w:r>
      <w:r w:rsidR="007417C9">
        <w:rPr>
          <w:rFonts w:ascii="Verdana" w:hAnsi="Verdana"/>
          <w:sz w:val="20"/>
          <w:szCs w:val="20"/>
        </w:rPr>
        <w:t xml:space="preserve">, </w:t>
      </w:r>
      <w:r w:rsidR="00CB670A" w:rsidRPr="00DB5977">
        <w:rPr>
          <w:rFonts w:ascii="Verdana" w:hAnsi="Verdana"/>
          <w:sz w:val="20"/>
          <w:szCs w:val="20"/>
        </w:rPr>
        <w:t>28</w:t>
      </w:r>
      <w:r w:rsidR="00A34BD1">
        <w:rPr>
          <w:rFonts w:ascii="Verdana" w:hAnsi="Verdana"/>
          <w:sz w:val="20"/>
          <w:szCs w:val="20"/>
        </w:rPr>
        <w:t>:</w:t>
      </w:r>
      <w:r w:rsidR="00D119F0" w:rsidRPr="00DB5977">
        <w:rPr>
          <w:rFonts w:ascii="Verdana" w:hAnsi="Verdana"/>
          <w:sz w:val="20"/>
          <w:szCs w:val="20"/>
        </w:rPr>
        <w:t>23-24</w:t>
      </w:r>
      <w:r w:rsidR="00CB670A" w:rsidRPr="00DB5977">
        <w:rPr>
          <w:rFonts w:ascii="Verdana" w:hAnsi="Verdana"/>
          <w:sz w:val="20"/>
          <w:szCs w:val="20"/>
        </w:rPr>
        <w:t>.)</w:t>
      </w:r>
      <w:r w:rsidR="00CB670A" w:rsidRPr="00DB5977">
        <w:rPr>
          <w:rFonts w:ascii="Verdana" w:hAnsi="Verdana"/>
          <w:i/>
          <w:sz w:val="20"/>
          <w:szCs w:val="20"/>
        </w:rPr>
        <w:t xml:space="preserve"> </w:t>
      </w:r>
      <w:r w:rsidR="005D3412" w:rsidRPr="00DB5977">
        <w:rPr>
          <w:rFonts w:ascii="Verdana" w:hAnsi="Verdana"/>
          <w:sz w:val="20"/>
          <w:szCs w:val="20"/>
        </w:rPr>
        <w:t>Specifically, in Appendix 3</w:t>
      </w:r>
      <w:r w:rsidR="00A34BD1">
        <w:rPr>
          <w:rFonts w:ascii="Verdana" w:hAnsi="Verdana"/>
          <w:sz w:val="20"/>
          <w:szCs w:val="20"/>
        </w:rPr>
        <w:t>,</w:t>
      </w:r>
      <w:r w:rsidR="005D3412" w:rsidRPr="00DB5977">
        <w:rPr>
          <w:rFonts w:ascii="Verdana" w:hAnsi="Verdana"/>
          <w:sz w:val="20"/>
          <w:szCs w:val="20"/>
        </w:rPr>
        <w:t xml:space="preserve"> equation 6, he shows how he adjusts the dividend yield of the DCF equation, which</w:t>
      </w:r>
      <w:r w:rsidRPr="00DB5977">
        <w:rPr>
          <w:rFonts w:ascii="Verdana" w:hAnsi="Verdana"/>
          <w:sz w:val="20"/>
          <w:szCs w:val="20"/>
        </w:rPr>
        <w:t xml:space="preserve"> he claims would reimburse investors for direct issuance costs</w:t>
      </w:r>
      <w:r w:rsidR="005D3412" w:rsidRPr="00DB5977">
        <w:rPr>
          <w:rFonts w:ascii="Verdana" w:hAnsi="Verdana"/>
          <w:sz w:val="20"/>
          <w:szCs w:val="20"/>
        </w:rPr>
        <w:t xml:space="preserve">. </w:t>
      </w:r>
      <w:r w:rsidR="00A02743" w:rsidRPr="00DB5977">
        <w:rPr>
          <w:rFonts w:ascii="Verdana" w:hAnsi="Verdana"/>
          <w:sz w:val="20"/>
          <w:szCs w:val="20"/>
        </w:rPr>
        <w:t xml:space="preserve">Applying his </w:t>
      </w:r>
      <w:r w:rsidR="00A34BD1">
        <w:rPr>
          <w:rFonts w:ascii="Verdana" w:hAnsi="Verdana"/>
          <w:sz w:val="20"/>
          <w:szCs w:val="20"/>
        </w:rPr>
        <w:t>5</w:t>
      </w:r>
      <w:r w:rsidR="00A34BD1" w:rsidRPr="00DB5977">
        <w:rPr>
          <w:rFonts w:ascii="Verdana" w:hAnsi="Verdana"/>
          <w:sz w:val="20"/>
          <w:szCs w:val="20"/>
        </w:rPr>
        <w:t xml:space="preserve"> </w:t>
      </w:r>
      <w:r w:rsidR="00A02743" w:rsidRPr="00DB5977">
        <w:rPr>
          <w:rFonts w:ascii="Verdana" w:hAnsi="Verdana"/>
          <w:sz w:val="20"/>
          <w:szCs w:val="20"/>
        </w:rPr>
        <w:t>percent allowance for flotation costs yields a 20-basis point differen</w:t>
      </w:r>
      <w:r w:rsidR="00DC3270">
        <w:rPr>
          <w:rFonts w:ascii="Verdana" w:hAnsi="Verdana"/>
          <w:sz w:val="20"/>
          <w:szCs w:val="20"/>
        </w:rPr>
        <w:t>tial</w:t>
      </w:r>
      <w:r w:rsidR="00A02743" w:rsidRPr="00DB5977">
        <w:rPr>
          <w:rFonts w:ascii="Verdana" w:hAnsi="Verdana"/>
          <w:sz w:val="20"/>
          <w:szCs w:val="20"/>
        </w:rPr>
        <w:t xml:space="preserve"> when calculating his DCF with the allowance compared to his DCF without the flotation cost allowance. He then applies his 20</w:t>
      </w:r>
      <w:r w:rsidR="00D119F0" w:rsidRPr="00DB5977">
        <w:rPr>
          <w:rFonts w:ascii="Verdana" w:hAnsi="Verdana"/>
          <w:sz w:val="20"/>
          <w:szCs w:val="20"/>
        </w:rPr>
        <w:t>-</w:t>
      </w:r>
      <w:r w:rsidR="00A02743" w:rsidRPr="00DB5977">
        <w:rPr>
          <w:rFonts w:ascii="Verdana" w:hAnsi="Verdana"/>
          <w:sz w:val="20"/>
          <w:szCs w:val="20"/>
        </w:rPr>
        <w:t>basis point result to his other ROE estimates</w:t>
      </w:r>
      <w:r w:rsidRPr="00DB5977">
        <w:rPr>
          <w:rFonts w:ascii="Verdana" w:hAnsi="Verdana"/>
          <w:sz w:val="20"/>
          <w:szCs w:val="20"/>
        </w:rPr>
        <w:t>.</w:t>
      </w:r>
      <w:r w:rsidR="0025065A">
        <w:rPr>
          <w:rFonts w:ascii="Verdana" w:hAnsi="Verdana"/>
          <w:sz w:val="20"/>
          <w:szCs w:val="20"/>
        </w:rPr>
        <w:t xml:space="preserve"> </w:t>
      </w:r>
    </w:p>
    <w:p w14:paraId="2A56567F" w14:textId="77777777" w:rsidR="00565218" w:rsidRPr="00DB5977" w:rsidRDefault="00565218" w:rsidP="00486739">
      <w:pPr>
        <w:pStyle w:val="DirectQuestion"/>
      </w:pPr>
      <w:r w:rsidRPr="00DB5977">
        <w:t>WHAT ARE FLOTATION COSTS?</w:t>
      </w:r>
    </w:p>
    <w:p w14:paraId="4D4121A0" w14:textId="77777777" w:rsidR="00565218" w:rsidRPr="00DB5977" w:rsidRDefault="00565218" w:rsidP="00486739">
      <w:pPr>
        <w:pStyle w:val="DirectAnswer"/>
        <w:jc w:val="both"/>
        <w:rPr>
          <w:rFonts w:ascii="Verdana" w:hAnsi="Verdana"/>
          <w:sz w:val="20"/>
          <w:szCs w:val="20"/>
        </w:rPr>
      </w:pPr>
      <w:r w:rsidRPr="00DB5977">
        <w:rPr>
          <w:rFonts w:ascii="Verdana" w:hAnsi="Verdana"/>
          <w:sz w:val="20"/>
          <w:szCs w:val="20"/>
        </w:rPr>
        <w:t xml:space="preserve">Flotation costs are the costs associated with the sale of common stock </w:t>
      </w:r>
      <w:r w:rsidR="00E87B9C" w:rsidRPr="00DB5977">
        <w:rPr>
          <w:rFonts w:ascii="Verdana" w:hAnsi="Verdana"/>
          <w:sz w:val="20"/>
          <w:szCs w:val="20"/>
        </w:rPr>
        <w:t xml:space="preserve">issuances </w:t>
      </w:r>
      <w:r w:rsidRPr="00DB5977">
        <w:rPr>
          <w:rFonts w:ascii="Verdana" w:hAnsi="Verdana"/>
          <w:sz w:val="20"/>
          <w:szCs w:val="20"/>
        </w:rPr>
        <w:t>that include out-of-pocket expenditures for preparation, filing, underwriting, and other issuance costs.</w:t>
      </w:r>
    </w:p>
    <w:p w14:paraId="56B3C8A5" w14:textId="77777777" w:rsidR="00565218" w:rsidRPr="00DB5977" w:rsidRDefault="00565218" w:rsidP="00486739">
      <w:pPr>
        <w:pStyle w:val="DirectQuestion"/>
      </w:pPr>
      <w:r w:rsidRPr="00DB5977">
        <w:t xml:space="preserve">WHY DOES </w:t>
      </w:r>
      <w:r w:rsidR="00D119F0" w:rsidRPr="00DB5977">
        <w:t>DR. Vander weide</w:t>
      </w:r>
      <w:r w:rsidRPr="00DB5977">
        <w:t xml:space="preserve"> BELIEVE THAT AN ADJUSTMENT TO HIS ROE RECOMMENDATION TO ACCOUNT FOR FLOTATION COSTs IS NECESSARY? </w:t>
      </w:r>
    </w:p>
    <w:p w14:paraId="4A2553C2" w14:textId="1716BC79" w:rsidR="00565218" w:rsidRPr="00DB5977" w:rsidRDefault="007C793E" w:rsidP="00486739">
      <w:pPr>
        <w:pStyle w:val="DirectAnswer"/>
        <w:jc w:val="both"/>
        <w:rPr>
          <w:rFonts w:ascii="Verdana" w:hAnsi="Verdana"/>
          <w:sz w:val="20"/>
          <w:szCs w:val="20"/>
        </w:rPr>
      </w:pPr>
      <w:r w:rsidRPr="00DB5977">
        <w:rPr>
          <w:rFonts w:ascii="Verdana" w:hAnsi="Verdana"/>
          <w:sz w:val="20"/>
          <w:szCs w:val="20"/>
        </w:rPr>
        <w:t xml:space="preserve">Dr. Vander </w:t>
      </w:r>
      <w:proofErr w:type="spellStart"/>
      <w:r w:rsidRPr="00DB5977">
        <w:rPr>
          <w:rFonts w:ascii="Verdana" w:hAnsi="Verdana"/>
          <w:sz w:val="20"/>
          <w:szCs w:val="20"/>
        </w:rPr>
        <w:t>Weide</w:t>
      </w:r>
      <w:proofErr w:type="spellEnd"/>
      <w:r w:rsidR="00565218" w:rsidRPr="00DB5977">
        <w:rPr>
          <w:rFonts w:ascii="Verdana" w:hAnsi="Verdana"/>
          <w:sz w:val="20"/>
          <w:szCs w:val="20"/>
        </w:rPr>
        <w:t xml:space="preserve"> believes that </w:t>
      </w:r>
      <w:r w:rsidRPr="00DB5977">
        <w:rPr>
          <w:rFonts w:ascii="Verdana" w:hAnsi="Verdana"/>
          <w:sz w:val="20"/>
          <w:szCs w:val="20"/>
        </w:rPr>
        <w:t>since all firms that sell securities in capital markets incur some level of flotation costs</w:t>
      </w:r>
      <w:r w:rsidR="00A76F56" w:rsidRPr="00DB5977">
        <w:rPr>
          <w:rFonts w:ascii="Verdana" w:hAnsi="Verdana"/>
          <w:sz w:val="20"/>
          <w:szCs w:val="20"/>
        </w:rPr>
        <w:t xml:space="preserve">, </w:t>
      </w:r>
      <w:r w:rsidR="008447B5" w:rsidRPr="00DB5977">
        <w:rPr>
          <w:rFonts w:ascii="Verdana" w:hAnsi="Verdana"/>
          <w:sz w:val="20"/>
          <w:szCs w:val="20"/>
        </w:rPr>
        <w:t xml:space="preserve">the Company should be compensated for the </w:t>
      </w:r>
      <w:r w:rsidR="0070137B" w:rsidRPr="00DB5977">
        <w:rPr>
          <w:rFonts w:ascii="Verdana" w:hAnsi="Verdana"/>
          <w:sz w:val="20"/>
          <w:szCs w:val="20"/>
        </w:rPr>
        <w:t xml:space="preserve">costs associated with securities that its Parent </w:t>
      </w:r>
      <w:r w:rsidR="00AB66AD" w:rsidRPr="00DB5977">
        <w:rPr>
          <w:rFonts w:ascii="Verdana" w:hAnsi="Verdana"/>
          <w:sz w:val="20"/>
          <w:szCs w:val="20"/>
        </w:rPr>
        <w:t>issued.</w:t>
      </w:r>
      <w:r w:rsidRPr="00DB5977">
        <w:rPr>
          <w:rFonts w:ascii="Verdana" w:hAnsi="Verdana"/>
          <w:sz w:val="20"/>
          <w:szCs w:val="20"/>
        </w:rPr>
        <w:t xml:space="preserve"> </w:t>
      </w:r>
      <w:r w:rsidR="00E62418" w:rsidRPr="00DB5977">
        <w:rPr>
          <w:rFonts w:ascii="Verdana" w:hAnsi="Verdana"/>
          <w:sz w:val="20"/>
          <w:szCs w:val="20"/>
        </w:rPr>
        <w:t xml:space="preserve">Moreover, he states that there is likely </w:t>
      </w:r>
      <w:r w:rsidR="00C87472" w:rsidRPr="00DB5977">
        <w:rPr>
          <w:rFonts w:ascii="Verdana" w:hAnsi="Verdana"/>
          <w:sz w:val="20"/>
          <w:szCs w:val="20"/>
        </w:rPr>
        <w:t xml:space="preserve">to be a decline in stock price associated with the new stock issuances </w:t>
      </w:r>
      <w:r w:rsidR="003B1512" w:rsidRPr="00DB5977">
        <w:rPr>
          <w:rFonts w:ascii="Verdana" w:hAnsi="Verdana"/>
          <w:sz w:val="20"/>
          <w:szCs w:val="20"/>
        </w:rPr>
        <w:t xml:space="preserve">of </w:t>
      </w:r>
      <w:r w:rsidR="008F05F8">
        <w:rPr>
          <w:rFonts w:ascii="Verdana" w:hAnsi="Verdana"/>
          <w:sz w:val="20"/>
          <w:szCs w:val="20"/>
        </w:rPr>
        <w:t>3 percent</w:t>
      </w:r>
      <w:r w:rsidR="008F05F8" w:rsidRPr="00DB5977">
        <w:rPr>
          <w:rFonts w:ascii="Verdana" w:hAnsi="Verdana"/>
          <w:sz w:val="20"/>
          <w:szCs w:val="20"/>
        </w:rPr>
        <w:t xml:space="preserve"> </w:t>
      </w:r>
      <w:r w:rsidR="003B1512" w:rsidRPr="00DB5977">
        <w:rPr>
          <w:rFonts w:ascii="Verdana" w:hAnsi="Verdana"/>
          <w:sz w:val="20"/>
          <w:szCs w:val="20"/>
        </w:rPr>
        <w:t xml:space="preserve">to </w:t>
      </w:r>
      <w:r w:rsidR="008F05F8">
        <w:rPr>
          <w:rFonts w:ascii="Verdana" w:hAnsi="Verdana"/>
          <w:sz w:val="20"/>
          <w:szCs w:val="20"/>
        </w:rPr>
        <w:t xml:space="preserve">5 </w:t>
      </w:r>
      <w:r w:rsidR="003B1512" w:rsidRPr="00DB5977">
        <w:rPr>
          <w:rFonts w:ascii="Verdana" w:hAnsi="Verdana"/>
          <w:sz w:val="20"/>
          <w:szCs w:val="20"/>
        </w:rPr>
        <w:t xml:space="preserve">percent. </w:t>
      </w:r>
      <w:r w:rsidR="00AB66AD" w:rsidRPr="00DB5977">
        <w:rPr>
          <w:rFonts w:ascii="Verdana" w:hAnsi="Verdana"/>
          <w:sz w:val="20"/>
          <w:szCs w:val="20"/>
        </w:rPr>
        <w:t xml:space="preserve">Based on his </w:t>
      </w:r>
      <w:r w:rsidR="009F0332" w:rsidRPr="00DB5977">
        <w:rPr>
          <w:rFonts w:ascii="Verdana" w:hAnsi="Verdana"/>
          <w:sz w:val="20"/>
          <w:szCs w:val="20"/>
        </w:rPr>
        <w:t>literature review, he believes that</w:t>
      </w:r>
      <w:r w:rsidR="003B1512" w:rsidRPr="00DB5977">
        <w:rPr>
          <w:rFonts w:ascii="Verdana" w:hAnsi="Verdana"/>
          <w:sz w:val="20"/>
          <w:szCs w:val="20"/>
        </w:rPr>
        <w:t xml:space="preserve"> a com</w:t>
      </w:r>
      <w:r w:rsidR="00D105D9" w:rsidRPr="00DB5977">
        <w:rPr>
          <w:rFonts w:ascii="Verdana" w:hAnsi="Verdana"/>
          <w:sz w:val="20"/>
          <w:szCs w:val="20"/>
        </w:rPr>
        <w:t>b</w:t>
      </w:r>
      <w:r w:rsidR="003B1512" w:rsidRPr="00DB5977">
        <w:rPr>
          <w:rFonts w:ascii="Verdana" w:hAnsi="Verdana"/>
          <w:sz w:val="20"/>
          <w:szCs w:val="20"/>
        </w:rPr>
        <w:t xml:space="preserve">ined </w:t>
      </w:r>
      <w:r w:rsidR="008F05F8">
        <w:rPr>
          <w:rFonts w:ascii="Verdana" w:hAnsi="Verdana"/>
          <w:sz w:val="20"/>
          <w:szCs w:val="20"/>
        </w:rPr>
        <w:t>5</w:t>
      </w:r>
      <w:r w:rsidR="008F05F8" w:rsidRPr="00DB5977">
        <w:rPr>
          <w:rFonts w:ascii="Verdana" w:hAnsi="Verdana"/>
          <w:sz w:val="20"/>
          <w:szCs w:val="20"/>
        </w:rPr>
        <w:t xml:space="preserve"> </w:t>
      </w:r>
      <w:r w:rsidR="004C230A" w:rsidRPr="00DB5977">
        <w:rPr>
          <w:rFonts w:ascii="Verdana" w:hAnsi="Verdana"/>
          <w:sz w:val="20"/>
          <w:szCs w:val="20"/>
        </w:rPr>
        <w:t>percent allowance for flotation costs is a conservative estimate</w:t>
      </w:r>
      <w:r w:rsidR="00F946E7" w:rsidRPr="00DB5977">
        <w:rPr>
          <w:rFonts w:ascii="Verdana" w:hAnsi="Verdana"/>
          <w:sz w:val="20"/>
          <w:szCs w:val="20"/>
        </w:rPr>
        <w:t>.</w:t>
      </w:r>
      <w:r w:rsidR="009F0332" w:rsidRPr="00DB5977">
        <w:rPr>
          <w:rFonts w:ascii="Verdana" w:hAnsi="Verdana"/>
          <w:sz w:val="20"/>
          <w:szCs w:val="20"/>
        </w:rPr>
        <w:t xml:space="preserve"> </w:t>
      </w:r>
      <w:r w:rsidR="00565218" w:rsidRPr="00DB5977">
        <w:rPr>
          <w:rFonts w:ascii="Verdana" w:hAnsi="Verdana"/>
          <w:sz w:val="20"/>
          <w:szCs w:val="20"/>
        </w:rPr>
        <w:t>(</w:t>
      </w:r>
      <w:r w:rsidR="00565218" w:rsidRPr="00DB5977">
        <w:rPr>
          <w:rFonts w:ascii="Verdana" w:hAnsi="Verdana"/>
          <w:i/>
          <w:sz w:val="20"/>
          <w:szCs w:val="20"/>
          <w:u w:val="single"/>
        </w:rPr>
        <w:t>See</w:t>
      </w:r>
      <w:r w:rsidR="00565218" w:rsidRPr="00DB5977">
        <w:rPr>
          <w:rFonts w:ascii="Verdana" w:hAnsi="Verdana"/>
          <w:i/>
          <w:sz w:val="20"/>
          <w:szCs w:val="20"/>
        </w:rPr>
        <w:t xml:space="preserve"> </w:t>
      </w:r>
      <w:r w:rsidR="00FF6FD3" w:rsidRPr="00DB5977">
        <w:rPr>
          <w:rFonts w:ascii="Verdana" w:hAnsi="Verdana"/>
          <w:sz w:val="20"/>
          <w:szCs w:val="20"/>
        </w:rPr>
        <w:t xml:space="preserve">Vander </w:t>
      </w:r>
      <w:proofErr w:type="spellStart"/>
      <w:r w:rsidR="00FF6FD3" w:rsidRPr="00DB5977">
        <w:rPr>
          <w:rFonts w:ascii="Verdana" w:hAnsi="Verdana"/>
          <w:sz w:val="20"/>
          <w:szCs w:val="20"/>
        </w:rPr>
        <w:t>Weide</w:t>
      </w:r>
      <w:proofErr w:type="spellEnd"/>
      <w:r w:rsidR="00FF6FD3" w:rsidRPr="00DB5977">
        <w:rPr>
          <w:rFonts w:ascii="Verdana" w:hAnsi="Verdana"/>
          <w:sz w:val="20"/>
          <w:szCs w:val="20"/>
        </w:rPr>
        <w:t xml:space="preserve"> Direct</w:t>
      </w:r>
      <w:r w:rsidR="00565218" w:rsidRPr="00DB5977">
        <w:rPr>
          <w:rFonts w:ascii="Verdana" w:hAnsi="Verdana"/>
          <w:sz w:val="20"/>
          <w:szCs w:val="20"/>
        </w:rPr>
        <w:t xml:space="preserve"> Testimony,</w:t>
      </w:r>
      <w:r w:rsidR="00565218" w:rsidRPr="00DB5977">
        <w:rPr>
          <w:rFonts w:ascii="Verdana" w:hAnsi="Verdana"/>
          <w:i/>
          <w:sz w:val="20"/>
          <w:szCs w:val="20"/>
        </w:rPr>
        <w:t xml:space="preserve"> </w:t>
      </w:r>
      <w:r w:rsidR="0061383C" w:rsidRPr="00DB5977">
        <w:rPr>
          <w:rFonts w:ascii="Verdana" w:hAnsi="Verdana"/>
          <w:sz w:val="20"/>
          <w:szCs w:val="20"/>
        </w:rPr>
        <w:t>28</w:t>
      </w:r>
      <w:r w:rsidR="008F05F8">
        <w:rPr>
          <w:rFonts w:ascii="Verdana" w:hAnsi="Verdana"/>
          <w:sz w:val="20"/>
          <w:szCs w:val="20"/>
        </w:rPr>
        <w:t>:</w:t>
      </w:r>
      <w:r w:rsidR="00DC238D" w:rsidRPr="00DB5977">
        <w:rPr>
          <w:rFonts w:ascii="Verdana" w:hAnsi="Verdana"/>
          <w:sz w:val="20"/>
          <w:szCs w:val="20"/>
        </w:rPr>
        <w:t xml:space="preserve">26-28 and </w:t>
      </w:r>
      <w:r w:rsidR="00F059E7">
        <w:rPr>
          <w:rFonts w:ascii="Verdana" w:hAnsi="Verdana"/>
          <w:sz w:val="20"/>
          <w:szCs w:val="20"/>
        </w:rPr>
        <w:t>29:</w:t>
      </w:r>
      <w:r w:rsidR="00DC238D" w:rsidRPr="00DB5977">
        <w:rPr>
          <w:rFonts w:ascii="Verdana" w:hAnsi="Verdana"/>
          <w:sz w:val="20"/>
          <w:szCs w:val="20"/>
        </w:rPr>
        <w:t>1-17</w:t>
      </w:r>
      <w:r w:rsidR="00F70AF6" w:rsidRPr="00DB5977">
        <w:rPr>
          <w:rFonts w:ascii="Verdana" w:hAnsi="Verdana"/>
          <w:sz w:val="20"/>
          <w:szCs w:val="20"/>
        </w:rPr>
        <w:t>.</w:t>
      </w:r>
      <w:r w:rsidR="00565218" w:rsidRPr="00DB5977">
        <w:rPr>
          <w:rFonts w:ascii="Verdana" w:hAnsi="Verdana"/>
          <w:sz w:val="20"/>
          <w:szCs w:val="20"/>
        </w:rPr>
        <w:t xml:space="preserve">) </w:t>
      </w:r>
    </w:p>
    <w:p w14:paraId="150B0FF2" w14:textId="77777777" w:rsidR="00565218" w:rsidRPr="00DB5977" w:rsidRDefault="00565218" w:rsidP="00486739">
      <w:pPr>
        <w:pStyle w:val="DirectQuestion"/>
      </w:pPr>
      <w:r w:rsidRPr="00DB5977">
        <w:t xml:space="preserve">DO YOU AGREE WITH </w:t>
      </w:r>
      <w:r w:rsidR="0045313A" w:rsidRPr="00DB5977">
        <w:t>Dr. Vander weide</w:t>
      </w:r>
      <w:r w:rsidRPr="00DB5977">
        <w:t>’S ADJUSTMENT FOR FLOTATION COSTS?</w:t>
      </w:r>
    </w:p>
    <w:p w14:paraId="646F81EA" w14:textId="73CD44B6" w:rsidR="00D27ACB" w:rsidRPr="00D82619" w:rsidRDefault="00565218" w:rsidP="00D82619">
      <w:pPr>
        <w:pStyle w:val="DirectAnswer"/>
        <w:jc w:val="both"/>
        <w:rPr>
          <w:rFonts w:ascii="Verdana" w:hAnsi="Verdana"/>
          <w:sz w:val="20"/>
          <w:szCs w:val="20"/>
        </w:rPr>
      </w:pPr>
      <w:r w:rsidRPr="00DB5977">
        <w:rPr>
          <w:rFonts w:ascii="Verdana" w:hAnsi="Verdana"/>
          <w:sz w:val="20"/>
          <w:szCs w:val="20"/>
        </w:rPr>
        <w:t>No</w:t>
      </w:r>
      <w:r w:rsidR="00F059E7">
        <w:rPr>
          <w:rFonts w:ascii="Verdana" w:hAnsi="Verdana"/>
          <w:sz w:val="20"/>
          <w:szCs w:val="20"/>
        </w:rPr>
        <w:t>,</w:t>
      </w:r>
      <w:r w:rsidRPr="00DB5977">
        <w:rPr>
          <w:rFonts w:ascii="Verdana" w:hAnsi="Verdana"/>
          <w:sz w:val="20"/>
          <w:szCs w:val="20"/>
        </w:rPr>
        <w:t xml:space="preserve"> I do not.</w:t>
      </w:r>
      <w:r w:rsidR="0025065A">
        <w:rPr>
          <w:rFonts w:ascii="Verdana" w:hAnsi="Verdana"/>
          <w:sz w:val="20"/>
          <w:szCs w:val="20"/>
        </w:rPr>
        <w:t xml:space="preserve"> </w:t>
      </w:r>
      <w:r w:rsidR="00ED306B" w:rsidRPr="00DB5977">
        <w:rPr>
          <w:rFonts w:ascii="Verdana" w:hAnsi="Verdana"/>
          <w:sz w:val="20"/>
          <w:szCs w:val="20"/>
        </w:rPr>
        <w:t>H</w:t>
      </w:r>
      <w:r w:rsidR="00B27F3A" w:rsidRPr="00DB5977">
        <w:rPr>
          <w:rFonts w:ascii="Verdana" w:hAnsi="Verdana"/>
          <w:sz w:val="20"/>
          <w:szCs w:val="20"/>
        </w:rPr>
        <w:t>is</w:t>
      </w:r>
      <w:r w:rsidR="00ED306B" w:rsidRPr="00DB5977">
        <w:rPr>
          <w:rFonts w:ascii="Verdana" w:hAnsi="Verdana"/>
          <w:sz w:val="20"/>
          <w:szCs w:val="20"/>
        </w:rPr>
        <w:t xml:space="preserve"> </w:t>
      </w:r>
      <w:r w:rsidR="003B71A9" w:rsidRPr="00DB5977">
        <w:rPr>
          <w:rFonts w:ascii="Verdana" w:hAnsi="Verdana"/>
          <w:sz w:val="20"/>
          <w:szCs w:val="20"/>
        </w:rPr>
        <w:t>estimate of</w:t>
      </w:r>
      <w:r w:rsidR="00D07590" w:rsidRPr="00DB5977">
        <w:rPr>
          <w:rFonts w:ascii="Verdana" w:hAnsi="Verdana"/>
          <w:sz w:val="20"/>
          <w:szCs w:val="20"/>
        </w:rPr>
        <w:t xml:space="preserve"> a flotation cost</w:t>
      </w:r>
      <w:r w:rsidR="00ED306B" w:rsidRPr="00DB5977">
        <w:rPr>
          <w:rFonts w:ascii="Verdana" w:hAnsi="Verdana"/>
          <w:sz w:val="20"/>
          <w:szCs w:val="20"/>
        </w:rPr>
        <w:t xml:space="preserve"> </w:t>
      </w:r>
      <w:r w:rsidR="00D07590" w:rsidRPr="00DB5977">
        <w:rPr>
          <w:rFonts w:ascii="Verdana" w:hAnsi="Verdana"/>
          <w:sz w:val="20"/>
          <w:szCs w:val="20"/>
        </w:rPr>
        <w:t>adjustment is based on a review of oth</w:t>
      </w:r>
      <w:r w:rsidR="001D1E04" w:rsidRPr="00DB5977">
        <w:rPr>
          <w:rFonts w:ascii="Verdana" w:hAnsi="Verdana"/>
          <w:sz w:val="20"/>
          <w:szCs w:val="20"/>
        </w:rPr>
        <w:t>er companies’ typical flotation cost</w:t>
      </w:r>
      <w:r w:rsidR="00F059E7">
        <w:rPr>
          <w:rFonts w:ascii="Verdana" w:hAnsi="Verdana"/>
          <w:sz w:val="20"/>
          <w:szCs w:val="20"/>
        </w:rPr>
        <w:t>s</w:t>
      </w:r>
      <w:r w:rsidR="001D1E04" w:rsidRPr="00DB5977">
        <w:rPr>
          <w:rFonts w:ascii="Verdana" w:hAnsi="Verdana"/>
          <w:sz w:val="20"/>
          <w:szCs w:val="20"/>
        </w:rPr>
        <w:t xml:space="preserve"> and academic literature</w:t>
      </w:r>
      <w:r w:rsidR="00F54D8C" w:rsidRPr="00DB5977">
        <w:rPr>
          <w:rFonts w:ascii="Verdana" w:hAnsi="Verdana"/>
          <w:sz w:val="20"/>
          <w:szCs w:val="20"/>
        </w:rPr>
        <w:t xml:space="preserve"> and </w:t>
      </w:r>
      <w:r w:rsidR="00ED306B" w:rsidRPr="00DB5977">
        <w:rPr>
          <w:rFonts w:ascii="Verdana" w:hAnsi="Verdana"/>
          <w:sz w:val="20"/>
          <w:szCs w:val="20"/>
        </w:rPr>
        <w:t>is not based on actual common stock issuance costs</w:t>
      </w:r>
      <w:r w:rsidR="008450D9" w:rsidRPr="00DB5977">
        <w:rPr>
          <w:rFonts w:ascii="Verdana" w:hAnsi="Verdana"/>
          <w:sz w:val="20"/>
          <w:szCs w:val="20"/>
        </w:rPr>
        <w:t xml:space="preserve">. </w:t>
      </w:r>
      <w:r w:rsidR="00B10D32" w:rsidRPr="00DB5977">
        <w:rPr>
          <w:rFonts w:ascii="Verdana" w:hAnsi="Verdana"/>
          <w:sz w:val="20"/>
          <w:szCs w:val="20"/>
        </w:rPr>
        <w:t>I</w:t>
      </w:r>
      <w:r w:rsidRPr="00DB5977">
        <w:rPr>
          <w:rFonts w:ascii="Verdana" w:hAnsi="Verdana"/>
          <w:sz w:val="20"/>
          <w:szCs w:val="20"/>
        </w:rPr>
        <w:t>nclu</w:t>
      </w:r>
      <w:r w:rsidR="00B10D32" w:rsidRPr="00DB5977">
        <w:rPr>
          <w:rFonts w:ascii="Verdana" w:hAnsi="Verdana"/>
          <w:sz w:val="20"/>
          <w:szCs w:val="20"/>
        </w:rPr>
        <w:t>sion of</w:t>
      </w:r>
      <w:r w:rsidRPr="00DB5977">
        <w:rPr>
          <w:rFonts w:ascii="Verdana" w:hAnsi="Verdana"/>
          <w:sz w:val="20"/>
          <w:szCs w:val="20"/>
        </w:rPr>
        <w:t xml:space="preserve"> such flotation costs in </w:t>
      </w:r>
      <w:r w:rsidR="00F059E7">
        <w:rPr>
          <w:rFonts w:ascii="Verdana" w:hAnsi="Verdana"/>
          <w:sz w:val="20"/>
          <w:szCs w:val="20"/>
        </w:rPr>
        <w:t xml:space="preserve">the setting of </w:t>
      </w:r>
      <w:r w:rsidRPr="00DB5977">
        <w:rPr>
          <w:rFonts w:ascii="Verdana" w:hAnsi="Verdana"/>
          <w:sz w:val="20"/>
          <w:szCs w:val="20"/>
        </w:rPr>
        <w:t xml:space="preserve">base rates in this case </w:t>
      </w:r>
      <w:r w:rsidR="006F4982" w:rsidRPr="00DB5977">
        <w:rPr>
          <w:rFonts w:ascii="Verdana" w:hAnsi="Verdana"/>
          <w:sz w:val="20"/>
          <w:szCs w:val="20"/>
        </w:rPr>
        <w:t xml:space="preserve">should only be allowed </w:t>
      </w:r>
      <w:r w:rsidR="00261C99" w:rsidRPr="00DB5977">
        <w:rPr>
          <w:rFonts w:ascii="Verdana" w:hAnsi="Verdana"/>
          <w:sz w:val="20"/>
          <w:szCs w:val="20"/>
        </w:rPr>
        <w:t>for</w:t>
      </w:r>
      <w:r w:rsidR="00E46219" w:rsidRPr="00DB5977">
        <w:rPr>
          <w:rFonts w:ascii="Verdana" w:hAnsi="Verdana"/>
          <w:sz w:val="20"/>
          <w:szCs w:val="20"/>
        </w:rPr>
        <w:t xml:space="preserve"> the</w:t>
      </w:r>
      <w:r w:rsidRPr="00DB5977">
        <w:rPr>
          <w:rFonts w:ascii="Verdana" w:hAnsi="Verdana"/>
          <w:sz w:val="20"/>
          <w:szCs w:val="20"/>
        </w:rPr>
        <w:t xml:space="preserve"> public issuance of common stock by </w:t>
      </w:r>
      <w:r w:rsidR="00DC3996" w:rsidRPr="00DB5977">
        <w:rPr>
          <w:rFonts w:ascii="Verdana" w:hAnsi="Verdana"/>
          <w:sz w:val="20"/>
          <w:szCs w:val="20"/>
        </w:rPr>
        <w:t>Southern Company</w:t>
      </w:r>
      <w:r w:rsidRPr="00DB5977">
        <w:rPr>
          <w:rFonts w:ascii="Verdana" w:hAnsi="Verdana"/>
          <w:sz w:val="20"/>
          <w:szCs w:val="20"/>
        </w:rPr>
        <w:t xml:space="preserve"> (and therefore the incurrence of flotation expenses) </w:t>
      </w:r>
      <w:r w:rsidR="00DC3996" w:rsidRPr="00DB5977">
        <w:rPr>
          <w:rFonts w:ascii="Verdana" w:hAnsi="Verdana"/>
          <w:sz w:val="20"/>
          <w:szCs w:val="20"/>
        </w:rPr>
        <w:t>in</w:t>
      </w:r>
      <w:r w:rsidRPr="00DB5977">
        <w:rPr>
          <w:rFonts w:ascii="Verdana" w:hAnsi="Verdana"/>
          <w:sz w:val="20"/>
          <w:szCs w:val="20"/>
        </w:rPr>
        <w:t xml:space="preserve"> the foreseeable future.</w:t>
      </w:r>
      <w:r w:rsidR="0025065A">
        <w:rPr>
          <w:rFonts w:ascii="Verdana" w:hAnsi="Verdana"/>
          <w:sz w:val="20"/>
          <w:szCs w:val="20"/>
        </w:rPr>
        <w:t xml:space="preserve"> </w:t>
      </w:r>
      <w:r w:rsidRPr="00DB5977">
        <w:rPr>
          <w:rFonts w:ascii="Verdana" w:hAnsi="Verdana"/>
          <w:sz w:val="20"/>
          <w:szCs w:val="20"/>
        </w:rPr>
        <w:t>The setting of the ROE is, after all, a prospective concept.</w:t>
      </w:r>
      <w:r w:rsidR="0025065A">
        <w:rPr>
          <w:rFonts w:ascii="Verdana" w:hAnsi="Verdana"/>
          <w:sz w:val="20"/>
          <w:szCs w:val="20"/>
        </w:rPr>
        <w:t xml:space="preserve"> </w:t>
      </w:r>
      <w:r w:rsidR="0088081F" w:rsidRPr="00DB5977">
        <w:rPr>
          <w:rFonts w:ascii="Verdana" w:hAnsi="Verdana"/>
          <w:sz w:val="20"/>
          <w:szCs w:val="20"/>
        </w:rPr>
        <w:t xml:space="preserve">Southern Company reports that it issued </w:t>
      </w:r>
      <w:r w:rsidR="00F10E78" w:rsidRPr="00DB5977">
        <w:rPr>
          <w:rFonts w:ascii="Verdana" w:hAnsi="Verdana"/>
          <w:sz w:val="20"/>
          <w:szCs w:val="20"/>
        </w:rPr>
        <w:t>approximately 11.6</w:t>
      </w:r>
      <w:r w:rsidR="00275DD8">
        <w:rPr>
          <w:rFonts w:ascii="Verdana" w:hAnsi="Verdana"/>
          <w:sz w:val="20"/>
          <w:szCs w:val="20"/>
        </w:rPr>
        <w:t> </w:t>
      </w:r>
      <w:r w:rsidR="00F10E78" w:rsidRPr="00DB5977">
        <w:rPr>
          <w:rFonts w:ascii="Verdana" w:hAnsi="Verdana"/>
          <w:sz w:val="20"/>
          <w:szCs w:val="20"/>
        </w:rPr>
        <w:t>million shares of common stock</w:t>
      </w:r>
      <w:r w:rsidR="00EC0574">
        <w:rPr>
          <w:rFonts w:ascii="Verdana" w:hAnsi="Verdana"/>
          <w:sz w:val="20"/>
          <w:szCs w:val="20"/>
        </w:rPr>
        <w:t>,</w:t>
      </w:r>
      <w:r w:rsidR="00F10E78" w:rsidRPr="00DB5977">
        <w:rPr>
          <w:rFonts w:ascii="Verdana" w:hAnsi="Verdana"/>
          <w:sz w:val="20"/>
          <w:szCs w:val="20"/>
        </w:rPr>
        <w:t xml:space="preserve"> </w:t>
      </w:r>
      <w:r w:rsidR="00FB18B7" w:rsidRPr="00DB5977">
        <w:rPr>
          <w:rFonts w:ascii="Verdana" w:hAnsi="Verdana"/>
          <w:sz w:val="20"/>
          <w:szCs w:val="20"/>
        </w:rPr>
        <w:t>primarily through employee equity compensation plans</w:t>
      </w:r>
      <w:r w:rsidR="00EC0574">
        <w:rPr>
          <w:rFonts w:ascii="Verdana" w:hAnsi="Verdana"/>
          <w:sz w:val="20"/>
          <w:szCs w:val="20"/>
        </w:rPr>
        <w:t>,</w:t>
      </w:r>
      <w:r w:rsidR="00FB18B7" w:rsidRPr="00DB5977">
        <w:rPr>
          <w:rFonts w:ascii="Verdana" w:hAnsi="Verdana"/>
          <w:sz w:val="20"/>
          <w:szCs w:val="20"/>
        </w:rPr>
        <w:t xml:space="preserve"> and received proceeds of approximately $</w:t>
      </w:r>
      <w:r w:rsidR="00705AF7" w:rsidRPr="00DB5977">
        <w:rPr>
          <w:rFonts w:ascii="Verdana" w:hAnsi="Verdana"/>
          <w:sz w:val="20"/>
          <w:szCs w:val="20"/>
        </w:rPr>
        <w:t>442 million</w:t>
      </w:r>
      <w:r w:rsidR="009B53D3">
        <w:rPr>
          <w:rFonts w:ascii="Verdana" w:hAnsi="Verdana"/>
          <w:sz w:val="20"/>
          <w:szCs w:val="20"/>
        </w:rPr>
        <w:t xml:space="preserve"> in 2018</w:t>
      </w:r>
      <w:r w:rsidR="00705AF7" w:rsidRPr="00DB5977">
        <w:rPr>
          <w:rFonts w:ascii="Verdana" w:hAnsi="Verdana"/>
          <w:sz w:val="20"/>
          <w:szCs w:val="20"/>
        </w:rPr>
        <w:t>. In addition, during the third and fourth quarters of the same year</w:t>
      </w:r>
      <w:r w:rsidR="0038367B" w:rsidRPr="00DB5977">
        <w:rPr>
          <w:rFonts w:ascii="Verdana" w:hAnsi="Verdana"/>
          <w:sz w:val="20"/>
          <w:szCs w:val="20"/>
        </w:rPr>
        <w:t>, it issue</w:t>
      </w:r>
      <w:r w:rsidR="008A528A" w:rsidRPr="00DB5977">
        <w:rPr>
          <w:rFonts w:ascii="Verdana" w:hAnsi="Verdana"/>
          <w:sz w:val="20"/>
          <w:szCs w:val="20"/>
        </w:rPr>
        <w:t>d</w:t>
      </w:r>
      <w:r w:rsidR="0038367B" w:rsidRPr="00DB5977">
        <w:rPr>
          <w:rFonts w:ascii="Verdana" w:hAnsi="Verdana"/>
          <w:sz w:val="20"/>
          <w:szCs w:val="20"/>
        </w:rPr>
        <w:t xml:space="preserve"> </w:t>
      </w:r>
      <w:r w:rsidR="00A01D24" w:rsidRPr="00DB5977">
        <w:rPr>
          <w:rFonts w:ascii="Verdana" w:hAnsi="Verdana"/>
          <w:sz w:val="20"/>
          <w:szCs w:val="20"/>
        </w:rPr>
        <w:t xml:space="preserve">about 12.1 million and 2.5 million </w:t>
      </w:r>
      <w:r w:rsidR="0029218C" w:rsidRPr="00DB5977">
        <w:rPr>
          <w:rFonts w:ascii="Verdana" w:hAnsi="Verdana"/>
          <w:sz w:val="20"/>
          <w:szCs w:val="20"/>
        </w:rPr>
        <w:t>shares of stock</w:t>
      </w:r>
      <w:r w:rsidR="002C0BF4" w:rsidRPr="00DB5977">
        <w:rPr>
          <w:rFonts w:ascii="Verdana" w:hAnsi="Verdana"/>
          <w:sz w:val="20"/>
          <w:szCs w:val="20"/>
        </w:rPr>
        <w:t xml:space="preserve"> through at-the-market issuances</w:t>
      </w:r>
      <w:r w:rsidR="002B6DE4">
        <w:rPr>
          <w:rFonts w:ascii="Verdana" w:hAnsi="Verdana"/>
          <w:sz w:val="20"/>
          <w:szCs w:val="20"/>
        </w:rPr>
        <w:t>,</w:t>
      </w:r>
      <w:r w:rsidR="003F3CBB" w:rsidRPr="00DB5977">
        <w:rPr>
          <w:rFonts w:ascii="Verdana" w:hAnsi="Verdana"/>
          <w:sz w:val="20"/>
          <w:szCs w:val="20"/>
        </w:rPr>
        <w:t xml:space="preserve"> and received </w:t>
      </w:r>
      <w:r w:rsidR="00FA1959" w:rsidRPr="00DB5977">
        <w:rPr>
          <w:rFonts w:ascii="Verdana" w:hAnsi="Verdana"/>
          <w:sz w:val="20"/>
          <w:szCs w:val="20"/>
        </w:rPr>
        <w:t>approximately $540 million and $108 million, respectively, net of $5</w:t>
      </w:r>
      <w:r w:rsidR="00275DD8">
        <w:rPr>
          <w:rFonts w:ascii="Verdana" w:hAnsi="Verdana"/>
          <w:sz w:val="20"/>
          <w:szCs w:val="20"/>
        </w:rPr>
        <w:t> </w:t>
      </w:r>
      <w:r w:rsidR="00FA1959" w:rsidRPr="00DB5977">
        <w:rPr>
          <w:rFonts w:ascii="Verdana" w:hAnsi="Verdana"/>
          <w:sz w:val="20"/>
          <w:szCs w:val="20"/>
        </w:rPr>
        <w:t>million and $1 million in commissions.</w:t>
      </w:r>
      <w:r w:rsidR="00A02B4F" w:rsidRPr="00DB5977">
        <w:rPr>
          <w:rStyle w:val="FootnoteReference"/>
          <w:rFonts w:ascii="Verdana" w:hAnsi="Verdana"/>
          <w:sz w:val="20"/>
          <w:szCs w:val="20"/>
        </w:rPr>
        <w:footnoteReference w:id="44"/>
      </w:r>
      <w:r w:rsidR="00FA1959" w:rsidRPr="00DB5977">
        <w:rPr>
          <w:rFonts w:ascii="Verdana" w:hAnsi="Verdana"/>
          <w:sz w:val="20"/>
          <w:szCs w:val="20"/>
        </w:rPr>
        <w:t xml:space="preserve"> </w:t>
      </w:r>
      <w:r w:rsidRPr="00DB5977">
        <w:rPr>
          <w:rFonts w:ascii="Verdana" w:hAnsi="Verdana"/>
          <w:i/>
          <w:sz w:val="20"/>
          <w:szCs w:val="20"/>
        </w:rPr>
        <w:t xml:space="preserve">Value Line </w:t>
      </w:r>
      <w:r w:rsidRPr="00DB5977">
        <w:rPr>
          <w:rFonts w:ascii="Verdana" w:hAnsi="Verdana"/>
          <w:sz w:val="20"/>
          <w:szCs w:val="20"/>
        </w:rPr>
        <w:t xml:space="preserve">projects </w:t>
      </w:r>
      <w:r w:rsidR="00594F50" w:rsidRPr="00DB5977">
        <w:rPr>
          <w:rFonts w:ascii="Verdana" w:hAnsi="Verdana"/>
          <w:sz w:val="20"/>
          <w:szCs w:val="20"/>
        </w:rPr>
        <w:t>a similar</w:t>
      </w:r>
      <w:r w:rsidRPr="00DB5977">
        <w:rPr>
          <w:rFonts w:ascii="Verdana" w:hAnsi="Verdana"/>
          <w:sz w:val="20"/>
          <w:szCs w:val="20"/>
        </w:rPr>
        <w:t xml:space="preserve"> increase in </w:t>
      </w:r>
      <w:r w:rsidR="00594F50" w:rsidRPr="00DB5977">
        <w:rPr>
          <w:rFonts w:ascii="Verdana" w:hAnsi="Verdana"/>
          <w:sz w:val="20"/>
          <w:szCs w:val="20"/>
        </w:rPr>
        <w:t>Southern Company’s</w:t>
      </w:r>
      <w:r w:rsidRPr="00DB5977">
        <w:rPr>
          <w:rFonts w:ascii="Verdana" w:hAnsi="Verdana"/>
          <w:sz w:val="20"/>
          <w:szCs w:val="20"/>
        </w:rPr>
        <w:t xml:space="preserve"> </w:t>
      </w:r>
      <w:r w:rsidR="002B6DE4" w:rsidRPr="00DB5977">
        <w:rPr>
          <w:rFonts w:ascii="Verdana" w:hAnsi="Verdana"/>
          <w:sz w:val="20"/>
          <w:szCs w:val="20"/>
        </w:rPr>
        <w:t xml:space="preserve">outstanding </w:t>
      </w:r>
      <w:r w:rsidRPr="00DB5977">
        <w:rPr>
          <w:rFonts w:ascii="Verdana" w:hAnsi="Verdana"/>
          <w:sz w:val="20"/>
          <w:szCs w:val="20"/>
        </w:rPr>
        <w:t xml:space="preserve">shares during the next </w:t>
      </w:r>
      <w:r w:rsidR="006B713E" w:rsidRPr="00DB5977">
        <w:rPr>
          <w:rFonts w:ascii="Verdana" w:hAnsi="Verdana"/>
          <w:sz w:val="20"/>
          <w:szCs w:val="20"/>
        </w:rPr>
        <w:t>couple</w:t>
      </w:r>
      <w:r w:rsidRPr="00DB5977">
        <w:rPr>
          <w:rFonts w:ascii="Verdana" w:hAnsi="Verdana"/>
          <w:sz w:val="20"/>
          <w:szCs w:val="20"/>
        </w:rPr>
        <w:t xml:space="preserve"> </w:t>
      </w:r>
      <w:r w:rsidR="002B6DE4">
        <w:rPr>
          <w:rFonts w:ascii="Verdana" w:hAnsi="Verdana"/>
          <w:sz w:val="20"/>
          <w:szCs w:val="20"/>
        </w:rPr>
        <w:t xml:space="preserve">of </w:t>
      </w:r>
      <w:r w:rsidRPr="00DB5977">
        <w:rPr>
          <w:rFonts w:ascii="Verdana" w:hAnsi="Verdana"/>
          <w:sz w:val="20"/>
          <w:szCs w:val="20"/>
        </w:rPr>
        <w:t xml:space="preserve">years—an increase from </w:t>
      </w:r>
      <w:r w:rsidR="00B954B3" w:rsidRPr="00DB5977">
        <w:rPr>
          <w:rFonts w:ascii="Verdana" w:hAnsi="Verdana"/>
          <w:sz w:val="20"/>
          <w:szCs w:val="20"/>
        </w:rPr>
        <w:t>1</w:t>
      </w:r>
      <w:r w:rsidR="00B73600" w:rsidRPr="00DB5977">
        <w:rPr>
          <w:rFonts w:ascii="Verdana" w:hAnsi="Verdana"/>
          <w:sz w:val="20"/>
          <w:szCs w:val="20"/>
        </w:rPr>
        <w:t>,0</w:t>
      </w:r>
      <w:r w:rsidR="00210BA4" w:rsidRPr="00DB5977">
        <w:rPr>
          <w:rFonts w:ascii="Verdana" w:hAnsi="Verdana"/>
          <w:sz w:val="20"/>
          <w:szCs w:val="20"/>
        </w:rPr>
        <w:t>50</w:t>
      </w:r>
      <w:r w:rsidRPr="00DB5977">
        <w:rPr>
          <w:rFonts w:ascii="Verdana" w:hAnsi="Verdana"/>
          <w:sz w:val="20"/>
          <w:szCs w:val="20"/>
        </w:rPr>
        <w:t xml:space="preserve"> million </w:t>
      </w:r>
      <w:r w:rsidR="002C4C6A" w:rsidRPr="00DB5977">
        <w:rPr>
          <w:rFonts w:ascii="Verdana" w:hAnsi="Verdana"/>
          <w:sz w:val="20"/>
          <w:szCs w:val="20"/>
        </w:rPr>
        <w:t xml:space="preserve">shares </w:t>
      </w:r>
      <w:r w:rsidR="00B73600" w:rsidRPr="00DB5977">
        <w:rPr>
          <w:rFonts w:ascii="Verdana" w:hAnsi="Verdana"/>
          <w:sz w:val="20"/>
          <w:szCs w:val="20"/>
        </w:rPr>
        <w:t>in 201</w:t>
      </w:r>
      <w:r w:rsidR="005D7FA6" w:rsidRPr="00DB5977">
        <w:rPr>
          <w:rFonts w:ascii="Verdana" w:hAnsi="Verdana"/>
          <w:sz w:val="20"/>
          <w:szCs w:val="20"/>
        </w:rPr>
        <w:t>9</w:t>
      </w:r>
      <w:r w:rsidR="00B73600" w:rsidRPr="00DB5977">
        <w:rPr>
          <w:rFonts w:ascii="Verdana" w:hAnsi="Verdana"/>
          <w:sz w:val="20"/>
          <w:szCs w:val="20"/>
        </w:rPr>
        <w:t xml:space="preserve"> </w:t>
      </w:r>
      <w:r w:rsidRPr="00DB5977">
        <w:rPr>
          <w:rFonts w:ascii="Verdana" w:hAnsi="Verdana"/>
          <w:sz w:val="20"/>
          <w:szCs w:val="20"/>
        </w:rPr>
        <w:t xml:space="preserve">to </w:t>
      </w:r>
      <w:r w:rsidR="00D66393" w:rsidRPr="00DB5977">
        <w:rPr>
          <w:rFonts w:ascii="Verdana" w:hAnsi="Verdana"/>
          <w:sz w:val="20"/>
          <w:szCs w:val="20"/>
        </w:rPr>
        <w:t>1,0</w:t>
      </w:r>
      <w:r w:rsidR="00210BA4" w:rsidRPr="00DB5977">
        <w:rPr>
          <w:rFonts w:ascii="Verdana" w:hAnsi="Verdana"/>
          <w:sz w:val="20"/>
          <w:szCs w:val="20"/>
        </w:rPr>
        <w:t>60</w:t>
      </w:r>
      <w:r w:rsidRPr="00DB5977">
        <w:rPr>
          <w:rFonts w:ascii="Verdana" w:hAnsi="Verdana"/>
          <w:sz w:val="20"/>
          <w:szCs w:val="20"/>
        </w:rPr>
        <w:t xml:space="preserve"> million </w:t>
      </w:r>
      <w:r w:rsidR="002C4C6A" w:rsidRPr="00DB5977">
        <w:rPr>
          <w:rFonts w:ascii="Verdana" w:hAnsi="Verdana"/>
          <w:sz w:val="20"/>
          <w:szCs w:val="20"/>
        </w:rPr>
        <w:t xml:space="preserve">shares </w:t>
      </w:r>
      <w:r w:rsidR="00286BD1" w:rsidRPr="00DB5977">
        <w:rPr>
          <w:rFonts w:ascii="Verdana" w:hAnsi="Verdana"/>
          <w:sz w:val="20"/>
          <w:szCs w:val="20"/>
        </w:rPr>
        <w:t>in</w:t>
      </w:r>
      <w:r w:rsidRPr="00DB5977">
        <w:rPr>
          <w:rFonts w:ascii="Verdana" w:hAnsi="Verdana"/>
          <w:sz w:val="20"/>
          <w:szCs w:val="20"/>
        </w:rPr>
        <w:t xml:space="preserve"> 2020</w:t>
      </w:r>
      <w:r w:rsidR="00D82619">
        <w:rPr>
          <w:rFonts w:ascii="Verdana" w:hAnsi="Verdana"/>
          <w:sz w:val="20"/>
          <w:szCs w:val="20"/>
        </w:rPr>
        <w:t>—</w:t>
      </w:r>
      <w:r w:rsidR="00D84B3D" w:rsidRPr="00D82619">
        <w:rPr>
          <w:rFonts w:ascii="Verdana" w:hAnsi="Verdana"/>
          <w:sz w:val="20"/>
          <w:szCs w:val="20"/>
        </w:rPr>
        <w:t xml:space="preserve">and it expects Southern Company </w:t>
      </w:r>
      <w:r w:rsidR="00D66CF0" w:rsidRPr="00D82619">
        <w:rPr>
          <w:rFonts w:ascii="Verdana" w:hAnsi="Verdana"/>
          <w:sz w:val="20"/>
          <w:szCs w:val="20"/>
        </w:rPr>
        <w:t>to increase outstanding share</w:t>
      </w:r>
      <w:r w:rsidR="00D82619" w:rsidRPr="00D82619">
        <w:rPr>
          <w:rFonts w:ascii="Verdana" w:hAnsi="Verdana"/>
          <w:sz w:val="20"/>
          <w:szCs w:val="20"/>
        </w:rPr>
        <w:t>s</w:t>
      </w:r>
      <w:r w:rsidR="00D66CF0" w:rsidRPr="00D82619">
        <w:rPr>
          <w:rFonts w:ascii="Verdana" w:hAnsi="Verdana"/>
          <w:sz w:val="20"/>
          <w:szCs w:val="20"/>
        </w:rPr>
        <w:t xml:space="preserve"> to 1,090 million </w:t>
      </w:r>
      <w:r w:rsidR="00E51E3D" w:rsidRPr="00D82619">
        <w:rPr>
          <w:rFonts w:ascii="Verdana" w:hAnsi="Verdana"/>
          <w:sz w:val="20"/>
          <w:szCs w:val="20"/>
        </w:rPr>
        <w:t xml:space="preserve">shares </w:t>
      </w:r>
      <w:r w:rsidR="00AE73DE" w:rsidRPr="00D82619">
        <w:rPr>
          <w:rFonts w:ascii="Verdana" w:hAnsi="Verdana"/>
          <w:sz w:val="20"/>
          <w:szCs w:val="20"/>
        </w:rPr>
        <w:t>by 2024</w:t>
      </w:r>
      <w:r w:rsidRPr="00D82619">
        <w:rPr>
          <w:rFonts w:ascii="Verdana" w:hAnsi="Verdana"/>
          <w:sz w:val="20"/>
          <w:szCs w:val="20"/>
        </w:rPr>
        <w:t>.</w:t>
      </w:r>
      <w:r w:rsidR="00FB2103" w:rsidRPr="00DB5977">
        <w:rPr>
          <w:rStyle w:val="FootnoteReference"/>
          <w:rFonts w:ascii="Verdana" w:hAnsi="Verdana"/>
          <w:sz w:val="20"/>
          <w:szCs w:val="20"/>
        </w:rPr>
        <w:footnoteReference w:id="45"/>
      </w:r>
      <w:r w:rsidR="0025065A" w:rsidRPr="00D82619">
        <w:rPr>
          <w:rFonts w:ascii="Verdana" w:hAnsi="Verdana"/>
          <w:sz w:val="20"/>
          <w:szCs w:val="20"/>
        </w:rPr>
        <w:t xml:space="preserve"> </w:t>
      </w:r>
    </w:p>
    <w:p w14:paraId="24D7E765" w14:textId="4B47AFE7" w:rsidR="000B75D7" w:rsidRPr="00DB5977" w:rsidRDefault="00F80278" w:rsidP="00486739">
      <w:pPr>
        <w:pStyle w:val="DirectAnswer"/>
        <w:numPr>
          <w:ilvl w:val="0"/>
          <w:numId w:val="0"/>
        </w:numPr>
        <w:ind w:left="720" w:firstLine="720"/>
        <w:jc w:val="both"/>
        <w:rPr>
          <w:rFonts w:ascii="Verdana" w:hAnsi="Verdana"/>
          <w:sz w:val="20"/>
          <w:szCs w:val="20"/>
        </w:rPr>
      </w:pPr>
      <w:r w:rsidRPr="00DB5977">
        <w:rPr>
          <w:rFonts w:ascii="Verdana" w:hAnsi="Verdana"/>
          <w:sz w:val="20"/>
          <w:szCs w:val="20"/>
        </w:rPr>
        <w:t xml:space="preserve">I </w:t>
      </w:r>
      <w:r w:rsidR="00D27ACB" w:rsidRPr="00DB5977">
        <w:rPr>
          <w:rFonts w:ascii="Verdana" w:hAnsi="Verdana"/>
          <w:sz w:val="20"/>
          <w:szCs w:val="20"/>
        </w:rPr>
        <w:t>a</w:t>
      </w:r>
      <w:r w:rsidR="00EA4C21" w:rsidRPr="00DB5977">
        <w:rPr>
          <w:rFonts w:ascii="Verdana" w:hAnsi="Verdana"/>
          <w:sz w:val="20"/>
          <w:szCs w:val="20"/>
        </w:rPr>
        <w:t>ssum</w:t>
      </w:r>
      <w:r w:rsidRPr="00DB5977">
        <w:rPr>
          <w:rFonts w:ascii="Verdana" w:hAnsi="Verdana"/>
          <w:sz w:val="20"/>
          <w:szCs w:val="20"/>
        </w:rPr>
        <w:t>e</w:t>
      </w:r>
      <w:r w:rsidR="00EA4C21" w:rsidRPr="00DB5977">
        <w:rPr>
          <w:rFonts w:ascii="Verdana" w:hAnsi="Verdana"/>
          <w:sz w:val="20"/>
          <w:szCs w:val="20"/>
        </w:rPr>
        <w:t xml:space="preserve"> </w:t>
      </w:r>
      <w:r w:rsidR="00515003" w:rsidRPr="00DB5977">
        <w:rPr>
          <w:rFonts w:ascii="Verdana" w:hAnsi="Verdana"/>
          <w:sz w:val="20"/>
          <w:szCs w:val="20"/>
        </w:rPr>
        <w:t xml:space="preserve">an annual increase </w:t>
      </w:r>
      <w:r w:rsidR="001D5547" w:rsidRPr="00DB5977">
        <w:rPr>
          <w:rFonts w:ascii="Verdana" w:hAnsi="Verdana"/>
          <w:sz w:val="20"/>
          <w:szCs w:val="20"/>
        </w:rPr>
        <w:t>in stock</w:t>
      </w:r>
      <w:r w:rsidR="00E863CF" w:rsidRPr="00DB5977">
        <w:rPr>
          <w:rFonts w:ascii="Verdana" w:hAnsi="Verdana"/>
          <w:sz w:val="20"/>
          <w:szCs w:val="20"/>
        </w:rPr>
        <w:t xml:space="preserve"> issuances</w:t>
      </w:r>
      <w:r w:rsidR="001D5547" w:rsidRPr="00DB5977">
        <w:rPr>
          <w:rFonts w:ascii="Verdana" w:hAnsi="Verdana"/>
          <w:sz w:val="20"/>
          <w:szCs w:val="20"/>
        </w:rPr>
        <w:t xml:space="preserve"> of 1</w:t>
      </w:r>
      <w:r w:rsidR="005F31AA" w:rsidRPr="00DB5977">
        <w:rPr>
          <w:rFonts w:ascii="Verdana" w:hAnsi="Verdana"/>
          <w:sz w:val="20"/>
          <w:szCs w:val="20"/>
        </w:rPr>
        <w:t xml:space="preserve">4.6 million </w:t>
      </w:r>
      <w:r w:rsidR="00E863CF" w:rsidRPr="00DB5977">
        <w:rPr>
          <w:rFonts w:ascii="Verdana" w:hAnsi="Verdana"/>
          <w:sz w:val="20"/>
          <w:szCs w:val="20"/>
        </w:rPr>
        <w:t xml:space="preserve">shares </w:t>
      </w:r>
      <w:r w:rsidR="0080790D" w:rsidRPr="00DB5977">
        <w:rPr>
          <w:rFonts w:ascii="Verdana" w:hAnsi="Verdana"/>
          <w:sz w:val="20"/>
          <w:szCs w:val="20"/>
        </w:rPr>
        <w:t>at a cost of</w:t>
      </w:r>
      <w:r w:rsidR="002147C2" w:rsidRPr="00DB5977">
        <w:rPr>
          <w:rFonts w:ascii="Verdana" w:hAnsi="Verdana"/>
          <w:sz w:val="20"/>
          <w:szCs w:val="20"/>
        </w:rPr>
        <w:t xml:space="preserve"> </w:t>
      </w:r>
      <w:r w:rsidR="005A5D1E" w:rsidRPr="00DB5977">
        <w:rPr>
          <w:rFonts w:ascii="Verdana" w:hAnsi="Verdana"/>
          <w:sz w:val="20"/>
          <w:szCs w:val="20"/>
        </w:rPr>
        <w:t>$</w:t>
      </w:r>
      <w:r w:rsidR="00406A58" w:rsidRPr="00DB5977">
        <w:rPr>
          <w:rFonts w:ascii="Verdana" w:hAnsi="Verdana"/>
          <w:sz w:val="20"/>
          <w:szCs w:val="20"/>
        </w:rPr>
        <w:t>20</w:t>
      </w:r>
      <w:r w:rsidR="00B9039A" w:rsidRPr="00DB5977">
        <w:rPr>
          <w:rFonts w:ascii="Verdana" w:hAnsi="Verdana"/>
          <w:sz w:val="20"/>
          <w:szCs w:val="20"/>
        </w:rPr>
        <w:t xml:space="preserve"> million</w:t>
      </w:r>
      <w:r w:rsidR="00205105" w:rsidRPr="00DB5977">
        <w:rPr>
          <w:rFonts w:ascii="Verdana" w:hAnsi="Verdana"/>
          <w:sz w:val="20"/>
          <w:szCs w:val="20"/>
        </w:rPr>
        <w:t xml:space="preserve"> </w:t>
      </w:r>
      <w:r w:rsidR="00B9039A" w:rsidRPr="00DB5977">
        <w:rPr>
          <w:rFonts w:ascii="Verdana" w:hAnsi="Verdana"/>
          <w:sz w:val="20"/>
          <w:szCs w:val="20"/>
        </w:rPr>
        <w:t xml:space="preserve">(or less than </w:t>
      </w:r>
      <w:r w:rsidR="009C737F" w:rsidRPr="00DB5977">
        <w:rPr>
          <w:rFonts w:ascii="Verdana" w:hAnsi="Verdana"/>
          <w:sz w:val="20"/>
          <w:szCs w:val="20"/>
        </w:rPr>
        <w:t>0.0</w:t>
      </w:r>
      <w:r w:rsidR="00CA779C" w:rsidRPr="00DB5977">
        <w:rPr>
          <w:rFonts w:ascii="Verdana" w:hAnsi="Verdana"/>
          <w:sz w:val="20"/>
          <w:szCs w:val="20"/>
        </w:rPr>
        <w:t>8</w:t>
      </w:r>
      <w:r w:rsidR="009C737F" w:rsidRPr="00DB5977">
        <w:rPr>
          <w:rFonts w:ascii="Verdana" w:hAnsi="Verdana"/>
          <w:sz w:val="20"/>
          <w:szCs w:val="20"/>
        </w:rPr>
        <w:t xml:space="preserve"> percent </w:t>
      </w:r>
      <w:r w:rsidR="00D82619">
        <w:rPr>
          <w:rFonts w:ascii="Verdana" w:hAnsi="Verdana"/>
          <w:sz w:val="20"/>
          <w:szCs w:val="20"/>
        </w:rPr>
        <w:t xml:space="preserve">of </w:t>
      </w:r>
      <w:r w:rsidR="009C737F" w:rsidRPr="00DB5977">
        <w:rPr>
          <w:rFonts w:ascii="Verdana" w:hAnsi="Verdana"/>
          <w:sz w:val="20"/>
          <w:szCs w:val="20"/>
        </w:rPr>
        <w:t>the portion of</w:t>
      </w:r>
      <w:r w:rsidR="00205105" w:rsidRPr="00DB5977">
        <w:rPr>
          <w:rFonts w:ascii="Verdana" w:hAnsi="Verdana"/>
          <w:sz w:val="20"/>
          <w:szCs w:val="20"/>
        </w:rPr>
        <w:t xml:space="preserve"> </w:t>
      </w:r>
      <w:r w:rsidR="009C737F" w:rsidRPr="00DB5977">
        <w:rPr>
          <w:rFonts w:ascii="Verdana" w:hAnsi="Verdana"/>
          <w:sz w:val="20"/>
          <w:szCs w:val="20"/>
        </w:rPr>
        <w:t xml:space="preserve">Southern Company’s </w:t>
      </w:r>
      <w:r w:rsidR="00457A5C" w:rsidRPr="00DB5977">
        <w:rPr>
          <w:rFonts w:ascii="Verdana" w:hAnsi="Verdana"/>
          <w:sz w:val="20"/>
          <w:szCs w:val="20"/>
        </w:rPr>
        <w:t>total</w:t>
      </w:r>
      <w:r w:rsidR="00343E80" w:rsidRPr="00DB5977">
        <w:rPr>
          <w:rFonts w:ascii="Verdana" w:hAnsi="Verdana"/>
          <w:sz w:val="20"/>
          <w:szCs w:val="20"/>
        </w:rPr>
        <w:t xml:space="preserve"> equity capitalization of $24,723</w:t>
      </w:r>
      <w:r w:rsidR="007308AA" w:rsidRPr="00DB5977">
        <w:rPr>
          <w:rFonts w:ascii="Verdana" w:hAnsi="Verdana"/>
          <w:sz w:val="20"/>
          <w:szCs w:val="20"/>
        </w:rPr>
        <w:t xml:space="preserve"> million</w:t>
      </w:r>
      <w:r w:rsidR="00457A5C" w:rsidRPr="00DB5977">
        <w:rPr>
          <w:rFonts w:ascii="Verdana" w:hAnsi="Verdana"/>
          <w:sz w:val="20"/>
          <w:szCs w:val="20"/>
        </w:rPr>
        <w:t>)</w:t>
      </w:r>
      <w:r w:rsidRPr="00DB5977">
        <w:rPr>
          <w:rFonts w:ascii="Verdana" w:hAnsi="Verdana"/>
          <w:sz w:val="20"/>
          <w:szCs w:val="20"/>
        </w:rPr>
        <w:t xml:space="preserve">. </w:t>
      </w:r>
      <w:r w:rsidR="008276CA" w:rsidRPr="00DB5977">
        <w:rPr>
          <w:rFonts w:ascii="Verdana" w:hAnsi="Verdana"/>
          <w:sz w:val="20"/>
          <w:szCs w:val="20"/>
        </w:rPr>
        <w:t xml:space="preserve">Applying Dr. Vander </w:t>
      </w:r>
      <w:proofErr w:type="spellStart"/>
      <w:r w:rsidR="008276CA" w:rsidRPr="00DB5977">
        <w:rPr>
          <w:rFonts w:ascii="Verdana" w:hAnsi="Verdana"/>
          <w:sz w:val="20"/>
          <w:szCs w:val="20"/>
        </w:rPr>
        <w:t>Weide’s</w:t>
      </w:r>
      <w:proofErr w:type="spellEnd"/>
      <w:r w:rsidR="008276CA" w:rsidRPr="00DB5977">
        <w:rPr>
          <w:rFonts w:ascii="Verdana" w:hAnsi="Verdana"/>
          <w:sz w:val="20"/>
          <w:szCs w:val="20"/>
        </w:rPr>
        <w:t xml:space="preserve"> </w:t>
      </w:r>
      <w:r w:rsidR="00B22FE2" w:rsidRPr="00DB5977">
        <w:rPr>
          <w:rFonts w:ascii="Verdana" w:hAnsi="Verdana"/>
          <w:sz w:val="20"/>
          <w:szCs w:val="20"/>
        </w:rPr>
        <w:t>flotation cost adjustment</w:t>
      </w:r>
      <w:r w:rsidR="006A5FD6" w:rsidRPr="00DB5977">
        <w:rPr>
          <w:rFonts w:ascii="Verdana" w:hAnsi="Verdana"/>
          <w:sz w:val="20"/>
          <w:szCs w:val="20"/>
        </w:rPr>
        <w:t xml:space="preserve"> that subtracts </w:t>
      </w:r>
      <w:r w:rsidR="00A827A8">
        <w:rPr>
          <w:rFonts w:ascii="Verdana" w:hAnsi="Verdana"/>
          <w:sz w:val="20"/>
          <w:szCs w:val="20"/>
        </w:rPr>
        <w:t>the</w:t>
      </w:r>
      <w:r w:rsidR="006A5FD6" w:rsidRPr="00DB5977">
        <w:rPr>
          <w:rFonts w:ascii="Verdana" w:hAnsi="Verdana"/>
          <w:sz w:val="20"/>
          <w:szCs w:val="20"/>
        </w:rPr>
        <w:t xml:space="preserve"> </w:t>
      </w:r>
      <w:r w:rsidR="00A827A8">
        <w:rPr>
          <w:rFonts w:ascii="Verdana" w:hAnsi="Verdana"/>
          <w:sz w:val="20"/>
          <w:szCs w:val="20"/>
        </w:rPr>
        <w:t>percent</w:t>
      </w:r>
      <w:r w:rsidR="006A5FD6" w:rsidRPr="00DB5977">
        <w:rPr>
          <w:rFonts w:ascii="Verdana" w:hAnsi="Verdana"/>
          <w:sz w:val="20"/>
          <w:szCs w:val="20"/>
        </w:rPr>
        <w:t xml:space="preserve"> of </w:t>
      </w:r>
      <w:r w:rsidR="0062427D">
        <w:rPr>
          <w:rFonts w:ascii="Verdana" w:hAnsi="Verdana"/>
          <w:sz w:val="20"/>
          <w:szCs w:val="20"/>
        </w:rPr>
        <w:t>flotation cost</w:t>
      </w:r>
      <w:r w:rsidR="00166C7A">
        <w:rPr>
          <w:rFonts w:ascii="Verdana" w:hAnsi="Verdana"/>
          <w:sz w:val="20"/>
          <w:szCs w:val="20"/>
        </w:rPr>
        <w:t>s</w:t>
      </w:r>
      <w:r w:rsidR="0062427D">
        <w:rPr>
          <w:rFonts w:ascii="Verdana" w:hAnsi="Verdana"/>
          <w:sz w:val="20"/>
          <w:szCs w:val="20"/>
        </w:rPr>
        <w:t xml:space="preserve"> </w:t>
      </w:r>
      <w:r w:rsidR="00A827A8">
        <w:rPr>
          <w:rFonts w:ascii="Verdana" w:hAnsi="Verdana"/>
          <w:sz w:val="20"/>
          <w:szCs w:val="20"/>
        </w:rPr>
        <w:t xml:space="preserve">from </w:t>
      </w:r>
      <w:r w:rsidR="001368F0" w:rsidRPr="00DB5977">
        <w:rPr>
          <w:rFonts w:ascii="Verdana" w:hAnsi="Verdana"/>
          <w:sz w:val="20"/>
          <w:szCs w:val="20"/>
        </w:rPr>
        <w:t>stock prices</w:t>
      </w:r>
      <w:r w:rsidR="00A827A8">
        <w:rPr>
          <w:rFonts w:ascii="Verdana" w:hAnsi="Verdana"/>
          <w:sz w:val="20"/>
          <w:szCs w:val="20"/>
        </w:rPr>
        <w:t xml:space="preserve"> in the dividend yield</w:t>
      </w:r>
      <w:r w:rsidR="003250E7" w:rsidRPr="00DB5977">
        <w:rPr>
          <w:rFonts w:ascii="Verdana" w:hAnsi="Verdana"/>
          <w:sz w:val="20"/>
          <w:szCs w:val="20"/>
        </w:rPr>
        <w:t>, in this case 3 percent</w:t>
      </w:r>
      <w:r w:rsidR="00B12FAB">
        <w:rPr>
          <w:rFonts w:ascii="Verdana" w:hAnsi="Verdana"/>
          <w:sz w:val="20"/>
          <w:szCs w:val="20"/>
        </w:rPr>
        <w:t xml:space="preserve"> ($20 million divided by </w:t>
      </w:r>
      <w:r w:rsidR="00977AB0">
        <w:rPr>
          <w:rFonts w:ascii="Verdana" w:hAnsi="Verdana"/>
          <w:sz w:val="20"/>
          <w:szCs w:val="20"/>
        </w:rPr>
        <w:t>$6</w:t>
      </w:r>
      <w:r w:rsidR="00215A48">
        <w:rPr>
          <w:rFonts w:ascii="Verdana" w:hAnsi="Verdana"/>
          <w:sz w:val="20"/>
          <w:szCs w:val="20"/>
        </w:rPr>
        <w:t>54</w:t>
      </w:r>
      <w:r w:rsidR="00977AB0">
        <w:rPr>
          <w:rFonts w:ascii="Verdana" w:hAnsi="Verdana"/>
          <w:sz w:val="20"/>
          <w:szCs w:val="20"/>
        </w:rPr>
        <w:t xml:space="preserve"> million)</w:t>
      </w:r>
      <w:r w:rsidR="003250E7" w:rsidRPr="00DB5977">
        <w:rPr>
          <w:rFonts w:ascii="Verdana" w:hAnsi="Verdana"/>
          <w:sz w:val="20"/>
          <w:szCs w:val="20"/>
        </w:rPr>
        <w:t>,</w:t>
      </w:r>
      <w:r w:rsidR="001368F0" w:rsidRPr="00DB5977">
        <w:rPr>
          <w:rFonts w:ascii="Verdana" w:hAnsi="Verdana"/>
          <w:sz w:val="20"/>
          <w:szCs w:val="20"/>
        </w:rPr>
        <w:t xml:space="preserve"> to account for flotation costs in the DCF</w:t>
      </w:r>
      <w:r w:rsidR="007308AA" w:rsidRPr="00DB5977">
        <w:rPr>
          <w:rFonts w:ascii="Verdana" w:hAnsi="Verdana"/>
          <w:sz w:val="20"/>
          <w:szCs w:val="20"/>
        </w:rPr>
        <w:t xml:space="preserve"> equals</w:t>
      </w:r>
      <w:r w:rsidR="00457A5C" w:rsidRPr="00DB5977">
        <w:rPr>
          <w:rFonts w:ascii="Verdana" w:hAnsi="Verdana"/>
          <w:sz w:val="20"/>
          <w:szCs w:val="20"/>
        </w:rPr>
        <w:t xml:space="preserve"> a basis point </w:t>
      </w:r>
      <w:r w:rsidR="006F5FC0" w:rsidRPr="00DB5977">
        <w:rPr>
          <w:rFonts w:ascii="Verdana" w:hAnsi="Verdana"/>
          <w:sz w:val="20"/>
          <w:szCs w:val="20"/>
        </w:rPr>
        <w:t xml:space="preserve">adder to the allowed ROE of </w:t>
      </w:r>
      <w:r w:rsidR="002D3DBC" w:rsidRPr="00DB5977">
        <w:rPr>
          <w:rFonts w:ascii="Verdana" w:hAnsi="Verdana"/>
          <w:sz w:val="20"/>
          <w:szCs w:val="20"/>
        </w:rPr>
        <w:t>about 10</w:t>
      </w:r>
      <w:r w:rsidR="006F5FC0" w:rsidRPr="00DB5977">
        <w:rPr>
          <w:rFonts w:ascii="Verdana" w:hAnsi="Verdana"/>
          <w:sz w:val="20"/>
          <w:szCs w:val="20"/>
        </w:rPr>
        <w:t xml:space="preserve"> basis point</w:t>
      </w:r>
      <w:r w:rsidR="007C18F4" w:rsidRPr="00DB5977">
        <w:rPr>
          <w:rFonts w:ascii="Verdana" w:hAnsi="Verdana"/>
          <w:sz w:val="20"/>
          <w:szCs w:val="20"/>
        </w:rPr>
        <w:t>s.</w:t>
      </w:r>
      <w:r w:rsidR="003236D1">
        <w:rPr>
          <w:rStyle w:val="FootnoteReference"/>
          <w:rFonts w:ascii="Verdana" w:hAnsi="Verdana"/>
          <w:sz w:val="20"/>
          <w:szCs w:val="20"/>
        </w:rPr>
        <w:footnoteReference w:id="46"/>
      </w:r>
      <w:r w:rsidR="00297EE8">
        <w:rPr>
          <w:rFonts w:ascii="Verdana" w:hAnsi="Verdana"/>
          <w:sz w:val="20"/>
          <w:szCs w:val="20"/>
        </w:rPr>
        <w:t xml:space="preserve"> Therefore, the ROE results present</w:t>
      </w:r>
      <w:r w:rsidR="00977AB0">
        <w:rPr>
          <w:rFonts w:ascii="Verdana" w:hAnsi="Verdana"/>
          <w:sz w:val="20"/>
          <w:szCs w:val="20"/>
        </w:rPr>
        <w:t>ed</w:t>
      </w:r>
      <w:r w:rsidR="00297EE8">
        <w:rPr>
          <w:rFonts w:ascii="Verdana" w:hAnsi="Verdana"/>
          <w:sz w:val="20"/>
          <w:szCs w:val="20"/>
        </w:rPr>
        <w:t xml:space="preserve"> hereto include this flotation cost adjustment of 10 basis points</w:t>
      </w:r>
      <w:r w:rsidR="0001005D">
        <w:rPr>
          <w:rFonts w:ascii="Verdana" w:hAnsi="Verdana"/>
          <w:sz w:val="20"/>
          <w:szCs w:val="20"/>
        </w:rPr>
        <w:t xml:space="preserve"> that is </w:t>
      </w:r>
      <w:r w:rsidR="00884B03">
        <w:rPr>
          <w:rFonts w:ascii="Verdana" w:hAnsi="Verdana"/>
          <w:sz w:val="20"/>
          <w:szCs w:val="20"/>
        </w:rPr>
        <w:t>more in line with</w:t>
      </w:r>
      <w:r w:rsidR="0001005D">
        <w:rPr>
          <w:rFonts w:ascii="Verdana" w:hAnsi="Verdana"/>
          <w:sz w:val="20"/>
          <w:szCs w:val="20"/>
        </w:rPr>
        <w:t xml:space="preserve"> the parent company’s actual market-based issuance costs</w:t>
      </w:r>
      <w:r w:rsidR="00297EE8">
        <w:rPr>
          <w:rFonts w:ascii="Verdana" w:hAnsi="Verdana"/>
          <w:sz w:val="20"/>
          <w:szCs w:val="20"/>
        </w:rPr>
        <w:t>.</w:t>
      </w:r>
      <w:r w:rsidR="00CF6892" w:rsidRPr="00DB5977">
        <w:rPr>
          <w:rStyle w:val="FootnoteReference"/>
          <w:rFonts w:ascii="Verdana" w:hAnsi="Verdana"/>
          <w:sz w:val="20"/>
          <w:szCs w:val="20"/>
        </w:rPr>
        <w:footnoteReference w:id="47"/>
      </w:r>
      <w:r w:rsidR="0025065A">
        <w:rPr>
          <w:rFonts w:ascii="Verdana" w:hAnsi="Verdana"/>
          <w:sz w:val="20"/>
          <w:szCs w:val="20"/>
        </w:rPr>
        <w:t xml:space="preserve"> </w:t>
      </w:r>
      <w:r w:rsidR="00565218" w:rsidRPr="00DB5977">
        <w:rPr>
          <w:rFonts w:ascii="Verdana" w:hAnsi="Verdana"/>
          <w:sz w:val="20"/>
          <w:szCs w:val="20"/>
        </w:rPr>
        <w:t xml:space="preserve"> </w:t>
      </w:r>
    </w:p>
    <w:p w14:paraId="09D4CB10" w14:textId="77777777" w:rsidR="0025065A" w:rsidRDefault="0025065A" w:rsidP="0025065A">
      <w:pPr>
        <w:pStyle w:val="Heading1"/>
        <w:numPr>
          <w:ilvl w:val="0"/>
          <w:numId w:val="0"/>
        </w:numPr>
        <w:rPr>
          <w:rFonts w:ascii="Verdana" w:hAnsi="Verdana" w:cstheme="minorHAnsi"/>
          <w:sz w:val="20"/>
          <w:szCs w:val="20"/>
          <w:u w:val="none"/>
        </w:rPr>
      </w:pPr>
    </w:p>
    <w:p w14:paraId="437ECF39" w14:textId="1D126D00" w:rsidR="00E65095" w:rsidRPr="00DB5977" w:rsidRDefault="00157D9F" w:rsidP="0025065A">
      <w:pPr>
        <w:pStyle w:val="Heading1"/>
        <w:numPr>
          <w:ilvl w:val="0"/>
          <w:numId w:val="0"/>
        </w:numPr>
        <w:rPr>
          <w:rFonts w:ascii="Verdana" w:hAnsi="Verdana" w:cstheme="minorHAnsi"/>
          <w:sz w:val="20"/>
          <w:szCs w:val="22"/>
        </w:rPr>
      </w:pPr>
      <w:bookmarkStart w:id="38" w:name="_Toc21873146"/>
      <w:r>
        <w:rPr>
          <w:rFonts w:ascii="Verdana" w:hAnsi="Verdana" w:cstheme="minorHAnsi"/>
          <w:sz w:val="20"/>
          <w:szCs w:val="20"/>
          <w:u w:val="none"/>
        </w:rPr>
        <w:t>IX</w:t>
      </w:r>
      <w:r w:rsidR="0025065A">
        <w:rPr>
          <w:rFonts w:ascii="Verdana" w:hAnsi="Verdana" w:cstheme="minorHAnsi"/>
          <w:sz w:val="20"/>
          <w:szCs w:val="20"/>
          <w:u w:val="none"/>
        </w:rPr>
        <w:t xml:space="preserve">. </w:t>
      </w:r>
      <w:r w:rsidR="0000583E" w:rsidRPr="00DB5977">
        <w:rPr>
          <w:rFonts w:ascii="Verdana" w:hAnsi="Verdana" w:cstheme="minorHAnsi"/>
          <w:sz w:val="20"/>
          <w:szCs w:val="22"/>
        </w:rPr>
        <w:t>FINANCIAL RISK</w:t>
      </w:r>
      <w:r w:rsidR="007D1F8C" w:rsidRPr="00DB5977">
        <w:rPr>
          <w:rFonts w:ascii="Verdana" w:hAnsi="Verdana" w:cstheme="minorHAnsi"/>
          <w:sz w:val="20"/>
          <w:szCs w:val="22"/>
        </w:rPr>
        <w:t xml:space="preserve"> ADJUSTMENT</w:t>
      </w:r>
      <w:bookmarkEnd w:id="38"/>
    </w:p>
    <w:p w14:paraId="72E09033" w14:textId="66EC5A1C" w:rsidR="007D1F8C" w:rsidRPr="00DB5977" w:rsidRDefault="0000583E" w:rsidP="00486739">
      <w:pPr>
        <w:pStyle w:val="DirectQuestion"/>
      </w:pPr>
      <w:r w:rsidRPr="00DB5977">
        <w:t xml:space="preserve">does dr. vander weide </w:t>
      </w:r>
      <w:r w:rsidR="00204079" w:rsidRPr="00DB5977">
        <w:t xml:space="preserve">make another </w:t>
      </w:r>
      <w:r w:rsidR="008123F6" w:rsidRPr="00DB5977">
        <w:t xml:space="preserve">adjustment to his </w:t>
      </w:r>
      <w:r w:rsidR="00D82619">
        <w:t>Roe</w:t>
      </w:r>
      <w:r w:rsidR="008123F6" w:rsidRPr="00DB5977">
        <w:t xml:space="preserve"> </w:t>
      </w:r>
      <w:r w:rsidR="005072F9" w:rsidRPr="00DB5977">
        <w:t>estimate?</w:t>
      </w:r>
    </w:p>
    <w:p w14:paraId="2C08F435" w14:textId="0D590EE4" w:rsidR="005072F9" w:rsidRPr="00DB5977" w:rsidRDefault="005072F9" w:rsidP="00486739">
      <w:pPr>
        <w:pStyle w:val="DirectAnswer"/>
        <w:jc w:val="both"/>
        <w:rPr>
          <w:rFonts w:ascii="Verdana" w:hAnsi="Verdana"/>
          <w:sz w:val="20"/>
          <w:szCs w:val="20"/>
        </w:rPr>
      </w:pPr>
      <w:r w:rsidRPr="00DB5977">
        <w:rPr>
          <w:rFonts w:ascii="Verdana" w:hAnsi="Verdana"/>
          <w:sz w:val="20"/>
          <w:szCs w:val="20"/>
        </w:rPr>
        <w:t xml:space="preserve">Yes. He adjusts his 10.4 percent average cost of equity for his proxy group </w:t>
      </w:r>
      <w:r w:rsidR="003A6269" w:rsidRPr="00DB5977">
        <w:rPr>
          <w:rFonts w:ascii="Verdana" w:hAnsi="Verdana"/>
          <w:sz w:val="20"/>
          <w:szCs w:val="20"/>
        </w:rPr>
        <w:t>for financial risk</w:t>
      </w:r>
      <w:r w:rsidR="00CC4800" w:rsidRPr="00DB5977">
        <w:rPr>
          <w:rFonts w:ascii="Verdana" w:hAnsi="Verdana"/>
          <w:sz w:val="20"/>
          <w:szCs w:val="20"/>
        </w:rPr>
        <w:t xml:space="preserve"> </w:t>
      </w:r>
      <w:r w:rsidR="008D68E3" w:rsidRPr="00DB5977">
        <w:rPr>
          <w:rFonts w:ascii="Verdana" w:hAnsi="Verdana"/>
          <w:sz w:val="20"/>
          <w:szCs w:val="20"/>
        </w:rPr>
        <w:t xml:space="preserve">to derive his recommended </w:t>
      </w:r>
      <w:r w:rsidR="005A00F0" w:rsidRPr="00DB5977">
        <w:rPr>
          <w:rFonts w:ascii="Verdana" w:hAnsi="Verdana"/>
          <w:sz w:val="20"/>
          <w:szCs w:val="20"/>
        </w:rPr>
        <w:t>rate of return on common equity for Georgia Power of 10.9 percent.</w:t>
      </w:r>
      <w:r w:rsidR="008F5593" w:rsidRPr="00DB5977">
        <w:rPr>
          <w:rFonts w:ascii="Verdana" w:hAnsi="Verdana"/>
          <w:sz w:val="20"/>
          <w:szCs w:val="20"/>
        </w:rPr>
        <w:t xml:space="preserve"> He states that in order to attract capital, the Company </w:t>
      </w:r>
      <w:r w:rsidR="000F1B28" w:rsidRPr="00DB5977">
        <w:rPr>
          <w:rFonts w:ascii="Verdana" w:hAnsi="Verdana"/>
          <w:sz w:val="20"/>
          <w:szCs w:val="20"/>
        </w:rPr>
        <w:t>must have the same weighted average cost of capital as his proxy group. Thus, he</w:t>
      </w:r>
      <w:r w:rsidR="00EB406B" w:rsidRPr="00DB5977">
        <w:rPr>
          <w:rFonts w:ascii="Verdana" w:hAnsi="Verdana"/>
          <w:sz w:val="20"/>
          <w:szCs w:val="20"/>
        </w:rPr>
        <w:t xml:space="preserve"> adjust</w:t>
      </w:r>
      <w:r w:rsidR="000A4B4B" w:rsidRPr="00DB5977">
        <w:rPr>
          <w:rFonts w:ascii="Verdana" w:hAnsi="Verdana"/>
          <w:sz w:val="20"/>
          <w:szCs w:val="20"/>
        </w:rPr>
        <w:t>s</w:t>
      </w:r>
      <w:r w:rsidR="00EB406B" w:rsidRPr="00DB5977">
        <w:rPr>
          <w:rFonts w:ascii="Verdana" w:hAnsi="Verdana"/>
          <w:sz w:val="20"/>
          <w:szCs w:val="20"/>
        </w:rPr>
        <w:t xml:space="preserve"> </w:t>
      </w:r>
      <w:r w:rsidR="000A4B4B" w:rsidRPr="00DB5977">
        <w:rPr>
          <w:rFonts w:ascii="Verdana" w:hAnsi="Verdana"/>
          <w:sz w:val="20"/>
          <w:szCs w:val="20"/>
        </w:rPr>
        <w:t xml:space="preserve">his </w:t>
      </w:r>
      <w:r w:rsidR="00D82619">
        <w:rPr>
          <w:rFonts w:ascii="Verdana" w:hAnsi="Verdana"/>
          <w:sz w:val="20"/>
          <w:szCs w:val="20"/>
        </w:rPr>
        <w:t>ROE</w:t>
      </w:r>
      <w:r w:rsidR="00EB406B" w:rsidRPr="00DB5977">
        <w:rPr>
          <w:rFonts w:ascii="Verdana" w:hAnsi="Verdana"/>
          <w:sz w:val="20"/>
          <w:szCs w:val="20"/>
        </w:rPr>
        <w:t xml:space="preserve"> </w:t>
      </w:r>
      <w:r w:rsidR="007E2087" w:rsidRPr="00DB5977">
        <w:rPr>
          <w:rFonts w:ascii="Verdana" w:hAnsi="Verdana"/>
          <w:sz w:val="20"/>
          <w:szCs w:val="20"/>
        </w:rPr>
        <w:t xml:space="preserve">by </w:t>
      </w:r>
      <w:r w:rsidR="00FB0D11" w:rsidRPr="00DB5977">
        <w:rPr>
          <w:rFonts w:ascii="Verdana" w:hAnsi="Verdana"/>
          <w:sz w:val="20"/>
          <w:szCs w:val="20"/>
        </w:rPr>
        <w:t xml:space="preserve">inputting his estimated ROE of 10.4 percent into </w:t>
      </w:r>
      <w:r w:rsidR="00C20FC1" w:rsidRPr="00DB5977">
        <w:rPr>
          <w:rFonts w:ascii="Verdana" w:hAnsi="Verdana"/>
          <w:sz w:val="20"/>
          <w:szCs w:val="20"/>
        </w:rPr>
        <w:t>his proxy group average WACC</w:t>
      </w:r>
      <w:r w:rsidR="00B758DF" w:rsidRPr="00DB5977">
        <w:rPr>
          <w:rFonts w:ascii="Verdana" w:hAnsi="Verdana"/>
          <w:sz w:val="20"/>
          <w:szCs w:val="20"/>
        </w:rPr>
        <w:t xml:space="preserve"> and company</w:t>
      </w:r>
      <w:r w:rsidR="00D82619">
        <w:rPr>
          <w:rFonts w:ascii="Verdana" w:hAnsi="Verdana"/>
          <w:sz w:val="20"/>
          <w:szCs w:val="20"/>
        </w:rPr>
        <w:t>-</w:t>
      </w:r>
      <w:r w:rsidR="00B758DF" w:rsidRPr="00DB5977">
        <w:rPr>
          <w:rFonts w:ascii="Verdana" w:hAnsi="Verdana"/>
          <w:sz w:val="20"/>
          <w:szCs w:val="20"/>
        </w:rPr>
        <w:t xml:space="preserve">specific debt component to estimate </w:t>
      </w:r>
      <w:r w:rsidR="00686287" w:rsidRPr="00DB5977">
        <w:rPr>
          <w:rFonts w:ascii="Verdana" w:hAnsi="Verdana"/>
          <w:sz w:val="20"/>
          <w:szCs w:val="20"/>
        </w:rPr>
        <w:t xml:space="preserve">his </w:t>
      </w:r>
      <w:r w:rsidR="003C576A" w:rsidRPr="00DB5977">
        <w:rPr>
          <w:rFonts w:ascii="Verdana" w:hAnsi="Verdana"/>
          <w:sz w:val="20"/>
          <w:szCs w:val="20"/>
        </w:rPr>
        <w:t>financial risk adjusted ROE of 10.9 percent.</w:t>
      </w:r>
      <w:r w:rsidR="00497E7C" w:rsidRPr="00DB5977">
        <w:rPr>
          <w:rFonts w:ascii="Verdana" w:hAnsi="Verdana"/>
          <w:sz w:val="20"/>
          <w:szCs w:val="20"/>
        </w:rPr>
        <w:t xml:space="preserve"> </w:t>
      </w:r>
      <w:r w:rsidR="00FB6D72" w:rsidRPr="00DB5977">
        <w:rPr>
          <w:rFonts w:ascii="Verdana" w:hAnsi="Verdana"/>
          <w:sz w:val="20"/>
          <w:szCs w:val="20"/>
        </w:rPr>
        <w:t>Specifically, h</w:t>
      </w:r>
      <w:r w:rsidR="00497E7C" w:rsidRPr="00DB5977">
        <w:rPr>
          <w:rFonts w:ascii="Verdana" w:hAnsi="Verdana"/>
          <w:sz w:val="20"/>
          <w:szCs w:val="20"/>
        </w:rPr>
        <w:t>e inputs his 10.4 percent ROE into his proxy group capital structure of 40 percent long-term debt and 60</w:t>
      </w:r>
      <w:r w:rsidR="00275DD8">
        <w:rPr>
          <w:rFonts w:ascii="Verdana" w:hAnsi="Verdana"/>
          <w:sz w:val="20"/>
          <w:szCs w:val="20"/>
        </w:rPr>
        <w:t> </w:t>
      </w:r>
      <w:r w:rsidR="00497E7C" w:rsidRPr="00DB5977">
        <w:rPr>
          <w:rFonts w:ascii="Verdana" w:hAnsi="Verdana"/>
          <w:sz w:val="20"/>
          <w:szCs w:val="20"/>
        </w:rPr>
        <w:t>percent equity, and 3.27 percent after-tax cost of debt rate to derive a WACC of 7.55 percent. He then subtracts the Company’s weighted cost of long-term debt of 1.44 percent from the WACC of 7.55 percent to derive 6.11 percent</w:t>
      </w:r>
      <w:r w:rsidR="00D82619">
        <w:rPr>
          <w:rFonts w:ascii="Verdana" w:hAnsi="Verdana"/>
          <w:sz w:val="20"/>
          <w:szCs w:val="20"/>
        </w:rPr>
        <w:t>,</w:t>
      </w:r>
      <w:r w:rsidR="00497E7C" w:rsidRPr="00DB5977">
        <w:rPr>
          <w:rFonts w:ascii="Verdana" w:hAnsi="Verdana"/>
          <w:sz w:val="20"/>
          <w:szCs w:val="20"/>
        </w:rPr>
        <w:t xml:space="preserve"> and then divides this weighted cost of equity by the equity component of the Company’s capital structure of 56.08 percent to derive 10.9 percent. (</w:t>
      </w:r>
      <w:r w:rsidR="00497E7C" w:rsidRPr="00DB5977">
        <w:rPr>
          <w:rFonts w:ascii="Verdana" w:hAnsi="Verdana"/>
          <w:i/>
          <w:iCs/>
          <w:sz w:val="20"/>
          <w:szCs w:val="20"/>
          <w:u w:val="single"/>
        </w:rPr>
        <w:t>See</w:t>
      </w:r>
      <w:r w:rsidR="00497E7C" w:rsidRPr="00DB5977">
        <w:rPr>
          <w:rFonts w:ascii="Verdana" w:hAnsi="Verdana"/>
          <w:sz w:val="20"/>
          <w:szCs w:val="20"/>
        </w:rPr>
        <w:t xml:space="preserve"> Vander </w:t>
      </w:r>
      <w:proofErr w:type="spellStart"/>
      <w:r w:rsidR="00497E7C" w:rsidRPr="00DB5977">
        <w:rPr>
          <w:rFonts w:ascii="Verdana" w:hAnsi="Verdana"/>
          <w:sz w:val="20"/>
          <w:szCs w:val="20"/>
        </w:rPr>
        <w:t>Weide</w:t>
      </w:r>
      <w:proofErr w:type="spellEnd"/>
      <w:r w:rsidR="00497E7C" w:rsidRPr="00DB5977">
        <w:rPr>
          <w:rFonts w:ascii="Verdana" w:hAnsi="Verdana"/>
          <w:sz w:val="20"/>
          <w:szCs w:val="20"/>
        </w:rPr>
        <w:t xml:space="preserve"> Direct Testimony, Schedule 11.)</w:t>
      </w:r>
      <w:r w:rsidR="000E778F" w:rsidRPr="00DB5977">
        <w:rPr>
          <w:rFonts w:ascii="Verdana" w:hAnsi="Verdana"/>
          <w:sz w:val="20"/>
          <w:szCs w:val="20"/>
        </w:rPr>
        <w:t xml:space="preserve"> Implicit in </w:t>
      </w:r>
      <w:r w:rsidR="009A4BD3" w:rsidRPr="00DB5977">
        <w:rPr>
          <w:rFonts w:ascii="Verdana" w:hAnsi="Verdana"/>
          <w:sz w:val="20"/>
          <w:szCs w:val="20"/>
        </w:rPr>
        <w:t xml:space="preserve">Dr. Vander </w:t>
      </w:r>
      <w:proofErr w:type="spellStart"/>
      <w:r w:rsidR="009A4BD3" w:rsidRPr="00DB5977">
        <w:rPr>
          <w:rFonts w:ascii="Verdana" w:hAnsi="Verdana"/>
          <w:sz w:val="20"/>
          <w:szCs w:val="20"/>
        </w:rPr>
        <w:t>Weide’s</w:t>
      </w:r>
      <w:proofErr w:type="spellEnd"/>
      <w:r w:rsidR="009A4BD3" w:rsidRPr="00DB5977">
        <w:rPr>
          <w:rFonts w:ascii="Verdana" w:hAnsi="Verdana"/>
          <w:sz w:val="20"/>
          <w:szCs w:val="20"/>
        </w:rPr>
        <w:t xml:space="preserve"> </w:t>
      </w:r>
      <w:r w:rsidR="00B7637C" w:rsidRPr="00DB5977">
        <w:rPr>
          <w:rFonts w:ascii="Verdana" w:hAnsi="Verdana"/>
          <w:sz w:val="20"/>
          <w:szCs w:val="20"/>
        </w:rPr>
        <w:t>adjustment is that Georgia Power</w:t>
      </w:r>
      <w:r w:rsidR="0005258E" w:rsidRPr="00DB5977">
        <w:rPr>
          <w:rFonts w:ascii="Verdana" w:hAnsi="Verdana"/>
          <w:sz w:val="20"/>
          <w:szCs w:val="20"/>
        </w:rPr>
        <w:t xml:space="preserve"> has more financial risk than his </w:t>
      </w:r>
      <w:r w:rsidR="00BA1BAD" w:rsidRPr="00DB5977">
        <w:rPr>
          <w:rFonts w:ascii="Verdana" w:hAnsi="Verdana"/>
          <w:sz w:val="20"/>
          <w:szCs w:val="20"/>
        </w:rPr>
        <w:t xml:space="preserve">proxy group since </w:t>
      </w:r>
      <w:r w:rsidR="00D0630F" w:rsidRPr="00DB5977">
        <w:rPr>
          <w:rFonts w:ascii="Verdana" w:hAnsi="Verdana"/>
          <w:sz w:val="20"/>
          <w:szCs w:val="20"/>
        </w:rPr>
        <w:t>Georgia Power’s regulatory equity (</w:t>
      </w:r>
      <w:r w:rsidR="00C055FD" w:rsidRPr="00DB5977">
        <w:rPr>
          <w:rFonts w:ascii="Verdana" w:hAnsi="Verdana"/>
          <w:sz w:val="20"/>
          <w:szCs w:val="20"/>
        </w:rPr>
        <w:t>56.08</w:t>
      </w:r>
      <w:r w:rsidR="00D0630F" w:rsidRPr="00DB5977">
        <w:rPr>
          <w:rFonts w:ascii="Verdana" w:hAnsi="Verdana"/>
          <w:sz w:val="20"/>
          <w:szCs w:val="20"/>
        </w:rPr>
        <w:t xml:space="preserve"> </w:t>
      </w:r>
      <w:r w:rsidR="00B7316E" w:rsidRPr="00DB5977">
        <w:rPr>
          <w:rFonts w:ascii="Verdana" w:hAnsi="Verdana"/>
          <w:sz w:val="20"/>
          <w:szCs w:val="20"/>
        </w:rPr>
        <w:t>p</w:t>
      </w:r>
      <w:r w:rsidR="001A327F" w:rsidRPr="00DB5977">
        <w:rPr>
          <w:rFonts w:ascii="Verdana" w:hAnsi="Verdana"/>
          <w:sz w:val="20"/>
          <w:szCs w:val="20"/>
        </w:rPr>
        <w:t>ercent) is less than his proxy group</w:t>
      </w:r>
      <w:r w:rsidR="00D82619">
        <w:rPr>
          <w:rFonts w:ascii="Verdana" w:hAnsi="Verdana"/>
          <w:sz w:val="20"/>
          <w:szCs w:val="20"/>
        </w:rPr>
        <w:t>’</w:t>
      </w:r>
      <w:r w:rsidR="001A327F" w:rsidRPr="00DB5977">
        <w:rPr>
          <w:rFonts w:ascii="Verdana" w:hAnsi="Verdana"/>
          <w:sz w:val="20"/>
          <w:szCs w:val="20"/>
        </w:rPr>
        <w:t xml:space="preserve">s market value equity percentage </w:t>
      </w:r>
      <w:r w:rsidR="00B7316E" w:rsidRPr="00DB5977">
        <w:rPr>
          <w:rFonts w:ascii="Verdana" w:hAnsi="Verdana"/>
          <w:sz w:val="20"/>
          <w:szCs w:val="20"/>
        </w:rPr>
        <w:t>(</w:t>
      </w:r>
      <w:r w:rsidR="00C055FD" w:rsidRPr="00DB5977">
        <w:rPr>
          <w:rFonts w:ascii="Verdana" w:hAnsi="Verdana"/>
          <w:sz w:val="20"/>
          <w:szCs w:val="20"/>
        </w:rPr>
        <w:t xml:space="preserve">60 </w:t>
      </w:r>
      <w:r w:rsidR="0036051C" w:rsidRPr="00DB5977">
        <w:rPr>
          <w:rFonts w:ascii="Verdana" w:hAnsi="Verdana"/>
          <w:sz w:val="20"/>
          <w:szCs w:val="20"/>
        </w:rPr>
        <w:t>p</w:t>
      </w:r>
      <w:r w:rsidR="00B7316E" w:rsidRPr="00DB5977">
        <w:rPr>
          <w:rFonts w:ascii="Verdana" w:hAnsi="Verdana"/>
          <w:sz w:val="20"/>
          <w:szCs w:val="20"/>
        </w:rPr>
        <w:t>ercent).</w:t>
      </w:r>
    </w:p>
    <w:p w14:paraId="6E8D5C82" w14:textId="2C9CF19C" w:rsidR="00A23011" w:rsidRPr="00DB5977" w:rsidRDefault="00A23011" w:rsidP="00486739">
      <w:pPr>
        <w:pStyle w:val="DirectQuestion"/>
      </w:pPr>
      <w:r w:rsidRPr="00DB5977">
        <w:t xml:space="preserve">Do you agree with </w:t>
      </w:r>
      <w:r w:rsidR="00037F89" w:rsidRPr="00DB5977">
        <w:t xml:space="preserve">Dr. Vander Weide’s </w:t>
      </w:r>
      <w:r w:rsidR="00FE36AC" w:rsidRPr="00DB5977">
        <w:t xml:space="preserve">Financial Risk Adjustment to his </w:t>
      </w:r>
      <w:r w:rsidR="00D82619">
        <w:t>Roe</w:t>
      </w:r>
      <w:r w:rsidR="00FE36AC" w:rsidRPr="00DB5977">
        <w:t>?</w:t>
      </w:r>
    </w:p>
    <w:p w14:paraId="4022DD77" w14:textId="4DEFD2BE" w:rsidR="00FE36AC" w:rsidRPr="00DB5977" w:rsidRDefault="008A6573" w:rsidP="00486739">
      <w:pPr>
        <w:pStyle w:val="DirectAnswer"/>
        <w:jc w:val="both"/>
        <w:rPr>
          <w:rFonts w:ascii="Verdana" w:hAnsi="Verdana"/>
          <w:sz w:val="20"/>
          <w:szCs w:val="20"/>
        </w:rPr>
      </w:pPr>
      <w:r w:rsidRPr="00DB5977">
        <w:rPr>
          <w:rFonts w:ascii="Verdana" w:hAnsi="Verdana"/>
          <w:sz w:val="20"/>
          <w:szCs w:val="20"/>
        </w:rPr>
        <w:t xml:space="preserve">No. </w:t>
      </w:r>
      <w:r w:rsidR="0094567A" w:rsidRPr="00DB5977">
        <w:rPr>
          <w:rFonts w:ascii="Verdana" w:hAnsi="Verdana"/>
          <w:sz w:val="20"/>
          <w:szCs w:val="20"/>
        </w:rPr>
        <w:t xml:space="preserve">Dr. Vander </w:t>
      </w:r>
      <w:proofErr w:type="spellStart"/>
      <w:r w:rsidR="0094567A" w:rsidRPr="00DB5977">
        <w:rPr>
          <w:rFonts w:ascii="Verdana" w:hAnsi="Verdana"/>
          <w:sz w:val="20"/>
          <w:szCs w:val="20"/>
        </w:rPr>
        <w:t>Weide’s</w:t>
      </w:r>
      <w:proofErr w:type="spellEnd"/>
      <w:r w:rsidR="0094567A" w:rsidRPr="00DB5977">
        <w:rPr>
          <w:rFonts w:ascii="Verdana" w:hAnsi="Verdana"/>
          <w:sz w:val="20"/>
          <w:szCs w:val="20"/>
        </w:rPr>
        <w:t xml:space="preserve"> adjustment for leverage difference</w:t>
      </w:r>
      <w:r w:rsidR="00420428" w:rsidRPr="00DB5977">
        <w:rPr>
          <w:rFonts w:ascii="Verdana" w:hAnsi="Verdana"/>
          <w:sz w:val="20"/>
          <w:szCs w:val="20"/>
        </w:rPr>
        <w:t>s between Georgia Power and his proxy group are not appropriate</w:t>
      </w:r>
      <w:r w:rsidR="00BC17BB" w:rsidRPr="00DB5977">
        <w:rPr>
          <w:rFonts w:ascii="Verdana" w:hAnsi="Verdana"/>
          <w:sz w:val="20"/>
          <w:szCs w:val="20"/>
        </w:rPr>
        <w:t xml:space="preserve">. The differences between the Company’s book-value capital structure and the proxy group’s </w:t>
      </w:r>
      <w:r w:rsidR="00675EAD" w:rsidRPr="00DB5977">
        <w:rPr>
          <w:rFonts w:ascii="Verdana" w:hAnsi="Verdana"/>
          <w:sz w:val="20"/>
          <w:szCs w:val="20"/>
        </w:rPr>
        <w:t>market-value capital structure are already cap</w:t>
      </w:r>
      <w:r w:rsidR="00D14E1C" w:rsidRPr="00DB5977">
        <w:rPr>
          <w:rFonts w:ascii="Verdana" w:hAnsi="Verdana"/>
          <w:sz w:val="20"/>
          <w:szCs w:val="20"/>
        </w:rPr>
        <w:t>tured in the various ROE methodologies.</w:t>
      </w:r>
      <w:r w:rsidR="00E13630">
        <w:rPr>
          <w:rFonts w:ascii="Verdana" w:hAnsi="Verdana"/>
          <w:sz w:val="20"/>
          <w:szCs w:val="20"/>
        </w:rPr>
        <w:t xml:space="preserve"> Moreover, h</w:t>
      </w:r>
      <w:r w:rsidR="008B34D1">
        <w:rPr>
          <w:rFonts w:ascii="Verdana" w:hAnsi="Verdana"/>
          <w:sz w:val="20"/>
          <w:szCs w:val="20"/>
        </w:rPr>
        <w:t>is</w:t>
      </w:r>
      <w:r w:rsidR="00E13630">
        <w:rPr>
          <w:rFonts w:ascii="Verdana" w:hAnsi="Verdana"/>
          <w:sz w:val="20"/>
          <w:szCs w:val="20"/>
        </w:rPr>
        <w:t xml:space="preserve"> unorthodox approach has not been approved by the Commission in past proceedings.</w:t>
      </w:r>
      <w:r w:rsidR="00E13630">
        <w:rPr>
          <w:rStyle w:val="FootnoteReference"/>
          <w:rFonts w:ascii="Verdana" w:hAnsi="Verdana"/>
          <w:sz w:val="20"/>
          <w:szCs w:val="20"/>
        </w:rPr>
        <w:footnoteReference w:id="48"/>
      </w:r>
    </w:p>
    <w:p w14:paraId="1496E9FC" w14:textId="77777777" w:rsidR="00350E4D" w:rsidRPr="00DB5977" w:rsidRDefault="00350E4D" w:rsidP="00486739">
      <w:pPr>
        <w:pStyle w:val="DirectQuestion"/>
      </w:pPr>
      <w:r w:rsidRPr="00DB5977">
        <w:t>How does the DCF method capture market-to-book value differences?</w:t>
      </w:r>
    </w:p>
    <w:p w14:paraId="7C9B3485" w14:textId="1BEDAAAB" w:rsidR="00350E4D" w:rsidRPr="00DB5977" w:rsidRDefault="005F1404" w:rsidP="00486739">
      <w:pPr>
        <w:pStyle w:val="DirectAnswer"/>
        <w:jc w:val="both"/>
        <w:rPr>
          <w:rFonts w:ascii="Verdana" w:hAnsi="Verdana"/>
          <w:sz w:val="20"/>
          <w:szCs w:val="20"/>
        </w:rPr>
      </w:pPr>
      <w:r w:rsidRPr="00DB5977">
        <w:rPr>
          <w:rFonts w:ascii="Verdana" w:hAnsi="Verdana"/>
          <w:sz w:val="20"/>
          <w:szCs w:val="20"/>
        </w:rPr>
        <w:t xml:space="preserve">Investors are aware of the leverage of a company when they decide </w:t>
      </w:r>
      <w:r w:rsidR="00835662" w:rsidRPr="00DB5977">
        <w:rPr>
          <w:rFonts w:ascii="Verdana" w:hAnsi="Verdana"/>
          <w:sz w:val="20"/>
          <w:szCs w:val="20"/>
        </w:rPr>
        <w:t xml:space="preserve">to purchase or retain a company’s stock. Thus, </w:t>
      </w:r>
      <w:r w:rsidR="009D26DB" w:rsidRPr="00DB5977">
        <w:rPr>
          <w:rFonts w:ascii="Verdana" w:hAnsi="Verdana"/>
          <w:sz w:val="20"/>
          <w:szCs w:val="20"/>
        </w:rPr>
        <w:t xml:space="preserve">leverage or portion of debt relative to overall </w:t>
      </w:r>
      <w:r w:rsidR="00B8186A" w:rsidRPr="00DB5977">
        <w:rPr>
          <w:rFonts w:ascii="Verdana" w:hAnsi="Verdana"/>
          <w:sz w:val="20"/>
          <w:szCs w:val="20"/>
        </w:rPr>
        <w:t>capital structure, among other differences, affect the price investors are willing to pay</w:t>
      </w:r>
      <w:r w:rsidR="00E354BE" w:rsidRPr="00DB5977">
        <w:rPr>
          <w:rFonts w:ascii="Verdana" w:hAnsi="Verdana"/>
          <w:sz w:val="20"/>
          <w:szCs w:val="20"/>
        </w:rPr>
        <w:t xml:space="preserve"> for a stock</w:t>
      </w:r>
      <w:r w:rsidR="00B202EF" w:rsidRPr="00DB5977">
        <w:rPr>
          <w:rFonts w:ascii="Verdana" w:hAnsi="Verdana"/>
          <w:sz w:val="20"/>
          <w:szCs w:val="20"/>
        </w:rPr>
        <w:t xml:space="preserve"> and are reflected in the DCF model through </w:t>
      </w:r>
      <w:r w:rsidR="007833E1" w:rsidRPr="00DB5977">
        <w:rPr>
          <w:rFonts w:ascii="Verdana" w:hAnsi="Verdana"/>
          <w:sz w:val="20"/>
          <w:szCs w:val="20"/>
        </w:rPr>
        <w:t>share price and resulting dividend yield component of the model</w:t>
      </w:r>
      <w:r w:rsidR="003333C0" w:rsidRPr="00DB5977">
        <w:rPr>
          <w:rFonts w:ascii="Verdana" w:hAnsi="Verdana"/>
          <w:sz w:val="20"/>
          <w:szCs w:val="20"/>
        </w:rPr>
        <w:t xml:space="preserve">. Therefore, making a leverage adjustment </w:t>
      </w:r>
      <w:r w:rsidR="00174312" w:rsidRPr="00DB5977">
        <w:rPr>
          <w:rFonts w:ascii="Verdana" w:hAnsi="Verdana"/>
          <w:sz w:val="20"/>
          <w:szCs w:val="20"/>
        </w:rPr>
        <w:t xml:space="preserve">to adjustments already made by </w:t>
      </w:r>
      <w:proofErr w:type="gramStart"/>
      <w:r w:rsidR="00174312" w:rsidRPr="00DB5977">
        <w:rPr>
          <w:rFonts w:ascii="Verdana" w:hAnsi="Verdana"/>
          <w:sz w:val="20"/>
          <w:szCs w:val="20"/>
        </w:rPr>
        <w:t>investors</w:t>
      </w:r>
      <w:proofErr w:type="gramEnd"/>
      <w:r w:rsidR="00174312" w:rsidRPr="00DB5977">
        <w:rPr>
          <w:rFonts w:ascii="Verdana" w:hAnsi="Verdana"/>
          <w:sz w:val="20"/>
          <w:szCs w:val="20"/>
        </w:rPr>
        <w:t xml:space="preserve"> </w:t>
      </w:r>
      <w:r w:rsidR="00487AA7" w:rsidRPr="00DB5977">
        <w:rPr>
          <w:rFonts w:ascii="Verdana" w:hAnsi="Verdana"/>
          <w:sz w:val="20"/>
          <w:szCs w:val="20"/>
        </w:rPr>
        <w:t>double</w:t>
      </w:r>
      <w:r w:rsidR="0007219D">
        <w:rPr>
          <w:rFonts w:ascii="Verdana" w:hAnsi="Verdana"/>
          <w:sz w:val="20"/>
          <w:szCs w:val="20"/>
        </w:rPr>
        <w:t>-</w:t>
      </w:r>
      <w:r w:rsidR="00487AA7" w:rsidRPr="00DB5977">
        <w:rPr>
          <w:rFonts w:ascii="Verdana" w:hAnsi="Verdana"/>
          <w:sz w:val="20"/>
          <w:szCs w:val="20"/>
        </w:rPr>
        <w:t>counts the effect of leverage.</w:t>
      </w:r>
    </w:p>
    <w:p w14:paraId="693AD98F" w14:textId="77777777" w:rsidR="00487AA7" w:rsidRPr="00DB5977" w:rsidRDefault="00487AA7" w:rsidP="00486739">
      <w:pPr>
        <w:pStyle w:val="DirectQuestion"/>
      </w:pPr>
      <w:r w:rsidRPr="00DB5977">
        <w:t xml:space="preserve">How does </w:t>
      </w:r>
      <w:r w:rsidR="006F7100" w:rsidRPr="00DB5977">
        <w:t xml:space="preserve">the Capm and ECAPM already capture </w:t>
      </w:r>
      <w:r w:rsidR="008B1EDC" w:rsidRPr="00DB5977">
        <w:t>the market-to-book value differences?</w:t>
      </w:r>
    </w:p>
    <w:p w14:paraId="11B93DE9" w14:textId="537BC57A" w:rsidR="008B1EDC" w:rsidRPr="00DB5977" w:rsidRDefault="00DE549E" w:rsidP="00486739">
      <w:pPr>
        <w:pStyle w:val="DirectAnswer"/>
        <w:jc w:val="both"/>
        <w:rPr>
          <w:rFonts w:ascii="Verdana" w:hAnsi="Verdana"/>
          <w:sz w:val="20"/>
          <w:szCs w:val="20"/>
        </w:rPr>
      </w:pPr>
      <w:r w:rsidRPr="00DB5977">
        <w:rPr>
          <w:rFonts w:ascii="Verdana" w:hAnsi="Verdana"/>
          <w:sz w:val="20"/>
          <w:szCs w:val="20"/>
        </w:rPr>
        <w:t xml:space="preserve">Since the beta-coefficient </w:t>
      </w:r>
      <w:r w:rsidR="009F5D67" w:rsidRPr="00DB5977">
        <w:rPr>
          <w:rFonts w:ascii="Verdana" w:hAnsi="Verdana"/>
          <w:sz w:val="20"/>
          <w:szCs w:val="20"/>
        </w:rPr>
        <w:t>used in the CAPM and ECAPM reflects the volatility of a company</w:t>
      </w:r>
      <w:r w:rsidR="00A14281" w:rsidRPr="00DB5977">
        <w:rPr>
          <w:rFonts w:ascii="Verdana" w:hAnsi="Verdana"/>
          <w:sz w:val="20"/>
          <w:szCs w:val="20"/>
        </w:rPr>
        <w:t xml:space="preserve">’s stock value relative to the market, </w:t>
      </w:r>
      <w:r w:rsidR="00D840C5" w:rsidRPr="00DB5977">
        <w:rPr>
          <w:rFonts w:ascii="Verdana" w:hAnsi="Verdana"/>
          <w:sz w:val="20"/>
          <w:szCs w:val="20"/>
        </w:rPr>
        <w:t xml:space="preserve">the price </w:t>
      </w:r>
      <w:r w:rsidR="00487410" w:rsidRPr="00DB5977">
        <w:rPr>
          <w:rFonts w:ascii="Verdana" w:hAnsi="Verdana"/>
          <w:sz w:val="20"/>
          <w:szCs w:val="20"/>
        </w:rPr>
        <w:t>e</w:t>
      </w:r>
      <w:r w:rsidR="00D840C5" w:rsidRPr="00DB5977">
        <w:rPr>
          <w:rFonts w:ascii="Verdana" w:hAnsi="Verdana"/>
          <w:sz w:val="20"/>
          <w:szCs w:val="20"/>
        </w:rPr>
        <w:t xml:space="preserve">ffect of a company’s leverage is already incorporated </w:t>
      </w:r>
      <w:r w:rsidR="00F41409" w:rsidRPr="00DB5977">
        <w:rPr>
          <w:rFonts w:ascii="Verdana" w:hAnsi="Verdana"/>
          <w:sz w:val="20"/>
          <w:szCs w:val="20"/>
        </w:rPr>
        <w:t xml:space="preserve">in </w:t>
      </w:r>
      <w:r w:rsidR="004B7098" w:rsidRPr="00DB5977">
        <w:rPr>
          <w:rFonts w:ascii="Verdana" w:hAnsi="Verdana"/>
          <w:sz w:val="20"/>
          <w:szCs w:val="20"/>
        </w:rPr>
        <w:t>the</w:t>
      </w:r>
      <w:r w:rsidR="00330667">
        <w:rPr>
          <w:rFonts w:ascii="Verdana" w:hAnsi="Verdana"/>
          <w:sz w:val="20"/>
          <w:szCs w:val="20"/>
        </w:rPr>
        <w:t>se</w:t>
      </w:r>
      <w:r w:rsidR="004B7098" w:rsidRPr="00DB5977">
        <w:rPr>
          <w:rFonts w:ascii="Verdana" w:hAnsi="Verdana"/>
          <w:sz w:val="20"/>
          <w:szCs w:val="20"/>
        </w:rPr>
        <w:t xml:space="preserve"> models.</w:t>
      </w:r>
      <w:r w:rsidR="00787098" w:rsidRPr="00DB5977">
        <w:rPr>
          <w:rFonts w:ascii="Verdana" w:hAnsi="Verdana"/>
          <w:sz w:val="20"/>
          <w:szCs w:val="20"/>
        </w:rPr>
        <w:t xml:space="preserve"> </w:t>
      </w:r>
    </w:p>
    <w:p w14:paraId="0A88C9E5" w14:textId="77777777" w:rsidR="0007219D" w:rsidRDefault="0007219D" w:rsidP="0025065A">
      <w:pPr>
        <w:pStyle w:val="Heading1"/>
        <w:numPr>
          <w:ilvl w:val="0"/>
          <w:numId w:val="0"/>
        </w:numPr>
        <w:rPr>
          <w:rFonts w:ascii="Verdana" w:hAnsi="Verdana" w:cstheme="minorHAnsi"/>
          <w:sz w:val="20"/>
          <w:szCs w:val="20"/>
          <w:u w:val="none"/>
        </w:rPr>
      </w:pPr>
      <w:bookmarkStart w:id="39" w:name="_Toc21521243"/>
      <w:bookmarkStart w:id="40" w:name="_Toc21555894"/>
    </w:p>
    <w:p w14:paraId="3CB61D26" w14:textId="07B9100E" w:rsidR="0025065A" w:rsidRPr="00ED1819" w:rsidRDefault="0025065A" w:rsidP="0025065A">
      <w:pPr>
        <w:pStyle w:val="Heading1"/>
        <w:numPr>
          <w:ilvl w:val="0"/>
          <w:numId w:val="0"/>
        </w:numPr>
        <w:rPr>
          <w:rFonts w:ascii="Verdana" w:hAnsi="Verdana" w:cstheme="minorHAnsi"/>
          <w:sz w:val="20"/>
          <w:szCs w:val="20"/>
        </w:rPr>
      </w:pPr>
      <w:bookmarkStart w:id="41" w:name="_Toc21873147"/>
      <w:r>
        <w:rPr>
          <w:rFonts w:ascii="Verdana" w:hAnsi="Verdana" w:cstheme="minorHAnsi"/>
          <w:sz w:val="20"/>
          <w:szCs w:val="20"/>
          <w:u w:val="none"/>
        </w:rPr>
        <w:t xml:space="preserve">X. </w:t>
      </w:r>
      <w:r w:rsidRPr="00ED1819">
        <w:rPr>
          <w:rFonts w:ascii="Verdana" w:hAnsi="Verdana" w:cstheme="minorHAnsi"/>
          <w:sz w:val="20"/>
          <w:szCs w:val="20"/>
        </w:rPr>
        <w:t>SUMMARY AND RECOMMENDATION</w:t>
      </w:r>
      <w:bookmarkEnd w:id="39"/>
      <w:bookmarkEnd w:id="40"/>
      <w:bookmarkEnd w:id="41"/>
    </w:p>
    <w:p w14:paraId="3189152B" w14:textId="77777777" w:rsidR="00823379" w:rsidRPr="00DB5977" w:rsidRDefault="00823379" w:rsidP="00486739">
      <w:pPr>
        <w:pStyle w:val="DirectQuestion"/>
      </w:pPr>
      <w:bookmarkStart w:id="42" w:name="_Hlk533063822"/>
      <w:bookmarkEnd w:id="33"/>
      <w:r w:rsidRPr="00DB5977">
        <w:t xml:space="preserve">What do you recommend for </w:t>
      </w:r>
      <w:r w:rsidR="00867EF5" w:rsidRPr="00DB5977">
        <w:t>Geor</w:t>
      </w:r>
      <w:r w:rsidR="00831B2E" w:rsidRPr="00DB5977">
        <w:t>gia Power</w:t>
      </w:r>
      <w:r w:rsidR="004434CF" w:rsidRPr="00DB5977">
        <w:t xml:space="preserve">’s </w:t>
      </w:r>
      <w:r w:rsidRPr="00DB5977">
        <w:t xml:space="preserve">overall rate of return and </w:t>
      </w:r>
      <w:r w:rsidR="00E52895" w:rsidRPr="00DB5977">
        <w:t>authorized</w:t>
      </w:r>
      <w:r w:rsidRPr="00DB5977">
        <w:t xml:space="preserve"> ROE? </w:t>
      </w:r>
    </w:p>
    <w:p w14:paraId="72FDEEB5" w14:textId="2A483A1E" w:rsidR="000C2248" w:rsidRPr="00DB5977" w:rsidRDefault="00823379" w:rsidP="00486739">
      <w:pPr>
        <w:pStyle w:val="DirectAnswer"/>
        <w:jc w:val="both"/>
        <w:rPr>
          <w:rFonts w:ascii="Verdana" w:hAnsi="Verdana" w:cstheme="minorHAnsi"/>
          <w:sz w:val="20"/>
          <w:szCs w:val="20"/>
        </w:rPr>
      </w:pPr>
      <w:r w:rsidRPr="00DB5977">
        <w:rPr>
          <w:rFonts w:ascii="Verdana" w:hAnsi="Verdana" w:cstheme="minorHAnsi"/>
          <w:sz w:val="20"/>
          <w:szCs w:val="20"/>
        </w:rPr>
        <w:t>I recommend that the Commission authorize an overall rate of return of 6.</w:t>
      </w:r>
      <w:r w:rsidR="005B2554" w:rsidRPr="00DB5977">
        <w:rPr>
          <w:rFonts w:ascii="Verdana" w:hAnsi="Verdana" w:cstheme="minorHAnsi"/>
          <w:sz w:val="20"/>
          <w:szCs w:val="20"/>
        </w:rPr>
        <w:t>9</w:t>
      </w:r>
      <w:r w:rsidR="00504C24" w:rsidRPr="00DB5977">
        <w:rPr>
          <w:rFonts w:ascii="Verdana" w:hAnsi="Verdana" w:cstheme="minorHAnsi"/>
          <w:sz w:val="20"/>
          <w:szCs w:val="20"/>
        </w:rPr>
        <w:t>2</w:t>
      </w:r>
      <w:r w:rsidR="00275DD8">
        <w:rPr>
          <w:rFonts w:ascii="Verdana" w:hAnsi="Verdana" w:cstheme="minorHAnsi"/>
          <w:sz w:val="20"/>
          <w:szCs w:val="20"/>
        </w:rPr>
        <w:t> </w:t>
      </w:r>
      <w:r w:rsidRPr="00DB5977">
        <w:rPr>
          <w:rFonts w:ascii="Verdana" w:hAnsi="Verdana" w:cstheme="minorHAnsi"/>
          <w:sz w:val="20"/>
          <w:szCs w:val="20"/>
        </w:rPr>
        <w:t xml:space="preserve">percent, using </w:t>
      </w:r>
      <w:bookmarkEnd w:id="42"/>
      <w:r w:rsidRPr="00DB5977">
        <w:rPr>
          <w:rFonts w:ascii="Verdana" w:hAnsi="Verdana" w:cstheme="minorHAnsi"/>
          <w:sz w:val="20"/>
          <w:szCs w:val="20"/>
        </w:rPr>
        <w:t>the test-year capital structure that incorporates a cost of long-term debt of 4.</w:t>
      </w:r>
      <w:r w:rsidR="00504C24" w:rsidRPr="00DB5977">
        <w:rPr>
          <w:rFonts w:ascii="Verdana" w:hAnsi="Verdana" w:cstheme="minorHAnsi"/>
          <w:sz w:val="20"/>
          <w:szCs w:val="20"/>
        </w:rPr>
        <w:t>14</w:t>
      </w:r>
      <w:r w:rsidRPr="00DB5977">
        <w:rPr>
          <w:rFonts w:ascii="Verdana" w:hAnsi="Verdana" w:cstheme="minorHAnsi"/>
          <w:sz w:val="20"/>
          <w:szCs w:val="20"/>
        </w:rPr>
        <w:t xml:space="preserve"> percent and an </w:t>
      </w:r>
      <w:r w:rsidR="00E52895" w:rsidRPr="00DB5977">
        <w:rPr>
          <w:rFonts w:ascii="Verdana" w:hAnsi="Verdana" w:cstheme="minorHAnsi"/>
          <w:sz w:val="20"/>
          <w:szCs w:val="20"/>
        </w:rPr>
        <w:t>authorized</w:t>
      </w:r>
      <w:r w:rsidRPr="00DB5977">
        <w:rPr>
          <w:rFonts w:ascii="Verdana" w:hAnsi="Verdana" w:cstheme="minorHAnsi"/>
          <w:sz w:val="20"/>
          <w:szCs w:val="20"/>
        </w:rPr>
        <w:t xml:space="preserve"> ROE of </w:t>
      </w:r>
      <w:r w:rsidR="00783387" w:rsidRPr="00DB5977">
        <w:rPr>
          <w:rFonts w:ascii="Verdana" w:hAnsi="Verdana" w:cstheme="minorHAnsi"/>
          <w:sz w:val="20"/>
          <w:szCs w:val="20"/>
        </w:rPr>
        <w:t>9</w:t>
      </w:r>
      <w:r w:rsidR="00504C24" w:rsidRPr="00DB5977">
        <w:rPr>
          <w:rFonts w:ascii="Verdana" w:hAnsi="Verdana" w:cstheme="minorHAnsi"/>
          <w:sz w:val="20"/>
          <w:szCs w:val="20"/>
        </w:rPr>
        <w:t>.1</w:t>
      </w:r>
      <w:r w:rsidRPr="00DB5977">
        <w:rPr>
          <w:rFonts w:ascii="Verdana" w:hAnsi="Verdana" w:cstheme="minorHAnsi"/>
          <w:sz w:val="20"/>
          <w:szCs w:val="20"/>
        </w:rPr>
        <w:t xml:space="preserve"> percent</w:t>
      </w:r>
      <w:r w:rsidR="00F0522F" w:rsidRPr="00DB5977">
        <w:rPr>
          <w:rFonts w:ascii="Verdana" w:hAnsi="Verdana" w:cstheme="minorHAnsi"/>
          <w:sz w:val="20"/>
          <w:szCs w:val="20"/>
        </w:rPr>
        <w:t>.</w:t>
      </w:r>
      <w:r w:rsidR="0025065A">
        <w:rPr>
          <w:rFonts w:ascii="Verdana" w:hAnsi="Verdana" w:cstheme="minorHAnsi"/>
          <w:sz w:val="20"/>
          <w:szCs w:val="20"/>
        </w:rPr>
        <w:t xml:space="preserve"> </w:t>
      </w:r>
      <w:r w:rsidRPr="00DB5977">
        <w:rPr>
          <w:rFonts w:ascii="Verdana" w:hAnsi="Verdana" w:cstheme="minorHAnsi"/>
          <w:sz w:val="20"/>
          <w:szCs w:val="20"/>
        </w:rPr>
        <w:t>(</w:t>
      </w:r>
      <w:r w:rsidRPr="00DB5977">
        <w:rPr>
          <w:rFonts w:ascii="Verdana" w:hAnsi="Verdana" w:cstheme="minorHAnsi"/>
          <w:i/>
          <w:sz w:val="20"/>
          <w:szCs w:val="20"/>
          <w:u w:val="single"/>
        </w:rPr>
        <w:t>See</w:t>
      </w:r>
      <w:r w:rsidRPr="00DB5977">
        <w:rPr>
          <w:rFonts w:ascii="Verdana" w:hAnsi="Verdana" w:cstheme="minorHAnsi"/>
          <w:i/>
          <w:sz w:val="20"/>
          <w:szCs w:val="20"/>
        </w:rPr>
        <w:t xml:space="preserve"> </w:t>
      </w:r>
      <w:r w:rsidRPr="00DB5977">
        <w:rPr>
          <w:rFonts w:ascii="Verdana" w:hAnsi="Verdana" w:cstheme="minorHAnsi"/>
          <w:sz w:val="20"/>
          <w:szCs w:val="20"/>
        </w:rPr>
        <w:t xml:space="preserve">Table </w:t>
      </w:r>
      <w:r w:rsidR="000C6F4F">
        <w:rPr>
          <w:rFonts w:ascii="Verdana" w:hAnsi="Verdana" w:cstheme="minorHAnsi"/>
          <w:sz w:val="20"/>
          <w:szCs w:val="20"/>
        </w:rPr>
        <w:t>6</w:t>
      </w:r>
      <w:r w:rsidRPr="00DB5977">
        <w:rPr>
          <w:rFonts w:ascii="Verdana" w:hAnsi="Verdana" w:cstheme="minorHAnsi"/>
          <w:sz w:val="20"/>
          <w:szCs w:val="20"/>
        </w:rPr>
        <w:t xml:space="preserve"> below.)</w:t>
      </w:r>
      <w:r w:rsidR="0025065A">
        <w:rPr>
          <w:rFonts w:ascii="Verdana" w:hAnsi="Verdana" w:cstheme="minorHAnsi"/>
          <w:sz w:val="20"/>
          <w:szCs w:val="20"/>
        </w:rPr>
        <w:t xml:space="preserve"> </w:t>
      </w:r>
      <w:r w:rsidRPr="00DB5977">
        <w:rPr>
          <w:rFonts w:ascii="Verdana" w:hAnsi="Verdana" w:cstheme="minorHAnsi"/>
          <w:sz w:val="20"/>
          <w:szCs w:val="20"/>
        </w:rPr>
        <w:t xml:space="preserve">My ROE recommendation of </w:t>
      </w:r>
      <w:r w:rsidR="00124DDD" w:rsidRPr="00DB5977">
        <w:rPr>
          <w:rFonts w:ascii="Verdana" w:hAnsi="Verdana" w:cstheme="minorHAnsi"/>
          <w:sz w:val="20"/>
          <w:szCs w:val="20"/>
        </w:rPr>
        <w:t>9</w:t>
      </w:r>
      <w:r w:rsidR="00D16C42" w:rsidRPr="00DB5977">
        <w:rPr>
          <w:rFonts w:ascii="Verdana" w:hAnsi="Verdana" w:cstheme="minorHAnsi"/>
          <w:sz w:val="20"/>
          <w:szCs w:val="20"/>
        </w:rPr>
        <w:t>.1</w:t>
      </w:r>
      <w:r w:rsidRPr="00DB5977">
        <w:rPr>
          <w:rFonts w:ascii="Verdana" w:hAnsi="Verdana" w:cstheme="minorHAnsi"/>
          <w:sz w:val="20"/>
          <w:szCs w:val="20"/>
        </w:rPr>
        <w:t xml:space="preserve"> percent</w:t>
      </w:r>
      <w:r w:rsidR="006C1946">
        <w:rPr>
          <w:rFonts w:ascii="Verdana" w:hAnsi="Verdana" w:cstheme="minorHAnsi"/>
          <w:sz w:val="20"/>
          <w:szCs w:val="20"/>
        </w:rPr>
        <w:t xml:space="preserve"> </w:t>
      </w:r>
      <w:r w:rsidR="00B71365">
        <w:rPr>
          <w:rFonts w:ascii="Verdana" w:hAnsi="Verdana" w:cstheme="minorHAnsi"/>
          <w:sz w:val="20"/>
          <w:szCs w:val="20"/>
        </w:rPr>
        <w:t>including</w:t>
      </w:r>
      <w:r w:rsidR="00C02062">
        <w:rPr>
          <w:rFonts w:ascii="Verdana" w:hAnsi="Verdana" w:cstheme="minorHAnsi"/>
          <w:sz w:val="20"/>
          <w:szCs w:val="20"/>
        </w:rPr>
        <w:t xml:space="preserve"> flotation costs</w:t>
      </w:r>
      <w:r w:rsidRPr="00DB5977">
        <w:rPr>
          <w:rFonts w:ascii="Verdana" w:hAnsi="Verdana" w:cstheme="minorHAnsi"/>
          <w:sz w:val="20"/>
          <w:szCs w:val="20"/>
        </w:rPr>
        <w:t xml:space="preserve"> </w:t>
      </w:r>
      <w:r w:rsidR="00A213A3" w:rsidRPr="00DB5977">
        <w:rPr>
          <w:rFonts w:ascii="Verdana" w:hAnsi="Verdana" w:cstheme="minorHAnsi"/>
          <w:sz w:val="20"/>
          <w:szCs w:val="20"/>
        </w:rPr>
        <w:t>is the</w:t>
      </w:r>
      <w:r w:rsidR="00800675" w:rsidRPr="00DB5977">
        <w:rPr>
          <w:rFonts w:ascii="Verdana" w:hAnsi="Verdana" w:cstheme="minorHAnsi"/>
          <w:sz w:val="20"/>
          <w:szCs w:val="20"/>
        </w:rPr>
        <w:t xml:space="preserve"> upper bound</w:t>
      </w:r>
      <w:r w:rsidR="00A213A3" w:rsidRPr="00DB5977">
        <w:rPr>
          <w:rFonts w:ascii="Verdana" w:hAnsi="Verdana" w:cstheme="minorHAnsi"/>
          <w:sz w:val="20"/>
          <w:szCs w:val="20"/>
        </w:rPr>
        <w:t xml:space="preserve"> of my recommended </w:t>
      </w:r>
      <w:r w:rsidR="004434CF" w:rsidRPr="00DB5977">
        <w:rPr>
          <w:rFonts w:ascii="Verdana" w:hAnsi="Verdana" w:cstheme="minorHAnsi"/>
          <w:sz w:val="20"/>
          <w:szCs w:val="20"/>
        </w:rPr>
        <w:t xml:space="preserve">DCF </w:t>
      </w:r>
      <w:r w:rsidR="00A213A3" w:rsidRPr="00DB5977">
        <w:rPr>
          <w:rFonts w:ascii="Verdana" w:hAnsi="Verdana" w:cstheme="minorHAnsi"/>
          <w:sz w:val="20"/>
          <w:szCs w:val="20"/>
        </w:rPr>
        <w:t xml:space="preserve">range of </w:t>
      </w:r>
      <w:r w:rsidR="00800675" w:rsidRPr="00DB5977">
        <w:rPr>
          <w:rFonts w:ascii="Verdana" w:hAnsi="Verdana" w:cstheme="minorHAnsi"/>
          <w:sz w:val="20"/>
          <w:szCs w:val="20"/>
        </w:rPr>
        <w:t>8.</w:t>
      </w:r>
      <w:r w:rsidR="00D16C42" w:rsidRPr="00DB5977">
        <w:rPr>
          <w:rFonts w:ascii="Verdana" w:hAnsi="Verdana" w:cstheme="minorHAnsi"/>
          <w:sz w:val="20"/>
          <w:szCs w:val="20"/>
        </w:rPr>
        <w:t>9</w:t>
      </w:r>
      <w:r w:rsidR="00A213A3" w:rsidRPr="00DB5977">
        <w:rPr>
          <w:rFonts w:ascii="Verdana" w:hAnsi="Verdana" w:cstheme="minorHAnsi"/>
          <w:sz w:val="20"/>
          <w:szCs w:val="20"/>
        </w:rPr>
        <w:t xml:space="preserve"> percent and </w:t>
      </w:r>
      <w:r w:rsidR="00826B25" w:rsidRPr="00DB5977">
        <w:rPr>
          <w:rFonts w:ascii="Verdana" w:hAnsi="Verdana" w:cstheme="minorHAnsi"/>
          <w:sz w:val="20"/>
          <w:szCs w:val="20"/>
        </w:rPr>
        <w:t>9</w:t>
      </w:r>
      <w:r w:rsidR="00D16C42" w:rsidRPr="00DB5977">
        <w:rPr>
          <w:rFonts w:ascii="Verdana" w:hAnsi="Verdana" w:cstheme="minorHAnsi"/>
          <w:sz w:val="20"/>
          <w:szCs w:val="20"/>
        </w:rPr>
        <w:t>.1</w:t>
      </w:r>
      <w:r w:rsidR="00A17326" w:rsidRPr="00DB5977">
        <w:rPr>
          <w:rFonts w:ascii="Verdana" w:hAnsi="Verdana" w:cstheme="minorHAnsi"/>
          <w:sz w:val="20"/>
          <w:szCs w:val="20"/>
        </w:rPr>
        <w:t xml:space="preserve"> percent and </w:t>
      </w:r>
      <w:r w:rsidRPr="00DB5977">
        <w:rPr>
          <w:rFonts w:ascii="Verdana" w:hAnsi="Verdana" w:cstheme="minorHAnsi"/>
          <w:sz w:val="20"/>
          <w:szCs w:val="20"/>
        </w:rPr>
        <w:t xml:space="preserve">represents a conservative estimate of a fair and reasonable ROE for </w:t>
      </w:r>
      <w:r w:rsidR="00D16C42" w:rsidRPr="00DB5977">
        <w:rPr>
          <w:rFonts w:ascii="Verdana" w:hAnsi="Verdana" w:cstheme="minorHAnsi"/>
          <w:sz w:val="20"/>
          <w:szCs w:val="20"/>
        </w:rPr>
        <w:t>Georgia Power</w:t>
      </w:r>
      <w:r w:rsidRPr="00DB5977">
        <w:rPr>
          <w:rFonts w:ascii="Verdana" w:hAnsi="Verdana" w:cstheme="minorHAnsi"/>
          <w:sz w:val="20"/>
          <w:szCs w:val="20"/>
        </w:rPr>
        <w:t xml:space="preserve"> for the reasons I have previously discussed. </w:t>
      </w:r>
      <w:r w:rsidR="00990DE3" w:rsidRPr="00DB5977">
        <w:rPr>
          <w:rFonts w:ascii="Verdana" w:hAnsi="Verdana"/>
          <w:sz w:val="20"/>
          <w:szCs w:val="20"/>
        </w:rPr>
        <w:br w:type="page"/>
      </w:r>
    </w:p>
    <w:p w14:paraId="12BB78AA" w14:textId="77777777" w:rsidR="000F14FD" w:rsidRDefault="000F14FD" w:rsidP="00E46A8A">
      <w:pPr>
        <w:suppressLineNumbers/>
        <w:spacing w:after="0"/>
      </w:pPr>
    </w:p>
    <w:tbl>
      <w:tblPr>
        <w:tblW w:w="6952" w:type="dxa"/>
        <w:jc w:val="center"/>
        <w:tblLook w:val="04A0" w:firstRow="1" w:lastRow="0" w:firstColumn="1" w:lastColumn="0" w:noHBand="0" w:noVBand="1"/>
      </w:tblPr>
      <w:tblGrid>
        <w:gridCol w:w="3690"/>
        <w:gridCol w:w="1020"/>
        <w:gridCol w:w="1140"/>
        <w:gridCol w:w="1084"/>
        <w:gridCol w:w="18"/>
      </w:tblGrid>
      <w:tr w:rsidR="0044774F" w:rsidRPr="002E0652" w14:paraId="46126FFD" w14:textId="77777777" w:rsidTr="00D64A75">
        <w:trPr>
          <w:gridAfter w:val="1"/>
          <w:wAfter w:w="18" w:type="dxa"/>
          <w:trHeight w:val="20"/>
          <w:jc w:val="center"/>
        </w:trPr>
        <w:tc>
          <w:tcPr>
            <w:tcW w:w="6934" w:type="dxa"/>
            <w:gridSpan w:val="4"/>
            <w:tcBorders>
              <w:top w:val="single" w:sz="12" w:space="0" w:color="auto"/>
              <w:bottom w:val="single" w:sz="4" w:space="0" w:color="auto"/>
            </w:tcBorders>
            <w:shd w:val="clear" w:color="auto" w:fill="auto"/>
            <w:noWrap/>
            <w:vAlign w:val="bottom"/>
            <w:hideMark/>
          </w:tcPr>
          <w:p w14:paraId="5A249080" w14:textId="4759113B" w:rsidR="00C02062" w:rsidRDefault="006556B3" w:rsidP="00A8362B">
            <w:pPr>
              <w:keepNext/>
              <w:spacing w:before="80" w:after="80" w:line="240" w:lineRule="auto"/>
              <w:jc w:val="center"/>
              <w:rPr>
                <w:rFonts w:ascii="Verdana" w:eastAsia="Times New Roman" w:hAnsi="Verdana" w:cs="Calibri"/>
                <w:b/>
                <w:bCs/>
                <w:sz w:val="19"/>
                <w:szCs w:val="19"/>
              </w:rPr>
            </w:pPr>
            <w:r w:rsidRPr="006556B3">
              <w:rPr>
                <w:rFonts w:ascii="Verdana" w:hAnsi="Verdana"/>
                <w:b/>
                <w:bCs/>
                <w:sz w:val="19"/>
                <w:szCs w:val="19"/>
              </w:rPr>
              <w:t xml:space="preserve">Table </w:t>
            </w:r>
            <w:r w:rsidRPr="006556B3">
              <w:rPr>
                <w:rFonts w:ascii="Verdana" w:hAnsi="Verdana"/>
                <w:b/>
                <w:bCs/>
                <w:sz w:val="19"/>
                <w:szCs w:val="19"/>
              </w:rPr>
              <w:fldChar w:fldCharType="begin"/>
            </w:r>
            <w:r w:rsidRPr="006556B3">
              <w:rPr>
                <w:rFonts w:ascii="Verdana" w:hAnsi="Verdana"/>
                <w:b/>
                <w:bCs/>
                <w:sz w:val="19"/>
                <w:szCs w:val="19"/>
              </w:rPr>
              <w:instrText xml:space="preserve"> SEQ Table \* ARABIC </w:instrText>
            </w:r>
            <w:r w:rsidRPr="006556B3">
              <w:rPr>
                <w:rFonts w:ascii="Verdana" w:hAnsi="Verdana"/>
                <w:b/>
                <w:bCs/>
                <w:sz w:val="19"/>
                <w:szCs w:val="19"/>
              </w:rPr>
              <w:fldChar w:fldCharType="separate"/>
            </w:r>
            <w:r w:rsidR="005A4CEF">
              <w:rPr>
                <w:rFonts w:ascii="Verdana" w:hAnsi="Verdana"/>
                <w:b/>
                <w:bCs/>
                <w:noProof/>
                <w:sz w:val="19"/>
                <w:szCs w:val="19"/>
              </w:rPr>
              <w:t>6</w:t>
            </w:r>
            <w:r w:rsidRPr="006556B3">
              <w:rPr>
                <w:rFonts w:ascii="Verdana" w:hAnsi="Verdana"/>
                <w:b/>
                <w:bCs/>
                <w:sz w:val="19"/>
                <w:szCs w:val="19"/>
              </w:rPr>
              <w:fldChar w:fldCharType="end"/>
            </w:r>
            <w:r w:rsidRPr="006556B3">
              <w:rPr>
                <w:rFonts w:ascii="Verdana" w:hAnsi="Verdana"/>
                <w:b/>
                <w:bCs/>
                <w:sz w:val="19"/>
                <w:szCs w:val="19"/>
              </w:rPr>
              <w:t>.</w:t>
            </w:r>
            <w:r w:rsidR="0044774F" w:rsidRPr="002E0652">
              <w:rPr>
                <w:rFonts w:ascii="Verdana" w:eastAsia="Times New Roman" w:hAnsi="Verdana" w:cs="Calibri"/>
                <w:b/>
                <w:bCs/>
                <w:sz w:val="19"/>
                <w:szCs w:val="19"/>
              </w:rPr>
              <w:t xml:space="preserve"> ROE Estimates </w:t>
            </w:r>
            <w:r w:rsidR="00C02062">
              <w:rPr>
                <w:rFonts w:ascii="Verdana" w:eastAsia="Times New Roman" w:hAnsi="Verdana" w:cs="Calibri"/>
                <w:b/>
                <w:bCs/>
                <w:sz w:val="19"/>
                <w:szCs w:val="19"/>
              </w:rPr>
              <w:t xml:space="preserve">with Flotation Costs </w:t>
            </w:r>
          </w:p>
          <w:p w14:paraId="3D10BC3E" w14:textId="43421B78" w:rsidR="0044774F" w:rsidRPr="002E0652" w:rsidRDefault="0044774F" w:rsidP="00A8362B">
            <w:pPr>
              <w:keepNext/>
              <w:spacing w:before="80" w:after="80" w:line="240" w:lineRule="auto"/>
              <w:jc w:val="center"/>
              <w:rPr>
                <w:rFonts w:ascii="Verdana" w:eastAsia="Times New Roman" w:hAnsi="Verdana" w:cs="Calibri"/>
                <w:b/>
                <w:bCs/>
                <w:sz w:val="19"/>
                <w:szCs w:val="19"/>
              </w:rPr>
            </w:pPr>
            <w:r>
              <w:rPr>
                <w:rFonts w:ascii="Verdana" w:eastAsia="Times New Roman" w:hAnsi="Verdana" w:cs="Calibri"/>
                <w:b/>
                <w:bCs/>
                <w:sz w:val="19"/>
                <w:szCs w:val="19"/>
              </w:rPr>
              <w:t>U</w:t>
            </w:r>
            <w:r w:rsidRPr="002E0652">
              <w:rPr>
                <w:rFonts w:ascii="Verdana" w:eastAsia="Times New Roman" w:hAnsi="Verdana" w:cs="Calibri"/>
                <w:b/>
                <w:bCs/>
                <w:sz w:val="19"/>
                <w:szCs w:val="19"/>
              </w:rPr>
              <w:t>sing Reno Sample</w:t>
            </w:r>
          </w:p>
        </w:tc>
      </w:tr>
      <w:tr w:rsidR="0044774F" w:rsidRPr="008567A3" w14:paraId="047B8468" w14:textId="77777777" w:rsidTr="00D64A75">
        <w:trPr>
          <w:trHeight w:val="20"/>
          <w:jc w:val="center"/>
        </w:trPr>
        <w:tc>
          <w:tcPr>
            <w:tcW w:w="3690" w:type="dxa"/>
            <w:tcBorders>
              <w:top w:val="single" w:sz="4" w:space="0" w:color="auto"/>
              <w:bottom w:val="single" w:sz="4" w:space="0" w:color="auto"/>
              <w:right w:val="nil"/>
            </w:tcBorders>
            <w:shd w:val="clear" w:color="auto" w:fill="auto"/>
            <w:vAlign w:val="bottom"/>
            <w:hideMark/>
          </w:tcPr>
          <w:p w14:paraId="4C5F121A" w14:textId="77777777" w:rsidR="0044774F" w:rsidRPr="008567A3" w:rsidRDefault="0044774F" w:rsidP="00A8362B">
            <w:pPr>
              <w:keepNext/>
              <w:spacing w:after="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Estimated Return on Equity</w:t>
            </w:r>
          </w:p>
        </w:tc>
        <w:tc>
          <w:tcPr>
            <w:tcW w:w="3262" w:type="dxa"/>
            <w:gridSpan w:val="4"/>
            <w:tcBorders>
              <w:top w:val="single" w:sz="4" w:space="0" w:color="auto"/>
              <w:left w:val="nil"/>
              <w:bottom w:val="single" w:sz="4" w:space="0" w:color="auto"/>
            </w:tcBorders>
            <w:shd w:val="clear" w:color="auto" w:fill="auto"/>
            <w:vAlign w:val="bottom"/>
            <w:hideMark/>
          </w:tcPr>
          <w:p w14:paraId="76465D70" w14:textId="77777777" w:rsidR="0044774F" w:rsidRPr="003301E1" w:rsidRDefault="0044774F" w:rsidP="00A8362B">
            <w:pPr>
              <w:keepNext/>
              <w:spacing w:after="0" w:line="240" w:lineRule="auto"/>
              <w:jc w:val="center"/>
              <w:rPr>
                <w:rFonts w:ascii="Verdana" w:eastAsia="Times New Roman" w:hAnsi="Verdana" w:cs="Calibri"/>
                <w:b/>
                <w:bCs/>
                <w:sz w:val="19"/>
                <w:szCs w:val="19"/>
              </w:rPr>
            </w:pPr>
            <w:r w:rsidRPr="008567A3">
              <w:rPr>
                <w:rFonts w:ascii="Verdana" w:eastAsia="Times New Roman" w:hAnsi="Verdana" w:cs="Calibri"/>
                <w:b/>
                <w:bCs/>
                <w:sz w:val="19"/>
                <w:szCs w:val="19"/>
              </w:rPr>
              <w:t>ROE (%)</w:t>
            </w:r>
          </w:p>
        </w:tc>
      </w:tr>
      <w:tr w:rsidR="0044774F" w:rsidRPr="008567A3" w14:paraId="6E97414B" w14:textId="77777777" w:rsidTr="00D64A75">
        <w:trPr>
          <w:trHeight w:val="20"/>
          <w:jc w:val="center"/>
        </w:trPr>
        <w:tc>
          <w:tcPr>
            <w:tcW w:w="3690" w:type="dxa"/>
            <w:tcBorders>
              <w:top w:val="single" w:sz="4" w:space="0" w:color="auto"/>
              <w:right w:val="nil"/>
            </w:tcBorders>
            <w:shd w:val="clear" w:color="auto" w:fill="auto"/>
            <w:vAlign w:val="bottom"/>
            <w:hideMark/>
          </w:tcPr>
          <w:p w14:paraId="119340DB" w14:textId="77777777" w:rsidR="0044774F" w:rsidRPr="008567A3" w:rsidRDefault="0044774F" w:rsidP="00A8362B">
            <w:pPr>
              <w:keepNext/>
              <w:spacing w:after="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DCF Methodology</w:t>
            </w:r>
          </w:p>
        </w:tc>
        <w:tc>
          <w:tcPr>
            <w:tcW w:w="1020" w:type="dxa"/>
            <w:tcBorders>
              <w:top w:val="single" w:sz="4" w:space="0" w:color="auto"/>
              <w:left w:val="nil"/>
              <w:bottom w:val="single" w:sz="4" w:space="0" w:color="auto"/>
              <w:right w:val="nil"/>
            </w:tcBorders>
            <w:shd w:val="clear" w:color="auto" w:fill="auto"/>
            <w:vAlign w:val="bottom"/>
            <w:hideMark/>
          </w:tcPr>
          <w:p w14:paraId="592BD871" w14:textId="77777777" w:rsidR="0044774F" w:rsidRPr="008567A3" w:rsidRDefault="0044774F" w:rsidP="00A8362B">
            <w:pPr>
              <w:keepNext/>
              <w:spacing w:after="0" w:line="240" w:lineRule="auto"/>
              <w:jc w:val="center"/>
              <w:rPr>
                <w:rFonts w:ascii="Verdana" w:eastAsia="Times New Roman" w:hAnsi="Verdana" w:cs="Calibri"/>
                <w:b/>
                <w:bCs/>
                <w:sz w:val="19"/>
                <w:szCs w:val="19"/>
              </w:rPr>
            </w:pPr>
            <w:r w:rsidRPr="008567A3">
              <w:rPr>
                <w:rFonts w:ascii="Verdana" w:eastAsia="Times New Roman" w:hAnsi="Verdana" w:cs="Calibri"/>
                <w:b/>
                <w:bCs/>
                <w:sz w:val="19"/>
                <w:szCs w:val="19"/>
              </w:rPr>
              <w:t>90-Day Stock Price</w:t>
            </w:r>
          </w:p>
        </w:tc>
        <w:tc>
          <w:tcPr>
            <w:tcW w:w="1140" w:type="dxa"/>
            <w:tcBorders>
              <w:top w:val="single" w:sz="4" w:space="0" w:color="auto"/>
              <w:left w:val="nil"/>
              <w:bottom w:val="single" w:sz="4" w:space="0" w:color="auto"/>
              <w:right w:val="nil"/>
            </w:tcBorders>
            <w:shd w:val="clear" w:color="auto" w:fill="auto"/>
            <w:vAlign w:val="bottom"/>
            <w:hideMark/>
          </w:tcPr>
          <w:p w14:paraId="021B3A73" w14:textId="77777777" w:rsidR="0044774F" w:rsidRPr="008567A3" w:rsidRDefault="0044774F" w:rsidP="00A8362B">
            <w:pPr>
              <w:keepNext/>
              <w:spacing w:after="0" w:line="240" w:lineRule="auto"/>
              <w:jc w:val="center"/>
              <w:rPr>
                <w:rFonts w:ascii="Verdana" w:eastAsia="Times New Roman" w:hAnsi="Verdana" w:cs="Calibri"/>
                <w:b/>
                <w:bCs/>
                <w:sz w:val="19"/>
                <w:szCs w:val="19"/>
              </w:rPr>
            </w:pPr>
            <w:r w:rsidRPr="008567A3">
              <w:rPr>
                <w:rFonts w:ascii="Verdana" w:eastAsia="Times New Roman" w:hAnsi="Verdana" w:cs="Calibri"/>
                <w:b/>
                <w:bCs/>
                <w:sz w:val="19"/>
                <w:szCs w:val="19"/>
              </w:rPr>
              <w:t>180-Day Stock Price</w:t>
            </w:r>
          </w:p>
        </w:tc>
        <w:tc>
          <w:tcPr>
            <w:tcW w:w="1102" w:type="dxa"/>
            <w:gridSpan w:val="2"/>
            <w:tcBorders>
              <w:top w:val="single" w:sz="4" w:space="0" w:color="auto"/>
              <w:left w:val="nil"/>
              <w:bottom w:val="single" w:sz="4" w:space="0" w:color="auto"/>
            </w:tcBorders>
            <w:shd w:val="clear" w:color="auto" w:fill="auto"/>
            <w:vAlign w:val="bottom"/>
            <w:hideMark/>
          </w:tcPr>
          <w:p w14:paraId="699E079F" w14:textId="77777777" w:rsidR="0044774F" w:rsidRPr="008567A3" w:rsidRDefault="0044774F" w:rsidP="00A8362B">
            <w:pPr>
              <w:keepNext/>
              <w:spacing w:after="0" w:line="240" w:lineRule="auto"/>
              <w:jc w:val="center"/>
              <w:rPr>
                <w:rFonts w:ascii="Verdana" w:eastAsia="Times New Roman" w:hAnsi="Verdana" w:cs="Calibri"/>
                <w:b/>
                <w:bCs/>
                <w:sz w:val="19"/>
                <w:szCs w:val="19"/>
              </w:rPr>
            </w:pPr>
            <w:r w:rsidRPr="008567A3">
              <w:rPr>
                <w:rFonts w:ascii="Verdana" w:eastAsia="Times New Roman" w:hAnsi="Verdana" w:cs="Calibri"/>
                <w:b/>
                <w:bCs/>
                <w:sz w:val="19"/>
                <w:szCs w:val="19"/>
              </w:rPr>
              <w:t>Average</w:t>
            </w:r>
          </w:p>
        </w:tc>
      </w:tr>
      <w:tr w:rsidR="0044774F" w:rsidRPr="008567A3" w14:paraId="241D5B35" w14:textId="77777777" w:rsidTr="00D64A75">
        <w:trPr>
          <w:trHeight w:val="20"/>
          <w:jc w:val="center"/>
        </w:trPr>
        <w:tc>
          <w:tcPr>
            <w:tcW w:w="3690" w:type="dxa"/>
            <w:shd w:val="clear" w:color="auto" w:fill="auto"/>
            <w:noWrap/>
            <w:vAlign w:val="bottom"/>
            <w:hideMark/>
          </w:tcPr>
          <w:p w14:paraId="3BB0C59E"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 xml:space="preserve">Constant Growth DCF </w:t>
            </w:r>
            <w:r>
              <w:rPr>
                <w:rFonts w:ascii="Verdana" w:eastAsia="Times New Roman" w:hAnsi="Verdana" w:cs="Calibri"/>
                <w:sz w:val="19"/>
                <w:szCs w:val="19"/>
              </w:rPr>
              <w:br/>
            </w:r>
            <w:r w:rsidRPr="008567A3">
              <w:rPr>
                <w:rFonts w:ascii="Verdana" w:eastAsia="Times New Roman" w:hAnsi="Verdana" w:cs="Calibri"/>
                <w:sz w:val="19"/>
                <w:szCs w:val="19"/>
              </w:rPr>
              <w:t>(EPS Growth)</w:t>
            </w:r>
          </w:p>
        </w:tc>
        <w:tc>
          <w:tcPr>
            <w:tcW w:w="1020" w:type="dxa"/>
            <w:tcBorders>
              <w:top w:val="single" w:sz="4" w:space="0" w:color="auto"/>
            </w:tcBorders>
            <w:shd w:val="clear" w:color="auto" w:fill="auto"/>
            <w:noWrap/>
            <w:hideMark/>
          </w:tcPr>
          <w:p w14:paraId="079A237B"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9.00</w:t>
            </w:r>
          </w:p>
        </w:tc>
        <w:tc>
          <w:tcPr>
            <w:tcW w:w="1140" w:type="dxa"/>
            <w:tcBorders>
              <w:top w:val="single" w:sz="4" w:space="0" w:color="auto"/>
            </w:tcBorders>
            <w:shd w:val="clear" w:color="auto" w:fill="auto"/>
            <w:noWrap/>
            <w:hideMark/>
          </w:tcPr>
          <w:p w14:paraId="3F4FDA6F" w14:textId="185D0E4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9.06</w:t>
            </w:r>
          </w:p>
        </w:tc>
        <w:tc>
          <w:tcPr>
            <w:tcW w:w="1102" w:type="dxa"/>
            <w:gridSpan w:val="2"/>
            <w:tcBorders>
              <w:top w:val="single" w:sz="4" w:space="0" w:color="auto"/>
            </w:tcBorders>
            <w:shd w:val="clear" w:color="auto" w:fill="auto"/>
            <w:noWrap/>
            <w:vAlign w:val="bottom"/>
            <w:hideMark/>
          </w:tcPr>
          <w:p w14:paraId="757BA95D"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5E4FAF12" w14:textId="77777777" w:rsidTr="00D64A75">
        <w:trPr>
          <w:trHeight w:val="20"/>
          <w:jc w:val="center"/>
        </w:trPr>
        <w:tc>
          <w:tcPr>
            <w:tcW w:w="3690" w:type="dxa"/>
            <w:tcBorders>
              <w:top w:val="nil"/>
            </w:tcBorders>
            <w:shd w:val="clear" w:color="auto" w:fill="auto"/>
            <w:noWrap/>
            <w:vAlign w:val="bottom"/>
            <w:hideMark/>
          </w:tcPr>
          <w:p w14:paraId="1540D500"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 xml:space="preserve">Constant Growth </w:t>
            </w:r>
            <w:r>
              <w:rPr>
                <w:rFonts w:ascii="Verdana" w:eastAsia="Times New Roman" w:hAnsi="Verdana" w:cs="Calibri"/>
                <w:sz w:val="19"/>
                <w:szCs w:val="19"/>
              </w:rPr>
              <w:t>DCF</w:t>
            </w:r>
            <w:r>
              <w:rPr>
                <w:rFonts w:ascii="Verdana" w:eastAsia="Times New Roman" w:hAnsi="Verdana" w:cs="Calibri"/>
                <w:sz w:val="19"/>
                <w:szCs w:val="19"/>
              </w:rPr>
              <w:br/>
            </w:r>
            <w:r w:rsidRPr="008567A3">
              <w:rPr>
                <w:rFonts w:ascii="Verdana" w:eastAsia="Times New Roman" w:hAnsi="Verdana" w:cs="Calibri"/>
                <w:sz w:val="19"/>
                <w:szCs w:val="19"/>
              </w:rPr>
              <w:t>(DPS, EPS and BVPS)</w:t>
            </w:r>
          </w:p>
        </w:tc>
        <w:tc>
          <w:tcPr>
            <w:tcW w:w="1020" w:type="dxa"/>
            <w:tcBorders>
              <w:top w:val="nil"/>
            </w:tcBorders>
            <w:shd w:val="clear" w:color="auto" w:fill="auto"/>
            <w:noWrap/>
            <w:hideMark/>
          </w:tcPr>
          <w:p w14:paraId="7338252F"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8.68</w:t>
            </w:r>
          </w:p>
        </w:tc>
        <w:tc>
          <w:tcPr>
            <w:tcW w:w="1140" w:type="dxa"/>
            <w:tcBorders>
              <w:top w:val="nil"/>
            </w:tcBorders>
            <w:shd w:val="clear" w:color="auto" w:fill="auto"/>
            <w:noWrap/>
            <w:hideMark/>
          </w:tcPr>
          <w:p w14:paraId="4BF76127"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8.74</w:t>
            </w:r>
          </w:p>
        </w:tc>
        <w:tc>
          <w:tcPr>
            <w:tcW w:w="1102" w:type="dxa"/>
            <w:gridSpan w:val="2"/>
            <w:tcBorders>
              <w:top w:val="nil"/>
            </w:tcBorders>
            <w:shd w:val="clear" w:color="auto" w:fill="auto"/>
            <w:noWrap/>
            <w:vAlign w:val="bottom"/>
            <w:hideMark/>
          </w:tcPr>
          <w:p w14:paraId="6C56F05A"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4E018238" w14:textId="77777777" w:rsidTr="00D64A75">
        <w:trPr>
          <w:trHeight w:val="20"/>
          <w:jc w:val="center"/>
        </w:trPr>
        <w:tc>
          <w:tcPr>
            <w:tcW w:w="3690" w:type="dxa"/>
            <w:tcBorders>
              <w:top w:val="nil"/>
              <w:bottom w:val="single" w:sz="4" w:space="0" w:color="auto"/>
            </w:tcBorders>
            <w:shd w:val="clear" w:color="auto" w:fill="auto"/>
            <w:noWrap/>
            <w:vAlign w:val="bottom"/>
            <w:hideMark/>
          </w:tcPr>
          <w:p w14:paraId="31FC217A"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Sustainable Growth DCF</w:t>
            </w:r>
          </w:p>
        </w:tc>
        <w:tc>
          <w:tcPr>
            <w:tcW w:w="1020" w:type="dxa"/>
            <w:tcBorders>
              <w:top w:val="nil"/>
              <w:bottom w:val="single" w:sz="4" w:space="0" w:color="auto"/>
            </w:tcBorders>
            <w:shd w:val="clear" w:color="auto" w:fill="auto"/>
            <w:noWrap/>
            <w:hideMark/>
          </w:tcPr>
          <w:p w14:paraId="309D1A4A"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9.14</w:t>
            </w:r>
          </w:p>
        </w:tc>
        <w:tc>
          <w:tcPr>
            <w:tcW w:w="1140" w:type="dxa"/>
            <w:tcBorders>
              <w:top w:val="nil"/>
              <w:bottom w:val="single" w:sz="4" w:space="0" w:color="auto"/>
            </w:tcBorders>
            <w:shd w:val="clear" w:color="auto" w:fill="auto"/>
            <w:noWrap/>
            <w:hideMark/>
          </w:tcPr>
          <w:p w14:paraId="160661FA"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9.14</w:t>
            </w:r>
          </w:p>
        </w:tc>
        <w:tc>
          <w:tcPr>
            <w:tcW w:w="1102" w:type="dxa"/>
            <w:gridSpan w:val="2"/>
            <w:tcBorders>
              <w:top w:val="nil"/>
              <w:bottom w:val="single" w:sz="4" w:space="0" w:color="auto"/>
            </w:tcBorders>
            <w:shd w:val="clear" w:color="auto" w:fill="auto"/>
            <w:noWrap/>
            <w:vAlign w:val="bottom"/>
            <w:hideMark/>
          </w:tcPr>
          <w:p w14:paraId="0DE9662D"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2FD09C5A" w14:textId="77777777" w:rsidTr="00D64A75">
        <w:trPr>
          <w:trHeight w:val="20"/>
          <w:jc w:val="center"/>
        </w:trPr>
        <w:tc>
          <w:tcPr>
            <w:tcW w:w="3690" w:type="dxa"/>
            <w:tcBorders>
              <w:top w:val="single" w:sz="4" w:space="0" w:color="auto"/>
            </w:tcBorders>
            <w:shd w:val="clear" w:color="auto" w:fill="auto"/>
            <w:noWrap/>
            <w:vAlign w:val="bottom"/>
            <w:hideMark/>
          </w:tcPr>
          <w:p w14:paraId="2AED8F30"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DCF Range</w:t>
            </w:r>
            <w:r>
              <w:rPr>
                <w:rFonts w:ascii="Verdana" w:eastAsia="Times New Roman" w:hAnsi="Verdana" w:cs="Calibri"/>
                <w:b/>
                <w:bCs/>
                <w:sz w:val="19"/>
                <w:szCs w:val="19"/>
              </w:rPr>
              <w:t>:</w:t>
            </w:r>
          </w:p>
        </w:tc>
        <w:tc>
          <w:tcPr>
            <w:tcW w:w="1020" w:type="dxa"/>
            <w:tcBorders>
              <w:top w:val="single" w:sz="4" w:space="0" w:color="auto"/>
            </w:tcBorders>
            <w:shd w:val="clear" w:color="auto" w:fill="auto"/>
            <w:noWrap/>
            <w:vAlign w:val="bottom"/>
            <w:hideMark/>
          </w:tcPr>
          <w:p w14:paraId="769AED0A"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8.68</w:t>
            </w:r>
          </w:p>
        </w:tc>
        <w:tc>
          <w:tcPr>
            <w:tcW w:w="1140" w:type="dxa"/>
            <w:tcBorders>
              <w:top w:val="single" w:sz="4" w:space="0" w:color="auto"/>
            </w:tcBorders>
            <w:shd w:val="clear" w:color="auto" w:fill="auto"/>
            <w:noWrap/>
            <w:vAlign w:val="bottom"/>
            <w:hideMark/>
          </w:tcPr>
          <w:p w14:paraId="30849936"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9.14</w:t>
            </w:r>
          </w:p>
        </w:tc>
        <w:tc>
          <w:tcPr>
            <w:tcW w:w="1102" w:type="dxa"/>
            <w:gridSpan w:val="2"/>
            <w:tcBorders>
              <w:top w:val="single" w:sz="4" w:space="0" w:color="auto"/>
            </w:tcBorders>
            <w:shd w:val="clear" w:color="auto" w:fill="auto"/>
            <w:noWrap/>
            <w:vAlign w:val="bottom"/>
            <w:hideMark/>
          </w:tcPr>
          <w:p w14:paraId="69F67AC4"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8.91</w:t>
            </w:r>
          </w:p>
        </w:tc>
      </w:tr>
      <w:tr w:rsidR="0044774F" w:rsidRPr="008567A3" w14:paraId="68492193" w14:textId="77777777" w:rsidTr="00D64A75">
        <w:trPr>
          <w:trHeight w:val="20"/>
          <w:jc w:val="center"/>
        </w:trPr>
        <w:tc>
          <w:tcPr>
            <w:tcW w:w="3690" w:type="dxa"/>
            <w:tcBorders>
              <w:top w:val="nil"/>
              <w:bottom w:val="nil"/>
              <w:right w:val="nil"/>
            </w:tcBorders>
            <w:shd w:val="clear" w:color="auto" w:fill="auto"/>
            <w:noWrap/>
            <w:vAlign w:val="bottom"/>
            <w:hideMark/>
          </w:tcPr>
          <w:p w14:paraId="710AF8CA"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 </w:t>
            </w:r>
          </w:p>
        </w:tc>
        <w:tc>
          <w:tcPr>
            <w:tcW w:w="1020" w:type="dxa"/>
            <w:tcBorders>
              <w:top w:val="nil"/>
              <w:left w:val="nil"/>
              <w:bottom w:val="nil"/>
              <w:right w:val="nil"/>
            </w:tcBorders>
            <w:shd w:val="clear" w:color="auto" w:fill="auto"/>
            <w:noWrap/>
            <w:vAlign w:val="bottom"/>
            <w:hideMark/>
          </w:tcPr>
          <w:p w14:paraId="4CF76441"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40" w:type="dxa"/>
            <w:tcBorders>
              <w:top w:val="nil"/>
              <w:left w:val="nil"/>
              <w:bottom w:val="nil"/>
              <w:right w:val="nil"/>
            </w:tcBorders>
            <w:shd w:val="clear" w:color="auto" w:fill="auto"/>
            <w:noWrap/>
            <w:vAlign w:val="bottom"/>
            <w:hideMark/>
          </w:tcPr>
          <w:p w14:paraId="49CDE9A7"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left w:val="nil"/>
              <w:bottom w:val="nil"/>
            </w:tcBorders>
            <w:shd w:val="clear" w:color="auto" w:fill="auto"/>
            <w:noWrap/>
            <w:vAlign w:val="bottom"/>
            <w:hideMark/>
          </w:tcPr>
          <w:p w14:paraId="7B8995EA"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3EA5EB23" w14:textId="77777777" w:rsidTr="00D64A75">
        <w:trPr>
          <w:trHeight w:val="20"/>
          <w:jc w:val="center"/>
        </w:trPr>
        <w:tc>
          <w:tcPr>
            <w:tcW w:w="3690" w:type="dxa"/>
            <w:tcBorders>
              <w:top w:val="nil"/>
              <w:right w:val="nil"/>
            </w:tcBorders>
            <w:shd w:val="clear" w:color="auto" w:fill="auto"/>
            <w:noWrap/>
            <w:vAlign w:val="bottom"/>
            <w:hideMark/>
          </w:tcPr>
          <w:p w14:paraId="5899F013"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CAPM Methodology</w:t>
            </w:r>
          </w:p>
        </w:tc>
        <w:tc>
          <w:tcPr>
            <w:tcW w:w="1020" w:type="dxa"/>
            <w:tcBorders>
              <w:top w:val="nil"/>
              <w:left w:val="nil"/>
              <w:right w:val="nil"/>
            </w:tcBorders>
            <w:shd w:val="clear" w:color="auto" w:fill="auto"/>
            <w:noWrap/>
            <w:vAlign w:val="bottom"/>
            <w:hideMark/>
          </w:tcPr>
          <w:p w14:paraId="249BE36B"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CAPM</w:t>
            </w:r>
          </w:p>
        </w:tc>
        <w:tc>
          <w:tcPr>
            <w:tcW w:w="1140" w:type="dxa"/>
            <w:tcBorders>
              <w:top w:val="nil"/>
              <w:left w:val="nil"/>
              <w:right w:val="nil"/>
            </w:tcBorders>
            <w:shd w:val="clear" w:color="auto" w:fill="auto"/>
            <w:noWrap/>
            <w:vAlign w:val="bottom"/>
            <w:hideMark/>
          </w:tcPr>
          <w:p w14:paraId="0B704389"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ECAPM</w:t>
            </w:r>
          </w:p>
        </w:tc>
        <w:tc>
          <w:tcPr>
            <w:tcW w:w="1102" w:type="dxa"/>
            <w:gridSpan w:val="2"/>
            <w:tcBorders>
              <w:top w:val="nil"/>
              <w:left w:val="nil"/>
            </w:tcBorders>
            <w:shd w:val="clear" w:color="auto" w:fill="auto"/>
            <w:noWrap/>
            <w:vAlign w:val="bottom"/>
            <w:hideMark/>
          </w:tcPr>
          <w:p w14:paraId="6CDB9311"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33579978" w14:textId="77777777" w:rsidTr="00D64A75">
        <w:trPr>
          <w:trHeight w:val="20"/>
          <w:jc w:val="center"/>
        </w:trPr>
        <w:tc>
          <w:tcPr>
            <w:tcW w:w="3690" w:type="dxa"/>
            <w:tcBorders>
              <w:top w:val="nil"/>
            </w:tcBorders>
            <w:shd w:val="clear" w:color="auto" w:fill="auto"/>
            <w:noWrap/>
            <w:vAlign w:val="bottom"/>
            <w:hideMark/>
          </w:tcPr>
          <w:p w14:paraId="7E3A7035"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Capital Asset Pricing Model</w:t>
            </w:r>
            <w:r>
              <w:rPr>
                <w:rFonts w:ascii="Verdana" w:eastAsia="Times New Roman" w:hAnsi="Verdana" w:cs="Calibri"/>
                <w:sz w:val="19"/>
                <w:szCs w:val="19"/>
              </w:rPr>
              <w:br/>
            </w:r>
            <w:r w:rsidRPr="008567A3">
              <w:rPr>
                <w:rFonts w:ascii="Verdana" w:eastAsia="Times New Roman" w:hAnsi="Verdana" w:cs="Calibri"/>
                <w:sz w:val="19"/>
                <w:szCs w:val="19"/>
              </w:rPr>
              <w:t>(Lg. Stock Return, 30-yr T-Bond Rate)</w:t>
            </w:r>
          </w:p>
        </w:tc>
        <w:tc>
          <w:tcPr>
            <w:tcW w:w="1020" w:type="dxa"/>
            <w:tcBorders>
              <w:top w:val="nil"/>
            </w:tcBorders>
            <w:shd w:val="clear" w:color="auto" w:fill="auto"/>
            <w:noWrap/>
            <w:hideMark/>
          </w:tcPr>
          <w:p w14:paraId="22EFA0EF"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8.10</w:t>
            </w:r>
          </w:p>
        </w:tc>
        <w:tc>
          <w:tcPr>
            <w:tcW w:w="1140" w:type="dxa"/>
            <w:tcBorders>
              <w:top w:val="nil"/>
            </w:tcBorders>
            <w:shd w:val="clear" w:color="auto" w:fill="auto"/>
            <w:noWrap/>
            <w:hideMark/>
          </w:tcPr>
          <w:p w14:paraId="5DFDB814"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9.07</w:t>
            </w:r>
          </w:p>
        </w:tc>
        <w:tc>
          <w:tcPr>
            <w:tcW w:w="1102" w:type="dxa"/>
            <w:gridSpan w:val="2"/>
            <w:tcBorders>
              <w:top w:val="nil"/>
            </w:tcBorders>
            <w:shd w:val="clear" w:color="auto" w:fill="auto"/>
            <w:noWrap/>
            <w:vAlign w:val="bottom"/>
            <w:hideMark/>
          </w:tcPr>
          <w:p w14:paraId="698BCD80"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391CBE6C" w14:textId="77777777" w:rsidTr="00D64A75">
        <w:trPr>
          <w:trHeight w:val="20"/>
          <w:jc w:val="center"/>
        </w:trPr>
        <w:tc>
          <w:tcPr>
            <w:tcW w:w="3690" w:type="dxa"/>
            <w:tcBorders>
              <w:top w:val="nil"/>
            </w:tcBorders>
            <w:shd w:val="clear" w:color="auto" w:fill="auto"/>
            <w:noWrap/>
            <w:vAlign w:val="bottom"/>
            <w:hideMark/>
          </w:tcPr>
          <w:p w14:paraId="42A74EA2"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Capital Asset Pricing Model</w:t>
            </w:r>
            <w:r>
              <w:rPr>
                <w:rFonts w:ascii="Verdana" w:eastAsia="Times New Roman" w:hAnsi="Verdana" w:cs="Calibri"/>
                <w:sz w:val="19"/>
                <w:szCs w:val="19"/>
              </w:rPr>
              <w:br/>
            </w:r>
            <w:r w:rsidRPr="008567A3">
              <w:rPr>
                <w:rFonts w:ascii="Verdana" w:eastAsia="Times New Roman" w:hAnsi="Verdana" w:cs="Calibri"/>
                <w:sz w:val="19"/>
                <w:szCs w:val="19"/>
              </w:rPr>
              <w:t>(30-yr T-Bond Rate)</w:t>
            </w:r>
          </w:p>
        </w:tc>
        <w:tc>
          <w:tcPr>
            <w:tcW w:w="1020" w:type="dxa"/>
            <w:tcBorders>
              <w:top w:val="nil"/>
            </w:tcBorders>
            <w:shd w:val="clear" w:color="auto" w:fill="auto"/>
            <w:noWrap/>
            <w:hideMark/>
          </w:tcPr>
          <w:p w14:paraId="278085FA"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6.58</w:t>
            </w:r>
          </w:p>
        </w:tc>
        <w:tc>
          <w:tcPr>
            <w:tcW w:w="1140" w:type="dxa"/>
            <w:tcBorders>
              <w:top w:val="nil"/>
            </w:tcBorders>
            <w:shd w:val="clear" w:color="auto" w:fill="auto"/>
            <w:noWrap/>
            <w:hideMark/>
          </w:tcPr>
          <w:p w14:paraId="08A09B98"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7.29</w:t>
            </w:r>
          </w:p>
        </w:tc>
        <w:tc>
          <w:tcPr>
            <w:tcW w:w="1102" w:type="dxa"/>
            <w:gridSpan w:val="2"/>
            <w:tcBorders>
              <w:top w:val="nil"/>
            </w:tcBorders>
            <w:shd w:val="clear" w:color="auto" w:fill="auto"/>
            <w:noWrap/>
            <w:vAlign w:val="bottom"/>
            <w:hideMark/>
          </w:tcPr>
          <w:p w14:paraId="147DCC8B"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468AE07F" w14:textId="77777777" w:rsidTr="00D64A75">
        <w:trPr>
          <w:trHeight w:val="20"/>
          <w:jc w:val="center"/>
        </w:trPr>
        <w:tc>
          <w:tcPr>
            <w:tcW w:w="3690" w:type="dxa"/>
            <w:tcBorders>
              <w:top w:val="nil"/>
              <w:bottom w:val="single" w:sz="4" w:space="0" w:color="auto"/>
            </w:tcBorders>
            <w:shd w:val="clear" w:color="auto" w:fill="auto"/>
            <w:noWrap/>
            <w:vAlign w:val="bottom"/>
            <w:hideMark/>
          </w:tcPr>
          <w:p w14:paraId="1EC20B7B" w14:textId="77777777" w:rsidR="0044774F" w:rsidRPr="008567A3" w:rsidRDefault="0044774F" w:rsidP="00A8362B">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 xml:space="preserve">Capital Asset Pricing Model </w:t>
            </w:r>
            <w:r>
              <w:rPr>
                <w:rFonts w:ascii="Verdana" w:eastAsia="Times New Roman" w:hAnsi="Verdana" w:cs="Calibri"/>
                <w:sz w:val="19"/>
                <w:szCs w:val="19"/>
              </w:rPr>
              <w:br/>
            </w:r>
            <w:r w:rsidRPr="008567A3">
              <w:rPr>
                <w:rFonts w:ascii="Verdana" w:eastAsia="Times New Roman" w:hAnsi="Verdana" w:cs="Calibri"/>
                <w:sz w:val="19"/>
                <w:szCs w:val="19"/>
              </w:rPr>
              <w:t>(D&amp;P Normalized Rate)</w:t>
            </w:r>
          </w:p>
        </w:tc>
        <w:tc>
          <w:tcPr>
            <w:tcW w:w="1020" w:type="dxa"/>
            <w:tcBorders>
              <w:top w:val="nil"/>
              <w:bottom w:val="single" w:sz="4" w:space="0" w:color="auto"/>
            </w:tcBorders>
            <w:shd w:val="clear" w:color="auto" w:fill="auto"/>
            <w:noWrap/>
            <w:hideMark/>
          </w:tcPr>
          <w:p w14:paraId="153F23C9"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6.84</w:t>
            </w:r>
          </w:p>
        </w:tc>
        <w:tc>
          <w:tcPr>
            <w:tcW w:w="1140" w:type="dxa"/>
            <w:tcBorders>
              <w:top w:val="nil"/>
              <w:bottom w:val="single" w:sz="4" w:space="0" w:color="auto"/>
            </w:tcBorders>
            <w:shd w:val="clear" w:color="auto" w:fill="auto"/>
            <w:noWrap/>
            <w:hideMark/>
          </w:tcPr>
          <w:p w14:paraId="324C8F0B"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7.40</w:t>
            </w:r>
          </w:p>
        </w:tc>
        <w:tc>
          <w:tcPr>
            <w:tcW w:w="1102" w:type="dxa"/>
            <w:gridSpan w:val="2"/>
            <w:tcBorders>
              <w:top w:val="nil"/>
              <w:bottom w:val="single" w:sz="4" w:space="0" w:color="auto"/>
            </w:tcBorders>
            <w:shd w:val="clear" w:color="auto" w:fill="auto"/>
            <w:noWrap/>
            <w:vAlign w:val="bottom"/>
            <w:hideMark/>
          </w:tcPr>
          <w:p w14:paraId="3E18553D"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61ADA222" w14:textId="77777777" w:rsidTr="00D64A75">
        <w:trPr>
          <w:trHeight w:val="20"/>
          <w:jc w:val="center"/>
        </w:trPr>
        <w:tc>
          <w:tcPr>
            <w:tcW w:w="3690" w:type="dxa"/>
            <w:tcBorders>
              <w:top w:val="single" w:sz="4" w:space="0" w:color="auto"/>
            </w:tcBorders>
            <w:shd w:val="clear" w:color="auto" w:fill="auto"/>
            <w:noWrap/>
            <w:vAlign w:val="bottom"/>
            <w:hideMark/>
          </w:tcPr>
          <w:p w14:paraId="58D35216"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CAPM Range</w:t>
            </w:r>
            <w:r>
              <w:rPr>
                <w:rFonts w:ascii="Verdana" w:eastAsia="Times New Roman" w:hAnsi="Verdana" w:cs="Calibri"/>
                <w:b/>
                <w:bCs/>
                <w:sz w:val="19"/>
                <w:szCs w:val="19"/>
              </w:rPr>
              <w:t>:</w:t>
            </w:r>
          </w:p>
        </w:tc>
        <w:tc>
          <w:tcPr>
            <w:tcW w:w="1020" w:type="dxa"/>
            <w:tcBorders>
              <w:top w:val="single" w:sz="4" w:space="0" w:color="auto"/>
            </w:tcBorders>
            <w:shd w:val="clear" w:color="auto" w:fill="auto"/>
            <w:noWrap/>
            <w:vAlign w:val="bottom"/>
            <w:hideMark/>
          </w:tcPr>
          <w:p w14:paraId="3E00E9B0"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6.58</w:t>
            </w:r>
          </w:p>
        </w:tc>
        <w:tc>
          <w:tcPr>
            <w:tcW w:w="1140" w:type="dxa"/>
            <w:tcBorders>
              <w:top w:val="single" w:sz="4" w:space="0" w:color="auto"/>
            </w:tcBorders>
            <w:shd w:val="clear" w:color="auto" w:fill="auto"/>
            <w:noWrap/>
            <w:vAlign w:val="bottom"/>
            <w:hideMark/>
          </w:tcPr>
          <w:p w14:paraId="4411DAA8"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9.07</w:t>
            </w:r>
          </w:p>
        </w:tc>
        <w:tc>
          <w:tcPr>
            <w:tcW w:w="1102" w:type="dxa"/>
            <w:gridSpan w:val="2"/>
            <w:tcBorders>
              <w:top w:val="single" w:sz="4" w:space="0" w:color="auto"/>
            </w:tcBorders>
            <w:shd w:val="clear" w:color="auto" w:fill="auto"/>
            <w:noWrap/>
            <w:vAlign w:val="bottom"/>
            <w:hideMark/>
          </w:tcPr>
          <w:p w14:paraId="7BFE3113"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7.83</w:t>
            </w:r>
          </w:p>
        </w:tc>
      </w:tr>
      <w:tr w:rsidR="0044774F" w:rsidRPr="008567A3" w14:paraId="228A64B3" w14:textId="77777777" w:rsidTr="00D64A75">
        <w:trPr>
          <w:trHeight w:val="20"/>
          <w:jc w:val="center"/>
        </w:trPr>
        <w:tc>
          <w:tcPr>
            <w:tcW w:w="3690" w:type="dxa"/>
            <w:tcBorders>
              <w:top w:val="nil"/>
              <w:bottom w:val="nil"/>
              <w:right w:val="nil"/>
            </w:tcBorders>
            <w:shd w:val="clear" w:color="auto" w:fill="auto"/>
            <w:noWrap/>
            <w:vAlign w:val="bottom"/>
            <w:hideMark/>
          </w:tcPr>
          <w:p w14:paraId="5D31D27C"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 </w:t>
            </w:r>
          </w:p>
        </w:tc>
        <w:tc>
          <w:tcPr>
            <w:tcW w:w="1020" w:type="dxa"/>
            <w:tcBorders>
              <w:top w:val="nil"/>
              <w:left w:val="nil"/>
              <w:bottom w:val="nil"/>
              <w:right w:val="nil"/>
            </w:tcBorders>
            <w:shd w:val="clear" w:color="auto" w:fill="auto"/>
            <w:noWrap/>
            <w:vAlign w:val="bottom"/>
            <w:hideMark/>
          </w:tcPr>
          <w:p w14:paraId="5B64BA9C"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40" w:type="dxa"/>
            <w:tcBorders>
              <w:top w:val="nil"/>
              <w:left w:val="nil"/>
              <w:bottom w:val="nil"/>
              <w:right w:val="nil"/>
            </w:tcBorders>
            <w:shd w:val="clear" w:color="auto" w:fill="auto"/>
            <w:noWrap/>
            <w:vAlign w:val="bottom"/>
            <w:hideMark/>
          </w:tcPr>
          <w:p w14:paraId="4257CB2A"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02" w:type="dxa"/>
            <w:gridSpan w:val="2"/>
            <w:tcBorders>
              <w:top w:val="nil"/>
              <w:left w:val="nil"/>
              <w:bottom w:val="nil"/>
            </w:tcBorders>
            <w:shd w:val="clear" w:color="auto" w:fill="auto"/>
            <w:noWrap/>
            <w:vAlign w:val="bottom"/>
            <w:hideMark/>
          </w:tcPr>
          <w:p w14:paraId="3D19D197"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58A6389C" w14:textId="77777777" w:rsidTr="00D64A75">
        <w:trPr>
          <w:trHeight w:val="20"/>
          <w:jc w:val="center"/>
        </w:trPr>
        <w:tc>
          <w:tcPr>
            <w:tcW w:w="3690" w:type="dxa"/>
            <w:tcBorders>
              <w:top w:val="nil"/>
              <w:right w:val="nil"/>
            </w:tcBorders>
            <w:shd w:val="clear" w:color="auto" w:fill="auto"/>
            <w:noWrap/>
            <w:vAlign w:val="bottom"/>
            <w:hideMark/>
          </w:tcPr>
          <w:p w14:paraId="3245EE83" w14:textId="33268164" w:rsidR="0044774F" w:rsidRPr="008567A3" w:rsidRDefault="0044774F" w:rsidP="009D229F">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 xml:space="preserve">Comparable Earnings </w:t>
            </w:r>
            <w:r w:rsidR="009D229F" w:rsidRPr="008567A3">
              <w:rPr>
                <w:rFonts w:ascii="Verdana" w:eastAsia="Times New Roman" w:hAnsi="Verdana" w:cs="Calibri"/>
                <w:b/>
                <w:bCs/>
                <w:sz w:val="19"/>
                <w:szCs w:val="19"/>
              </w:rPr>
              <w:t>Methodology</w:t>
            </w:r>
          </w:p>
        </w:tc>
        <w:tc>
          <w:tcPr>
            <w:tcW w:w="1020" w:type="dxa"/>
            <w:tcBorders>
              <w:top w:val="nil"/>
              <w:left w:val="nil"/>
              <w:right w:val="nil"/>
            </w:tcBorders>
            <w:shd w:val="clear" w:color="auto" w:fill="auto"/>
            <w:noWrap/>
            <w:vAlign w:val="bottom"/>
            <w:hideMark/>
          </w:tcPr>
          <w:p w14:paraId="3FDBD601"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40" w:type="dxa"/>
            <w:tcBorders>
              <w:top w:val="nil"/>
              <w:left w:val="nil"/>
              <w:right w:val="nil"/>
            </w:tcBorders>
            <w:shd w:val="clear" w:color="auto" w:fill="auto"/>
            <w:noWrap/>
            <w:vAlign w:val="bottom"/>
            <w:hideMark/>
          </w:tcPr>
          <w:p w14:paraId="6FADC9F7"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left w:val="nil"/>
            </w:tcBorders>
            <w:shd w:val="clear" w:color="auto" w:fill="auto"/>
            <w:noWrap/>
            <w:vAlign w:val="bottom"/>
            <w:hideMark/>
          </w:tcPr>
          <w:p w14:paraId="7929EE41"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4316AE87" w14:textId="77777777" w:rsidTr="00D64A75">
        <w:trPr>
          <w:trHeight w:val="20"/>
          <w:jc w:val="center"/>
        </w:trPr>
        <w:tc>
          <w:tcPr>
            <w:tcW w:w="3690" w:type="dxa"/>
            <w:tcBorders>
              <w:top w:val="nil"/>
            </w:tcBorders>
            <w:shd w:val="clear" w:color="auto" w:fill="auto"/>
            <w:noWrap/>
            <w:vAlign w:val="bottom"/>
            <w:hideMark/>
          </w:tcPr>
          <w:p w14:paraId="7BD6A264" w14:textId="6B968376" w:rsidR="0044774F" w:rsidRPr="008567A3" w:rsidRDefault="0044774F" w:rsidP="009D229F">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Comparable Earnings M</w:t>
            </w:r>
            <w:r w:rsidR="009D229F">
              <w:rPr>
                <w:rFonts w:ascii="Verdana" w:eastAsia="Times New Roman" w:hAnsi="Verdana" w:cs="Calibri"/>
                <w:sz w:val="19"/>
                <w:szCs w:val="19"/>
              </w:rPr>
              <w:t>odel</w:t>
            </w:r>
            <w:r>
              <w:rPr>
                <w:rFonts w:ascii="Verdana" w:eastAsia="Times New Roman" w:hAnsi="Verdana" w:cs="Calibri"/>
                <w:sz w:val="19"/>
                <w:szCs w:val="19"/>
              </w:rPr>
              <w:br/>
            </w:r>
            <w:r w:rsidRPr="008567A3">
              <w:rPr>
                <w:rFonts w:ascii="Verdana" w:eastAsia="Times New Roman" w:hAnsi="Verdana" w:cs="Calibri"/>
                <w:sz w:val="19"/>
                <w:szCs w:val="19"/>
              </w:rPr>
              <w:t>(Historical ROE)</w:t>
            </w:r>
          </w:p>
        </w:tc>
        <w:tc>
          <w:tcPr>
            <w:tcW w:w="1020" w:type="dxa"/>
            <w:tcBorders>
              <w:top w:val="nil"/>
            </w:tcBorders>
            <w:shd w:val="clear" w:color="auto" w:fill="auto"/>
            <w:noWrap/>
            <w:hideMark/>
          </w:tcPr>
          <w:p w14:paraId="7420E1D7"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10.13</w:t>
            </w:r>
          </w:p>
        </w:tc>
        <w:tc>
          <w:tcPr>
            <w:tcW w:w="1140" w:type="dxa"/>
            <w:tcBorders>
              <w:top w:val="nil"/>
            </w:tcBorders>
            <w:shd w:val="clear" w:color="auto" w:fill="auto"/>
            <w:noWrap/>
            <w:vAlign w:val="bottom"/>
            <w:hideMark/>
          </w:tcPr>
          <w:p w14:paraId="2C84FDB4"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tcBorders>
            <w:shd w:val="clear" w:color="auto" w:fill="auto"/>
            <w:noWrap/>
            <w:vAlign w:val="bottom"/>
            <w:hideMark/>
          </w:tcPr>
          <w:p w14:paraId="05059AF7"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28FC156E" w14:textId="77777777" w:rsidTr="00D64A75">
        <w:trPr>
          <w:trHeight w:val="20"/>
          <w:jc w:val="center"/>
        </w:trPr>
        <w:tc>
          <w:tcPr>
            <w:tcW w:w="3690" w:type="dxa"/>
            <w:tcBorders>
              <w:top w:val="nil"/>
            </w:tcBorders>
            <w:shd w:val="clear" w:color="auto" w:fill="auto"/>
            <w:noWrap/>
            <w:vAlign w:val="bottom"/>
            <w:hideMark/>
          </w:tcPr>
          <w:p w14:paraId="58323EBE" w14:textId="340862E9" w:rsidR="0044774F" w:rsidRPr="008567A3" w:rsidRDefault="009D229F" w:rsidP="009D229F">
            <w:pPr>
              <w:keepNext/>
              <w:spacing w:before="60" w:after="60" w:line="240" w:lineRule="auto"/>
              <w:rPr>
                <w:rFonts w:ascii="Verdana" w:eastAsia="Times New Roman" w:hAnsi="Verdana" w:cs="Calibri"/>
                <w:sz w:val="19"/>
                <w:szCs w:val="19"/>
              </w:rPr>
            </w:pPr>
            <w:r>
              <w:rPr>
                <w:rFonts w:ascii="Verdana" w:eastAsia="Times New Roman" w:hAnsi="Verdana" w:cs="Calibri"/>
                <w:sz w:val="19"/>
                <w:szCs w:val="19"/>
              </w:rPr>
              <w:t>Comparable Earnings Model</w:t>
            </w:r>
            <w:r w:rsidR="0044774F">
              <w:rPr>
                <w:rFonts w:ascii="Verdana" w:eastAsia="Times New Roman" w:hAnsi="Verdana" w:cs="Calibri"/>
                <w:sz w:val="19"/>
                <w:szCs w:val="19"/>
              </w:rPr>
              <w:br/>
            </w:r>
            <w:r w:rsidR="0044774F" w:rsidRPr="008567A3">
              <w:rPr>
                <w:rFonts w:ascii="Verdana" w:eastAsia="Times New Roman" w:hAnsi="Verdana" w:cs="Calibri"/>
                <w:sz w:val="19"/>
                <w:szCs w:val="19"/>
              </w:rPr>
              <w:t>(Adjusted ROE)</w:t>
            </w:r>
          </w:p>
        </w:tc>
        <w:tc>
          <w:tcPr>
            <w:tcW w:w="1020" w:type="dxa"/>
            <w:tcBorders>
              <w:top w:val="nil"/>
            </w:tcBorders>
            <w:shd w:val="clear" w:color="auto" w:fill="auto"/>
            <w:noWrap/>
            <w:hideMark/>
          </w:tcPr>
          <w:p w14:paraId="1A9DE6BA"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10.86</w:t>
            </w:r>
          </w:p>
        </w:tc>
        <w:tc>
          <w:tcPr>
            <w:tcW w:w="1140" w:type="dxa"/>
            <w:tcBorders>
              <w:top w:val="nil"/>
            </w:tcBorders>
            <w:shd w:val="clear" w:color="auto" w:fill="auto"/>
            <w:noWrap/>
            <w:vAlign w:val="bottom"/>
            <w:hideMark/>
          </w:tcPr>
          <w:p w14:paraId="36A93008"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tcBorders>
            <w:shd w:val="clear" w:color="auto" w:fill="auto"/>
            <w:noWrap/>
            <w:vAlign w:val="bottom"/>
            <w:hideMark/>
          </w:tcPr>
          <w:p w14:paraId="13A4812B"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1D41B003" w14:textId="77777777" w:rsidTr="00D64A75">
        <w:trPr>
          <w:trHeight w:val="20"/>
          <w:jc w:val="center"/>
        </w:trPr>
        <w:tc>
          <w:tcPr>
            <w:tcW w:w="3690" w:type="dxa"/>
            <w:tcBorders>
              <w:top w:val="nil"/>
              <w:bottom w:val="single" w:sz="4" w:space="0" w:color="auto"/>
            </w:tcBorders>
            <w:shd w:val="clear" w:color="auto" w:fill="auto"/>
            <w:noWrap/>
            <w:vAlign w:val="bottom"/>
            <w:hideMark/>
          </w:tcPr>
          <w:p w14:paraId="69CEE963" w14:textId="41F38751" w:rsidR="0044774F" w:rsidRPr="008567A3" w:rsidRDefault="0044774F" w:rsidP="009D229F">
            <w:pPr>
              <w:keepNext/>
              <w:spacing w:before="60" w:after="60" w:line="240" w:lineRule="auto"/>
              <w:rPr>
                <w:rFonts w:ascii="Verdana" w:eastAsia="Times New Roman" w:hAnsi="Verdana" w:cs="Calibri"/>
                <w:sz w:val="19"/>
                <w:szCs w:val="19"/>
              </w:rPr>
            </w:pPr>
            <w:r w:rsidRPr="008567A3">
              <w:rPr>
                <w:rFonts w:ascii="Verdana" w:eastAsia="Times New Roman" w:hAnsi="Verdana" w:cs="Calibri"/>
                <w:sz w:val="19"/>
                <w:szCs w:val="19"/>
              </w:rPr>
              <w:t>Comparable Earnings M</w:t>
            </w:r>
            <w:r w:rsidR="009D229F">
              <w:rPr>
                <w:rFonts w:ascii="Verdana" w:eastAsia="Times New Roman" w:hAnsi="Verdana" w:cs="Calibri"/>
                <w:sz w:val="19"/>
                <w:szCs w:val="19"/>
              </w:rPr>
              <w:t>odel</w:t>
            </w:r>
            <w:r w:rsidRPr="008567A3">
              <w:rPr>
                <w:rFonts w:ascii="Verdana" w:eastAsia="Times New Roman" w:hAnsi="Verdana" w:cs="Calibri"/>
                <w:sz w:val="19"/>
                <w:szCs w:val="19"/>
              </w:rPr>
              <w:t xml:space="preserve"> </w:t>
            </w:r>
            <w:r>
              <w:rPr>
                <w:rFonts w:ascii="Verdana" w:eastAsia="Times New Roman" w:hAnsi="Verdana" w:cs="Calibri"/>
                <w:sz w:val="19"/>
                <w:szCs w:val="19"/>
              </w:rPr>
              <w:br/>
            </w:r>
            <w:r w:rsidRPr="008567A3">
              <w:rPr>
                <w:rFonts w:ascii="Verdana" w:eastAsia="Times New Roman" w:hAnsi="Verdana" w:cs="Calibri"/>
                <w:sz w:val="19"/>
                <w:szCs w:val="19"/>
              </w:rPr>
              <w:t>(VL Forecasted ROE 22-24)</w:t>
            </w:r>
          </w:p>
        </w:tc>
        <w:tc>
          <w:tcPr>
            <w:tcW w:w="1020" w:type="dxa"/>
            <w:tcBorders>
              <w:top w:val="nil"/>
              <w:bottom w:val="single" w:sz="4" w:space="0" w:color="auto"/>
            </w:tcBorders>
            <w:shd w:val="clear" w:color="auto" w:fill="auto"/>
            <w:noWrap/>
            <w:hideMark/>
          </w:tcPr>
          <w:p w14:paraId="41DC5F4B" w14:textId="6002B963"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10.</w:t>
            </w:r>
            <w:r w:rsidR="00852820">
              <w:rPr>
                <w:rFonts w:ascii="Verdana" w:eastAsia="Times New Roman" w:hAnsi="Verdana" w:cs="Calibri"/>
                <w:sz w:val="19"/>
                <w:szCs w:val="19"/>
              </w:rPr>
              <w:t>7</w:t>
            </w:r>
            <w:r w:rsidRPr="00A8711C">
              <w:rPr>
                <w:rFonts w:ascii="Verdana" w:eastAsia="Times New Roman" w:hAnsi="Verdana" w:cs="Calibri"/>
                <w:sz w:val="19"/>
                <w:szCs w:val="19"/>
              </w:rPr>
              <w:t>0</w:t>
            </w:r>
          </w:p>
        </w:tc>
        <w:tc>
          <w:tcPr>
            <w:tcW w:w="1140" w:type="dxa"/>
            <w:tcBorders>
              <w:top w:val="nil"/>
              <w:bottom w:val="single" w:sz="4" w:space="0" w:color="auto"/>
            </w:tcBorders>
            <w:shd w:val="clear" w:color="auto" w:fill="auto"/>
            <w:noWrap/>
            <w:vAlign w:val="bottom"/>
            <w:hideMark/>
          </w:tcPr>
          <w:p w14:paraId="3E40A267"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bottom w:val="single" w:sz="4" w:space="0" w:color="auto"/>
            </w:tcBorders>
            <w:shd w:val="clear" w:color="auto" w:fill="auto"/>
            <w:noWrap/>
            <w:vAlign w:val="bottom"/>
            <w:hideMark/>
          </w:tcPr>
          <w:p w14:paraId="50A3214F"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5E226974" w14:textId="77777777" w:rsidTr="00D64A75">
        <w:trPr>
          <w:trHeight w:val="20"/>
          <w:jc w:val="center"/>
        </w:trPr>
        <w:tc>
          <w:tcPr>
            <w:tcW w:w="3690" w:type="dxa"/>
            <w:tcBorders>
              <w:top w:val="single" w:sz="4" w:space="0" w:color="auto"/>
            </w:tcBorders>
            <w:shd w:val="clear" w:color="auto" w:fill="auto"/>
            <w:noWrap/>
            <w:vAlign w:val="bottom"/>
            <w:hideMark/>
          </w:tcPr>
          <w:p w14:paraId="7C0A3489"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CEM Range</w:t>
            </w:r>
            <w:r>
              <w:rPr>
                <w:rFonts w:ascii="Verdana" w:eastAsia="Times New Roman" w:hAnsi="Verdana" w:cs="Calibri"/>
                <w:b/>
                <w:bCs/>
                <w:sz w:val="19"/>
                <w:szCs w:val="19"/>
              </w:rPr>
              <w:t>:</w:t>
            </w:r>
          </w:p>
        </w:tc>
        <w:tc>
          <w:tcPr>
            <w:tcW w:w="1020" w:type="dxa"/>
            <w:tcBorders>
              <w:top w:val="single" w:sz="4" w:space="0" w:color="auto"/>
            </w:tcBorders>
            <w:shd w:val="clear" w:color="auto" w:fill="auto"/>
            <w:noWrap/>
            <w:vAlign w:val="bottom"/>
            <w:hideMark/>
          </w:tcPr>
          <w:p w14:paraId="2E8E569E"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10.13</w:t>
            </w:r>
          </w:p>
        </w:tc>
        <w:tc>
          <w:tcPr>
            <w:tcW w:w="1140" w:type="dxa"/>
            <w:tcBorders>
              <w:top w:val="single" w:sz="4" w:space="0" w:color="auto"/>
            </w:tcBorders>
            <w:shd w:val="clear" w:color="auto" w:fill="auto"/>
            <w:noWrap/>
            <w:vAlign w:val="bottom"/>
            <w:hideMark/>
          </w:tcPr>
          <w:p w14:paraId="259DC623"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10.86</w:t>
            </w:r>
          </w:p>
        </w:tc>
        <w:tc>
          <w:tcPr>
            <w:tcW w:w="1102" w:type="dxa"/>
            <w:gridSpan w:val="2"/>
            <w:tcBorders>
              <w:top w:val="single" w:sz="4" w:space="0" w:color="auto"/>
            </w:tcBorders>
            <w:shd w:val="clear" w:color="auto" w:fill="auto"/>
            <w:noWrap/>
            <w:vAlign w:val="bottom"/>
            <w:hideMark/>
          </w:tcPr>
          <w:p w14:paraId="30C70548" w14:textId="638EFA75"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10.5</w:t>
            </w:r>
            <w:r w:rsidR="00852820">
              <w:rPr>
                <w:rFonts w:ascii="Verdana" w:eastAsia="Times New Roman" w:hAnsi="Verdana" w:cs="Calibri"/>
                <w:b/>
                <w:bCs/>
                <w:sz w:val="19"/>
                <w:szCs w:val="19"/>
              </w:rPr>
              <w:t>6</w:t>
            </w:r>
          </w:p>
        </w:tc>
      </w:tr>
      <w:tr w:rsidR="0044774F" w:rsidRPr="008567A3" w14:paraId="07FB4991" w14:textId="77777777" w:rsidTr="00D64A75">
        <w:trPr>
          <w:trHeight w:val="20"/>
          <w:jc w:val="center"/>
        </w:trPr>
        <w:tc>
          <w:tcPr>
            <w:tcW w:w="3690" w:type="dxa"/>
            <w:tcBorders>
              <w:top w:val="nil"/>
              <w:right w:val="nil"/>
            </w:tcBorders>
            <w:shd w:val="clear" w:color="auto" w:fill="auto"/>
            <w:noWrap/>
            <w:vAlign w:val="bottom"/>
            <w:hideMark/>
          </w:tcPr>
          <w:p w14:paraId="69348039"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 </w:t>
            </w:r>
          </w:p>
        </w:tc>
        <w:tc>
          <w:tcPr>
            <w:tcW w:w="1020" w:type="dxa"/>
            <w:tcBorders>
              <w:top w:val="nil"/>
              <w:left w:val="nil"/>
              <w:right w:val="nil"/>
            </w:tcBorders>
            <w:shd w:val="clear" w:color="auto" w:fill="auto"/>
            <w:noWrap/>
            <w:vAlign w:val="bottom"/>
            <w:hideMark/>
          </w:tcPr>
          <w:p w14:paraId="1E27F8EE"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40" w:type="dxa"/>
            <w:tcBorders>
              <w:top w:val="nil"/>
              <w:left w:val="nil"/>
              <w:right w:val="nil"/>
            </w:tcBorders>
            <w:shd w:val="clear" w:color="auto" w:fill="auto"/>
            <w:noWrap/>
            <w:vAlign w:val="bottom"/>
            <w:hideMark/>
          </w:tcPr>
          <w:p w14:paraId="7E857D5A" w14:textId="77777777" w:rsidR="0044774F" w:rsidRPr="00A8711C" w:rsidRDefault="0044774F" w:rsidP="00A8362B">
            <w:pPr>
              <w:keepNext/>
              <w:spacing w:before="60" w:after="60" w:line="240" w:lineRule="auto"/>
              <w:jc w:val="center"/>
              <w:rPr>
                <w:rFonts w:ascii="Verdana" w:eastAsia="Times New Roman" w:hAnsi="Verdana" w:cs="Calibri"/>
                <w:sz w:val="19"/>
                <w:szCs w:val="19"/>
              </w:rPr>
            </w:pPr>
            <w:r w:rsidRPr="00A8711C">
              <w:rPr>
                <w:rFonts w:ascii="Verdana" w:eastAsia="Times New Roman" w:hAnsi="Verdana" w:cs="Calibri"/>
                <w:sz w:val="19"/>
                <w:szCs w:val="19"/>
              </w:rPr>
              <w:t> </w:t>
            </w:r>
          </w:p>
        </w:tc>
        <w:tc>
          <w:tcPr>
            <w:tcW w:w="1102" w:type="dxa"/>
            <w:gridSpan w:val="2"/>
            <w:tcBorders>
              <w:top w:val="nil"/>
              <w:left w:val="nil"/>
            </w:tcBorders>
            <w:shd w:val="clear" w:color="auto" w:fill="auto"/>
            <w:noWrap/>
            <w:vAlign w:val="bottom"/>
            <w:hideMark/>
          </w:tcPr>
          <w:p w14:paraId="6226DD0E"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21BE0C64" w14:textId="77777777" w:rsidTr="00D64A75">
        <w:trPr>
          <w:trHeight w:val="20"/>
          <w:jc w:val="center"/>
        </w:trPr>
        <w:tc>
          <w:tcPr>
            <w:tcW w:w="3690" w:type="dxa"/>
            <w:tcBorders>
              <w:top w:val="nil"/>
              <w:bottom w:val="single" w:sz="4" w:space="0" w:color="auto"/>
              <w:right w:val="nil"/>
            </w:tcBorders>
            <w:shd w:val="clear" w:color="auto" w:fill="auto"/>
            <w:noWrap/>
            <w:vAlign w:val="bottom"/>
            <w:hideMark/>
          </w:tcPr>
          <w:p w14:paraId="4E41ED3B"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Summary</w:t>
            </w:r>
          </w:p>
        </w:tc>
        <w:tc>
          <w:tcPr>
            <w:tcW w:w="1020" w:type="dxa"/>
            <w:tcBorders>
              <w:top w:val="nil"/>
              <w:left w:val="nil"/>
              <w:bottom w:val="single" w:sz="4" w:space="0" w:color="auto"/>
              <w:right w:val="nil"/>
            </w:tcBorders>
            <w:shd w:val="clear" w:color="auto" w:fill="auto"/>
            <w:noWrap/>
            <w:vAlign w:val="bottom"/>
            <w:hideMark/>
          </w:tcPr>
          <w:p w14:paraId="5236DB0E" w14:textId="77777777" w:rsidR="0044774F" w:rsidRPr="00A8711C" w:rsidRDefault="0044774F" w:rsidP="00A8362B">
            <w:pPr>
              <w:keepNext/>
              <w:spacing w:before="60" w:after="60" w:line="240" w:lineRule="auto"/>
              <w:jc w:val="center"/>
              <w:rPr>
                <w:rFonts w:ascii="Verdana" w:eastAsia="Times New Roman" w:hAnsi="Verdana" w:cs="Calibri"/>
                <w:b/>
                <w:bCs/>
                <w:sz w:val="19"/>
                <w:szCs w:val="19"/>
                <w:u w:val="single"/>
              </w:rPr>
            </w:pPr>
          </w:p>
        </w:tc>
        <w:tc>
          <w:tcPr>
            <w:tcW w:w="1140" w:type="dxa"/>
            <w:tcBorders>
              <w:top w:val="nil"/>
              <w:left w:val="nil"/>
              <w:bottom w:val="single" w:sz="4" w:space="0" w:color="auto"/>
              <w:right w:val="nil"/>
            </w:tcBorders>
            <w:shd w:val="clear" w:color="auto" w:fill="auto"/>
            <w:noWrap/>
            <w:vAlign w:val="bottom"/>
            <w:hideMark/>
          </w:tcPr>
          <w:p w14:paraId="1D7E9423" w14:textId="77777777" w:rsidR="0044774F" w:rsidRPr="00A8711C" w:rsidRDefault="0044774F" w:rsidP="00A8362B">
            <w:pPr>
              <w:keepNext/>
              <w:spacing w:before="60" w:after="60" w:line="240" w:lineRule="auto"/>
              <w:jc w:val="center"/>
              <w:rPr>
                <w:rFonts w:ascii="Verdana" w:eastAsia="Times New Roman" w:hAnsi="Verdana" w:cs="Calibri"/>
                <w:b/>
                <w:bCs/>
                <w:sz w:val="19"/>
                <w:szCs w:val="19"/>
                <w:u w:val="single"/>
              </w:rPr>
            </w:pPr>
          </w:p>
        </w:tc>
        <w:tc>
          <w:tcPr>
            <w:tcW w:w="1102" w:type="dxa"/>
            <w:gridSpan w:val="2"/>
            <w:tcBorders>
              <w:top w:val="nil"/>
              <w:left w:val="nil"/>
              <w:bottom w:val="single" w:sz="4" w:space="0" w:color="auto"/>
            </w:tcBorders>
            <w:shd w:val="clear" w:color="auto" w:fill="auto"/>
            <w:noWrap/>
            <w:vAlign w:val="bottom"/>
            <w:hideMark/>
          </w:tcPr>
          <w:p w14:paraId="1C05B359" w14:textId="77777777" w:rsidR="0044774F" w:rsidRPr="00A8711C" w:rsidRDefault="0044774F" w:rsidP="00A8362B">
            <w:pPr>
              <w:keepNext/>
              <w:spacing w:before="60" w:after="60" w:line="240" w:lineRule="auto"/>
              <w:rPr>
                <w:rFonts w:ascii="Verdana" w:eastAsia="Times New Roman" w:hAnsi="Verdana" w:cs="Calibri"/>
                <w:b/>
                <w:bCs/>
                <w:sz w:val="19"/>
                <w:szCs w:val="19"/>
              </w:rPr>
            </w:pPr>
            <w:r w:rsidRPr="00A8711C">
              <w:rPr>
                <w:rFonts w:ascii="Verdana" w:eastAsia="Times New Roman" w:hAnsi="Verdana" w:cs="Calibri"/>
                <w:b/>
                <w:bCs/>
                <w:sz w:val="19"/>
                <w:szCs w:val="19"/>
              </w:rPr>
              <w:t> </w:t>
            </w:r>
          </w:p>
        </w:tc>
      </w:tr>
      <w:tr w:rsidR="0044774F" w:rsidRPr="008567A3" w14:paraId="7ACA1D28" w14:textId="77777777" w:rsidTr="00D64A75">
        <w:trPr>
          <w:trHeight w:val="20"/>
          <w:jc w:val="center"/>
        </w:trPr>
        <w:tc>
          <w:tcPr>
            <w:tcW w:w="3690" w:type="dxa"/>
            <w:tcBorders>
              <w:top w:val="single" w:sz="4" w:space="0" w:color="auto"/>
            </w:tcBorders>
            <w:shd w:val="clear" w:color="auto" w:fill="auto"/>
            <w:noWrap/>
            <w:vAlign w:val="bottom"/>
            <w:hideMark/>
          </w:tcPr>
          <w:p w14:paraId="12EE0E81"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DCF-Based ROE Average</w:t>
            </w:r>
          </w:p>
        </w:tc>
        <w:tc>
          <w:tcPr>
            <w:tcW w:w="1020" w:type="dxa"/>
            <w:tcBorders>
              <w:top w:val="single" w:sz="4" w:space="0" w:color="auto"/>
            </w:tcBorders>
            <w:shd w:val="clear" w:color="auto" w:fill="auto"/>
            <w:noWrap/>
            <w:vAlign w:val="bottom"/>
            <w:hideMark/>
          </w:tcPr>
          <w:p w14:paraId="51AF2ADA"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40" w:type="dxa"/>
            <w:tcBorders>
              <w:top w:val="single" w:sz="4" w:space="0" w:color="auto"/>
            </w:tcBorders>
            <w:shd w:val="clear" w:color="auto" w:fill="auto"/>
            <w:noWrap/>
            <w:vAlign w:val="bottom"/>
            <w:hideMark/>
          </w:tcPr>
          <w:p w14:paraId="480BCBAE"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02" w:type="dxa"/>
            <w:gridSpan w:val="2"/>
            <w:tcBorders>
              <w:top w:val="single" w:sz="4" w:space="0" w:color="auto"/>
            </w:tcBorders>
            <w:shd w:val="clear" w:color="auto" w:fill="auto"/>
            <w:noWrap/>
            <w:vAlign w:val="center"/>
            <w:hideMark/>
          </w:tcPr>
          <w:p w14:paraId="0791ADED"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8.9</w:t>
            </w:r>
          </w:p>
        </w:tc>
      </w:tr>
      <w:tr w:rsidR="0044774F" w:rsidRPr="008567A3" w14:paraId="0F37C9C9" w14:textId="77777777" w:rsidTr="00D64A75">
        <w:trPr>
          <w:trHeight w:val="20"/>
          <w:jc w:val="center"/>
        </w:trPr>
        <w:tc>
          <w:tcPr>
            <w:tcW w:w="3690" w:type="dxa"/>
            <w:shd w:val="clear" w:color="auto" w:fill="auto"/>
            <w:noWrap/>
            <w:vAlign w:val="bottom"/>
            <w:hideMark/>
          </w:tcPr>
          <w:p w14:paraId="36CD9359"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All-Model ROE Average</w:t>
            </w:r>
          </w:p>
        </w:tc>
        <w:tc>
          <w:tcPr>
            <w:tcW w:w="1020" w:type="dxa"/>
            <w:shd w:val="clear" w:color="auto" w:fill="auto"/>
            <w:noWrap/>
            <w:vAlign w:val="bottom"/>
            <w:hideMark/>
          </w:tcPr>
          <w:p w14:paraId="079A9514"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40" w:type="dxa"/>
            <w:shd w:val="clear" w:color="auto" w:fill="auto"/>
            <w:noWrap/>
            <w:vAlign w:val="bottom"/>
            <w:hideMark/>
          </w:tcPr>
          <w:p w14:paraId="5055C847"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02" w:type="dxa"/>
            <w:gridSpan w:val="2"/>
            <w:shd w:val="clear" w:color="auto" w:fill="auto"/>
            <w:noWrap/>
            <w:vAlign w:val="center"/>
            <w:hideMark/>
          </w:tcPr>
          <w:p w14:paraId="05F1257C"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9.1</w:t>
            </w:r>
          </w:p>
        </w:tc>
      </w:tr>
      <w:tr w:rsidR="0044774F" w:rsidRPr="008567A3" w14:paraId="5DF6B4A0" w14:textId="77777777" w:rsidTr="00D64A75">
        <w:trPr>
          <w:trHeight w:val="20"/>
          <w:jc w:val="center"/>
        </w:trPr>
        <w:tc>
          <w:tcPr>
            <w:tcW w:w="3690" w:type="dxa"/>
            <w:tcBorders>
              <w:right w:val="nil"/>
            </w:tcBorders>
            <w:shd w:val="clear" w:color="auto" w:fill="auto"/>
            <w:noWrap/>
            <w:vAlign w:val="bottom"/>
            <w:hideMark/>
          </w:tcPr>
          <w:p w14:paraId="6A44DF49"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 </w:t>
            </w:r>
          </w:p>
        </w:tc>
        <w:tc>
          <w:tcPr>
            <w:tcW w:w="1020" w:type="dxa"/>
            <w:tcBorders>
              <w:left w:val="nil"/>
              <w:right w:val="nil"/>
            </w:tcBorders>
            <w:shd w:val="clear" w:color="auto" w:fill="auto"/>
            <w:noWrap/>
            <w:vAlign w:val="bottom"/>
            <w:hideMark/>
          </w:tcPr>
          <w:p w14:paraId="6F36E75B" w14:textId="77777777" w:rsidR="0044774F" w:rsidRPr="00A8711C" w:rsidRDefault="0044774F" w:rsidP="00A8362B">
            <w:pPr>
              <w:keepNext/>
              <w:spacing w:before="60" w:after="60" w:line="240" w:lineRule="auto"/>
              <w:jc w:val="center"/>
              <w:rPr>
                <w:rFonts w:ascii="Verdana" w:eastAsia="Times New Roman" w:hAnsi="Verdana" w:cs="Calibri"/>
                <w:b/>
                <w:bCs/>
                <w:sz w:val="19"/>
                <w:szCs w:val="19"/>
                <w:u w:val="single"/>
              </w:rPr>
            </w:pPr>
            <w:r w:rsidRPr="00A8711C">
              <w:rPr>
                <w:rFonts w:ascii="Verdana" w:eastAsia="Times New Roman" w:hAnsi="Verdana" w:cs="Calibri"/>
                <w:b/>
                <w:bCs/>
                <w:sz w:val="19"/>
                <w:szCs w:val="19"/>
                <w:u w:val="single"/>
              </w:rPr>
              <w:t>Min</w:t>
            </w:r>
          </w:p>
        </w:tc>
        <w:tc>
          <w:tcPr>
            <w:tcW w:w="1140" w:type="dxa"/>
            <w:tcBorders>
              <w:left w:val="nil"/>
              <w:right w:val="nil"/>
            </w:tcBorders>
            <w:shd w:val="clear" w:color="auto" w:fill="auto"/>
            <w:noWrap/>
            <w:vAlign w:val="bottom"/>
            <w:hideMark/>
          </w:tcPr>
          <w:p w14:paraId="28568738" w14:textId="77777777" w:rsidR="0044774F" w:rsidRPr="00A8711C" w:rsidRDefault="0044774F" w:rsidP="00A8362B">
            <w:pPr>
              <w:keepNext/>
              <w:spacing w:before="60" w:after="60" w:line="240" w:lineRule="auto"/>
              <w:jc w:val="center"/>
              <w:rPr>
                <w:rFonts w:ascii="Verdana" w:eastAsia="Times New Roman" w:hAnsi="Verdana" w:cs="Calibri"/>
                <w:b/>
                <w:bCs/>
                <w:sz w:val="19"/>
                <w:szCs w:val="19"/>
                <w:u w:val="single"/>
              </w:rPr>
            </w:pPr>
            <w:r w:rsidRPr="00A8711C">
              <w:rPr>
                <w:rFonts w:ascii="Verdana" w:eastAsia="Times New Roman" w:hAnsi="Verdana" w:cs="Calibri"/>
                <w:b/>
                <w:bCs/>
                <w:sz w:val="19"/>
                <w:szCs w:val="19"/>
                <w:u w:val="single"/>
              </w:rPr>
              <w:t>Max</w:t>
            </w:r>
          </w:p>
        </w:tc>
        <w:tc>
          <w:tcPr>
            <w:tcW w:w="1102" w:type="dxa"/>
            <w:gridSpan w:val="2"/>
            <w:tcBorders>
              <w:left w:val="nil"/>
            </w:tcBorders>
            <w:shd w:val="clear" w:color="auto" w:fill="auto"/>
            <w:noWrap/>
            <w:vAlign w:val="center"/>
            <w:hideMark/>
          </w:tcPr>
          <w:p w14:paraId="1A8E3E3F"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p>
        </w:tc>
      </w:tr>
      <w:tr w:rsidR="0044774F" w:rsidRPr="008567A3" w14:paraId="26C3C749" w14:textId="77777777" w:rsidTr="00D64A75">
        <w:trPr>
          <w:trHeight w:val="20"/>
          <w:jc w:val="center"/>
        </w:trPr>
        <w:tc>
          <w:tcPr>
            <w:tcW w:w="3690" w:type="dxa"/>
            <w:tcBorders>
              <w:top w:val="nil"/>
            </w:tcBorders>
            <w:shd w:val="clear" w:color="auto" w:fill="auto"/>
            <w:noWrap/>
            <w:vAlign w:val="bottom"/>
            <w:hideMark/>
          </w:tcPr>
          <w:p w14:paraId="5C7C51BD"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Recommended ROE Range</w:t>
            </w:r>
          </w:p>
        </w:tc>
        <w:tc>
          <w:tcPr>
            <w:tcW w:w="1020" w:type="dxa"/>
            <w:tcBorders>
              <w:top w:val="nil"/>
            </w:tcBorders>
            <w:shd w:val="clear" w:color="auto" w:fill="auto"/>
            <w:noWrap/>
            <w:vAlign w:val="bottom"/>
            <w:hideMark/>
          </w:tcPr>
          <w:p w14:paraId="2858A3EA"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8.9</w:t>
            </w:r>
          </w:p>
        </w:tc>
        <w:tc>
          <w:tcPr>
            <w:tcW w:w="1140" w:type="dxa"/>
            <w:tcBorders>
              <w:top w:val="nil"/>
            </w:tcBorders>
            <w:shd w:val="clear" w:color="auto" w:fill="auto"/>
            <w:noWrap/>
            <w:vAlign w:val="bottom"/>
            <w:hideMark/>
          </w:tcPr>
          <w:p w14:paraId="6B952331"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9.1</w:t>
            </w:r>
          </w:p>
        </w:tc>
        <w:tc>
          <w:tcPr>
            <w:tcW w:w="1102" w:type="dxa"/>
            <w:gridSpan w:val="2"/>
            <w:tcBorders>
              <w:top w:val="nil"/>
            </w:tcBorders>
            <w:shd w:val="clear" w:color="auto" w:fill="auto"/>
            <w:noWrap/>
            <w:vAlign w:val="center"/>
            <w:hideMark/>
          </w:tcPr>
          <w:p w14:paraId="5374112D"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9.0</w:t>
            </w:r>
          </w:p>
        </w:tc>
      </w:tr>
      <w:tr w:rsidR="0044774F" w:rsidRPr="008567A3" w14:paraId="273813D3" w14:textId="77777777" w:rsidTr="00D64A75">
        <w:trPr>
          <w:trHeight w:val="20"/>
          <w:jc w:val="center"/>
        </w:trPr>
        <w:tc>
          <w:tcPr>
            <w:tcW w:w="3690" w:type="dxa"/>
            <w:tcBorders>
              <w:bottom w:val="single" w:sz="12" w:space="0" w:color="auto"/>
            </w:tcBorders>
            <w:shd w:val="clear" w:color="auto" w:fill="auto"/>
            <w:noWrap/>
            <w:vAlign w:val="bottom"/>
            <w:hideMark/>
          </w:tcPr>
          <w:p w14:paraId="3FC1107D" w14:textId="77777777" w:rsidR="0044774F" w:rsidRPr="008567A3" w:rsidRDefault="0044774F" w:rsidP="00A8362B">
            <w:pPr>
              <w:keepNext/>
              <w:spacing w:before="60" w:after="60" w:line="240" w:lineRule="auto"/>
              <w:rPr>
                <w:rFonts w:ascii="Verdana" w:eastAsia="Times New Roman" w:hAnsi="Verdana" w:cs="Calibri"/>
                <w:b/>
                <w:bCs/>
                <w:sz w:val="19"/>
                <w:szCs w:val="19"/>
              </w:rPr>
            </w:pPr>
            <w:r w:rsidRPr="008567A3">
              <w:rPr>
                <w:rFonts w:ascii="Verdana" w:eastAsia="Times New Roman" w:hAnsi="Verdana" w:cs="Calibri"/>
                <w:b/>
                <w:bCs/>
                <w:sz w:val="19"/>
                <w:szCs w:val="19"/>
              </w:rPr>
              <w:t>Recommended ROE (%)</w:t>
            </w:r>
          </w:p>
        </w:tc>
        <w:tc>
          <w:tcPr>
            <w:tcW w:w="1020" w:type="dxa"/>
            <w:tcBorders>
              <w:bottom w:val="single" w:sz="12" w:space="0" w:color="auto"/>
            </w:tcBorders>
            <w:shd w:val="clear" w:color="auto" w:fill="auto"/>
            <w:noWrap/>
            <w:vAlign w:val="bottom"/>
            <w:hideMark/>
          </w:tcPr>
          <w:p w14:paraId="6CA2647F"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40" w:type="dxa"/>
            <w:tcBorders>
              <w:bottom w:val="single" w:sz="12" w:space="0" w:color="auto"/>
            </w:tcBorders>
            <w:shd w:val="clear" w:color="auto" w:fill="auto"/>
            <w:noWrap/>
            <w:vAlign w:val="bottom"/>
            <w:hideMark/>
          </w:tcPr>
          <w:p w14:paraId="2CF65B37"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 </w:t>
            </w:r>
          </w:p>
        </w:tc>
        <w:tc>
          <w:tcPr>
            <w:tcW w:w="1102" w:type="dxa"/>
            <w:gridSpan w:val="2"/>
            <w:tcBorders>
              <w:bottom w:val="single" w:sz="12" w:space="0" w:color="auto"/>
            </w:tcBorders>
            <w:shd w:val="clear" w:color="auto" w:fill="auto"/>
            <w:noWrap/>
            <w:vAlign w:val="center"/>
            <w:hideMark/>
          </w:tcPr>
          <w:p w14:paraId="02162939" w14:textId="77777777" w:rsidR="0044774F" w:rsidRPr="00A8711C" w:rsidRDefault="0044774F" w:rsidP="00A8362B">
            <w:pPr>
              <w:keepNext/>
              <w:spacing w:before="60" w:after="60" w:line="240" w:lineRule="auto"/>
              <w:jc w:val="center"/>
              <w:rPr>
                <w:rFonts w:ascii="Verdana" w:eastAsia="Times New Roman" w:hAnsi="Verdana" w:cs="Calibri"/>
                <w:b/>
                <w:bCs/>
                <w:sz w:val="19"/>
                <w:szCs w:val="19"/>
              </w:rPr>
            </w:pPr>
            <w:r w:rsidRPr="00A8711C">
              <w:rPr>
                <w:rFonts w:ascii="Verdana" w:eastAsia="Times New Roman" w:hAnsi="Verdana" w:cs="Calibri"/>
                <w:b/>
                <w:bCs/>
                <w:sz w:val="19"/>
                <w:szCs w:val="19"/>
              </w:rPr>
              <w:t>9.1</w:t>
            </w:r>
          </w:p>
        </w:tc>
      </w:tr>
    </w:tbl>
    <w:p w14:paraId="2D5D4E43" w14:textId="77777777" w:rsidR="0044774F" w:rsidRPr="0044774F" w:rsidRDefault="0044774F" w:rsidP="00E46A8A">
      <w:pPr>
        <w:suppressLineNumbers/>
        <w:spacing w:after="0"/>
      </w:pPr>
    </w:p>
    <w:p w14:paraId="6F902B31" w14:textId="77777777" w:rsidR="00FE513E" w:rsidRPr="00DB5977" w:rsidRDefault="00823379" w:rsidP="00486739">
      <w:pPr>
        <w:pStyle w:val="DirectAnswer"/>
        <w:numPr>
          <w:ilvl w:val="0"/>
          <w:numId w:val="0"/>
        </w:numPr>
        <w:ind w:left="720"/>
        <w:jc w:val="both"/>
        <w:rPr>
          <w:rFonts w:ascii="Verdana" w:hAnsi="Verdana"/>
          <w:sz w:val="20"/>
          <w:szCs w:val="20"/>
        </w:rPr>
      </w:pPr>
      <w:r w:rsidRPr="00DB5977">
        <w:rPr>
          <w:rFonts w:ascii="Verdana" w:hAnsi="Verdana" w:cstheme="minorHAnsi"/>
          <w:sz w:val="20"/>
          <w:szCs w:val="20"/>
        </w:rPr>
        <w:t xml:space="preserve">My results are derived using a proxy group of </w:t>
      </w:r>
      <w:r w:rsidR="007F1764" w:rsidRPr="00DB5977">
        <w:rPr>
          <w:rFonts w:ascii="Verdana" w:hAnsi="Verdana" w:cstheme="minorHAnsi"/>
          <w:sz w:val="20"/>
          <w:szCs w:val="20"/>
        </w:rPr>
        <w:t>electric</w:t>
      </w:r>
      <w:r w:rsidRPr="00DB5977">
        <w:rPr>
          <w:rFonts w:ascii="Verdana" w:hAnsi="Verdana" w:cstheme="minorHAnsi"/>
          <w:sz w:val="20"/>
          <w:szCs w:val="20"/>
        </w:rPr>
        <w:t xml:space="preserve"> utilities representing the opportunity cost of investing in </w:t>
      </w:r>
      <w:r w:rsidR="008952C6" w:rsidRPr="00DB5977">
        <w:rPr>
          <w:rFonts w:ascii="Verdana" w:hAnsi="Verdana" w:cstheme="minorHAnsi"/>
          <w:sz w:val="20"/>
          <w:szCs w:val="20"/>
        </w:rPr>
        <w:t>Georgia Power</w:t>
      </w:r>
      <w:r w:rsidRPr="00DB5977">
        <w:rPr>
          <w:rFonts w:ascii="Verdana" w:hAnsi="Verdana" w:cstheme="minorHAnsi"/>
          <w:sz w:val="20"/>
          <w:szCs w:val="20"/>
        </w:rPr>
        <w:t>’s assets, and best represents the opportunity cost of capital that an investor expects under today’s financial circumstances.</w:t>
      </w:r>
      <w:r w:rsidR="0025065A">
        <w:rPr>
          <w:rFonts w:ascii="Verdana" w:hAnsi="Verdana" w:cstheme="minorHAnsi"/>
          <w:sz w:val="20"/>
          <w:szCs w:val="20"/>
        </w:rPr>
        <w:t xml:space="preserve"> </w:t>
      </w:r>
    </w:p>
    <w:p w14:paraId="08D5E240" w14:textId="77777777" w:rsidR="00823379" w:rsidRPr="00DB5977" w:rsidRDefault="00823379" w:rsidP="00486739">
      <w:pPr>
        <w:pStyle w:val="DirectQuestion"/>
      </w:pPr>
      <w:r w:rsidRPr="00DB5977">
        <w:t xml:space="preserve">Does this conclude your direct testimony? </w:t>
      </w:r>
    </w:p>
    <w:p w14:paraId="10557703" w14:textId="77777777" w:rsidR="00823379" w:rsidRPr="00DB5977" w:rsidRDefault="00823379" w:rsidP="00823379">
      <w:pPr>
        <w:pStyle w:val="DirectAnswer"/>
        <w:jc w:val="both"/>
        <w:rPr>
          <w:rFonts w:ascii="Verdana" w:hAnsi="Verdana" w:cstheme="minorHAnsi"/>
          <w:sz w:val="20"/>
          <w:szCs w:val="20"/>
        </w:rPr>
        <w:sectPr w:rsidR="00823379" w:rsidRPr="00DB5977" w:rsidSect="00DB4E51">
          <w:footerReference w:type="default" r:id="rId15"/>
          <w:footerReference w:type="first" r:id="rId16"/>
          <w:pgSz w:w="12240" w:h="15840" w:code="1"/>
          <w:pgMar w:top="1440" w:right="1440" w:bottom="1440" w:left="1800" w:header="720" w:footer="720" w:gutter="0"/>
          <w:lnNumType w:countBy="1"/>
          <w:pgNumType w:start="1"/>
          <w:cols w:space="720"/>
          <w:docGrid w:linePitch="360"/>
        </w:sectPr>
      </w:pPr>
      <w:r w:rsidRPr="00DB5977">
        <w:rPr>
          <w:rFonts w:ascii="Verdana" w:hAnsi="Verdana" w:cstheme="minorHAnsi"/>
          <w:sz w:val="20"/>
          <w:szCs w:val="20"/>
        </w:rPr>
        <w:t>Yes.</w:t>
      </w:r>
    </w:p>
    <w:p w14:paraId="39C365B0" w14:textId="77777777" w:rsidR="00A37DCE" w:rsidRPr="00DB5977" w:rsidRDefault="00F55FC3" w:rsidP="00CA6D1D">
      <w:pPr>
        <w:jc w:val="center"/>
        <w:rPr>
          <w:rFonts w:ascii="Verdana" w:hAnsi="Verdana" w:cstheme="minorHAnsi"/>
          <w:b/>
          <w:sz w:val="20"/>
          <w:szCs w:val="18"/>
          <w:u w:val="single"/>
        </w:rPr>
      </w:pPr>
      <w:r w:rsidRPr="00DB5977">
        <w:rPr>
          <w:rFonts w:ascii="Verdana" w:hAnsi="Verdana" w:cstheme="minorHAnsi"/>
          <w:b/>
          <w:sz w:val="20"/>
          <w:szCs w:val="18"/>
          <w:u w:val="single"/>
        </w:rPr>
        <w:t>APPENDIX A</w:t>
      </w:r>
      <w:r w:rsidR="00135227" w:rsidRPr="00DB5977">
        <w:rPr>
          <w:rFonts w:ascii="Verdana" w:hAnsi="Verdana" w:cstheme="minorHAnsi"/>
          <w:b/>
          <w:sz w:val="20"/>
          <w:szCs w:val="18"/>
          <w:u w:val="single"/>
        </w:rPr>
        <w:t>:</w:t>
      </w:r>
      <w:r w:rsidRPr="00DB5977">
        <w:rPr>
          <w:rFonts w:ascii="Verdana" w:hAnsi="Verdana" w:cstheme="minorHAnsi"/>
          <w:b/>
          <w:sz w:val="20"/>
          <w:szCs w:val="18"/>
          <w:u w:val="single"/>
        </w:rPr>
        <w:t xml:space="preserve"> CURRICULUM VITAE AND QUALIFICATIONS</w:t>
      </w:r>
      <w:bookmarkEnd w:id="0"/>
      <w:bookmarkEnd w:id="1"/>
    </w:p>
    <w:p w14:paraId="1820E23D" w14:textId="77777777" w:rsidR="00D14328" w:rsidRPr="00DB5977" w:rsidRDefault="00D14328" w:rsidP="00D14328">
      <w:pPr>
        <w:suppressLineNumbers/>
        <w:spacing w:line="240" w:lineRule="auto"/>
        <w:jc w:val="center"/>
        <w:rPr>
          <w:rFonts w:ascii="Verdana" w:hAnsi="Verdana" w:cstheme="minorHAnsi"/>
          <w:b/>
          <w:color w:val="222222"/>
          <w:sz w:val="20"/>
          <w:szCs w:val="20"/>
          <w:shd w:val="clear" w:color="auto" w:fill="FFFFFF"/>
        </w:rPr>
      </w:pPr>
      <w:r w:rsidRPr="00DB5977">
        <w:rPr>
          <w:rFonts w:ascii="Verdana" w:hAnsi="Verdana" w:cstheme="minorHAnsi"/>
          <w:b/>
          <w:color w:val="222222"/>
          <w:sz w:val="20"/>
          <w:szCs w:val="20"/>
          <w:shd w:val="clear" w:color="auto" w:fill="FFFFFF"/>
        </w:rPr>
        <w:t>Maureen L. Reno (</w:t>
      </w:r>
      <w:proofErr w:type="spellStart"/>
      <w:r w:rsidRPr="00DB5977">
        <w:rPr>
          <w:rFonts w:ascii="Verdana" w:hAnsi="Verdana" w:cstheme="minorHAnsi"/>
          <w:b/>
          <w:color w:val="222222"/>
          <w:sz w:val="20"/>
          <w:szCs w:val="20"/>
          <w:shd w:val="clear" w:color="auto" w:fill="FFFFFF"/>
        </w:rPr>
        <w:t>Sirois</w:t>
      </w:r>
      <w:proofErr w:type="spellEnd"/>
      <w:r w:rsidRPr="00DB5977">
        <w:rPr>
          <w:rFonts w:ascii="Verdana" w:hAnsi="Verdana" w:cstheme="minorHAnsi"/>
          <w:b/>
          <w:color w:val="222222"/>
          <w:sz w:val="20"/>
          <w:szCs w:val="20"/>
          <w:shd w:val="clear" w:color="auto" w:fill="FFFFFF"/>
        </w:rPr>
        <w:t>)</w:t>
      </w:r>
    </w:p>
    <w:p w14:paraId="53B3B3D7" w14:textId="77777777" w:rsidR="00ED7703" w:rsidRPr="00ED1819" w:rsidRDefault="00ED7703" w:rsidP="00ED7703">
      <w:pPr>
        <w:suppressLineNumbers/>
        <w:spacing w:line="240" w:lineRule="auto"/>
        <w:rPr>
          <w:rFonts w:ascii="Verdana" w:hAnsi="Verdana" w:cstheme="minorHAnsi"/>
          <w:b/>
          <w:color w:val="222222"/>
          <w:sz w:val="20"/>
          <w:szCs w:val="20"/>
          <w:shd w:val="clear" w:color="auto" w:fill="FFFFFF"/>
        </w:rPr>
      </w:pPr>
    </w:p>
    <w:p w14:paraId="300730A0"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lang w:val="en-CA"/>
        </w:rPr>
      </w:pPr>
      <w:r w:rsidRPr="00ED1819">
        <w:rPr>
          <w:rFonts w:ascii="Verdana" w:hAnsi="Verdana" w:cstheme="minorHAnsi"/>
          <w:color w:val="222222"/>
          <w:sz w:val="20"/>
          <w:szCs w:val="20"/>
          <w:shd w:val="clear" w:color="auto" w:fill="FFFFFF"/>
        </w:rPr>
        <w:t>Ms. Reno is an energy economist and founding principal of Reno Energy Consulting Services, L.L.C. (“RECS”), a sole proprietorship located in Derry, New Hampshire.</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rPr>
        <w:t>She brings over eighteen years of regulated utilities and energy sector expertise.</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lang w:val="en-CA"/>
        </w:rPr>
        <w:t>The majority of this time was spent at the New Hampshire Public Utilities Commission (“NHPUC”).</w:t>
      </w:r>
      <w:r>
        <w:rPr>
          <w:rFonts w:ascii="Verdana" w:hAnsi="Verdana" w:cstheme="minorHAnsi"/>
          <w:color w:val="222222"/>
          <w:sz w:val="20"/>
          <w:szCs w:val="20"/>
          <w:shd w:val="clear" w:color="auto" w:fill="FFFFFF"/>
          <w:lang w:val="en-CA"/>
        </w:rPr>
        <w:t xml:space="preserve"> </w:t>
      </w:r>
      <w:r w:rsidRPr="00ED1819">
        <w:rPr>
          <w:rFonts w:ascii="Verdana" w:hAnsi="Verdana" w:cstheme="minorHAnsi"/>
          <w:color w:val="222222"/>
          <w:sz w:val="20"/>
          <w:szCs w:val="20"/>
          <w:shd w:val="clear" w:color="auto" w:fill="FFFFFF"/>
          <w:lang w:val="en-CA"/>
        </w:rPr>
        <w:t>After ten years at the NHPUC, she was employed by the Union of Concerned Scientists (“UCS”) as a Senior Energy Economist.</w:t>
      </w:r>
      <w:r>
        <w:rPr>
          <w:rFonts w:ascii="Verdana" w:hAnsi="Verdana" w:cstheme="minorHAnsi"/>
          <w:color w:val="222222"/>
          <w:sz w:val="20"/>
          <w:szCs w:val="20"/>
          <w:shd w:val="clear" w:color="auto" w:fill="FFFFFF"/>
          <w:lang w:val="en-CA"/>
        </w:rPr>
        <w:t xml:space="preserve"> </w:t>
      </w:r>
      <w:r w:rsidRPr="00ED1819">
        <w:rPr>
          <w:rFonts w:ascii="Verdana" w:hAnsi="Verdana" w:cstheme="minorHAnsi"/>
          <w:color w:val="222222"/>
          <w:sz w:val="20"/>
          <w:szCs w:val="20"/>
          <w:shd w:val="clear" w:color="auto" w:fill="FFFFFF"/>
          <w:lang w:val="en-CA"/>
        </w:rPr>
        <w:t xml:space="preserve">Since leaving UCS in 2012, she has provided independent consulting services to Exeter Associates, Inc. (“Exeter”); Stephenson Strategic Communications, LLC; </w:t>
      </w:r>
      <w:proofErr w:type="spellStart"/>
      <w:r w:rsidRPr="00ED1819">
        <w:rPr>
          <w:rFonts w:ascii="Verdana" w:hAnsi="Verdana" w:cstheme="minorHAnsi"/>
          <w:color w:val="222222"/>
          <w:sz w:val="20"/>
          <w:szCs w:val="20"/>
          <w:shd w:val="clear" w:color="auto" w:fill="FFFFFF"/>
          <w:lang w:val="en-CA"/>
        </w:rPr>
        <w:t>TAHOEconomics</w:t>
      </w:r>
      <w:proofErr w:type="spellEnd"/>
      <w:r w:rsidRPr="00ED1819">
        <w:rPr>
          <w:rFonts w:ascii="Verdana" w:hAnsi="Verdana" w:cstheme="minorHAnsi"/>
          <w:color w:val="222222"/>
          <w:sz w:val="20"/>
          <w:szCs w:val="20"/>
          <w:shd w:val="clear" w:color="auto" w:fill="FFFFFF"/>
          <w:lang w:val="en-CA"/>
        </w:rPr>
        <w:t xml:space="preserve">, LLC; and </w:t>
      </w:r>
      <w:proofErr w:type="spellStart"/>
      <w:r w:rsidRPr="00ED1819">
        <w:rPr>
          <w:rFonts w:ascii="Verdana" w:hAnsi="Verdana" w:cstheme="minorHAnsi"/>
          <w:color w:val="222222"/>
          <w:sz w:val="20"/>
          <w:szCs w:val="20"/>
          <w:shd w:val="clear" w:color="auto" w:fill="FFFFFF"/>
          <w:lang w:val="en-CA"/>
        </w:rPr>
        <w:t>TrueLight</w:t>
      </w:r>
      <w:proofErr w:type="spellEnd"/>
      <w:r w:rsidRPr="00ED1819">
        <w:rPr>
          <w:rFonts w:ascii="Verdana" w:hAnsi="Verdana" w:cstheme="minorHAnsi"/>
          <w:color w:val="222222"/>
          <w:sz w:val="20"/>
          <w:szCs w:val="20"/>
          <w:shd w:val="clear" w:color="auto" w:fill="FFFFFF"/>
          <w:lang w:val="en-CA"/>
        </w:rPr>
        <w:t xml:space="preserve"> Energy, LLC. </w:t>
      </w:r>
    </w:p>
    <w:p w14:paraId="1EE124B9"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Ms. Reno served as a senior energy economist at the UCS developing clean energy financing policies and advocating for electricity sector solutions to global warming.</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rPr>
        <w:t xml:space="preserve">Prior to working for UCS, Ms. Reno worked for the Sustainable Energy Division of the NHPUC as the program manager of New Hampshire’s Renewable Portfolio Standard (“RPS”) program helping both owners of distributed generation and load serving entities meet compliance requirements and maneuver the dynamic wholesale energy and renewable energy certificate markets. </w:t>
      </w:r>
    </w:p>
    <w:p w14:paraId="3E4A8255" w14:textId="77777777" w:rsidR="00ED7703" w:rsidRPr="00ED1819" w:rsidRDefault="00ED7703" w:rsidP="00ED7703">
      <w:pPr>
        <w:suppressLineNumbers/>
        <w:spacing w:after="240" w:line="264" w:lineRule="auto"/>
        <w:ind w:firstLine="720"/>
        <w:rPr>
          <w:rFonts w:ascii="Verdana" w:hAnsi="Verdana" w:cstheme="minorHAnsi"/>
          <w:color w:val="222222"/>
          <w:sz w:val="20"/>
          <w:szCs w:val="20"/>
        </w:rPr>
      </w:pPr>
      <w:r w:rsidRPr="00ED1819">
        <w:rPr>
          <w:rFonts w:ascii="Verdana" w:hAnsi="Verdana" w:cstheme="minorHAnsi"/>
          <w:color w:val="222222"/>
          <w:sz w:val="20"/>
          <w:szCs w:val="20"/>
          <w:shd w:val="clear" w:color="auto" w:fill="FFFFFF"/>
        </w:rPr>
        <w:t>She began her career working for the NHPUC’s Electric Division on the development and implementation of the RPS, New Hampshire’s participation in the Regional Greenhouse Gas Initiative, net metering and utilities’ energy efficiency programs.</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rPr>
        <w:t>Ms. Reno also served as staff expert witness on financial issues regarding the regulation of electric, natural gas and water utilities. </w:t>
      </w:r>
    </w:p>
    <w:p w14:paraId="4B76C867"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Ms. Reno also volunteered for the town of Derry, New Hampshire, as Chair of the Energy and Environmental Advisory Committee to the Derry Town Council, educating town administrators and taxpayers on ways to reduce energy costs through investments in energy efficiency measures and renewable energy.</w:t>
      </w:r>
      <w:r>
        <w:rPr>
          <w:rFonts w:ascii="Verdana" w:hAnsi="Verdana" w:cstheme="minorHAnsi"/>
          <w:color w:val="222222"/>
          <w:sz w:val="20"/>
          <w:szCs w:val="20"/>
          <w:shd w:val="clear" w:color="auto" w:fill="FFFFFF"/>
        </w:rPr>
        <w:t xml:space="preserve"> </w:t>
      </w:r>
    </w:p>
    <w:p w14:paraId="26F2E2DF"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t>Education</w:t>
      </w:r>
    </w:p>
    <w:p w14:paraId="4EF65B7A" w14:textId="77777777" w:rsidR="00ED7703" w:rsidRPr="00ED1819" w:rsidRDefault="00ED7703" w:rsidP="00ED7703">
      <w:pPr>
        <w:suppressLineNumbers/>
        <w:spacing w:line="240"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Completed all course work and exam requirements towards the Doctorate of Philosophy in Economics – University of New Hampshire, Durham.</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rPr>
        <w:br/>
        <w:t xml:space="preserve">Fields of Specialization: Industrial Organization and Environmental Economics </w:t>
      </w:r>
    </w:p>
    <w:p w14:paraId="5C2048AF" w14:textId="77777777" w:rsidR="00ED7703" w:rsidRPr="00ED1819" w:rsidRDefault="00ED7703" w:rsidP="00ED7703">
      <w:pPr>
        <w:suppressLineNumbers/>
        <w:spacing w:line="240"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Master of Arts in Economics – University of New Hampshire, Durham, 1998</w:t>
      </w:r>
    </w:p>
    <w:p w14:paraId="5D915AF5" w14:textId="77777777" w:rsidR="00ED7703" w:rsidRPr="00ED1819" w:rsidRDefault="00ED7703" w:rsidP="00ED7703">
      <w:pPr>
        <w:suppressLineNumbers/>
        <w:spacing w:line="240"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Bachelor of Arts in Economics – University of Maine, </w:t>
      </w:r>
      <w:proofErr w:type="spellStart"/>
      <w:r w:rsidRPr="00ED1819">
        <w:rPr>
          <w:rFonts w:ascii="Verdana" w:hAnsi="Verdana" w:cstheme="minorHAnsi"/>
          <w:color w:val="222222"/>
          <w:sz w:val="20"/>
          <w:szCs w:val="20"/>
          <w:shd w:val="clear" w:color="auto" w:fill="FFFFFF"/>
        </w:rPr>
        <w:t>Orono</w:t>
      </w:r>
      <w:proofErr w:type="spellEnd"/>
      <w:r w:rsidRPr="00ED1819">
        <w:rPr>
          <w:rFonts w:ascii="Verdana" w:hAnsi="Verdana" w:cstheme="minorHAnsi"/>
          <w:color w:val="222222"/>
          <w:sz w:val="20"/>
          <w:szCs w:val="20"/>
          <w:shd w:val="clear" w:color="auto" w:fill="FFFFFF"/>
        </w:rPr>
        <w:t>, 1996</w:t>
      </w:r>
    </w:p>
    <w:p w14:paraId="2C5B4CBC"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p>
    <w:p w14:paraId="459B9912" w14:textId="77777777" w:rsidR="00ED7703" w:rsidRPr="00ED1819" w:rsidRDefault="00ED7703" w:rsidP="00ED7703">
      <w:pPr>
        <w:spacing w:after="160" w:line="259"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br w:type="page"/>
      </w:r>
    </w:p>
    <w:p w14:paraId="7D4C1A08"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t>Previous Employment</w:t>
      </w:r>
    </w:p>
    <w:p w14:paraId="6B8FA495"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t>2011-2012</w:t>
      </w:r>
      <w:r w:rsidRPr="00ED1819">
        <w:rPr>
          <w:rFonts w:ascii="Verdana" w:hAnsi="Verdana" w:cstheme="minorHAnsi"/>
          <w:color w:val="222222"/>
          <w:sz w:val="20"/>
          <w:szCs w:val="20"/>
          <w:shd w:val="clear" w:color="auto" w:fill="FFFFFF"/>
        </w:rPr>
        <w:tab/>
        <w:t>Union of Concerned Scientists</w:t>
      </w:r>
    </w:p>
    <w:p w14:paraId="00A9D5C1" w14:textId="77777777" w:rsidR="00ED7703" w:rsidRPr="00ED1819" w:rsidRDefault="00ED7703" w:rsidP="00ED7703">
      <w:pPr>
        <w:suppressLineNumbers/>
        <w:spacing w:after="0" w:line="240" w:lineRule="auto"/>
        <w:ind w:left="1440"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Senior Energy Economist</w:t>
      </w:r>
    </w:p>
    <w:p w14:paraId="0E79F6B4" w14:textId="77777777" w:rsidR="00ED7703" w:rsidRPr="00ED1819" w:rsidRDefault="00ED7703" w:rsidP="00ED7703">
      <w:pPr>
        <w:suppressLineNumbers/>
        <w:spacing w:after="0" w:line="240" w:lineRule="auto"/>
        <w:ind w:left="1440" w:firstLine="720"/>
        <w:rPr>
          <w:rFonts w:ascii="Verdana" w:hAnsi="Verdana" w:cstheme="minorHAnsi"/>
          <w:color w:val="222222"/>
          <w:sz w:val="20"/>
          <w:szCs w:val="20"/>
          <w:shd w:val="clear" w:color="auto" w:fill="FFFFFF"/>
        </w:rPr>
      </w:pPr>
    </w:p>
    <w:p w14:paraId="77FA0399"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t>2001-2011</w:t>
      </w:r>
      <w:r w:rsidRPr="00ED1819">
        <w:rPr>
          <w:rFonts w:ascii="Verdana" w:hAnsi="Verdana" w:cstheme="minorHAnsi"/>
          <w:color w:val="222222"/>
          <w:sz w:val="20"/>
          <w:szCs w:val="20"/>
          <w:shd w:val="clear" w:color="auto" w:fill="FFFFFF"/>
        </w:rPr>
        <w:tab/>
        <w:t>New Hampshire Public Utilities Commission</w:t>
      </w:r>
    </w:p>
    <w:p w14:paraId="4D68F05E"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t>Analyst and Program Manager</w:t>
      </w:r>
    </w:p>
    <w:p w14:paraId="4DDA180B"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t>Utility Analyst</w:t>
      </w:r>
    </w:p>
    <w:p w14:paraId="42D94C4A"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t>Economist</w:t>
      </w:r>
    </w:p>
    <w:p w14:paraId="25509B1C"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p>
    <w:p w14:paraId="205B4E0D"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t>1999-2002</w:t>
      </w:r>
      <w:r w:rsidRPr="00ED1819">
        <w:rPr>
          <w:rFonts w:ascii="Verdana" w:hAnsi="Verdana" w:cstheme="minorHAnsi"/>
          <w:color w:val="222222"/>
          <w:sz w:val="20"/>
          <w:szCs w:val="20"/>
          <w:shd w:val="clear" w:color="auto" w:fill="FFFFFF"/>
        </w:rPr>
        <w:tab/>
        <w:t>New Hampshire Small Business Development Center</w:t>
      </w:r>
    </w:p>
    <w:p w14:paraId="69CE0A22"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t>Survey Manager</w:t>
      </w:r>
    </w:p>
    <w:p w14:paraId="2067AA26"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p>
    <w:p w14:paraId="43F72795"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t>1999-2001</w:t>
      </w:r>
      <w:r w:rsidRPr="00ED1819">
        <w:rPr>
          <w:rFonts w:ascii="Verdana" w:hAnsi="Verdana" w:cstheme="minorHAnsi"/>
          <w:color w:val="222222"/>
          <w:sz w:val="20"/>
          <w:szCs w:val="20"/>
          <w:shd w:val="clear" w:color="auto" w:fill="FFFFFF"/>
        </w:rPr>
        <w:tab/>
        <w:t>University of New Hampshire</w:t>
      </w:r>
    </w:p>
    <w:p w14:paraId="7BB6464F"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t>Adjunct Instructor</w:t>
      </w:r>
    </w:p>
    <w:p w14:paraId="1AB433F8" w14:textId="77777777" w:rsidR="00ED7703" w:rsidRPr="00ED1819" w:rsidRDefault="00ED7703" w:rsidP="00ED7703">
      <w:pPr>
        <w:suppressLineNumbers/>
        <w:spacing w:after="0" w:line="240" w:lineRule="auto"/>
        <w:rPr>
          <w:rFonts w:ascii="Verdana" w:hAnsi="Verdana" w:cstheme="minorHAnsi"/>
          <w:color w:val="222222"/>
          <w:sz w:val="20"/>
          <w:szCs w:val="20"/>
          <w:shd w:val="clear" w:color="auto" w:fill="FFFFFF"/>
        </w:rPr>
      </w:pPr>
    </w:p>
    <w:p w14:paraId="0E3A80E5"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t>Professional Work</w:t>
      </w:r>
    </w:p>
    <w:p w14:paraId="756F95D3"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As an independent consultant for Exeter, Ms. Reno:</w:t>
      </w:r>
    </w:p>
    <w:p w14:paraId="54D3A82D" w14:textId="77777777"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 xml:space="preserve">Preparing the financial analysis and ratepayer impacts of a long-term contract requirement under Maryland’s RPS for the Power Plant Research Program (PPRP) on behalf of the Maryland Department of Natural Resources. </w:t>
      </w:r>
    </w:p>
    <w:p w14:paraId="56E7AF2C" w14:textId="77777777"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 xml:space="preserve">Evaluated utility proposals for deployment, cost-benefit analysis, and cost recovery of Maryland’s Statewide Electric Vehicle Portfolio on behalf of the Maryland Energy Administration through the PPRP in Case No. 9478 In the Matter of the Petition of the Electric Vehicle Work Group for Implementation of a Statewide Electric Vehicle Portfolio. </w:t>
      </w:r>
    </w:p>
    <w:p w14:paraId="1138093F" w14:textId="365798E1"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bookmarkStart w:id="43" w:name="_Hlk21456887"/>
      <w:r w:rsidRPr="00ED1819">
        <w:rPr>
          <w:rFonts w:ascii="Verdana" w:eastAsia="Times New Roman" w:hAnsi="Verdana" w:cstheme="minorHAnsi"/>
          <w:sz w:val="20"/>
          <w:szCs w:val="20"/>
          <w:lang w:eastAsia="ar-SA"/>
        </w:rPr>
        <w:t xml:space="preserve">Provided written and oral testimony on behalf of large federal executive agencies, such as the U.S. Department of Defense and the U.S. Department of Energy, in electric utility rate cases before the Corporation Commission of Oklahoma, the Public Utility Commission of Texas and the Missouri Public Service Commission. Assessed each utility’s weighted average cost of capital and estimated the rate of return on equity using discounted cash flow, risk premium, </w:t>
      </w:r>
      <w:r w:rsidR="00C6574F">
        <w:rPr>
          <w:rFonts w:ascii="Verdana" w:eastAsia="Times New Roman" w:hAnsi="Verdana" w:cstheme="minorHAnsi"/>
          <w:sz w:val="20"/>
          <w:szCs w:val="20"/>
          <w:lang w:eastAsia="ar-SA"/>
        </w:rPr>
        <w:t>comparable earnings</w:t>
      </w:r>
      <w:r w:rsidR="00D31145">
        <w:rPr>
          <w:rFonts w:ascii="Verdana" w:eastAsia="Times New Roman" w:hAnsi="Verdana" w:cstheme="minorHAnsi"/>
          <w:sz w:val="20"/>
          <w:szCs w:val="20"/>
          <w:lang w:eastAsia="ar-SA"/>
        </w:rPr>
        <w:t xml:space="preserve">, </w:t>
      </w:r>
      <w:r w:rsidRPr="00ED1819">
        <w:rPr>
          <w:rFonts w:ascii="Verdana" w:eastAsia="Times New Roman" w:hAnsi="Verdana" w:cstheme="minorHAnsi"/>
          <w:sz w:val="20"/>
          <w:szCs w:val="20"/>
          <w:lang w:eastAsia="ar-SA"/>
        </w:rPr>
        <w:t>and capital asset pricing models.</w:t>
      </w:r>
      <w:r>
        <w:rPr>
          <w:rFonts w:ascii="Verdana" w:eastAsia="Times New Roman" w:hAnsi="Verdana" w:cstheme="minorHAnsi"/>
          <w:sz w:val="20"/>
          <w:szCs w:val="20"/>
          <w:lang w:eastAsia="ar-SA"/>
        </w:rPr>
        <w:t xml:space="preserve"> </w:t>
      </w:r>
    </w:p>
    <w:bookmarkEnd w:id="43"/>
    <w:p w14:paraId="2DC77CB2" w14:textId="77777777"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Conducted research and drafted sections of regional energy market operations manuals for the US Department of Energy’s Federal Energy Management Program. The reports focused on how federal facilities were pursuing renewable energy development under the different market constructs, such as by vertically integrated electric utilities, electric utilities with the PJM footprint, and electric utilities in California, and how those market constructs affected the prospects for future renewable energy development.</w:t>
      </w:r>
      <w:r>
        <w:rPr>
          <w:rFonts w:ascii="Verdana" w:eastAsia="Times New Roman" w:hAnsi="Verdana" w:cstheme="minorHAnsi"/>
          <w:sz w:val="20"/>
          <w:szCs w:val="20"/>
          <w:lang w:eastAsia="ar-SA"/>
        </w:rPr>
        <w:t xml:space="preserve"> </w:t>
      </w:r>
    </w:p>
    <w:p w14:paraId="59078517" w14:textId="77777777" w:rsidR="00ED7703" w:rsidRPr="00ED1819" w:rsidRDefault="00ED7703" w:rsidP="00ED7703">
      <w:pPr>
        <w:suppressLineNumbers/>
        <w:spacing w:after="240" w:line="264"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As an independent consultant for </w:t>
      </w:r>
      <w:proofErr w:type="spellStart"/>
      <w:r w:rsidRPr="00ED1819">
        <w:rPr>
          <w:rFonts w:ascii="Verdana" w:hAnsi="Verdana" w:cstheme="minorHAnsi"/>
          <w:color w:val="222222"/>
          <w:sz w:val="20"/>
          <w:szCs w:val="20"/>
          <w:shd w:val="clear" w:color="auto" w:fill="FFFFFF"/>
        </w:rPr>
        <w:t>TAHOEconomics</w:t>
      </w:r>
      <w:proofErr w:type="spellEnd"/>
      <w:r w:rsidRPr="00ED1819">
        <w:rPr>
          <w:rFonts w:ascii="Verdana" w:hAnsi="Verdana" w:cstheme="minorHAnsi"/>
          <w:color w:val="222222"/>
          <w:sz w:val="20"/>
          <w:szCs w:val="20"/>
          <w:shd w:val="clear" w:color="auto" w:fill="FFFFFF"/>
        </w:rPr>
        <w:t>, LLC and as the found and principal for RECS, Ms. Reno:</w:t>
      </w:r>
    </w:p>
    <w:p w14:paraId="1089A7B0" w14:textId="1A4B4AB2"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 xml:space="preserve">Provided written and oral testimony and legal briefs on behalf of the City of Clovis, New Mexico, in a water utility rate case before the New Mexico Public Regulation Commission. Assessed EPCOR Water New Mexico Inc.’s weighted average cost of capital and estimated the rate of return on equity using discounted cash flow, risk premium, </w:t>
      </w:r>
      <w:r w:rsidR="00014A5F">
        <w:rPr>
          <w:rFonts w:ascii="Verdana" w:eastAsia="Times New Roman" w:hAnsi="Verdana" w:cstheme="minorHAnsi"/>
          <w:sz w:val="20"/>
          <w:szCs w:val="20"/>
          <w:lang w:eastAsia="ar-SA"/>
        </w:rPr>
        <w:t xml:space="preserve">comparable earnings, </w:t>
      </w:r>
      <w:r w:rsidRPr="00ED1819">
        <w:rPr>
          <w:rFonts w:ascii="Verdana" w:eastAsia="Times New Roman" w:hAnsi="Verdana" w:cstheme="minorHAnsi"/>
          <w:sz w:val="20"/>
          <w:szCs w:val="20"/>
          <w:lang w:eastAsia="ar-SA"/>
        </w:rPr>
        <w:t>and capital asset pricing models.</w:t>
      </w:r>
      <w:r>
        <w:rPr>
          <w:rFonts w:ascii="Verdana" w:eastAsia="Times New Roman" w:hAnsi="Verdana" w:cstheme="minorHAnsi"/>
          <w:sz w:val="20"/>
          <w:szCs w:val="20"/>
          <w:lang w:eastAsia="ar-SA"/>
        </w:rPr>
        <w:t xml:space="preserve"> </w:t>
      </w:r>
    </w:p>
    <w:p w14:paraId="0BF2C6BC" w14:textId="77777777" w:rsidR="00ED7703" w:rsidRPr="00ED1819" w:rsidRDefault="00ED7703" w:rsidP="00ED7703">
      <w:pPr>
        <w:suppressLineNumbers/>
        <w:spacing w:after="240" w:line="264"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As an independent consultant for Stephenson Strategic Communications, LLC, </w:t>
      </w:r>
      <w:proofErr w:type="gramStart"/>
      <w:r w:rsidRPr="00ED1819">
        <w:rPr>
          <w:rFonts w:ascii="Verdana" w:hAnsi="Verdana" w:cstheme="minorHAnsi"/>
          <w:color w:val="222222"/>
          <w:sz w:val="20"/>
          <w:szCs w:val="20"/>
          <w:shd w:val="clear" w:color="auto" w:fill="FFFFFF"/>
        </w:rPr>
        <w:t>Ms</w:t>
      </w:r>
      <w:proofErr w:type="gramEnd"/>
      <w:r w:rsidRPr="00ED1819">
        <w:rPr>
          <w:rFonts w:ascii="Verdana" w:hAnsi="Verdana" w:cstheme="minorHAnsi"/>
          <w:color w:val="222222"/>
          <w:sz w:val="20"/>
          <w:szCs w:val="20"/>
          <w:shd w:val="clear" w:color="auto" w:fill="FFFFFF"/>
        </w:rPr>
        <w:t>. Reno:</w:t>
      </w:r>
    </w:p>
    <w:p w14:paraId="7BBECBD2" w14:textId="77777777" w:rsidR="00ED7703" w:rsidRPr="00ED1819" w:rsidRDefault="00ED7703" w:rsidP="00ED7703">
      <w:pPr>
        <w:numPr>
          <w:ilvl w:val="0"/>
          <w:numId w:val="4"/>
        </w:numPr>
        <w:suppressLineNumbers/>
        <w:suppressAutoHyphens/>
        <w:spacing w:after="24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Provided consulting services to build support in New Hampshire for strong national climate and energy policies on behalf of a nationally recognized, non-profit environmental organization.</w:t>
      </w:r>
    </w:p>
    <w:p w14:paraId="619E39F6" w14:textId="77777777"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 xml:space="preserve">Mobilized experts and leaders in New Hampshire to engage elected federal, state and locals official through targeted Senator </w:t>
      </w:r>
      <w:proofErr w:type="gramStart"/>
      <w:r w:rsidRPr="00ED1819">
        <w:rPr>
          <w:rFonts w:ascii="Verdana" w:eastAsia="Times New Roman" w:hAnsi="Verdana" w:cstheme="minorHAnsi"/>
          <w:sz w:val="20"/>
          <w:szCs w:val="20"/>
          <w:lang w:eastAsia="ar-SA"/>
        </w:rPr>
        <w:t>visits</w:t>
      </w:r>
      <w:proofErr w:type="gramEnd"/>
      <w:r w:rsidRPr="00ED1819">
        <w:rPr>
          <w:rFonts w:ascii="Verdana" w:eastAsia="Times New Roman" w:hAnsi="Verdana" w:cstheme="minorHAnsi"/>
          <w:sz w:val="20"/>
          <w:szCs w:val="20"/>
          <w:lang w:eastAsia="ar-SA"/>
        </w:rPr>
        <w:t>, media interviews, public events, letters to the editor, and opinion and editorial articles.</w:t>
      </w:r>
    </w:p>
    <w:p w14:paraId="0E228A2E" w14:textId="77777777" w:rsidR="00ED7703" w:rsidRPr="00ED1819" w:rsidRDefault="00ED7703" w:rsidP="00ED7703">
      <w:pPr>
        <w:numPr>
          <w:ilvl w:val="0"/>
          <w:numId w:val="4"/>
        </w:numPr>
        <w:suppressLineNumbers/>
        <w:suppressAutoHyphens/>
        <w:spacing w:after="360" w:line="240" w:lineRule="auto"/>
        <w:ind w:left="1440"/>
        <w:rPr>
          <w:rFonts w:ascii="Verdana" w:eastAsia="Times New Roman" w:hAnsi="Verdana" w:cstheme="minorHAnsi"/>
          <w:sz w:val="20"/>
          <w:szCs w:val="20"/>
          <w:lang w:eastAsia="ar-SA"/>
        </w:rPr>
      </w:pPr>
      <w:r w:rsidRPr="00ED1819">
        <w:rPr>
          <w:rFonts w:ascii="Verdana" w:eastAsia="Times New Roman" w:hAnsi="Verdana" w:cstheme="minorHAnsi"/>
          <w:sz w:val="20"/>
          <w:szCs w:val="20"/>
          <w:lang w:eastAsia="ar-SA"/>
        </w:rPr>
        <w:t>Communicated directly with targeted legislators and their staff to determine their positions on climate and clean air policies and address their concerns.</w:t>
      </w:r>
      <w:r>
        <w:rPr>
          <w:rFonts w:ascii="Verdana" w:eastAsia="Times New Roman" w:hAnsi="Verdana" w:cstheme="minorHAnsi"/>
          <w:sz w:val="20"/>
          <w:szCs w:val="20"/>
          <w:lang w:eastAsia="ar-SA"/>
        </w:rPr>
        <w:t xml:space="preserve"> </w:t>
      </w:r>
    </w:p>
    <w:p w14:paraId="5E1BCB32"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As an independent consultant for </w:t>
      </w:r>
      <w:proofErr w:type="spellStart"/>
      <w:r w:rsidRPr="00ED1819">
        <w:rPr>
          <w:rFonts w:ascii="Verdana" w:hAnsi="Verdana" w:cstheme="minorHAnsi"/>
          <w:color w:val="222222"/>
          <w:sz w:val="20"/>
          <w:szCs w:val="20"/>
          <w:shd w:val="clear" w:color="auto" w:fill="FFFFFF"/>
        </w:rPr>
        <w:t>TrueLight</w:t>
      </w:r>
      <w:proofErr w:type="spellEnd"/>
      <w:r w:rsidRPr="00ED1819">
        <w:rPr>
          <w:rFonts w:ascii="Verdana" w:hAnsi="Verdana" w:cstheme="minorHAnsi"/>
          <w:color w:val="222222"/>
          <w:sz w:val="20"/>
          <w:szCs w:val="20"/>
          <w:shd w:val="clear" w:color="auto" w:fill="FFFFFF"/>
        </w:rPr>
        <w:t xml:space="preserve"> Energy, LLC, </w:t>
      </w:r>
      <w:proofErr w:type="gramStart"/>
      <w:r w:rsidRPr="00ED1819">
        <w:rPr>
          <w:rFonts w:ascii="Verdana" w:hAnsi="Verdana" w:cstheme="minorHAnsi"/>
          <w:color w:val="222222"/>
          <w:sz w:val="20"/>
          <w:szCs w:val="20"/>
          <w:shd w:val="clear" w:color="auto" w:fill="FFFFFF"/>
        </w:rPr>
        <w:t>Ms</w:t>
      </w:r>
      <w:proofErr w:type="gramEnd"/>
      <w:r w:rsidRPr="00ED1819">
        <w:rPr>
          <w:rFonts w:ascii="Verdana" w:hAnsi="Verdana" w:cstheme="minorHAnsi"/>
          <w:color w:val="222222"/>
          <w:sz w:val="20"/>
          <w:szCs w:val="20"/>
          <w:shd w:val="clear" w:color="auto" w:fill="FFFFFF"/>
        </w:rPr>
        <w:t xml:space="preserve">. Reno: </w:t>
      </w:r>
    </w:p>
    <w:p w14:paraId="6B4F17C0" w14:textId="77777777" w:rsidR="00ED7703" w:rsidRPr="00ED1819" w:rsidRDefault="00ED7703" w:rsidP="00ED7703">
      <w:pPr>
        <w:numPr>
          <w:ilvl w:val="0"/>
          <w:numId w:val="5"/>
        </w:numPr>
        <w:suppressLineNumbers/>
        <w:spacing w:line="240" w:lineRule="auto"/>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Acted as director of regulatory affairs to expand upon current services to provide clients with guidance on how to navigate the dynamic deregulated electricity industry.</w:t>
      </w:r>
    </w:p>
    <w:p w14:paraId="544F11BE" w14:textId="77777777" w:rsidR="00ED7703" w:rsidRPr="00ED1819" w:rsidRDefault="00ED7703" w:rsidP="00ED7703">
      <w:pPr>
        <w:suppressLineNumbers/>
        <w:spacing w:line="240" w:lineRule="auto"/>
        <w:ind w:left="1440"/>
        <w:contextualSpacing/>
        <w:rPr>
          <w:rFonts w:ascii="Verdana" w:hAnsi="Verdana" w:cstheme="minorHAnsi"/>
          <w:color w:val="222222"/>
          <w:sz w:val="20"/>
          <w:szCs w:val="20"/>
          <w:shd w:val="clear" w:color="auto" w:fill="FFFFFF"/>
        </w:rPr>
      </w:pPr>
    </w:p>
    <w:p w14:paraId="78687C90" w14:textId="77777777" w:rsidR="00ED7703" w:rsidRPr="00ED1819" w:rsidRDefault="00ED7703" w:rsidP="00ED7703">
      <w:pPr>
        <w:numPr>
          <w:ilvl w:val="0"/>
          <w:numId w:val="5"/>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Developed regulatory service product for clients, which includes ISO/utility tariff tracking and rate impact analysis, policy analysis, new market identification and participation in regulatory processes.</w:t>
      </w:r>
    </w:p>
    <w:p w14:paraId="5B7F98A5" w14:textId="77777777" w:rsidR="00ED7703" w:rsidRPr="00ED1819" w:rsidRDefault="00ED7703" w:rsidP="00ED7703">
      <w:pPr>
        <w:numPr>
          <w:ilvl w:val="0"/>
          <w:numId w:val="5"/>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Identified and originated new commercial opportunities in the U.S. to support principle product/service lines: retail supplier solutions; generation asset management; and sustainability management solutions for large energy users.</w:t>
      </w:r>
    </w:p>
    <w:p w14:paraId="490FE75B" w14:textId="77777777" w:rsidR="00ED7703" w:rsidRPr="00ED1819" w:rsidRDefault="00ED7703" w:rsidP="00ED7703">
      <w:pPr>
        <w:numPr>
          <w:ilvl w:val="0"/>
          <w:numId w:val="5"/>
        </w:numPr>
        <w:suppressLineNumbers/>
        <w:suppressAutoHyphens/>
        <w:spacing w:after="36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Developed and implemented business development and business-to-business marketing strategies in coordination with senior management.</w:t>
      </w:r>
    </w:p>
    <w:p w14:paraId="022B59BE"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As a senior economist at the Union of Concerned Scientists, Ms. Reno:</w:t>
      </w:r>
    </w:p>
    <w:p w14:paraId="541E6CAB" w14:textId="77777777" w:rsidR="00ED7703" w:rsidRPr="00ED1819" w:rsidRDefault="00ED7703" w:rsidP="00ED7703">
      <w:pPr>
        <w:numPr>
          <w:ilvl w:val="0"/>
          <w:numId w:val="6"/>
        </w:numPr>
        <w:suppressLineNumbers/>
        <w:suppressAutoHyphens/>
        <w:spacing w:after="240" w:line="240" w:lineRule="auto"/>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Promoted the development of clean energy technologies and policies in the electricity sector. Designed and evaluated energy policies at the state, regional, and national levels to maximize economic benefits and overcome market barriers to renewable energy.</w:t>
      </w:r>
    </w:p>
    <w:p w14:paraId="2E3BC121" w14:textId="77777777" w:rsidR="00ED7703" w:rsidRPr="00ED1819" w:rsidRDefault="00ED7703" w:rsidP="00ED7703">
      <w:pPr>
        <w:suppressLineNumbers/>
        <w:suppressAutoHyphens/>
        <w:spacing w:after="240" w:line="240" w:lineRule="auto"/>
        <w:ind w:left="1440"/>
        <w:contextualSpacing/>
        <w:rPr>
          <w:rFonts w:ascii="Verdana" w:hAnsi="Verdana" w:cstheme="minorHAnsi"/>
          <w:color w:val="222222"/>
          <w:sz w:val="20"/>
          <w:szCs w:val="20"/>
          <w:shd w:val="clear" w:color="auto" w:fill="FFFFFF"/>
        </w:rPr>
      </w:pPr>
    </w:p>
    <w:p w14:paraId="456CD3C6" w14:textId="77777777" w:rsidR="00ED7703" w:rsidRPr="00ED1819" w:rsidRDefault="00ED7703" w:rsidP="00ED7703">
      <w:pPr>
        <w:numPr>
          <w:ilvl w:val="0"/>
          <w:numId w:val="6"/>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Evaluated and developed alternative financial policies to national and state renewable energy standards. Completed internal documents and research focusing on master limited partnerships and real estate investment trusts as possible sources of financing capital for renewable energy projects.</w:t>
      </w:r>
    </w:p>
    <w:p w14:paraId="7B052306" w14:textId="77777777" w:rsidR="00ED7703" w:rsidRPr="00ED1819" w:rsidRDefault="00ED7703" w:rsidP="00ED7703">
      <w:pPr>
        <w:numPr>
          <w:ilvl w:val="0"/>
          <w:numId w:val="6"/>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Informed and enhanced coalition strategies by evaluating and developing appropriate responses to federal policy opportunities, including a low-carbon electricity standard, production tax credit, and other emerging opportunities.</w:t>
      </w:r>
    </w:p>
    <w:p w14:paraId="0F1DA40E" w14:textId="77777777" w:rsidR="00ED7703" w:rsidRPr="00ED1819" w:rsidRDefault="00ED7703" w:rsidP="00ED7703">
      <w:pPr>
        <w:numPr>
          <w:ilvl w:val="0"/>
          <w:numId w:val="6"/>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Evaluated the net benefits and opportunities for economic development in renewable energy manufacturing and the supply chain.</w:t>
      </w:r>
    </w:p>
    <w:p w14:paraId="7F2B5EC3" w14:textId="77777777" w:rsidR="00ED7703" w:rsidRPr="00ED1819" w:rsidRDefault="00ED7703" w:rsidP="00ED7703">
      <w:pPr>
        <w:suppressLineNumbers/>
        <w:spacing w:after="240" w:line="264"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As an analyst and program manager at the New Hampshire Public Utilities Commission, Ms. Reno:</w:t>
      </w:r>
    </w:p>
    <w:p w14:paraId="3DDF4917" w14:textId="77777777" w:rsidR="00ED7703" w:rsidRPr="00ED1819" w:rsidRDefault="00ED7703" w:rsidP="00ED7703">
      <w:pPr>
        <w:numPr>
          <w:ilvl w:val="0"/>
          <w:numId w:val="14"/>
        </w:numPr>
        <w:suppressLineNumbers/>
        <w:spacing w:line="240" w:lineRule="auto"/>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Developed and managed New Hampshire’s RPS Program.</w:t>
      </w:r>
      <w:r w:rsidRPr="00ED1819">
        <w:rPr>
          <w:rFonts w:ascii="Verdana" w:hAnsi="Verdana" w:cstheme="minorHAnsi"/>
          <w:color w:val="222222"/>
          <w:sz w:val="20"/>
          <w:szCs w:val="20"/>
          <w:shd w:val="clear" w:color="auto" w:fill="FFFFFF"/>
        </w:rPr>
        <w:tab/>
      </w:r>
    </w:p>
    <w:p w14:paraId="3A03C0B6" w14:textId="77777777" w:rsidR="00ED7703" w:rsidRPr="00ED1819" w:rsidRDefault="00ED7703" w:rsidP="00ED7703">
      <w:pPr>
        <w:suppressLineNumbers/>
        <w:spacing w:line="240" w:lineRule="auto"/>
        <w:ind w:left="1440"/>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b/>
      </w:r>
      <w:r w:rsidRPr="00ED1819">
        <w:rPr>
          <w:rFonts w:ascii="Verdana" w:hAnsi="Verdana" w:cstheme="minorHAnsi"/>
          <w:color w:val="222222"/>
          <w:sz w:val="20"/>
          <w:szCs w:val="20"/>
          <w:shd w:val="clear" w:color="auto" w:fill="FFFFFF"/>
        </w:rPr>
        <w:tab/>
      </w:r>
    </w:p>
    <w:p w14:paraId="3D04D94A"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Developed internal protocols for managing New Hampshire’s RPS program pursuant to PUC’s RPS program rules (N.H. Code of Administrative Rules PUC 2500), including designing resource eligibility application forms.</w:t>
      </w:r>
    </w:p>
    <w:p w14:paraId="7E10B72F"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Verified electricity providers’ compliance with New Hampshire’s RPS program and processed applications for renewable energy source eligibility.</w:t>
      </w:r>
    </w:p>
    <w:p w14:paraId="625074F7"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Prepared and submitted annual RPS compliance reports, including program evaluation and policy analysis, to the State legislature on behalf of the PUC.</w:t>
      </w:r>
    </w:p>
    <w:p w14:paraId="43A42157"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Monitored and forecasted renewable energy certificate market trends in New England and New Hampshire to estimate available revenues supporting rebate programs.</w:t>
      </w:r>
    </w:p>
    <w:p w14:paraId="0A9FD8E1"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Maintained an RPS program website and renewable energy sources database.</w:t>
      </w:r>
    </w:p>
    <w:p w14:paraId="314FF426" w14:textId="77777777" w:rsidR="00ED7703" w:rsidRPr="00ED1819" w:rsidRDefault="00ED7703" w:rsidP="00ED7703">
      <w:pPr>
        <w:numPr>
          <w:ilvl w:val="0"/>
          <w:numId w:val="7"/>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Participated in various regional working groups, including the RGGI Allowance and Offset Market Groups, and the GIS Regulators’ Caucus to develop and maintain the NEPOOL GIS Operating Rules.</w:t>
      </w:r>
    </w:p>
    <w:p w14:paraId="6356296C" w14:textId="77777777" w:rsidR="00ED7703" w:rsidRPr="00ED1819" w:rsidRDefault="00ED7703" w:rsidP="00ED7703">
      <w:pPr>
        <w:numPr>
          <w:ilvl w:val="0"/>
          <w:numId w:val="7"/>
        </w:numPr>
        <w:suppressLineNumbers/>
        <w:suppressAutoHyphens/>
        <w:spacing w:after="36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Developed Greenhouse Gas Emissions Reduction Fund Cost Effectiveness Analysis model for request for proposal applicants.</w:t>
      </w:r>
    </w:p>
    <w:p w14:paraId="7B800958" w14:textId="77777777" w:rsidR="00ED7703" w:rsidRPr="00ED1819" w:rsidRDefault="00ED7703" w:rsidP="00ED7703">
      <w:pPr>
        <w:suppressLineNumbers/>
        <w:spacing w:after="240" w:line="264"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As a utility analyst and economist at the New Hampshire Public Utilities Commission, Ms. Reno:</w:t>
      </w:r>
    </w:p>
    <w:p w14:paraId="79F3717F" w14:textId="77777777" w:rsidR="00ED7703" w:rsidRPr="00ED1819" w:rsidRDefault="00ED7703" w:rsidP="00ED7703">
      <w:pPr>
        <w:numPr>
          <w:ilvl w:val="0"/>
          <w:numId w:val="8"/>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Reviewed, analyzed and prepared oral and written recommendations in eight electric, natural gas and water utility rate cases in which she calculated each company’s weighted average cost of capital and estimated the rate of return on equity using discounted cash flow, risk premium, and capital asset pricing models.</w:t>
      </w:r>
    </w:p>
    <w:p w14:paraId="0B561126" w14:textId="77777777" w:rsidR="00ED7703" w:rsidRPr="00ED1819" w:rsidRDefault="00ED7703" w:rsidP="00ED7703">
      <w:pPr>
        <w:numPr>
          <w:ilvl w:val="0"/>
          <w:numId w:val="8"/>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Advised the PUC on utilities’ debt financings, bond issuances, power plant retrofit, advanced/net metering, demand response, environmental disclosure, and incentives for in-state energy efficiency programs.</w:t>
      </w:r>
    </w:p>
    <w:p w14:paraId="7FDC8397" w14:textId="77777777" w:rsidR="00ED7703" w:rsidRPr="00ED1819" w:rsidRDefault="00ED7703" w:rsidP="00ED7703">
      <w:pPr>
        <w:numPr>
          <w:ilvl w:val="0"/>
          <w:numId w:val="9"/>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Collaborated on behalf of the PUC with public and private entities to write New Hampshire’s RPS law (HB 873), state participation in RGGI (HB 1434) and the PUC’s RPS program rules (N.H. Code of Administrative Rules </w:t>
      </w:r>
      <w:proofErr w:type="spellStart"/>
      <w:r w:rsidRPr="00ED1819">
        <w:rPr>
          <w:rFonts w:ascii="Verdana" w:hAnsi="Verdana" w:cstheme="minorHAnsi"/>
          <w:color w:val="222222"/>
          <w:sz w:val="20"/>
          <w:szCs w:val="20"/>
          <w:shd w:val="clear" w:color="auto" w:fill="FFFFFF"/>
        </w:rPr>
        <w:t>Puc</w:t>
      </w:r>
      <w:proofErr w:type="spellEnd"/>
      <w:r w:rsidRPr="00ED1819">
        <w:rPr>
          <w:rFonts w:ascii="Verdana" w:hAnsi="Verdana" w:cstheme="minorHAnsi"/>
          <w:color w:val="222222"/>
          <w:sz w:val="20"/>
          <w:szCs w:val="20"/>
          <w:shd w:val="clear" w:color="auto" w:fill="FFFFFF"/>
        </w:rPr>
        <w:t xml:space="preserve"> 2500).</w:t>
      </w:r>
    </w:p>
    <w:p w14:paraId="49B13F2D" w14:textId="77777777" w:rsidR="00ED7703" w:rsidRPr="00ED1819" w:rsidRDefault="00ED7703" w:rsidP="00ED7703">
      <w:pPr>
        <w:numPr>
          <w:ilvl w:val="0"/>
          <w:numId w:val="9"/>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Advised the Commissioners on the development of the RGGI carbon dioxide emission limits and the Allowance Auction Market.</w:t>
      </w:r>
    </w:p>
    <w:p w14:paraId="2FD17CFC" w14:textId="77777777" w:rsidR="00ED7703" w:rsidRPr="00ED1819" w:rsidRDefault="00ED7703" w:rsidP="00ED7703">
      <w:pPr>
        <w:numPr>
          <w:ilvl w:val="0"/>
          <w:numId w:val="9"/>
        </w:numPr>
        <w:suppressLineNumbers/>
        <w:suppressAutoHyphens/>
        <w:spacing w:after="36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Prepared fiscal impact statements regarding proposed legislation and regulations in the State of New Hampshire using cost-benefit analysis.</w:t>
      </w:r>
    </w:p>
    <w:p w14:paraId="12B4AF02" w14:textId="77777777" w:rsidR="00ED7703" w:rsidRPr="00ED1819" w:rsidRDefault="00ED7703" w:rsidP="00ED7703">
      <w:pPr>
        <w:suppressLineNumbers/>
        <w:spacing w:after="240" w:line="264" w:lineRule="auto"/>
        <w:ind w:left="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As a Survey Manager for the New Hampshire Small Business Development Center, Ms. Reno:</w:t>
      </w:r>
    </w:p>
    <w:p w14:paraId="38AAA2F0" w14:textId="77777777" w:rsidR="00ED7703" w:rsidRPr="00ED1819" w:rsidRDefault="00ED7703" w:rsidP="00ED7703">
      <w:pPr>
        <w:numPr>
          <w:ilvl w:val="0"/>
          <w:numId w:val="10"/>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Designed and distributed a survey to collect data on the characteristics of New Hampshire manufacturers.</w:t>
      </w:r>
    </w:p>
    <w:p w14:paraId="0539A868" w14:textId="77777777" w:rsidR="00ED7703" w:rsidRPr="00ED1819" w:rsidRDefault="00ED7703" w:rsidP="00ED7703">
      <w:pPr>
        <w:numPr>
          <w:ilvl w:val="0"/>
          <w:numId w:val="10"/>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Managed collection of survey data, designed a database for the data collected and oversaw data entry efforts. </w:t>
      </w:r>
    </w:p>
    <w:p w14:paraId="0FFE61BF" w14:textId="77777777" w:rsidR="00ED7703" w:rsidRPr="00ED1819" w:rsidRDefault="00ED7703" w:rsidP="00ED7703">
      <w:pPr>
        <w:numPr>
          <w:ilvl w:val="0"/>
          <w:numId w:val="10"/>
        </w:numPr>
        <w:suppressLineNumbers/>
        <w:spacing w:line="240" w:lineRule="auto"/>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Analyzed the economic and behavioral factors that lead to the growth of New Hampshire manufacturing companies using multivariate regression, factor and cluster analysis of survey data.</w:t>
      </w:r>
    </w:p>
    <w:p w14:paraId="2CF88633" w14:textId="77777777" w:rsidR="00ED7703" w:rsidRPr="00ED1819" w:rsidRDefault="00ED7703" w:rsidP="00ED7703">
      <w:pPr>
        <w:suppressLineNumbers/>
        <w:spacing w:line="240" w:lineRule="auto"/>
        <w:ind w:left="1440"/>
        <w:contextualSpacing/>
        <w:rPr>
          <w:rFonts w:ascii="Verdana" w:hAnsi="Verdana" w:cstheme="minorHAnsi"/>
          <w:color w:val="222222"/>
          <w:sz w:val="20"/>
          <w:szCs w:val="20"/>
          <w:shd w:val="clear" w:color="auto" w:fill="FFFFFF"/>
        </w:rPr>
      </w:pPr>
    </w:p>
    <w:p w14:paraId="554113A4" w14:textId="77777777" w:rsidR="00ED7703" w:rsidRPr="00ED1819" w:rsidRDefault="00ED7703" w:rsidP="00ED7703">
      <w:pPr>
        <w:suppressLineNumbers/>
        <w:spacing w:after="240" w:line="264" w:lineRule="auto"/>
        <w:ind w:firstLine="720"/>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As an Adjunct Instructor for the University of New Hampshire, Ms. Reno: </w:t>
      </w:r>
    </w:p>
    <w:p w14:paraId="3C9B4E80" w14:textId="77777777" w:rsidR="00ED7703" w:rsidRPr="00ED1819" w:rsidRDefault="00ED7703" w:rsidP="00ED7703">
      <w:pPr>
        <w:numPr>
          <w:ilvl w:val="0"/>
          <w:numId w:val="17"/>
        </w:numPr>
        <w:suppressLineNumbers/>
        <w:suppressAutoHyphens/>
        <w:spacing w:after="240" w:line="240" w:lineRule="auto"/>
        <w:ind w:left="1440"/>
        <w:contextualSpacing/>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Taught undergraduate courses in Principles of Macroeconomics and Microeconomics, including lectured on a daily basis, and developed lesson plans and teaching materials.</w:t>
      </w:r>
    </w:p>
    <w:p w14:paraId="24372686" w14:textId="685A9D79" w:rsidR="00ED7703" w:rsidRPr="00ED7703" w:rsidRDefault="00ED7703" w:rsidP="00ED7703">
      <w:pPr>
        <w:numPr>
          <w:ilvl w:val="0"/>
          <w:numId w:val="11"/>
        </w:numPr>
        <w:suppressLineNumbers/>
        <w:suppressAutoHyphens/>
        <w:spacing w:after="240"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Managed teaching assistant’s work correcting and grading testing materials and writing assignments. </w:t>
      </w:r>
    </w:p>
    <w:p w14:paraId="72CDB9AB" w14:textId="77777777" w:rsidR="00ED7703" w:rsidRPr="00ED1819" w:rsidRDefault="00ED7703" w:rsidP="00ED7703">
      <w:pPr>
        <w:suppressLineNumbers/>
        <w:spacing w:line="240" w:lineRule="auto"/>
        <w:rPr>
          <w:rFonts w:ascii="Verdana" w:hAnsi="Verdana" w:cstheme="minorHAnsi"/>
          <w:color w:val="222222"/>
          <w:sz w:val="20"/>
          <w:szCs w:val="20"/>
          <w:shd w:val="clear" w:color="auto" w:fill="FFFFFF"/>
        </w:rPr>
      </w:pPr>
      <w:r w:rsidRPr="00ED1819">
        <w:rPr>
          <w:rFonts w:ascii="Verdana" w:hAnsi="Verdana" w:cstheme="minorHAnsi"/>
          <w:color w:val="222222"/>
          <w:sz w:val="20"/>
          <w:szCs w:val="20"/>
          <w:u w:val="single"/>
          <w:shd w:val="clear" w:color="auto" w:fill="FFFFFF"/>
        </w:rPr>
        <w:t>Expert Witness Testimony as Maureen L. Reno</w:t>
      </w:r>
    </w:p>
    <w:p w14:paraId="2D62651D" w14:textId="742822DB" w:rsidR="002A5C1E" w:rsidRDefault="002A5C1E" w:rsidP="00004AF1">
      <w:pPr>
        <w:autoSpaceDE w:val="0"/>
        <w:autoSpaceDN w:val="0"/>
        <w:adjustRightInd w:val="0"/>
        <w:spacing w:after="0" w:line="240" w:lineRule="auto"/>
        <w:ind w:firstLine="720"/>
        <w:rPr>
          <w:rFonts w:ascii="Verdana" w:eastAsiaTheme="minorHAnsi" w:hAnsi="Verdana" w:cs="Calibri"/>
          <w:sz w:val="20"/>
          <w:szCs w:val="20"/>
        </w:rPr>
      </w:pPr>
      <w:r w:rsidRPr="002A5C1E">
        <w:rPr>
          <w:rFonts w:ascii="Verdana" w:eastAsiaTheme="minorHAnsi" w:hAnsi="Verdana" w:cs="Calibri"/>
          <w:sz w:val="20"/>
          <w:szCs w:val="20"/>
        </w:rPr>
        <w:t>Before the New Mexico Public Regulation Commission, Case No. 18-00124-UT, on behalf of the City of Clovis, New Mexico. Testimony regarding a fair return on equity in the Petition of EPCOR Water New Mexico Inc. for Adjustment of Water Rates for Its Clovis District.</w:t>
      </w:r>
    </w:p>
    <w:p w14:paraId="1EB595C4" w14:textId="77777777" w:rsidR="002A5C1E" w:rsidRDefault="002A5C1E" w:rsidP="00004AF1">
      <w:pPr>
        <w:autoSpaceDE w:val="0"/>
        <w:autoSpaceDN w:val="0"/>
        <w:adjustRightInd w:val="0"/>
        <w:spacing w:after="0" w:line="240" w:lineRule="auto"/>
        <w:ind w:firstLine="720"/>
        <w:rPr>
          <w:rFonts w:ascii="Verdana" w:eastAsiaTheme="minorHAnsi" w:hAnsi="Verdana" w:cs="Calibri"/>
          <w:sz w:val="20"/>
          <w:szCs w:val="20"/>
        </w:rPr>
      </w:pPr>
    </w:p>
    <w:p w14:paraId="7064C241" w14:textId="32CDDD75" w:rsidR="00ED7703" w:rsidRDefault="00ED7703" w:rsidP="00004AF1">
      <w:pPr>
        <w:autoSpaceDE w:val="0"/>
        <w:autoSpaceDN w:val="0"/>
        <w:adjustRightInd w:val="0"/>
        <w:spacing w:after="0" w:line="240" w:lineRule="auto"/>
        <w:ind w:firstLine="720"/>
        <w:rPr>
          <w:rFonts w:ascii="Verdana" w:eastAsiaTheme="minorHAnsi" w:hAnsi="Verdana" w:cs="Calibri"/>
          <w:sz w:val="20"/>
          <w:szCs w:val="20"/>
        </w:rPr>
      </w:pPr>
      <w:r w:rsidRPr="00ED1819">
        <w:rPr>
          <w:rFonts w:ascii="Verdana" w:eastAsiaTheme="minorHAnsi" w:hAnsi="Verdana" w:cs="Calibri"/>
          <w:sz w:val="20"/>
          <w:szCs w:val="20"/>
        </w:rPr>
        <w:t>Before the Corporation Commission of Oklahoma, Cause No. PUD 201700151 on behalf of the United States Department of Defense. Testimony regarding a fair return on equity in the</w:t>
      </w:r>
      <w:r w:rsidR="00004AF1">
        <w:rPr>
          <w:rFonts w:ascii="Verdana" w:eastAsiaTheme="minorHAnsi" w:hAnsi="Verdana" w:cs="Calibri"/>
          <w:sz w:val="20"/>
          <w:szCs w:val="20"/>
        </w:rPr>
        <w:t xml:space="preserve"> </w:t>
      </w:r>
      <w:r w:rsidRPr="00ED1819">
        <w:rPr>
          <w:rFonts w:ascii="Verdana" w:eastAsiaTheme="minorHAnsi" w:hAnsi="Verdana" w:cs="Calibri"/>
          <w:sz w:val="20"/>
          <w:szCs w:val="20"/>
        </w:rPr>
        <w:t>Application of Public Service Company of Oklahoma for an Adjustment in its rates and charges</w:t>
      </w:r>
      <w:r w:rsidR="00004AF1">
        <w:rPr>
          <w:rFonts w:ascii="Verdana" w:eastAsiaTheme="minorHAnsi" w:hAnsi="Verdana" w:cs="Calibri"/>
          <w:sz w:val="20"/>
          <w:szCs w:val="20"/>
        </w:rPr>
        <w:t xml:space="preserve"> </w:t>
      </w:r>
      <w:r w:rsidRPr="00ED1819">
        <w:rPr>
          <w:rFonts w:ascii="Verdana" w:eastAsiaTheme="minorHAnsi" w:hAnsi="Verdana" w:cs="Calibri"/>
          <w:sz w:val="20"/>
          <w:szCs w:val="20"/>
        </w:rPr>
        <w:t>and the electric service rules, regulations and conditions of service for electric service in the</w:t>
      </w:r>
      <w:r w:rsidR="00004AF1">
        <w:rPr>
          <w:rFonts w:ascii="Verdana" w:eastAsiaTheme="minorHAnsi" w:hAnsi="Verdana" w:cs="Calibri"/>
          <w:sz w:val="20"/>
          <w:szCs w:val="20"/>
        </w:rPr>
        <w:t xml:space="preserve"> </w:t>
      </w:r>
      <w:r w:rsidRPr="00ED1819">
        <w:rPr>
          <w:rFonts w:ascii="Verdana" w:eastAsiaTheme="minorHAnsi" w:hAnsi="Verdana" w:cs="Calibri"/>
          <w:sz w:val="20"/>
          <w:szCs w:val="20"/>
        </w:rPr>
        <w:t>State of Oklahoma.</w:t>
      </w:r>
    </w:p>
    <w:p w14:paraId="3AC0F6D2" w14:textId="77777777" w:rsidR="00004AF1" w:rsidRPr="00004AF1" w:rsidRDefault="00004AF1" w:rsidP="00004AF1">
      <w:pPr>
        <w:autoSpaceDE w:val="0"/>
        <w:autoSpaceDN w:val="0"/>
        <w:adjustRightInd w:val="0"/>
        <w:spacing w:after="0" w:line="240" w:lineRule="auto"/>
        <w:ind w:firstLine="720"/>
        <w:rPr>
          <w:rFonts w:ascii="Verdana" w:eastAsiaTheme="minorHAnsi" w:hAnsi="Verdana" w:cs="Calibri"/>
          <w:sz w:val="20"/>
          <w:szCs w:val="20"/>
        </w:rPr>
      </w:pPr>
    </w:p>
    <w:p w14:paraId="647D39C3"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Corporation Commission of Oklahoma, Cause No. PUD 201500208 on behalf of the United States Department of Defense.</w:t>
      </w:r>
      <w:r>
        <w:rPr>
          <w:rFonts w:ascii="Verdana" w:hAnsi="Verdana" w:cstheme="minorHAnsi"/>
          <w:color w:val="222222"/>
          <w:sz w:val="20"/>
          <w:szCs w:val="20"/>
          <w:shd w:val="clear" w:color="auto" w:fill="FFFFFF"/>
        </w:rPr>
        <w:t xml:space="preserve"> </w:t>
      </w:r>
      <w:r w:rsidRPr="00ED1819">
        <w:rPr>
          <w:rFonts w:ascii="Verdana" w:hAnsi="Verdana" w:cstheme="minorHAnsi"/>
          <w:color w:val="222222"/>
          <w:sz w:val="20"/>
          <w:szCs w:val="20"/>
          <w:shd w:val="clear" w:color="auto" w:fill="FFFFFF"/>
        </w:rPr>
        <w:t>Testimony regarding a fair return on equity and</w:t>
      </w:r>
      <w:r w:rsidRPr="00ED1819">
        <w:rPr>
          <w:rFonts w:ascii="Verdana" w:hAnsi="Verdana" w:cstheme="minorHAnsi"/>
          <w:sz w:val="20"/>
          <w:szCs w:val="20"/>
        </w:rPr>
        <w:t xml:space="preserve"> </w:t>
      </w:r>
      <w:r w:rsidRPr="00ED1819">
        <w:rPr>
          <w:rFonts w:ascii="Verdana" w:hAnsi="Verdana" w:cstheme="minorHAnsi"/>
          <w:color w:val="222222"/>
          <w:sz w:val="20"/>
          <w:szCs w:val="20"/>
          <w:shd w:val="clear" w:color="auto" w:fill="FFFFFF"/>
        </w:rPr>
        <w:t>the company’s proposal to recover environmental compliance costs in the Application of Public Service Company of Oklahoma for an Adjustment in its rates and charges and the electric service rules, regulations and conditions of service for electric service in the State of Oklahoma.</w:t>
      </w:r>
    </w:p>
    <w:p w14:paraId="331DDB50"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Texas Public Utility Commission, Docket No. 43695 on behalf of the United States Department of Energy. Testimony regarding a fair return on equity in the Application of Southwestern Public Service Company for Authority to Change Rates.</w:t>
      </w:r>
      <w:r w:rsidRPr="00ED1819">
        <w:rPr>
          <w:rFonts w:ascii="Verdana" w:hAnsi="Verdana" w:cstheme="minorHAnsi"/>
          <w:sz w:val="20"/>
          <w:szCs w:val="20"/>
        </w:rPr>
        <w:t xml:space="preserve"> </w:t>
      </w:r>
    </w:p>
    <w:p w14:paraId="1B734E01"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Missouri Public Service Commission Case No. ER-2014-0370 on behalf of the United State Department of Energy. Testimony regarding a fair return on equity in the Matter of Kansas City Power &amp; Light Company’s request for Authority to Implement a General Rate Increase for Electric Service.</w:t>
      </w:r>
    </w:p>
    <w:p w14:paraId="318429D9"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Texas Public Utility Commission, Docket No. 41791 on behalf of the United States Department of Energy. Testimony regarding a fair return on equity in the Application of Entergy Texas, Inc. for Authority to Change Rates and Reconcile Fuel Costs.</w:t>
      </w:r>
    </w:p>
    <w:p w14:paraId="36462720"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t xml:space="preserve">Expert Witness Testimony as Maureen L. </w:t>
      </w:r>
      <w:proofErr w:type="spellStart"/>
      <w:r w:rsidRPr="00ED1819">
        <w:rPr>
          <w:rFonts w:ascii="Verdana" w:hAnsi="Verdana" w:cstheme="minorHAnsi"/>
          <w:color w:val="222222"/>
          <w:sz w:val="20"/>
          <w:szCs w:val="20"/>
          <w:u w:val="single"/>
          <w:shd w:val="clear" w:color="auto" w:fill="FFFFFF"/>
        </w:rPr>
        <w:t>Sirois</w:t>
      </w:r>
      <w:proofErr w:type="spellEnd"/>
      <w:r w:rsidRPr="00ED1819">
        <w:rPr>
          <w:rFonts w:ascii="Verdana" w:hAnsi="Verdana" w:cstheme="minorHAnsi"/>
          <w:color w:val="222222"/>
          <w:sz w:val="20"/>
          <w:szCs w:val="20"/>
          <w:u w:val="single"/>
          <w:shd w:val="clear" w:color="auto" w:fill="FFFFFF"/>
        </w:rPr>
        <w:t>:</w:t>
      </w:r>
    </w:p>
    <w:p w14:paraId="3C57C06E"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Before the New Hampshire Public Utilities Commission, Docket No. DE 05-178 on behalf of Commission Staff. Testimony regarding the Rate of Return for </w:t>
      </w:r>
      <w:proofErr w:type="spellStart"/>
      <w:r w:rsidRPr="00ED1819">
        <w:rPr>
          <w:rFonts w:ascii="Verdana" w:hAnsi="Verdana" w:cstheme="minorHAnsi"/>
          <w:color w:val="222222"/>
          <w:sz w:val="20"/>
          <w:szCs w:val="20"/>
          <w:shd w:val="clear" w:color="auto" w:fill="FFFFFF"/>
        </w:rPr>
        <w:t>Unitil</w:t>
      </w:r>
      <w:proofErr w:type="spellEnd"/>
      <w:r w:rsidRPr="00ED1819">
        <w:rPr>
          <w:rFonts w:ascii="Verdana" w:hAnsi="Verdana" w:cstheme="minorHAnsi"/>
          <w:color w:val="222222"/>
          <w:sz w:val="20"/>
          <w:szCs w:val="20"/>
          <w:shd w:val="clear" w:color="auto" w:fill="FFFFFF"/>
        </w:rPr>
        <w:t xml:space="preserve"> Energy Systems, Inc.</w:t>
      </w:r>
    </w:p>
    <w:p w14:paraId="0D7E1295"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DE 04-177 on behalf of Commission Staff. Testimony regarding the Rate of Return for Public Service Company of New Hampshire’s generation assets.</w:t>
      </w:r>
    </w:p>
    <w:p w14:paraId="389B90B5"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Before the New Hampshire Public Utilities Commission, Docket No. DW 04-056 on behalf of Commission Staff. Testimony regarding the Rate of Return for </w:t>
      </w:r>
      <w:proofErr w:type="spellStart"/>
      <w:r w:rsidRPr="00ED1819">
        <w:rPr>
          <w:rFonts w:ascii="Verdana" w:hAnsi="Verdana" w:cstheme="minorHAnsi"/>
          <w:color w:val="222222"/>
          <w:sz w:val="20"/>
          <w:szCs w:val="20"/>
          <w:shd w:val="clear" w:color="auto" w:fill="FFFFFF"/>
        </w:rPr>
        <w:t>Pennichuck</w:t>
      </w:r>
      <w:proofErr w:type="spellEnd"/>
      <w:r w:rsidRPr="00ED1819">
        <w:rPr>
          <w:rFonts w:ascii="Verdana" w:hAnsi="Verdana" w:cstheme="minorHAnsi"/>
          <w:color w:val="222222"/>
          <w:sz w:val="20"/>
          <w:szCs w:val="20"/>
          <w:shd w:val="clear" w:color="auto" w:fill="FFFFFF"/>
        </w:rPr>
        <w:t xml:space="preserve"> Water Works, Inc.</w:t>
      </w:r>
    </w:p>
    <w:p w14:paraId="430B3A88"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DE 03-200 on behalf of Commission Staff. Testimony regarding the Rate of Return for Public Service Company of New Hampshire.</w:t>
      </w:r>
    </w:p>
    <w:p w14:paraId="20D157E3"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DE 03-166 on behalf of Commission Staff. Testimony regarding the Modification of Schiller Station for Public Service Company of New Hampshire.</w:t>
      </w:r>
    </w:p>
    <w:p w14:paraId="1A256932"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DE 01-247 on behalf of Commission Staff. Testimony regarding the Rate of Return for Concord Electric Company and Exeter &amp; Hampton Electric Company.</w:t>
      </w:r>
    </w:p>
    <w:p w14:paraId="284172D1"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DE 01-168 on behalf of Commission Staff. Testimony regarding the Refinancing of Series A, B and C Pollution Control Revenue Bonds, Including an Increase in the Short Term Debt Limit, Issuance of First Mortgage Bonds and Utilization of Derivative Instruments for Public Service Company of New Hampshire.</w:t>
      </w:r>
    </w:p>
    <w:p w14:paraId="71DE729F"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Before the New Hampshire Public Utilities Commission, Docket No. DG 01-182 on behalf of Commission Staff. Testimony regarding the Rate of Return for Northern Utilities, Inc.</w:t>
      </w:r>
    </w:p>
    <w:p w14:paraId="7DE02E86" w14:textId="77777777" w:rsidR="00ED7703" w:rsidRPr="00ED1819" w:rsidRDefault="00ED7703" w:rsidP="00ED7703">
      <w:pPr>
        <w:suppressLineNumbers/>
        <w:spacing w:after="240" w:line="264" w:lineRule="auto"/>
        <w:ind w:left="86" w:firstLine="634"/>
        <w:rPr>
          <w:rFonts w:ascii="Verdana" w:hAnsi="Verdana" w:cstheme="minorHAnsi"/>
          <w:color w:val="222222"/>
          <w:sz w:val="20"/>
          <w:szCs w:val="20"/>
          <w:shd w:val="clear" w:color="auto" w:fill="FFFFFF"/>
        </w:rPr>
      </w:pPr>
      <w:r w:rsidRPr="00ED1819">
        <w:rPr>
          <w:rFonts w:ascii="Verdana" w:hAnsi="Verdana" w:cstheme="minorHAnsi"/>
          <w:color w:val="222222"/>
          <w:sz w:val="20"/>
          <w:szCs w:val="20"/>
          <w:shd w:val="clear" w:color="auto" w:fill="FFFFFF"/>
        </w:rPr>
        <w:t xml:space="preserve">Before the New Hampshire Public Utilities Commission, Docket No. DW 01-081 on behalf of Commission Staff. Testimony regarding the Rate of Return for </w:t>
      </w:r>
      <w:proofErr w:type="spellStart"/>
      <w:r w:rsidRPr="00ED1819">
        <w:rPr>
          <w:rFonts w:ascii="Verdana" w:hAnsi="Verdana" w:cstheme="minorHAnsi"/>
          <w:color w:val="222222"/>
          <w:sz w:val="20"/>
          <w:szCs w:val="20"/>
          <w:shd w:val="clear" w:color="auto" w:fill="FFFFFF"/>
        </w:rPr>
        <w:t>Pennichuck</w:t>
      </w:r>
      <w:proofErr w:type="spellEnd"/>
      <w:r w:rsidRPr="00ED1819">
        <w:rPr>
          <w:rFonts w:ascii="Verdana" w:hAnsi="Verdana" w:cstheme="minorHAnsi"/>
          <w:color w:val="222222"/>
          <w:sz w:val="20"/>
          <w:szCs w:val="20"/>
          <w:shd w:val="clear" w:color="auto" w:fill="FFFFFF"/>
        </w:rPr>
        <w:t xml:space="preserve"> Water Works, Inc.</w:t>
      </w:r>
    </w:p>
    <w:p w14:paraId="1C65D91F" w14:textId="77777777" w:rsidR="00ED7703" w:rsidRPr="00ED1819" w:rsidRDefault="00ED7703" w:rsidP="00ED7703">
      <w:pPr>
        <w:suppressLineNumbers/>
        <w:spacing w:line="240" w:lineRule="auto"/>
        <w:rPr>
          <w:rFonts w:ascii="Verdana" w:hAnsi="Verdana" w:cstheme="minorHAnsi"/>
          <w:color w:val="222222"/>
          <w:sz w:val="20"/>
          <w:szCs w:val="20"/>
          <w:u w:val="single"/>
          <w:shd w:val="clear" w:color="auto" w:fill="FFFFFF"/>
        </w:rPr>
      </w:pPr>
      <w:r w:rsidRPr="00ED1819">
        <w:rPr>
          <w:rFonts w:ascii="Verdana" w:hAnsi="Verdana" w:cstheme="minorHAnsi"/>
          <w:color w:val="222222"/>
          <w:sz w:val="20"/>
          <w:szCs w:val="20"/>
          <w:u w:val="single"/>
          <w:shd w:val="clear" w:color="auto" w:fill="FFFFFF"/>
        </w:rPr>
        <w:t>Research</w:t>
      </w:r>
    </w:p>
    <w:p w14:paraId="0A473948" w14:textId="77777777" w:rsidR="00ED7703" w:rsidRPr="00ED1819" w:rsidRDefault="00ED7703" w:rsidP="00ED7703">
      <w:pPr>
        <w:suppressLineNumbers/>
        <w:spacing w:after="240" w:line="264" w:lineRule="auto"/>
        <w:rPr>
          <w:rFonts w:ascii="Verdana" w:eastAsia="Times New Roman" w:hAnsi="Verdana" w:cstheme="minorHAnsi"/>
          <w:bCs/>
          <w:sz w:val="20"/>
          <w:szCs w:val="20"/>
          <w:lang w:eastAsia="ar-SA"/>
        </w:rPr>
      </w:pPr>
      <w:r w:rsidRPr="00ED1819">
        <w:rPr>
          <w:rFonts w:ascii="Verdana" w:eastAsia="Times New Roman" w:hAnsi="Verdana" w:cstheme="minorHAnsi"/>
          <w:bCs/>
          <w:sz w:val="20"/>
          <w:szCs w:val="20"/>
          <w:lang w:eastAsia="ar-SA"/>
        </w:rPr>
        <w:t xml:space="preserve">Conference Paper – “The Effect of Rate and Energy Efficiency Policies on Electricity Demand: Evidence from New Hampshire” by Chris Schlegel and Maureen L. </w:t>
      </w:r>
      <w:proofErr w:type="spellStart"/>
      <w:r w:rsidRPr="00ED1819">
        <w:rPr>
          <w:rFonts w:ascii="Verdana" w:eastAsia="Times New Roman" w:hAnsi="Verdana" w:cstheme="minorHAnsi"/>
          <w:bCs/>
          <w:sz w:val="20"/>
          <w:szCs w:val="20"/>
          <w:lang w:eastAsia="ar-SA"/>
        </w:rPr>
        <w:t>Sirois</w:t>
      </w:r>
      <w:proofErr w:type="spellEnd"/>
      <w:r w:rsidRPr="00ED1819">
        <w:rPr>
          <w:rFonts w:ascii="Verdana" w:eastAsia="Times New Roman" w:hAnsi="Verdana" w:cstheme="minorHAnsi"/>
          <w:bCs/>
          <w:sz w:val="20"/>
          <w:szCs w:val="20"/>
          <w:lang w:eastAsia="ar-SA"/>
        </w:rPr>
        <w:t>, presented at the 22</w:t>
      </w:r>
      <w:r w:rsidRPr="00ED1819">
        <w:rPr>
          <w:rFonts w:ascii="Verdana" w:eastAsia="Times New Roman" w:hAnsi="Verdana" w:cstheme="minorHAnsi"/>
          <w:bCs/>
          <w:sz w:val="20"/>
          <w:szCs w:val="20"/>
          <w:vertAlign w:val="superscript"/>
          <w:lang w:eastAsia="ar-SA"/>
        </w:rPr>
        <w:t>nd</w:t>
      </w:r>
      <w:r w:rsidRPr="00ED1819">
        <w:rPr>
          <w:rFonts w:ascii="Verdana" w:eastAsia="Times New Roman" w:hAnsi="Verdana" w:cstheme="minorHAnsi"/>
          <w:bCs/>
          <w:sz w:val="20"/>
          <w:szCs w:val="20"/>
          <w:lang w:eastAsia="ar-SA"/>
        </w:rPr>
        <w:t xml:space="preserve"> Annual Eastern Conference of the Advanced Workshop in Regulation and Competition, </w:t>
      </w:r>
      <w:proofErr w:type="spellStart"/>
      <w:r w:rsidRPr="00ED1819">
        <w:rPr>
          <w:rFonts w:ascii="Verdana" w:eastAsia="Times New Roman" w:hAnsi="Verdana" w:cstheme="minorHAnsi"/>
          <w:bCs/>
          <w:sz w:val="20"/>
          <w:szCs w:val="20"/>
          <w:lang w:eastAsia="ar-SA"/>
        </w:rPr>
        <w:t>Skytop</w:t>
      </w:r>
      <w:proofErr w:type="spellEnd"/>
      <w:r w:rsidRPr="00ED1819">
        <w:rPr>
          <w:rFonts w:ascii="Verdana" w:eastAsia="Times New Roman" w:hAnsi="Verdana" w:cstheme="minorHAnsi"/>
          <w:bCs/>
          <w:sz w:val="20"/>
          <w:szCs w:val="20"/>
          <w:lang w:eastAsia="ar-SA"/>
        </w:rPr>
        <w:t>, PA, May 2003.</w:t>
      </w:r>
    </w:p>
    <w:p w14:paraId="696D296A" w14:textId="77777777" w:rsidR="00ED7703" w:rsidRPr="00ED1819" w:rsidRDefault="00ED7703" w:rsidP="00ED7703">
      <w:pPr>
        <w:suppressLineNumbers/>
        <w:spacing w:after="240" w:line="264" w:lineRule="auto"/>
        <w:rPr>
          <w:rFonts w:ascii="Verdana" w:eastAsia="Times New Roman" w:hAnsi="Verdana" w:cstheme="minorHAnsi"/>
          <w:bCs/>
          <w:sz w:val="20"/>
          <w:szCs w:val="20"/>
          <w:lang w:eastAsia="ar-SA"/>
        </w:rPr>
      </w:pPr>
      <w:r w:rsidRPr="00ED1819">
        <w:rPr>
          <w:rFonts w:ascii="Verdana" w:eastAsia="Times New Roman" w:hAnsi="Verdana" w:cstheme="minorHAnsi"/>
          <w:bCs/>
          <w:sz w:val="20"/>
          <w:szCs w:val="20"/>
          <w:lang w:eastAsia="ar-SA"/>
        </w:rPr>
        <w:t>Dissertation for Ph.D. – “Participation in Environmental Management Systems: The Effect of Supply-Chain Relationships on Company Behavior,” presented at the Eastern Economic Association meeting, New York City, NY, February 2001.</w:t>
      </w:r>
      <w:r>
        <w:rPr>
          <w:rFonts w:ascii="Verdana" w:eastAsia="Times New Roman" w:hAnsi="Verdana" w:cstheme="minorHAnsi"/>
          <w:bCs/>
          <w:sz w:val="20"/>
          <w:szCs w:val="20"/>
          <w:lang w:eastAsia="ar-SA"/>
        </w:rPr>
        <w:t xml:space="preserve"> </w:t>
      </w:r>
    </w:p>
    <w:p w14:paraId="1BDAB26F" w14:textId="77777777" w:rsidR="00ED7703" w:rsidRPr="00ED1819" w:rsidRDefault="00ED7703" w:rsidP="00ED7703">
      <w:pPr>
        <w:rPr>
          <w:rFonts w:ascii="Verdana" w:hAnsi="Verdana" w:cstheme="minorHAnsi"/>
          <w:sz w:val="20"/>
          <w:szCs w:val="20"/>
        </w:rPr>
      </w:pPr>
      <w:r w:rsidRPr="00ED1819">
        <w:rPr>
          <w:rFonts w:ascii="Verdana" w:eastAsia="Times New Roman" w:hAnsi="Verdana" w:cstheme="minorHAnsi"/>
          <w:bCs/>
          <w:sz w:val="20"/>
          <w:szCs w:val="20"/>
          <w:lang w:eastAsia="ar-SA"/>
        </w:rPr>
        <w:t>Report under the Manufacturing Management Grant</w:t>
      </w:r>
      <w:r w:rsidRPr="00ED1819">
        <w:rPr>
          <w:rFonts w:ascii="Verdana" w:eastAsia="Times New Roman" w:hAnsi="Verdana" w:cstheme="minorHAnsi"/>
          <w:sz w:val="20"/>
          <w:szCs w:val="20"/>
          <w:lang w:eastAsia="ar-SA"/>
        </w:rPr>
        <w:t xml:space="preserve"> – “Report on U.S. Small Business Administration Funded Survey of New Hampshire Manufacturers in Rural Areas,” by Linda G. Sprague and Maureen L. </w:t>
      </w:r>
      <w:proofErr w:type="spellStart"/>
      <w:r w:rsidRPr="00ED1819">
        <w:rPr>
          <w:rFonts w:ascii="Verdana" w:eastAsia="Times New Roman" w:hAnsi="Verdana" w:cstheme="minorHAnsi"/>
          <w:sz w:val="20"/>
          <w:szCs w:val="20"/>
          <w:lang w:eastAsia="ar-SA"/>
        </w:rPr>
        <w:t>Sirois</w:t>
      </w:r>
      <w:proofErr w:type="spellEnd"/>
      <w:r w:rsidRPr="00ED1819">
        <w:rPr>
          <w:rFonts w:ascii="Verdana" w:eastAsia="Times New Roman" w:hAnsi="Verdana" w:cstheme="minorHAnsi"/>
          <w:sz w:val="20"/>
          <w:szCs w:val="20"/>
          <w:lang w:eastAsia="ar-SA"/>
        </w:rPr>
        <w:t>, presented at the Global Manufacturing Research Group (GMRG) Annual Meeting, University of Western Ontario, Canada, August 2000.</w:t>
      </w:r>
    </w:p>
    <w:p w14:paraId="2FFC0785" w14:textId="77777777" w:rsidR="00ED7703" w:rsidRPr="00ED1819" w:rsidRDefault="00ED7703" w:rsidP="00ED7703">
      <w:pPr>
        <w:jc w:val="center"/>
        <w:rPr>
          <w:rFonts w:ascii="Verdana" w:hAnsi="Verdana" w:cstheme="minorHAnsi"/>
          <w:b/>
          <w:sz w:val="20"/>
          <w:szCs w:val="20"/>
          <w:u w:val="single"/>
        </w:rPr>
      </w:pPr>
    </w:p>
    <w:p w14:paraId="72B93FD2" w14:textId="77777777" w:rsidR="00ED7703" w:rsidRPr="00ED1819" w:rsidRDefault="00ED7703" w:rsidP="00ED7703">
      <w:pPr>
        <w:ind w:left="-450"/>
        <w:jc w:val="center"/>
        <w:rPr>
          <w:rFonts w:ascii="Verdana" w:hAnsi="Verdana" w:cstheme="minorHAnsi"/>
          <w:b/>
          <w:sz w:val="20"/>
          <w:szCs w:val="20"/>
          <w:u w:val="single"/>
        </w:rPr>
      </w:pPr>
    </w:p>
    <w:p w14:paraId="47D25892" w14:textId="77777777" w:rsidR="00ED7703" w:rsidRPr="00ED1819" w:rsidRDefault="00ED7703" w:rsidP="00ED7703">
      <w:pPr>
        <w:jc w:val="center"/>
        <w:rPr>
          <w:rFonts w:ascii="Verdana" w:hAnsi="Verdana" w:cstheme="minorHAnsi"/>
          <w:b/>
          <w:sz w:val="20"/>
          <w:szCs w:val="20"/>
          <w:u w:val="single"/>
        </w:rPr>
      </w:pPr>
    </w:p>
    <w:p w14:paraId="6B9CA77D" w14:textId="77777777" w:rsidR="00ED7703" w:rsidRPr="00ED1819" w:rsidRDefault="00ED7703" w:rsidP="00ED7703">
      <w:pPr>
        <w:ind w:left="-450"/>
        <w:rPr>
          <w:rFonts w:ascii="Verdana" w:hAnsi="Verdana" w:cstheme="minorHAnsi"/>
          <w:b/>
          <w:sz w:val="20"/>
          <w:szCs w:val="20"/>
          <w:u w:val="single"/>
        </w:rPr>
      </w:pPr>
    </w:p>
    <w:p w14:paraId="4093F4B5" w14:textId="77777777" w:rsidR="00A37DCE" w:rsidRPr="00DB5977" w:rsidRDefault="00A37DCE" w:rsidP="00CA6D1D">
      <w:pPr>
        <w:jc w:val="center"/>
        <w:rPr>
          <w:rFonts w:ascii="Verdana" w:hAnsi="Verdana" w:cstheme="minorHAnsi"/>
          <w:b/>
          <w:sz w:val="20"/>
          <w:szCs w:val="18"/>
          <w:u w:val="single"/>
        </w:rPr>
      </w:pPr>
    </w:p>
    <w:p w14:paraId="071FA697" w14:textId="77777777" w:rsidR="00F55FC3" w:rsidRPr="00DB5977" w:rsidRDefault="00F55FC3" w:rsidP="00A37DCE">
      <w:pPr>
        <w:ind w:left="-450"/>
        <w:jc w:val="center"/>
        <w:rPr>
          <w:rFonts w:ascii="Verdana" w:hAnsi="Verdana" w:cstheme="minorHAnsi"/>
          <w:b/>
          <w:sz w:val="20"/>
          <w:szCs w:val="18"/>
          <w:u w:val="single"/>
        </w:rPr>
      </w:pPr>
    </w:p>
    <w:p w14:paraId="6446925F" w14:textId="77777777" w:rsidR="00C65EA4" w:rsidRPr="00DB5977" w:rsidRDefault="00C65EA4" w:rsidP="00A37DCE">
      <w:pPr>
        <w:ind w:left="-540"/>
        <w:jc w:val="center"/>
        <w:rPr>
          <w:rFonts w:ascii="Verdana" w:hAnsi="Verdana" w:cstheme="minorHAnsi"/>
          <w:b/>
          <w:sz w:val="20"/>
          <w:szCs w:val="18"/>
          <w:u w:val="single"/>
        </w:rPr>
      </w:pPr>
    </w:p>
    <w:p w14:paraId="026A241A" w14:textId="77777777" w:rsidR="00C65EA4" w:rsidRPr="00DB5977" w:rsidRDefault="00C65EA4" w:rsidP="00CA6D1D">
      <w:pPr>
        <w:jc w:val="center"/>
        <w:rPr>
          <w:rFonts w:ascii="Verdana" w:hAnsi="Verdana" w:cstheme="minorHAnsi"/>
          <w:b/>
          <w:sz w:val="20"/>
          <w:szCs w:val="18"/>
          <w:u w:val="single"/>
        </w:rPr>
      </w:pPr>
    </w:p>
    <w:p w14:paraId="3CF7A7E7" w14:textId="77777777" w:rsidR="00C65EA4" w:rsidRPr="00DB5977" w:rsidRDefault="00C65EA4" w:rsidP="00F55FC3">
      <w:pPr>
        <w:suppressLineNumbers/>
        <w:spacing w:after="0" w:line="240" w:lineRule="auto"/>
        <w:jc w:val="center"/>
        <w:rPr>
          <w:rFonts w:ascii="Verdana" w:hAnsi="Verdana" w:cstheme="minorHAnsi"/>
          <w:b/>
          <w:color w:val="222222"/>
          <w:sz w:val="20"/>
          <w:szCs w:val="20"/>
          <w:shd w:val="clear" w:color="auto" w:fill="FFFFFF"/>
        </w:rPr>
        <w:sectPr w:rsidR="00C65EA4" w:rsidRPr="00DB5977" w:rsidSect="00BC5AB1">
          <w:headerReference w:type="default" r:id="rId17"/>
          <w:footerReference w:type="default" r:id="rId18"/>
          <w:pgSz w:w="12240" w:h="15840"/>
          <w:pgMar w:top="1440" w:right="1440" w:bottom="1080" w:left="1440" w:header="720" w:footer="720" w:gutter="0"/>
          <w:pgNumType w:start="1"/>
          <w:cols w:space="720"/>
          <w:docGrid w:linePitch="360"/>
        </w:sectPr>
      </w:pPr>
    </w:p>
    <w:p w14:paraId="03F11414" w14:textId="47C77707" w:rsidR="00BC5AB1" w:rsidRPr="00DB5977" w:rsidRDefault="007B4189" w:rsidP="00F27107">
      <w:pPr>
        <w:jc w:val="center"/>
        <w:rPr>
          <w:rFonts w:ascii="Verdana" w:hAnsi="Verdana" w:cstheme="minorHAnsi"/>
          <w:b/>
          <w:sz w:val="20"/>
          <w:szCs w:val="20"/>
          <w:u w:val="single"/>
        </w:rPr>
      </w:pPr>
      <w:bookmarkStart w:id="44" w:name="_Toc415003984"/>
      <w:bookmarkStart w:id="45" w:name="_Toc418589726"/>
      <w:r w:rsidRPr="00DB5977">
        <w:rPr>
          <w:rFonts w:ascii="Verdana" w:hAnsi="Verdana" w:cstheme="minorHAnsi"/>
          <w:b/>
          <w:sz w:val="20"/>
          <w:szCs w:val="20"/>
          <w:u w:val="single"/>
        </w:rPr>
        <w:t>APPENDIX B</w:t>
      </w:r>
      <w:r w:rsidR="00BC5AB1" w:rsidRPr="00DB5977">
        <w:rPr>
          <w:rFonts w:ascii="Verdana" w:hAnsi="Verdana" w:cstheme="minorHAnsi"/>
          <w:b/>
          <w:sz w:val="20"/>
          <w:szCs w:val="20"/>
          <w:u w:val="single"/>
        </w:rPr>
        <w:t xml:space="preserve">: </w:t>
      </w:r>
      <w:bookmarkEnd w:id="44"/>
      <w:bookmarkEnd w:id="45"/>
      <w:r w:rsidR="0013533B">
        <w:rPr>
          <w:rFonts w:ascii="Verdana" w:hAnsi="Verdana" w:cstheme="minorHAnsi"/>
          <w:b/>
          <w:sz w:val="20"/>
          <w:szCs w:val="20"/>
          <w:u w:val="single"/>
        </w:rPr>
        <w:t>EXHIBITS</w:t>
      </w:r>
    </w:p>
    <w:p w14:paraId="529BEE80" w14:textId="559B4F2B"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LR-1</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Historical </w:t>
      </w:r>
      <w:r w:rsidR="009D3126" w:rsidRPr="00DB5977">
        <w:rPr>
          <w:rFonts w:ascii="Verdana" w:hAnsi="Verdana" w:cstheme="minorHAnsi"/>
          <w:sz w:val="20"/>
          <w:szCs w:val="20"/>
        </w:rPr>
        <w:t>Economic Trends</w:t>
      </w:r>
    </w:p>
    <w:p w14:paraId="431976EC" w14:textId="423913F7"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LR-2a</w:t>
      </w:r>
      <w:r>
        <w:rPr>
          <w:rFonts w:ascii="Verdana" w:hAnsi="Verdana" w:cstheme="minorHAnsi"/>
          <w:sz w:val="20"/>
          <w:szCs w:val="20"/>
        </w:rPr>
        <w:t>)</w:t>
      </w:r>
      <w:r w:rsidR="009D3126" w:rsidRPr="00DB5977">
        <w:rPr>
          <w:rFonts w:ascii="Verdana" w:hAnsi="Verdana" w:cstheme="minorHAnsi"/>
          <w:sz w:val="20"/>
          <w:szCs w:val="20"/>
        </w:rPr>
        <w:t xml:space="preserve"> – Rates &amp; Yields</w:t>
      </w:r>
    </w:p>
    <w:p w14:paraId="42F40E15" w14:textId="22BFC16D"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LR-2b</w:t>
      </w:r>
      <w:r>
        <w:rPr>
          <w:rFonts w:ascii="Verdana" w:hAnsi="Verdana" w:cstheme="minorHAnsi"/>
          <w:sz w:val="20"/>
          <w:szCs w:val="20"/>
        </w:rPr>
        <w:t>)</w:t>
      </w:r>
      <w:r w:rsidR="009D3126" w:rsidRPr="00DB5977">
        <w:rPr>
          <w:rFonts w:ascii="Verdana" w:hAnsi="Verdana" w:cstheme="minorHAnsi"/>
          <w:sz w:val="20"/>
          <w:szCs w:val="20"/>
        </w:rPr>
        <w:t xml:space="preserve"> – Yield Curve</w:t>
      </w:r>
    </w:p>
    <w:p w14:paraId="27CD0702" w14:textId="316C2C25" w:rsidR="009D3126"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9D3126" w:rsidRPr="00DB5977">
        <w:rPr>
          <w:rFonts w:ascii="Verdana" w:hAnsi="Verdana" w:cstheme="minorHAnsi"/>
          <w:sz w:val="20"/>
          <w:szCs w:val="20"/>
        </w:rPr>
        <w:t>LR-2c</w:t>
      </w:r>
      <w:r>
        <w:rPr>
          <w:rFonts w:ascii="Verdana" w:hAnsi="Verdana" w:cstheme="minorHAnsi"/>
          <w:sz w:val="20"/>
          <w:szCs w:val="20"/>
        </w:rPr>
        <w:t>)</w:t>
      </w:r>
      <w:r w:rsidR="009D3126" w:rsidRPr="00DB5977">
        <w:rPr>
          <w:rFonts w:ascii="Verdana" w:hAnsi="Verdana" w:cstheme="minorHAnsi"/>
          <w:sz w:val="20"/>
          <w:szCs w:val="20"/>
        </w:rPr>
        <w:t xml:space="preserve"> – TIPS Spread</w:t>
      </w:r>
    </w:p>
    <w:p w14:paraId="7F92A739" w14:textId="1DE64E1A" w:rsidR="00BC5AB1" w:rsidRPr="00DB5977" w:rsidRDefault="0013533B" w:rsidP="00195048">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LR-3</w:t>
      </w:r>
      <w:r>
        <w:rPr>
          <w:rFonts w:ascii="Verdana" w:hAnsi="Verdana" w:cstheme="minorHAnsi"/>
          <w:sz w:val="20"/>
          <w:szCs w:val="20"/>
        </w:rPr>
        <w:t>)</w:t>
      </w:r>
      <w:r w:rsidR="009D3126" w:rsidRPr="00DB5977">
        <w:rPr>
          <w:rFonts w:ascii="Verdana" w:hAnsi="Verdana" w:cstheme="minorHAnsi"/>
          <w:sz w:val="20"/>
          <w:szCs w:val="20"/>
        </w:rPr>
        <w:t xml:space="preserve"> – S</w:t>
      </w:r>
      <w:r w:rsidR="00195048" w:rsidRPr="00DB5977">
        <w:rPr>
          <w:rFonts w:ascii="Verdana" w:hAnsi="Verdana" w:cstheme="minorHAnsi"/>
          <w:sz w:val="20"/>
          <w:szCs w:val="20"/>
        </w:rPr>
        <w:t>urvey of Professional Forecasters</w:t>
      </w:r>
    </w:p>
    <w:p w14:paraId="38262B32" w14:textId="274EF9F0"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LR-4</w:t>
      </w:r>
      <w:r>
        <w:rPr>
          <w:rFonts w:ascii="Verdana" w:hAnsi="Verdana" w:cstheme="minorHAnsi"/>
          <w:sz w:val="20"/>
          <w:szCs w:val="20"/>
        </w:rPr>
        <w:t>)</w:t>
      </w:r>
      <w:r w:rsidR="009D3126" w:rsidRPr="00DB5977">
        <w:rPr>
          <w:rFonts w:ascii="Verdana" w:hAnsi="Verdana" w:cstheme="minorHAnsi"/>
          <w:sz w:val="20"/>
          <w:szCs w:val="20"/>
        </w:rPr>
        <w:t xml:space="preserve"> – Sample Characteristics</w:t>
      </w:r>
    </w:p>
    <w:p w14:paraId="2B53EFD0" w14:textId="325D1D18"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LR-5a</w:t>
      </w:r>
      <w:r>
        <w:rPr>
          <w:rFonts w:ascii="Verdana" w:hAnsi="Verdana" w:cstheme="minorHAnsi"/>
          <w:sz w:val="20"/>
          <w:szCs w:val="20"/>
        </w:rPr>
        <w:t>)</w:t>
      </w:r>
      <w:r w:rsidR="009D3126" w:rsidRPr="00DB5977">
        <w:rPr>
          <w:rFonts w:ascii="Verdana" w:hAnsi="Verdana" w:cstheme="minorHAnsi"/>
          <w:sz w:val="20"/>
          <w:szCs w:val="20"/>
        </w:rPr>
        <w:t xml:space="preserve"> – </w:t>
      </w:r>
      <w:r w:rsidR="00F27107" w:rsidRPr="00DB5977">
        <w:rPr>
          <w:rFonts w:ascii="Verdana" w:hAnsi="Verdana" w:cstheme="minorHAnsi"/>
          <w:sz w:val="20"/>
          <w:szCs w:val="20"/>
        </w:rPr>
        <w:t xml:space="preserve">Constant Growth </w:t>
      </w:r>
      <w:r w:rsidR="009D3126" w:rsidRPr="00DB5977">
        <w:rPr>
          <w:rFonts w:ascii="Verdana" w:hAnsi="Verdana" w:cstheme="minorHAnsi"/>
          <w:sz w:val="20"/>
          <w:szCs w:val="20"/>
        </w:rPr>
        <w:t xml:space="preserve">DCF Results EPS Growth </w:t>
      </w:r>
      <w:r w:rsidR="009D229F">
        <w:rPr>
          <w:rFonts w:ascii="Verdana" w:hAnsi="Verdana" w:cstheme="minorHAnsi"/>
          <w:sz w:val="20"/>
          <w:szCs w:val="20"/>
        </w:rPr>
        <w:t>Model</w:t>
      </w:r>
      <w:r w:rsidR="00DF778F" w:rsidRPr="00DB5977">
        <w:rPr>
          <w:rFonts w:ascii="Verdana" w:hAnsi="Verdana" w:cstheme="minorHAnsi"/>
          <w:sz w:val="20"/>
          <w:szCs w:val="20"/>
        </w:rPr>
        <w:t xml:space="preserve"> (90-Day Stock Price)</w:t>
      </w:r>
    </w:p>
    <w:p w14:paraId="4E23BF73" w14:textId="4B4D887C"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LR-5b</w:t>
      </w:r>
      <w:r>
        <w:rPr>
          <w:rFonts w:ascii="Verdana" w:hAnsi="Verdana" w:cstheme="minorHAnsi"/>
          <w:sz w:val="20"/>
          <w:szCs w:val="20"/>
        </w:rPr>
        <w:t>)</w:t>
      </w:r>
      <w:r w:rsidR="009D3126" w:rsidRPr="00DB5977">
        <w:rPr>
          <w:rFonts w:ascii="Verdana" w:hAnsi="Verdana" w:cstheme="minorHAnsi"/>
          <w:sz w:val="20"/>
          <w:szCs w:val="20"/>
        </w:rPr>
        <w:t xml:space="preserve"> – </w:t>
      </w:r>
      <w:r w:rsidR="00F27107" w:rsidRPr="00DB5977">
        <w:rPr>
          <w:rFonts w:ascii="Verdana" w:hAnsi="Verdana" w:cstheme="minorHAnsi"/>
          <w:sz w:val="20"/>
          <w:szCs w:val="20"/>
        </w:rPr>
        <w:t xml:space="preserve">Constant Growth </w:t>
      </w:r>
      <w:r w:rsidR="009D3126" w:rsidRPr="00DB5977">
        <w:rPr>
          <w:rFonts w:ascii="Verdana" w:hAnsi="Verdana" w:cstheme="minorHAnsi"/>
          <w:sz w:val="20"/>
          <w:szCs w:val="20"/>
        </w:rPr>
        <w:t xml:space="preserve">DCF Results EPS, DPS, and BVPS Growth </w:t>
      </w:r>
      <w:r w:rsidR="009D229F">
        <w:rPr>
          <w:rFonts w:ascii="Verdana" w:hAnsi="Verdana" w:cstheme="minorHAnsi"/>
          <w:sz w:val="20"/>
          <w:szCs w:val="20"/>
        </w:rPr>
        <w:t>Model</w:t>
      </w:r>
      <w:r w:rsidR="00DF778F" w:rsidRPr="00DB5977">
        <w:rPr>
          <w:rFonts w:ascii="Verdana" w:hAnsi="Verdana" w:cstheme="minorHAnsi"/>
          <w:sz w:val="20"/>
          <w:szCs w:val="20"/>
        </w:rPr>
        <w:t xml:space="preserve"> (90-Day Stock Price)</w:t>
      </w:r>
    </w:p>
    <w:p w14:paraId="4C748428" w14:textId="77ED34D6" w:rsidR="00105E30"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105E30" w:rsidRPr="00DB5977">
        <w:rPr>
          <w:rFonts w:ascii="Verdana" w:hAnsi="Verdana" w:cstheme="minorHAnsi"/>
          <w:sz w:val="20"/>
          <w:szCs w:val="20"/>
        </w:rPr>
        <w:t>LR-5c</w:t>
      </w:r>
      <w:r>
        <w:rPr>
          <w:rFonts w:ascii="Verdana" w:hAnsi="Verdana" w:cstheme="minorHAnsi"/>
          <w:sz w:val="20"/>
          <w:szCs w:val="20"/>
        </w:rPr>
        <w:t>)</w:t>
      </w:r>
      <w:r w:rsidR="009D3126" w:rsidRPr="00DB5977">
        <w:rPr>
          <w:rFonts w:ascii="Verdana" w:hAnsi="Verdana" w:cstheme="minorHAnsi"/>
          <w:sz w:val="20"/>
          <w:szCs w:val="20"/>
        </w:rPr>
        <w:t xml:space="preserve"> – </w:t>
      </w:r>
      <w:r w:rsidR="00F27107" w:rsidRPr="00DB5977">
        <w:rPr>
          <w:rFonts w:ascii="Verdana" w:hAnsi="Verdana" w:cstheme="minorHAnsi"/>
          <w:sz w:val="20"/>
          <w:szCs w:val="20"/>
        </w:rPr>
        <w:t xml:space="preserve">Constant Growth </w:t>
      </w:r>
      <w:r w:rsidR="009D3126" w:rsidRPr="00DB5977">
        <w:rPr>
          <w:rFonts w:ascii="Verdana" w:hAnsi="Verdana" w:cstheme="minorHAnsi"/>
          <w:sz w:val="20"/>
          <w:szCs w:val="20"/>
        </w:rPr>
        <w:t>DCF Results with E</w:t>
      </w:r>
      <w:r w:rsidR="000C5ACC" w:rsidRPr="00DB5977">
        <w:rPr>
          <w:rFonts w:ascii="Verdana" w:hAnsi="Verdana" w:cstheme="minorHAnsi"/>
          <w:sz w:val="20"/>
          <w:szCs w:val="20"/>
        </w:rPr>
        <w:t xml:space="preserve">PS </w:t>
      </w:r>
      <w:r w:rsidR="009D3126" w:rsidRPr="00DB5977">
        <w:rPr>
          <w:rFonts w:ascii="Verdana" w:hAnsi="Verdana" w:cstheme="minorHAnsi"/>
          <w:sz w:val="20"/>
          <w:szCs w:val="20"/>
        </w:rPr>
        <w:t>Growth</w:t>
      </w:r>
      <w:r w:rsidR="000C5ACC" w:rsidRPr="00DB5977">
        <w:rPr>
          <w:rFonts w:ascii="Verdana" w:hAnsi="Verdana" w:cstheme="minorHAnsi"/>
          <w:sz w:val="20"/>
          <w:szCs w:val="20"/>
        </w:rPr>
        <w:t xml:space="preserve"> </w:t>
      </w:r>
      <w:r w:rsidR="009D229F">
        <w:rPr>
          <w:rFonts w:ascii="Verdana" w:hAnsi="Verdana" w:cstheme="minorHAnsi"/>
          <w:sz w:val="20"/>
          <w:szCs w:val="20"/>
        </w:rPr>
        <w:t>Model</w:t>
      </w:r>
      <w:r w:rsidR="00DF778F" w:rsidRPr="00DB5977">
        <w:rPr>
          <w:rFonts w:ascii="Verdana" w:hAnsi="Verdana" w:cstheme="minorHAnsi"/>
          <w:sz w:val="20"/>
          <w:szCs w:val="20"/>
        </w:rPr>
        <w:t xml:space="preserve"> (180-Day Stock Price)</w:t>
      </w:r>
    </w:p>
    <w:p w14:paraId="2CFEC328" w14:textId="3FAC972E" w:rsidR="00105E30"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105E30" w:rsidRPr="00DB5977">
        <w:rPr>
          <w:rFonts w:ascii="Verdana" w:hAnsi="Verdana" w:cstheme="minorHAnsi"/>
          <w:sz w:val="20"/>
          <w:szCs w:val="20"/>
        </w:rPr>
        <w:t>LR-5d</w:t>
      </w:r>
      <w:r>
        <w:rPr>
          <w:rFonts w:ascii="Verdana" w:hAnsi="Verdana" w:cstheme="minorHAnsi"/>
          <w:sz w:val="20"/>
          <w:szCs w:val="20"/>
        </w:rPr>
        <w:t>)</w:t>
      </w:r>
      <w:r w:rsidR="009D3126" w:rsidRPr="00DB5977">
        <w:rPr>
          <w:rFonts w:ascii="Verdana" w:hAnsi="Verdana" w:cstheme="minorHAnsi"/>
          <w:sz w:val="20"/>
          <w:szCs w:val="20"/>
        </w:rPr>
        <w:t xml:space="preserve"> </w:t>
      </w:r>
      <w:r w:rsidR="009567A0" w:rsidRPr="00DB5977">
        <w:rPr>
          <w:rFonts w:ascii="Verdana" w:hAnsi="Verdana" w:cstheme="minorHAnsi"/>
          <w:sz w:val="20"/>
          <w:szCs w:val="20"/>
        </w:rPr>
        <w:t xml:space="preserve">– </w:t>
      </w:r>
      <w:r w:rsidR="00F27107" w:rsidRPr="00DB5977">
        <w:rPr>
          <w:rFonts w:ascii="Verdana" w:hAnsi="Verdana" w:cstheme="minorHAnsi"/>
          <w:sz w:val="20"/>
          <w:szCs w:val="20"/>
        </w:rPr>
        <w:t xml:space="preserve">Constant Growth </w:t>
      </w:r>
      <w:r w:rsidR="009D3126" w:rsidRPr="00DB5977">
        <w:rPr>
          <w:rFonts w:ascii="Verdana" w:hAnsi="Verdana" w:cstheme="minorHAnsi"/>
          <w:sz w:val="20"/>
          <w:szCs w:val="20"/>
        </w:rPr>
        <w:t>DCF Results with EPS, DPS, and BV</w:t>
      </w:r>
      <w:r w:rsidR="000C5ACC" w:rsidRPr="00DB5977">
        <w:rPr>
          <w:rFonts w:ascii="Verdana" w:hAnsi="Verdana" w:cstheme="minorHAnsi"/>
          <w:sz w:val="20"/>
          <w:szCs w:val="20"/>
        </w:rPr>
        <w:t>PS</w:t>
      </w:r>
      <w:r w:rsidR="009D3126" w:rsidRPr="00DB5977">
        <w:rPr>
          <w:rFonts w:ascii="Verdana" w:hAnsi="Verdana" w:cstheme="minorHAnsi"/>
          <w:sz w:val="20"/>
          <w:szCs w:val="20"/>
        </w:rPr>
        <w:t xml:space="preserve"> Growth</w:t>
      </w:r>
      <w:r w:rsidR="000C5ACC" w:rsidRPr="00DB5977">
        <w:rPr>
          <w:rFonts w:ascii="Verdana" w:hAnsi="Verdana" w:cstheme="minorHAnsi"/>
          <w:sz w:val="20"/>
          <w:szCs w:val="20"/>
        </w:rPr>
        <w:t xml:space="preserve"> </w:t>
      </w:r>
      <w:r w:rsidR="009D229F">
        <w:rPr>
          <w:rFonts w:ascii="Verdana" w:hAnsi="Verdana" w:cstheme="minorHAnsi"/>
          <w:sz w:val="20"/>
          <w:szCs w:val="20"/>
        </w:rPr>
        <w:t>Model</w:t>
      </w:r>
      <w:r w:rsidR="00DF778F" w:rsidRPr="00DB5977">
        <w:rPr>
          <w:rFonts w:ascii="Verdana" w:hAnsi="Verdana" w:cstheme="minorHAnsi"/>
          <w:sz w:val="20"/>
          <w:szCs w:val="20"/>
        </w:rPr>
        <w:t xml:space="preserve"> (180-Day Stock Price)</w:t>
      </w:r>
    </w:p>
    <w:p w14:paraId="44919A17" w14:textId="1C04E0BD"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LR-6a</w:t>
      </w:r>
      <w:r>
        <w:rPr>
          <w:rFonts w:ascii="Verdana" w:hAnsi="Verdana" w:cstheme="minorHAnsi"/>
          <w:sz w:val="20"/>
          <w:szCs w:val="20"/>
        </w:rPr>
        <w:t>)</w:t>
      </w:r>
      <w:r w:rsidR="009D3126" w:rsidRPr="00DB5977">
        <w:rPr>
          <w:rFonts w:ascii="Verdana" w:hAnsi="Verdana" w:cstheme="minorHAnsi"/>
          <w:sz w:val="20"/>
          <w:szCs w:val="20"/>
        </w:rPr>
        <w:t xml:space="preserve"> – Sustainable Growth DCF (Internal)</w:t>
      </w:r>
      <w:r w:rsidR="00DF778F" w:rsidRPr="00DB5977">
        <w:rPr>
          <w:rFonts w:ascii="Verdana" w:hAnsi="Verdana" w:cstheme="minorHAnsi"/>
          <w:sz w:val="20"/>
          <w:szCs w:val="20"/>
        </w:rPr>
        <w:t xml:space="preserve"> </w:t>
      </w:r>
    </w:p>
    <w:p w14:paraId="20D145EA" w14:textId="76203F2E"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LR-6b</w:t>
      </w:r>
      <w:r>
        <w:rPr>
          <w:rFonts w:ascii="Verdana" w:hAnsi="Verdana" w:cstheme="minorHAnsi"/>
          <w:sz w:val="20"/>
          <w:szCs w:val="20"/>
        </w:rPr>
        <w:t>)</w:t>
      </w:r>
      <w:r w:rsidR="009D3126" w:rsidRPr="00DB5977">
        <w:rPr>
          <w:rFonts w:ascii="Verdana" w:hAnsi="Verdana" w:cstheme="minorHAnsi"/>
          <w:sz w:val="20"/>
          <w:szCs w:val="20"/>
        </w:rPr>
        <w:t xml:space="preserve"> – Sustainable Growth DCF (External)</w:t>
      </w:r>
    </w:p>
    <w:p w14:paraId="1773E885" w14:textId="61AA1B21"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LR-6c</w:t>
      </w:r>
      <w:r>
        <w:rPr>
          <w:rFonts w:ascii="Verdana" w:hAnsi="Verdana" w:cstheme="minorHAnsi"/>
          <w:sz w:val="20"/>
          <w:szCs w:val="20"/>
        </w:rPr>
        <w:t>)</w:t>
      </w:r>
      <w:r w:rsidR="009D3126" w:rsidRPr="00DB5977">
        <w:rPr>
          <w:rFonts w:ascii="Verdana" w:hAnsi="Verdana" w:cstheme="minorHAnsi"/>
          <w:sz w:val="20"/>
          <w:szCs w:val="20"/>
        </w:rPr>
        <w:t xml:space="preserve"> – Sustainable Growth DCF (Results)</w:t>
      </w:r>
      <w:r w:rsidR="00DF778F" w:rsidRPr="00DB5977">
        <w:rPr>
          <w:rFonts w:ascii="Verdana" w:hAnsi="Verdana" w:cstheme="minorHAnsi"/>
          <w:sz w:val="20"/>
          <w:szCs w:val="20"/>
        </w:rPr>
        <w:t xml:space="preserve"> (90-Day Stock Price)</w:t>
      </w:r>
    </w:p>
    <w:p w14:paraId="54ABE6DE" w14:textId="55DF9ECC" w:rsidR="00105E30"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105E30" w:rsidRPr="00DB5977">
        <w:rPr>
          <w:rFonts w:ascii="Verdana" w:hAnsi="Verdana" w:cstheme="minorHAnsi"/>
          <w:sz w:val="20"/>
          <w:szCs w:val="20"/>
        </w:rPr>
        <w:t>LR-6d</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Sustainable Growth </w:t>
      </w:r>
      <w:r w:rsidR="009D3126" w:rsidRPr="00DB5977">
        <w:rPr>
          <w:rFonts w:ascii="Verdana" w:hAnsi="Verdana" w:cstheme="minorHAnsi"/>
          <w:sz w:val="20"/>
          <w:szCs w:val="20"/>
        </w:rPr>
        <w:t>DCF (Internal)</w:t>
      </w:r>
    </w:p>
    <w:p w14:paraId="61C4C776" w14:textId="7EDBE1D4" w:rsidR="00105E30"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105E30" w:rsidRPr="00DB5977">
        <w:rPr>
          <w:rFonts w:ascii="Verdana" w:hAnsi="Verdana" w:cstheme="minorHAnsi"/>
          <w:sz w:val="20"/>
          <w:szCs w:val="20"/>
        </w:rPr>
        <w:t>LR-6e</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Sustainable Growth </w:t>
      </w:r>
      <w:r w:rsidR="009D3126" w:rsidRPr="00DB5977">
        <w:rPr>
          <w:rFonts w:ascii="Verdana" w:hAnsi="Verdana" w:cstheme="minorHAnsi"/>
          <w:sz w:val="20"/>
          <w:szCs w:val="20"/>
        </w:rPr>
        <w:t>DCF (External)</w:t>
      </w:r>
    </w:p>
    <w:p w14:paraId="5524DA86" w14:textId="54738D88" w:rsidR="00105E30"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105E30" w:rsidRPr="00DB5977">
        <w:rPr>
          <w:rFonts w:ascii="Verdana" w:hAnsi="Verdana" w:cstheme="minorHAnsi"/>
          <w:sz w:val="20"/>
          <w:szCs w:val="20"/>
        </w:rPr>
        <w:t>LR-6f</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Sustainable Growth </w:t>
      </w:r>
      <w:r w:rsidR="009D3126" w:rsidRPr="00DB5977">
        <w:rPr>
          <w:rFonts w:ascii="Verdana" w:hAnsi="Verdana" w:cstheme="minorHAnsi"/>
          <w:sz w:val="20"/>
          <w:szCs w:val="20"/>
        </w:rPr>
        <w:t>DCF (Results)</w:t>
      </w:r>
      <w:r w:rsidR="00DF778F" w:rsidRPr="00DB5977">
        <w:rPr>
          <w:rFonts w:ascii="Verdana" w:hAnsi="Verdana" w:cstheme="minorHAnsi"/>
          <w:sz w:val="20"/>
          <w:szCs w:val="20"/>
        </w:rPr>
        <w:t xml:space="preserve"> (180-Day Stock Price)</w:t>
      </w:r>
    </w:p>
    <w:p w14:paraId="01E02CA9" w14:textId="70097CA2"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LR-7a</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CAPM </w:t>
      </w:r>
      <w:r w:rsidR="00ED7703">
        <w:rPr>
          <w:rFonts w:ascii="Verdana" w:hAnsi="Verdana" w:cstheme="minorHAnsi"/>
          <w:sz w:val="20"/>
          <w:szCs w:val="20"/>
        </w:rPr>
        <w:t xml:space="preserve">&amp; ECAPM </w:t>
      </w:r>
      <w:r w:rsidR="00195048" w:rsidRPr="00DB5977">
        <w:rPr>
          <w:rFonts w:ascii="Verdana" w:hAnsi="Verdana" w:cstheme="minorHAnsi"/>
          <w:sz w:val="20"/>
          <w:szCs w:val="20"/>
        </w:rPr>
        <w:t>Assumptions (</w:t>
      </w:r>
      <w:proofErr w:type="spellStart"/>
      <w:r w:rsidR="00195048" w:rsidRPr="00DB5977">
        <w:rPr>
          <w:rFonts w:ascii="Verdana" w:hAnsi="Verdana" w:cstheme="minorHAnsi"/>
          <w:sz w:val="20"/>
          <w:szCs w:val="20"/>
        </w:rPr>
        <w:t>Lg</w:t>
      </w:r>
      <w:proofErr w:type="spellEnd"/>
      <w:r w:rsidR="00195048" w:rsidRPr="00DB5977">
        <w:rPr>
          <w:rFonts w:ascii="Verdana" w:hAnsi="Verdana" w:cstheme="minorHAnsi"/>
          <w:sz w:val="20"/>
          <w:szCs w:val="20"/>
        </w:rPr>
        <w:t xml:space="preserve"> Stock Return, 30-yr T-Bond)</w:t>
      </w:r>
    </w:p>
    <w:p w14:paraId="101E0B0A" w14:textId="36FF5813" w:rsidR="00BC5AB1" w:rsidRPr="00DB5977" w:rsidRDefault="0013533B" w:rsidP="007E366F">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BC5AB1" w:rsidRPr="00DB5977">
        <w:rPr>
          <w:rFonts w:ascii="Verdana" w:hAnsi="Verdana" w:cstheme="minorHAnsi"/>
          <w:sz w:val="20"/>
          <w:szCs w:val="20"/>
        </w:rPr>
        <w:t>LR-7b</w:t>
      </w:r>
      <w:r>
        <w:rPr>
          <w:rFonts w:ascii="Verdana" w:hAnsi="Verdana" w:cstheme="minorHAnsi"/>
          <w:sz w:val="20"/>
          <w:szCs w:val="20"/>
        </w:rPr>
        <w:t>)</w:t>
      </w:r>
      <w:r w:rsidR="009D3126" w:rsidRPr="00DB5977">
        <w:rPr>
          <w:rFonts w:ascii="Verdana" w:hAnsi="Verdana" w:cstheme="minorHAnsi"/>
          <w:sz w:val="20"/>
          <w:szCs w:val="20"/>
        </w:rPr>
        <w:t xml:space="preserve"> – </w:t>
      </w:r>
      <w:r w:rsidR="00195048" w:rsidRPr="00DB5977">
        <w:rPr>
          <w:rFonts w:ascii="Verdana" w:hAnsi="Verdana" w:cstheme="minorHAnsi"/>
          <w:sz w:val="20"/>
          <w:szCs w:val="20"/>
        </w:rPr>
        <w:t xml:space="preserve">CAPM </w:t>
      </w:r>
      <w:r w:rsidR="00ED7703">
        <w:rPr>
          <w:rFonts w:ascii="Verdana" w:hAnsi="Verdana" w:cstheme="minorHAnsi"/>
          <w:sz w:val="20"/>
          <w:szCs w:val="20"/>
        </w:rPr>
        <w:t xml:space="preserve">&amp; ECAPM </w:t>
      </w:r>
      <w:r w:rsidR="00195048" w:rsidRPr="00DB5977">
        <w:rPr>
          <w:rFonts w:ascii="Verdana" w:hAnsi="Verdana" w:cstheme="minorHAnsi"/>
          <w:sz w:val="20"/>
          <w:szCs w:val="20"/>
        </w:rPr>
        <w:t>Resu</w:t>
      </w:r>
      <w:r w:rsidR="00DF778F" w:rsidRPr="00DB5977">
        <w:rPr>
          <w:rFonts w:ascii="Verdana" w:hAnsi="Verdana" w:cstheme="minorHAnsi"/>
          <w:sz w:val="20"/>
          <w:szCs w:val="20"/>
        </w:rPr>
        <w:t>lt</w:t>
      </w:r>
      <w:r w:rsidR="00195048" w:rsidRPr="00DB5977">
        <w:rPr>
          <w:rFonts w:ascii="Verdana" w:hAnsi="Verdana" w:cstheme="minorHAnsi"/>
          <w:sz w:val="20"/>
          <w:szCs w:val="20"/>
        </w:rPr>
        <w:t>s (</w:t>
      </w:r>
      <w:proofErr w:type="spellStart"/>
      <w:r w:rsidR="00195048" w:rsidRPr="00DB5977">
        <w:rPr>
          <w:rFonts w:ascii="Verdana" w:hAnsi="Verdana" w:cstheme="minorHAnsi"/>
          <w:sz w:val="20"/>
          <w:szCs w:val="20"/>
        </w:rPr>
        <w:t>Lg</w:t>
      </w:r>
      <w:proofErr w:type="spellEnd"/>
      <w:r w:rsidR="00195048" w:rsidRPr="00DB5977">
        <w:rPr>
          <w:rFonts w:ascii="Verdana" w:hAnsi="Verdana" w:cstheme="minorHAnsi"/>
          <w:sz w:val="20"/>
          <w:szCs w:val="20"/>
        </w:rPr>
        <w:t xml:space="preserve"> Stock Return, 30-yr T-Bond)</w:t>
      </w:r>
    </w:p>
    <w:p w14:paraId="6B9A4896" w14:textId="7CE2A93D" w:rsidR="00813592" w:rsidRPr="00DB5977" w:rsidRDefault="0013533B" w:rsidP="00813592">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813592" w:rsidRPr="00DB5977">
        <w:rPr>
          <w:rFonts w:ascii="Verdana" w:hAnsi="Verdana" w:cstheme="minorHAnsi"/>
          <w:sz w:val="20"/>
          <w:szCs w:val="20"/>
        </w:rPr>
        <w:t>LR-7</w:t>
      </w:r>
      <w:r w:rsidR="00DF778F" w:rsidRPr="00DB5977">
        <w:rPr>
          <w:rFonts w:ascii="Verdana" w:hAnsi="Verdana" w:cstheme="minorHAnsi"/>
          <w:sz w:val="20"/>
          <w:szCs w:val="20"/>
        </w:rPr>
        <w:t>c</w:t>
      </w:r>
      <w:r>
        <w:rPr>
          <w:rFonts w:ascii="Verdana" w:hAnsi="Verdana" w:cstheme="minorHAnsi"/>
          <w:sz w:val="20"/>
          <w:szCs w:val="20"/>
        </w:rPr>
        <w:t>)</w:t>
      </w:r>
      <w:r w:rsidR="00813592" w:rsidRPr="00DB5977">
        <w:rPr>
          <w:rFonts w:ascii="Verdana" w:hAnsi="Verdana" w:cstheme="minorHAnsi"/>
          <w:sz w:val="20"/>
          <w:szCs w:val="20"/>
        </w:rPr>
        <w:t xml:space="preserve"> – CAPM </w:t>
      </w:r>
      <w:r w:rsidR="00ED7703">
        <w:rPr>
          <w:rFonts w:ascii="Verdana" w:hAnsi="Verdana" w:cstheme="minorHAnsi"/>
          <w:sz w:val="20"/>
          <w:szCs w:val="20"/>
        </w:rPr>
        <w:t xml:space="preserve">&amp; ECAPM </w:t>
      </w:r>
      <w:r w:rsidR="00813592" w:rsidRPr="00DB5977">
        <w:rPr>
          <w:rFonts w:ascii="Verdana" w:hAnsi="Verdana" w:cstheme="minorHAnsi"/>
          <w:sz w:val="20"/>
          <w:szCs w:val="20"/>
        </w:rPr>
        <w:t>Assumptions (</w:t>
      </w:r>
      <w:r w:rsidR="00DF778F" w:rsidRPr="00DB5977">
        <w:rPr>
          <w:rFonts w:ascii="Verdana" w:hAnsi="Verdana" w:cstheme="minorHAnsi"/>
          <w:sz w:val="20"/>
          <w:szCs w:val="20"/>
        </w:rPr>
        <w:t>Historical ERP</w:t>
      </w:r>
      <w:r w:rsidR="00813592" w:rsidRPr="00DB5977">
        <w:rPr>
          <w:rFonts w:ascii="Verdana" w:hAnsi="Verdana" w:cstheme="minorHAnsi"/>
          <w:sz w:val="20"/>
          <w:szCs w:val="20"/>
        </w:rPr>
        <w:t>, 30-yr T-Bond)</w:t>
      </w:r>
    </w:p>
    <w:p w14:paraId="18DF9E0D" w14:textId="1E838F49" w:rsidR="00813592" w:rsidRPr="00DB5977" w:rsidRDefault="0013533B" w:rsidP="00813592">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813592" w:rsidRPr="00DB5977">
        <w:rPr>
          <w:rFonts w:ascii="Verdana" w:hAnsi="Verdana" w:cstheme="minorHAnsi"/>
          <w:sz w:val="20"/>
          <w:szCs w:val="20"/>
        </w:rPr>
        <w:t>LR-7</w:t>
      </w:r>
      <w:r w:rsidR="00DF778F" w:rsidRPr="00DB5977">
        <w:rPr>
          <w:rFonts w:ascii="Verdana" w:hAnsi="Verdana" w:cstheme="minorHAnsi"/>
          <w:sz w:val="20"/>
          <w:szCs w:val="20"/>
        </w:rPr>
        <w:t>d</w:t>
      </w:r>
      <w:r>
        <w:rPr>
          <w:rFonts w:ascii="Verdana" w:hAnsi="Verdana" w:cstheme="minorHAnsi"/>
          <w:sz w:val="20"/>
          <w:szCs w:val="20"/>
        </w:rPr>
        <w:t>)</w:t>
      </w:r>
      <w:r w:rsidR="00813592" w:rsidRPr="00DB5977">
        <w:rPr>
          <w:rFonts w:ascii="Verdana" w:hAnsi="Verdana" w:cstheme="minorHAnsi"/>
          <w:sz w:val="20"/>
          <w:szCs w:val="20"/>
        </w:rPr>
        <w:t xml:space="preserve"> – CAPM </w:t>
      </w:r>
      <w:r w:rsidR="00ED7703">
        <w:rPr>
          <w:rFonts w:ascii="Verdana" w:hAnsi="Verdana" w:cstheme="minorHAnsi"/>
          <w:sz w:val="20"/>
          <w:szCs w:val="20"/>
        </w:rPr>
        <w:t xml:space="preserve">&amp; ECAPM </w:t>
      </w:r>
      <w:r w:rsidR="00813592" w:rsidRPr="00DB5977">
        <w:rPr>
          <w:rFonts w:ascii="Verdana" w:hAnsi="Verdana" w:cstheme="minorHAnsi"/>
          <w:sz w:val="20"/>
          <w:szCs w:val="20"/>
        </w:rPr>
        <w:t>Resu</w:t>
      </w:r>
      <w:r w:rsidR="00DF778F" w:rsidRPr="00DB5977">
        <w:rPr>
          <w:rFonts w:ascii="Verdana" w:hAnsi="Verdana" w:cstheme="minorHAnsi"/>
          <w:sz w:val="20"/>
          <w:szCs w:val="20"/>
        </w:rPr>
        <w:t>lt</w:t>
      </w:r>
      <w:r w:rsidR="00813592" w:rsidRPr="00DB5977">
        <w:rPr>
          <w:rFonts w:ascii="Verdana" w:hAnsi="Verdana" w:cstheme="minorHAnsi"/>
          <w:sz w:val="20"/>
          <w:szCs w:val="20"/>
        </w:rPr>
        <w:t>s (</w:t>
      </w:r>
      <w:r w:rsidR="00DF778F" w:rsidRPr="00DB5977">
        <w:rPr>
          <w:rFonts w:ascii="Verdana" w:hAnsi="Verdana" w:cstheme="minorHAnsi"/>
          <w:sz w:val="20"/>
          <w:szCs w:val="20"/>
        </w:rPr>
        <w:t>Historical ERP</w:t>
      </w:r>
      <w:r w:rsidR="00813592" w:rsidRPr="00DB5977">
        <w:rPr>
          <w:rFonts w:ascii="Verdana" w:hAnsi="Verdana" w:cstheme="minorHAnsi"/>
          <w:sz w:val="20"/>
          <w:szCs w:val="20"/>
        </w:rPr>
        <w:t>, 30-yr T-Bond)</w:t>
      </w:r>
    </w:p>
    <w:p w14:paraId="55BF206E" w14:textId="381C9C64" w:rsidR="00813592" w:rsidRPr="00DB5977" w:rsidRDefault="0013533B" w:rsidP="00813592">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813592" w:rsidRPr="00DB5977">
        <w:rPr>
          <w:rFonts w:ascii="Verdana" w:hAnsi="Verdana" w:cstheme="minorHAnsi"/>
          <w:sz w:val="20"/>
          <w:szCs w:val="20"/>
        </w:rPr>
        <w:t>LR-7</w:t>
      </w:r>
      <w:r w:rsidR="00DF778F" w:rsidRPr="00DB5977">
        <w:rPr>
          <w:rFonts w:ascii="Verdana" w:hAnsi="Verdana" w:cstheme="minorHAnsi"/>
          <w:sz w:val="20"/>
          <w:szCs w:val="20"/>
        </w:rPr>
        <w:t>e</w:t>
      </w:r>
      <w:r>
        <w:rPr>
          <w:rFonts w:ascii="Verdana" w:hAnsi="Verdana" w:cstheme="minorHAnsi"/>
          <w:sz w:val="20"/>
          <w:szCs w:val="20"/>
        </w:rPr>
        <w:t>)</w:t>
      </w:r>
      <w:r w:rsidR="00813592" w:rsidRPr="00DB5977">
        <w:rPr>
          <w:rFonts w:ascii="Verdana" w:hAnsi="Verdana" w:cstheme="minorHAnsi"/>
          <w:sz w:val="20"/>
          <w:szCs w:val="20"/>
        </w:rPr>
        <w:t xml:space="preserve"> – CAPM </w:t>
      </w:r>
      <w:r w:rsidR="00ED7703">
        <w:rPr>
          <w:rFonts w:ascii="Verdana" w:hAnsi="Verdana" w:cstheme="minorHAnsi"/>
          <w:sz w:val="20"/>
          <w:szCs w:val="20"/>
        </w:rPr>
        <w:t xml:space="preserve">&amp; ECAPM </w:t>
      </w:r>
      <w:r w:rsidR="00813592" w:rsidRPr="00DB5977">
        <w:rPr>
          <w:rFonts w:ascii="Verdana" w:hAnsi="Verdana" w:cstheme="minorHAnsi"/>
          <w:sz w:val="20"/>
          <w:szCs w:val="20"/>
        </w:rPr>
        <w:t>Assumptions (</w:t>
      </w:r>
      <w:r w:rsidR="00DF778F" w:rsidRPr="00DB5977">
        <w:rPr>
          <w:rFonts w:ascii="Verdana" w:hAnsi="Verdana" w:cstheme="minorHAnsi"/>
          <w:sz w:val="20"/>
          <w:szCs w:val="20"/>
        </w:rPr>
        <w:t>D&amp;P Normalized RF Rate</w:t>
      </w:r>
      <w:r w:rsidR="00813592" w:rsidRPr="00DB5977">
        <w:rPr>
          <w:rFonts w:ascii="Verdana" w:hAnsi="Verdana" w:cstheme="minorHAnsi"/>
          <w:sz w:val="20"/>
          <w:szCs w:val="20"/>
        </w:rPr>
        <w:t>)</w:t>
      </w:r>
    </w:p>
    <w:p w14:paraId="204BEF49" w14:textId="3CA87CFF" w:rsidR="00813592" w:rsidRPr="00DB5977" w:rsidRDefault="0013533B" w:rsidP="00813592">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813592" w:rsidRPr="00DB5977">
        <w:rPr>
          <w:rFonts w:ascii="Verdana" w:hAnsi="Verdana" w:cstheme="minorHAnsi"/>
          <w:sz w:val="20"/>
          <w:szCs w:val="20"/>
        </w:rPr>
        <w:t>LR-7</w:t>
      </w:r>
      <w:r w:rsidR="00DF778F" w:rsidRPr="00DB5977">
        <w:rPr>
          <w:rFonts w:ascii="Verdana" w:hAnsi="Verdana" w:cstheme="minorHAnsi"/>
          <w:sz w:val="20"/>
          <w:szCs w:val="20"/>
        </w:rPr>
        <w:t>f</w:t>
      </w:r>
      <w:r>
        <w:rPr>
          <w:rFonts w:ascii="Verdana" w:hAnsi="Verdana" w:cstheme="minorHAnsi"/>
          <w:sz w:val="20"/>
          <w:szCs w:val="20"/>
        </w:rPr>
        <w:t>)</w:t>
      </w:r>
      <w:r w:rsidR="00813592" w:rsidRPr="00DB5977">
        <w:rPr>
          <w:rFonts w:ascii="Verdana" w:hAnsi="Verdana" w:cstheme="minorHAnsi"/>
          <w:sz w:val="20"/>
          <w:szCs w:val="20"/>
        </w:rPr>
        <w:t xml:space="preserve"> – CAPM </w:t>
      </w:r>
      <w:r w:rsidR="00ED7703">
        <w:rPr>
          <w:rFonts w:ascii="Verdana" w:hAnsi="Verdana" w:cstheme="minorHAnsi"/>
          <w:sz w:val="20"/>
          <w:szCs w:val="20"/>
        </w:rPr>
        <w:t xml:space="preserve">&amp; ECAPM </w:t>
      </w:r>
      <w:r w:rsidR="00813592" w:rsidRPr="00DB5977">
        <w:rPr>
          <w:rFonts w:ascii="Verdana" w:hAnsi="Verdana" w:cstheme="minorHAnsi"/>
          <w:sz w:val="20"/>
          <w:szCs w:val="20"/>
        </w:rPr>
        <w:t>Resu</w:t>
      </w:r>
      <w:r w:rsidR="00DF778F" w:rsidRPr="00DB5977">
        <w:rPr>
          <w:rFonts w:ascii="Verdana" w:hAnsi="Verdana" w:cstheme="minorHAnsi"/>
          <w:sz w:val="20"/>
          <w:szCs w:val="20"/>
        </w:rPr>
        <w:t>lt</w:t>
      </w:r>
      <w:r w:rsidR="00813592" w:rsidRPr="00DB5977">
        <w:rPr>
          <w:rFonts w:ascii="Verdana" w:hAnsi="Verdana" w:cstheme="minorHAnsi"/>
          <w:sz w:val="20"/>
          <w:szCs w:val="20"/>
        </w:rPr>
        <w:t>s (</w:t>
      </w:r>
      <w:r w:rsidR="00DF778F" w:rsidRPr="00DB5977">
        <w:rPr>
          <w:rFonts w:ascii="Verdana" w:hAnsi="Verdana" w:cstheme="minorHAnsi"/>
          <w:sz w:val="20"/>
          <w:szCs w:val="20"/>
        </w:rPr>
        <w:t>D&amp;P Normalized RF Rate</w:t>
      </w:r>
      <w:r w:rsidR="00813592" w:rsidRPr="00DB5977">
        <w:rPr>
          <w:rFonts w:ascii="Verdana" w:hAnsi="Verdana" w:cstheme="minorHAnsi"/>
          <w:sz w:val="20"/>
          <w:szCs w:val="20"/>
        </w:rPr>
        <w:t>)</w:t>
      </w:r>
    </w:p>
    <w:p w14:paraId="1C277666" w14:textId="70324267" w:rsidR="00EB0123" w:rsidRPr="00DB5977" w:rsidRDefault="0013533B" w:rsidP="00EB0123">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EB0123" w:rsidRPr="00DB5977">
        <w:rPr>
          <w:rFonts w:ascii="Verdana" w:hAnsi="Verdana" w:cstheme="minorHAnsi"/>
          <w:sz w:val="20"/>
          <w:szCs w:val="20"/>
        </w:rPr>
        <w:t>LR-</w:t>
      </w:r>
      <w:r w:rsidR="00195048" w:rsidRPr="00DB5977">
        <w:rPr>
          <w:rFonts w:ascii="Verdana" w:hAnsi="Verdana" w:cstheme="minorHAnsi"/>
          <w:sz w:val="20"/>
          <w:szCs w:val="20"/>
        </w:rPr>
        <w:t>8</w:t>
      </w:r>
      <w:r w:rsidR="00EB0123" w:rsidRPr="00DB5977">
        <w:rPr>
          <w:rFonts w:ascii="Verdana" w:hAnsi="Verdana" w:cstheme="minorHAnsi"/>
          <w:sz w:val="20"/>
          <w:szCs w:val="20"/>
        </w:rPr>
        <w:t>a</w:t>
      </w:r>
      <w:r>
        <w:rPr>
          <w:rFonts w:ascii="Verdana" w:hAnsi="Verdana" w:cstheme="minorHAnsi"/>
          <w:sz w:val="20"/>
          <w:szCs w:val="20"/>
        </w:rPr>
        <w:t>)</w:t>
      </w:r>
      <w:r w:rsidR="009D3126" w:rsidRPr="00DB5977">
        <w:rPr>
          <w:rFonts w:ascii="Verdana" w:hAnsi="Verdana" w:cstheme="minorHAnsi"/>
          <w:sz w:val="20"/>
          <w:szCs w:val="20"/>
        </w:rPr>
        <w:t xml:space="preserve"> – Comparable Earnings </w:t>
      </w:r>
      <w:r w:rsidR="009D229F">
        <w:rPr>
          <w:rFonts w:ascii="Verdana" w:hAnsi="Verdana" w:cstheme="minorHAnsi"/>
          <w:sz w:val="20"/>
          <w:szCs w:val="20"/>
        </w:rPr>
        <w:t>Model</w:t>
      </w:r>
      <w:r w:rsidR="009D3126" w:rsidRPr="00DB5977">
        <w:rPr>
          <w:rFonts w:ascii="Verdana" w:hAnsi="Verdana" w:cstheme="minorHAnsi"/>
          <w:sz w:val="20"/>
          <w:szCs w:val="20"/>
        </w:rPr>
        <w:t xml:space="preserve"> – </w:t>
      </w:r>
      <w:r w:rsidR="00ED7703">
        <w:rPr>
          <w:rFonts w:ascii="Verdana" w:hAnsi="Verdana" w:cstheme="minorHAnsi"/>
          <w:sz w:val="20"/>
          <w:szCs w:val="20"/>
        </w:rPr>
        <w:t xml:space="preserve">Historical Annual </w:t>
      </w:r>
      <w:r w:rsidR="009D3126" w:rsidRPr="00DB5977">
        <w:rPr>
          <w:rFonts w:ascii="Verdana" w:hAnsi="Verdana" w:cstheme="minorHAnsi"/>
          <w:sz w:val="20"/>
          <w:szCs w:val="20"/>
        </w:rPr>
        <w:t>Stock Prices</w:t>
      </w:r>
    </w:p>
    <w:p w14:paraId="30F5E758" w14:textId="1D3129CA" w:rsidR="00EB0123" w:rsidRPr="00DB5977" w:rsidRDefault="0013533B" w:rsidP="00EB0123">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EB0123" w:rsidRPr="00DB5977">
        <w:rPr>
          <w:rFonts w:ascii="Verdana" w:hAnsi="Verdana" w:cstheme="minorHAnsi"/>
          <w:sz w:val="20"/>
          <w:szCs w:val="20"/>
        </w:rPr>
        <w:t>LR-</w:t>
      </w:r>
      <w:r w:rsidR="00195048" w:rsidRPr="00DB5977">
        <w:rPr>
          <w:rFonts w:ascii="Verdana" w:hAnsi="Verdana" w:cstheme="minorHAnsi"/>
          <w:sz w:val="20"/>
          <w:szCs w:val="20"/>
        </w:rPr>
        <w:t>8</w:t>
      </w:r>
      <w:r w:rsidR="00EB0123" w:rsidRPr="00DB5977">
        <w:rPr>
          <w:rFonts w:ascii="Verdana" w:hAnsi="Verdana" w:cstheme="minorHAnsi"/>
          <w:sz w:val="20"/>
          <w:szCs w:val="20"/>
        </w:rPr>
        <w:t>b</w:t>
      </w:r>
      <w:r>
        <w:rPr>
          <w:rFonts w:ascii="Verdana" w:hAnsi="Verdana" w:cstheme="minorHAnsi"/>
          <w:sz w:val="20"/>
          <w:szCs w:val="20"/>
        </w:rPr>
        <w:t>)</w:t>
      </w:r>
      <w:r w:rsidR="009D3126" w:rsidRPr="00DB5977">
        <w:rPr>
          <w:rFonts w:ascii="Verdana" w:hAnsi="Verdana" w:cstheme="minorHAnsi"/>
          <w:sz w:val="20"/>
          <w:szCs w:val="20"/>
        </w:rPr>
        <w:t xml:space="preserve"> – Comparable Earnings </w:t>
      </w:r>
      <w:r w:rsidR="009D229F">
        <w:rPr>
          <w:rFonts w:ascii="Verdana" w:hAnsi="Verdana" w:cstheme="minorHAnsi"/>
          <w:sz w:val="20"/>
          <w:szCs w:val="20"/>
        </w:rPr>
        <w:t>Model</w:t>
      </w:r>
      <w:r w:rsidR="009D3126" w:rsidRPr="00DB5977">
        <w:rPr>
          <w:rFonts w:ascii="Verdana" w:hAnsi="Verdana" w:cstheme="minorHAnsi"/>
          <w:sz w:val="20"/>
          <w:szCs w:val="20"/>
        </w:rPr>
        <w:t xml:space="preserve"> – </w:t>
      </w:r>
      <w:r w:rsidR="00ED7703">
        <w:rPr>
          <w:rFonts w:ascii="Verdana" w:hAnsi="Verdana" w:cstheme="minorHAnsi"/>
          <w:sz w:val="20"/>
          <w:szCs w:val="20"/>
        </w:rPr>
        <w:t xml:space="preserve">Historical Annual </w:t>
      </w:r>
      <w:r w:rsidR="009D3126" w:rsidRPr="00DB5977">
        <w:rPr>
          <w:rFonts w:ascii="Verdana" w:hAnsi="Verdana" w:cstheme="minorHAnsi"/>
          <w:sz w:val="20"/>
          <w:szCs w:val="20"/>
        </w:rPr>
        <w:t>Book Value per Share</w:t>
      </w:r>
    </w:p>
    <w:p w14:paraId="64B8EEF6" w14:textId="2B1014B9" w:rsidR="00EB0123" w:rsidRPr="00DB5977" w:rsidRDefault="0013533B" w:rsidP="00EB0123">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EB0123" w:rsidRPr="00DB5977">
        <w:rPr>
          <w:rFonts w:ascii="Verdana" w:hAnsi="Verdana" w:cstheme="minorHAnsi"/>
          <w:sz w:val="20"/>
          <w:szCs w:val="20"/>
        </w:rPr>
        <w:t>LR-</w:t>
      </w:r>
      <w:r w:rsidR="00195048" w:rsidRPr="00DB5977">
        <w:rPr>
          <w:rFonts w:ascii="Verdana" w:hAnsi="Verdana" w:cstheme="minorHAnsi"/>
          <w:sz w:val="20"/>
          <w:szCs w:val="20"/>
        </w:rPr>
        <w:t>8</w:t>
      </w:r>
      <w:r w:rsidR="00EB0123" w:rsidRPr="00DB5977">
        <w:rPr>
          <w:rFonts w:ascii="Verdana" w:hAnsi="Verdana" w:cstheme="minorHAnsi"/>
          <w:sz w:val="20"/>
          <w:szCs w:val="20"/>
        </w:rPr>
        <w:t>c</w:t>
      </w:r>
      <w:r>
        <w:rPr>
          <w:rFonts w:ascii="Verdana" w:hAnsi="Verdana" w:cstheme="minorHAnsi"/>
          <w:sz w:val="20"/>
          <w:szCs w:val="20"/>
        </w:rPr>
        <w:t>)</w:t>
      </w:r>
      <w:r w:rsidR="009D3126" w:rsidRPr="00DB5977">
        <w:rPr>
          <w:rFonts w:ascii="Verdana" w:hAnsi="Verdana" w:cstheme="minorHAnsi"/>
          <w:sz w:val="20"/>
          <w:szCs w:val="20"/>
        </w:rPr>
        <w:t xml:space="preserve"> – Comparable Earnings </w:t>
      </w:r>
      <w:r w:rsidR="009D229F">
        <w:rPr>
          <w:rFonts w:ascii="Verdana" w:hAnsi="Verdana" w:cstheme="minorHAnsi"/>
          <w:sz w:val="20"/>
          <w:szCs w:val="20"/>
        </w:rPr>
        <w:t>Model</w:t>
      </w:r>
      <w:r w:rsidR="009D3126" w:rsidRPr="00DB5977">
        <w:rPr>
          <w:rFonts w:ascii="Verdana" w:hAnsi="Verdana" w:cstheme="minorHAnsi"/>
          <w:sz w:val="20"/>
          <w:szCs w:val="20"/>
        </w:rPr>
        <w:t xml:space="preserve"> – Market-to-Book Ratios</w:t>
      </w:r>
    </w:p>
    <w:p w14:paraId="25B444F6" w14:textId="1441E6BE" w:rsidR="00EB0123" w:rsidRPr="00DB5977" w:rsidRDefault="0013533B" w:rsidP="00EB0123">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EB0123" w:rsidRPr="00DB5977">
        <w:rPr>
          <w:rFonts w:ascii="Verdana" w:hAnsi="Verdana" w:cstheme="minorHAnsi"/>
          <w:sz w:val="20"/>
          <w:szCs w:val="20"/>
        </w:rPr>
        <w:t>LR-</w:t>
      </w:r>
      <w:r w:rsidR="00195048" w:rsidRPr="00DB5977">
        <w:rPr>
          <w:rFonts w:ascii="Verdana" w:hAnsi="Verdana" w:cstheme="minorHAnsi"/>
          <w:sz w:val="20"/>
          <w:szCs w:val="20"/>
        </w:rPr>
        <w:t>8</w:t>
      </w:r>
      <w:r w:rsidR="00EB0123" w:rsidRPr="00DB5977">
        <w:rPr>
          <w:rFonts w:ascii="Verdana" w:hAnsi="Verdana" w:cstheme="minorHAnsi"/>
          <w:sz w:val="20"/>
          <w:szCs w:val="20"/>
        </w:rPr>
        <w:t>d</w:t>
      </w:r>
      <w:r>
        <w:rPr>
          <w:rFonts w:ascii="Verdana" w:hAnsi="Verdana" w:cstheme="minorHAnsi"/>
          <w:sz w:val="20"/>
          <w:szCs w:val="20"/>
        </w:rPr>
        <w:t>)</w:t>
      </w:r>
      <w:r w:rsidR="009D3126" w:rsidRPr="00DB5977">
        <w:rPr>
          <w:rFonts w:ascii="Verdana" w:hAnsi="Verdana" w:cstheme="minorHAnsi"/>
          <w:sz w:val="20"/>
          <w:szCs w:val="20"/>
        </w:rPr>
        <w:t xml:space="preserve"> – Comparable Earnings </w:t>
      </w:r>
      <w:r w:rsidR="009D229F">
        <w:rPr>
          <w:rFonts w:ascii="Verdana" w:hAnsi="Verdana" w:cstheme="minorHAnsi"/>
          <w:sz w:val="20"/>
          <w:szCs w:val="20"/>
        </w:rPr>
        <w:t>Model</w:t>
      </w:r>
      <w:r w:rsidR="009D3126" w:rsidRPr="00DB5977">
        <w:rPr>
          <w:rFonts w:ascii="Verdana" w:hAnsi="Verdana" w:cstheme="minorHAnsi"/>
          <w:sz w:val="20"/>
          <w:szCs w:val="20"/>
        </w:rPr>
        <w:t xml:space="preserve"> – </w:t>
      </w:r>
      <w:r w:rsidR="00ED7703">
        <w:rPr>
          <w:rFonts w:ascii="Verdana" w:hAnsi="Verdana" w:cstheme="minorHAnsi"/>
          <w:sz w:val="20"/>
          <w:szCs w:val="20"/>
        </w:rPr>
        <w:t xml:space="preserve">Value Line </w:t>
      </w:r>
      <w:r w:rsidR="009D3126" w:rsidRPr="00DB5977">
        <w:rPr>
          <w:rFonts w:ascii="Verdana" w:hAnsi="Verdana" w:cstheme="minorHAnsi"/>
          <w:sz w:val="20"/>
          <w:szCs w:val="20"/>
        </w:rPr>
        <w:t>Return on Common Equity</w:t>
      </w:r>
    </w:p>
    <w:p w14:paraId="0FC652EF" w14:textId="506BA902" w:rsidR="005A4CEF" w:rsidRDefault="0013533B" w:rsidP="003D26D5">
      <w:pPr>
        <w:numPr>
          <w:ilvl w:val="0"/>
          <w:numId w:val="3"/>
        </w:numPr>
        <w:spacing w:after="120" w:line="240" w:lineRule="auto"/>
        <w:ind w:left="720"/>
        <w:rPr>
          <w:rFonts w:ascii="Verdana" w:hAnsi="Verdana" w:cstheme="minorHAnsi"/>
          <w:sz w:val="20"/>
          <w:szCs w:val="20"/>
        </w:rPr>
      </w:pPr>
      <w:r>
        <w:rPr>
          <w:rFonts w:ascii="Verdana" w:hAnsi="Verdana" w:cstheme="minorHAnsi"/>
          <w:sz w:val="20"/>
          <w:szCs w:val="20"/>
        </w:rPr>
        <w:t>Exhibit_(M</w:t>
      </w:r>
      <w:r w:rsidR="009567A0" w:rsidRPr="00DB5977">
        <w:rPr>
          <w:rFonts w:ascii="Verdana" w:hAnsi="Verdana" w:cstheme="minorHAnsi"/>
          <w:sz w:val="20"/>
          <w:szCs w:val="20"/>
        </w:rPr>
        <w:t>LR-</w:t>
      </w:r>
      <w:r w:rsidR="00195048" w:rsidRPr="00DB5977">
        <w:rPr>
          <w:rFonts w:ascii="Verdana" w:hAnsi="Verdana" w:cstheme="minorHAnsi"/>
          <w:sz w:val="20"/>
          <w:szCs w:val="20"/>
        </w:rPr>
        <w:t>8</w:t>
      </w:r>
      <w:r w:rsidR="009567A0" w:rsidRPr="00DB5977">
        <w:rPr>
          <w:rFonts w:ascii="Verdana" w:hAnsi="Verdana" w:cstheme="minorHAnsi"/>
          <w:sz w:val="20"/>
          <w:szCs w:val="20"/>
        </w:rPr>
        <w:t>e</w:t>
      </w:r>
      <w:r>
        <w:rPr>
          <w:rFonts w:ascii="Verdana" w:hAnsi="Verdana" w:cstheme="minorHAnsi"/>
          <w:sz w:val="20"/>
          <w:szCs w:val="20"/>
        </w:rPr>
        <w:t>)</w:t>
      </w:r>
      <w:r w:rsidR="009567A0" w:rsidRPr="00DB5977">
        <w:rPr>
          <w:rFonts w:ascii="Verdana" w:hAnsi="Verdana" w:cstheme="minorHAnsi"/>
          <w:sz w:val="20"/>
          <w:szCs w:val="20"/>
        </w:rPr>
        <w:t xml:space="preserve"> – </w:t>
      </w:r>
      <w:r w:rsidR="000C5ACC" w:rsidRPr="00DB5977">
        <w:rPr>
          <w:rFonts w:ascii="Verdana" w:hAnsi="Verdana" w:cstheme="minorHAnsi"/>
          <w:sz w:val="20"/>
          <w:szCs w:val="20"/>
        </w:rPr>
        <w:t xml:space="preserve">Comparable Earnings </w:t>
      </w:r>
      <w:r w:rsidR="009D229F">
        <w:rPr>
          <w:rFonts w:ascii="Verdana" w:hAnsi="Verdana" w:cstheme="minorHAnsi"/>
          <w:sz w:val="20"/>
          <w:szCs w:val="20"/>
        </w:rPr>
        <w:t>Model</w:t>
      </w:r>
      <w:r w:rsidR="000C5ACC" w:rsidRPr="00DB5977">
        <w:rPr>
          <w:rFonts w:ascii="Verdana" w:hAnsi="Verdana" w:cstheme="minorHAnsi"/>
          <w:sz w:val="20"/>
          <w:szCs w:val="20"/>
        </w:rPr>
        <w:t xml:space="preserve"> – </w:t>
      </w:r>
      <w:r w:rsidR="00ED7703">
        <w:rPr>
          <w:rFonts w:ascii="Verdana" w:hAnsi="Verdana" w:cstheme="minorHAnsi"/>
          <w:sz w:val="20"/>
          <w:szCs w:val="20"/>
        </w:rPr>
        <w:t xml:space="preserve">Comparison of </w:t>
      </w:r>
      <w:r w:rsidR="000C5ACC" w:rsidRPr="00DB5977">
        <w:rPr>
          <w:rFonts w:ascii="Verdana" w:hAnsi="Verdana" w:cstheme="minorHAnsi"/>
          <w:sz w:val="20"/>
          <w:szCs w:val="20"/>
        </w:rPr>
        <w:t xml:space="preserve">Historical Average </w:t>
      </w:r>
      <w:r w:rsidR="00ED7703">
        <w:rPr>
          <w:rFonts w:ascii="Verdana" w:hAnsi="Verdana" w:cstheme="minorHAnsi"/>
          <w:sz w:val="20"/>
          <w:szCs w:val="20"/>
        </w:rPr>
        <w:t>&amp; Value Line Estimates</w:t>
      </w:r>
    </w:p>
    <w:p w14:paraId="4D3F88A5" w14:textId="77777777" w:rsidR="005A4CEF" w:rsidRDefault="005A4CEF">
      <w:pPr>
        <w:rPr>
          <w:rFonts w:ascii="Verdana" w:hAnsi="Verdana" w:cstheme="minorHAnsi"/>
          <w:sz w:val="20"/>
          <w:szCs w:val="20"/>
        </w:rPr>
      </w:pPr>
      <w:r>
        <w:rPr>
          <w:rFonts w:ascii="Verdana" w:hAnsi="Verdana" w:cstheme="minorHAnsi"/>
          <w:sz w:val="20"/>
          <w:szCs w:val="20"/>
        </w:rPr>
        <w:br w:type="page"/>
      </w:r>
    </w:p>
    <w:p w14:paraId="521CAF7B" w14:textId="77777777" w:rsidR="005A4CEF" w:rsidRDefault="005A4CEF" w:rsidP="005A4CEF">
      <w:r w:rsidRPr="00813932">
        <w:rPr>
          <w:noProof/>
        </w:rPr>
        <w:drawing>
          <wp:inline distT="0" distB="0" distL="0" distR="0" wp14:anchorId="2E24CA22" wp14:editId="546B5577">
            <wp:extent cx="5943600" cy="1647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3184F141" w14:textId="77777777" w:rsidR="005A4CEF" w:rsidRDefault="005A4CEF" w:rsidP="005A4CEF">
      <w:r>
        <w:br w:type="page"/>
      </w:r>
    </w:p>
    <w:p w14:paraId="54280FD9" w14:textId="77777777" w:rsidR="005A4CEF" w:rsidRDefault="005A4CEF" w:rsidP="005A4CEF">
      <w:r w:rsidRPr="00813932">
        <w:rPr>
          <w:noProof/>
        </w:rPr>
        <w:drawing>
          <wp:inline distT="0" distB="0" distL="0" distR="0" wp14:anchorId="34BA8B46" wp14:editId="737DDC7C">
            <wp:extent cx="5943600" cy="2033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033270"/>
                    </a:xfrm>
                    <a:prstGeom prst="rect">
                      <a:avLst/>
                    </a:prstGeom>
                    <a:noFill/>
                    <a:ln>
                      <a:noFill/>
                    </a:ln>
                  </pic:spPr>
                </pic:pic>
              </a:graphicData>
            </a:graphic>
          </wp:inline>
        </w:drawing>
      </w:r>
    </w:p>
    <w:p w14:paraId="1FF4CB61" w14:textId="77777777" w:rsidR="005A4CEF" w:rsidRDefault="005A4CEF" w:rsidP="005A4CEF"/>
    <w:p w14:paraId="0D2B1006" w14:textId="77777777" w:rsidR="005A4CEF" w:rsidRDefault="005A4CEF" w:rsidP="005A4CEF">
      <w:r>
        <w:br w:type="page"/>
      </w:r>
    </w:p>
    <w:p w14:paraId="48126A1B" w14:textId="77777777" w:rsidR="005A4CEF" w:rsidRDefault="005A4CEF" w:rsidP="005A4CEF">
      <w:r w:rsidRPr="00813932">
        <w:rPr>
          <w:noProof/>
        </w:rPr>
        <w:drawing>
          <wp:inline distT="0" distB="0" distL="0" distR="0" wp14:anchorId="3E807C01" wp14:editId="62220F0C">
            <wp:extent cx="2522220" cy="2910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2220" cy="2910840"/>
                    </a:xfrm>
                    <a:prstGeom prst="rect">
                      <a:avLst/>
                    </a:prstGeom>
                    <a:noFill/>
                    <a:ln>
                      <a:noFill/>
                    </a:ln>
                  </pic:spPr>
                </pic:pic>
              </a:graphicData>
            </a:graphic>
          </wp:inline>
        </w:drawing>
      </w:r>
    </w:p>
    <w:p w14:paraId="057D62EE" w14:textId="77777777" w:rsidR="005A4CEF" w:rsidRPr="00813932" w:rsidRDefault="0084421A" w:rsidP="005A4CEF">
      <w:pPr>
        <w:spacing w:after="0" w:line="240" w:lineRule="auto"/>
        <w:rPr>
          <w:rFonts w:ascii="Calibri" w:eastAsia="Times New Roman" w:hAnsi="Calibri" w:cs="Calibri"/>
          <w:color w:val="0000FF"/>
          <w:u w:val="single"/>
        </w:rPr>
      </w:pPr>
      <w:hyperlink r:id="rId22" w:history="1">
        <w:r w:rsidR="005A4CEF" w:rsidRPr="00813932">
          <w:rPr>
            <w:rFonts w:ascii="Calibri" w:eastAsia="Times New Roman" w:hAnsi="Calibri" w:cs="Calibri"/>
            <w:color w:val="0000FF"/>
            <w:u w:val="single"/>
          </w:rPr>
          <w:t>https://www.treasury.gov/resource-center/data-chart-center/interest-rates/Pages/default.aspx</w:t>
        </w:r>
      </w:hyperlink>
    </w:p>
    <w:p w14:paraId="36490520" w14:textId="77777777" w:rsidR="005A4CEF" w:rsidRDefault="005A4CEF" w:rsidP="005A4CEF">
      <w:r>
        <w:br w:type="page"/>
      </w:r>
    </w:p>
    <w:p w14:paraId="2A566D1A" w14:textId="77777777" w:rsidR="005A4CEF" w:rsidRDefault="005A4CEF" w:rsidP="005A4CEF">
      <w:r w:rsidRPr="00813932">
        <w:rPr>
          <w:noProof/>
        </w:rPr>
        <w:drawing>
          <wp:inline distT="0" distB="0" distL="0" distR="0" wp14:anchorId="4FA833A6" wp14:editId="02D23D8D">
            <wp:extent cx="2086610" cy="8229600"/>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86610" cy="8229600"/>
                    </a:xfrm>
                    <a:prstGeom prst="rect">
                      <a:avLst/>
                    </a:prstGeom>
                    <a:noFill/>
                    <a:ln>
                      <a:noFill/>
                    </a:ln>
                  </pic:spPr>
                </pic:pic>
              </a:graphicData>
            </a:graphic>
          </wp:inline>
        </w:drawing>
      </w:r>
    </w:p>
    <w:p w14:paraId="50A43511" w14:textId="77777777" w:rsidR="005A4CEF" w:rsidRDefault="005A4CEF" w:rsidP="005A4CEF">
      <w:r w:rsidRPr="00813932">
        <w:rPr>
          <w:noProof/>
        </w:rPr>
        <w:drawing>
          <wp:inline distT="0" distB="0" distL="0" distR="0" wp14:anchorId="56900052" wp14:editId="6D69292C">
            <wp:extent cx="5943600" cy="114109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141095"/>
                    </a:xfrm>
                    <a:prstGeom prst="rect">
                      <a:avLst/>
                    </a:prstGeom>
                    <a:noFill/>
                    <a:ln>
                      <a:noFill/>
                    </a:ln>
                  </pic:spPr>
                </pic:pic>
              </a:graphicData>
            </a:graphic>
          </wp:inline>
        </w:drawing>
      </w:r>
    </w:p>
    <w:p w14:paraId="4694B6F9" w14:textId="77777777" w:rsidR="005A4CEF" w:rsidRDefault="005A4CEF" w:rsidP="005A4CEF"/>
    <w:p w14:paraId="523C5A94" w14:textId="77777777" w:rsidR="005A4CEF" w:rsidRDefault="005A4CEF" w:rsidP="005A4CEF">
      <w:r>
        <w:br w:type="page"/>
      </w:r>
    </w:p>
    <w:p w14:paraId="706BBDB9" w14:textId="77777777" w:rsidR="005A4CEF" w:rsidRDefault="005A4CEF" w:rsidP="005A4CEF">
      <w:r w:rsidRPr="00B462AA">
        <w:rPr>
          <w:noProof/>
        </w:rPr>
        <w:drawing>
          <wp:inline distT="0" distB="0" distL="0" distR="0" wp14:anchorId="765D7697" wp14:editId="7A9B7790">
            <wp:extent cx="5060950" cy="648589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0950" cy="6485890"/>
                    </a:xfrm>
                    <a:prstGeom prst="rect">
                      <a:avLst/>
                    </a:prstGeom>
                    <a:noFill/>
                    <a:ln>
                      <a:noFill/>
                    </a:ln>
                  </pic:spPr>
                </pic:pic>
              </a:graphicData>
            </a:graphic>
          </wp:inline>
        </w:drawing>
      </w:r>
    </w:p>
    <w:p w14:paraId="705A59DD" w14:textId="77777777" w:rsidR="005A4CEF" w:rsidRDefault="005A4CEF" w:rsidP="005A4CEF"/>
    <w:p w14:paraId="553676A2" w14:textId="77777777" w:rsidR="005A4CEF" w:rsidRDefault="005A4CEF" w:rsidP="005A4CEF">
      <w:r w:rsidRPr="00B462AA">
        <w:rPr>
          <w:noProof/>
        </w:rPr>
        <w:drawing>
          <wp:inline distT="0" distB="0" distL="0" distR="0" wp14:anchorId="3946C121" wp14:editId="6A6BE587">
            <wp:extent cx="5943600" cy="3708016"/>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708016"/>
                    </a:xfrm>
                    <a:prstGeom prst="rect">
                      <a:avLst/>
                    </a:prstGeom>
                    <a:noFill/>
                    <a:ln>
                      <a:noFill/>
                    </a:ln>
                  </pic:spPr>
                </pic:pic>
              </a:graphicData>
            </a:graphic>
          </wp:inline>
        </w:drawing>
      </w:r>
    </w:p>
    <w:p w14:paraId="25720EBA" w14:textId="77777777" w:rsidR="005A4CEF" w:rsidRDefault="005A4CEF" w:rsidP="005A4CEF"/>
    <w:p w14:paraId="23ABC24D" w14:textId="77777777" w:rsidR="005A4CEF" w:rsidRDefault="005A4CEF" w:rsidP="005A4CEF"/>
    <w:p w14:paraId="0F49B774" w14:textId="77777777" w:rsidR="005A4CEF" w:rsidRDefault="005A4CEF" w:rsidP="005A4CEF">
      <w:r w:rsidRPr="00B462AA">
        <w:rPr>
          <w:noProof/>
        </w:rPr>
        <w:drawing>
          <wp:inline distT="0" distB="0" distL="0" distR="0" wp14:anchorId="48516461" wp14:editId="7584AC23">
            <wp:extent cx="5943600" cy="395626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956267"/>
                    </a:xfrm>
                    <a:prstGeom prst="rect">
                      <a:avLst/>
                    </a:prstGeom>
                    <a:noFill/>
                    <a:ln>
                      <a:noFill/>
                    </a:ln>
                  </pic:spPr>
                </pic:pic>
              </a:graphicData>
            </a:graphic>
          </wp:inline>
        </w:drawing>
      </w:r>
    </w:p>
    <w:p w14:paraId="1A0F8874" w14:textId="77777777" w:rsidR="005A4CEF" w:rsidRDefault="005A4CEF" w:rsidP="005A4CEF"/>
    <w:p w14:paraId="60F27D2A" w14:textId="77777777" w:rsidR="005A4CEF" w:rsidRDefault="005A4CEF" w:rsidP="005A4CEF">
      <w:r>
        <w:br w:type="page"/>
      </w:r>
    </w:p>
    <w:p w14:paraId="51B8A8D8" w14:textId="77777777" w:rsidR="005A4CEF" w:rsidRDefault="005A4CEF" w:rsidP="005A4CEF">
      <w:r w:rsidRPr="00B462AA">
        <w:rPr>
          <w:noProof/>
        </w:rPr>
        <w:drawing>
          <wp:inline distT="0" distB="0" distL="0" distR="0" wp14:anchorId="7DCC9ED1" wp14:editId="2DF5AB8B">
            <wp:extent cx="5943600" cy="3705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705140"/>
                    </a:xfrm>
                    <a:prstGeom prst="rect">
                      <a:avLst/>
                    </a:prstGeom>
                    <a:noFill/>
                    <a:ln>
                      <a:noFill/>
                    </a:ln>
                  </pic:spPr>
                </pic:pic>
              </a:graphicData>
            </a:graphic>
          </wp:inline>
        </w:drawing>
      </w:r>
    </w:p>
    <w:p w14:paraId="34325896" w14:textId="77777777" w:rsidR="005A4CEF" w:rsidRDefault="005A4CEF" w:rsidP="005A4CEF">
      <w:r>
        <w:br w:type="page"/>
      </w:r>
    </w:p>
    <w:p w14:paraId="0A7D3E79" w14:textId="77777777" w:rsidR="005A4CEF" w:rsidRDefault="005A4CEF" w:rsidP="005A4CEF">
      <w:r w:rsidRPr="00B462AA">
        <w:rPr>
          <w:noProof/>
        </w:rPr>
        <w:drawing>
          <wp:inline distT="0" distB="0" distL="0" distR="0" wp14:anchorId="44C2B176" wp14:editId="7C1EDE05">
            <wp:extent cx="5943600" cy="380547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805477"/>
                    </a:xfrm>
                    <a:prstGeom prst="rect">
                      <a:avLst/>
                    </a:prstGeom>
                    <a:noFill/>
                    <a:ln>
                      <a:noFill/>
                    </a:ln>
                  </pic:spPr>
                </pic:pic>
              </a:graphicData>
            </a:graphic>
          </wp:inline>
        </w:drawing>
      </w:r>
    </w:p>
    <w:p w14:paraId="01D2627B" w14:textId="77777777" w:rsidR="005A4CEF" w:rsidRDefault="005A4CEF" w:rsidP="005A4CEF"/>
    <w:p w14:paraId="7F18B6D6" w14:textId="77777777" w:rsidR="005A4CEF" w:rsidRDefault="005A4CEF" w:rsidP="005A4CEF"/>
    <w:p w14:paraId="722B2BC0" w14:textId="77777777" w:rsidR="005A4CEF" w:rsidRDefault="005A4CEF" w:rsidP="005A4CEF">
      <w:r w:rsidRPr="00B462AA">
        <w:rPr>
          <w:noProof/>
        </w:rPr>
        <w:drawing>
          <wp:inline distT="0" distB="0" distL="0" distR="0" wp14:anchorId="47386412" wp14:editId="5963E2ED">
            <wp:extent cx="5943600" cy="37421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742186"/>
                    </a:xfrm>
                    <a:prstGeom prst="rect">
                      <a:avLst/>
                    </a:prstGeom>
                    <a:noFill/>
                    <a:ln>
                      <a:noFill/>
                    </a:ln>
                  </pic:spPr>
                </pic:pic>
              </a:graphicData>
            </a:graphic>
          </wp:inline>
        </w:drawing>
      </w:r>
    </w:p>
    <w:p w14:paraId="7D3A46D4" w14:textId="77777777" w:rsidR="005A4CEF" w:rsidRDefault="005A4CEF" w:rsidP="005A4CEF"/>
    <w:p w14:paraId="3FBC2A60" w14:textId="77777777" w:rsidR="005A4CEF" w:rsidRDefault="005A4CEF" w:rsidP="005A4CEF">
      <w:r>
        <w:br w:type="page"/>
      </w:r>
    </w:p>
    <w:p w14:paraId="30B28C5A" w14:textId="77777777" w:rsidR="005A4CEF" w:rsidRDefault="005A4CEF" w:rsidP="005A4CEF">
      <w:r w:rsidRPr="00B462AA">
        <w:rPr>
          <w:noProof/>
        </w:rPr>
        <w:drawing>
          <wp:inline distT="0" distB="0" distL="0" distR="0" wp14:anchorId="68057683" wp14:editId="34A06651">
            <wp:extent cx="5943600" cy="405055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050550"/>
                    </a:xfrm>
                    <a:prstGeom prst="rect">
                      <a:avLst/>
                    </a:prstGeom>
                    <a:noFill/>
                    <a:ln>
                      <a:noFill/>
                    </a:ln>
                  </pic:spPr>
                </pic:pic>
              </a:graphicData>
            </a:graphic>
          </wp:inline>
        </w:drawing>
      </w:r>
    </w:p>
    <w:p w14:paraId="4CBF2C9D" w14:textId="77777777" w:rsidR="005A4CEF" w:rsidRDefault="005A4CEF" w:rsidP="005A4CEF">
      <w:r w:rsidRPr="00B462AA">
        <w:rPr>
          <w:noProof/>
        </w:rPr>
        <w:drawing>
          <wp:inline distT="0" distB="0" distL="0" distR="0" wp14:anchorId="08820C64" wp14:editId="00221F70">
            <wp:extent cx="5943600" cy="450961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4509617"/>
                    </a:xfrm>
                    <a:prstGeom prst="rect">
                      <a:avLst/>
                    </a:prstGeom>
                    <a:noFill/>
                    <a:ln>
                      <a:noFill/>
                    </a:ln>
                  </pic:spPr>
                </pic:pic>
              </a:graphicData>
            </a:graphic>
          </wp:inline>
        </w:drawing>
      </w:r>
    </w:p>
    <w:p w14:paraId="5D1F6DA8" w14:textId="77777777" w:rsidR="005A4CEF" w:rsidRDefault="005A4CEF" w:rsidP="005A4CEF">
      <w:r w:rsidRPr="00B462AA">
        <w:rPr>
          <w:noProof/>
        </w:rPr>
        <w:drawing>
          <wp:inline distT="0" distB="0" distL="0" distR="0" wp14:anchorId="381CCDA0" wp14:editId="440946F9">
            <wp:extent cx="5943600" cy="4377179"/>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377179"/>
                    </a:xfrm>
                    <a:prstGeom prst="rect">
                      <a:avLst/>
                    </a:prstGeom>
                    <a:noFill/>
                    <a:ln>
                      <a:noFill/>
                    </a:ln>
                  </pic:spPr>
                </pic:pic>
              </a:graphicData>
            </a:graphic>
          </wp:inline>
        </w:drawing>
      </w:r>
    </w:p>
    <w:p w14:paraId="19BEB215" w14:textId="77777777" w:rsidR="005A4CEF" w:rsidRDefault="005A4CEF" w:rsidP="005A4CEF">
      <w:r w:rsidRPr="00B462AA">
        <w:rPr>
          <w:noProof/>
        </w:rPr>
        <w:drawing>
          <wp:inline distT="0" distB="0" distL="0" distR="0" wp14:anchorId="32F48A23" wp14:editId="6A6425B9">
            <wp:extent cx="5943600" cy="44413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441338"/>
                    </a:xfrm>
                    <a:prstGeom prst="rect">
                      <a:avLst/>
                    </a:prstGeom>
                    <a:noFill/>
                    <a:ln>
                      <a:noFill/>
                    </a:ln>
                  </pic:spPr>
                </pic:pic>
              </a:graphicData>
            </a:graphic>
          </wp:inline>
        </w:drawing>
      </w:r>
    </w:p>
    <w:p w14:paraId="43C28042" w14:textId="77777777" w:rsidR="005A4CEF" w:rsidRDefault="005A4CEF" w:rsidP="005A4CEF">
      <w:r w:rsidRPr="00B462AA">
        <w:rPr>
          <w:noProof/>
        </w:rPr>
        <w:drawing>
          <wp:inline distT="0" distB="0" distL="0" distR="0" wp14:anchorId="1F080F36" wp14:editId="133C5EC4">
            <wp:extent cx="5943600" cy="48237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823765"/>
                    </a:xfrm>
                    <a:prstGeom prst="rect">
                      <a:avLst/>
                    </a:prstGeom>
                    <a:noFill/>
                    <a:ln>
                      <a:noFill/>
                    </a:ln>
                  </pic:spPr>
                </pic:pic>
              </a:graphicData>
            </a:graphic>
          </wp:inline>
        </w:drawing>
      </w:r>
    </w:p>
    <w:p w14:paraId="17BF3966" w14:textId="77777777" w:rsidR="005A4CEF" w:rsidRDefault="005A4CEF" w:rsidP="005A4CEF"/>
    <w:p w14:paraId="1E09B43B" w14:textId="77777777" w:rsidR="005A4CEF" w:rsidRDefault="005A4CEF" w:rsidP="005A4CEF">
      <w:r w:rsidRPr="00B462AA">
        <w:rPr>
          <w:noProof/>
        </w:rPr>
        <w:drawing>
          <wp:inline distT="0" distB="0" distL="0" distR="0" wp14:anchorId="0E0C3802" wp14:editId="05CD5E0D">
            <wp:extent cx="3104515" cy="389128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4515" cy="3891280"/>
                    </a:xfrm>
                    <a:prstGeom prst="rect">
                      <a:avLst/>
                    </a:prstGeom>
                    <a:noFill/>
                    <a:ln>
                      <a:noFill/>
                    </a:ln>
                  </pic:spPr>
                </pic:pic>
              </a:graphicData>
            </a:graphic>
          </wp:inline>
        </w:drawing>
      </w:r>
    </w:p>
    <w:p w14:paraId="7553FB6B" w14:textId="77777777" w:rsidR="005A4CEF" w:rsidRDefault="005A4CEF" w:rsidP="005A4CEF"/>
    <w:p w14:paraId="31E13CB8" w14:textId="77777777" w:rsidR="005A4CEF" w:rsidRDefault="005A4CEF" w:rsidP="005A4CEF">
      <w:r w:rsidRPr="00B462AA">
        <w:rPr>
          <w:noProof/>
        </w:rPr>
        <w:drawing>
          <wp:inline distT="0" distB="0" distL="0" distR="0" wp14:anchorId="329DCA7A" wp14:editId="6A6D752C">
            <wp:extent cx="5943600" cy="571308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713081"/>
                    </a:xfrm>
                    <a:prstGeom prst="rect">
                      <a:avLst/>
                    </a:prstGeom>
                    <a:noFill/>
                    <a:ln>
                      <a:noFill/>
                    </a:ln>
                  </pic:spPr>
                </pic:pic>
              </a:graphicData>
            </a:graphic>
          </wp:inline>
        </w:drawing>
      </w:r>
    </w:p>
    <w:p w14:paraId="28E33AA2" w14:textId="77777777" w:rsidR="005A4CEF" w:rsidRDefault="005A4CEF" w:rsidP="005A4CEF"/>
    <w:p w14:paraId="304D1FE3" w14:textId="77777777" w:rsidR="005A4CEF" w:rsidRDefault="005A4CEF" w:rsidP="005A4CEF">
      <w:r w:rsidRPr="00B462AA">
        <w:rPr>
          <w:noProof/>
        </w:rPr>
        <w:drawing>
          <wp:inline distT="0" distB="0" distL="0" distR="0" wp14:anchorId="0435046F" wp14:editId="00F7DBF0">
            <wp:extent cx="2371090" cy="3827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71090" cy="3827780"/>
                    </a:xfrm>
                    <a:prstGeom prst="rect">
                      <a:avLst/>
                    </a:prstGeom>
                    <a:noFill/>
                    <a:ln>
                      <a:noFill/>
                    </a:ln>
                  </pic:spPr>
                </pic:pic>
              </a:graphicData>
            </a:graphic>
          </wp:inline>
        </w:drawing>
      </w:r>
    </w:p>
    <w:p w14:paraId="19CD0270" w14:textId="77777777" w:rsidR="005A4CEF" w:rsidRDefault="005A4CEF" w:rsidP="005A4CEF"/>
    <w:p w14:paraId="68E3344A" w14:textId="77777777" w:rsidR="005A4CEF" w:rsidRDefault="005A4CEF" w:rsidP="005A4CEF">
      <w:r w:rsidRPr="00B462AA">
        <w:rPr>
          <w:noProof/>
        </w:rPr>
        <w:drawing>
          <wp:inline distT="0" distB="0" distL="0" distR="0" wp14:anchorId="3FBD2FD9" wp14:editId="57E1715F">
            <wp:extent cx="5943600" cy="608226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6082264"/>
                    </a:xfrm>
                    <a:prstGeom prst="rect">
                      <a:avLst/>
                    </a:prstGeom>
                    <a:noFill/>
                    <a:ln>
                      <a:noFill/>
                    </a:ln>
                  </pic:spPr>
                </pic:pic>
              </a:graphicData>
            </a:graphic>
          </wp:inline>
        </w:drawing>
      </w:r>
    </w:p>
    <w:p w14:paraId="6F59DE29" w14:textId="77777777" w:rsidR="005A4CEF" w:rsidRDefault="005A4CEF" w:rsidP="005A4CEF"/>
    <w:p w14:paraId="65ACBE95" w14:textId="77777777" w:rsidR="005A4CEF" w:rsidRDefault="005A4CEF" w:rsidP="005A4CEF"/>
    <w:p w14:paraId="2F18455A" w14:textId="77777777" w:rsidR="005A4CEF" w:rsidRDefault="005A4CEF" w:rsidP="005A4CEF">
      <w:r w:rsidRPr="00B462AA">
        <w:rPr>
          <w:noProof/>
        </w:rPr>
        <w:drawing>
          <wp:inline distT="0" distB="0" distL="0" distR="0" wp14:anchorId="7EC73122" wp14:editId="3AB4ED92">
            <wp:extent cx="3487420" cy="26371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87420" cy="2637155"/>
                    </a:xfrm>
                    <a:prstGeom prst="rect">
                      <a:avLst/>
                    </a:prstGeom>
                    <a:noFill/>
                    <a:ln>
                      <a:noFill/>
                    </a:ln>
                  </pic:spPr>
                </pic:pic>
              </a:graphicData>
            </a:graphic>
          </wp:inline>
        </w:drawing>
      </w:r>
    </w:p>
    <w:p w14:paraId="512964C3" w14:textId="77777777" w:rsidR="005A4CEF" w:rsidRDefault="005A4CEF" w:rsidP="005A4CEF">
      <w:r w:rsidRPr="00B462AA">
        <w:rPr>
          <w:noProof/>
        </w:rPr>
        <w:drawing>
          <wp:inline distT="0" distB="0" distL="0" distR="0" wp14:anchorId="4A0ADC92" wp14:editId="1DBCA169">
            <wp:extent cx="5943600" cy="57108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5710855"/>
                    </a:xfrm>
                    <a:prstGeom prst="rect">
                      <a:avLst/>
                    </a:prstGeom>
                    <a:noFill/>
                    <a:ln>
                      <a:noFill/>
                    </a:ln>
                  </pic:spPr>
                </pic:pic>
              </a:graphicData>
            </a:graphic>
          </wp:inline>
        </w:drawing>
      </w:r>
    </w:p>
    <w:p w14:paraId="3C0B693A" w14:textId="77777777" w:rsidR="005A4CEF" w:rsidRDefault="005A4CEF" w:rsidP="005A4CEF"/>
    <w:p w14:paraId="1CD0AE7D" w14:textId="77777777" w:rsidR="005A4CEF" w:rsidRDefault="005A4CEF" w:rsidP="005A4CEF"/>
    <w:p w14:paraId="0CC2B1C7" w14:textId="77777777" w:rsidR="005A4CEF" w:rsidRDefault="005A4CEF" w:rsidP="005A4CEF"/>
    <w:p w14:paraId="242AD3E5" w14:textId="77777777" w:rsidR="005A4CEF" w:rsidRDefault="005A4CEF" w:rsidP="005A4CEF"/>
    <w:p w14:paraId="1A0FBF4D" w14:textId="77777777" w:rsidR="005A4CEF" w:rsidRDefault="005A4CEF" w:rsidP="005A4CEF"/>
    <w:p w14:paraId="692AAEE8" w14:textId="77777777" w:rsidR="005A4CEF" w:rsidRDefault="005A4CEF" w:rsidP="005A4CEF"/>
    <w:p w14:paraId="2584F47E" w14:textId="77777777" w:rsidR="005A4CEF" w:rsidRDefault="005A4CEF" w:rsidP="005A4CEF"/>
    <w:p w14:paraId="78A44310" w14:textId="77777777" w:rsidR="005A4CEF" w:rsidRDefault="005A4CEF" w:rsidP="005A4CEF"/>
    <w:p w14:paraId="50ADACFB" w14:textId="77777777" w:rsidR="005A4CEF" w:rsidRDefault="005A4CEF" w:rsidP="005A4CEF">
      <w:r w:rsidRPr="00B462AA">
        <w:rPr>
          <w:noProof/>
        </w:rPr>
        <w:drawing>
          <wp:inline distT="0" distB="0" distL="0" distR="0" wp14:anchorId="688900D9" wp14:editId="6AF27E83">
            <wp:extent cx="5943600" cy="5157867"/>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5157867"/>
                    </a:xfrm>
                    <a:prstGeom prst="rect">
                      <a:avLst/>
                    </a:prstGeom>
                    <a:noFill/>
                    <a:ln>
                      <a:noFill/>
                    </a:ln>
                  </pic:spPr>
                </pic:pic>
              </a:graphicData>
            </a:graphic>
          </wp:inline>
        </w:drawing>
      </w:r>
    </w:p>
    <w:p w14:paraId="31D1EFE0" w14:textId="77777777" w:rsidR="005A4CEF" w:rsidRDefault="005A4CEF" w:rsidP="005A4CEF">
      <w:r w:rsidRPr="00B462AA">
        <w:rPr>
          <w:noProof/>
        </w:rPr>
        <w:drawing>
          <wp:inline distT="0" distB="0" distL="0" distR="0" wp14:anchorId="73EC6731" wp14:editId="4F3FA987">
            <wp:extent cx="5943600" cy="527414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5274145"/>
                    </a:xfrm>
                    <a:prstGeom prst="rect">
                      <a:avLst/>
                    </a:prstGeom>
                    <a:noFill/>
                    <a:ln>
                      <a:noFill/>
                    </a:ln>
                  </pic:spPr>
                </pic:pic>
              </a:graphicData>
            </a:graphic>
          </wp:inline>
        </w:drawing>
      </w:r>
    </w:p>
    <w:p w14:paraId="5DEC4448" w14:textId="77777777" w:rsidR="005A4CEF" w:rsidRDefault="005A4CEF" w:rsidP="005A4CEF">
      <w:r w:rsidRPr="00B462AA">
        <w:rPr>
          <w:noProof/>
        </w:rPr>
        <w:drawing>
          <wp:inline distT="0" distB="0" distL="0" distR="0" wp14:anchorId="58577B14" wp14:editId="2F19A2B5">
            <wp:extent cx="5943600" cy="5326568"/>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5326568"/>
                    </a:xfrm>
                    <a:prstGeom prst="rect">
                      <a:avLst/>
                    </a:prstGeom>
                    <a:noFill/>
                    <a:ln>
                      <a:noFill/>
                    </a:ln>
                  </pic:spPr>
                </pic:pic>
              </a:graphicData>
            </a:graphic>
          </wp:inline>
        </w:drawing>
      </w:r>
    </w:p>
    <w:p w14:paraId="4C046B2D" w14:textId="77777777" w:rsidR="005A4CEF" w:rsidRDefault="005A4CEF" w:rsidP="005A4CEF"/>
    <w:p w14:paraId="60908233" w14:textId="77777777" w:rsidR="005A4CEF" w:rsidRDefault="005A4CEF" w:rsidP="005A4CEF">
      <w:r w:rsidRPr="00B462AA">
        <w:rPr>
          <w:noProof/>
        </w:rPr>
        <w:drawing>
          <wp:inline distT="0" distB="0" distL="0" distR="0" wp14:anchorId="0583B793" wp14:editId="29263043">
            <wp:extent cx="5943600" cy="5215358"/>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5215358"/>
                    </a:xfrm>
                    <a:prstGeom prst="rect">
                      <a:avLst/>
                    </a:prstGeom>
                    <a:noFill/>
                    <a:ln>
                      <a:noFill/>
                    </a:ln>
                  </pic:spPr>
                </pic:pic>
              </a:graphicData>
            </a:graphic>
          </wp:inline>
        </w:drawing>
      </w:r>
    </w:p>
    <w:p w14:paraId="22DFCB1A" w14:textId="77777777" w:rsidR="005A4CEF" w:rsidRDefault="005A4CEF" w:rsidP="005A4CEF">
      <w:r w:rsidRPr="00B462AA">
        <w:rPr>
          <w:noProof/>
        </w:rPr>
        <w:drawing>
          <wp:inline distT="0" distB="0" distL="0" distR="0" wp14:anchorId="3916341C" wp14:editId="23D9F1BC">
            <wp:extent cx="5943600" cy="5458260"/>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5458260"/>
                    </a:xfrm>
                    <a:prstGeom prst="rect">
                      <a:avLst/>
                    </a:prstGeom>
                    <a:noFill/>
                    <a:ln>
                      <a:noFill/>
                    </a:ln>
                  </pic:spPr>
                </pic:pic>
              </a:graphicData>
            </a:graphic>
          </wp:inline>
        </w:drawing>
      </w:r>
    </w:p>
    <w:p w14:paraId="7E7F5F7C" w14:textId="77777777" w:rsidR="005A4CEF" w:rsidRDefault="005A4CEF" w:rsidP="005A4CEF"/>
    <w:p w14:paraId="777F1D57" w14:textId="77777777" w:rsidR="005A4CEF" w:rsidRDefault="005A4CEF" w:rsidP="005A4CEF"/>
    <w:p w14:paraId="62959833" w14:textId="77777777" w:rsidR="005A4CEF" w:rsidRDefault="005A4CEF" w:rsidP="005A4CEF"/>
    <w:p w14:paraId="1FFCD7A3" w14:textId="77777777" w:rsidR="005A4CEF" w:rsidRDefault="005A4CEF" w:rsidP="005A4CEF"/>
    <w:p w14:paraId="41E94C66" w14:textId="77777777" w:rsidR="005A4CEF" w:rsidRDefault="005A4CEF" w:rsidP="005A4CEF"/>
    <w:p w14:paraId="0FD74480" w14:textId="77777777" w:rsidR="003D26D5" w:rsidRPr="00DB5977" w:rsidRDefault="003D26D5" w:rsidP="005A4CEF">
      <w:pPr>
        <w:spacing w:after="120" w:line="240" w:lineRule="auto"/>
        <w:rPr>
          <w:rFonts w:ascii="Verdana" w:hAnsi="Verdana" w:cstheme="minorHAnsi"/>
          <w:sz w:val="20"/>
          <w:szCs w:val="20"/>
        </w:rPr>
      </w:pPr>
    </w:p>
    <w:sectPr w:rsidR="003D26D5" w:rsidRPr="00DB5977" w:rsidSect="009A5251">
      <w:headerReference w:type="default" r:id="rId47"/>
      <w:footerReference w:type="default" r:id="rId4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830B" w14:textId="77777777" w:rsidR="0084421A" w:rsidRDefault="0084421A" w:rsidP="00112AA0">
      <w:pPr>
        <w:spacing w:after="0" w:line="240" w:lineRule="auto"/>
      </w:pPr>
      <w:r>
        <w:separator/>
      </w:r>
    </w:p>
  </w:endnote>
  <w:endnote w:type="continuationSeparator" w:id="0">
    <w:p w14:paraId="5FAD8115" w14:textId="77777777" w:rsidR="0084421A" w:rsidRDefault="0084421A" w:rsidP="00112AA0">
      <w:pPr>
        <w:spacing w:after="0" w:line="240" w:lineRule="auto"/>
      </w:pPr>
      <w:r>
        <w:continuationSeparator/>
      </w:r>
    </w:p>
  </w:endnote>
  <w:endnote w:type="continuationNotice" w:id="1">
    <w:p w14:paraId="47033079" w14:textId="77777777" w:rsidR="0084421A" w:rsidRDefault="00844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8F3A" w14:textId="77777777" w:rsidR="0084421A" w:rsidRPr="00831562" w:rsidRDefault="0084421A" w:rsidP="00831562">
    <w:pPr>
      <w:pStyle w:val="Footer"/>
      <w:tabs>
        <w:tab w:val="clear" w:pos="4680"/>
      </w:tabs>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E618" w14:textId="77777777" w:rsidR="0084421A" w:rsidRDefault="0084421A" w:rsidP="006912F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99658"/>
      <w:docPartObj>
        <w:docPartGallery w:val="Page Numbers (Bottom of Page)"/>
        <w:docPartUnique/>
      </w:docPartObj>
    </w:sdtPr>
    <w:sdtEndPr>
      <w:rPr>
        <w:rFonts w:cstheme="minorHAnsi"/>
        <w:noProof/>
      </w:rPr>
    </w:sdtEndPr>
    <w:sdtContent>
      <w:p w14:paraId="3EC2D7EF" w14:textId="70D7AB6A" w:rsidR="0084421A" w:rsidRPr="00D64A8B" w:rsidRDefault="0084421A" w:rsidP="006912FD">
        <w:pPr>
          <w:pStyle w:val="Footer"/>
          <w:tabs>
            <w:tab w:val="clear" w:pos="4680"/>
          </w:tabs>
          <w:jc w:val="center"/>
          <w:rPr>
            <w:rFonts w:cstheme="minorHAnsi"/>
          </w:rPr>
        </w:pPr>
        <w:r w:rsidRPr="00D64A8B">
          <w:rPr>
            <w:rFonts w:cstheme="minorHAnsi"/>
          </w:rPr>
          <w:fldChar w:fldCharType="begin"/>
        </w:r>
        <w:r w:rsidRPr="00D64A8B">
          <w:rPr>
            <w:rFonts w:cstheme="minorHAnsi"/>
          </w:rPr>
          <w:instrText xml:space="preserve"> PAGE   \* MERGEFORMAT </w:instrText>
        </w:r>
        <w:r w:rsidRPr="00D64A8B">
          <w:rPr>
            <w:rFonts w:cstheme="minorHAnsi"/>
          </w:rPr>
          <w:fldChar w:fldCharType="separate"/>
        </w:r>
        <w:r w:rsidR="00AB0D9A">
          <w:rPr>
            <w:rFonts w:cstheme="minorHAnsi"/>
            <w:noProof/>
          </w:rPr>
          <w:t>i</w:t>
        </w:r>
        <w:r w:rsidRPr="00D64A8B">
          <w:rPr>
            <w:rFonts w:cs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58" w:type="dxa"/>
      <w:tblBorders>
        <w:top w:val="single" w:sz="4" w:space="0" w:color="auto"/>
        <w:bottom w:val="single" w:sz="4" w:space="0" w:color="auto"/>
      </w:tblBorders>
      <w:tblLook w:val="0000" w:firstRow="0" w:lastRow="0" w:firstColumn="0" w:lastColumn="0" w:noHBand="0" w:noVBand="0"/>
    </w:tblPr>
    <w:tblGrid>
      <w:gridCol w:w="7488"/>
      <w:gridCol w:w="1170"/>
    </w:tblGrid>
    <w:tr w:rsidR="0084421A" w:rsidRPr="00AF4EC8" w14:paraId="3D2B5AFB" w14:textId="77777777" w:rsidTr="00763F35">
      <w:tc>
        <w:tcPr>
          <w:tcW w:w="7488" w:type="dxa"/>
        </w:tcPr>
        <w:p w14:paraId="3ED41046" w14:textId="77777777" w:rsidR="0084421A" w:rsidRPr="00AF4EC8" w:rsidRDefault="0084421A" w:rsidP="00831562">
          <w:pPr>
            <w:pStyle w:val="Footer"/>
            <w:spacing w:before="120" w:after="120"/>
            <w:rPr>
              <w:rFonts w:ascii="Verdana" w:hAnsi="Verdana" w:cstheme="minorHAnsi"/>
              <w:sz w:val="20"/>
              <w:szCs w:val="18"/>
            </w:rPr>
          </w:pPr>
          <w:r w:rsidRPr="00AF4EC8">
            <w:rPr>
              <w:rFonts w:ascii="Verdana" w:hAnsi="Verdana" w:cstheme="minorHAnsi"/>
              <w:sz w:val="20"/>
              <w:szCs w:val="18"/>
            </w:rPr>
            <w:t>Direct Testimony of Maureen L. Reno</w:t>
          </w:r>
        </w:p>
      </w:tc>
      <w:tc>
        <w:tcPr>
          <w:tcW w:w="1170" w:type="dxa"/>
        </w:tcPr>
        <w:p w14:paraId="68812312" w14:textId="119D7908" w:rsidR="0084421A" w:rsidRPr="00AF4EC8" w:rsidRDefault="0084421A" w:rsidP="00B52F65">
          <w:pPr>
            <w:pStyle w:val="Footer"/>
            <w:spacing w:before="120" w:after="120"/>
            <w:jc w:val="right"/>
            <w:rPr>
              <w:rFonts w:ascii="Verdana" w:hAnsi="Verdana" w:cstheme="minorHAnsi"/>
              <w:sz w:val="20"/>
              <w:szCs w:val="18"/>
            </w:rPr>
          </w:pPr>
          <w:r w:rsidRPr="00AF4EC8">
            <w:rPr>
              <w:rFonts w:ascii="Verdana" w:hAnsi="Verdana" w:cstheme="minorHAnsi"/>
              <w:sz w:val="20"/>
              <w:szCs w:val="18"/>
            </w:rPr>
            <w:t xml:space="preserve">Page </w:t>
          </w:r>
          <w:r w:rsidRPr="00AF4EC8">
            <w:rPr>
              <w:rStyle w:val="PageNumber"/>
              <w:rFonts w:ascii="Verdana" w:hAnsi="Verdana" w:cstheme="minorHAnsi"/>
              <w:sz w:val="20"/>
              <w:szCs w:val="18"/>
            </w:rPr>
            <w:fldChar w:fldCharType="begin"/>
          </w:r>
          <w:r w:rsidRPr="00AF4EC8">
            <w:rPr>
              <w:rStyle w:val="PageNumber"/>
              <w:rFonts w:ascii="Verdana" w:hAnsi="Verdana" w:cstheme="minorHAnsi"/>
              <w:sz w:val="20"/>
              <w:szCs w:val="18"/>
            </w:rPr>
            <w:instrText xml:space="preserve"> PAGE </w:instrText>
          </w:r>
          <w:r w:rsidRPr="00AF4EC8">
            <w:rPr>
              <w:rStyle w:val="PageNumber"/>
              <w:rFonts w:ascii="Verdana" w:hAnsi="Verdana" w:cstheme="minorHAnsi"/>
              <w:sz w:val="20"/>
              <w:szCs w:val="18"/>
            </w:rPr>
            <w:fldChar w:fldCharType="separate"/>
          </w:r>
          <w:r w:rsidR="00AB0D9A">
            <w:rPr>
              <w:rStyle w:val="PageNumber"/>
              <w:rFonts w:ascii="Verdana" w:hAnsi="Verdana" w:cstheme="minorHAnsi"/>
              <w:noProof/>
              <w:sz w:val="20"/>
              <w:szCs w:val="18"/>
            </w:rPr>
            <w:t>14</w:t>
          </w:r>
          <w:r w:rsidRPr="00AF4EC8">
            <w:rPr>
              <w:rStyle w:val="PageNumber"/>
              <w:rFonts w:ascii="Verdana" w:hAnsi="Verdana" w:cstheme="minorHAnsi"/>
              <w:sz w:val="20"/>
              <w:szCs w:val="18"/>
            </w:rPr>
            <w:fldChar w:fldCharType="end"/>
          </w:r>
        </w:p>
      </w:tc>
    </w:tr>
  </w:tbl>
  <w:p w14:paraId="434E292C" w14:textId="77777777" w:rsidR="0084421A" w:rsidRPr="00831562" w:rsidRDefault="0084421A" w:rsidP="00831562">
    <w:pPr>
      <w:pStyle w:val="Footer"/>
      <w:tabs>
        <w:tab w:val="clear" w:pos="4680"/>
      </w:tabs>
      <w:rPr>
        <w:rFonts w:ascii="Times New Roman" w:hAnsi="Times New Roman" w:cs="Times New Roman"/>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045D" w14:textId="77777777" w:rsidR="0084421A" w:rsidRPr="00C74098" w:rsidRDefault="0084421A" w:rsidP="00BC5AB1">
    <w:pPr>
      <w:pStyle w:val="Footer"/>
      <w:jc w:val="right"/>
      <w:rPr>
        <w:rFonts w:ascii="Times New Roman" w:hAnsi="Times New Roman" w:cs="Times New Roman"/>
      </w:rPr>
    </w:pPr>
    <w:r>
      <w:rPr>
        <w:rFonts w:ascii="Times New Roman" w:hAnsi="Times New Roman" w:cs="Times New Roman"/>
      </w:rPr>
      <w:t xml:space="preserve">Appendix A, </w:t>
    </w:r>
    <w:r w:rsidRPr="00C5315C">
      <w:rPr>
        <w:rFonts w:ascii="Times New Roman" w:hAnsi="Times New Roman" w:cs="Times New Roman"/>
      </w:rPr>
      <w:t xml:space="preserve">page </w:t>
    </w:r>
    <w:sdt>
      <w:sdtPr>
        <w:rPr>
          <w:rFonts w:ascii="Times New Roman" w:hAnsi="Times New Roman" w:cs="Times New Roman"/>
        </w:rPr>
        <w:id w:val="-1152603957"/>
        <w:docPartObj>
          <w:docPartGallery w:val="Page Numbers (Bottom of Page)"/>
          <w:docPartUnique/>
        </w:docPartObj>
      </w:sdtPr>
      <w:sdtEndPr>
        <w:rPr>
          <w:noProof/>
        </w:rPr>
      </w:sdtEndPr>
      <w:sdtContent>
        <w:r w:rsidRPr="00C5315C">
          <w:rPr>
            <w:rFonts w:ascii="Times New Roman" w:hAnsi="Times New Roman" w:cs="Times New Roman"/>
          </w:rPr>
          <w:fldChar w:fldCharType="begin"/>
        </w:r>
        <w:r w:rsidRPr="00C5315C">
          <w:rPr>
            <w:rFonts w:ascii="Times New Roman" w:hAnsi="Times New Roman" w:cs="Times New Roman"/>
          </w:rPr>
          <w:instrText xml:space="preserve"> PAGE   \* MERGEFORMAT </w:instrText>
        </w:r>
        <w:r w:rsidRPr="00C5315C">
          <w:rPr>
            <w:rFonts w:ascii="Times New Roman" w:hAnsi="Times New Roman" w:cs="Times New Roman"/>
          </w:rPr>
          <w:fldChar w:fldCharType="separate"/>
        </w:r>
        <w:r>
          <w:rPr>
            <w:rFonts w:ascii="Times New Roman" w:hAnsi="Times New Roman" w:cs="Times New Roman"/>
            <w:noProof/>
          </w:rPr>
          <w:t>0</w:t>
        </w:r>
        <w:r w:rsidRPr="00C5315C">
          <w:rPr>
            <w:rFonts w:ascii="Times New Roman" w:hAnsi="Times New Roman" w:cs="Times New Roman"/>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335814228"/>
      <w:docPartObj>
        <w:docPartGallery w:val="Page Numbers (Bottom of Page)"/>
        <w:docPartUnique/>
      </w:docPartObj>
    </w:sdtPr>
    <w:sdtEndPr>
      <w:rPr>
        <w:noProof/>
      </w:rPr>
    </w:sdtEndPr>
    <w:sdtContent>
      <w:p w14:paraId="2A9E3DEC" w14:textId="2CE72E96" w:rsidR="0084421A" w:rsidRPr="00D14328" w:rsidRDefault="0084421A" w:rsidP="00512CF1">
        <w:pPr>
          <w:pStyle w:val="Footer"/>
          <w:jc w:val="right"/>
          <w:rPr>
            <w:rFonts w:cstheme="minorHAnsi"/>
          </w:rPr>
        </w:pPr>
        <w:r w:rsidRPr="00D14328">
          <w:rPr>
            <w:rFonts w:cstheme="minorHAnsi"/>
          </w:rPr>
          <w:t xml:space="preserve">Appendix A page </w:t>
        </w:r>
        <w:r w:rsidRPr="00D14328">
          <w:rPr>
            <w:rFonts w:cstheme="minorHAnsi"/>
          </w:rPr>
          <w:fldChar w:fldCharType="begin"/>
        </w:r>
        <w:r w:rsidRPr="00D14328">
          <w:rPr>
            <w:rFonts w:cstheme="minorHAnsi"/>
          </w:rPr>
          <w:instrText xml:space="preserve"> PAGE   \* MERGEFORMAT </w:instrText>
        </w:r>
        <w:r w:rsidRPr="00D14328">
          <w:rPr>
            <w:rFonts w:cstheme="minorHAnsi"/>
          </w:rPr>
          <w:fldChar w:fldCharType="separate"/>
        </w:r>
        <w:r w:rsidR="00AB0D9A">
          <w:rPr>
            <w:rFonts w:cstheme="minorHAnsi"/>
            <w:noProof/>
          </w:rPr>
          <w:t>7</w:t>
        </w:r>
        <w:r w:rsidRPr="00D14328">
          <w:rPr>
            <w:rFonts w:cstheme="minorHAnsi"/>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B4413" w14:textId="77777777" w:rsidR="0084421A" w:rsidRPr="00C14BAF" w:rsidRDefault="0084421A" w:rsidP="00C1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C48B" w14:textId="77777777" w:rsidR="0084421A" w:rsidRDefault="0084421A" w:rsidP="00112AA0">
      <w:pPr>
        <w:spacing w:after="0" w:line="240" w:lineRule="auto"/>
      </w:pPr>
      <w:r>
        <w:separator/>
      </w:r>
    </w:p>
  </w:footnote>
  <w:footnote w:type="continuationSeparator" w:id="0">
    <w:p w14:paraId="22D02E53" w14:textId="77777777" w:rsidR="0084421A" w:rsidRDefault="0084421A" w:rsidP="00112AA0">
      <w:pPr>
        <w:spacing w:after="0" w:line="240" w:lineRule="auto"/>
      </w:pPr>
      <w:r>
        <w:continuationSeparator/>
      </w:r>
    </w:p>
  </w:footnote>
  <w:footnote w:type="continuationNotice" w:id="1">
    <w:p w14:paraId="0D29CA61" w14:textId="77777777" w:rsidR="0084421A" w:rsidRDefault="0084421A">
      <w:pPr>
        <w:spacing w:after="0" w:line="240" w:lineRule="auto"/>
      </w:pPr>
    </w:p>
  </w:footnote>
  <w:footnote w:id="2">
    <w:p w14:paraId="15E117BB" w14:textId="526C30BE"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RR</w:t>
      </w:r>
      <w:r>
        <w:rPr>
          <w:rFonts w:ascii="Verdana" w:hAnsi="Verdana"/>
          <w:sz w:val="16"/>
          <w:szCs w:val="16"/>
        </w:rPr>
        <w:t>A</w:t>
      </w:r>
      <w:r w:rsidRPr="00326A4E">
        <w:rPr>
          <w:rFonts w:ascii="Verdana" w:hAnsi="Verdana"/>
          <w:sz w:val="16"/>
          <w:szCs w:val="16"/>
        </w:rPr>
        <w:t xml:space="preserve"> Regulatory Focus: </w:t>
      </w:r>
      <w:r w:rsidRPr="00326A4E">
        <w:rPr>
          <w:rFonts w:ascii="Verdana" w:hAnsi="Verdana"/>
          <w:i/>
          <w:iCs/>
          <w:sz w:val="16"/>
          <w:szCs w:val="16"/>
        </w:rPr>
        <w:t>Georgia Public Service Commission Evaluation</w:t>
      </w:r>
      <w:r w:rsidRPr="00326A4E">
        <w:rPr>
          <w:rFonts w:ascii="Verdana" w:hAnsi="Verdana"/>
          <w:sz w:val="16"/>
          <w:szCs w:val="16"/>
        </w:rPr>
        <w:t xml:space="preserve">, retrieved online from </w:t>
      </w:r>
      <w:hyperlink r:id="rId1" w:history="1">
        <w:r w:rsidRPr="00326A4E">
          <w:rPr>
            <w:rStyle w:val="Hyperlink"/>
            <w:rFonts w:ascii="Verdana" w:hAnsi="Verdana"/>
            <w:sz w:val="16"/>
            <w:szCs w:val="16"/>
          </w:rPr>
          <w:t>www.spglobal.com</w:t>
        </w:r>
      </w:hyperlink>
      <w:r w:rsidRPr="00326A4E">
        <w:rPr>
          <w:rFonts w:ascii="Verdana" w:hAnsi="Verdana"/>
          <w:sz w:val="16"/>
          <w:szCs w:val="16"/>
        </w:rPr>
        <w:t>, on October 10, 2019.</w:t>
      </w:r>
    </w:p>
  </w:footnote>
  <w:footnote w:id="3">
    <w:p w14:paraId="77582EDB"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326A4E">
        <w:rPr>
          <w:rFonts w:ascii="Verdana" w:hAnsi="Verdana"/>
          <w:sz w:val="16"/>
          <w:szCs w:val="16"/>
        </w:rPr>
        <w:t xml:space="preserve">Commission Order Adopting Settlement Agreement in </w:t>
      </w:r>
      <w:r w:rsidRPr="00326A4E">
        <w:rPr>
          <w:rFonts w:ascii="Verdana" w:hAnsi="Verdana"/>
          <w:i/>
          <w:sz w:val="16"/>
          <w:szCs w:val="16"/>
        </w:rPr>
        <w:t>Re: Georgia Power Company’s 2013 Rate Case (“2013 GRC”)</w:t>
      </w:r>
      <w:r w:rsidRPr="00326A4E">
        <w:rPr>
          <w:rFonts w:ascii="Verdana" w:hAnsi="Verdana"/>
          <w:sz w:val="16"/>
          <w:szCs w:val="16"/>
        </w:rPr>
        <w:t>; Docket No. 36989, decided December 17, 2013.</w:t>
      </w:r>
    </w:p>
  </w:footnote>
  <w:footnote w:id="4">
    <w:p w14:paraId="0D0A842B" w14:textId="02B2BEF8"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326A4E">
        <w:rPr>
          <w:rFonts w:ascii="Verdana" w:hAnsi="Verdana"/>
          <w:sz w:val="16"/>
          <w:szCs w:val="16"/>
        </w:rPr>
        <w:t xml:space="preserve"> Commission Order Adopting Settlement Agreement in Re: Georgia Power Company’s 2013 Rate Case; p. 1 of Settlement Agreement; Docket No. 36989, decided December 17, 2013.</w:t>
      </w:r>
    </w:p>
  </w:footnote>
  <w:footnote w:id="5">
    <w:p w14:paraId="677D1BCB" w14:textId="1E54DE1A" w:rsidR="0084421A" w:rsidRPr="00326A4E" w:rsidRDefault="0084421A" w:rsidP="00A056CA">
      <w:pPr>
        <w:pStyle w:val="FootnoteText"/>
        <w:rPr>
          <w:rFonts w:ascii="Verdana" w:hAnsi="Verdana"/>
          <w:i/>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2018 ASR filed by the Company in </w:t>
      </w:r>
      <w:r w:rsidRPr="00326A4E">
        <w:rPr>
          <w:rFonts w:ascii="Verdana" w:hAnsi="Verdana"/>
          <w:i/>
          <w:sz w:val="16"/>
          <w:szCs w:val="16"/>
        </w:rPr>
        <w:t>Re: Georgia Power Company's 2018 Annual Surveillance Report;</w:t>
      </w:r>
    </w:p>
    <w:p w14:paraId="45A02119" w14:textId="77777777" w:rsidR="0084421A" w:rsidRPr="00326A4E" w:rsidRDefault="0084421A" w:rsidP="00A056CA">
      <w:pPr>
        <w:pStyle w:val="FootnoteText"/>
        <w:rPr>
          <w:rFonts w:ascii="Verdana" w:hAnsi="Verdana"/>
          <w:sz w:val="16"/>
          <w:szCs w:val="16"/>
        </w:rPr>
      </w:pPr>
      <w:r w:rsidRPr="00326A4E">
        <w:rPr>
          <w:rFonts w:ascii="Verdana" w:hAnsi="Verdana"/>
          <w:i/>
          <w:sz w:val="16"/>
          <w:szCs w:val="16"/>
        </w:rPr>
        <w:t>Docket No. 36989</w:t>
      </w:r>
      <w:r w:rsidRPr="00326A4E">
        <w:rPr>
          <w:rFonts w:ascii="Verdana" w:hAnsi="Verdana"/>
          <w:sz w:val="16"/>
          <w:szCs w:val="16"/>
        </w:rPr>
        <w:t>, Docket No. 36989, dated March 15, 2019.</w:t>
      </w:r>
    </w:p>
  </w:footnote>
  <w:footnote w:id="6">
    <w:p w14:paraId="2B229A91" w14:textId="38D95328" w:rsidR="0084421A" w:rsidRPr="00326A4E" w:rsidRDefault="0084421A" w:rsidP="00815D28">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6C5FE3">
        <w:rPr>
          <w:rFonts w:ascii="Verdana" w:hAnsi="Verdana"/>
          <w:i/>
          <w:sz w:val="16"/>
          <w:szCs w:val="16"/>
        </w:rPr>
        <w:t>Ibid.</w:t>
      </w:r>
    </w:p>
  </w:footnote>
  <w:footnote w:id="7">
    <w:p w14:paraId="69908863" w14:textId="77777777"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6C5FE3">
        <w:rPr>
          <w:rFonts w:ascii="Verdana" w:hAnsi="Verdana"/>
          <w:i/>
          <w:iCs/>
          <w:sz w:val="16"/>
          <w:szCs w:val="16"/>
        </w:rPr>
        <w:t>Ibid.</w:t>
      </w:r>
    </w:p>
  </w:footnote>
  <w:footnote w:id="8">
    <w:p w14:paraId="3056D140" w14:textId="77777777" w:rsidR="0084421A" w:rsidRPr="00326A4E" w:rsidRDefault="0084421A" w:rsidP="001D7258">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326A4E">
        <w:rPr>
          <w:rFonts w:ascii="Verdana" w:hAnsi="Verdana" w:cstheme="minorHAnsi"/>
          <w:i/>
          <w:sz w:val="16"/>
          <w:szCs w:val="16"/>
        </w:rPr>
        <w:t>Value Line Investment Survey, Selection &amp; Opinion</w:t>
      </w:r>
      <w:r w:rsidRPr="00326A4E">
        <w:rPr>
          <w:rFonts w:ascii="Verdana" w:hAnsi="Verdana" w:cstheme="minorHAnsi"/>
          <w:sz w:val="16"/>
          <w:szCs w:val="16"/>
        </w:rPr>
        <w:t>, September 13, 2019.</w:t>
      </w:r>
    </w:p>
  </w:footnote>
  <w:footnote w:id="9">
    <w:p w14:paraId="0DA644B1" w14:textId="77777777" w:rsidR="0084421A" w:rsidRPr="00326A4E" w:rsidRDefault="0084421A" w:rsidP="002E3517">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Federal Reserve press release issued on September 18, 2019. </w:t>
      </w:r>
      <w:hyperlink r:id="rId2" w:history="1">
        <w:r w:rsidRPr="00326A4E">
          <w:rPr>
            <w:rStyle w:val="Hyperlink"/>
            <w:rFonts w:ascii="Verdana" w:hAnsi="Verdana"/>
            <w:sz w:val="16"/>
            <w:szCs w:val="16"/>
          </w:rPr>
          <w:t>https://www.federalreserve.gov/monetarypolicy/files/monetary20190918a1.pdf</w:t>
        </w:r>
      </w:hyperlink>
    </w:p>
  </w:footnote>
  <w:footnote w:id="10">
    <w:p w14:paraId="3EA5F5DF" w14:textId="77777777" w:rsidR="0084421A" w:rsidRPr="00326A4E" w:rsidRDefault="0084421A" w:rsidP="001110E5">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Federal Reserve press release issued on July 31, 2019. </w:t>
      </w:r>
      <w:hyperlink r:id="rId3" w:history="1">
        <w:r w:rsidRPr="00326A4E">
          <w:rPr>
            <w:rStyle w:val="Hyperlink"/>
            <w:rFonts w:ascii="Verdana" w:hAnsi="Verdana" w:cstheme="minorHAnsi"/>
            <w:sz w:val="16"/>
            <w:szCs w:val="16"/>
          </w:rPr>
          <w:t>https://www.federalreserve.gov/monetarypolicy/files/monetary20190731a1.pdf</w:t>
        </w:r>
      </w:hyperlink>
    </w:p>
  </w:footnote>
  <w:footnote w:id="11">
    <w:p w14:paraId="7FD62EFE" w14:textId="02B81F23"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Pr>
          <w:rFonts w:ascii="Verdana" w:hAnsi="Verdana"/>
          <w:sz w:val="16"/>
          <w:szCs w:val="16"/>
        </w:rPr>
        <w:t xml:space="preserve">Federal Reserve Bank of New York, </w:t>
      </w:r>
      <w:r w:rsidRPr="00590C0F">
        <w:rPr>
          <w:rFonts w:ascii="Verdana" w:hAnsi="Verdana"/>
          <w:i/>
          <w:iCs/>
          <w:sz w:val="16"/>
          <w:szCs w:val="16"/>
        </w:rPr>
        <w:t>Statement Regarding Repurchase Operations</w:t>
      </w:r>
      <w:r>
        <w:rPr>
          <w:rFonts w:ascii="Verdana" w:hAnsi="Verdana"/>
          <w:sz w:val="16"/>
          <w:szCs w:val="16"/>
        </w:rPr>
        <w:t xml:space="preserve">, September 20, 2019. </w:t>
      </w:r>
      <w:hyperlink r:id="rId4" w:history="1">
        <w:r w:rsidRPr="000F5320">
          <w:rPr>
            <w:rStyle w:val="Hyperlink"/>
            <w:rFonts w:ascii="Verdana" w:hAnsi="Verdana"/>
            <w:sz w:val="16"/>
            <w:szCs w:val="16"/>
          </w:rPr>
          <w:t>https://www.newyorkfed.org/markets/opolicy/operating_policy_190920</w:t>
        </w:r>
      </w:hyperlink>
    </w:p>
  </w:footnote>
  <w:footnote w:id="12">
    <w:p w14:paraId="56D5D54F" w14:textId="23A84A32" w:rsidR="0084421A" w:rsidRPr="00326A4E" w:rsidRDefault="0084421A" w:rsidP="00DD73EB">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It is important to note that the falling national unemployment rate may also reflect a drop in the labor market participation rate from 64.7 percent in 2010 to 62.9 percent in 2018, showing that discouraged unemployed workers are leaving the labor market. (</w:t>
      </w:r>
      <w:r w:rsidRPr="00326A4E">
        <w:rPr>
          <w:rFonts w:ascii="Verdana" w:hAnsi="Verdana" w:cstheme="minorHAnsi"/>
          <w:i/>
          <w:sz w:val="16"/>
          <w:szCs w:val="16"/>
          <w:u w:val="single"/>
        </w:rPr>
        <w:t>See</w:t>
      </w:r>
      <w:r w:rsidRPr="00326A4E">
        <w:rPr>
          <w:rFonts w:ascii="Verdana" w:hAnsi="Verdana" w:cstheme="minorHAnsi"/>
          <w:i/>
          <w:sz w:val="16"/>
          <w:szCs w:val="16"/>
        </w:rPr>
        <w:t xml:space="preserve"> </w:t>
      </w:r>
      <w:r>
        <w:rPr>
          <w:rFonts w:ascii="Verdana" w:hAnsi="Verdana" w:cstheme="minorHAnsi"/>
          <w:sz w:val="16"/>
          <w:szCs w:val="16"/>
        </w:rPr>
        <w:t>Exhibit</w:t>
      </w:r>
      <w:proofErr w:type="gramStart"/>
      <w:r>
        <w:rPr>
          <w:rFonts w:ascii="Verdana" w:hAnsi="Verdana" w:cstheme="minorHAnsi"/>
          <w:sz w:val="16"/>
          <w:szCs w:val="16"/>
        </w:rPr>
        <w:t>_(</w:t>
      </w:r>
      <w:proofErr w:type="gramEnd"/>
      <w:r>
        <w:rPr>
          <w:rFonts w:ascii="Verdana" w:hAnsi="Verdana" w:cstheme="minorHAnsi"/>
          <w:sz w:val="16"/>
          <w:szCs w:val="16"/>
        </w:rPr>
        <w:t>M</w:t>
      </w:r>
      <w:r w:rsidRPr="00326A4E">
        <w:rPr>
          <w:rFonts w:ascii="Verdana" w:hAnsi="Verdana" w:cstheme="minorHAnsi"/>
          <w:sz w:val="16"/>
          <w:szCs w:val="16"/>
        </w:rPr>
        <w:t>LR-1.)</w:t>
      </w:r>
    </w:p>
  </w:footnote>
  <w:footnote w:id="13">
    <w:p w14:paraId="64652E75" w14:textId="77777777" w:rsidR="0084421A" w:rsidRPr="00326A4E" w:rsidRDefault="0084421A" w:rsidP="00316AD5">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D6544C">
        <w:rPr>
          <w:rFonts w:ascii="Verdana" w:hAnsi="Verdana" w:cstheme="minorHAnsi"/>
          <w:i/>
          <w:iCs/>
          <w:sz w:val="16"/>
          <w:szCs w:val="16"/>
        </w:rPr>
        <w:t>Georgia Economic Outlook: 2019</w:t>
      </w:r>
      <w:r w:rsidRPr="00326A4E">
        <w:rPr>
          <w:rFonts w:ascii="Verdana" w:hAnsi="Verdana" w:cstheme="minorHAnsi"/>
          <w:sz w:val="16"/>
          <w:szCs w:val="16"/>
        </w:rPr>
        <w:t>, 36</w:t>
      </w:r>
      <w:r w:rsidRPr="00326A4E">
        <w:rPr>
          <w:rFonts w:ascii="Verdana" w:hAnsi="Verdana" w:cstheme="minorHAnsi"/>
          <w:sz w:val="16"/>
          <w:szCs w:val="16"/>
          <w:vertAlign w:val="superscript"/>
        </w:rPr>
        <w:t>th</w:t>
      </w:r>
      <w:r w:rsidRPr="00326A4E">
        <w:rPr>
          <w:rFonts w:ascii="Verdana" w:hAnsi="Verdana" w:cstheme="minorHAnsi"/>
          <w:sz w:val="16"/>
          <w:szCs w:val="16"/>
        </w:rPr>
        <w:t xml:space="preserve"> Annual Edition, Selig Center for Economic Growth, Terry College of Business, University of Georgia, pp. 10-11.</w:t>
      </w:r>
    </w:p>
  </w:footnote>
  <w:footnote w:id="14">
    <w:p w14:paraId="18B43AE3" w14:textId="77777777" w:rsidR="0084421A" w:rsidRPr="00326A4E" w:rsidRDefault="0084421A" w:rsidP="00316AD5">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D6544C">
        <w:rPr>
          <w:rFonts w:ascii="Verdana" w:hAnsi="Verdana" w:cstheme="minorHAnsi"/>
          <w:i/>
          <w:iCs/>
          <w:sz w:val="16"/>
          <w:szCs w:val="16"/>
        </w:rPr>
        <w:t>Defense Spending by States: Fiscal Year 2017</w:t>
      </w:r>
      <w:r w:rsidRPr="00326A4E">
        <w:rPr>
          <w:rFonts w:ascii="Verdana" w:hAnsi="Verdana" w:cstheme="minorHAnsi"/>
          <w:sz w:val="16"/>
          <w:szCs w:val="16"/>
        </w:rPr>
        <w:t>, Revised Version, Office of Economic Adjustment, U.S. Department of Defense, March 2019, pp. 36-37 http://oea.gov/dsbs-fy2017</w:t>
      </w:r>
    </w:p>
  </w:footnote>
  <w:footnote w:id="15">
    <w:p w14:paraId="5543DE05" w14:textId="77777777"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326A4E">
        <w:rPr>
          <w:rFonts w:ascii="Verdana" w:hAnsi="Verdana"/>
          <w:i/>
          <w:sz w:val="16"/>
          <w:szCs w:val="16"/>
          <w:u w:val="single"/>
        </w:rPr>
        <w:t xml:space="preserve">See </w:t>
      </w:r>
      <w:r w:rsidRPr="00326A4E">
        <w:rPr>
          <w:rFonts w:ascii="Verdana" w:hAnsi="Verdana"/>
          <w:sz w:val="16"/>
          <w:szCs w:val="16"/>
        </w:rPr>
        <w:t xml:space="preserve">Commission Order Adopting Settlement Agreement in </w:t>
      </w:r>
      <w:r w:rsidRPr="00326A4E">
        <w:rPr>
          <w:rFonts w:ascii="Verdana" w:hAnsi="Verdana"/>
          <w:i/>
          <w:sz w:val="16"/>
          <w:szCs w:val="16"/>
        </w:rPr>
        <w:t>Re: Georgia Power Company’s 2013 Rate Case</w:t>
      </w:r>
      <w:r w:rsidRPr="00326A4E">
        <w:rPr>
          <w:rFonts w:ascii="Verdana" w:hAnsi="Verdana"/>
          <w:sz w:val="16"/>
          <w:szCs w:val="16"/>
        </w:rPr>
        <w:t>; Docket No. 36989, decided December 17, 2013.</w:t>
      </w:r>
    </w:p>
  </w:footnote>
  <w:footnote w:id="16">
    <w:p w14:paraId="27A95191" w14:textId="77777777" w:rsidR="0084421A" w:rsidRPr="00326A4E" w:rsidRDefault="0084421A" w:rsidP="00F70AF6">
      <w:pPr>
        <w:pStyle w:val="FootnoteText"/>
        <w:rPr>
          <w:rFonts w:ascii="Verdana" w:hAnsi="Verdana"/>
          <w:i/>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See Commission Order in </w:t>
      </w:r>
      <w:r w:rsidRPr="00326A4E">
        <w:rPr>
          <w:rFonts w:ascii="Verdana" w:hAnsi="Verdana"/>
          <w:i/>
          <w:sz w:val="16"/>
          <w:szCs w:val="16"/>
        </w:rPr>
        <w:t xml:space="preserve">Verification of Expenditures Pursuant to Georgia Power Company’s Certificate of Public Docket No. 29849 Convenience and Necessity for Plant </w:t>
      </w:r>
      <w:proofErr w:type="spellStart"/>
      <w:r w:rsidRPr="00326A4E">
        <w:rPr>
          <w:rFonts w:ascii="Verdana" w:hAnsi="Verdana"/>
          <w:i/>
          <w:sz w:val="16"/>
          <w:szCs w:val="16"/>
        </w:rPr>
        <w:t>Vogtle</w:t>
      </w:r>
      <w:proofErr w:type="spellEnd"/>
      <w:r w:rsidRPr="00326A4E">
        <w:rPr>
          <w:rFonts w:ascii="Verdana" w:hAnsi="Verdana"/>
          <w:i/>
          <w:sz w:val="16"/>
          <w:szCs w:val="16"/>
        </w:rPr>
        <w:t xml:space="preserve"> Units 3 and 4, Seventeenth Semi-Annual  </w:t>
      </w:r>
    </w:p>
    <w:p w14:paraId="25AAE2CC" w14:textId="77777777" w:rsidR="0084421A" w:rsidRPr="00326A4E" w:rsidRDefault="0084421A" w:rsidP="00F70AF6">
      <w:pPr>
        <w:pStyle w:val="FootnoteText"/>
        <w:rPr>
          <w:rFonts w:ascii="Verdana" w:hAnsi="Verdana"/>
          <w:sz w:val="16"/>
          <w:szCs w:val="16"/>
        </w:rPr>
      </w:pPr>
      <w:r w:rsidRPr="00326A4E">
        <w:rPr>
          <w:rFonts w:ascii="Verdana" w:hAnsi="Verdana"/>
          <w:i/>
          <w:sz w:val="16"/>
          <w:szCs w:val="16"/>
        </w:rPr>
        <w:t>Construction Monitory Report; Proposed Forecast Cost and Schedule Revisions; and Determination of continuation or Cancellation of the Project</w:t>
      </w:r>
      <w:r w:rsidRPr="00326A4E">
        <w:rPr>
          <w:rFonts w:ascii="Verdana" w:hAnsi="Verdana"/>
          <w:sz w:val="16"/>
          <w:szCs w:val="16"/>
        </w:rPr>
        <w:t>; Docket No. 36989, decided January 11, 2018.</w:t>
      </w:r>
    </w:p>
  </w:footnote>
  <w:footnote w:id="17">
    <w:p w14:paraId="27CB6BA6" w14:textId="3BA556F3"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According to RRA, the RRA’s rankings are assigned from an investor’s perspective and indicate the relative regulatory risk associated with the ownership of securities issued by the jurisdiction’s utilities. As of October 9, 2019, RRA only ranks 7 states with the Above Average/2 ranking. </w:t>
      </w:r>
      <w:r w:rsidRPr="00326A4E">
        <w:rPr>
          <w:rFonts w:ascii="Verdana" w:hAnsi="Verdana"/>
          <w:i/>
          <w:iCs/>
          <w:sz w:val="16"/>
          <w:szCs w:val="16"/>
        </w:rPr>
        <w:t>RRA Regulatory Focus: State Regulatory Evaluations – Energy</w:t>
      </w:r>
      <w:r w:rsidRPr="00326A4E">
        <w:rPr>
          <w:rFonts w:ascii="Verdana" w:hAnsi="Verdana"/>
          <w:sz w:val="16"/>
          <w:szCs w:val="16"/>
        </w:rPr>
        <w:t>, S&amp;P Global Market Intelligence, May 9, 2019.</w:t>
      </w:r>
    </w:p>
  </w:footnote>
  <w:footnote w:id="18">
    <w:p w14:paraId="5346F00B" w14:textId="51056964"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326A4E">
        <w:rPr>
          <w:rFonts w:ascii="Verdana" w:hAnsi="Verdana"/>
          <w:i/>
          <w:iCs/>
          <w:sz w:val="16"/>
          <w:szCs w:val="16"/>
        </w:rPr>
        <w:t>2014-2017 Annual Surveillance Reports</w:t>
      </w:r>
      <w:r w:rsidRPr="00326A4E">
        <w:rPr>
          <w:rFonts w:ascii="Verdana" w:hAnsi="Verdana"/>
          <w:sz w:val="16"/>
          <w:szCs w:val="16"/>
        </w:rPr>
        <w:t>; filed at different dates</w:t>
      </w:r>
      <w:r>
        <w:rPr>
          <w:rFonts w:ascii="Verdana" w:hAnsi="Verdana"/>
          <w:sz w:val="16"/>
          <w:szCs w:val="16"/>
        </w:rPr>
        <w:t xml:space="preserve"> under</w:t>
      </w:r>
      <w:r w:rsidRPr="00326A4E">
        <w:rPr>
          <w:rFonts w:ascii="Verdana" w:hAnsi="Verdana"/>
          <w:sz w:val="16"/>
          <w:szCs w:val="16"/>
        </w:rPr>
        <w:t xml:space="preserve"> Docket No. 36989.</w:t>
      </w:r>
    </w:p>
  </w:footnote>
  <w:footnote w:id="19">
    <w:p w14:paraId="6373BA2C" w14:textId="77777777" w:rsidR="0084421A" w:rsidRPr="00326A4E" w:rsidRDefault="0084421A" w:rsidP="001F3B92">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326A4E">
        <w:rPr>
          <w:rFonts w:ascii="Verdana" w:hAnsi="Verdana" w:cstheme="minorHAnsi"/>
          <w:i/>
          <w:sz w:val="16"/>
          <w:szCs w:val="16"/>
        </w:rPr>
        <w:t>Value Line</w:t>
      </w:r>
      <w:r w:rsidRPr="00326A4E">
        <w:rPr>
          <w:rFonts w:ascii="Verdana" w:hAnsi="Verdana" w:cstheme="minorHAnsi"/>
          <w:sz w:val="16"/>
          <w:szCs w:val="16"/>
        </w:rPr>
        <w:t xml:space="preserve"> </w:t>
      </w:r>
      <w:proofErr w:type="spellStart"/>
      <w:r w:rsidRPr="00326A4E">
        <w:rPr>
          <w:rFonts w:ascii="Verdana" w:hAnsi="Verdana" w:cstheme="minorHAnsi"/>
          <w:sz w:val="16"/>
          <w:szCs w:val="16"/>
        </w:rPr>
        <w:t>Evergy</w:t>
      </w:r>
      <w:proofErr w:type="spellEnd"/>
      <w:r w:rsidRPr="00326A4E">
        <w:rPr>
          <w:rFonts w:ascii="Verdana" w:hAnsi="Verdana" w:cstheme="minorHAnsi"/>
          <w:sz w:val="16"/>
          <w:szCs w:val="16"/>
        </w:rPr>
        <w:t>, Inc. company summary sheet, Issue 5, Electric Utilities Central, June 14, 2019.</w:t>
      </w:r>
    </w:p>
  </w:footnote>
  <w:footnote w:id="20">
    <w:p w14:paraId="5BE1B1A0" w14:textId="07D55C83" w:rsidR="0084421A" w:rsidRDefault="0084421A">
      <w:pPr>
        <w:pStyle w:val="FootnoteText"/>
      </w:pPr>
      <w:r w:rsidRPr="00005262">
        <w:rPr>
          <w:rStyle w:val="FootnoteReference"/>
          <w:sz w:val="18"/>
          <w:szCs w:val="18"/>
        </w:rPr>
        <w:footnoteRef/>
      </w:r>
      <w:r w:rsidRPr="00005262">
        <w:rPr>
          <w:sz w:val="18"/>
          <w:szCs w:val="18"/>
        </w:rPr>
        <w:t xml:space="preserve"> </w:t>
      </w:r>
      <w:r w:rsidRPr="00005262">
        <w:rPr>
          <w:rFonts w:ascii="Verdana" w:hAnsi="Verdana"/>
          <w:sz w:val="14"/>
          <w:szCs w:val="14"/>
        </w:rPr>
        <w:t xml:space="preserve">El Paso Electric to be bought by an infrastructure find for $2.78 billion, Reuters, June 3, 2019. </w:t>
      </w:r>
      <w:hyperlink r:id="rId5" w:history="1">
        <w:r w:rsidRPr="00005262">
          <w:rPr>
            <w:rStyle w:val="Hyperlink"/>
            <w:rFonts w:ascii="Verdana" w:hAnsi="Verdana"/>
            <w:sz w:val="14"/>
            <w:szCs w:val="14"/>
          </w:rPr>
          <w:t>https://www.reuters.com/article/us-el-paso-electric-m-a-infrastructure-i/el-paso-electric-to-be-bought-by-an-infrastructure-fund-for-2-78-billion-idUSKCN1T41K8</w:t>
        </w:r>
      </w:hyperlink>
    </w:p>
  </w:footnote>
  <w:footnote w:id="21">
    <w:p w14:paraId="69BA2491" w14:textId="1F4AD347" w:rsidR="0084421A" w:rsidRPr="00326A4E" w:rsidRDefault="0084421A">
      <w:pPr>
        <w:pStyle w:val="FootnoteText"/>
        <w:rPr>
          <w:rFonts w:ascii="Verdana" w:hAnsi="Verdana"/>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El Paso Electric Enters into Agreement to Be Purchased by the Infrastructure Investments Fund, an Investment Vehicle Advised by F.P Morgan Investment Management Inc., company press release, June 03, 2019. </w:t>
      </w:r>
      <w:hyperlink r:id="rId6" w:history="1">
        <w:r w:rsidRPr="00326A4E">
          <w:rPr>
            <w:rStyle w:val="Hyperlink"/>
            <w:rFonts w:ascii="Verdana" w:hAnsi="Verdana" w:cstheme="minorHAnsi"/>
            <w:sz w:val="16"/>
            <w:szCs w:val="16"/>
          </w:rPr>
          <w:t>https://ir.epelectric.com/news/news-details/2019/El-Paso-Electric-Enters-into-Agreement-to-Be-Purchased-by-the-Infrastructure-Investments-Fund-an-Investment-Vehicle-Advised-by-JP-Morgan-Investment-Management-Inc/default.aspx</w:t>
        </w:r>
      </w:hyperlink>
    </w:p>
  </w:footnote>
  <w:footnote w:id="22">
    <w:p w14:paraId="2519AED0" w14:textId="77777777" w:rsidR="0084421A" w:rsidRPr="003A6CAE" w:rsidRDefault="0084421A" w:rsidP="00C6072B">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326A4E">
        <w:rPr>
          <w:rFonts w:ascii="Verdana" w:hAnsi="Verdana" w:cstheme="minorHAnsi"/>
          <w:i/>
          <w:sz w:val="16"/>
          <w:szCs w:val="16"/>
        </w:rPr>
        <w:t>Value Line</w:t>
      </w:r>
      <w:r w:rsidRPr="00326A4E">
        <w:rPr>
          <w:rFonts w:ascii="Verdana" w:hAnsi="Verdana" w:cstheme="minorHAnsi"/>
          <w:sz w:val="16"/>
          <w:szCs w:val="16"/>
        </w:rPr>
        <w:t xml:space="preserve"> El Paso Electric company summary sheet, </w:t>
      </w:r>
      <w:r w:rsidRPr="003A6CAE">
        <w:rPr>
          <w:rFonts w:ascii="Verdana" w:hAnsi="Verdana" w:cstheme="minorHAnsi"/>
          <w:sz w:val="16"/>
          <w:szCs w:val="16"/>
        </w:rPr>
        <w:t>Issue 5, Electric Utilities West, July 26, 2019.</w:t>
      </w:r>
    </w:p>
  </w:footnote>
  <w:footnote w:id="23">
    <w:p w14:paraId="655416C2" w14:textId="44DD1FA7" w:rsidR="0084421A" w:rsidRPr="00326A4E" w:rsidRDefault="0084421A">
      <w:pPr>
        <w:pStyle w:val="FootnoteText"/>
        <w:rPr>
          <w:rFonts w:ascii="Verdana" w:hAnsi="Verdana"/>
          <w:sz w:val="16"/>
          <w:szCs w:val="16"/>
        </w:rPr>
      </w:pPr>
      <w:r w:rsidRPr="003A6CAE">
        <w:rPr>
          <w:rStyle w:val="FootnoteReference"/>
          <w:rFonts w:ascii="Verdana" w:hAnsi="Verdana"/>
          <w:sz w:val="16"/>
          <w:szCs w:val="16"/>
        </w:rPr>
        <w:footnoteRef/>
      </w:r>
      <w:r w:rsidRPr="003A6CAE">
        <w:rPr>
          <w:rFonts w:ascii="Verdana" w:hAnsi="Verdana"/>
          <w:sz w:val="16"/>
          <w:szCs w:val="16"/>
        </w:rPr>
        <w:t xml:space="preserve"> Dr. Vander </w:t>
      </w:r>
      <w:proofErr w:type="spellStart"/>
      <w:r w:rsidRPr="003A6CAE">
        <w:rPr>
          <w:rFonts w:ascii="Verdana" w:hAnsi="Verdana"/>
          <w:sz w:val="16"/>
          <w:szCs w:val="16"/>
        </w:rPr>
        <w:t>Weide</w:t>
      </w:r>
      <w:proofErr w:type="spellEnd"/>
      <w:r w:rsidRPr="003A6CAE">
        <w:rPr>
          <w:rFonts w:ascii="Verdana" w:hAnsi="Verdana"/>
          <w:sz w:val="16"/>
          <w:szCs w:val="16"/>
        </w:rPr>
        <w:t xml:space="preserve"> explicitly stated during his oral testimony that he applies this screen because stock prices are driven up after a takeover announcement, but earnings growth expectations have not yet been adjusted, thereby underestimating</w:t>
      </w:r>
      <w:r>
        <w:rPr>
          <w:rFonts w:ascii="Verdana" w:hAnsi="Verdana"/>
          <w:sz w:val="16"/>
          <w:szCs w:val="16"/>
        </w:rPr>
        <w:t xml:space="preserve"> the cost of equity. Hearing Transcript October 1, 2019 at 534:21-25 </w:t>
      </w:r>
      <w:proofErr w:type="gramStart"/>
      <w:r>
        <w:rPr>
          <w:rFonts w:ascii="Verdana" w:hAnsi="Verdana"/>
          <w:sz w:val="16"/>
          <w:szCs w:val="16"/>
        </w:rPr>
        <w:t>and  535</w:t>
      </w:r>
      <w:proofErr w:type="gramEnd"/>
      <w:r>
        <w:rPr>
          <w:rFonts w:ascii="Verdana" w:hAnsi="Verdana"/>
          <w:sz w:val="16"/>
          <w:szCs w:val="16"/>
        </w:rPr>
        <w:t xml:space="preserve"> 1:16.</w:t>
      </w:r>
    </w:p>
  </w:footnote>
  <w:footnote w:id="24">
    <w:p w14:paraId="65FA0F54" w14:textId="77777777" w:rsidR="0084421A" w:rsidRPr="00326A4E" w:rsidRDefault="0084421A" w:rsidP="00823379">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Williams, J.B., </w:t>
      </w:r>
      <w:proofErr w:type="gramStart"/>
      <w:r w:rsidRPr="00326A4E">
        <w:rPr>
          <w:rFonts w:ascii="Verdana" w:hAnsi="Verdana" w:cstheme="minorHAnsi"/>
          <w:i/>
          <w:sz w:val="16"/>
          <w:szCs w:val="16"/>
        </w:rPr>
        <w:t>The</w:t>
      </w:r>
      <w:proofErr w:type="gramEnd"/>
      <w:r w:rsidRPr="00326A4E">
        <w:rPr>
          <w:rFonts w:ascii="Verdana" w:hAnsi="Verdana" w:cstheme="minorHAnsi"/>
          <w:i/>
          <w:sz w:val="16"/>
          <w:szCs w:val="16"/>
        </w:rPr>
        <w:t xml:space="preserve"> Theory of Investment Value,</w:t>
      </w:r>
      <w:r w:rsidRPr="00326A4E">
        <w:rPr>
          <w:rFonts w:ascii="Verdana" w:hAnsi="Verdana" w:cstheme="minorHAnsi"/>
          <w:sz w:val="16"/>
          <w:szCs w:val="16"/>
        </w:rPr>
        <w:t xml:space="preserve"> Cambridge: Harvard University Press, 1938.</w:t>
      </w:r>
    </w:p>
  </w:footnote>
  <w:footnote w:id="25">
    <w:p w14:paraId="452AF736"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6C5FE3">
        <w:rPr>
          <w:rFonts w:ascii="Verdana" w:hAnsi="Verdana" w:cstheme="minorHAnsi"/>
          <w:i/>
          <w:sz w:val="16"/>
          <w:szCs w:val="16"/>
        </w:rPr>
        <w:t>Ibid.</w:t>
      </w:r>
    </w:p>
  </w:footnote>
  <w:footnote w:id="26">
    <w:p w14:paraId="1C5AA976" w14:textId="555C4322" w:rsidR="0084421A" w:rsidRPr="00326A4E" w:rsidRDefault="0084421A" w:rsidP="00823379">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This expanded version of the DCF model allows for the value of stocks to vary from book values. If the stock prices equal book value, then the equity held by new shareholders is equal to the funds they invest, and the existing shareholders’ equity is not changed. If, however, stock prices are greater than book value, a portion of the funds accrues to the existing shareholders, thereby increasing their expectations of dividend growth in the future. (</w:t>
      </w:r>
      <w:r w:rsidRPr="00326A4E">
        <w:rPr>
          <w:rFonts w:ascii="Verdana" w:hAnsi="Verdana" w:cstheme="minorHAnsi"/>
          <w:i/>
          <w:sz w:val="16"/>
          <w:szCs w:val="16"/>
          <w:u w:val="single"/>
        </w:rPr>
        <w:t>See</w:t>
      </w:r>
      <w:r w:rsidRPr="00326A4E">
        <w:rPr>
          <w:rFonts w:ascii="Verdana" w:hAnsi="Verdana" w:cstheme="minorHAnsi"/>
          <w:sz w:val="16"/>
          <w:szCs w:val="16"/>
        </w:rPr>
        <w:t xml:space="preserve"> discussion in </w:t>
      </w:r>
      <w:proofErr w:type="spellStart"/>
      <w:r w:rsidRPr="00326A4E">
        <w:rPr>
          <w:rFonts w:ascii="Verdana" w:hAnsi="Verdana" w:cstheme="minorHAnsi"/>
          <w:sz w:val="16"/>
          <w:szCs w:val="16"/>
        </w:rPr>
        <w:t>Parcell</w:t>
      </w:r>
      <w:proofErr w:type="spellEnd"/>
      <w:r w:rsidRPr="00326A4E">
        <w:rPr>
          <w:rFonts w:ascii="Verdana" w:hAnsi="Verdana" w:cstheme="minorHAnsi"/>
          <w:sz w:val="16"/>
          <w:szCs w:val="16"/>
        </w:rPr>
        <w:t xml:space="preserve">, David C., </w:t>
      </w:r>
      <w:r w:rsidRPr="00326A4E">
        <w:rPr>
          <w:rFonts w:ascii="Verdana" w:hAnsi="Verdana" w:cstheme="minorHAnsi"/>
          <w:i/>
          <w:sz w:val="16"/>
          <w:szCs w:val="16"/>
        </w:rPr>
        <w:t>The Cost of Capital – A Practitioner’s Guide, Prepare for the Society of Utility and Regulatory Financial Analysts</w:t>
      </w:r>
      <w:r w:rsidRPr="00326A4E">
        <w:rPr>
          <w:rFonts w:ascii="Verdana" w:hAnsi="Verdana" w:cstheme="minorHAnsi"/>
          <w:sz w:val="16"/>
          <w:szCs w:val="16"/>
        </w:rPr>
        <w:t>,</w:t>
      </w:r>
      <w:r w:rsidRPr="00326A4E">
        <w:rPr>
          <w:rFonts w:ascii="Verdana" w:hAnsi="Verdana" w:cstheme="minorHAnsi"/>
          <w:i/>
          <w:sz w:val="16"/>
          <w:szCs w:val="16"/>
        </w:rPr>
        <w:t xml:space="preserve"> </w:t>
      </w:r>
      <w:r w:rsidRPr="00326A4E">
        <w:rPr>
          <w:rFonts w:ascii="Verdana" w:hAnsi="Verdana" w:cstheme="minorHAnsi"/>
          <w:sz w:val="16"/>
          <w:szCs w:val="16"/>
        </w:rPr>
        <w:t>2010, pp. 144-145.)</w:t>
      </w:r>
    </w:p>
  </w:footnote>
  <w:footnote w:id="27">
    <w:p w14:paraId="5D23DB59" w14:textId="77777777" w:rsidR="0084421A" w:rsidRPr="00326A4E" w:rsidRDefault="0084421A" w:rsidP="00823379">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6C5FE3">
        <w:rPr>
          <w:rFonts w:ascii="Verdana" w:hAnsi="Verdana" w:cstheme="minorHAnsi"/>
          <w:i/>
          <w:sz w:val="16"/>
          <w:szCs w:val="16"/>
        </w:rPr>
        <w:t>Ibid.</w:t>
      </w:r>
      <w:r w:rsidRPr="00326A4E">
        <w:rPr>
          <w:rFonts w:ascii="Verdana" w:hAnsi="Verdana" w:cstheme="minorHAnsi"/>
          <w:sz w:val="16"/>
          <w:szCs w:val="16"/>
        </w:rPr>
        <w:t xml:space="preserve"> </w:t>
      </w:r>
    </w:p>
  </w:footnote>
  <w:footnote w:id="28">
    <w:p w14:paraId="43A2CA1C" w14:textId="77777777" w:rsidR="0084421A" w:rsidRPr="00326A4E" w:rsidRDefault="0084421A" w:rsidP="00823379">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The CAPM is generally superior to the simple risk premium method because the CAPM recognizes the risk of a particular company or industry through the use of beta, whereas the simple risk premium method assumes the same risk premium for all companies exhibiting similar bond ratings.</w:t>
      </w:r>
    </w:p>
  </w:footnote>
  <w:footnote w:id="29">
    <w:p w14:paraId="573079C6"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Duff &amp; Phelps, 2019 Cost of Capital: Annual U.S. Guidance and Examples, Chapter 3, Exhibit 3.29, p. 67.</w:t>
      </w:r>
    </w:p>
  </w:footnote>
  <w:footnote w:id="30">
    <w:p w14:paraId="79BC8674" w14:textId="77777777" w:rsidR="0084421A" w:rsidRPr="00326A4E" w:rsidRDefault="0084421A" w:rsidP="00823379">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Marshall E. Blume investigated the regression tendency of betas and reached the conclusion that betas have the tendency to approach a value of one (1) over time. That is, high-beta portfolios tend to decline over time toward one (1), while low-beta portfolios increase to one (1). Blume, Marshall E., “Betas and Their Regression Tendencies,” </w:t>
      </w:r>
      <w:r w:rsidRPr="00326A4E">
        <w:rPr>
          <w:rFonts w:ascii="Verdana" w:hAnsi="Verdana" w:cstheme="minorHAnsi"/>
          <w:i/>
          <w:sz w:val="16"/>
          <w:szCs w:val="16"/>
        </w:rPr>
        <w:t>Journal of Finance</w:t>
      </w:r>
      <w:r w:rsidRPr="00326A4E">
        <w:rPr>
          <w:rFonts w:ascii="Verdana" w:hAnsi="Verdana" w:cstheme="minorHAnsi"/>
          <w:sz w:val="16"/>
          <w:szCs w:val="16"/>
        </w:rPr>
        <w:t xml:space="preserve">, June 1975, pp. 785-796. </w:t>
      </w:r>
    </w:p>
  </w:footnote>
  <w:footnote w:id="31">
    <w:p w14:paraId="507F1510" w14:textId="77777777" w:rsidR="0084421A" w:rsidRPr="00326A4E" w:rsidRDefault="0084421A">
      <w:pPr>
        <w:pStyle w:val="FootnoteText"/>
        <w:rPr>
          <w:rFonts w:ascii="Verdana" w:hAnsi="Verdana"/>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Duff &amp; Phelps, 2019 Cost of Capital: Annual U.S. Guidance and Examples, Duff &amp; Phelps, Chapter 2, Exhibit 2.3, p. 4</w:t>
      </w:r>
    </w:p>
  </w:footnote>
  <w:footnote w:id="32">
    <w:p w14:paraId="3657E9A5" w14:textId="77777777" w:rsidR="0084421A" w:rsidRPr="00326A4E" w:rsidRDefault="0084421A">
      <w:pPr>
        <w:pStyle w:val="FootnoteText"/>
        <w:rPr>
          <w:rFonts w:ascii="Verdana" w:hAnsi="Verdana"/>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proofErr w:type="gramStart"/>
      <w:r w:rsidRPr="006C5FE3">
        <w:rPr>
          <w:rFonts w:ascii="Verdana" w:hAnsi="Verdana" w:cstheme="minorHAnsi"/>
          <w:i/>
          <w:sz w:val="16"/>
          <w:szCs w:val="16"/>
        </w:rPr>
        <w:t>Ibid.,</w:t>
      </w:r>
      <w:proofErr w:type="gramEnd"/>
      <w:r w:rsidRPr="00326A4E">
        <w:rPr>
          <w:rFonts w:ascii="Verdana" w:hAnsi="Verdana" w:cstheme="minorHAnsi"/>
          <w:sz w:val="16"/>
          <w:szCs w:val="16"/>
        </w:rPr>
        <w:t xml:space="preserve"> Chapter 3, Exhibit 3.19, p. 47.</w:t>
      </w:r>
    </w:p>
  </w:footnote>
  <w:footnote w:id="33">
    <w:p w14:paraId="65AB28D2"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Duff &amp; Phelps, </w:t>
      </w:r>
      <w:r w:rsidRPr="006F39FE">
        <w:rPr>
          <w:rFonts w:ascii="Verdana" w:hAnsi="Verdana" w:cstheme="minorHAnsi"/>
          <w:i/>
          <w:iCs/>
          <w:sz w:val="16"/>
          <w:szCs w:val="16"/>
        </w:rPr>
        <w:t>Technical Update: Duff &amp; Phelps Recommended U.S. Equity Risk Premium Increased from 5.0 percent to 5.5 percent</w:t>
      </w:r>
      <w:r w:rsidRPr="00326A4E">
        <w:rPr>
          <w:rFonts w:ascii="Verdana" w:hAnsi="Verdana" w:cstheme="minorHAnsi"/>
          <w:sz w:val="16"/>
          <w:szCs w:val="16"/>
        </w:rPr>
        <w:t>, issued January 2019.</w:t>
      </w:r>
    </w:p>
  </w:footnote>
  <w:footnote w:id="34">
    <w:p w14:paraId="7249DDDF"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proofErr w:type="spellStart"/>
      <w:r w:rsidRPr="00326A4E">
        <w:rPr>
          <w:rFonts w:ascii="Verdana" w:hAnsi="Verdana" w:cstheme="minorHAnsi"/>
          <w:sz w:val="16"/>
          <w:szCs w:val="16"/>
        </w:rPr>
        <w:t>Brealy</w:t>
      </w:r>
      <w:proofErr w:type="spellEnd"/>
      <w:r w:rsidRPr="00326A4E">
        <w:rPr>
          <w:rFonts w:ascii="Verdana" w:hAnsi="Verdana" w:cstheme="minorHAnsi"/>
          <w:sz w:val="16"/>
          <w:szCs w:val="16"/>
        </w:rPr>
        <w:t xml:space="preserve">, Richard A., Steward C. Myers, and Franklin Allen, </w:t>
      </w:r>
      <w:r w:rsidRPr="00326A4E">
        <w:rPr>
          <w:rFonts w:ascii="Verdana" w:hAnsi="Verdana" w:cstheme="minorHAnsi"/>
          <w:i/>
          <w:iCs/>
          <w:sz w:val="16"/>
          <w:szCs w:val="16"/>
        </w:rPr>
        <w:t>Principles of Corporate Finance</w:t>
      </w:r>
      <w:r w:rsidRPr="00326A4E">
        <w:rPr>
          <w:rFonts w:ascii="Verdana" w:hAnsi="Verdana" w:cstheme="minorHAnsi"/>
          <w:sz w:val="16"/>
          <w:szCs w:val="16"/>
        </w:rPr>
        <w:t>, 2017, McGraw Hill Education, New York, N. Y., p. 164.</w:t>
      </w:r>
    </w:p>
  </w:footnote>
  <w:footnote w:id="35">
    <w:p w14:paraId="16D1AF32" w14:textId="77777777"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Belvedere, Matthew. </w:t>
      </w:r>
      <w:r w:rsidRPr="00326A4E">
        <w:rPr>
          <w:rFonts w:ascii="Verdana" w:hAnsi="Verdana" w:cstheme="minorHAnsi"/>
          <w:i/>
          <w:sz w:val="16"/>
          <w:szCs w:val="16"/>
        </w:rPr>
        <w:t>Vanguard dramatically cuts its expected rate of return for the stock market over the next decade</w:t>
      </w:r>
      <w:r w:rsidRPr="00326A4E">
        <w:rPr>
          <w:rFonts w:ascii="Verdana" w:hAnsi="Verdana" w:cstheme="minorHAnsi"/>
          <w:sz w:val="16"/>
          <w:szCs w:val="16"/>
        </w:rPr>
        <w:t xml:space="preserve">, CNBC, February 11, 2019. </w:t>
      </w:r>
      <w:hyperlink r:id="rId7" w:history="1">
        <w:r w:rsidRPr="00326A4E">
          <w:rPr>
            <w:rStyle w:val="Hyperlink"/>
            <w:rFonts w:ascii="Verdana" w:hAnsi="Verdana" w:cstheme="minorHAnsi"/>
            <w:sz w:val="16"/>
            <w:szCs w:val="16"/>
          </w:rPr>
          <w:t>https://www.cnbc.com/2019/02/11/vanguard-cuts-expected-return-for-stock-market-over-the-next-decade.html</w:t>
        </w:r>
      </w:hyperlink>
      <w:r w:rsidRPr="00326A4E">
        <w:rPr>
          <w:rFonts w:ascii="Verdana" w:hAnsi="Verdana" w:cstheme="minorHAnsi"/>
          <w:sz w:val="16"/>
          <w:szCs w:val="16"/>
        </w:rPr>
        <w:t xml:space="preserve"> </w:t>
      </w:r>
    </w:p>
  </w:footnote>
  <w:footnote w:id="36">
    <w:p w14:paraId="053ADC52" w14:textId="77777777"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Federal Reserve Bank of Philadelphia, </w:t>
      </w:r>
      <w:r w:rsidRPr="00A374BA">
        <w:rPr>
          <w:rFonts w:ascii="Verdana" w:hAnsi="Verdana"/>
          <w:i/>
          <w:iCs/>
          <w:sz w:val="16"/>
          <w:szCs w:val="16"/>
        </w:rPr>
        <w:t>Survey of Professional Forecasters, First Quarter 2019</w:t>
      </w:r>
      <w:r w:rsidRPr="00326A4E">
        <w:rPr>
          <w:rFonts w:ascii="Verdana" w:hAnsi="Verdana"/>
          <w:sz w:val="16"/>
          <w:szCs w:val="16"/>
        </w:rPr>
        <w:t xml:space="preserve">, p. 19, Table Nine. </w:t>
      </w:r>
      <w:hyperlink r:id="rId8" w:history="1">
        <w:r w:rsidRPr="00326A4E">
          <w:rPr>
            <w:rStyle w:val="Hyperlink"/>
            <w:rFonts w:ascii="Verdana" w:hAnsi="Verdana"/>
            <w:sz w:val="16"/>
            <w:szCs w:val="16"/>
          </w:rPr>
          <w:t>https://www.philadelphiafed.org/-/media/research-and-data/real-time-center/survey-of-professional-forecasters/2019/spfq119.pdf?la=en</w:t>
        </w:r>
      </w:hyperlink>
    </w:p>
  </w:footnote>
  <w:footnote w:id="37">
    <w:p w14:paraId="36468D88" w14:textId="4250F287" w:rsidR="0084421A" w:rsidRDefault="0084421A">
      <w:pPr>
        <w:pStyle w:val="FootnoteText"/>
      </w:pPr>
      <w:r>
        <w:rPr>
          <w:rStyle w:val="FootnoteReference"/>
        </w:rPr>
        <w:footnoteRef/>
      </w:r>
      <w:r>
        <w:t xml:space="preserve"> </w:t>
      </w:r>
      <w:r>
        <w:rPr>
          <w:rFonts w:ascii="Verdana" w:hAnsi="Verdana"/>
          <w:sz w:val="16"/>
          <w:szCs w:val="16"/>
        </w:rPr>
        <w:t xml:space="preserve">Dr. Vander </w:t>
      </w:r>
      <w:proofErr w:type="spellStart"/>
      <w:r>
        <w:rPr>
          <w:rFonts w:ascii="Verdana" w:hAnsi="Verdana"/>
          <w:sz w:val="16"/>
          <w:szCs w:val="16"/>
        </w:rPr>
        <w:t>Weide</w:t>
      </w:r>
      <w:proofErr w:type="spellEnd"/>
      <w:r>
        <w:rPr>
          <w:rFonts w:ascii="Verdana" w:hAnsi="Verdana"/>
          <w:sz w:val="16"/>
          <w:szCs w:val="16"/>
        </w:rPr>
        <w:t xml:space="preserve"> explicitly states that he did not search to see if there were any other studies. Hearing Transcript October 1, 2019 at 539:7-22.</w:t>
      </w:r>
    </w:p>
  </w:footnote>
  <w:footnote w:id="38">
    <w:p w14:paraId="3E22F062" w14:textId="0584551F" w:rsidR="0084421A" w:rsidRPr="00326A4E" w:rsidRDefault="0084421A">
      <w:pPr>
        <w:pStyle w:val="FootnoteText"/>
        <w:rPr>
          <w:rFonts w:ascii="Verdana" w:hAnsi="Verdana" w:cstheme="minorHAnsi"/>
          <w:sz w:val="16"/>
          <w:szCs w:val="16"/>
        </w:rPr>
      </w:pPr>
      <w:r w:rsidRPr="00326A4E">
        <w:rPr>
          <w:rStyle w:val="FootnoteReference"/>
          <w:rFonts w:ascii="Verdana" w:hAnsi="Verdana" w:cstheme="minorHAnsi"/>
          <w:sz w:val="16"/>
          <w:szCs w:val="16"/>
        </w:rPr>
        <w:footnoteRef/>
      </w:r>
      <w:r w:rsidRPr="00326A4E">
        <w:rPr>
          <w:rFonts w:ascii="Verdana" w:hAnsi="Verdana" w:cstheme="minorHAnsi"/>
          <w:sz w:val="16"/>
          <w:szCs w:val="16"/>
        </w:rPr>
        <w:t xml:space="preserve"> </w:t>
      </w:r>
      <w:r w:rsidRPr="00D86CC5">
        <w:rPr>
          <w:rFonts w:ascii="Verdana" w:hAnsi="Verdana" w:cstheme="minorHAnsi"/>
          <w:i/>
          <w:iCs/>
          <w:sz w:val="16"/>
          <w:szCs w:val="16"/>
        </w:rPr>
        <w:t>Blue Chip Financial Forecasts</w:t>
      </w:r>
      <w:r w:rsidRPr="00326A4E">
        <w:rPr>
          <w:rFonts w:ascii="Verdana" w:hAnsi="Verdana" w:cstheme="minorHAnsi"/>
          <w:sz w:val="16"/>
          <w:szCs w:val="16"/>
        </w:rPr>
        <w:t xml:space="preserve">, </w:t>
      </w:r>
      <w:r>
        <w:rPr>
          <w:rFonts w:ascii="Verdana" w:hAnsi="Verdana" w:cstheme="minorHAnsi"/>
          <w:sz w:val="16"/>
          <w:szCs w:val="16"/>
        </w:rPr>
        <w:t xml:space="preserve">Wolters Kluwer, New York, N.Y., </w:t>
      </w:r>
      <w:r w:rsidRPr="00326A4E">
        <w:rPr>
          <w:rFonts w:ascii="Verdana" w:hAnsi="Verdana" w:cstheme="minorHAnsi"/>
          <w:sz w:val="16"/>
          <w:szCs w:val="16"/>
        </w:rPr>
        <w:t>September 1, 2019, p. 2.</w:t>
      </w:r>
    </w:p>
  </w:footnote>
  <w:footnote w:id="39">
    <w:p w14:paraId="5D6CBB16" w14:textId="36750E65"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Pr>
          <w:rFonts w:ascii="Verdana" w:hAnsi="Verdana"/>
          <w:sz w:val="16"/>
          <w:szCs w:val="16"/>
        </w:rPr>
        <w:t xml:space="preserve">RRA Regulatory Focus, </w:t>
      </w:r>
      <w:r w:rsidRPr="00D86CC5">
        <w:rPr>
          <w:rFonts w:ascii="Verdana" w:hAnsi="Verdana"/>
          <w:i/>
          <w:iCs/>
          <w:sz w:val="16"/>
          <w:szCs w:val="16"/>
        </w:rPr>
        <w:t>Major Rate Case Decisions – January-June 2019</w:t>
      </w:r>
      <w:r>
        <w:rPr>
          <w:rFonts w:ascii="Verdana" w:hAnsi="Verdana"/>
          <w:sz w:val="16"/>
          <w:szCs w:val="16"/>
        </w:rPr>
        <w:t>, issued July 22, 2019, p. 1.</w:t>
      </w:r>
    </w:p>
  </w:footnote>
  <w:footnote w:id="40">
    <w:p w14:paraId="2F5232E1" w14:textId="77777777"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RRA Financial Focus: </w:t>
      </w:r>
      <w:r w:rsidRPr="00036CCF">
        <w:rPr>
          <w:rFonts w:ascii="Verdana" w:hAnsi="Verdana"/>
          <w:i/>
          <w:iCs/>
          <w:sz w:val="16"/>
          <w:szCs w:val="16"/>
        </w:rPr>
        <w:t>Utility Impact of the Tax Cuts and Jobs Act</w:t>
      </w:r>
      <w:r w:rsidRPr="00326A4E">
        <w:rPr>
          <w:rFonts w:ascii="Verdana" w:hAnsi="Verdana"/>
          <w:sz w:val="16"/>
          <w:szCs w:val="16"/>
        </w:rPr>
        <w:t xml:space="preserve">, S&amp;P Global Market Intelligence, March 19, </w:t>
      </w:r>
      <w:proofErr w:type="gramStart"/>
      <w:r w:rsidRPr="00326A4E">
        <w:rPr>
          <w:rFonts w:ascii="Verdana" w:hAnsi="Verdana"/>
          <w:sz w:val="16"/>
          <w:szCs w:val="16"/>
        </w:rPr>
        <w:t>2018.,</w:t>
      </w:r>
      <w:proofErr w:type="gramEnd"/>
      <w:r w:rsidRPr="00326A4E">
        <w:rPr>
          <w:rFonts w:ascii="Verdana" w:hAnsi="Verdana"/>
          <w:sz w:val="16"/>
          <w:szCs w:val="16"/>
        </w:rPr>
        <w:t xml:space="preserve"> p. 1.</w:t>
      </w:r>
    </w:p>
  </w:footnote>
  <w:footnote w:id="41">
    <w:p w14:paraId="7F76AD30" w14:textId="7E07671C"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Order on the Tax Cuts and Jobs Act</w:t>
      </w:r>
      <w:r>
        <w:rPr>
          <w:rFonts w:ascii="Verdana" w:hAnsi="Verdana"/>
          <w:sz w:val="16"/>
          <w:szCs w:val="16"/>
        </w:rPr>
        <w:t>,</w:t>
      </w:r>
      <w:r w:rsidRPr="00326A4E">
        <w:rPr>
          <w:rFonts w:ascii="Verdana" w:hAnsi="Verdana"/>
          <w:sz w:val="16"/>
          <w:szCs w:val="16"/>
        </w:rPr>
        <w:t xml:space="preserve"> Exhibit 1, Filed on April 5, 2018, Docket No. 36989.</w:t>
      </w:r>
    </w:p>
  </w:footnote>
  <w:footnote w:id="42">
    <w:p w14:paraId="3526AD38" w14:textId="43B5FB01"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Hearing </w:t>
      </w:r>
      <w:r>
        <w:rPr>
          <w:rFonts w:ascii="Verdana" w:hAnsi="Verdana"/>
          <w:sz w:val="16"/>
          <w:szCs w:val="16"/>
        </w:rPr>
        <w:t xml:space="preserve">Transcript, </w:t>
      </w:r>
      <w:r w:rsidRPr="00326A4E">
        <w:rPr>
          <w:rFonts w:ascii="Verdana" w:hAnsi="Verdana"/>
          <w:sz w:val="16"/>
          <w:szCs w:val="16"/>
        </w:rPr>
        <w:t xml:space="preserve">October 1, 2019, </w:t>
      </w:r>
      <w:r>
        <w:rPr>
          <w:rFonts w:ascii="Verdana" w:hAnsi="Verdana"/>
          <w:sz w:val="16"/>
          <w:szCs w:val="16"/>
        </w:rPr>
        <w:t>at</w:t>
      </w:r>
      <w:r w:rsidRPr="00326A4E">
        <w:rPr>
          <w:rFonts w:ascii="Verdana" w:hAnsi="Verdana"/>
          <w:sz w:val="16"/>
          <w:szCs w:val="16"/>
        </w:rPr>
        <w:t xml:space="preserve"> 443, lines 18-25.</w:t>
      </w:r>
    </w:p>
  </w:footnote>
  <w:footnote w:id="43">
    <w:p w14:paraId="27D01E4E" w14:textId="5D25FDDD" w:rsidR="0084421A" w:rsidRPr="00326A4E" w:rsidRDefault="0084421A" w:rsidP="001A372D">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w:t>
      </w:r>
      <w:r w:rsidRPr="006C5FE3">
        <w:rPr>
          <w:rFonts w:ascii="Verdana" w:hAnsi="Verdana"/>
          <w:i/>
          <w:iCs/>
          <w:sz w:val="16"/>
          <w:szCs w:val="16"/>
        </w:rPr>
        <w:t>Ibid</w:t>
      </w:r>
      <w:r w:rsidRPr="006C5FE3">
        <w:rPr>
          <w:rFonts w:ascii="Verdana" w:hAnsi="Verdana"/>
          <w:i/>
          <w:sz w:val="16"/>
          <w:szCs w:val="16"/>
        </w:rPr>
        <w:t xml:space="preserve"> </w:t>
      </w:r>
      <w:r w:rsidRPr="00326A4E">
        <w:rPr>
          <w:rFonts w:ascii="Verdana" w:hAnsi="Verdana"/>
          <w:sz w:val="16"/>
          <w:szCs w:val="16"/>
        </w:rPr>
        <w:t>at 575</w:t>
      </w:r>
      <w:r>
        <w:rPr>
          <w:rFonts w:ascii="Verdana" w:hAnsi="Verdana"/>
          <w:sz w:val="16"/>
          <w:szCs w:val="16"/>
        </w:rPr>
        <w:t>;</w:t>
      </w:r>
      <w:r w:rsidRPr="00326A4E">
        <w:rPr>
          <w:rFonts w:ascii="Verdana" w:hAnsi="Verdana"/>
          <w:sz w:val="16"/>
          <w:szCs w:val="16"/>
        </w:rPr>
        <w:t xml:space="preserve"> 18-25 and 576</w:t>
      </w:r>
      <w:r>
        <w:rPr>
          <w:rFonts w:ascii="Verdana" w:hAnsi="Verdana"/>
          <w:sz w:val="16"/>
          <w:szCs w:val="16"/>
        </w:rPr>
        <w:t>;</w:t>
      </w:r>
      <w:r w:rsidRPr="00326A4E">
        <w:rPr>
          <w:rFonts w:ascii="Verdana" w:hAnsi="Verdana"/>
          <w:sz w:val="16"/>
          <w:szCs w:val="16"/>
        </w:rPr>
        <w:t xml:space="preserve"> 1.</w:t>
      </w:r>
    </w:p>
  </w:footnote>
  <w:footnote w:id="44">
    <w:p w14:paraId="38692AC8" w14:textId="3BF9C743"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Southern Company </w:t>
      </w:r>
      <w:r>
        <w:rPr>
          <w:rFonts w:ascii="Verdana" w:hAnsi="Verdana"/>
          <w:sz w:val="16"/>
          <w:szCs w:val="16"/>
        </w:rPr>
        <w:t xml:space="preserve">Form </w:t>
      </w:r>
      <w:r w:rsidRPr="00326A4E">
        <w:rPr>
          <w:rFonts w:ascii="Verdana" w:hAnsi="Verdana"/>
          <w:sz w:val="16"/>
          <w:szCs w:val="16"/>
        </w:rPr>
        <w:t>10-K</w:t>
      </w:r>
      <w:r>
        <w:rPr>
          <w:rFonts w:ascii="Verdana" w:hAnsi="Verdana"/>
          <w:sz w:val="16"/>
          <w:szCs w:val="16"/>
        </w:rPr>
        <w:t xml:space="preserve">, </w:t>
      </w:r>
      <w:r w:rsidRPr="00124C31">
        <w:rPr>
          <w:rFonts w:ascii="Verdana" w:hAnsi="Verdana"/>
          <w:i/>
          <w:iCs/>
          <w:sz w:val="16"/>
          <w:szCs w:val="16"/>
        </w:rPr>
        <w:t>Annual Report for the Fiscal Year Ended December 31, 2018</w:t>
      </w:r>
      <w:r w:rsidRPr="00326A4E">
        <w:rPr>
          <w:rFonts w:ascii="Verdana" w:hAnsi="Verdana"/>
          <w:sz w:val="16"/>
          <w:szCs w:val="16"/>
        </w:rPr>
        <w:t>, p. II-61.</w:t>
      </w:r>
    </w:p>
  </w:footnote>
  <w:footnote w:id="45">
    <w:p w14:paraId="359B1120" w14:textId="40DDBE08"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Southern </w:t>
      </w:r>
      <w:r w:rsidRPr="00602D77">
        <w:rPr>
          <w:rFonts w:ascii="Verdana" w:hAnsi="Verdana"/>
          <w:sz w:val="16"/>
          <w:szCs w:val="16"/>
        </w:rPr>
        <w:t xml:space="preserve">Company, </w:t>
      </w:r>
      <w:r w:rsidRPr="00602D77">
        <w:rPr>
          <w:rFonts w:ascii="Verdana" w:hAnsi="Verdana"/>
          <w:i/>
          <w:sz w:val="16"/>
          <w:szCs w:val="16"/>
        </w:rPr>
        <w:t>Value Line</w:t>
      </w:r>
      <w:r w:rsidRPr="00326A4E">
        <w:rPr>
          <w:rFonts w:ascii="Verdana" w:hAnsi="Verdana"/>
          <w:sz w:val="16"/>
          <w:szCs w:val="16"/>
        </w:rPr>
        <w:t xml:space="preserve"> Company Sheet, August 16, 2019.</w:t>
      </w:r>
    </w:p>
  </w:footnote>
  <w:footnote w:id="46">
    <w:p w14:paraId="65F89B91" w14:textId="2B5010AB" w:rsidR="0084421A" w:rsidRPr="00E22551" w:rsidRDefault="0084421A">
      <w:pPr>
        <w:pStyle w:val="FootnoteText"/>
        <w:rPr>
          <w:rFonts w:ascii="Verdana" w:hAnsi="Verdana"/>
          <w:sz w:val="16"/>
          <w:szCs w:val="16"/>
        </w:rPr>
      </w:pPr>
      <w:r w:rsidRPr="00E22551">
        <w:rPr>
          <w:rStyle w:val="FootnoteReference"/>
          <w:rFonts w:ascii="Verdana" w:hAnsi="Verdana"/>
          <w:sz w:val="16"/>
          <w:szCs w:val="16"/>
        </w:rPr>
        <w:footnoteRef/>
      </w:r>
      <w:r w:rsidRPr="00E22551">
        <w:rPr>
          <w:rFonts w:ascii="Verdana" w:hAnsi="Verdana"/>
          <w:sz w:val="16"/>
          <w:szCs w:val="16"/>
        </w:rPr>
        <w:t xml:space="preserve"> Adjusting the stock prices for flotations costs in the dividend yield of my DCF analyses produces a difference of 10 basis points compared to no flotation cost adjustments and an 11</w:t>
      </w:r>
      <w:r>
        <w:rPr>
          <w:rFonts w:ascii="Verdana" w:hAnsi="Verdana"/>
          <w:sz w:val="16"/>
          <w:szCs w:val="16"/>
        </w:rPr>
        <w:t xml:space="preserve"> </w:t>
      </w:r>
      <w:r w:rsidRPr="00E22551">
        <w:rPr>
          <w:rFonts w:ascii="Verdana" w:hAnsi="Verdana"/>
          <w:sz w:val="16"/>
          <w:szCs w:val="16"/>
        </w:rPr>
        <w:t xml:space="preserve">basis point using the sustainable growth DCF. </w:t>
      </w:r>
    </w:p>
  </w:footnote>
  <w:footnote w:id="47">
    <w:p w14:paraId="18ECC3A2" w14:textId="4F36958A" w:rsidR="0084421A" w:rsidRPr="00326A4E" w:rsidRDefault="0084421A">
      <w:pPr>
        <w:pStyle w:val="FootnoteText"/>
        <w:rPr>
          <w:rFonts w:ascii="Verdana" w:hAnsi="Verdana"/>
          <w:sz w:val="16"/>
          <w:szCs w:val="16"/>
        </w:rPr>
      </w:pPr>
      <w:r w:rsidRPr="00326A4E">
        <w:rPr>
          <w:rStyle w:val="FootnoteReference"/>
          <w:rFonts w:ascii="Verdana" w:hAnsi="Verdana"/>
          <w:sz w:val="16"/>
          <w:szCs w:val="16"/>
        </w:rPr>
        <w:footnoteRef/>
      </w:r>
      <w:r w:rsidRPr="00326A4E">
        <w:rPr>
          <w:rFonts w:ascii="Verdana" w:hAnsi="Verdana"/>
          <w:sz w:val="16"/>
          <w:szCs w:val="16"/>
        </w:rPr>
        <w:t xml:space="preserve"> Southern Company </w:t>
      </w:r>
      <w:r>
        <w:rPr>
          <w:rFonts w:ascii="Verdana" w:hAnsi="Verdana"/>
          <w:sz w:val="16"/>
          <w:szCs w:val="16"/>
        </w:rPr>
        <w:t xml:space="preserve">Form </w:t>
      </w:r>
      <w:r w:rsidRPr="00326A4E">
        <w:rPr>
          <w:rFonts w:ascii="Verdana" w:hAnsi="Verdana"/>
          <w:sz w:val="16"/>
          <w:szCs w:val="16"/>
        </w:rPr>
        <w:t>10-K</w:t>
      </w:r>
      <w:r>
        <w:rPr>
          <w:rFonts w:ascii="Verdana" w:hAnsi="Verdana"/>
          <w:sz w:val="16"/>
          <w:szCs w:val="16"/>
        </w:rPr>
        <w:t xml:space="preserve">, </w:t>
      </w:r>
      <w:r w:rsidRPr="00124C31">
        <w:rPr>
          <w:rFonts w:ascii="Verdana" w:hAnsi="Verdana"/>
          <w:i/>
          <w:iCs/>
          <w:sz w:val="16"/>
          <w:szCs w:val="16"/>
        </w:rPr>
        <w:t>Annual Report for the Fiscal Year Ended December 31, 2018</w:t>
      </w:r>
      <w:r w:rsidRPr="00326A4E">
        <w:rPr>
          <w:rFonts w:ascii="Verdana" w:hAnsi="Verdana"/>
          <w:sz w:val="16"/>
          <w:szCs w:val="16"/>
        </w:rPr>
        <w:t>, p. 11-3.</w:t>
      </w:r>
    </w:p>
  </w:footnote>
  <w:footnote w:id="48">
    <w:p w14:paraId="1B2C38F9" w14:textId="687117A9" w:rsidR="0084421A" w:rsidRDefault="0084421A">
      <w:pPr>
        <w:pStyle w:val="FootnoteText"/>
      </w:pPr>
      <w:r>
        <w:rPr>
          <w:rStyle w:val="FootnoteReference"/>
        </w:rPr>
        <w:footnoteRef/>
      </w:r>
      <w:r>
        <w:t xml:space="preserve"> </w:t>
      </w:r>
      <w:r w:rsidRPr="00326A4E">
        <w:rPr>
          <w:rFonts w:ascii="Verdana" w:hAnsi="Verdana"/>
          <w:sz w:val="16"/>
          <w:szCs w:val="16"/>
        </w:rPr>
        <w:t xml:space="preserve">Hearing </w:t>
      </w:r>
      <w:r>
        <w:rPr>
          <w:rFonts w:ascii="Verdana" w:hAnsi="Verdana"/>
          <w:sz w:val="16"/>
          <w:szCs w:val="16"/>
        </w:rPr>
        <w:t xml:space="preserve">Transcript, </w:t>
      </w:r>
      <w:r w:rsidRPr="00326A4E">
        <w:rPr>
          <w:rFonts w:ascii="Verdana" w:hAnsi="Verdana"/>
          <w:sz w:val="16"/>
          <w:szCs w:val="16"/>
        </w:rPr>
        <w:t xml:space="preserve">October 1, 2019, </w:t>
      </w:r>
      <w:r>
        <w:rPr>
          <w:rFonts w:ascii="Verdana" w:hAnsi="Verdana"/>
          <w:sz w:val="16"/>
          <w:szCs w:val="16"/>
        </w:rPr>
        <w:t>at 511:5-19</w:t>
      </w:r>
      <w:r w:rsidRPr="00326A4E">
        <w:rPr>
          <w:rFonts w:ascii="Verdana" w:hAnsi="Verdana"/>
          <w:sz w:val="16"/>
          <w:szCs w:val="16"/>
        </w:rPr>
        <w:t>-</w:t>
      </w:r>
      <w:r>
        <w:rPr>
          <w:rFonts w:ascii="Verdana" w:hAnsi="Verdana"/>
          <w:sz w:val="16"/>
          <w:szCs w:val="16"/>
        </w:rPr>
        <w:t>21</w:t>
      </w:r>
      <w:r w:rsidRPr="00326A4E">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E57C" w14:textId="77777777" w:rsidR="0084421A" w:rsidRPr="00BC5AB1" w:rsidRDefault="0084421A" w:rsidP="00BC5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11B87" w14:textId="77777777" w:rsidR="0084421A" w:rsidRPr="00BC5AB1" w:rsidRDefault="0084421A" w:rsidP="00C65047">
    <w:pPr>
      <w:suppressLineNumbers/>
      <w:tabs>
        <w:tab w:val="left" w:pos="5040"/>
        <w:tab w:val="left" w:pos="5760"/>
      </w:tabs>
      <w:spacing w:after="0" w:line="240" w:lineRule="auto"/>
      <w:jc w:val="center"/>
      <w:rPr>
        <w:rFonts w:ascii="Times New Roman" w:hAnsi="Times New Roman" w:cs="Times New Roman"/>
        <w:b/>
        <w:sz w:val="24"/>
        <w:highlight w:val="yellow"/>
      </w:rPr>
    </w:pPr>
  </w:p>
  <w:sdt>
    <w:sdtPr>
      <w:rPr>
        <w:rFonts w:cstheme="minorHAnsi"/>
        <w:b/>
        <w:sz w:val="24"/>
        <w:highlight w:val="yellow"/>
      </w:rPr>
      <w:id w:val="-159312894"/>
      <w:docPartObj>
        <w:docPartGallery w:val="Page Numbers (Top of Page)"/>
        <w:docPartUnique/>
      </w:docPartObj>
    </w:sdtPr>
    <w:sdtEndPr>
      <w:rPr>
        <w:szCs w:val="24"/>
        <w:highlight w:val="none"/>
      </w:rPr>
    </w:sdtEndPr>
    <w:sdtContent>
      <w:p w14:paraId="29EA0B5F" w14:textId="77777777" w:rsidR="0084421A" w:rsidRPr="00D14328" w:rsidRDefault="0084421A" w:rsidP="00F26B42">
        <w:pPr>
          <w:pStyle w:val="Footer"/>
          <w:rPr>
            <w:rFonts w:cstheme="minorHAnsi"/>
            <w:b/>
            <w:sz w:val="24"/>
            <w:szCs w:val="24"/>
          </w:rPr>
        </w:pPr>
      </w:p>
      <w:p w14:paraId="12C302C6" w14:textId="77777777" w:rsidR="0084421A" w:rsidRPr="00D14328" w:rsidRDefault="0084421A" w:rsidP="00166786">
        <w:pPr>
          <w:suppressLineNumbers/>
          <w:tabs>
            <w:tab w:val="left" w:pos="5040"/>
            <w:tab w:val="left" w:pos="5760"/>
          </w:tabs>
          <w:spacing w:after="0" w:line="240" w:lineRule="auto"/>
          <w:jc w:val="center"/>
          <w:rPr>
            <w:rFonts w:cstheme="minorHAnsi"/>
            <w:b/>
            <w:sz w:val="24"/>
            <w:szCs w:val="24"/>
          </w:rPr>
        </w:pPr>
      </w:p>
      <w:p w14:paraId="5E4E0F70" w14:textId="77777777" w:rsidR="0084421A" w:rsidRPr="00D14328" w:rsidRDefault="0084421A" w:rsidP="00C65047">
        <w:pPr>
          <w:suppressLineNumbers/>
          <w:tabs>
            <w:tab w:val="left" w:pos="5760"/>
          </w:tabs>
          <w:spacing w:after="0" w:line="240" w:lineRule="auto"/>
          <w:jc w:val="center"/>
          <w:rPr>
            <w:rFonts w:cstheme="minorHAnsi"/>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48D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7E223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57A2A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5A06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801E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2C44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284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DED8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EC8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7A0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0458B"/>
    <w:multiLevelType w:val="multilevel"/>
    <w:tmpl w:val="20664C36"/>
    <w:lvl w:ilvl="0">
      <w:start w:val="1"/>
      <w:numFmt w:val="none"/>
      <w:lvlText w:val="Q."/>
      <w:lvlJc w:val="left"/>
      <w:pPr>
        <w:tabs>
          <w:tab w:val="num" w:pos="1440"/>
        </w:tabs>
        <w:ind w:left="1440" w:hanging="1440"/>
      </w:pPr>
      <w:rPr>
        <w:rFonts w:ascii="Times New Roman" w:hAnsi="Times New Roman" w:hint="default"/>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DirectAnswer"/>
      <w:lvlText w:val="%2A."/>
      <w:lvlJc w:val="left"/>
      <w:pPr>
        <w:tabs>
          <w:tab w:val="num" w:pos="720"/>
        </w:tabs>
        <w:ind w:left="720" w:hanging="720"/>
      </w:pPr>
      <w:rPr>
        <w:rFonts w:hint="default"/>
        <w:b w:val="0"/>
        <w:color w:val="auto"/>
      </w:rPr>
    </w:lvl>
    <w:lvl w:ilvl="2">
      <w:start w:val="1"/>
      <w:numFmt w:val="none"/>
      <w:lvlText w:val="%3."/>
      <w:lvlJc w:val="left"/>
      <w:pPr>
        <w:tabs>
          <w:tab w:val="num" w:pos="3528"/>
        </w:tabs>
        <w:ind w:left="3528" w:hanging="576"/>
      </w:pPr>
      <w:rPr>
        <w:rFonts w:hint="default"/>
      </w:rPr>
    </w:lvl>
    <w:lvl w:ilvl="3">
      <w:start w:val="1"/>
      <w:numFmt w:val="none"/>
      <w:lvlText w:val="(%4)"/>
      <w:lvlJc w:val="left"/>
      <w:pPr>
        <w:tabs>
          <w:tab w:val="num" w:pos="1800"/>
        </w:tabs>
        <w:ind w:left="1440" w:firstLine="0"/>
      </w:pPr>
      <w:rPr>
        <w:rFonts w:hint="default"/>
      </w:rPr>
    </w:lvl>
    <w:lvl w:ilvl="4">
      <w:start w:val="1"/>
      <w:numFmt w:val="none"/>
      <w:lvlText w:val="(%5)"/>
      <w:lvlJc w:val="left"/>
      <w:pPr>
        <w:tabs>
          <w:tab w:val="num" w:pos="2880"/>
        </w:tabs>
        <w:ind w:left="2880" w:hanging="936"/>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numFmt w:val="none"/>
      <w:lvlRestart w:val="2"/>
      <w:lvlText w:val="%1.%2.%3.%4.%5.%6.%7.%8.%9."/>
      <w:lvlJc w:val="left"/>
      <w:pPr>
        <w:tabs>
          <w:tab w:val="num" w:pos="4680"/>
        </w:tabs>
        <w:ind w:left="4320" w:hanging="1440"/>
      </w:pPr>
      <w:rPr>
        <w:rFonts w:hint="default"/>
      </w:rPr>
    </w:lvl>
  </w:abstractNum>
  <w:abstractNum w:abstractNumId="11" w15:restartNumberingAfterBreak="0">
    <w:nsid w:val="17901950"/>
    <w:multiLevelType w:val="hybridMultilevel"/>
    <w:tmpl w:val="804ED948"/>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554243"/>
    <w:multiLevelType w:val="hybridMultilevel"/>
    <w:tmpl w:val="80CA6198"/>
    <w:lvl w:ilvl="0" w:tplc="1E4CB32E">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A427D"/>
    <w:multiLevelType w:val="hybridMultilevel"/>
    <w:tmpl w:val="0442AA76"/>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D56DD6"/>
    <w:multiLevelType w:val="hybridMultilevel"/>
    <w:tmpl w:val="FF945C62"/>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921A7"/>
    <w:multiLevelType w:val="hybridMultilevel"/>
    <w:tmpl w:val="5F8297B8"/>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E26CA6"/>
    <w:multiLevelType w:val="hybridMultilevel"/>
    <w:tmpl w:val="DCD455E8"/>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4A4CA2"/>
    <w:multiLevelType w:val="hybridMultilevel"/>
    <w:tmpl w:val="30FA36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462DE4"/>
    <w:multiLevelType w:val="hybridMultilevel"/>
    <w:tmpl w:val="A2E82122"/>
    <w:lvl w:ilvl="0" w:tplc="1E4CB32E">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8B6980"/>
    <w:multiLevelType w:val="hybridMultilevel"/>
    <w:tmpl w:val="3AA2C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BB7D9F"/>
    <w:multiLevelType w:val="multilevel"/>
    <w:tmpl w:val="F9AE1812"/>
    <w:lvl w:ilvl="0">
      <w:start w:val="1"/>
      <w:numFmt w:val="upperRoman"/>
      <w:pStyle w:val="Heading1"/>
      <w:lvlText w:val="%1."/>
      <w:lvlJc w:val="left"/>
      <w:pPr>
        <w:ind w:left="0" w:firstLine="0"/>
      </w:pPr>
      <w:rPr>
        <w:rFonts w:hint="default"/>
        <w:color w:val="auto"/>
      </w:rPr>
    </w:lvl>
    <w:lvl w:ilvl="1">
      <w:start w:val="1"/>
      <w:numFmt w:val="upperLetter"/>
      <w:lvlText w:val="%2."/>
      <w:lvlJc w:val="left"/>
      <w:pPr>
        <w:ind w:left="720" w:firstLine="0"/>
      </w:pPr>
      <w:rPr>
        <w:rFonts w:hint="default"/>
        <w:color w:val="auto"/>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15:restartNumberingAfterBreak="0">
    <w:nsid w:val="4402364A"/>
    <w:multiLevelType w:val="hybridMultilevel"/>
    <w:tmpl w:val="FF3C37BC"/>
    <w:lvl w:ilvl="0" w:tplc="1E4CB32E">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7CB0370"/>
    <w:multiLevelType w:val="hybridMultilevel"/>
    <w:tmpl w:val="0C743918"/>
    <w:lvl w:ilvl="0" w:tplc="1E4CB32E">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DBC784F"/>
    <w:multiLevelType w:val="hybridMultilevel"/>
    <w:tmpl w:val="6002954A"/>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F03D20"/>
    <w:multiLevelType w:val="hybridMultilevel"/>
    <w:tmpl w:val="6C268B9C"/>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DF0E1F"/>
    <w:multiLevelType w:val="hybridMultilevel"/>
    <w:tmpl w:val="D3A2736C"/>
    <w:lvl w:ilvl="0" w:tplc="A65460B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BA7D74"/>
    <w:multiLevelType w:val="hybridMultilevel"/>
    <w:tmpl w:val="47A0222A"/>
    <w:lvl w:ilvl="0" w:tplc="1E4CB32E">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E70898"/>
    <w:multiLevelType w:val="hybridMultilevel"/>
    <w:tmpl w:val="D2B4EEBE"/>
    <w:lvl w:ilvl="0" w:tplc="1E4CB32E">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843BB0"/>
    <w:multiLevelType w:val="hybridMultilevel"/>
    <w:tmpl w:val="402C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EE1CF3"/>
    <w:multiLevelType w:val="hybridMultilevel"/>
    <w:tmpl w:val="996E7EA6"/>
    <w:lvl w:ilvl="0" w:tplc="1E4CB32E">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0C423E"/>
    <w:multiLevelType w:val="singleLevel"/>
    <w:tmpl w:val="B1467466"/>
    <w:lvl w:ilvl="0">
      <w:start w:val="1"/>
      <w:numFmt w:val="bullet"/>
      <w:pStyle w:val="Question"/>
      <w:lvlText w:val="Q"/>
      <w:lvlJc w:val="left"/>
      <w:pPr>
        <w:tabs>
          <w:tab w:val="num" w:pos="360"/>
        </w:tabs>
        <w:ind w:left="360" w:hanging="360"/>
      </w:pPr>
      <w:rPr>
        <w:rFonts w:ascii="Times New Roman" w:hAnsi="Times New Roman" w:hint="default"/>
        <w:b/>
        <w:i w:val="0"/>
        <w:sz w:val="24"/>
      </w:rPr>
    </w:lvl>
  </w:abstractNum>
  <w:abstractNum w:abstractNumId="31" w15:restartNumberingAfterBreak="0">
    <w:nsid w:val="7FAE04DE"/>
    <w:multiLevelType w:val="multilevel"/>
    <w:tmpl w:val="9294CDE4"/>
    <w:lvl w:ilvl="0">
      <w:start w:val="1"/>
      <w:numFmt w:val="none"/>
      <w:pStyle w:val="DirectQuestion"/>
      <w:lvlText w:val="Q."/>
      <w:lvlJc w:val="left"/>
      <w:pPr>
        <w:tabs>
          <w:tab w:val="num" w:pos="1440"/>
        </w:tabs>
        <w:ind w:left="1440" w:hanging="1440"/>
      </w:pPr>
      <w:rPr>
        <w:rFonts w:ascii="Verdana" w:hAnsi="Verdana" w:cstheme="minorHAnsi" w:hint="default"/>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2A."/>
      <w:lvlJc w:val="left"/>
      <w:pPr>
        <w:tabs>
          <w:tab w:val="num" w:pos="720"/>
        </w:tabs>
        <w:ind w:left="720" w:hanging="720"/>
      </w:pPr>
      <w:rPr>
        <w:rFonts w:hint="default"/>
      </w:rPr>
    </w:lvl>
    <w:lvl w:ilvl="2">
      <w:start w:val="1"/>
      <w:numFmt w:val="none"/>
      <w:lvlText w:val="%3."/>
      <w:lvlJc w:val="left"/>
      <w:pPr>
        <w:tabs>
          <w:tab w:val="num" w:pos="3528"/>
        </w:tabs>
        <w:ind w:left="3528" w:hanging="576"/>
      </w:pPr>
      <w:rPr>
        <w:rFonts w:hint="default"/>
      </w:rPr>
    </w:lvl>
    <w:lvl w:ilvl="3">
      <w:start w:val="1"/>
      <w:numFmt w:val="none"/>
      <w:lvlText w:val="(%4)"/>
      <w:lvlJc w:val="left"/>
      <w:pPr>
        <w:tabs>
          <w:tab w:val="num" w:pos="1800"/>
        </w:tabs>
        <w:ind w:left="1440" w:firstLine="0"/>
      </w:pPr>
      <w:rPr>
        <w:rFonts w:hint="default"/>
      </w:rPr>
    </w:lvl>
    <w:lvl w:ilvl="4">
      <w:start w:val="1"/>
      <w:numFmt w:val="none"/>
      <w:lvlText w:val="(%5)"/>
      <w:lvlJc w:val="left"/>
      <w:pPr>
        <w:tabs>
          <w:tab w:val="num" w:pos="2880"/>
        </w:tabs>
        <w:ind w:left="2880" w:hanging="936"/>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numFmt w:val="none"/>
      <w:lvlRestart w:val="2"/>
      <w:lvlText w:val="%1.%2.%3.%4.%5.%6.%7.%8.%9."/>
      <w:lvlJc w:val="left"/>
      <w:pPr>
        <w:tabs>
          <w:tab w:val="num" w:pos="4680"/>
        </w:tabs>
        <w:ind w:left="4320" w:hanging="1440"/>
      </w:pPr>
      <w:rPr>
        <w:rFonts w:hint="default"/>
      </w:rPr>
    </w:lvl>
  </w:abstractNum>
  <w:num w:numId="1">
    <w:abstractNumId w:val="20"/>
  </w:num>
  <w:num w:numId="2">
    <w:abstractNumId w:val="30"/>
  </w:num>
  <w:num w:numId="3">
    <w:abstractNumId w:val="25"/>
  </w:num>
  <w:num w:numId="4">
    <w:abstractNumId w:val="12"/>
  </w:num>
  <w:num w:numId="5">
    <w:abstractNumId w:val="15"/>
  </w:num>
  <w:num w:numId="6">
    <w:abstractNumId w:val="27"/>
  </w:num>
  <w:num w:numId="7">
    <w:abstractNumId w:val="24"/>
  </w:num>
  <w:num w:numId="8">
    <w:abstractNumId w:val="16"/>
  </w:num>
  <w:num w:numId="9">
    <w:abstractNumId w:val="11"/>
  </w:num>
  <w:num w:numId="10">
    <w:abstractNumId w:val="14"/>
  </w:num>
  <w:num w:numId="11">
    <w:abstractNumId w:val="23"/>
  </w:num>
  <w:num w:numId="12">
    <w:abstractNumId w:val="26"/>
  </w:num>
  <w:num w:numId="13">
    <w:abstractNumId w:val="21"/>
  </w:num>
  <w:num w:numId="14">
    <w:abstractNumId w:val="13"/>
  </w:num>
  <w:num w:numId="15">
    <w:abstractNumId w:val="29"/>
  </w:num>
  <w:num w:numId="16">
    <w:abstractNumId w:val="22"/>
  </w:num>
  <w:num w:numId="17">
    <w:abstractNumId w:val="18"/>
  </w:num>
  <w:num w:numId="18">
    <w:abstractNumId w:val="31"/>
  </w:num>
  <w:num w:numId="19">
    <w:abstractNumId w:val="10"/>
  </w:num>
  <w:num w:numId="20">
    <w:abstractNumId w:val="4"/>
  </w:num>
  <w:num w:numId="21">
    <w:abstractNumId w:val="20"/>
    <w:lvlOverride w:ilvl="0">
      <w:startOverride w:val="1"/>
    </w:lvlOverride>
    <w:lvlOverride w:ilvl="1">
      <w:startOverride w:val="17"/>
    </w:lvlOverride>
  </w:num>
  <w:num w:numId="22">
    <w:abstractNumId w:val="10"/>
  </w:num>
  <w:num w:numId="23">
    <w:abstractNumId w:val="10"/>
  </w:num>
  <w:num w:numId="24">
    <w:abstractNumId w:val="10"/>
  </w:num>
  <w:num w:numId="25">
    <w:abstractNumId w:val="10"/>
  </w:num>
  <w:num w:numId="26">
    <w:abstractNumId w:val="10"/>
  </w:num>
  <w:num w:numId="27">
    <w:abstractNumId w:val="9"/>
  </w:num>
  <w:num w:numId="28">
    <w:abstractNumId w:val="7"/>
  </w:num>
  <w:num w:numId="29">
    <w:abstractNumId w:val="6"/>
  </w:num>
  <w:num w:numId="30">
    <w:abstractNumId w:val="5"/>
  </w:num>
  <w:num w:numId="31">
    <w:abstractNumId w:val="8"/>
  </w:num>
  <w:num w:numId="32">
    <w:abstractNumId w:val="3"/>
  </w:num>
  <w:num w:numId="33">
    <w:abstractNumId w:val="2"/>
  </w:num>
  <w:num w:numId="34">
    <w:abstractNumId w:val="1"/>
  </w:num>
  <w:num w:numId="35">
    <w:abstractNumId w:val="0"/>
  </w:num>
  <w:num w:numId="36">
    <w:abstractNumId w:val="10"/>
  </w:num>
  <w:num w:numId="37">
    <w:abstractNumId w:val="10"/>
  </w:num>
  <w:num w:numId="38">
    <w:abstractNumId w:val="10"/>
  </w:num>
  <w:num w:numId="39">
    <w:abstractNumId w:val="19"/>
  </w:num>
  <w:num w:numId="40">
    <w:abstractNumId w:val="2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num>
  <w:num w:numId="44">
    <w:abstractNumId w:val="17"/>
  </w:num>
  <w:num w:numId="45">
    <w:abstractNumId w:val="31"/>
  </w:num>
  <w:num w:numId="46">
    <w:abstractNumId w:val="10"/>
  </w:num>
  <w:num w:numId="4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A0"/>
    <w:rsid w:val="000000B4"/>
    <w:rsid w:val="0000114B"/>
    <w:rsid w:val="0000132C"/>
    <w:rsid w:val="00001F21"/>
    <w:rsid w:val="00001F5B"/>
    <w:rsid w:val="000023F5"/>
    <w:rsid w:val="0000256F"/>
    <w:rsid w:val="00002EE7"/>
    <w:rsid w:val="000030BA"/>
    <w:rsid w:val="00003130"/>
    <w:rsid w:val="000032C6"/>
    <w:rsid w:val="00003590"/>
    <w:rsid w:val="00003BF2"/>
    <w:rsid w:val="00003DBF"/>
    <w:rsid w:val="00004AF1"/>
    <w:rsid w:val="00005262"/>
    <w:rsid w:val="0000583E"/>
    <w:rsid w:val="0000588C"/>
    <w:rsid w:val="00005CAD"/>
    <w:rsid w:val="00005D99"/>
    <w:rsid w:val="00006161"/>
    <w:rsid w:val="00007379"/>
    <w:rsid w:val="000073B9"/>
    <w:rsid w:val="00007633"/>
    <w:rsid w:val="00007E16"/>
    <w:rsid w:val="0001005D"/>
    <w:rsid w:val="000106FB"/>
    <w:rsid w:val="00010879"/>
    <w:rsid w:val="00010C1F"/>
    <w:rsid w:val="00012061"/>
    <w:rsid w:val="000127A8"/>
    <w:rsid w:val="00012A17"/>
    <w:rsid w:val="00013019"/>
    <w:rsid w:val="0001338E"/>
    <w:rsid w:val="000136CA"/>
    <w:rsid w:val="00013AC7"/>
    <w:rsid w:val="00014362"/>
    <w:rsid w:val="000146E8"/>
    <w:rsid w:val="00014A5F"/>
    <w:rsid w:val="00014E9A"/>
    <w:rsid w:val="000158DE"/>
    <w:rsid w:val="0001628F"/>
    <w:rsid w:val="0001631E"/>
    <w:rsid w:val="00016A48"/>
    <w:rsid w:val="00017401"/>
    <w:rsid w:val="00017793"/>
    <w:rsid w:val="00017D2E"/>
    <w:rsid w:val="00020534"/>
    <w:rsid w:val="0002064B"/>
    <w:rsid w:val="00020B2A"/>
    <w:rsid w:val="0002112D"/>
    <w:rsid w:val="00021328"/>
    <w:rsid w:val="000213E0"/>
    <w:rsid w:val="0002185C"/>
    <w:rsid w:val="00022895"/>
    <w:rsid w:val="0002296E"/>
    <w:rsid w:val="0002349C"/>
    <w:rsid w:val="00023710"/>
    <w:rsid w:val="000238E8"/>
    <w:rsid w:val="00023B78"/>
    <w:rsid w:val="00023BD4"/>
    <w:rsid w:val="00023C0D"/>
    <w:rsid w:val="0002467D"/>
    <w:rsid w:val="00024E4D"/>
    <w:rsid w:val="00025124"/>
    <w:rsid w:val="000254B1"/>
    <w:rsid w:val="00025DAA"/>
    <w:rsid w:val="00027375"/>
    <w:rsid w:val="0002752E"/>
    <w:rsid w:val="00027808"/>
    <w:rsid w:val="0002788B"/>
    <w:rsid w:val="00027C3D"/>
    <w:rsid w:val="00027CFB"/>
    <w:rsid w:val="00027F00"/>
    <w:rsid w:val="000305D0"/>
    <w:rsid w:val="00030921"/>
    <w:rsid w:val="00030E8A"/>
    <w:rsid w:val="00031ECC"/>
    <w:rsid w:val="000326B5"/>
    <w:rsid w:val="00032C44"/>
    <w:rsid w:val="00032FF3"/>
    <w:rsid w:val="000332E2"/>
    <w:rsid w:val="000334DF"/>
    <w:rsid w:val="00034F5E"/>
    <w:rsid w:val="0003621A"/>
    <w:rsid w:val="000369E7"/>
    <w:rsid w:val="00036CCF"/>
    <w:rsid w:val="00037E56"/>
    <w:rsid w:val="00037F89"/>
    <w:rsid w:val="00040DEE"/>
    <w:rsid w:val="00040E1A"/>
    <w:rsid w:val="00040EDF"/>
    <w:rsid w:val="00040F81"/>
    <w:rsid w:val="0004182F"/>
    <w:rsid w:val="00041919"/>
    <w:rsid w:val="00041BA1"/>
    <w:rsid w:val="00041C32"/>
    <w:rsid w:val="0004207B"/>
    <w:rsid w:val="00042318"/>
    <w:rsid w:val="00042CD1"/>
    <w:rsid w:val="00042D59"/>
    <w:rsid w:val="000430DB"/>
    <w:rsid w:val="00043114"/>
    <w:rsid w:val="0004322A"/>
    <w:rsid w:val="000438AE"/>
    <w:rsid w:val="00043ECD"/>
    <w:rsid w:val="000443C4"/>
    <w:rsid w:val="00044560"/>
    <w:rsid w:val="000447FC"/>
    <w:rsid w:val="00044FF1"/>
    <w:rsid w:val="00046DB6"/>
    <w:rsid w:val="000476B0"/>
    <w:rsid w:val="00047E5F"/>
    <w:rsid w:val="00047E9B"/>
    <w:rsid w:val="0005063A"/>
    <w:rsid w:val="0005075A"/>
    <w:rsid w:val="00050CA9"/>
    <w:rsid w:val="00051055"/>
    <w:rsid w:val="00051B53"/>
    <w:rsid w:val="00051D60"/>
    <w:rsid w:val="0005258E"/>
    <w:rsid w:val="00053BB4"/>
    <w:rsid w:val="0005497E"/>
    <w:rsid w:val="000549F4"/>
    <w:rsid w:val="00054ACB"/>
    <w:rsid w:val="00054F94"/>
    <w:rsid w:val="00055370"/>
    <w:rsid w:val="00055595"/>
    <w:rsid w:val="00055996"/>
    <w:rsid w:val="00055D17"/>
    <w:rsid w:val="000560BF"/>
    <w:rsid w:val="00056731"/>
    <w:rsid w:val="000572EA"/>
    <w:rsid w:val="0005749C"/>
    <w:rsid w:val="00057829"/>
    <w:rsid w:val="0006057C"/>
    <w:rsid w:val="0006133D"/>
    <w:rsid w:val="00061F9E"/>
    <w:rsid w:val="0006232C"/>
    <w:rsid w:val="00062CD4"/>
    <w:rsid w:val="00063617"/>
    <w:rsid w:val="000637DE"/>
    <w:rsid w:val="00063E2E"/>
    <w:rsid w:val="00064081"/>
    <w:rsid w:val="000640C5"/>
    <w:rsid w:val="000644BE"/>
    <w:rsid w:val="000648F0"/>
    <w:rsid w:val="00065634"/>
    <w:rsid w:val="00065BF6"/>
    <w:rsid w:val="00065F21"/>
    <w:rsid w:val="00066221"/>
    <w:rsid w:val="00066B71"/>
    <w:rsid w:val="000672F8"/>
    <w:rsid w:val="000678E9"/>
    <w:rsid w:val="00067ADE"/>
    <w:rsid w:val="00067C04"/>
    <w:rsid w:val="00070519"/>
    <w:rsid w:val="00070843"/>
    <w:rsid w:val="00070864"/>
    <w:rsid w:val="000710BC"/>
    <w:rsid w:val="0007219D"/>
    <w:rsid w:val="0007274C"/>
    <w:rsid w:val="00073CB5"/>
    <w:rsid w:val="00073E55"/>
    <w:rsid w:val="000743C6"/>
    <w:rsid w:val="00074AE1"/>
    <w:rsid w:val="00075976"/>
    <w:rsid w:val="00075E55"/>
    <w:rsid w:val="0007603D"/>
    <w:rsid w:val="000763E5"/>
    <w:rsid w:val="00076A34"/>
    <w:rsid w:val="00076CB8"/>
    <w:rsid w:val="00077559"/>
    <w:rsid w:val="000776C2"/>
    <w:rsid w:val="00077905"/>
    <w:rsid w:val="00077BC2"/>
    <w:rsid w:val="00077DD0"/>
    <w:rsid w:val="000814B7"/>
    <w:rsid w:val="00082241"/>
    <w:rsid w:val="0008286C"/>
    <w:rsid w:val="00082BAA"/>
    <w:rsid w:val="00082FEC"/>
    <w:rsid w:val="000838A7"/>
    <w:rsid w:val="00083972"/>
    <w:rsid w:val="00083FFE"/>
    <w:rsid w:val="00084D33"/>
    <w:rsid w:val="0008591A"/>
    <w:rsid w:val="00085BF2"/>
    <w:rsid w:val="00086806"/>
    <w:rsid w:val="00086DC1"/>
    <w:rsid w:val="00086DFB"/>
    <w:rsid w:val="00087158"/>
    <w:rsid w:val="000872EE"/>
    <w:rsid w:val="00087385"/>
    <w:rsid w:val="00087B56"/>
    <w:rsid w:val="00087B6C"/>
    <w:rsid w:val="00087F6D"/>
    <w:rsid w:val="000907C9"/>
    <w:rsid w:val="00091E96"/>
    <w:rsid w:val="00092820"/>
    <w:rsid w:val="00093020"/>
    <w:rsid w:val="0009309F"/>
    <w:rsid w:val="000930FF"/>
    <w:rsid w:val="000931B1"/>
    <w:rsid w:val="0009321E"/>
    <w:rsid w:val="0009337A"/>
    <w:rsid w:val="00093672"/>
    <w:rsid w:val="000936A2"/>
    <w:rsid w:val="00093AA2"/>
    <w:rsid w:val="00094034"/>
    <w:rsid w:val="00094A69"/>
    <w:rsid w:val="00094E77"/>
    <w:rsid w:val="00094EB8"/>
    <w:rsid w:val="0009710E"/>
    <w:rsid w:val="000976AE"/>
    <w:rsid w:val="000A0167"/>
    <w:rsid w:val="000A02FD"/>
    <w:rsid w:val="000A06C6"/>
    <w:rsid w:val="000A0D0E"/>
    <w:rsid w:val="000A1100"/>
    <w:rsid w:val="000A1193"/>
    <w:rsid w:val="000A17D7"/>
    <w:rsid w:val="000A1932"/>
    <w:rsid w:val="000A1AA2"/>
    <w:rsid w:val="000A35C2"/>
    <w:rsid w:val="000A3AB8"/>
    <w:rsid w:val="000A415D"/>
    <w:rsid w:val="000A4A0B"/>
    <w:rsid w:val="000A4B4B"/>
    <w:rsid w:val="000A6A24"/>
    <w:rsid w:val="000A6CBA"/>
    <w:rsid w:val="000A6F85"/>
    <w:rsid w:val="000A7D24"/>
    <w:rsid w:val="000B005E"/>
    <w:rsid w:val="000B0198"/>
    <w:rsid w:val="000B01C2"/>
    <w:rsid w:val="000B0427"/>
    <w:rsid w:val="000B0A4F"/>
    <w:rsid w:val="000B0BB4"/>
    <w:rsid w:val="000B187A"/>
    <w:rsid w:val="000B193A"/>
    <w:rsid w:val="000B1B0D"/>
    <w:rsid w:val="000B1C04"/>
    <w:rsid w:val="000B24FF"/>
    <w:rsid w:val="000B2BB2"/>
    <w:rsid w:val="000B2EC3"/>
    <w:rsid w:val="000B4C83"/>
    <w:rsid w:val="000B54D7"/>
    <w:rsid w:val="000B59A2"/>
    <w:rsid w:val="000B6B0C"/>
    <w:rsid w:val="000B6D63"/>
    <w:rsid w:val="000B702C"/>
    <w:rsid w:val="000B732E"/>
    <w:rsid w:val="000B748C"/>
    <w:rsid w:val="000B75D7"/>
    <w:rsid w:val="000B7BD9"/>
    <w:rsid w:val="000C06F4"/>
    <w:rsid w:val="000C0E2F"/>
    <w:rsid w:val="000C1FF4"/>
    <w:rsid w:val="000C2248"/>
    <w:rsid w:val="000C24A5"/>
    <w:rsid w:val="000C2A7B"/>
    <w:rsid w:val="000C2DF2"/>
    <w:rsid w:val="000C2E95"/>
    <w:rsid w:val="000C33BA"/>
    <w:rsid w:val="000C40B7"/>
    <w:rsid w:val="000C41ED"/>
    <w:rsid w:val="000C4496"/>
    <w:rsid w:val="000C4538"/>
    <w:rsid w:val="000C5158"/>
    <w:rsid w:val="000C592D"/>
    <w:rsid w:val="000C5ACC"/>
    <w:rsid w:val="000C5F03"/>
    <w:rsid w:val="000C6753"/>
    <w:rsid w:val="000C6760"/>
    <w:rsid w:val="000C696F"/>
    <w:rsid w:val="000C6BEA"/>
    <w:rsid w:val="000C6F4F"/>
    <w:rsid w:val="000C749B"/>
    <w:rsid w:val="000C752D"/>
    <w:rsid w:val="000C7660"/>
    <w:rsid w:val="000C78FC"/>
    <w:rsid w:val="000C7AA3"/>
    <w:rsid w:val="000C7B24"/>
    <w:rsid w:val="000C7D8F"/>
    <w:rsid w:val="000D02C6"/>
    <w:rsid w:val="000D0C91"/>
    <w:rsid w:val="000D1E5B"/>
    <w:rsid w:val="000D21C5"/>
    <w:rsid w:val="000D22B9"/>
    <w:rsid w:val="000D2C16"/>
    <w:rsid w:val="000D2C21"/>
    <w:rsid w:val="000D3965"/>
    <w:rsid w:val="000D412B"/>
    <w:rsid w:val="000D4158"/>
    <w:rsid w:val="000D441C"/>
    <w:rsid w:val="000D4807"/>
    <w:rsid w:val="000D482A"/>
    <w:rsid w:val="000D7059"/>
    <w:rsid w:val="000D75C0"/>
    <w:rsid w:val="000D7761"/>
    <w:rsid w:val="000E02A0"/>
    <w:rsid w:val="000E1953"/>
    <w:rsid w:val="000E248D"/>
    <w:rsid w:val="000E2BCD"/>
    <w:rsid w:val="000E2C68"/>
    <w:rsid w:val="000E2D8F"/>
    <w:rsid w:val="000E2F52"/>
    <w:rsid w:val="000E33EB"/>
    <w:rsid w:val="000E3E46"/>
    <w:rsid w:val="000E4109"/>
    <w:rsid w:val="000E419C"/>
    <w:rsid w:val="000E4629"/>
    <w:rsid w:val="000E4BF6"/>
    <w:rsid w:val="000E4F84"/>
    <w:rsid w:val="000E5038"/>
    <w:rsid w:val="000E55AF"/>
    <w:rsid w:val="000E5FD3"/>
    <w:rsid w:val="000E6C00"/>
    <w:rsid w:val="000E6D45"/>
    <w:rsid w:val="000E7485"/>
    <w:rsid w:val="000E778F"/>
    <w:rsid w:val="000F0343"/>
    <w:rsid w:val="000F0675"/>
    <w:rsid w:val="000F0AEB"/>
    <w:rsid w:val="000F0DD0"/>
    <w:rsid w:val="000F14FD"/>
    <w:rsid w:val="000F16C8"/>
    <w:rsid w:val="000F1B28"/>
    <w:rsid w:val="000F1FD6"/>
    <w:rsid w:val="000F23B8"/>
    <w:rsid w:val="000F2BE9"/>
    <w:rsid w:val="000F2CD8"/>
    <w:rsid w:val="000F377B"/>
    <w:rsid w:val="000F3E3F"/>
    <w:rsid w:val="000F429A"/>
    <w:rsid w:val="000F45A0"/>
    <w:rsid w:val="000F4E8E"/>
    <w:rsid w:val="000F5068"/>
    <w:rsid w:val="000F55BA"/>
    <w:rsid w:val="000F58AD"/>
    <w:rsid w:val="000F642C"/>
    <w:rsid w:val="000F6DB0"/>
    <w:rsid w:val="000F6E24"/>
    <w:rsid w:val="000F70E3"/>
    <w:rsid w:val="000F73A2"/>
    <w:rsid w:val="000F7D3C"/>
    <w:rsid w:val="000F7EA7"/>
    <w:rsid w:val="00101544"/>
    <w:rsid w:val="0010206B"/>
    <w:rsid w:val="00102179"/>
    <w:rsid w:val="00102652"/>
    <w:rsid w:val="00102C10"/>
    <w:rsid w:val="00102DC5"/>
    <w:rsid w:val="0010351D"/>
    <w:rsid w:val="00104728"/>
    <w:rsid w:val="00104D54"/>
    <w:rsid w:val="00105C43"/>
    <w:rsid w:val="00105E30"/>
    <w:rsid w:val="00106332"/>
    <w:rsid w:val="00106448"/>
    <w:rsid w:val="0010660B"/>
    <w:rsid w:val="00106C0C"/>
    <w:rsid w:val="00107212"/>
    <w:rsid w:val="00107418"/>
    <w:rsid w:val="00107503"/>
    <w:rsid w:val="00107B98"/>
    <w:rsid w:val="00107CC6"/>
    <w:rsid w:val="00110090"/>
    <w:rsid w:val="001108B6"/>
    <w:rsid w:val="00110E10"/>
    <w:rsid w:val="001110E5"/>
    <w:rsid w:val="00111376"/>
    <w:rsid w:val="00111546"/>
    <w:rsid w:val="00111C40"/>
    <w:rsid w:val="0011209B"/>
    <w:rsid w:val="001125C2"/>
    <w:rsid w:val="00112AA0"/>
    <w:rsid w:val="00112B32"/>
    <w:rsid w:val="00112C56"/>
    <w:rsid w:val="0011313D"/>
    <w:rsid w:val="001137C4"/>
    <w:rsid w:val="00114201"/>
    <w:rsid w:val="00114227"/>
    <w:rsid w:val="00114BA6"/>
    <w:rsid w:val="0011591C"/>
    <w:rsid w:val="00115A5A"/>
    <w:rsid w:val="00116BB4"/>
    <w:rsid w:val="00117007"/>
    <w:rsid w:val="0011732A"/>
    <w:rsid w:val="0011772A"/>
    <w:rsid w:val="00117C2F"/>
    <w:rsid w:val="00117FAD"/>
    <w:rsid w:val="00120524"/>
    <w:rsid w:val="001207AD"/>
    <w:rsid w:val="00120BDC"/>
    <w:rsid w:val="001220C0"/>
    <w:rsid w:val="00122B6C"/>
    <w:rsid w:val="00122C18"/>
    <w:rsid w:val="00122C4E"/>
    <w:rsid w:val="00124B59"/>
    <w:rsid w:val="00124C31"/>
    <w:rsid w:val="00124CB2"/>
    <w:rsid w:val="00124DDD"/>
    <w:rsid w:val="00124EBE"/>
    <w:rsid w:val="0012529A"/>
    <w:rsid w:val="00125954"/>
    <w:rsid w:val="00125A3D"/>
    <w:rsid w:val="0012674E"/>
    <w:rsid w:val="001268D5"/>
    <w:rsid w:val="00126A46"/>
    <w:rsid w:val="00126E75"/>
    <w:rsid w:val="00126E96"/>
    <w:rsid w:val="00130389"/>
    <w:rsid w:val="00130DE9"/>
    <w:rsid w:val="00130E45"/>
    <w:rsid w:val="0013199A"/>
    <w:rsid w:val="00131F1F"/>
    <w:rsid w:val="00131F44"/>
    <w:rsid w:val="00132218"/>
    <w:rsid w:val="0013338B"/>
    <w:rsid w:val="001339C7"/>
    <w:rsid w:val="001349BB"/>
    <w:rsid w:val="00134CCE"/>
    <w:rsid w:val="00134DDC"/>
    <w:rsid w:val="00134E2A"/>
    <w:rsid w:val="00134E96"/>
    <w:rsid w:val="001350C7"/>
    <w:rsid w:val="0013514E"/>
    <w:rsid w:val="00135227"/>
    <w:rsid w:val="0013533B"/>
    <w:rsid w:val="001355AE"/>
    <w:rsid w:val="00135AD7"/>
    <w:rsid w:val="00135E27"/>
    <w:rsid w:val="00135EC2"/>
    <w:rsid w:val="0013622D"/>
    <w:rsid w:val="0013684B"/>
    <w:rsid w:val="001368F0"/>
    <w:rsid w:val="00136961"/>
    <w:rsid w:val="00136971"/>
    <w:rsid w:val="00136E46"/>
    <w:rsid w:val="00137023"/>
    <w:rsid w:val="001375C0"/>
    <w:rsid w:val="00137E18"/>
    <w:rsid w:val="00141040"/>
    <w:rsid w:val="00141903"/>
    <w:rsid w:val="00141905"/>
    <w:rsid w:val="00142A60"/>
    <w:rsid w:val="00143BA7"/>
    <w:rsid w:val="00143CD6"/>
    <w:rsid w:val="00143E31"/>
    <w:rsid w:val="00144203"/>
    <w:rsid w:val="00144410"/>
    <w:rsid w:val="00144D65"/>
    <w:rsid w:val="00145047"/>
    <w:rsid w:val="00145376"/>
    <w:rsid w:val="0014646F"/>
    <w:rsid w:val="00147B54"/>
    <w:rsid w:val="00147DA9"/>
    <w:rsid w:val="00150564"/>
    <w:rsid w:val="00150794"/>
    <w:rsid w:val="00150A27"/>
    <w:rsid w:val="001515A9"/>
    <w:rsid w:val="00151EF6"/>
    <w:rsid w:val="00151FB2"/>
    <w:rsid w:val="001528BC"/>
    <w:rsid w:val="00153E1C"/>
    <w:rsid w:val="00154B2E"/>
    <w:rsid w:val="00154B64"/>
    <w:rsid w:val="00154DCD"/>
    <w:rsid w:val="00155008"/>
    <w:rsid w:val="00155501"/>
    <w:rsid w:val="00155C4C"/>
    <w:rsid w:val="001563D1"/>
    <w:rsid w:val="00156A1C"/>
    <w:rsid w:val="0015723E"/>
    <w:rsid w:val="00157441"/>
    <w:rsid w:val="0015749D"/>
    <w:rsid w:val="00157563"/>
    <w:rsid w:val="001577BA"/>
    <w:rsid w:val="00157D9F"/>
    <w:rsid w:val="001601A2"/>
    <w:rsid w:val="00160F2C"/>
    <w:rsid w:val="0016186D"/>
    <w:rsid w:val="00161915"/>
    <w:rsid w:val="00161924"/>
    <w:rsid w:val="00161984"/>
    <w:rsid w:val="00161BF8"/>
    <w:rsid w:val="00162110"/>
    <w:rsid w:val="001622A4"/>
    <w:rsid w:val="00162658"/>
    <w:rsid w:val="00162661"/>
    <w:rsid w:val="0016298E"/>
    <w:rsid w:val="00163B81"/>
    <w:rsid w:val="00163F5A"/>
    <w:rsid w:val="00164599"/>
    <w:rsid w:val="001647A1"/>
    <w:rsid w:val="001648D1"/>
    <w:rsid w:val="00164E7B"/>
    <w:rsid w:val="00165A97"/>
    <w:rsid w:val="00165FCC"/>
    <w:rsid w:val="001661FA"/>
    <w:rsid w:val="00166408"/>
    <w:rsid w:val="001666BF"/>
    <w:rsid w:val="00166702"/>
    <w:rsid w:val="00166786"/>
    <w:rsid w:val="00166C7A"/>
    <w:rsid w:val="00167457"/>
    <w:rsid w:val="00167C80"/>
    <w:rsid w:val="001701CD"/>
    <w:rsid w:val="00170256"/>
    <w:rsid w:val="00170C8F"/>
    <w:rsid w:val="00170E08"/>
    <w:rsid w:val="00170FC2"/>
    <w:rsid w:val="0017169C"/>
    <w:rsid w:val="00171839"/>
    <w:rsid w:val="00171CA3"/>
    <w:rsid w:val="00172C9E"/>
    <w:rsid w:val="00172F4E"/>
    <w:rsid w:val="001733EA"/>
    <w:rsid w:val="00173488"/>
    <w:rsid w:val="001736AB"/>
    <w:rsid w:val="001736D4"/>
    <w:rsid w:val="00173D0F"/>
    <w:rsid w:val="00173EAD"/>
    <w:rsid w:val="00174312"/>
    <w:rsid w:val="0017449B"/>
    <w:rsid w:val="001746E8"/>
    <w:rsid w:val="0017498B"/>
    <w:rsid w:val="00174E8D"/>
    <w:rsid w:val="00174FC6"/>
    <w:rsid w:val="00175173"/>
    <w:rsid w:val="00175DE1"/>
    <w:rsid w:val="0017618E"/>
    <w:rsid w:val="00176322"/>
    <w:rsid w:val="00176C41"/>
    <w:rsid w:val="00176DCB"/>
    <w:rsid w:val="00180456"/>
    <w:rsid w:val="00180835"/>
    <w:rsid w:val="001809A0"/>
    <w:rsid w:val="00180AFC"/>
    <w:rsid w:val="001812CF"/>
    <w:rsid w:val="00181484"/>
    <w:rsid w:val="00181B84"/>
    <w:rsid w:val="00181BB8"/>
    <w:rsid w:val="00181E16"/>
    <w:rsid w:val="00182623"/>
    <w:rsid w:val="001830BA"/>
    <w:rsid w:val="001830E5"/>
    <w:rsid w:val="00184663"/>
    <w:rsid w:val="0018502D"/>
    <w:rsid w:val="0018649D"/>
    <w:rsid w:val="001865AE"/>
    <w:rsid w:val="00186F18"/>
    <w:rsid w:val="00186FE7"/>
    <w:rsid w:val="0018766D"/>
    <w:rsid w:val="001900C6"/>
    <w:rsid w:val="00190F21"/>
    <w:rsid w:val="00190F47"/>
    <w:rsid w:val="001910BA"/>
    <w:rsid w:val="00191B38"/>
    <w:rsid w:val="0019263C"/>
    <w:rsid w:val="00192763"/>
    <w:rsid w:val="0019394C"/>
    <w:rsid w:val="0019412F"/>
    <w:rsid w:val="001945FC"/>
    <w:rsid w:val="00195048"/>
    <w:rsid w:val="001950B5"/>
    <w:rsid w:val="001959F0"/>
    <w:rsid w:val="00195C9C"/>
    <w:rsid w:val="001965D5"/>
    <w:rsid w:val="001965E7"/>
    <w:rsid w:val="0019669E"/>
    <w:rsid w:val="00196726"/>
    <w:rsid w:val="00196DD6"/>
    <w:rsid w:val="0019749E"/>
    <w:rsid w:val="00197EDE"/>
    <w:rsid w:val="001A002E"/>
    <w:rsid w:val="001A039F"/>
    <w:rsid w:val="001A04EA"/>
    <w:rsid w:val="001A058C"/>
    <w:rsid w:val="001A0E9E"/>
    <w:rsid w:val="001A1A7A"/>
    <w:rsid w:val="001A1C39"/>
    <w:rsid w:val="001A27A7"/>
    <w:rsid w:val="001A2A60"/>
    <w:rsid w:val="001A2C70"/>
    <w:rsid w:val="001A2DDB"/>
    <w:rsid w:val="001A327F"/>
    <w:rsid w:val="001A372D"/>
    <w:rsid w:val="001A3A9D"/>
    <w:rsid w:val="001A57BD"/>
    <w:rsid w:val="001A5E66"/>
    <w:rsid w:val="001A60BD"/>
    <w:rsid w:val="001A6D76"/>
    <w:rsid w:val="001A6E69"/>
    <w:rsid w:val="001A7AFF"/>
    <w:rsid w:val="001B0817"/>
    <w:rsid w:val="001B0E2A"/>
    <w:rsid w:val="001B0F6D"/>
    <w:rsid w:val="001B1242"/>
    <w:rsid w:val="001B14F4"/>
    <w:rsid w:val="001B1C1D"/>
    <w:rsid w:val="001B2721"/>
    <w:rsid w:val="001B2A6A"/>
    <w:rsid w:val="001B30D9"/>
    <w:rsid w:val="001B33E3"/>
    <w:rsid w:val="001B3907"/>
    <w:rsid w:val="001B3D1B"/>
    <w:rsid w:val="001B3EC6"/>
    <w:rsid w:val="001B4B56"/>
    <w:rsid w:val="001B593E"/>
    <w:rsid w:val="001B5AB1"/>
    <w:rsid w:val="001B5C96"/>
    <w:rsid w:val="001B5F79"/>
    <w:rsid w:val="001B6F40"/>
    <w:rsid w:val="001B7D30"/>
    <w:rsid w:val="001B7DAA"/>
    <w:rsid w:val="001C0BEA"/>
    <w:rsid w:val="001C1546"/>
    <w:rsid w:val="001C2130"/>
    <w:rsid w:val="001C2A4A"/>
    <w:rsid w:val="001C2BA8"/>
    <w:rsid w:val="001C2BAA"/>
    <w:rsid w:val="001C3888"/>
    <w:rsid w:val="001C4C94"/>
    <w:rsid w:val="001C4CEF"/>
    <w:rsid w:val="001C52F7"/>
    <w:rsid w:val="001C555F"/>
    <w:rsid w:val="001C5730"/>
    <w:rsid w:val="001C59DD"/>
    <w:rsid w:val="001C698F"/>
    <w:rsid w:val="001C7781"/>
    <w:rsid w:val="001D0F02"/>
    <w:rsid w:val="001D1457"/>
    <w:rsid w:val="001D1E04"/>
    <w:rsid w:val="001D1FF4"/>
    <w:rsid w:val="001D24A7"/>
    <w:rsid w:val="001D3FA1"/>
    <w:rsid w:val="001D415A"/>
    <w:rsid w:val="001D4AA8"/>
    <w:rsid w:val="001D4E4D"/>
    <w:rsid w:val="001D5191"/>
    <w:rsid w:val="001D5547"/>
    <w:rsid w:val="001D6291"/>
    <w:rsid w:val="001D634E"/>
    <w:rsid w:val="001D677E"/>
    <w:rsid w:val="001D6B4F"/>
    <w:rsid w:val="001D7258"/>
    <w:rsid w:val="001D7AFA"/>
    <w:rsid w:val="001D7B3B"/>
    <w:rsid w:val="001E004E"/>
    <w:rsid w:val="001E0940"/>
    <w:rsid w:val="001E199A"/>
    <w:rsid w:val="001E20C2"/>
    <w:rsid w:val="001E2BAC"/>
    <w:rsid w:val="001E308F"/>
    <w:rsid w:val="001E3133"/>
    <w:rsid w:val="001E4204"/>
    <w:rsid w:val="001E5AD8"/>
    <w:rsid w:val="001E60D0"/>
    <w:rsid w:val="001E661A"/>
    <w:rsid w:val="001E6901"/>
    <w:rsid w:val="001E6F97"/>
    <w:rsid w:val="001E75B8"/>
    <w:rsid w:val="001F0657"/>
    <w:rsid w:val="001F0F19"/>
    <w:rsid w:val="001F0FFD"/>
    <w:rsid w:val="001F1277"/>
    <w:rsid w:val="001F141C"/>
    <w:rsid w:val="001F16B3"/>
    <w:rsid w:val="001F20A9"/>
    <w:rsid w:val="001F2D59"/>
    <w:rsid w:val="001F3B92"/>
    <w:rsid w:val="001F3FB8"/>
    <w:rsid w:val="001F41C3"/>
    <w:rsid w:val="001F4466"/>
    <w:rsid w:val="001F4910"/>
    <w:rsid w:val="001F68AC"/>
    <w:rsid w:val="001F6C1F"/>
    <w:rsid w:val="001F6D90"/>
    <w:rsid w:val="001F6ED6"/>
    <w:rsid w:val="001F6F1F"/>
    <w:rsid w:val="001F75F1"/>
    <w:rsid w:val="001F799A"/>
    <w:rsid w:val="001F7E79"/>
    <w:rsid w:val="001F7FBF"/>
    <w:rsid w:val="00200577"/>
    <w:rsid w:val="00201B22"/>
    <w:rsid w:val="00201C22"/>
    <w:rsid w:val="0020214A"/>
    <w:rsid w:val="00202355"/>
    <w:rsid w:val="0020278C"/>
    <w:rsid w:val="002028E4"/>
    <w:rsid w:val="00202F6B"/>
    <w:rsid w:val="00202F81"/>
    <w:rsid w:val="002031CA"/>
    <w:rsid w:val="00203213"/>
    <w:rsid w:val="00203245"/>
    <w:rsid w:val="00204079"/>
    <w:rsid w:val="0020459B"/>
    <w:rsid w:val="00204B1E"/>
    <w:rsid w:val="00204B91"/>
    <w:rsid w:val="00204B98"/>
    <w:rsid w:val="00205081"/>
    <w:rsid w:val="00205105"/>
    <w:rsid w:val="00206267"/>
    <w:rsid w:val="00206414"/>
    <w:rsid w:val="0020692A"/>
    <w:rsid w:val="002069C8"/>
    <w:rsid w:val="0020702F"/>
    <w:rsid w:val="002071C5"/>
    <w:rsid w:val="00207F14"/>
    <w:rsid w:val="0021065E"/>
    <w:rsid w:val="002109BE"/>
    <w:rsid w:val="00210BA4"/>
    <w:rsid w:val="00210BF7"/>
    <w:rsid w:val="00210DBA"/>
    <w:rsid w:val="0021132B"/>
    <w:rsid w:val="00211480"/>
    <w:rsid w:val="0021152C"/>
    <w:rsid w:val="00213174"/>
    <w:rsid w:val="002136CE"/>
    <w:rsid w:val="00213732"/>
    <w:rsid w:val="00214459"/>
    <w:rsid w:val="002147C2"/>
    <w:rsid w:val="00214A4E"/>
    <w:rsid w:val="0021514B"/>
    <w:rsid w:val="002152FF"/>
    <w:rsid w:val="002158E7"/>
    <w:rsid w:val="00215A48"/>
    <w:rsid w:val="00215D38"/>
    <w:rsid w:val="00216CA9"/>
    <w:rsid w:val="00217074"/>
    <w:rsid w:val="0021720D"/>
    <w:rsid w:val="00217AF3"/>
    <w:rsid w:val="00217D65"/>
    <w:rsid w:val="0022038E"/>
    <w:rsid w:val="00220C9B"/>
    <w:rsid w:val="00220E21"/>
    <w:rsid w:val="0022106E"/>
    <w:rsid w:val="00221AE1"/>
    <w:rsid w:val="00222754"/>
    <w:rsid w:val="00222D59"/>
    <w:rsid w:val="00222E60"/>
    <w:rsid w:val="0022373A"/>
    <w:rsid w:val="00223C02"/>
    <w:rsid w:val="00223CB7"/>
    <w:rsid w:val="002240DD"/>
    <w:rsid w:val="00224299"/>
    <w:rsid w:val="00224547"/>
    <w:rsid w:val="00224C7F"/>
    <w:rsid w:val="00224FBF"/>
    <w:rsid w:val="002251D9"/>
    <w:rsid w:val="00225E8C"/>
    <w:rsid w:val="00225FE3"/>
    <w:rsid w:val="0022604A"/>
    <w:rsid w:val="0022681A"/>
    <w:rsid w:val="00226CA1"/>
    <w:rsid w:val="002270E4"/>
    <w:rsid w:val="00227DDC"/>
    <w:rsid w:val="00227F96"/>
    <w:rsid w:val="00230637"/>
    <w:rsid w:val="00230E27"/>
    <w:rsid w:val="00230F00"/>
    <w:rsid w:val="0023199B"/>
    <w:rsid w:val="00232419"/>
    <w:rsid w:val="0023246B"/>
    <w:rsid w:val="002324BB"/>
    <w:rsid w:val="002328F6"/>
    <w:rsid w:val="00232D8E"/>
    <w:rsid w:val="00233167"/>
    <w:rsid w:val="00234C78"/>
    <w:rsid w:val="00235B9B"/>
    <w:rsid w:val="002365A3"/>
    <w:rsid w:val="00236AF6"/>
    <w:rsid w:val="0023746B"/>
    <w:rsid w:val="002376A1"/>
    <w:rsid w:val="00237744"/>
    <w:rsid w:val="00240354"/>
    <w:rsid w:val="0024203E"/>
    <w:rsid w:val="00242338"/>
    <w:rsid w:val="0024275A"/>
    <w:rsid w:val="0024279C"/>
    <w:rsid w:val="0024351E"/>
    <w:rsid w:val="00243C2B"/>
    <w:rsid w:val="00243D20"/>
    <w:rsid w:val="00243DE7"/>
    <w:rsid w:val="00243E0E"/>
    <w:rsid w:val="00243EBA"/>
    <w:rsid w:val="00244753"/>
    <w:rsid w:val="00245B9A"/>
    <w:rsid w:val="002461C9"/>
    <w:rsid w:val="00246316"/>
    <w:rsid w:val="002465F3"/>
    <w:rsid w:val="00247710"/>
    <w:rsid w:val="00247EB6"/>
    <w:rsid w:val="0025065A"/>
    <w:rsid w:val="00250CC3"/>
    <w:rsid w:val="00250D5E"/>
    <w:rsid w:val="00250F55"/>
    <w:rsid w:val="002519E6"/>
    <w:rsid w:val="00251BE4"/>
    <w:rsid w:val="00251C75"/>
    <w:rsid w:val="002528D4"/>
    <w:rsid w:val="00253D43"/>
    <w:rsid w:val="00253E7F"/>
    <w:rsid w:val="002541B9"/>
    <w:rsid w:val="002543C3"/>
    <w:rsid w:val="002548E5"/>
    <w:rsid w:val="00254E02"/>
    <w:rsid w:val="00255FF5"/>
    <w:rsid w:val="002566F4"/>
    <w:rsid w:val="0025673F"/>
    <w:rsid w:val="00256BCF"/>
    <w:rsid w:val="0025734B"/>
    <w:rsid w:val="00257824"/>
    <w:rsid w:val="00260128"/>
    <w:rsid w:val="00260141"/>
    <w:rsid w:val="00260CE1"/>
    <w:rsid w:val="00261081"/>
    <w:rsid w:val="00261345"/>
    <w:rsid w:val="00261C99"/>
    <w:rsid w:val="002629F9"/>
    <w:rsid w:val="0026385D"/>
    <w:rsid w:val="00264944"/>
    <w:rsid w:val="00265DFA"/>
    <w:rsid w:val="0026617F"/>
    <w:rsid w:val="00266218"/>
    <w:rsid w:val="002666EA"/>
    <w:rsid w:val="00267050"/>
    <w:rsid w:val="002676ED"/>
    <w:rsid w:val="00267AE2"/>
    <w:rsid w:val="00267EDD"/>
    <w:rsid w:val="00270602"/>
    <w:rsid w:val="00270C17"/>
    <w:rsid w:val="00271067"/>
    <w:rsid w:val="002714BF"/>
    <w:rsid w:val="00271933"/>
    <w:rsid w:val="00271AE6"/>
    <w:rsid w:val="00271F54"/>
    <w:rsid w:val="002727C8"/>
    <w:rsid w:val="00272C32"/>
    <w:rsid w:val="00273D11"/>
    <w:rsid w:val="002740AB"/>
    <w:rsid w:val="00274C16"/>
    <w:rsid w:val="00274F39"/>
    <w:rsid w:val="002750DE"/>
    <w:rsid w:val="002758AD"/>
    <w:rsid w:val="00275DD8"/>
    <w:rsid w:val="00276058"/>
    <w:rsid w:val="002760CF"/>
    <w:rsid w:val="00276BE7"/>
    <w:rsid w:val="00276CA9"/>
    <w:rsid w:val="002771FB"/>
    <w:rsid w:val="002772AA"/>
    <w:rsid w:val="0027759C"/>
    <w:rsid w:val="0028061D"/>
    <w:rsid w:val="002807A6"/>
    <w:rsid w:val="00281657"/>
    <w:rsid w:val="002819FB"/>
    <w:rsid w:val="0028227B"/>
    <w:rsid w:val="00282937"/>
    <w:rsid w:val="00282D34"/>
    <w:rsid w:val="00282DAF"/>
    <w:rsid w:val="00283592"/>
    <w:rsid w:val="00283AE7"/>
    <w:rsid w:val="00284C63"/>
    <w:rsid w:val="002854F1"/>
    <w:rsid w:val="00285823"/>
    <w:rsid w:val="0028602C"/>
    <w:rsid w:val="00286049"/>
    <w:rsid w:val="00286BD1"/>
    <w:rsid w:val="00286DBF"/>
    <w:rsid w:val="002876CA"/>
    <w:rsid w:val="0028783F"/>
    <w:rsid w:val="00287A79"/>
    <w:rsid w:val="00287F2F"/>
    <w:rsid w:val="002900D4"/>
    <w:rsid w:val="00290E76"/>
    <w:rsid w:val="00291360"/>
    <w:rsid w:val="00291685"/>
    <w:rsid w:val="00291A6A"/>
    <w:rsid w:val="0029218C"/>
    <w:rsid w:val="0029245C"/>
    <w:rsid w:val="0029261E"/>
    <w:rsid w:val="00292E42"/>
    <w:rsid w:val="0029361E"/>
    <w:rsid w:val="00293AF9"/>
    <w:rsid w:val="00294DC3"/>
    <w:rsid w:val="00294ED2"/>
    <w:rsid w:val="00294F16"/>
    <w:rsid w:val="0029532D"/>
    <w:rsid w:val="00295A02"/>
    <w:rsid w:val="00295FBA"/>
    <w:rsid w:val="0029746C"/>
    <w:rsid w:val="0029774B"/>
    <w:rsid w:val="00297BEC"/>
    <w:rsid w:val="00297D2A"/>
    <w:rsid w:val="00297EE8"/>
    <w:rsid w:val="002A0312"/>
    <w:rsid w:val="002A07AD"/>
    <w:rsid w:val="002A0E6B"/>
    <w:rsid w:val="002A0F06"/>
    <w:rsid w:val="002A0FB0"/>
    <w:rsid w:val="002A1322"/>
    <w:rsid w:val="002A1652"/>
    <w:rsid w:val="002A16E7"/>
    <w:rsid w:val="002A19DA"/>
    <w:rsid w:val="002A4461"/>
    <w:rsid w:val="002A4F30"/>
    <w:rsid w:val="002A5C1E"/>
    <w:rsid w:val="002A6B26"/>
    <w:rsid w:val="002A6B71"/>
    <w:rsid w:val="002A71FB"/>
    <w:rsid w:val="002A7294"/>
    <w:rsid w:val="002A74C2"/>
    <w:rsid w:val="002A787E"/>
    <w:rsid w:val="002A7FCC"/>
    <w:rsid w:val="002B024F"/>
    <w:rsid w:val="002B0934"/>
    <w:rsid w:val="002B09CA"/>
    <w:rsid w:val="002B0E97"/>
    <w:rsid w:val="002B1BB6"/>
    <w:rsid w:val="002B1F3D"/>
    <w:rsid w:val="002B2231"/>
    <w:rsid w:val="002B24BF"/>
    <w:rsid w:val="002B30E7"/>
    <w:rsid w:val="002B3B03"/>
    <w:rsid w:val="002B45B5"/>
    <w:rsid w:val="002B46E4"/>
    <w:rsid w:val="002B4A2C"/>
    <w:rsid w:val="002B4A4A"/>
    <w:rsid w:val="002B4A81"/>
    <w:rsid w:val="002B62C2"/>
    <w:rsid w:val="002B63D2"/>
    <w:rsid w:val="002B6A33"/>
    <w:rsid w:val="002B6DE4"/>
    <w:rsid w:val="002C02B8"/>
    <w:rsid w:val="002C06EC"/>
    <w:rsid w:val="002C08F7"/>
    <w:rsid w:val="002C0B81"/>
    <w:rsid w:val="002C0BF4"/>
    <w:rsid w:val="002C1092"/>
    <w:rsid w:val="002C11E9"/>
    <w:rsid w:val="002C270E"/>
    <w:rsid w:val="002C34D4"/>
    <w:rsid w:val="002C36B0"/>
    <w:rsid w:val="002C3A72"/>
    <w:rsid w:val="002C409C"/>
    <w:rsid w:val="002C4488"/>
    <w:rsid w:val="002C4527"/>
    <w:rsid w:val="002C4BD1"/>
    <w:rsid w:val="002C4C6A"/>
    <w:rsid w:val="002C4E1E"/>
    <w:rsid w:val="002C52D3"/>
    <w:rsid w:val="002C56D6"/>
    <w:rsid w:val="002C56DF"/>
    <w:rsid w:val="002C58A0"/>
    <w:rsid w:val="002C6741"/>
    <w:rsid w:val="002C69E0"/>
    <w:rsid w:val="002C72BD"/>
    <w:rsid w:val="002C7650"/>
    <w:rsid w:val="002C774D"/>
    <w:rsid w:val="002C7C44"/>
    <w:rsid w:val="002D00DD"/>
    <w:rsid w:val="002D09E7"/>
    <w:rsid w:val="002D0A1A"/>
    <w:rsid w:val="002D1396"/>
    <w:rsid w:val="002D13D3"/>
    <w:rsid w:val="002D184A"/>
    <w:rsid w:val="002D21CD"/>
    <w:rsid w:val="002D2413"/>
    <w:rsid w:val="002D3284"/>
    <w:rsid w:val="002D3DBC"/>
    <w:rsid w:val="002D4AA4"/>
    <w:rsid w:val="002D4D00"/>
    <w:rsid w:val="002D50A5"/>
    <w:rsid w:val="002D52E8"/>
    <w:rsid w:val="002D58E7"/>
    <w:rsid w:val="002D6AC4"/>
    <w:rsid w:val="002D6B98"/>
    <w:rsid w:val="002D79F8"/>
    <w:rsid w:val="002D7F2A"/>
    <w:rsid w:val="002D7F4F"/>
    <w:rsid w:val="002E052F"/>
    <w:rsid w:val="002E0FB9"/>
    <w:rsid w:val="002E1605"/>
    <w:rsid w:val="002E23FB"/>
    <w:rsid w:val="002E265E"/>
    <w:rsid w:val="002E2E92"/>
    <w:rsid w:val="002E2E96"/>
    <w:rsid w:val="002E3517"/>
    <w:rsid w:val="002E3700"/>
    <w:rsid w:val="002E40D9"/>
    <w:rsid w:val="002E4222"/>
    <w:rsid w:val="002E518B"/>
    <w:rsid w:val="002E532F"/>
    <w:rsid w:val="002E563C"/>
    <w:rsid w:val="002E5BF7"/>
    <w:rsid w:val="002E65E3"/>
    <w:rsid w:val="002E67CF"/>
    <w:rsid w:val="002E73DF"/>
    <w:rsid w:val="002E759B"/>
    <w:rsid w:val="002E7C8B"/>
    <w:rsid w:val="002F0026"/>
    <w:rsid w:val="002F14FD"/>
    <w:rsid w:val="002F1A48"/>
    <w:rsid w:val="002F228C"/>
    <w:rsid w:val="002F27AA"/>
    <w:rsid w:val="002F2A39"/>
    <w:rsid w:val="002F2D1B"/>
    <w:rsid w:val="002F321F"/>
    <w:rsid w:val="002F34B8"/>
    <w:rsid w:val="002F3D77"/>
    <w:rsid w:val="002F418F"/>
    <w:rsid w:val="002F42B2"/>
    <w:rsid w:val="002F4680"/>
    <w:rsid w:val="002F4ECB"/>
    <w:rsid w:val="002F4FD3"/>
    <w:rsid w:val="002F5453"/>
    <w:rsid w:val="002F5CAD"/>
    <w:rsid w:val="002F61BD"/>
    <w:rsid w:val="002F627A"/>
    <w:rsid w:val="00300630"/>
    <w:rsid w:val="0030107F"/>
    <w:rsid w:val="003010D7"/>
    <w:rsid w:val="0030169A"/>
    <w:rsid w:val="00301DC6"/>
    <w:rsid w:val="00301F28"/>
    <w:rsid w:val="003022FF"/>
    <w:rsid w:val="003023A2"/>
    <w:rsid w:val="00302D30"/>
    <w:rsid w:val="0030332D"/>
    <w:rsid w:val="00304145"/>
    <w:rsid w:val="00304E9A"/>
    <w:rsid w:val="003059E6"/>
    <w:rsid w:val="003063FB"/>
    <w:rsid w:val="00307349"/>
    <w:rsid w:val="00307E5D"/>
    <w:rsid w:val="00310446"/>
    <w:rsid w:val="003105D5"/>
    <w:rsid w:val="00310701"/>
    <w:rsid w:val="00310E18"/>
    <w:rsid w:val="0031157D"/>
    <w:rsid w:val="00312935"/>
    <w:rsid w:val="00312BB8"/>
    <w:rsid w:val="0031303E"/>
    <w:rsid w:val="00313549"/>
    <w:rsid w:val="003135F9"/>
    <w:rsid w:val="00313B95"/>
    <w:rsid w:val="00314383"/>
    <w:rsid w:val="0031446E"/>
    <w:rsid w:val="00314694"/>
    <w:rsid w:val="0031627D"/>
    <w:rsid w:val="00316AD5"/>
    <w:rsid w:val="00320518"/>
    <w:rsid w:val="00320B4B"/>
    <w:rsid w:val="00320D83"/>
    <w:rsid w:val="003212C1"/>
    <w:rsid w:val="0032175F"/>
    <w:rsid w:val="00321D63"/>
    <w:rsid w:val="00321E0B"/>
    <w:rsid w:val="003228B8"/>
    <w:rsid w:val="00322D6B"/>
    <w:rsid w:val="003236D1"/>
    <w:rsid w:val="00324069"/>
    <w:rsid w:val="003242CA"/>
    <w:rsid w:val="00324AA1"/>
    <w:rsid w:val="003250E7"/>
    <w:rsid w:val="00325244"/>
    <w:rsid w:val="00325687"/>
    <w:rsid w:val="00325BC5"/>
    <w:rsid w:val="00325E41"/>
    <w:rsid w:val="00325EC2"/>
    <w:rsid w:val="00325F69"/>
    <w:rsid w:val="003263DF"/>
    <w:rsid w:val="00326574"/>
    <w:rsid w:val="003268E1"/>
    <w:rsid w:val="00326A4E"/>
    <w:rsid w:val="003304E3"/>
    <w:rsid w:val="00330667"/>
    <w:rsid w:val="00330A85"/>
    <w:rsid w:val="00330EEE"/>
    <w:rsid w:val="00331C17"/>
    <w:rsid w:val="00331C22"/>
    <w:rsid w:val="00331D8D"/>
    <w:rsid w:val="0033200E"/>
    <w:rsid w:val="00332570"/>
    <w:rsid w:val="00332825"/>
    <w:rsid w:val="00332A4A"/>
    <w:rsid w:val="00333104"/>
    <w:rsid w:val="003331C1"/>
    <w:rsid w:val="0033332B"/>
    <w:rsid w:val="003333C0"/>
    <w:rsid w:val="00333F6B"/>
    <w:rsid w:val="003340BC"/>
    <w:rsid w:val="00334132"/>
    <w:rsid w:val="003346B0"/>
    <w:rsid w:val="00334D59"/>
    <w:rsid w:val="00334DBA"/>
    <w:rsid w:val="00335344"/>
    <w:rsid w:val="0033558A"/>
    <w:rsid w:val="00335921"/>
    <w:rsid w:val="00335E76"/>
    <w:rsid w:val="003362ED"/>
    <w:rsid w:val="00336657"/>
    <w:rsid w:val="0033670A"/>
    <w:rsid w:val="00336A54"/>
    <w:rsid w:val="00336E70"/>
    <w:rsid w:val="00340546"/>
    <w:rsid w:val="003413B8"/>
    <w:rsid w:val="00341E78"/>
    <w:rsid w:val="00342005"/>
    <w:rsid w:val="00342725"/>
    <w:rsid w:val="00342B05"/>
    <w:rsid w:val="00343551"/>
    <w:rsid w:val="0034363F"/>
    <w:rsid w:val="00343C18"/>
    <w:rsid w:val="00343E80"/>
    <w:rsid w:val="00344582"/>
    <w:rsid w:val="003448CF"/>
    <w:rsid w:val="00344C98"/>
    <w:rsid w:val="00344F60"/>
    <w:rsid w:val="003455EE"/>
    <w:rsid w:val="00345D20"/>
    <w:rsid w:val="00346499"/>
    <w:rsid w:val="003464FE"/>
    <w:rsid w:val="003468C5"/>
    <w:rsid w:val="003472AD"/>
    <w:rsid w:val="00347974"/>
    <w:rsid w:val="00350767"/>
    <w:rsid w:val="00350C8E"/>
    <w:rsid w:val="00350E4D"/>
    <w:rsid w:val="00351C8E"/>
    <w:rsid w:val="00351DEE"/>
    <w:rsid w:val="00352A62"/>
    <w:rsid w:val="00353469"/>
    <w:rsid w:val="00353841"/>
    <w:rsid w:val="00353B19"/>
    <w:rsid w:val="00353C3A"/>
    <w:rsid w:val="00353E4D"/>
    <w:rsid w:val="00354012"/>
    <w:rsid w:val="00354765"/>
    <w:rsid w:val="003547C3"/>
    <w:rsid w:val="00354F50"/>
    <w:rsid w:val="003550D0"/>
    <w:rsid w:val="0035577B"/>
    <w:rsid w:val="003564C7"/>
    <w:rsid w:val="00356A52"/>
    <w:rsid w:val="00356D45"/>
    <w:rsid w:val="00357094"/>
    <w:rsid w:val="00357F73"/>
    <w:rsid w:val="003600D0"/>
    <w:rsid w:val="0036051C"/>
    <w:rsid w:val="003610F0"/>
    <w:rsid w:val="0036234C"/>
    <w:rsid w:val="003625D4"/>
    <w:rsid w:val="00362880"/>
    <w:rsid w:val="00362B92"/>
    <w:rsid w:val="003633A6"/>
    <w:rsid w:val="00363860"/>
    <w:rsid w:val="003639B9"/>
    <w:rsid w:val="00363B50"/>
    <w:rsid w:val="00363D4E"/>
    <w:rsid w:val="00364135"/>
    <w:rsid w:val="0036419B"/>
    <w:rsid w:val="003642C5"/>
    <w:rsid w:val="003647D8"/>
    <w:rsid w:val="00364B47"/>
    <w:rsid w:val="00364BB0"/>
    <w:rsid w:val="003655FF"/>
    <w:rsid w:val="0036634A"/>
    <w:rsid w:val="0036650D"/>
    <w:rsid w:val="0036658D"/>
    <w:rsid w:val="003675A0"/>
    <w:rsid w:val="003677A9"/>
    <w:rsid w:val="00367983"/>
    <w:rsid w:val="00367A5F"/>
    <w:rsid w:val="00370432"/>
    <w:rsid w:val="0037062A"/>
    <w:rsid w:val="0037110D"/>
    <w:rsid w:val="00371317"/>
    <w:rsid w:val="003717B0"/>
    <w:rsid w:val="00371ACF"/>
    <w:rsid w:val="00371B52"/>
    <w:rsid w:val="00372131"/>
    <w:rsid w:val="003723F1"/>
    <w:rsid w:val="0037250C"/>
    <w:rsid w:val="003736E3"/>
    <w:rsid w:val="0037467D"/>
    <w:rsid w:val="00375B49"/>
    <w:rsid w:val="00376198"/>
    <w:rsid w:val="0037638E"/>
    <w:rsid w:val="00376506"/>
    <w:rsid w:val="00376966"/>
    <w:rsid w:val="003769FD"/>
    <w:rsid w:val="003776A9"/>
    <w:rsid w:val="0037792B"/>
    <w:rsid w:val="00377C5C"/>
    <w:rsid w:val="00380426"/>
    <w:rsid w:val="003806F7"/>
    <w:rsid w:val="00380F3C"/>
    <w:rsid w:val="003813D4"/>
    <w:rsid w:val="00381B0E"/>
    <w:rsid w:val="00381DD0"/>
    <w:rsid w:val="0038316E"/>
    <w:rsid w:val="0038367B"/>
    <w:rsid w:val="00383C90"/>
    <w:rsid w:val="00384030"/>
    <w:rsid w:val="003843F8"/>
    <w:rsid w:val="003847C3"/>
    <w:rsid w:val="003849A6"/>
    <w:rsid w:val="00384A03"/>
    <w:rsid w:val="00385566"/>
    <w:rsid w:val="003855BD"/>
    <w:rsid w:val="00385BF0"/>
    <w:rsid w:val="00386808"/>
    <w:rsid w:val="00386964"/>
    <w:rsid w:val="00387900"/>
    <w:rsid w:val="00390AA4"/>
    <w:rsid w:val="00391490"/>
    <w:rsid w:val="003915FC"/>
    <w:rsid w:val="003917AE"/>
    <w:rsid w:val="003923CA"/>
    <w:rsid w:val="003926DB"/>
    <w:rsid w:val="003927E0"/>
    <w:rsid w:val="00392932"/>
    <w:rsid w:val="00392992"/>
    <w:rsid w:val="00392FB9"/>
    <w:rsid w:val="003931A5"/>
    <w:rsid w:val="003932B3"/>
    <w:rsid w:val="003936B3"/>
    <w:rsid w:val="00393729"/>
    <w:rsid w:val="00393E01"/>
    <w:rsid w:val="003940C5"/>
    <w:rsid w:val="003952C0"/>
    <w:rsid w:val="003953F3"/>
    <w:rsid w:val="0039549E"/>
    <w:rsid w:val="003954E9"/>
    <w:rsid w:val="003959DA"/>
    <w:rsid w:val="00395C71"/>
    <w:rsid w:val="00395D78"/>
    <w:rsid w:val="0039685E"/>
    <w:rsid w:val="003968FF"/>
    <w:rsid w:val="00396999"/>
    <w:rsid w:val="00396DE5"/>
    <w:rsid w:val="00397984"/>
    <w:rsid w:val="00397A0A"/>
    <w:rsid w:val="003A0630"/>
    <w:rsid w:val="003A0E5C"/>
    <w:rsid w:val="003A1326"/>
    <w:rsid w:val="003A157B"/>
    <w:rsid w:val="003A2164"/>
    <w:rsid w:val="003A222D"/>
    <w:rsid w:val="003A2B35"/>
    <w:rsid w:val="003A445B"/>
    <w:rsid w:val="003A589B"/>
    <w:rsid w:val="003A59E1"/>
    <w:rsid w:val="003A5CD3"/>
    <w:rsid w:val="003A6269"/>
    <w:rsid w:val="003A637B"/>
    <w:rsid w:val="003A6CAE"/>
    <w:rsid w:val="003A6F2A"/>
    <w:rsid w:val="003A6F8E"/>
    <w:rsid w:val="003A724D"/>
    <w:rsid w:val="003A7598"/>
    <w:rsid w:val="003A7DD8"/>
    <w:rsid w:val="003B1512"/>
    <w:rsid w:val="003B15AF"/>
    <w:rsid w:val="003B1962"/>
    <w:rsid w:val="003B1CE8"/>
    <w:rsid w:val="003B1EA4"/>
    <w:rsid w:val="003B2F6A"/>
    <w:rsid w:val="003B32CE"/>
    <w:rsid w:val="003B37CA"/>
    <w:rsid w:val="003B3F28"/>
    <w:rsid w:val="003B43E5"/>
    <w:rsid w:val="003B454A"/>
    <w:rsid w:val="003B55C0"/>
    <w:rsid w:val="003B59CA"/>
    <w:rsid w:val="003B5AFE"/>
    <w:rsid w:val="003B6603"/>
    <w:rsid w:val="003B67FA"/>
    <w:rsid w:val="003B68BA"/>
    <w:rsid w:val="003B6BD0"/>
    <w:rsid w:val="003B6D95"/>
    <w:rsid w:val="003B6E73"/>
    <w:rsid w:val="003B7038"/>
    <w:rsid w:val="003B71A9"/>
    <w:rsid w:val="003B79BC"/>
    <w:rsid w:val="003B7CE6"/>
    <w:rsid w:val="003C0324"/>
    <w:rsid w:val="003C0A5C"/>
    <w:rsid w:val="003C0ED9"/>
    <w:rsid w:val="003C0FDB"/>
    <w:rsid w:val="003C1069"/>
    <w:rsid w:val="003C1561"/>
    <w:rsid w:val="003C1B33"/>
    <w:rsid w:val="003C1C3F"/>
    <w:rsid w:val="003C1FE4"/>
    <w:rsid w:val="003C258F"/>
    <w:rsid w:val="003C3A7B"/>
    <w:rsid w:val="003C3CCC"/>
    <w:rsid w:val="003C3D2B"/>
    <w:rsid w:val="003C3EC0"/>
    <w:rsid w:val="003C422E"/>
    <w:rsid w:val="003C4C58"/>
    <w:rsid w:val="003C4D9C"/>
    <w:rsid w:val="003C502B"/>
    <w:rsid w:val="003C50C0"/>
    <w:rsid w:val="003C553D"/>
    <w:rsid w:val="003C56BE"/>
    <w:rsid w:val="003C576A"/>
    <w:rsid w:val="003C6AA8"/>
    <w:rsid w:val="003C6C53"/>
    <w:rsid w:val="003C733E"/>
    <w:rsid w:val="003C7504"/>
    <w:rsid w:val="003D07CE"/>
    <w:rsid w:val="003D0B97"/>
    <w:rsid w:val="003D114E"/>
    <w:rsid w:val="003D141D"/>
    <w:rsid w:val="003D147A"/>
    <w:rsid w:val="003D1A7C"/>
    <w:rsid w:val="003D26D5"/>
    <w:rsid w:val="003D2F8B"/>
    <w:rsid w:val="003D313D"/>
    <w:rsid w:val="003D42C6"/>
    <w:rsid w:val="003D4485"/>
    <w:rsid w:val="003D4751"/>
    <w:rsid w:val="003D4997"/>
    <w:rsid w:val="003D4CDD"/>
    <w:rsid w:val="003D4EBD"/>
    <w:rsid w:val="003D4F2A"/>
    <w:rsid w:val="003D5BBF"/>
    <w:rsid w:val="003D5E3B"/>
    <w:rsid w:val="003D69E8"/>
    <w:rsid w:val="003D69FC"/>
    <w:rsid w:val="003D741F"/>
    <w:rsid w:val="003D772C"/>
    <w:rsid w:val="003E00C5"/>
    <w:rsid w:val="003E0154"/>
    <w:rsid w:val="003E0643"/>
    <w:rsid w:val="003E1437"/>
    <w:rsid w:val="003E1629"/>
    <w:rsid w:val="003E163E"/>
    <w:rsid w:val="003E19AE"/>
    <w:rsid w:val="003E1F4C"/>
    <w:rsid w:val="003E2102"/>
    <w:rsid w:val="003E23F7"/>
    <w:rsid w:val="003E29E5"/>
    <w:rsid w:val="003E2B2F"/>
    <w:rsid w:val="003E3480"/>
    <w:rsid w:val="003E3EBA"/>
    <w:rsid w:val="003E4739"/>
    <w:rsid w:val="003E4D1D"/>
    <w:rsid w:val="003E4D4C"/>
    <w:rsid w:val="003E4FB0"/>
    <w:rsid w:val="003E50E2"/>
    <w:rsid w:val="003E5268"/>
    <w:rsid w:val="003E567E"/>
    <w:rsid w:val="003E5856"/>
    <w:rsid w:val="003E5999"/>
    <w:rsid w:val="003E5D93"/>
    <w:rsid w:val="003E663A"/>
    <w:rsid w:val="003E7738"/>
    <w:rsid w:val="003E7A23"/>
    <w:rsid w:val="003F0D96"/>
    <w:rsid w:val="003F0EBC"/>
    <w:rsid w:val="003F10D8"/>
    <w:rsid w:val="003F1216"/>
    <w:rsid w:val="003F1DCD"/>
    <w:rsid w:val="003F1FE4"/>
    <w:rsid w:val="003F2804"/>
    <w:rsid w:val="003F315E"/>
    <w:rsid w:val="003F3C8B"/>
    <w:rsid w:val="003F3CBB"/>
    <w:rsid w:val="003F3E73"/>
    <w:rsid w:val="003F450C"/>
    <w:rsid w:val="003F4847"/>
    <w:rsid w:val="003F4CFB"/>
    <w:rsid w:val="003F529F"/>
    <w:rsid w:val="003F5A6B"/>
    <w:rsid w:val="003F6757"/>
    <w:rsid w:val="003F6E27"/>
    <w:rsid w:val="003F7C28"/>
    <w:rsid w:val="004008AF"/>
    <w:rsid w:val="00401A1E"/>
    <w:rsid w:val="00401A44"/>
    <w:rsid w:val="00402117"/>
    <w:rsid w:val="004035F9"/>
    <w:rsid w:val="00403CB9"/>
    <w:rsid w:val="004040D7"/>
    <w:rsid w:val="00404275"/>
    <w:rsid w:val="004042B0"/>
    <w:rsid w:val="00405223"/>
    <w:rsid w:val="004054DE"/>
    <w:rsid w:val="00406A58"/>
    <w:rsid w:val="00406D78"/>
    <w:rsid w:val="0040773E"/>
    <w:rsid w:val="004103BA"/>
    <w:rsid w:val="00410506"/>
    <w:rsid w:val="00411834"/>
    <w:rsid w:val="00411E28"/>
    <w:rsid w:val="00412B61"/>
    <w:rsid w:val="00412B6B"/>
    <w:rsid w:val="00412FC5"/>
    <w:rsid w:val="0041354B"/>
    <w:rsid w:val="00413989"/>
    <w:rsid w:val="00414422"/>
    <w:rsid w:val="00414744"/>
    <w:rsid w:val="004147E3"/>
    <w:rsid w:val="00415A1B"/>
    <w:rsid w:val="004165B4"/>
    <w:rsid w:val="0041683A"/>
    <w:rsid w:val="00416D05"/>
    <w:rsid w:val="004177E7"/>
    <w:rsid w:val="00420000"/>
    <w:rsid w:val="00420428"/>
    <w:rsid w:val="00420511"/>
    <w:rsid w:val="00420864"/>
    <w:rsid w:val="00420B53"/>
    <w:rsid w:val="00421A99"/>
    <w:rsid w:val="00421E25"/>
    <w:rsid w:val="00422C06"/>
    <w:rsid w:val="00422C94"/>
    <w:rsid w:val="00423065"/>
    <w:rsid w:val="00423A2A"/>
    <w:rsid w:val="00424090"/>
    <w:rsid w:val="004241B4"/>
    <w:rsid w:val="00424C1E"/>
    <w:rsid w:val="00426933"/>
    <w:rsid w:val="0042711D"/>
    <w:rsid w:val="00430267"/>
    <w:rsid w:val="004305C3"/>
    <w:rsid w:val="00431249"/>
    <w:rsid w:val="004316E7"/>
    <w:rsid w:val="004318AB"/>
    <w:rsid w:val="00431AEF"/>
    <w:rsid w:val="00431CC0"/>
    <w:rsid w:val="00432357"/>
    <w:rsid w:val="00432603"/>
    <w:rsid w:val="00432E43"/>
    <w:rsid w:val="00433B28"/>
    <w:rsid w:val="00433F1E"/>
    <w:rsid w:val="00434169"/>
    <w:rsid w:val="00434468"/>
    <w:rsid w:val="00434873"/>
    <w:rsid w:val="00434D1E"/>
    <w:rsid w:val="00434FAF"/>
    <w:rsid w:val="0043568C"/>
    <w:rsid w:val="0043600D"/>
    <w:rsid w:val="00436887"/>
    <w:rsid w:val="00436890"/>
    <w:rsid w:val="00437639"/>
    <w:rsid w:val="00437AF4"/>
    <w:rsid w:val="00437EA9"/>
    <w:rsid w:val="00437FA0"/>
    <w:rsid w:val="00440416"/>
    <w:rsid w:val="00440AE0"/>
    <w:rsid w:val="00440E4D"/>
    <w:rsid w:val="00441654"/>
    <w:rsid w:val="00441769"/>
    <w:rsid w:val="004432A4"/>
    <w:rsid w:val="004434CF"/>
    <w:rsid w:val="00444160"/>
    <w:rsid w:val="00444481"/>
    <w:rsid w:val="00444D4B"/>
    <w:rsid w:val="0044529C"/>
    <w:rsid w:val="004452F5"/>
    <w:rsid w:val="004457F3"/>
    <w:rsid w:val="004458AE"/>
    <w:rsid w:val="00446307"/>
    <w:rsid w:val="00446926"/>
    <w:rsid w:val="00446BDD"/>
    <w:rsid w:val="00446EB6"/>
    <w:rsid w:val="0044774F"/>
    <w:rsid w:val="00447983"/>
    <w:rsid w:val="00447AC5"/>
    <w:rsid w:val="00450113"/>
    <w:rsid w:val="004502D5"/>
    <w:rsid w:val="0045091E"/>
    <w:rsid w:val="00450A8A"/>
    <w:rsid w:val="00450D04"/>
    <w:rsid w:val="004518E1"/>
    <w:rsid w:val="004518E6"/>
    <w:rsid w:val="00451CD9"/>
    <w:rsid w:val="00452A8B"/>
    <w:rsid w:val="00452C7C"/>
    <w:rsid w:val="0045313A"/>
    <w:rsid w:val="004531BE"/>
    <w:rsid w:val="004531FC"/>
    <w:rsid w:val="00453272"/>
    <w:rsid w:val="00453425"/>
    <w:rsid w:val="00453489"/>
    <w:rsid w:val="00453C0B"/>
    <w:rsid w:val="00453D07"/>
    <w:rsid w:val="0045594F"/>
    <w:rsid w:val="00455989"/>
    <w:rsid w:val="00456434"/>
    <w:rsid w:val="004568BD"/>
    <w:rsid w:val="004575A1"/>
    <w:rsid w:val="00457A5C"/>
    <w:rsid w:val="0046014E"/>
    <w:rsid w:val="00460230"/>
    <w:rsid w:val="004605EA"/>
    <w:rsid w:val="004610F9"/>
    <w:rsid w:val="00461162"/>
    <w:rsid w:val="0046175D"/>
    <w:rsid w:val="00461DE7"/>
    <w:rsid w:val="00461E93"/>
    <w:rsid w:val="00461F62"/>
    <w:rsid w:val="0046219B"/>
    <w:rsid w:val="004627F4"/>
    <w:rsid w:val="004633F4"/>
    <w:rsid w:val="00463589"/>
    <w:rsid w:val="00463A48"/>
    <w:rsid w:val="004644BE"/>
    <w:rsid w:val="00464EBA"/>
    <w:rsid w:val="0046519F"/>
    <w:rsid w:val="00465D97"/>
    <w:rsid w:val="00466453"/>
    <w:rsid w:val="004667D6"/>
    <w:rsid w:val="00466B6B"/>
    <w:rsid w:val="00466C49"/>
    <w:rsid w:val="00466F88"/>
    <w:rsid w:val="0046706A"/>
    <w:rsid w:val="004674D5"/>
    <w:rsid w:val="00470796"/>
    <w:rsid w:val="0047106B"/>
    <w:rsid w:val="0047154A"/>
    <w:rsid w:val="00471E54"/>
    <w:rsid w:val="0047237C"/>
    <w:rsid w:val="00472743"/>
    <w:rsid w:val="00472E4F"/>
    <w:rsid w:val="004730AE"/>
    <w:rsid w:val="004731CA"/>
    <w:rsid w:val="004736B6"/>
    <w:rsid w:val="00473E76"/>
    <w:rsid w:val="0047467E"/>
    <w:rsid w:val="004749D2"/>
    <w:rsid w:val="0047548E"/>
    <w:rsid w:val="00475E46"/>
    <w:rsid w:val="00475FD1"/>
    <w:rsid w:val="0047609C"/>
    <w:rsid w:val="0047647D"/>
    <w:rsid w:val="004772C0"/>
    <w:rsid w:val="00477330"/>
    <w:rsid w:val="004805CC"/>
    <w:rsid w:val="0048114F"/>
    <w:rsid w:val="0048150F"/>
    <w:rsid w:val="00481723"/>
    <w:rsid w:val="00481998"/>
    <w:rsid w:val="004821D9"/>
    <w:rsid w:val="00482614"/>
    <w:rsid w:val="00482767"/>
    <w:rsid w:val="00482F99"/>
    <w:rsid w:val="004837EB"/>
    <w:rsid w:val="00484C83"/>
    <w:rsid w:val="00484D34"/>
    <w:rsid w:val="00484D36"/>
    <w:rsid w:val="00485C78"/>
    <w:rsid w:val="00485E5A"/>
    <w:rsid w:val="00486103"/>
    <w:rsid w:val="00486164"/>
    <w:rsid w:val="004864F5"/>
    <w:rsid w:val="00486739"/>
    <w:rsid w:val="004868CC"/>
    <w:rsid w:val="004870FA"/>
    <w:rsid w:val="00487410"/>
    <w:rsid w:val="00487919"/>
    <w:rsid w:val="004879FE"/>
    <w:rsid w:val="00487AA7"/>
    <w:rsid w:val="00487CF7"/>
    <w:rsid w:val="004920E7"/>
    <w:rsid w:val="00492167"/>
    <w:rsid w:val="00492930"/>
    <w:rsid w:val="00492D22"/>
    <w:rsid w:val="00492E28"/>
    <w:rsid w:val="0049340A"/>
    <w:rsid w:val="0049374B"/>
    <w:rsid w:val="00494489"/>
    <w:rsid w:val="0049455F"/>
    <w:rsid w:val="00494E9B"/>
    <w:rsid w:val="00495032"/>
    <w:rsid w:val="00495F75"/>
    <w:rsid w:val="004965C1"/>
    <w:rsid w:val="00496ACF"/>
    <w:rsid w:val="00497166"/>
    <w:rsid w:val="00497E7C"/>
    <w:rsid w:val="004A0179"/>
    <w:rsid w:val="004A04A3"/>
    <w:rsid w:val="004A072B"/>
    <w:rsid w:val="004A088E"/>
    <w:rsid w:val="004A0E38"/>
    <w:rsid w:val="004A1344"/>
    <w:rsid w:val="004A1802"/>
    <w:rsid w:val="004A1942"/>
    <w:rsid w:val="004A1992"/>
    <w:rsid w:val="004A1C36"/>
    <w:rsid w:val="004A2603"/>
    <w:rsid w:val="004A3990"/>
    <w:rsid w:val="004A3B4F"/>
    <w:rsid w:val="004A4467"/>
    <w:rsid w:val="004A4A9A"/>
    <w:rsid w:val="004A4CA6"/>
    <w:rsid w:val="004A4E6B"/>
    <w:rsid w:val="004A5B98"/>
    <w:rsid w:val="004A5CCD"/>
    <w:rsid w:val="004A5F6B"/>
    <w:rsid w:val="004A5FD5"/>
    <w:rsid w:val="004A76CF"/>
    <w:rsid w:val="004A7929"/>
    <w:rsid w:val="004A7BA6"/>
    <w:rsid w:val="004B0038"/>
    <w:rsid w:val="004B0815"/>
    <w:rsid w:val="004B0AB7"/>
    <w:rsid w:val="004B0C3E"/>
    <w:rsid w:val="004B20AB"/>
    <w:rsid w:val="004B2CD5"/>
    <w:rsid w:val="004B3B01"/>
    <w:rsid w:val="004B3DBF"/>
    <w:rsid w:val="004B3E86"/>
    <w:rsid w:val="004B3EB0"/>
    <w:rsid w:val="004B5E0B"/>
    <w:rsid w:val="004B653E"/>
    <w:rsid w:val="004B6584"/>
    <w:rsid w:val="004B67FB"/>
    <w:rsid w:val="004B7098"/>
    <w:rsid w:val="004B723B"/>
    <w:rsid w:val="004B765B"/>
    <w:rsid w:val="004B76CE"/>
    <w:rsid w:val="004B7AF9"/>
    <w:rsid w:val="004B7FED"/>
    <w:rsid w:val="004C00D3"/>
    <w:rsid w:val="004C05C1"/>
    <w:rsid w:val="004C0988"/>
    <w:rsid w:val="004C185A"/>
    <w:rsid w:val="004C1A69"/>
    <w:rsid w:val="004C1C35"/>
    <w:rsid w:val="004C1DB4"/>
    <w:rsid w:val="004C230A"/>
    <w:rsid w:val="004C2BEC"/>
    <w:rsid w:val="004C3269"/>
    <w:rsid w:val="004C3D77"/>
    <w:rsid w:val="004C4608"/>
    <w:rsid w:val="004C4662"/>
    <w:rsid w:val="004C5F2A"/>
    <w:rsid w:val="004C65F4"/>
    <w:rsid w:val="004C6DD4"/>
    <w:rsid w:val="004C6F7B"/>
    <w:rsid w:val="004C6F89"/>
    <w:rsid w:val="004C71FC"/>
    <w:rsid w:val="004C756D"/>
    <w:rsid w:val="004C7FAC"/>
    <w:rsid w:val="004D0046"/>
    <w:rsid w:val="004D1776"/>
    <w:rsid w:val="004D325C"/>
    <w:rsid w:val="004D3423"/>
    <w:rsid w:val="004D3636"/>
    <w:rsid w:val="004D3C65"/>
    <w:rsid w:val="004D453A"/>
    <w:rsid w:val="004D49E2"/>
    <w:rsid w:val="004D5B7C"/>
    <w:rsid w:val="004D66A8"/>
    <w:rsid w:val="004D68FB"/>
    <w:rsid w:val="004D7F24"/>
    <w:rsid w:val="004E081B"/>
    <w:rsid w:val="004E0869"/>
    <w:rsid w:val="004E0C7A"/>
    <w:rsid w:val="004E0C81"/>
    <w:rsid w:val="004E0D9F"/>
    <w:rsid w:val="004E164E"/>
    <w:rsid w:val="004E191A"/>
    <w:rsid w:val="004E22B5"/>
    <w:rsid w:val="004E28F1"/>
    <w:rsid w:val="004E2AA5"/>
    <w:rsid w:val="004E3108"/>
    <w:rsid w:val="004E3295"/>
    <w:rsid w:val="004E3390"/>
    <w:rsid w:val="004E348C"/>
    <w:rsid w:val="004E3529"/>
    <w:rsid w:val="004E35AF"/>
    <w:rsid w:val="004E3C58"/>
    <w:rsid w:val="004E4484"/>
    <w:rsid w:val="004E5246"/>
    <w:rsid w:val="004E530C"/>
    <w:rsid w:val="004E5399"/>
    <w:rsid w:val="004E562B"/>
    <w:rsid w:val="004E5FCB"/>
    <w:rsid w:val="004E615E"/>
    <w:rsid w:val="004E6D65"/>
    <w:rsid w:val="004E71CD"/>
    <w:rsid w:val="004E7256"/>
    <w:rsid w:val="004E72C9"/>
    <w:rsid w:val="004E75F1"/>
    <w:rsid w:val="004E7880"/>
    <w:rsid w:val="004E795E"/>
    <w:rsid w:val="004E79F2"/>
    <w:rsid w:val="004F00B4"/>
    <w:rsid w:val="004F0AF5"/>
    <w:rsid w:val="004F0B5A"/>
    <w:rsid w:val="004F1425"/>
    <w:rsid w:val="004F165F"/>
    <w:rsid w:val="004F19DC"/>
    <w:rsid w:val="004F19FB"/>
    <w:rsid w:val="004F1E8E"/>
    <w:rsid w:val="004F236B"/>
    <w:rsid w:val="004F24A0"/>
    <w:rsid w:val="004F2A1A"/>
    <w:rsid w:val="004F32A8"/>
    <w:rsid w:val="004F354A"/>
    <w:rsid w:val="004F3D5F"/>
    <w:rsid w:val="004F4171"/>
    <w:rsid w:val="004F42E7"/>
    <w:rsid w:val="004F43D0"/>
    <w:rsid w:val="004F4572"/>
    <w:rsid w:val="004F472B"/>
    <w:rsid w:val="004F51EC"/>
    <w:rsid w:val="004F5365"/>
    <w:rsid w:val="004F5723"/>
    <w:rsid w:val="004F5DD0"/>
    <w:rsid w:val="004F5E45"/>
    <w:rsid w:val="004F5F1A"/>
    <w:rsid w:val="004F6D88"/>
    <w:rsid w:val="004F7E1F"/>
    <w:rsid w:val="004F7EFB"/>
    <w:rsid w:val="00500621"/>
    <w:rsid w:val="00500662"/>
    <w:rsid w:val="00501AD6"/>
    <w:rsid w:val="00502093"/>
    <w:rsid w:val="00502105"/>
    <w:rsid w:val="00502296"/>
    <w:rsid w:val="005024F8"/>
    <w:rsid w:val="00502CCD"/>
    <w:rsid w:val="0050326C"/>
    <w:rsid w:val="00503A99"/>
    <w:rsid w:val="00504485"/>
    <w:rsid w:val="00504903"/>
    <w:rsid w:val="00504C24"/>
    <w:rsid w:val="00504C31"/>
    <w:rsid w:val="00504D7B"/>
    <w:rsid w:val="00505A11"/>
    <w:rsid w:val="00506CCA"/>
    <w:rsid w:val="00506D3E"/>
    <w:rsid w:val="005072F9"/>
    <w:rsid w:val="005073DD"/>
    <w:rsid w:val="00507AE7"/>
    <w:rsid w:val="00507C22"/>
    <w:rsid w:val="00507FD6"/>
    <w:rsid w:val="0051024B"/>
    <w:rsid w:val="005102CB"/>
    <w:rsid w:val="00510762"/>
    <w:rsid w:val="00511479"/>
    <w:rsid w:val="00511813"/>
    <w:rsid w:val="0051194D"/>
    <w:rsid w:val="00511F00"/>
    <w:rsid w:val="00511F87"/>
    <w:rsid w:val="0051215E"/>
    <w:rsid w:val="00512437"/>
    <w:rsid w:val="00512B00"/>
    <w:rsid w:val="00512CF1"/>
    <w:rsid w:val="00513D18"/>
    <w:rsid w:val="00515003"/>
    <w:rsid w:val="00515FCA"/>
    <w:rsid w:val="005165CF"/>
    <w:rsid w:val="00517827"/>
    <w:rsid w:val="005178CE"/>
    <w:rsid w:val="00517988"/>
    <w:rsid w:val="00517B99"/>
    <w:rsid w:val="005204B4"/>
    <w:rsid w:val="005214B3"/>
    <w:rsid w:val="00521A0D"/>
    <w:rsid w:val="0052225A"/>
    <w:rsid w:val="005222DF"/>
    <w:rsid w:val="00522350"/>
    <w:rsid w:val="005225FA"/>
    <w:rsid w:val="00522D44"/>
    <w:rsid w:val="0052366A"/>
    <w:rsid w:val="005236A5"/>
    <w:rsid w:val="00523C90"/>
    <w:rsid w:val="00523D53"/>
    <w:rsid w:val="00523DFA"/>
    <w:rsid w:val="00523E43"/>
    <w:rsid w:val="00525556"/>
    <w:rsid w:val="005255E7"/>
    <w:rsid w:val="00525B17"/>
    <w:rsid w:val="00525D08"/>
    <w:rsid w:val="00526BF8"/>
    <w:rsid w:val="00526EF5"/>
    <w:rsid w:val="00527536"/>
    <w:rsid w:val="00530F80"/>
    <w:rsid w:val="0053156F"/>
    <w:rsid w:val="005318C1"/>
    <w:rsid w:val="00531C6F"/>
    <w:rsid w:val="00531E54"/>
    <w:rsid w:val="00531E82"/>
    <w:rsid w:val="0053207D"/>
    <w:rsid w:val="00533674"/>
    <w:rsid w:val="0053395A"/>
    <w:rsid w:val="005339FA"/>
    <w:rsid w:val="00535254"/>
    <w:rsid w:val="0053534B"/>
    <w:rsid w:val="005357C0"/>
    <w:rsid w:val="00535DF9"/>
    <w:rsid w:val="00535EDD"/>
    <w:rsid w:val="00536722"/>
    <w:rsid w:val="0053755E"/>
    <w:rsid w:val="00537630"/>
    <w:rsid w:val="00537AB3"/>
    <w:rsid w:val="00540400"/>
    <w:rsid w:val="0054068D"/>
    <w:rsid w:val="005409D8"/>
    <w:rsid w:val="00540EE3"/>
    <w:rsid w:val="0054105C"/>
    <w:rsid w:val="00541AAF"/>
    <w:rsid w:val="00542B6D"/>
    <w:rsid w:val="00543139"/>
    <w:rsid w:val="00543629"/>
    <w:rsid w:val="0054473A"/>
    <w:rsid w:val="005448AE"/>
    <w:rsid w:val="00544DA7"/>
    <w:rsid w:val="005452F4"/>
    <w:rsid w:val="00545693"/>
    <w:rsid w:val="00545B58"/>
    <w:rsid w:val="00545C22"/>
    <w:rsid w:val="00546501"/>
    <w:rsid w:val="005466FA"/>
    <w:rsid w:val="00546B27"/>
    <w:rsid w:val="00550624"/>
    <w:rsid w:val="00550C66"/>
    <w:rsid w:val="00551B4E"/>
    <w:rsid w:val="005541AF"/>
    <w:rsid w:val="005542BC"/>
    <w:rsid w:val="005546A7"/>
    <w:rsid w:val="00554F89"/>
    <w:rsid w:val="005556D5"/>
    <w:rsid w:val="00555C34"/>
    <w:rsid w:val="005574D8"/>
    <w:rsid w:val="00557EE8"/>
    <w:rsid w:val="00560142"/>
    <w:rsid w:val="00560C15"/>
    <w:rsid w:val="00560C8E"/>
    <w:rsid w:val="00561D0F"/>
    <w:rsid w:val="00561D3E"/>
    <w:rsid w:val="00562473"/>
    <w:rsid w:val="0056282A"/>
    <w:rsid w:val="005628BF"/>
    <w:rsid w:val="00562AE9"/>
    <w:rsid w:val="00562CF8"/>
    <w:rsid w:val="00562EBF"/>
    <w:rsid w:val="00563400"/>
    <w:rsid w:val="00563A33"/>
    <w:rsid w:val="0056413A"/>
    <w:rsid w:val="005647EB"/>
    <w:rsid w:val="005649EF"/>
    <w:rsid w:val="00565218"/>
    <w:rsid w:val="00566316"/>
    <w:rsid w:val="00566D95"/>
    <w:rsid w:val="005672CC"/>
    <w:rsid w:val="00567630"/>
    <w:rsid w:val="00567C1B"/>
    <w:rsid w:val="00570F50"/>
    <w:rsid w:val="005719F5"/>
    <w:rsid w:val="00571B8E"/>
    <w:rsid w:val="00571F58"/>
    <w:rsid w:val="00572009"/>
    <w:rsid w:val="0057211C"/>
    <w:rsid w:val="0057288D"/>
    <w:rsid w:val="00572AB7"/>
    <w:rsid w:val="00572C94"/>
    <w:rsid w:val="00572E14"/>
    <w:rsid w:val="00573E43"/>
    <w:rsid w:val="005744B2"/>
    <w:rsid w:val="00574BE6"/>
    <w:rsid w:val="00574F23"/>
    <w:rsid w:val="0057596A"/>
    <w:rsid w:val="00575CF0"/>
    <w:rsid w:val="00575D7C"/>
    <w:rsid w:val="0057613E"/>
    <w:rsid w:val="005765BD"/>
    <w:rsid w:val="00576856"/>
    <w:rsid w:val="0057691C"/>
    <w:rsid w:val="00576973"/>
    <w:rsid w:val="0057740A"/>
    <w:rsid w:val="00580263"/>
    <w:rsid w:val="0058047D"/>
    <w:rsid w:val="00581060"/>
    <w:rsid w:val="00581109"/>
    <w:rsid w:val="005818D1"/>
    <w:rsid w:val="00583A96"/>
    <w:rsid w:val="005851D5"/>
    <w:rsid w:val="005853CF"/>
    <w:rsid w:val="00585649"/>
    <w:rsid w:val="0058638E"/>
    <w:rsid w:val="00586560"/>
    <w:rsid w:val="005866C3"/>
    <w:rsid w:val="005869E6"/>
    <w:rsid w:val="005877D7"/>
    <w:rsid w:val="0059073C"/>
    <w:rsid w:val="00590C0F"/>
    <w:rsid w:val="00591099"/>
    <w:rsid w:val="005914F8"/>
    <w:rsid w:val="00591658"/>
    <w:rsid w:val="00591B63"/>
    <w:rsid w:val="005926FD"/>
    <w:rsid w:val="00592BDE"/>
    <w:rsid w:val="0059396D"/>
    <w:rsid w:val="00593ECC"/>
    <w:rsid w:val="005944CA"/>
    <w:rsid w:val="005944EB"/>
    <w:rsid w:val="00594AD5"/>
    <w:rsid w:val="00594F50"/>
    <w:rsid w:val="00595017"/>
    <w:rsid w:val="00595660"/>
    <w:rsid w:val="00595DA3"/>
    <w:rsid w:val="005960DB"/>
    <w:rsid w:val="0059652C"/>
    <w:rsid w:val="00596E31"/>
    <w:rsid w:val="005972E6"/>
    <w:rsid w:val="00597421"/>
    <w:rsid w:val="005979C8"/>
    <w:rsid w:val="005A00F0"/>
    <w:rsid w:val="005A0646"/>
    <w:rsid w:val="005A0D48"/>
    <w:rsid w:val="005A1A01"/>
    <w:rsid w:val="005A2766"/>
    <w:rsid w:val="005A3F2A"/>
    <w:rsid w:val="005A41BB"/>
    <w:rsid w:val="005A41E0"/>
    <w:rsid w:val="005A457A"/>
    <w:rsid w:val="005A4CEF"/>
    <w:rsid w:val="005A5955"/>
    <w:rsid w:val="005A5D1E"/>
    <w:rsid w:val="005A62CB"/>
    <w:rsid w:val="005A62E1"/>
    <w:rsid w:val="005A7636"/>
    <w:rsid w:val="005A7820"/>
    <w:rsid w:val="005A7E86"/>
    <w:rsid w:val="005B0067"/>
    <w:rsid w:val="005B0635"/>
    <w:rsid w:val="005B111B"/>
    <w:rsid w:val="005B16A9"/>
    <w:rsid w:val="005B19D4"/>
    <w:rsid w:val="005B2132"/>
    <w:rsid w:val="005B2554"/>
    <w:rsid w:val="005B2A61"/>
    <w:rsid w:val="005B39A0"/>
    <w:rsid w:val="005B40F8"/>
    <w:rsid w:val="005B494D"/>
    <w:rsid w:val="005B4D3F"/>
    <w:rsid w:val="005B51FC"/>
    <w:rsid w:val="005B53FA"/>
    <w:rsid w:val="005B568A"/>
    <w:rsid w:val="005B5DBC"/>
    <w:rsid w:val="005B6551"/>
    <w:rsid w:val="005B65EC"/>
    <w:rsid w:val="005B667C"/>
    <w:rsid w:val="005B6896"/>
    <w:rsid w:val="005B6AD2"/>
    <w:rsid w:val="005B6E22"/>
    <w:rsid w:val="005C02A4"/>
    <w:rsid w:val="005C0468"/>
    <w:rsid w:val="005C0C9B"/>
    <w:rsid w:val="005C1080"/>
    <w:rsid w:val="005C10BF"/>
    <w:rsid w:val="005C178D"/>
    <w:rsid w:val="005C181C"/>
    <w:rsid w:val="005C19E7"/>
    <w:rsid w:val="005C2649"/>
    <w:rsid w:val="005C30E4"/>
    <w:rsid w:val="005C318C"/>
    <w:rsid w:val="005C3FBE"/>
    <w:rsid w:val="005C4899"/>
    <w:rsid w:val="005C4F98"/>
    <w:rsid w:val="005C4FB2"/>
    <w:rsid w:val="005C5074"/>
    <w:rsid w:val="005C601D"/>
    <w:rsid w:val="005C69FF"/>
    <w:rsid w:val="005C6AB1"/>
    <w:rsid w:val="005C6BA4"/>
    <w:rsid w:val="005C6BB5"/>
    <w:rsid w:val="005C6E64"/>
    <w:rsid w:val="005C759D"/>
    <w:rsid w:val="005C76CB"/>
    <w:rsid w:val="005C77C1"/>
    <w:rsid w:val="005C7ABA"/>
    <w:rsid w:val="005D0E5C"/>
    <w:rsid w:val="005D15FD"/>
    <w:rsid w:val="005D2AAA"/>
    <w:rsid w:val="005D3412"/>
    <w:rsid w:val="005D42C7"/>
    <w:rsid w:val="005D45C6"/>
    <w:rsid w:val="005D4652"/>
    <w:rsid w:val="005D51C6"/>
    <w:rsid w:val="005D538D"/>
    <w:rsid w:val="005D5DDB"/>
    <w:rsid w:val="005D6BF3"/>
    <w:rsid w:val="005D7B8A"/>
    <w:rsid w:val="005D7BBC"/>
    <w:rsid w:val="005D7CD3"/>
    <w:rsid w:val="005D7FA6"/>
    <w:rsid w:val="005E03A7"/>
    <w:rsid w:val="005E0723"/>
    <w:rsid w:val="005E08EF"/>
    <w:rsid w:val="005E0D40"/>
    <w:rsid w:val="005E0FA5"/>
    <w:rsid w:val="005E1620"/>
    <w:rsid w:val="005E1796"/>
    <w:rsid w:val="005E1BD6"/>
    <w:rsid w:val="005E1C04"/>
    <w:rsid w:val="005E26A8"/>
    <w:rsid w:val="005E289D"/>
    <w:rsid w:val="005E2C2B"/>
    <w:rsid w:val="005E3581"/>
    <w:rsid w:val="005E39AF"/>
    <w:rsid w:val="005E3CC5"/>
    <w:rsid w:val="005E3F7C"/>
    <w:rsid w:val="005E404B"/>
    <w:rsid w:val="005E443F"/>
    <w:rsid w:val="005E4D96"/>
    <w:rsid w:val="005E528D"/>
    <w:rsid w:val="005E5506"/>
    <w:rsid w:val="005E5632"/>
    <w:rsid w:val="005E5849"/>
    <w:rsid w:val="005E6990"/>
    <w:rsid w:val="005E6AE5"/>
    <w:rsid w:val="005E6E95"/>
    <w:rsid w:val="005E7A22"/>
    <w:rsid w:val="005E7CE4"/>
    <w:rsid w:val="005E7EB9"/>
    <w:rsid w:val="005F00D0"/>
    <w:rsid w:val="005F03EF"/>
    <w:rsid w:val="005F0CEE"/>
    <w:rsid w:val="005F1404"/>
    <w:rsid w:val="005F1893"/>
    <w:rsid w:val="005F207F"/>
    <w:rsid w:val="005F31AA"/>
    <w:rsid w:val="005F3941"/>
    <w:rsid w:val="005F3DC6"/>
    <w:rsid w:val="005F4E0D"/>
    <w:rsid w:val="005F519B"/>
    <w:rsid w:val="005F59B9"/>
    <w:rsid w:val="005F5ADF"/>
    <w:rsid w:val="005F639B"/>
    <w:rsid w:val="005F679C"/>
    <w:rsid w:val="005F6BA0"/>
    <w:rsid w:val="005F6C0C"/>
    <w:rsid w:val="005F75FC"/>
    <w:rsid w:val="005F7779"/>
    <w:rsid w:val="00600DD5"/>
    <w:rsid w:val="00601741"/>
    <w:rsid w:val="006020B8"/>
    <w:rsid w:val="00602D77"/>
    <w:rsid w:val="006042BD"/>
    <w:rsid w:val="006048AF"/>
    <w:rsid w:val="00604B45"/>
    <w:rsid w:val="00604F88"/>
    <w:rsid w:val="00605641"/>
    <w:rsid w:val="00606416"/>
    <w:rsid w:val="006078D9"/>
    <w:rsid w:val="00611494"/>
    <w:rsid w:val="00613089"/>
    <w:rsid w:val="0061383C"/>
    <w:rsid w:val="00613925"/>
    <w:rsid w:val="00613CD6"/>
    <w:rsid w:val="006140C2"/>
    <w:rsid w:val="00614687"/>
    <w:rsid w:val="00614723"/>
    <w:rsid w:val="00614A42"/>
    <w:rsid w:val="0061504D"/>
    <w:rsid w:val="00615224"/>
    <w:rsid w:val="00615561"/>
    <w:rsid w:val="00615701"/>
    <w:rsid w:val="00615A10"/>
    <w:rsid w:val="00615BA1"/>
    <w:rsid w:val="0061631A"/>
    <w:rsid w:val="00616B88"/>
    <w:rsid w:val="00616E49"/>
    <w:rsid w:val="00617411"/>
    <w:rsid w:val="00617745"/>
    <w:rsid w:val="0061784B"/>
    <w:rsid w:val="00617989"/>
    <w:rsid w:val="00620475"/>
    <w:rsid w:val="00620C57"/>
    <w:rsid w:val="00620F17"/>
    <w:rsid w:val="0062104A"/>
    <w:rsid w:val="00621BE0"/>
    <w:rsid w:val="00622153"/>
    <w:rsid w:val="0062246C"/>
    <w:rsid w:val="00622C26"/>
    <w:rsid w:val="00623542"/>
    <w:rsid w:val="00623C6A"/>
    <w:rsid w:val="00623CB6"/>
    <w:rsid w:val="00623D65"/>
    <w:rsid w:val="00623E84"/>
    <w:rsid w:val="00623EC8"/>
    <w:rsid w:val="0062427D"/>
    <w:rsid w:val="006245F1"/>
    <w:rsid w:val="00624F8C"/>
    <w:rsid w:val="00626740"/>
    <w:rsid w:val="00627476"/>
    <w:rsid w:val="00627BE1"/>
    <w:rsid w:val="00627BEB"/>
    <w:rsid w:val="00630210"/>
    <w:rsid w:val="00630B46"/>
    <w:rsid w:val="00631068"/>
    <w:rsid w:val="006313A5"/>
    <w:rsid w:val="00631CA5"/>
    <w:rsid w:val="00632059"/>
    <w:rsid w:val="0063238A"/>
    <w:rsid w:val="0063338F"/>
    <w:rsid w:val="0063370C"/>
    <w:rsid w:val="006354E8"/>
    <w:rsid w:val="00635795"/>
    <w:rsid w:val="00635ACC"/>
    <w:rsid w:val="00636687"/>
    <w:rsid w:val="006366B7"/>
    <w:rsid w:val="00636DAB"/>
    <w:rsid w:val="00637F41"/>
    <w:rsid w:val="00640149"/>
    <w:rsid w:val="006401CA"/>
    <w:rsid w:val="0064057E"/>
    <w:rsid w:val="00640F04"/>
    <w:rsid w:val="006414F0"/>
    <w:rsid w:val="00642124"/>
    <w:rsid w:val="00642685"/>
    <w:rsid w:val="00643513"/>
    <w:rsid w:val="0064391F"/>
    <w:rsid w:val="00643B43"/>
    <w:rsid w:val="00644553"/>
    <w:rsid w:val="00644883"/>
    <w:rsid w:val="00644DED"/>
    <w:rsid w:val="006457D8"/>
    <w:rsid w:val="006459CE"/>
    <w:rsid w:val="00645AEE"/>
    <w:rsid w:val="00645E98"/>
    <w:rsid w:val="00646111"/>
    <w:rsid w:val="00646517"/>
    <w:rsid w:val="00647E51"/>
    <w:rsid w:val="00650669"/>
    <w:rsid w:val="00650BE7"/>
    <w:rsid w:val="0065124F"/>
    <w:rsid w:val="0065128A"/>
    <w:rsid w:val="00651A76"/>
    <w:rsid w:val="00653E50"/>
    <w:rsid w:val="00653F92"/>
    <w:rsid w:val="0065464C"/>
    <w:rsid w:val="006547EE"/>
    <w:rsid w:val="00654DFF"/>
    <w:rsid w:val="00654F90"/>
    <w:rsid w:val="006556B3"/>
    <w:rsid w:val="00655962"/>
    <w:rsid w:val="006560AA"/>
    <w:rsid w:val="006563E0"/>
    <w:rsid w:val="00656E79"/>
    <w:rsid w:val="00656F86"/>
    <w:rsid w:val="0065776F"/>
    <w:rsid w:val="00660AD3"/>
    <w:rsid w:val="00660BAB"/>
    <w:rsid w:val="00660FCA"/>
    <w:rsid w:val="00661DE4"/>
    <w:rsid w:val="00661EAD"/>
    <w:rsid w:val="006620A8"/>
    <w:rsid w:val="006635AD"/>
    <w:rsid w:val="006644C6"/>
    <w:rsid w:val="006657E5"/>
    <w:rsid w:val="00665925"/>
    <w:rsid w:val="00666A05"/>
    <w:rsid w:val="006703DC"/>
    <w:rsid w:val="00670477"/>
    <w:rsid w:val="00670575"/>
    <w:rsid w:val="006706B5"/>
    <w:rsid w:val="006709A1"/>
    <w:rsid w:val="00670C09"/>
    <w:rsid w:val="006715AE"/>
    <w:rsid w:val="0067182C"/>
    <w:rsid w:val="00671A31"/>
    <w:rsid w:val="00671EA1"/>
    <w:rsid w:val="00672185"/>
    <w:rsid w:val="00672708"/>
    <w:rsid w:val="00673025"/>
    <w:rsid w:val="00673CD7"/>
    <w:rsid w:val="00673F96"/>
    <w:rsid w:val="00674522"/>
    <w:rsid w:val="0067456F"/>
    <w:rsid w:val="00674638"/>
    <w:rsid w:val="00674706"/>
    <w:rsid w:val="00674BDB"/>
    <w:rsid w:val="00675650"/>
    <w:rsid w:val="00675CAC"/>
    <w:rsid w:val="00675EAD"/>
    <w:rsid w:val="00677977"/>
    <w:rsid w:val="00677A57"/>
    <w:rsid w:val="00677F9A"/>
    <w:rsid w:val="0068037C"/>
    <w:rsid w:val="00680624"/>
    <w:rsid w:val="006811D0"/>
    <w:rsid w:val="00681801"/>
    <w:rsid w:val="00681AE7"/>
    <w:rsid w:val="00681D71"/>
    <w:rsid w:val="00681F87"/>
    <w:rsid w:val="0068235B"/>
    <w:rsid w:val="006825DD"/>
    <w:rsid w:val="006828CC"/>
    <w:rsid w:val="00682AE2"/>
    <w:rsid w:val="00684B2C"/>
    <w:rsid w:val="00684D68"/>
    <w:rsid w:val="00684D85"/>
    <w:rsid w:val="00684E96"/>
    <w:rsid w:val="00684FA7"/>
    <w:rsid w:val="0068571B"/>
    <w:rsid w:val="0068584F"/>
    <w:rsid w:val="00685C83"/>
    <w:rsid w:val="00685CC6"/>
    <w:rsid w:val="00685E53"/>
    <w:rsid w:val="00686287"/>
    <w:rsid w:val="00687068"/>
    <w:rsid w:val="00687136"/>
    <w:rsid w:val="006878C4"/>
    <w:rsid w:val="00690692"/>
    <w:rsid w:val="00691072"/>
    <w:rsid w:val="006912FD"/>
    <w:rsid w:val="00691487"/>
    <w:rsid w:val="0069179B"/>
    <w:rsid w:val="006925BB"/>
    <w:rsid w:val="0069291B"/>
    <w:rsid w:val="00692FE3"/>
    <w:rsid w:val="0069319C"/>
    <w:rsid w:val="0069458B"/>
    <w:rsid w:val="00694EAB"/>
    <w:rsid w:val="006953F2"/>
    <w:rsid w:val="006957CB"/>
    <w:rsid w:val="00695818"/>
    <w:rsid w:val="00695856"/>
    <w:rsid w:val="00695B1C"/>
    <w:rsid w:val="00696FF8"/>
    <w:rsid w:val="006974A6"/>
    <w:rsid w:val="00697A57"/>
    <w:rsid w:val="00697BC7"/>
    <w:rsid w:val="006A0233"/>
    <w:rsid w:val="006A1241"/>
    <w:rsid w:val="006A156C"/>
    <w:rsid w:val="006A1996"/>
    <w:rsid w:val="006A19AD"/>
    <w:rsid w:val="006A2968"/>
    <w:rsid w:val="006A2EEB"/>
    <w:rsid w:val="006A3DCD"/>
    <w:rsid w:val="006A4478"/>
    <w:rsid w:val="006A4FC4"/>
    <w:rsid w:val="006A521D"/>
    <w:rsid w:val="006A5333"/>
    <w:rsid w:val="006A5818"/>
    <w:rsid w:val="006A5F55"/>
    <w:rsid w:val="006A5FD6"/>
    <w:rsid w:val="006A6555"/>
    <w:rsid w:val="006A6788"/>
    <w:rsid w:val="006A6E09"/>
    <w:rsid w:val="006A7229"/>
    <w:rsid w:val="006A7818"/>
    <w:rsid w:val="006A7925"/>
    <w:rsid w:val="006A7B8F"/>
    <w:rsid w:val="006A7F52"/>
    <w:rsid w:val="006B04C3"/>
    <w:rsid w:val="006B196E"/>
    <w:rsid w:val="006B1D6F"/>
    <w:rsid w:val="006B21F7"/>
    <w:rsid w:val="006B23A9"/>
    <w:rsid w:val="006B2588"/>
    <w:rsid w:val="006B26C4"/>
    <w:rsid w:val="006B27F4"/>
    <w:rsid w:val="006B28ED"/>
    <w:rsid w:val="006B2DC4"/>
    <w:rsid w:val="006B30FF"/>
    <w:rsid w:val="006B3B90"/>
    <w:rsid w:val="006B4BB5"/>
    <w:rsid w:val="006B509E"/>
    <w:rsid w:val="006B5BEE"/>
    <w:rsid w:val="006B5D8D"/>
    <w:rsid w:val="006B61F8"/>
    <w:rsid w:val="006B713E"/>
    <w:rsid w:val="006C0AC3"/>
    <w:rsid w:val="006C1418"/>
    <w:rsid w:val="006C1946"/>
    <w:rsid w:val="006C1C53"/>
    <w:rsid w:val="006C20D3"/>
    <w:rsid w:val="006C2271"/>
    <w:rsid w:val="006C234A"/>
    <w:rsid w:val="006C2437"/>
    <w:rsid w:val="006C268E"/>
    <w:rsid w:val="006C2BBC"/>
    <w:rsid w:val="006C3061"/>
    <w:rsid w:val="006C32CA"/>
    <w:rsid w:val="006C3E89"/>
    <w:rsid w:val="006C44C6"/>
    <w:rsid w:val="006C488A"/>
    <w:rsid w:val="006C4C64"/>
    <w:rsid w:val="006C5FE3"/>
    <w:rsid w:val="006C6162"/>
    <w:rsid w:val="006C61C2"/>
    <w:rsid w:val="006C7E69"/>
    <w:rsid w:val="006D02F1"/>
    <w:rsid w:val="006D12AF"/>
    <w:rsid w:val="006D22ED"/>
    <w:rsid w:val="006D22FD"/>
    <w:rsid w:val="006D28AF"/>
    <w:rsid w:val="006D2C9A"/>
    <w:rsid w:val="006D2F52"/>
    <w:rsid w:val="006D361B"/>
    <w:rsid w:val="006D4746"/>
    <w:rsid w:val="006D5060"/>
    <w:rsid w:val="006D5B10"/>
    <w:rsid w:val="006D5E37"/>
    <w:rsid w:val="006D64FC"/>
    <w:rsid w:val="006D6C28"/>
    <w:rsid w:val="006D7224"/>
    <w:rsid w:val="006D7BCC"/>
    <w:rsid w:val="006D7F3B"/>
    <w:rsid w:val="006D7FA4"/>
    <w:rsid w:val="006E047C"/>
    <w:rsid w:val="006E07FC"/>
    <w:rsid w:val="006E0838"/>
    <w:rsid w:val="006E0A66"/>
    <w:rsid w:val="006E0E70"/>
    <w:rsid w:val="006E0F7C"/>
    <w:rsid w:val="006E1FC6"/>
    <w:rsid w:val="006E2230"/>
    <w:rsid w:val="006E253F"/>
    <w:rsid w:val="006E26F7"/>
    <w:rsid w:val="006E2A89"/>
    <w:rsid w:val="006E39F2"/>
    <w:rsid w:val="006E3B42"/>
    <w:rsid w:val="006E44D7"/>
    <w:rsid w:val="006E51FD"/>
    <w:rsid w:val="006E5437"/>
    <w:rsid w:val="006E5477"/>
    <w:rsid w:val="006E563E"/>
    <w:rsid w:val="006E5A43"/>
    <w:rsid w:val="006E5AA6"/>
    <w:rsid w:val="006E6453"/>
    <w:rsid w:val="006E677A"/>
    <w:rsid w:val="006E6F79"/>
    <w:rsid w:val="006E7C08"/>
    <w:rsid w:val="006E7E1A"/>
    <w:rsid w:val="006F0729"/>
    <w:rsid w:val="006F0EBE"/>
    <w:rsid w:val="006F1178"/>
    <w:rsid w:val="006F1A85"/>
    <w:rsid w:val="006F207C"/>
    <w:rsid w:val="006F20BE"/>
    <w:rsid w:val="006F39FE"/>
    <w:rsid w:val="006F3DD6"/>
    <w:rsid w:val="006F4982"/>
    <w:rsid w:val="006F4C5B"/>
    <w:rsid w:val="006F59B6"/>
    <w:rsid w:val="006F59C8"/>
    <w:rsid w:val="006F5FC0"/>
    <w:rsid w:val="006F68D2"/>
    <w:rsid w:val="006F7100"/>
    <w:rsid w:val="006F753E"/>
    <w:rsid w:val="006F7984"/>
    <w:rsid w:val="007001F8"/>
    <w:rsid w:val="00700849"/>
    <w:rsid w:val="00701017"/>
    <w:rsid w:val="00701320"/>
    <w:rsid w:val="0070137B"/>
    <w:rsid w:val="00701838"/>
    <w:rsid w:val="00701A10"/>
    <w:rsid w:val="00701D5E"/>
    <w:rsid w:val="00702967"/>
    <w:rsid w:val="00704190"/>
    <w:rsid w:val="00704E6C"/>
    <w:rsid w:val="00705540"/>
    <w:rsid w:val="0070599D"/>
    <w:rsid w:val="00705AF7"/>
    <w:rsid w:val="00705B35"/>
    <w:rsid w:val="00706717"/>
    <w:rsid w:val="007068C4"/>
    <w:rsid w:val="00707051"/>
    <w:rsid w:val="00707CE6"/>
    <w:rsid w:val="00707DCD"/>
    <w:rsid w:val="00710042"/>
    <w:rsid w:val="007107A8"/>
    <w:rsid w:val="007109BF"/>
    <w:rsid w:val="00710A50"/>
    <w:rsid w:val="00711A2C"/>
    <w:rsid w:val="0071241C"/>
    <w:rsid w:val="00712D3F"/>
    <w:rsid w:val="00712F70"/>
    <w:rsid w:val="007139C7"/>
    <w:rsid w:val="007146FF"/>
    <w:rsid w:val="00714926"/>
    <w:rsid w:val="00714C69"/>
    <w:rsid w:val="00714DA6"/>
    <w:rsid w:val="00714F0C"/>
    <w:rsid w:val="00715330"/>
    <w:rsid w:val="00715379"/>
    <w:rsid w:val="0071579E"/>
    <w:rsid w:val="007163FD"/>
    <w:rsid w:val="00716D3B"/>
    <w:rsid w:val="007178A8"/>
    <w:rsid w:val="007209F9"/>
    <w:rsid w:val="00720A46"/>
    <w:rsid w:val="00720CAE"/>
    <w:rsid w:val="007213FA"/>
    <w:rsid w:val="00721472"/>
    <w:rsid w:val="00721A15"/>
    <w:rsid w:val="00721C71"/>
    <w:rsid w:val="00722410"/>
    <w:rsid w:val="00722863"/>
    <w:rsid w:val="00722B64"/>
    <w:rsid w:val="00722B82"/>
    <w:rsid w:val="00722FC1"/>
    <w:rsid w:val="00723593"/>
    <w:rsid w:val="0072360D"/>
    <w:rsid w:val="00724204"/>
    <w:rsid w:val="0072425C"/>
    <w:rsid w:val="0072457A"/>
    <w:rsid w:val="00724DF4"/>
    <w:rsid w:val="00724E1A"/>
    <w:rsid w:val="007251C7"/>
    <w:rsid w:val="00725499"/>
    <w:rsid w:val="00725701"/>
    <w:rsid w:val="00725A25"/>
    <w:rsid w:val="00726181"/>
    <w:rsid w:val="00726D64"/>
    <w:rsid w:val="007272DA"/>
    <w:rsid w:val="00727471"/>
    <w:rsid w:val="00727CED"/>
    <w:rsid w:val="00727FD6"/>
    <w:rsid w:val="00730280"/>
    <w:rsid w:val="00730369"/>
    <w:rsid w:val="00730432"/>
    <w:rsid w:val="00730607"/>
    <w:rsid w:val="007308AA"/>
    <w:rsid w:val="00730CC6"/>
    <w:rsid w:val="007310DD"/>
    <w:rsid w:val="00731BA5"/>
    <w:rsid w:val="007328F8"/>
    <w:rsid w:val="00733036"/>
    <w:rsid w:val="00733A63"/>
    <w:rsid w:val="00733B57"/>
    <w:rsid w:val="00734171"/>
    <w:rsid w:val="0073470A"/>
    <w:rsid w:val="00734C21"/>
    <w:rsid w:val="00734E34"/>
    <w:rsid w:val="0073539A"/>
    <w:rsid w:val="00735895"/>
    <w:rsid w:val="00736717"/>
    <w:rsid w:val="00737482"/>
    <w:rsid w:val="00737DE2"/>
    <w:rsid w:val="00737FBB"/>
    <w:rsid w:val="00740588"/>
    <w:rsid w:val="00740992"/>
    <w:rsid w:val="00740E62"/>
    <w:rsid w:val="0074120A"/>
    <w:rsid w:val="007416A2"/>
    <w:rsid w:val="007417C9"/>
    <w:rsid w:val="0074270B"/>
    <w:rsid w:val="00742788"/>
    <w:rsid w:val="007427FC"/>
    <w:rsid w:val="007430EB"/>
    <w:rsid w:val="007437D3"/>
    <w:rsid w:val="00743F5D"/>
    <w:rsid w:val="00744742"/>
    <w:rsid w:val="00744FA3"/>
    <w:rsid w:val="00744FC0"/>
    <w:rsid w:val="0074548C"/>
    <w:rsid w:val="007455D1"/>
    <w:rsid w:val="00745625"/>
    <w:rsid w:val="0074575B"/>
    <w:rsid w:val="00745790"/>
    <w:rsid w:val="00746462"/>
    <w:rsid w:val="007464C1"/>
    <w:rsid w:val="00747106"/>
    <w:rsid w:val="0074712D"/>
    <w:rsid w:val="00747407"/>
    <w:rsid w:val="0074781C"/>
    <w:rsid w:val="00747F1B"/>
    <w:rsid w:val="00747FD2"/>
    <w:rsid w:val="007508B7"/>
    <w:rsid w:val="00752735"/>
    <w:rsid w:val="00752A73"/>
    <w:rsid w:val="00752C3B"/>
    <w:rsid w:val="007534A5"/>
    <w:rsid w:val="00753594"/>
    <w:rsid w:val="007547AD"/>
    <w:rsid w:val="00754B61"/>
    <w:rsid w:val="00754B94"/>
    <w:rsid w:val="00754E8A"/>
    <w:rsid w:val="0075508B"/>
    <w:rsid w:val="0075590C"/>
    <w:rsid w:val="00755DB0"/>
    <w:rsid w:val="007565D6"/>
    <w:rsid w:val="0075669E"/>
    <w:rsid w:val="00756AE1"/>
    <w:rsid w:val="00756EF4"/>
    <w:rsid w:val="007573F1"/>
    <w:rsid w:val="0075741B"/>
    <w:rsid w:val="00757879"/>
    <w:rsid w:val="00757FC7"/>
    <w:rsid w:val="0076002F"/>
    <w:rsid w:val="0076067D"/>
    <w:rsid w:val="0076091D"/>
    <w:rsid w:val="0076094D"/>
    <w:rsid w:val="00761518"/>
    <w:rsid w:val="007615D4"/>
    <w:rsid w:val="00761C47"/>
    <w:rsid w:val="0076298C"/>
    <w:rsid w:val="007634B1"/>
    <w:rsid w:val="00763774"/>
    <w:rsid w:val="0076398B"/>
    <w:rsid w:val="00763F35"/>
    <w:rsid w:val="00765372"/>
    <w:rsid w:val="00765C16"/>
    <w:rsid w:val="007663FB"/>
    <w:rsid w:val="0076722A"/>
    <w:rsid w:val="0076739D"/>
    <w:rsid w:val="00767A2E"/>
    <w:rsid w:val="007707BC"/>
    <w:rsid w:val="00770892"/>
    <w:rsid w:val="00770916"/>
    <w:rsid w:val="00770BD0"/>
    <w:rsid w:val="00771FC9"/>
    <w:rsid w:val="0077211B"/>
    <w:rsid w:val="00772873"/>
    <w:rsid w:val="00772F0A"/>
    <w:rsid w:val="00773D41"/>
    <w:rsid w:val="00774737"/>
    <w:rsid w:val="007758A3"/>
    <w:rsid w:val="00777006"/>
    <w:rsid w:val="00777852"/>
    <w:rsid w:val="0077792E"/>
    <w:rsid w:val="0078018E"/>
    <w:rsid w:val="00780AB2"/>
    <w:rsid w:val="00780D4D"/>
    <w:rsid w:val="00780D62"/>
    <w:rsid w:val="00781814"/>
    <w:rsid w:val="00781C68"/>
    <w:rsid w:val="00782269"/>
    <w:rsid w:val="0078269D"/>
    <w:rsid w:val="0078294F"/>
    <w:rsid w:val="00782950"/>
    <w:rsid w:val="00783387"/>
    <w:rsid w:val="007833E1"/>
    <w:rsid w:val="00783A98"/>
    <w:rsid w:val="00783E5A"/>
    <w:rsid w:val="00783FA6"/>
    <w:rsid w:val="00784459"/>
    <w:rsid w:val="00784938"/>
    <w:rsid w:val="00784BEF"/>
    <w:rsid w:val="007850D5"/>
    <w:rsid w:val="00785923"/>
    <w:rsid w:val="00785926"/>
    <w:rsid w:val="00787098"/>
    <w:rsid w:val="00787878"/>
    <w:rsid w:val="00787FF5"/>
    <w:rsid w:val="0079036E"/>
    <w:rsid w:val="007918E3"/>
    <w:rsid w:val="0079269F"/>
    <w:rsid w:val="00792773"/>
    <w:rsid w:val="00793642"/>
    <w:rsid w:val="00793F02"/>
    <w:rsid w:val="00793FD3"/>
    <w:rsid w:val="00794073"/>
    <w:rsid w:val="007941B0"/>
    <w:rsid w:val="00794BDE"/>
    <w:rsid w:val="00795686"/>
    <w:rsid w:val="00795B1C"/>
    <w:rsid w:val="00795CA7"/>
    <w:rsid w:val="00796195"/>
    <w:rsid w:val="007962C0"/>
    <w:rsid w:val="007A0719"/>
    <w:rsid w:val="007A0903"/>
    <w:rsid w:val="007A093C"/>
    <w:rsid w:val="007A093F"/>
    <w:rsid w:val="007A0B56"/>
    <w:rsid w:val="007A0CE2"/>
    <w:rsid w:val="007A14C1"/>
    <w:rsid w:val="007A16B5"/>
    <w:rsid w:val="007A1F31"/>
    <w:rsid w:val="007A28B5"/>
    <w:rsid w:val="007A2E63"/>
    <w:rsid w:val="007A2F2E"/>
    <w:rsid w:val="007A35BA"/>
    <w:rsid w:val="007A3846"/>
    <w:rsid w:val="007A3864"/>
    <w:rsid w:val="007A3FAB"/>
    <w:rsid w:val="007A4642"/>
    <w:rsid w:val="007A4B76"/>
    <w:rsid w:val="007A4D28"/>
    <w:rsid w:val="007A5142"/>
    <w:rsid w:val="007A553E"/>
    <w:rsid w:val="007A55FF"/>
    <w:rsid w:val="007A565A"/>
    <w:rsid w:val="007A5B61"/>
    <w:rsid w:val="007A5D96"/>
    <w:rsid w:val="007A614F"/>
    <w:rsid w:val="007A6999"/>
    <w:rsid w:val="007A6A7A"/>
    <w:rsid w:val="007A6B3F"/>
    <w:rsid w:val="007A6F48"/>
    <w:rsid w:val="007A70DB"/>
    <w:rsid w:val="007A7806"/>
    <w:rsid w:val="007A7C77"/>
    <w:rsid w:val="007A7DF1"/>
    <w:rsid w:val="007A7F43"/>
    <w:rsid w:val="007A7FB5"/>
    <w:rsid w:val="007B0CBD"/>
    <w:rsid w:val="007B0CFB"/>
    <w:rsid w:val="007B12D8"/>
    <w:rsid w:val="007B2242"/>
    <w:rsid w:val="007B2410"/>
    <w:rsid w:val="007B3D10"/>
    <w:rsid w:val="007B3DAE"/>
    <w:rsid w:val="007B3F80"/>
    <w:rsid w:val="007B4189"/>
    <w:rsid w:val="007B45A0"/>
    <w:rsid w:val="007B4CF0"/>
    <w:rsid w:val="007B4FC0"/>
    <w:rsid w:val="007B50BF"/>
    <w:rsid w:val="007B5360"/>
    <w:rsid w:val="007B5674"/>
    <w:rsid w:val="007B59B4"/>
    <w:rsid w:val="007B604E"/>
    <w:rsid w:val="007B674F"/>
    <w:rsid w:val="007B6816"/>
    <w:rsid w:val="007B6AD3"/>
    <w:rsid w:val="007C042B"/>
    <w:rsid w:val="007C09F5"/>
    <w:rsid w:val="007C10FF"/>
    <w:rsid w:val="007C1187"/>
    <w:rsid w:val="007C18F4"/>
    <w:rsid w:val="007C26E3"/>
    <w:rsid w:val="007C312D"/>
    <w:rsid w:val="007C33B9"/>
    <w:rsid w:val="007C349D"/>
    <w:rsid w:val="007C379F"/>
    <w:rsid w:val="007C3EE2"/>
    <w:rsid w:val="007C563E"/>
    <w:rsid w:val="007C5D31"/>
    <w:rsid w:val="007C62D5"/>
    <w:rsid w:val="007C68B1"/>
    <w:rsid w:val="007C6F6A"/>
    <w:rsid w:val="007C7211"/>
    <w:rsid w:val="007C76F9"/>
    <w:rsid w:val="007C793E"/>
    <w:rsid w:val="007C79EB"/>
    <w:rsid w:val="007C7AB0"/>
    <w:rsid w:val="007C7C9E"/>
    <w:rsid w:val="007C7CD3"/>
    <w:rsid w:val="007C7D3C"/>
    <w:rsid w:val="007D136C"/>
    <w:rsid w:val="007D1F8C"/>
    <w:rsid w:val="007D31E7"/>
    <w:rsid w:val="007D3DCA"/>
    <w:rsid w:val="007D4463"/>
    <w:rsid w:val="007D4862"/>
    <w:rsid w:val="007D4EF6"/>
    <w:rsid w:val="007D52C3"/>
    <w:rsid w:val="007D58CF"/>
    <w:rsid w:val="007D5B09"/>
    <w:rsid w:val="007D6F53"/>
    <w:rsid w:val="007D7CBC"/>
    <w:rsid w:val="007D7EEF"/>
    <w:rsid w:val="007E025B"/>
    <w:rsid w:val="007E03ED"/>
    <w:rsid w:val="007E05B1"/>
    <w:rsid w:val="007E0CBA"/>
    <w:rsid w:val="007E0D15"/>
    <w:rsid w:val="007E0E52"/>
    <w:rsid w:val="007E10EA"/>
    <w:rsid w:val="007E1340"/>
    <w:rsid w:val="007E175B"/>
    <w:rsid w:val="007E1CC8"/>
    <w:rsid w:val="007E2087"/>
    <w:rsid w:val="007E2226"/>
    <w:rsid w:val="007E225F"/>
    <w:rsid w:val="007E2346"/>
    <w:rsid w:val="007E237B"/>
    <w:rsid w:val="007E29D0"/>
    <w:rsid w:val="007E2E00"/>
    <w:rsid w:val="007E3341"/>
    <w:rsid w:val="007E366F"/>
    <w:rsid w:val="007E3DD2"/>
    <w:rsid w:val="007E3F72"/>
    <w:rsid w:val="007E45B6"/>
    <w:rsid w:val="007E46E4"/>
    <w:rsid w:val="007E49FB"/>
    <w:rsid w:val="007E4F96"/>
    <w:rsid w:val="007E5B45"/>
    <w:rsid w:val="007E5F78"/>
    <w:rsid w:val="007E612B"/>
    <w:rsid w:val="007E6500"/>
    <w:rsid w:val="007E7080"/>
    <w:rsid w:val="007E74E4"/>
    <w:rsid w:val="007E7558"/>
    <w:rsid w:val="007E7CCF"/>
    <w:rsid w:val="007F0016"/>
    <w:rsid w:val="007F00F1"/>
    <w:rsid w:val="007F05E0"/>
    <w:rsid w:val="007F0B74"/>
    <w:rsid w:val="007F0D17"/>
    <w:rsid w:val="007F118E"/>
    <w:rsid w:val="007F1764"/>
    <w:rsid w:val="007F282C"/>
    <w:rsid w:val="007F3FAA"/>
    <w:rsid w:val="007F48D2"/>
    <w:rsid w:val="007F5275"/>
    <w:rsid w:val="007F6102"/>
    <w:rsid w:val="007F6BF3"/>
    <w:rsid w:val="007F75CD"/>
    <w:rsid w:val="00800266"/>
    <w:rsid w:val="008003F2"/>
    <w:rsid w:val="00800675"/>
    <w:rsid w:val="00800F5A"/>
    <w:rsid w:val="00800FCD"/>
    <w:rsid w:val="0080141A"/>
    <w:rsid w:val="008015B0"/>
    <w:rsid w:val="008019D2"/>
    <w:rsid w:val="0080259E"/>
    <w:rsid w:val="00802712"/>
    <w:rsid w:val="008028A6"/>
    <w:rsid w:val="008029CE"/>
    <w:rsid w:val="008030BA"/>
    <w:rsid w:val="008034FD"/>
    <w:rsid w:val="0080485A"/>
    <w:rsid w:val="008049A1"/>
    <w:rsid w:val="008049BB"/>
    <w:rsid w:val="008049F8"/>
    <w:rsid w:val="00804F53"/>
    <w:rsid w:val="00804FF3"/>
    <w:rsid w:val="00805485"/>
    <w:rsid w:val="00805AF1"/>
    <w:rsid w:val="00806456"/>
    <w:rsid w:val="00806A07"/>
    <w:rsid w:val="00807062"/>
    <w:rsid w:val="008074A7"/>
    <w:rsid w:val="008076CB"/>
    <w:rsid w:val="008078DD"/>
    <w:rsid w:val="0080790D"/>
    <w:rsid w:val="00807DCB"/>
    <w:rsid w:val="00810520"/>
    <w:rsid w:val="008109B4"/>
    <w:rsid w:val="00811DED"/>
    <w:rsid w:val="0081205A"/>
    <w:rsid w:val="008120B4"/>
    <w:rsid w:val="008121F4"/>
    <w:rsid w:val="008123F6"/>
    <w:rsid w:val="0081283E"/>
    <w:rsid w:val="00813592"/>
    <w:rsid w:val="0081362E"/>
    <w:rsid w:val="008137DC"/>
    <w:rsid w:val="008138AF"/>
    <w:rsid w:val="0081443D"/>
    <w:rsid w:val="0081466F"/>
    <w:rsid w:val="00814B9E"/>
    <w:rsid w:val="008151A2"/>
    <w:rsid w:val="00815D28"/>
    <w:rsid w:val="00815FAD"/>
    <w:rsid w:val="00816697"/>
    <w:rsid w:val="0081699A"/>
    <w:rsid w:val="00820AD7"/>
    <w:rsid w:val="00820C29"/>
    <w:rsid w:val="00821069"/>
    <w:rsid w:val="00822160"/>
    <w:rsid w:val="00822B26"/>
    <w:rsid w:val="00822D2F"/>
    <w:rsid w:val="00822DB6"/>
    <w:rsid w:val="00823093"/>
    <w:rsid w:val="00823379"/>
    <w:rsid w:val="00823539"/>
    <w:rsid w:val="008238D8"/>
    <w:rsid w:val="008238FF"/>
    <w:rsid w:val="00823ECE"/>
    <w:rsid w:val="00823F45"/>
    <w:rsid w:val="00824C77"/>
    <w:rsid w:val="0082627F"/>
    <w:rsid w:val="00826B25"/>
    <w:rsid w:val="008276CA"/>
    <w:rsid w:val="0083001E"/>
    <w:rsid w:val="00830332"/>
    <w:rsid w:val="008305AA"/>
    <w:rsid w:val="008308DE"/>
    <w:rsid w:val="00830AF0"/>
    <w:rsid w:val="008314D6"/>
    <w:rsid w:val="00831562"/>
    <w:rsid w:val="00831913"/>
    <w:rsid w:val="00831B2E"/>
    <w:rsid w:val="00831C2D"/>
    <w:rsid w:val="0083279C"/>
    <w:rsid w:val="00833976"/>
    <w:rsid w:val="00834E46"/>
    <w:rsid w:val="008354D8"/>
    <w:rsid w:val="00835662"/>
    <w:rsid w:val="00835D76"/>
    <w:rsid w:val="008366F6"/>
    <w:rsid w:val="0083714F"/>
    <w:rsid w:val="00837315"/>
    <w:rsid w:val="00837987"/>
    <w:rsid w:val="00837F96"/>
    <w:rsid w:val="0084037D"/>
    <w:rsid w:val="008407A3"/>
    <w:rsid w:val="008415B0"/>
    <w:rsid w:val="00841CE3"/>
    <w:rsid w:val="00841D73"/>
    <w:rsid w:val="00842454"/>
    <w:rsid w:val="00842F5A"/>
    <w:rsid w:val="008433C9"/>
    <w:rsid w:val="00843935"/>
    <w:rsid w:val="0084421A"/>
    <w:rsid w:val="008447B5"/>
    <w:rsid w:val="008450D9"/>
    <w:rsid w:val="0084560A"/>
    <w:rsid w:val="00845658"/>
    <w:rsid w:val="00845700"/>
    <w:rsid w:val="00845779"/>
    <w:rsid w:val="00845C29"/>
    <w:rsid w:val="00846412"/>
    <w:rsid w:val="0084672F"/>
    <w:rsid w:val="00846A60"/>
    <w:rsid w:val="00846F34"/>
    <w:rsid w:val="008470B7"/>
    <w:rsid w:val="00847404"/>
    <w:rsid w:val="0084755E"/>
    <w:rsid w:val="00847675"/>
    <w:rsid w:val="008476ED"/>
    <w:rsid w:val="00847A6B"/>
    <w:rsid w:val="00847C16"/>
    <w:rsid w:val="00850498"/>
    <w:rsid w:val="00850884"/>
    <w:rsid w:val="00850FFE"/>
    <w:rsid w:val="00851157"/>
    <w:rsid w:val="0085139D"/>
    <w:rsid w:val="008514ED"/>
    <w:rsid w:val="00851529"/>
    <w:rsid w:val="00851821"/>
    <w:rsid w:val="00851825"/>
    <w:rsid w:val="00851904"/>
    <w:rsid w:val="008519D1"/>
    <w:rsid w:val="00851AAB"/>
    <w:rsid w:val="00852259"/>
    <w:rsid w:val="008526E8"/>
    <w:rsid w:val="00852820"/>
    <w:rsid w:val="00852905"/>
    <w:rsid w:val="00852BDE"/>
    <w:rsid w:val="00852E78"/>
    <w:rsid w:val="008542A9"/>
    <w:rsid w:val="00854409"/>
    <w:rsid w:val="008546B7"/>
    <w:rsid w:val="008546C5"/>
    <w:rsid w:val="00854A23"/>
    <w:rsid w:val="00854CE1"/>
    <w:rsid w:val="00854F2E"/>
    <w:rsid w:val="00855F89"/>
    <w:rsid w:val="0085742C"/>
    <w:rsid w:val="00857A36"/>
    <w:rsid w:val="00857AA9"/>
    <w:rsid w:val="00857C13"/>
    <w:rsid w:val="00857E5F"/>
    <w:rsid w:val="00860153"/>
    <w:rsid w:val="00860325"/>
    <w:rsid w:val="0086345A"/>
    <w:rsid w:val="0086383B"/>
    <w:rsid w:val="00863DF1"/>
    <w:rsid w:val="008640FB"/>
    <w:rsid w:val="0086415C"/>
    <w:rsid w:val="00864C0D"/>
    <w:rsid w:val="00865A7C"/>
    <w:rsid w:val="008660A2"/>
    <w:rsid w:val="00866432"/>
    <w:rsid w:val="00866C70"/>
    <w:rsid w:val="00867350"/>
    <w:rsid w:val="0086754D"/>
    <w:rsid w:val="00867EF5"/>
    <w:rsid w:val="00870374"/>
    <w:rsid w:val="00870785"/>
    <w:rsid w:val="00871216"/>
    <w:rsid w:val="00871459"/>
    <w:rsid w:val="00871800"/>
    <w:rsid w:val="008719E7"/>
    <w:rsid w:val="00871A3C"/>
    <w:rsid w:val="0087300A"/>
    <w:rsid w:val="008732EA"/>
    <w:rsid w:val="0087387A"/>
    <w:rsid w:val="00873C67"/>
    <w:rsid w:val="00873DAC"/>
    <w:rsid w:val="00873DB8"/>
    <w:rsid w:val="00874427"/>
    <w:rsid w:val="00874DF4"/>
    <w:rsid w:val="00875375"/>
    <w:rsid w:val="008753C3"/>
    <w:rsid w:val="008754E1"/>
    <w:rsid w:val="00875A07"/>
    <w:rsid w:val="008764DC"/>
    <w:rsid w:val="00876521"/>
    <w:rsid w:val="00876AF1"/>
    <w:rsid w:val="00876EF4"/>
    <w:rsid w:val="00877306"/>
    <w:rsid w:val="0088081F"/>
    <w:rsid w:val="00880D5F"/>
    <w:rsid w:val="00881B33"/>
    <w:rsid w:val="008820D2"/>
    <w:rsid w:val="0088249B"/>
    <w:rsid w:val="00882654"/>
    <w:rsid w:val="00883762"/>
    <w:rsid w:val="00883E51"/>
    <w:rsid w:val="0088400C"/>
    <w:rsid w:val="00884B03"/>
    <w:rsid w:val="00884CF9"/>
    <w:rsid w:val="00885456"/>
    <w:rsid w:val="00885989"/>
    <w:rsid w:val="00886B44"/>
    <w:rsid w:val="008873A3"/>
    <w:rsid w:val="00887FD9"/>
    <w:rsid w:val="00890000"/>
    <w:rsid w:val="0089015C"/>
    <w:rsid w:val="0089091C"/>
    <w:rsid w:val="00891540"/>
    <w:rsid w:val="0089165A"/>
    <w:rsid w:val="00891A5F"/>
    <w:rsid w:val="00891B34"/>
    <w:rsid w:val="0089258D"/>
    <w:rsid w:val="00893917"/>
    <w:rsid w:val="008940D1"/>
    <w:rsid w:val="00894299"/>
    <w:rsid w:val="00894C5F"/>
    <w:rsid w:val="008952C6"/>
    <w:rsid w:val="008960B4"/>
    <w:rsid w:val="00896804"/>
    <w:rsid w:val="00897970"/>
    <w:rsid w:val="00897F81"/>
    <w:rsid w:val="008A0396"/>
    <w:rsid w:val="008A059F"/>
    <w:rsid w:val="008A0AB5"/>
    <w:rsid w:val="008A0F08"/>
    <w:rsid w:val="008A182B"/>
    <w:rsid w:val="008A1B98"/>
    <w:rsid w:val="008A1D03"/>
    <w:rsid w:val="008A1D75"/>
    <w:rsid w:val="008A2229"/>
    <w:rsid w:val="008A2400"/>
    <w:rsid w:val="008A2532"/>
    <w:rsid w:val="008A256A"/>
    <w:rsid w:val="008A2F77"/>
    <w:rsid w:val="008A3931"/>
    <w:rsid w:val="008A3D7E"/>
    <w:rsid w:val="008A426A"/>
    <w:rsid w:val="008A4422"/>
    <w:rsid w:val="008A4A53"/>
    <w:rsid w:val="008A4A92"/>
    <w:rsid w:val="008A4E1B"/>
    <w:rsid w:val="008A50F9"/>
    <w:rsid w:val="008A528A"/>
    <w:rsid w:val="008A5677"/>
    <w:rsid w:val="008A5BA9"/>
    <w:rsid w:val="008A6573"/>
    <w:rsid w:val="008A78A3"/>
    <w:rsid w:val="008A7928"/>
    <w:rsid w:val="008A7DBB"/>
    <w:rsid w:val="008B17BB"/>
    <w:rsid w:val="008B1DE2"/>
    <w:rsid w:val="008B1EDC"/>
    <w:rsid w:val="008B21AF"/>
    <w:rsid w:val="008B22E3"/>
    <w:rsid w:val="008B24B7"/>
    <w:rsid w:val="008B28C9"/>
    <w:rsid w:val="008B2B76"/>
    <w:rsid w:val="008B2D1F"/>
    <w:rsid w:val="008B34D1"/>
    <w:rsid w:val="008B4552"/>
    <w:rsid w:val="008B4C3B"/>
    <w:rsid w:val="008B515D"/>
    <w:rsid w:val="008B560B"/>
    <w:rsid w:val="008B5777"/>
    <w:rsid w:val="008B5F63"/>
    <w:rsid w:val="008B5FB2"/>
    <w:rsid w:val="008B61D3"/>
    <w:rsid w:val="008B6EA7"/>
    <w:rsid w:val="008B717A"/>
    <w:rsid w:val="008B7B60"/>
    <w:rsid w:val="008C071E"/>
    <w:rsid w:val="008C0A78"/>
    <w:rsid w:val="008C0B38"/>
    <w:rsid w:val="008C0D24"/>
    <w:rsid w:val="008C0DCD"/>
    <w:rsid w:val="008C1482"/>
    <w:rsid w:val="008C1678"/>
    <w:rsid w:val="008C181D"/>
    <w:rsid w:val="008C2122"/>
    <w:rsid w:val="008C26D4"/>
    <w:rsid w:val="008C2CC1"/>
    <w:rsid w:val="008C2ECD"/>
    <w:rsid w:val="008C3052"/>
    <w:rsid w:val="008C4A7F"/>
    <w:rsid w:val="008C4D2D"/>
    <w:rsid w:val="008C4F0F"/>
    <w:rsid w:val="008C52B4"/>
    <w:rsid w:val="008C58A9"/>
    <w:rsid w:val="008C5A01"/>
    <w:rsid w:val="008C62CE"/>
    <w:rsid w:val="008C6333"/>
    <w:rsid w:val="008C6A95"/>
    <w:rsid w:val="008C7740"/>
    <w:rsid w:val="008C7BA4"/>
    <w:rsid w:val="008D021C"/>
    <w:rsid w:val="008D0A7D"/>
    <w:rsid w:val="008D0CA7"/>
    <w:rsid w:val="008D0ECC"/>
    <w:rsid w:val="008D1663"/>
    <w:rsid w:val="008D19D5"/>
    <w:rsid w:val="008D1A7E"/>
    <w:rsid w:val="008D1A85"/>
    <w:rsid w:val="008D1E2F"/>
    <w:rsid w:val="008D22F4"/>
    <w:rsid w:val="008D2D3E"/>
    <w:rsid w:val="008D3998"/>
    <w:rsid w:val="008D4208"/>
    <w:rsid w:val="008D4A3E"/>
    <w:rsid w:val="008D5671"/>
    <w:rsid w:val="008D598B"/>
    <w:rsid w:val="008D59FA"/>
    <w:rsid w:val="008D68E3"/>
    <w:rsid w:val="008D6D14"/>
    <w:rsid w:val="008D7577"/>
    <w:rsid w:val="008D7725"/>
    <w:rsid w:val="008D7BCB"/>
    <w:rsid w:val="008E04A7"/>
    <w:rsid w:val="008E0ADB"/>
    <w:rsid w:val="008E302A"/>
    <w:rsid w:val="008E3160"/>
    <w:rsid w:val="008E3C27"/>
    <w:rsid w:val="008E3FC8"/>
    <w:rsid w:val="008E4254"/>
    <w:rsid w:val="008E45EA"/>
    <w:rsid w:val="008E57CF"/>
    <w:rsid w:val="008E5AAC"/>
    <w:rsid w:val="008E5C40"/>
    <w:rsid w:val="008E5E22"/>
    <w:rsid w:val="008E5E63"/>
    <w:rsid w:val="008E673E"/>
    <w:rsid w:val="008E69D7"/>
    <w:rsid w:val="008E6B3D"/>
    <w:rsid w:val="008E6CE8"/>
    <w:rsid w:val="008E72A6"/>
    <w:rsid w:val="008E7891"/>
    <w:rsid w:val="008E7B76"/>
    <w:rsid w:val="008F05F8"/>
    <w:rsid w:val="008F0684"/>
    <w:rsid w:val="008F0708"/>
    <w:rsid w:val="008F08C9"/>
    <w:rsid w:val="008F0BE2"/>
    <w:rsid w:val="008F0FE1"/>
    <w:rsid w:val="008F1189"/>
    <w:rsid w:val="008F18C5"/>
    <w:rsid w:val="008F1D50"/>
    <w:rsid w:val="008F22A6"/>
    <w:rsid w:val="008F2B72"/>
    <w:rsid w:val="008F2D21"/>
    <w:rsid w:val="008F3F50"/>
    <w:rsid w:val="008F4BAA"/>
    <w:rsid w:val="008F4E03"/>
    <w:rsid w:val="008F5383"/>
    <w:rsid w:val="008F5507"/>
    <w:rsid w:val="008F5593"/>
    <w:rsid w:val="008F56D1"/>
    <w:rsid w:val="008F5737"/>
    <w:rsid w:val="008F6012"/>
    <w:rsid w:val="008F636F"/>
    <w:rsid w:val="008F6939"/>
    <w:rsid w:val="008F6973"/>
    <w:rsid w:val="008F69C9"/>
    <w:rsid w:val="008F71C4"/>
    <w:rsid w:val="008F750F"/>
    <w:rsid w:val="008F789A"/>
    <w:rsid w:val="008F78EB"/>
    <w:rsid w:val="008F7968"/>
    <w:rsid w:val="008F7BF4"/>
    <w:rsid w:val="008F7FA2"/>
    <w:rsid w:val="00900DC2"/>
    <w:rsid w:val="00900E8E"/>
    <w:rsid w:val="00901242"/>
    <w:rsid w:val="009016B9"/>
    <w:rsid w:val="0090237A"/>
    <w:rsid w:val="0090274B"/>
    <w:rsid w:val="00903422"/>
    <w:rsid w:val="00903682"/>
    <w:rsid w:val="009036BE"/>
    <w:rsid w:val="00903E30"/>
    <w:rsid w:val="00904D48"/>
    <w:rsid w:val="009052A0"/>
    <w:rsid w:val="0090553B"/>
    <w:rsid w:val="00905D05"/>
    <w:rsid w:val="009062B2"/>
    <w:rsid w:val="009063D5"/>
    <w:rsid w:val="00906983"/>
    <w:rsid w:val="00906CF3"/>
    <w:rsid w:val="009102EF"/>
    <w:rsid w:val="0091048D"/>
    <w:rsid w:val="0091091D"/>
    <w:rsid w:val="00910B09"/>
    <w:rsid w:val="00911002"/>
    <w:rsid w:val="0091114A"/>
    <w:rsid w:val="009118CE"/>
    <w:rsid w:val="00911E1C"/>
    <w:rsid w:val="009122B3"/>
    <w:rsid w:val="009127E0"/>
    <w:rsid w:val="009138A0"/>
    <w:rsid w:val="00913A82"/>
    <w:rsid w:val="00913B5F"/>
    <w:rsid w:val="00913BAE"/>
    <w:rsid w:val="00914EB1"/>
    <w:rsid w:val="009157A7"/>
    <w:rsid w:val="00915F20"/>
    <w:rsid w:val="009166C3"/>
    <w:rsid w:val="00916805"/>
    <w:rsid w:val="00916DF8"/>
    <w:rsid w:val="009207BC"/>
    <w:rsid w:val="00920997"/>
    <w:rsid w:val="00920BA4"/>
    <w:rsid w:val="00920D4E"/>
    <w:rsid w:val="0092109E"/>
    <w:rsid w:val="0092122A"/>
    <w:rsid w:val="009218CC"/>
    <w:rsid w:val="00921E07"/>
    <w:rsid w:val="00922D08"/>
    <w:rsid w:val="00922E53"/>
    <w:rsid w:val="0092316F"/>
    <w:rsid w:val="0092394E"/>
    <w:rsid w:val="00923A2A"/>
    <w:rsid w:val="00923C5C"/>
    <w:rsid w:val="00924BF6"/>
    <w:rsid w:val="00924F24"/>
    <w:rsid w:val="0092501A"/>
    <w:rsid w:val="00925A27"/>
    <w:rsid w:val="009266A6"/>
    <w:rsid w:val="00926DE0"/>
    <w:rsid w:val="00927ACF"/>
    <w:rsid w:val="00930287"/>
    <w:rsid w:val="0093086B"/>
    <w:rsid w:val="00930929"/>
    <w:rsid w:val="009314B1"/>
    <w:rsid w:val="00931DE8"/>
    <w:rsid w:val="0093226E"/>
    <w:rsid w:val="0093242C"/>
    <w:rsid w:val="00932ECF"/>
    <w:rsid w:val="00934D5A"/>
    <w:rsid w:val="009354C6"/>
    <w:rsid w:val="00935868"/>
    <w:rsid w:val="0093714D"/>
    <w:rsid w:val="009371F8"/>
    <w:rsid w:val="009401AB"/>
    <w:rsid w:val="00940591"/>
    <w:rsid w:val="00941617"/>
    <w:rsid w:val="00941A12"/>
    <w:rsid w:val="00941E05"/>
    <w:rsid w:val="009420B4"/>
    <w:rsid w:val="00942CF2"/>
    <w:rsid w:val="00943218"/>
    <w:rsid w:val="0094390B"/>
    <w:rsid w:val="00943B0B"/>
    <w:rsid w:val="00943D7A"/>
    <w:rsid w:val="00943EA3"/>
    <w:rsid w:val="00944C24"/>
    <w:rsid w:val="00944F87"/>
    <w:rsid w:val="0094567A"/>
    <w:rsid w:val="00945E33"/>
    <w:rsid w:val="0094740C"/>
    <w:rsid w:val="00947627"/>
    <w:rsid w:val="00947752"/>
    <w:rsid w:val="0094791B"/>
    <w:rsid w:val="00947E54"/>
    <w:rsid w:val="00947F5B"/>
    <w:rsid w:val="00950B80"/>
    <w:rsid w:val="00950DF3"/>
    <w:rsid w:val="00951734"/>
    <w:rsid w:val="009526B5"/>
    <w:rsid w:val="00952712"/>
    <w:rsid w:val="00952B1D"/>
    <w:rsid w:val="00952C8C"/>
    <w:rsid w:val="00953A5C"/>
    <w:rsid w:val="00953F50"/>
    <w:rsid w:val="009545E8"/>
    <w:rsid w:val="009550E5"/>
    <w:rsid w:val="00955409"/>
    <w:rsid w:val="0095555C"/>
    <w:rsid w:val="00955B14"/>
    <w:rsid w:val="00956289"/>
    <w:rsid w:val="009567A0"/>
    <w:rsid w:val="009568CB"/>
    <w:rsid w:val="00957010"/>
    <w:rsid w:val="00957818"/>
    <w:rsid w:val="009613EB"/>
    <w:rsid w:val="00961A14"/>
    <w:rsid w:val="00961B6E"/>
    <w:rsid w:val="0096459D"/>
    <w:rsid w:val="009647CB"/>
    <w:rsid w:val="009647E6"/>
    <w:rsid w:val="00965108"/>
    <w:rsid w:val="00965D03"/>
    <w:rsid w:val="00967269"/>
    <w:rsid w:val="00967E6D"/>
    <w:rsid w:val="00970E6B"/>
    <w:rsid w:val="00971BF2"/>
    <w:rsid w:val="00972A73"/>
    <w:rsid w:val="0097341A"/>
    <w:rsid w:val="00974082"/>
    <w:rsid w:val="009740AC"/>
    <w:rsid w:val="0097492E"/>
    <w:rsid w:val="00974D45"/>
    <w:rsid w:val="00974EA6"/>
    <w:rsid w:val="00975637"/>
    <w:rsid w:val="009758EB"/>
    <w:rsid w:val="009763DF"/>
    <w:rsid w:val="00976907"/>
    <w:rsid w:val="009776E0"/>
    <w:rsid w:val="009777F4"/>
    <w:rsid w:val="009778DD"/>
    <w:rsid w:val="009779E9"/>
    <w:rsid w:val="00977AB0"/>
    <w:rsid w:val="00977D71"/>
    <w:rsid w:val="00980811"/>
    <w:rsid w:val="00980976"/>
    <w:rsid w:val="00980DC9"/>
    <w:rsid w:val="00981BC2"/>
    <w:rsid w:val="00981D98"/>
    <w:rsid w:val="0098228B"/>
    <w:rsid w:val="009823F6"/>
    <w:rsid w:val="009829EA"/>
    <w:rsid w:val="00982CFC"/>
    <w:rsid w:val="009832DB"/>
    <w:rsid w:val="00984314"/>
    <w:rsid w:val="00984B64"/>
    <w:rsid w:val="00985095"/>
    <w:rsid w:val="0098514A"/>
    <w:rsid w:val="00985B4F"/>
    <w:rsid w:val="00985F9A"/>
    <w:rsid w:val="009862E7"/>
    <w:rsid w:val="009865BD"/>
    <w:rsid w:val="00986642"/>
    <w:rsid w:val="00986771"/>
    <w:rsid w:val="00986A75"/>
    <w:rsid w:val="00987CA0"/>
    <w:rsid w:val="00987D21"/>
    <w:rsid w:val="00987D71"/>
    <w:rsid w:val="00990867"/>
    <w:rsid w:val="00990A92"/>
    <w:rsid w:val="00990DE3"/>
    <w:rsid w:val="00990EC2"/>
    <w:rsid w:val="00990F06"/>
    <w:rsid w:val="00991641"/>
    <w:rsid w:val="00991FB8"/>
    <w:rsid w:val="0099205C"/>
    <w:rsid w:val="009920E3"/>
    <w:rsid w:val="00992231"/>
    <w:rsid w:val="00992A3B"/>
    <w:rsid w:val="00992CD8"/>
    <w:rsid w:val="00992E4C"/>
    <w:rsid w:val="00993222"/>
    <w:rsid w:val="0099328D"/>
    <w:rsid w:val="0099346C"/>
    <w:rsid w:val="009937BC"/>
    <w:rsid w:val="0099459B"/>
    <w:rsid w:val="009949D2"/>
    <w:rsid w:val="00995421"/>
    <w:rsid w:val="009957F7"/>
    <w:rsid w:val="0099661C"/>
    <w:rsid w:val="00996800"/>
    <w:rsid w:val="00996A04"/>
    <w:rsid w:val="00996DF4"/>
    <w:rsid w:val="0099741C"/>
    <w:rsid w:val="009977E7"/>
    <w:rsid w:val="00997E18"/>
    <w:rsid w:val="009A00B4"/>
    <w:rsid w:val="009A0F37"/>
    <w:rsid w:val="009A0FD3"/>
    <w:rsid w:val="009A10D1"/>
    <w:rsid w:val="009A15FC"/>
    <w:rsid w:val="009A16C2"/>
    <w:rsid w:val="009A18C3"/>
    <w:rsid w:val="009A2273"/>
    <w:rsid w:val="009A29D5"/>
    <w:rsid w:val="009A2FA9"/>
    <w:rsid w:val="009A33E0"/>
    <w:rsid w:val="009A3BE8"/>
    <w:rsid w:val="009A3DF3"/>
    <w:rsid w:val="009A40C5"/>
    <w:rsid w:val="009A4567"/>
    <w:rsid w:val="009A4BD3"/>
    <w:rsid w:val="009A5113"/>
    <w:rsid w:val="009A5251"/>
    <w:rsid w:val="009A5294"/>
    <w:rsid w:val="009A53FC"/>
    <w:rsid w:val="009A6479"/>
    <w:rsid w:val="009A68ED"/>
    <w:rsid w:val="009A7528"/>
    <w:rsid w:val="009A799C"/>
    <w:rsid w:val="009A79A8"/>
    <w:rsid w:val="009A7DEF"/>
    <w:rsid w:val="009B027D"/>
    <w:rsid w:val="009B1557"/>
    <w:rsid w:val="009B15FB"/>
    <w:rsid w:val="009B1827"/>
    <w:rsid w:val="009B198C"/>
    <w:rsid w:val="009B1B96"/>
    <w:rsid w:val="009B1E7E"/>
    <w:rsid w:val="009B2722"/>
    <w:rsid w:val="009B280A"/>
    <w:rsid w:val="009B2861"/>
    <w:rsid w:val="009B2A7E"/>
    <w:rsid w:val="009B38C3"/>
    <w:rsid w:val="009B39D1"/>
    <w:rsid w:val="009B3D81"/>
    <w:rsid w:val="009B4325"/>
    <w:rsid w:val="009B47CF"/>
    <w:rsid w:val="009B4D81"/>
    <w:rsid w:val="009B4F10"/>
    <w:rsid w:val="009B4FD1"/>
    <w:rsid w:val="009B505F"/>
    <w:rsid w:val="009B53D3"/>
    <w:rsid w:val="009B5FCA"/>
    <w:rsid w:val="009B67CB"/>
    <w:rsid w:val="009B7356"/>
    <w:rsid w:val="009B74B0"/>
    <w:rsid w:val="009B79C4"/>
    <w:rsid w:val="009C09B1"/>
    <w:rsid w:val="009C0BBE"/>
    <w:rsid w:val="009C0EB2"/>
    <w:rsid w:val="009C0EE9"/>
    <w:rsid w:val="009C1072"/>
    <w:rsid w:val="009C133E"/>
    <w:rsid w:val="009C144E"/>
    <w:rsid w:val="009C1AD0"/>
    <w:rsid w:val="009C1AF6"/>
    <w:rsid w:val="009C2049"/>
    <w:rsid w:val="009C21DD"/>
    <w:rsid w:val="009C2ABF"/>
    <w:rsid w:val="009C2D3E"/>
    <w:rsid w:val="009C2D5B"/>
    <w:rsid w:val="009C325A"/>
    <w:rsid w:val="009C3576"/>
    <w:rsid w:val="009C3912"/>
    <w:rsid w:val="009C426E"/>
    <w:rsid w:val="009C51B9"/>
    <w:rsid w:val="009C5AD1"/>
    <w:rsid w:val="009C5B91"/>
    <w:rsid w:val="009C5CBC"/>
    <w:rsid w:val="009C60B6"/>
    <w:rsid w:val="009C715C"/>
    <w:rsid w:val="009C737F"/>
    <w:rsid w:val="009C7386"/>
    <w:rsid w:val="009C7529"/>
    <w:rsid w:val="009C7636"/>
    <w:rsid w:val="009C7EF1"/>
    <w:rsid w:val="009D1126"/>
    <w:rsid w:val="009D1714"/>
    <w:rsid w:val="009D1A2E"/>
    <w:rsid w:val="009D1D04"/>
    <w:rsid w:val="009D1DE3"/>
    <w:rsid w:val="009D229F"/>
    <w:rsid w:val="009D24C0"/>
    <w:rsid w:val="009D26DB"/>
    <w:rsid w:val="009D2A81"/>
    <w:rsid w:val="009D2E03"/>
    <w:rsid w:val="009D3126"/>
    <w:rsid w:val="009D3819"/>
    <w:rsid w:val="009D3A3C"/>
    <w:rsid w:val="009D4392"/>
    <w:rsid w:val="009D523B"/>
    <w:rsid w:val="009D528B"/>
    <w:rsid w:val="009D5449"/>
    <w:rsid w:val="009D57A0"/>
    <w:rsid w:val="009D5FFE"/>
    <w:rsid w:val="009D7023"/>
    <w:rsid w:val="009D70C1"/>
    <w:rsid w:val="009D718F"/>
    <w:rsid w:val="009E0218"/>
    <w:rsid w:val="009E10F7"/>
    <w:rsid w:val="009E13E2"/>
    <w:rsid w:val="009E15D4"/>
    <w:rsid w:val="009E2811"/>
    <w:rsid w:val="009E2926"/>
    <w:rsid w:val="009E3F2A"/>
    <w:rsid w:val="009E4817"/>
    <w:rsid w:val="009E482A"/>
    <w:rsid w:val="009E540A"/>
    <w:rsid w:val="009E5DD2"/>
    <w:rsid w:val="009E5FD7"/>
    <w:rsid w:val="009E622D"/>
    <w:rsid w:val="009E6420"/>
    <w:rsid w:val="009E6A82"/>
    <w:rsid w:val="009E7C61"/>
    <w:rsid w:val="009F0332"/>
    <w:rsid w:val="009F070D"/>
    <w:rsid w:val="009F1362"/>
    <w:rsid w:val="009F1486"/>
    <w:rsid w:val="009F191F"/>
    <w:rsid w:val="009F1DBE"/>
    <w:rsid w:val="009F3039"/>
    <w:rsid w:val="009F30CA"/>
    <w:rsid w:val="009F328E"/>
    <w:rsid w:val="009F349B"/>
    <w:rsid w:val="009F3C0E"/>
    <w:rsid w:val="009F465F"/>
    <w:rsid w:val="009F474C"/>
    <w:rsid w:val="009F4FF7"/>
    <w:rsid w:val="009F5012"/>
    <w:rsid w:val="009F5D67"/>
    <w:rsid w:val="009F6BA8"/>
    <w:rsid w:val="009F6ED0"/>
    <w:rsid w:val="009F7154"/>
    <w:rsid w:val="009F7294"/>
    <w:rsid w:val="009F76D2"/>
    <w:rsid w:val="00A007A0"/>
    <w:rsid w:val="00A009BF"/>
    <w:rsid w:val="00A00DAB"/>
    <w:rsid w:val="00A00F37"/>
    <w:rsid w:val="00A01311"/>
    <w:rsid w:val="00A014D9"/>
    <w:rsid w:val="00A014E6"/>
    <w:rsid w:val="00A01D24"/>
    <w:rsid w:val="00A02743"/>
    <w:rsid w:val="00A02B4F"/>
    <w:rsid w:val="00A035A0"/>
    <w:rsid w:val="00A056CA"/>
    <w:rsid w:val="00A05788"/>
    <w:rsid w:val="00A06074"/>
    <w:rsid w:val="00A0650A"/>
    <w:rsid w:val="00A07881"/>
    <w:rsid w:val="00A07D79"/>
    <w:rsid w:val="00A10069"/>
    <w:rsid w:val="00A104B9"/>
    <w:rsid w:val="00A108FB"/>
    <w:rsid w:val="00A10EEB"/>
    <w:rsid w:val="00A11B84"/>
    <w:rsid w:val="00A120EF"/>
    <w:rsid w:val="00A127B5"/>
    <w:rsid w:val="00A12938"/>
    <w:rsid w:val="00A12F37"/>
    <w:rsid w:val="00A13421"/>
    <w:rsid w:val="00A1357D"/>
    <w:rsid w:val="00A13E2F"/>
    <w:rsid w:val="00A1415D"/>
    <w:rsid w:val="00A141AE"/>
    <w:rsid w:val="00A14281"/>
    <w:rsid w:val="00A14899"/>
    <w:rsid w:val="00A15E9B"/>
    <w:rsid w:val="00A160DD"/>
    <w:rsid w:val="00A168DE"/>
    <w:rsid w:val="00A16B03"/>
    <w:rsid w:val="00A16B8B"/>
    <w:rsid w:val="00A17326"/>
    <w:rsid w:val="00A17804"/>
    <w:rsid w:val="00A179A9"/>
    <w:rsid w:val="00A17BC5"/>
    <w:rsid w:val="00A17BD5"/>
    <w:rsid w:val="00A20049"/>
    <w:rsid w:val="00A209EA"/>
    <w:rsid w:val="00A213A3"/>
    <w:rsid w:val="00A21660"/>
    <w:rsid w:val="00A216F7"/>
    <w:rsid w:val="00A222DE"/>
    <w:rsid w:val="00A22813"/>
    <w:rsid w:val="00A2289C"/>
    <w:rsid w:val="00A23011"/>
    <w:rsid w:val="00A23110"/>
    <w:rsid w:val="00A23713"/>
    <w:rsid w:val="00A23AD0"/>
    <w:rsid w:val="00A23E0E"/>
    <w:rsid w:val="00A24375"/>
    <w:rsid w:val="00A249ED"/>
    <w:rsid w:val="00A24EE3"/>
    <w:rsid w:val="00A25913"/>
    <w:rsid w:val="00A2594A"/>
    <w:rsid w:val="00A25F82"/>
    <w:rsid w:val="00A27096"/>
    <w:rsid w:val="00A2722E"/>
    <w:rsid w:val="00A2725D"/>
    <w:rsid w:val="00A274E7"/>
    <w:rsid w:val="00A27B57"/>
    <w:rsid w:val="00A30255"/>
    <w:rsid w:val="00A304B7"/>
    <w:rsid w:val="00A312B2"/>
    <w:rsid w:val="00A32449"/>
    <w:rsid w:val="00A32968"/>
    <w:rsid w:val="00A337D6"/>
    <w:rsid w:val="00A33C87"/>
    <w:rsid w:val="00A3445F"/>
    <w:rsid w:val="00A34A66"/>
    <w:rsid w:val="00A34BD1"/>
    <w:rsid w:val="00A35021"/>
    <w:rsid w:val="00A3621F"/>
    <w:rsid w:val="00A36E90"/>
    <w:rsid w:val="00A36F59"/>
    <w:rsid w:val="00A374BA"/>
    <w:rsid w:val="00A37544"/>
    <w:rsid w:val="00A37DCE"/>
    <w:rsid w:val="00A404A3"/>
    <w:rsid w:val="00A407AD"/>
    <w:rsid w:val="00A40C8C"/>
    <w:rsid w:val="00A40CAA"/>
    <w:rsid w:val="00A41CD5"/>
    <w:rsid w:val="00A42945"/>
    <w:rsid w:val="00A42BBD"/>
    <w:rsid w:val="00A432EA"/>
    <w:rsid w:val="00A43526"/>
    <w:rsid w:val="00A43EE5"/>
    <w:rsid w:val="00A448CB"/>
    <w:rsid w:val="00A44B01"/>
    <w:rsid w:val="00A4594C"/>
    <w:rsid w:val="00A45F11"/>
    <w:rsid w:val="00A464F1"/>
    <w:rsid w:val="00A466DC"/>
    <w:rsid w:val="00A46D82"/>
    <w:rsid w:val="00A47334"/>
    <w:rsid w:val="00A47341"/>
    <w:rsid w:val="00A473C9"/>
    <w:rsid w:val="00A474D1"/>
    <w:rsid w:val="00A47BEE"/>
    <w:rsid w:val="00A47BF3"/>
    <w:rsid w:val="00A47D37"/>
    <w:rsid w:val="00A5028C"/>
    <w:rsid w:val="00A503D9"/>
    <w:rsid w:val="00A517CA"/>
    <w:rsid w:val="00A52446"/>
    <w:rsid w:val="00A52C48"/>
    <w:rsid w:val="00A5331E"/>
    <w:rsid w:val="00A5368F"/>
    <w:rsid w:val="00A53C66"/>
    <w:rsid w:val="00A5417E"/>
    <w:rsid w:val="00A5544B"/>
    <w:rsid w:val="00A5555D"/>
    <w:rsid w:val="00A55DC3"/>
    <w:rsid w:val="00A560BA"/>
    <w:rsid w:val="00A56129"/>
    <w:rsid w:val="00A563D1"/>
    <w:rsid w:val="00A56659"/>
    <w:rsid w:val="00A56AE1"/>
    <w:rsid w:val="00A579B5"/>
    <w:rsid w:val="00A57F36"/>
    <w:rsid w:val="00A60308"/>
    <w:rsid w:val="00A60E68"/>
    <w:rsid w:val="00A61355"/>
    <w:rsid w:val="00A617FB"/>
    <w:rsid w:val="00A61836"/>
    <w:rsid w:val="00A618A8"/>
    <w:rsid w:val="00A6356E"/>
    <w:rsid w:val="00A63B39"/>
    <w:rsid w:val="00A641F2"/>
    <w:rsid w:val="00A642DB"/>
    <w:rsid w:val="00A64818"/>
    <w:rsid w:val="00A65627"/>
    <w:rsid w:val="00A66335"/>
    <w:rsid w:val="00A66B03"/>
    <w:rsid w:val="00A6715D"/>
    <w:rsid w:val="00A671A3"/>
    <w:rsid w:val="00A701BE"/>
    <w:rsid w:val="00A7042B"/>
    <w:rsid w:val="00A70E23"/>
    <w:rsid w:val="00A70F8A"/>
    <w:rsid w:val="00A7116F"/>
    <w:rsid w:val="00A71594"/>
    <w:rsid w:val="00A72C2A"/>
    <w:rsid w:val="00A733B3"/>
    <w:rsid w:val="00A73763"/>
    <w:rsid w:val="00A737C6"/>
    <w:rsid w:val="00A73912"/>
    <w:rsid w:val="00A739B8"/>
    <w:rsid w:val="00A743F4"/>
    <w:rsid w:val="00A74659"/>
    <w:rsid w:val="00A757EC"/>
    <w:rsid w:val="00A76731"/>
    <w:rsid w:val="00A76A2C"/>
    <w:rsid w:val="00A76F56"/>
    <w:rsid w:val="00A80216"/>
    <w:rsid w:val="00A8085D"/>
    <w:rsid w:val="00A80CF4"/>
    <w:rsid w:val="00A80FEF"/>
    <w:rsid w:val="00A81005"/>
    <w:rsid w:val="00A8185C"/>
    <w:rsid w:val="00A81A97"/>
    <w:rsid w:val="00A827A8"/>
    <w:rsid w:val="00A8362B"/>
    <w:rsid w:val="00A83CB9"/>
    <w:rsid w:val="00A84094"/>
    <w:rsid w:val="00A8431B"/>
    <w:rsid w:val="00A844B0"/>
    <w:rsid w:val="00A84D4A"/>
    <w:rsid w:val="00A84EAA"/>
    <w:rsid w:val="00A85197"/>
    <w:rsid w:val="00A85553"/>
    <w:rsid w:val="00A8563B"/>
    <w:rsid w:val="00A85995"/>
    <w:rsid w:val="00A86C78"/>
    <w:rsid w:val="00A87171"/>
    <w:rsid w:val="00A8778E"/>
    <w:rsid w:val="00A87CFE"/>
    <w:rsid w:val="00A90FD1"/>
    <w:rsid w:val="00A912A1"/>
    <w:rsid w:val="00A92BE3"/>
    <w:rsid w:val="00A9318D"/>
    <w:rsid w:val="00A9372F"/>
    <w:rsid w:val="00A9438D"/>
    <w:rsid w:val="00A95262"/>
    <w:rsid w:val="00A95E7D"/>
    <w:rsid w:val="00A96726"/>
    <w:rsid w:val="00A96EE0"/>
    <w:rsid w:val="00A9724E"/>
    <w:rsid w:val="00A975C2"/>
    <w:rsid w:val="00A97A64"/>
    <w:rsid w:val="00AA0429"/>
    <w:rsid w:val="00AA0612"/>
    <w:rsid w:val="00AA0B7F"/>
    <w:rsid w:val="00AA0E76"/>
    <w:rsid w:val="00AA0FEC"/>
    <w:rsid w:val="00AA14A6"/>
    <w:rsid w:val="00AA1841"/>
    <w:rsid w:val="00AA1A29"/>
    <w:rsid w:val="00AA1C2D"/>
    <w:rsid w:val="00AA1D89"/>
    <w:rsid w:val="00AA2DF0"/>
    <w:rsid w:val="00AA30EA"/>
    <w:rsid w:val="00AA330A"/>
    <w:rsid w:val="00AA355F"/>
    <w:rsid w:val="00AA357A"/>
    <w:rsid w:val="00AA3D4F"/>
    <w:rsid w:val="00AA3E7A"/>
    <w:rsid w:val="00AA3E86"/>
    <w:rsid w:val="00AA41FC"/>
    <w:rsid w:val="00AA4678"/>
    <w:rsid w:val="00AA46EC"/>
    <w:rsid w:val="00AA4EF3"/>
    <w:rsid w:val="00AA52CF"/>
    <w:rsid w:val="00AA5807"/>
    <w:rsid w:val="00AA5A92"/>
    <w:rsid w:val="00AA5C8C"/>
    <w:rsid w:val="00AA6219"/>
    <w:rsid w:val="00AA72C8"/>
    <w:rsid w:val="00AA7802"/>
    <w:rsid w:val="00AB004C"/>
    <w:rsid w:val="00AB0D9A"/>
    <w:rsid w:val="00AB1F85"/>
    <w:rsid w:val="00AB2369"/>
    <w:rsid w:val="00AB250B"/>
    <w:rsid w:val="00AB29DD"/>
    <w:rsid w:val="00AB2B3C"/>
    <w:rsid w:val="00AB3033"/>
    <w:rsid w:val="00AB30A6"/>
    <w:rsid w:val="00AB3447"/>
    <w:rsid w:val="00AB37BA"/>
    <w:rsid w:val="00AB39B9"/>
    <w:rsid w:val="00AB3DC2"/>
    <w:rsid w:val="00AB3E59"/>
    <w:rsid w:val="00AB42BF"/>
    <w:rsid w:val="00AB43C6"/>
    <w:rsid w:val="00AB4CA0"/>
    <w:rsid w:val="00AB4F93"/>
    <w:rsid w:val="00AB526A"/>
    <w:rsid w:val="00AB56B3"/>
    <w:rsid w:val="00AB56ED"/>
    <w:rsid w:val="00AB5A1B"/>
    <w:rsid w:val="00AB5A75"/>
    <w:rsid w:val="00AB5ECF"/>
    <w:rsid w:val="00AB5EEC"/>
    <w:rsid w:val="00AB66AD"/>
    <w:rsid w:val="00AB7902"/>
    <w:rsid w:val="00AC1655"/>
    <w:rsid w:val="00AC184A"/>
    <w:rsid w:val="00AC2C3F"/>
    <w:rsid w:val="00AC2D20"/>
    <w:rsid w:val="00AC3006"/>
    <w:rsid w:val="00AC316E"/>
    <w:rsid w:val="00AC3829"/>
    <w:rsid w:val="00AC3C5B"/>
    <w:rsid w:val="00AC4980"/>
    <w:rsid w:val="00AC4DA8"/>
    <w:rsid w:val="00AC5483"/>
    <w:rsid w:val="00AC5F6B"/>
    <w:rsid w:val="00AC5FA8"/>
    <w:rsid w:val="00AC630F"/>
    <w:rsid w:val="00AC6D4D"/>
    <w:rsid w:val="00AC7556"/>
    <w:rsid w:val="00AC7572"/>
    <w:rsid w:val="00AC7896"/>
    <w:rsid w:val="00AD0018"/>
    <w:rsid w:val="00AD05FA"/>
    <w:rsid w:val="00AD0B07"/>
    <w:rsid w:val="00AD0CEF"/>
    <w:rsid w:val="00AD14AF"/>
    <w:rsid w:val="00AD2446"/>
    <w:rsid w:val="00AD28A4"/>
    <w:rsid w:val="00AD2B8F"/>
    <w:rsid w:val="00AD2E72"/>
    <w:rsid w:val="00AD3F6F"/>
    <w:rsid w:val="00AD3F76"/>
    <w:rsid w:val="00AD46CC"/>
    <w:rsid w:val="00AD4964"/>
    <w:rsid w:val="00AD4F1A"/>
    <w:rsid w:val="00AD4FA2"/>
    <w:rsid w:val="00AD58BB"/>
    <w:rsid w:val="00AD5EA1"/>
    <w:rsid w:val="00AD68F9"/>
    <w:rsid w:val="00AD79FA"/>
    <w:rsid w:val="00AD7A99"/>
    <w:rsid w:val="00AD7E24"/>
    <w:rsid w:val="00AE083C"/>
    <w:rsid w:val="00AE0F18"/>
    <w:rsid w:val="00AE15F1"/>
    <w:rsid w:val="00AE25DD"/>
    <w:rsid w:val="00AE2614"/>
    <w:rsid w:val="00AE2E3B"/>
    <w:rsid w:val="00AE2F88"/>
    <w:rsid w:val="00AE2FFB"/>
    <w:rsid w:val="00AE300D"/>
    <w:rsid w:val="00AE3903"/>
    <w:rsid w:val="00AE4933"/>
    <w:rsid w:val="00AE4A2D"/>
    <w:rsid w:val="00AE5ABA"/>
    <w:rsid w:val="00AE6367"/>
    <w:rsid w:val="00AE63DC"/>
    <w:rsid w:val="00AE671A"/>
    <w:rsid w:val="00AE71E3"/>
    <w:rsid w:val="00AE73DE"/>
    <w:rsid w:val="00AE7831"/>
    <w:rsid w:val="00AF025A"/>
    <w:rsid w:val="00AF0E7A"/>
    <w:rsid w:val="00AF0E9D"/>
    <w:rsid w:val="00AF284A"/>
    <w:rsid w:val="00AF2F00"/>
    <w:rsid w:val="00AF3124"/>
    <w:rsid w:val="00AF3161"/>
    <w:rsid w:val="00AF42B8"/>
    <w:rsid w:val="00AF4EC8"/>
    <w:rsid w:val="00AF501A"/>
    <w:rsid w:val="00AF537A"/>
    <w:rsid w:val="00AF5BFD"/>
    <w:rsid w:val="00AF5DE2"/>
    <w:rsid w:val="00AF6C34"/>
    <w:rsid w:val="00AF72A3"/>
    <w:rsid w:val="00AF7DA1"/>
    <w:rsid w:val="00B00B97"/>
    <w:rsid w:val="00B00C9B"/>
    <w:rsid w:val="00B0117B"/>
    <w:rsid w:val="00B01202"/>
    <w:rsid w:val="00B01805"/>
    <w:rsid w:val="00B01FB5"/>
    <w:rsid w:val="00B0224A"/>
    <w:rsid w:val="00B0279D"/>
    <w:rsid w:val="00B02990"/>
    <w:rsid w:val="00B03332"/>
    <w:rsid w:val="00B03384"/>
    <w:rsid w:val="00B03526"/>
    <w:rsid w:val="00B0406F"/>
    <w:rsid w:val="00B04725"/>
    <w:rsid w:val="00B052DD"/>
    <w:rsid w:val="00B05454"/>
    <w:rsid w:val="00B055D0"/>
    <w:rsid w:val="00B0572B"/>
    <w:rsid w:val="00B058E1"/>
    <w:rsid w:val="00B05E92"/>
    <w:rsid w:val="00B06550"/>
    <w:rsid w:val="00B06619"/>
    <w:rsid w:val="00B06E9C"/>
    <w:rsid w:val="00B06EC6"/>
    <w:rsid w:val="00B06F58"/>
    <w:rsid w:val="00B072E3"/>
    <w:rsid w:val="00B074B4"/>
    <w:rsid w:val="00B102D1"/>
    <w:rsid w:val="00B10D32"/>
    <w:rsid w:val="00B10ED9"/>
    <w:rsid w:val="00B11140"/>
    <w:rsid w:val="00B11431"/>
    <w:rsid w:val="00B11A35"/>
    <w:rsid w:val="00B11AFA"/>
    <w:rsid w:val="00B11B02"/>
    <w:rsid w:val="00B11C2E"/>
    <w:rsid w:val="00B128D0"/>
    <w:rsid w:val="00B12A27"/>
    <w:rsid w:val="00B12FAB"/>
    <w:rsid w:val="00B131FF"/>
    <w:rsid w:val="00B140B4"/>
    <w:rsid w:val="00B14D38"/>
    <w:rsid w:val="00B15644"/>
    <w:rsid w:val="00B15C8D"/>
    <w:rsid w:val="00B16096"/>
    <w:rsid w:val="00B1640D"/>
    <w:rsid w:val="00B1684F"/>
    <w:rsid w:val="00B169B7"/>
    <w:rsid w:val="00B16A12"/>
    <w:rsid w:val="00B16D30"/>
    <w:rsid w:val="00B1751A"/>
    <w:rsid w:val="00B177D0"/>
    <w:rsid w:val="00B17B6A"/>
    <w:rsid w:val="00B202EF"/>
    <w:rsid w:val="00B20934"/>
    <w:rsid w:val="00B2144C"/>
    <w:rsid w:val="00B22886"/>
    <w:rsid w:val="00B22FE2"/>
    <w:rsid w:val="00B2303E"/>
    <w:rsid w:val="00B234F3"/>
    <w:rsid w:val="00B23DF0"/>
    <w:rsid w:val="00B23F9F"/>
    <w:rsid w:val="00B23FD5"/>
    <w:rsid w:val="00B24EAB"/>
    <w:rsid w:val="00B26613"/>
    <w:rsid w:val="00B277B4"/>
    <w:rsid w:val="00B27966"/>
    <w:rsid w:val="00B27C72"/>
    <w:rsid w:val="00B27F3A"/>
    <w:rsid w:val="00B3045B"/>
    <w:rsid w:val="00B31178"/>
    <w:rsid w:val="00B315FF"/>
    <w:rsid w:val="00B32393"/>
    <w:rsid w:val="00B33073"/>
    <w:rsid w:val="00B33C9A"/>
    <w:rsid w:val="00B35968"/>
    <w:rsid w:val="00B35F96"/>
    <w:rsid w:val="00B35FCD"/>
    <w:rsid w:val="00B361F0"/>
    <w:rsid w:val="00B37A0A"/>
    <w:rsid w:val="00B37B02"/>
    <w:rsid w:val="00B37C53"/>
    <w:rsid w:val="00B4019D"/>
    <w:rsid w:val="00B404F5"/>
    <w:rsid w:val="00B40CBC"/>
    <w:rsid w:val="00B40F8E"/>
    <w:rsid w:val="00B420EC"/>
    <w:rsid w:val="00B424B4"/>
    <w:rsid w:val="00B42646"/>
    <w:rsid w:val="00B428B3"/>
    <w:rsid w:val="00B42E9A"/>
    <w:rsid w:val="00B445A7"/>
    <w:rsid w:val="00B44BF2"/>
    <w:rsid w:val="00B44E54"/>
    <w:rsid w:val="00B450A2"/>
    <w:rsid w:val="00B450C8"/>
    <w:rsid w:val="00B450F7"/>
    <w:rsid w:val="00B454D5"/>
    <w:rsid w:val="00B45B2C"/>
    <w:rsid w:val="00B45FA8"/>
    <w:rsid w:val="00B46441"/>
    <w:rsid w:val="00B46AE0"/>
    <w:rsid w:val="00B47484"/>
    <w:rsid w:val="00B502D9"/>
    <w:rsid w:val="00B51541"/>
    <w:rsid w:val="00B51FA5"/>
    <w:rsid w:val="00B52F65"/>
    <w:rsid w:val="00B52FAF"/>
    <w:rsid w:val="00B52FE2"/>
    <w:rsid w:val="00B53B92"/>
    <w:rsid w:val="00B53E92"/>
    <w:rsid w:val="00B5413D"/>
    <w:rsid w:val="00B54581"/>
    <w:rsid w:val="00B54849"/>
    <w:rsid w:val="00B549E0"/>
    <w:rsid w:val="00B54B29"/>
    <w:rsid w:val="00B54C7C"/>
    <w:rsid w:val="00B54E62"/>
    <w:rsid w:val="00B54E8A"/>
    <w:rsid w:val="00B550D1"/>
    <w:rsid w:val="00B5534D"/>
    <w:rsid w:val="00B5590A"/>
    <w:rsid w:val="00B55A14"/>
    <w:rsid w:val="00B56175"/>
    <w:rsid w:val="00B566C0"/>
    <w:rsid w:val="00B56ECE"/>
    <w:rsid w:val="00B57672"/>
    <w:rsid w:val="00B5781E"/>
    <w:rsid w:val="00B601DD"/>
    <w:rsid w:val="00B604AD"/>
    <w:rsid w:val="00B606F4"/>
    <w:rsid w:val="00B615B8"/>
    <w:rsid w:val="00B61819"/>
    <w:rsid w:val="00B61AD4"/>
    <w:rsid w:val="00B61CE8"/>
    <w:rsid w:val="00B62304"/>
    <w:rsid w:val="00B6232E"/>
    <w:rsid w:val="00B62623"/>
    <w:rsid w:val="00B62B34"/>
    <w:rsid w:val="00B631C6"/>
    <w:rsid w:val="00B636EC"/>
    <w:rsid w:val="00B63788"/>
    <w:rsid w:val="00B63D5D"/>
    <w:rsid w:val="00B641D1"/>
    <w:rsid w:val="00B642C4"/>
    <w:rsid w:val="00B650F3"/>
    <w:rsid w:val="00B65337"/>
    <w:rsid w:val="00B661B2"/>
    <w:rsid w:val="00B6683A"/>
    <w:rsid w:val="00B66C6F"/>
    <w:rsid w:val="00B707A7"/>
    <w:rsid w:val="00B71365"/>
    <w:rsid w:val="00B716F7"/>
    <w:rsid w:val="00B717ED"/>
    <w:rsid w:val="00B718FE"/>
    <w:rsid w:val="00B71BEF"/>
    <w:rsid w:val="00B72447"/>
    <w:rsid w:val="00B72738"/>
    <w:rsid w:val="00B7316E"/>
    <w:rsid w:val="00B73600"/>
    <w:rsid w:val="00B73863"/>
    <w:rsid w:val="00B741CD"/>
    <w:rsid w:val="00B7451A"/>
    <w:rsid w:val="00B747FA"/>
    <w:rsid w:val="00B74CFF"/>
    <w:rsid w:val="00B74ECF"/>
    <w:rsid w:val="00B75023"/>
    <w:rsid w:val="00B75354"/>
    <w:rsid w:val="00B758DF"/>
    <w:rsid w:val="00B75EB2"/>
    <w:rsid w:val="00B76317"/>
    <w:rsid w:val="00B7637C"/>
    <w:rsid w:val="00B7653C"/>
    <w:rsid w:val="00B76F19"/>
    <w:rsid w:val="00B7734A"/>
    <w:rsid w:val="00B80159"/>
    <w:rsid w:val="00B8042F"/>
    <w:rsid w:val="00B809AB"/>
    <w:rsid w:val="00B8186A"/>
    <w:rsid w:val="00B81E97"/>
    <w:rsid w:val="00B81F50"/>
    <w:rsid w:val="00B82155"/>
    <w:rsid w:val="00B82972"/>
    <w:rsid w:val="00B82CD4"/>
    <w:rsid w:val="00B84201"/>
    <w:rsid w:val="00B84CD1"/>
    <w:rsid w:val="00B85083"/>
    <w:rsid w:val="00B85662"/>
    <w:rsid w:val="00B86721"/>
    <w:rsid w:val="00B873D4"/>
    <w:rsid w:val="00B9039A"/>
    <w:rsid w:val="00B90B64"/>
    <w:rsid w:val="00B90B87"/>
    <w:rsid w:val="00B90C21"/>
    <w:rsid w:val="00B90C56"/>
    <w:rsid w:val="00B91564"/>
    <w:rsid w:val="00B91BA9"/>
    <w:rsid w:val="00B92022"/>
    <w:rsid w:val="00B921D2"/>
    <w:rsid w:val="00B92449"/>
    <w:rsid w:val="00B92761"/>
    <w:rsid w:val="00B928F1"/>
    <w:rsid w:val="00B92B45"/>
    <w:rsid w:val="00B92D0B"/>
    <w:rsid w:val="00B93AAC"/>
    <w:rsid w:val="00B93E27"/>
    <w:rsid w:val="00B945CC"/>
    <w:rsid w:val="00B954B3"/>
    <w:rsid w:val="00B954B4"/>
    <w:rsid w:val="00B95795"/>
    <w:rsid w:val="00B9599D"/>
    <w:rsid w:val="00B95D55"/>
    <w:rsid w:val="00B962BF"/>
    <w:rsid w:val="00B9752D"/>
    <w:rsid w:val="00B97872"/>
    <w:rsid w:val="00B97C62"/>
    <w:rsid w:val="00B97E29"/>
    <w:rsid w:val="00BA02E0"/>
    <w:rsid w:val="00BA0F49"/>
    <w:rsid w:val="00BA100E"/>
    <w:rsid w:val="00BA1094"/>
    <w:rsid w:val="00BA1785"/>
    <w:rsid w:val="00BA1BAD"/>
    <w:rsid w:val="00BA202F"/>
    <w:rsid w:val="00BA2684"/>
    <w:rsid w:val="00BA375C"/>
    <w:rsid w:val="00BA4014"/>
    <w:rsid w:val="00BA4370"/>
    <w:rsid w:val="00BA443B"/>
    <w:rsid w:val="00BA4D68"/>
    <w:rsid w:val="00BA50B9"/>
    <w:rsid w:val="00BA5551"/>
    <w:rsid w:val="00BA5F70"/>
    <w:rsid w:val="00BA6122"/>
    <w:rsid w:val="00BA635E"/>
    <w:rsid w:val="00BA65A6"/>
    <w:rsid w:val="00BA6672"/>
    <w:rsid w:val="00BA6970"/>
    <w:rsid w:val="00BA6F87"/>
    <w:rsid w:val="00BA79F5"/>
    <w:rsid w:val="00BA7E8C"/>
    <w:rsid w:val="00BA7FEC"/>
    <w:rsid w:val="00BB00E0"/>
    <w:rsid w:val="00BB1AB4"/>
    <w:rsid w:val="00BB248D"/>
    <w:rsid w:val="00BB2639"/>
    <w:rsid w:val="00BB2CEE"/>
    <w:rsid w:val="00BB36C1"/>
    <w:rsid w:val="00BB4789"/>
    <w:rsid w:val="00BB5B4F"/>
    <w:rsid w:val="00BB6A37"/>
    <w:rsid w:val="00BB6CD8"/>
    <w:rsid w:val="00BB6EFE"/>
    <w:rsid w:val="00BB743B"/>
    <w:rsid w:val="00BB7817"/>
    <w:rsid w:val="00BB7B85"/>
    <w:rsid w:val="00BC0300"/>
    <w:rsid w:val="00BC0ADC"/>
    <w:rsid w:val="00BC14BB"/>
    <w:rsid w:val="00BC17BB"/>
    <w:rsid w:val="00BC215A"/>
    <w:rsid w:val="00BC217C"/>
    <w:rsid w:val="00BC25EE"/>
    <w:rsid w:val="00BC2BC6"/>
    <w:rsid w:val="00BC3745"/>
    <w:rsid w:val="00BC493D"/>
    <w:rsid w:val="00BC4AC5"/>
    <w:rsid w:val="00BC4B1C"/>
    <w:rsid w:val="00BC5135"/>
    <w:rsid w:val="00BC522D"/>
    <w:rsid w:val="00BC5307"/>
    <w:rsid w:val="00BC5428"/>
    <w:rsid w:val="00BC5AB1"/>
    <w:rsid w:val="00BC6284"/>
    <w:rsid w:val="00BC68BF"/>
    <w:rsid w:val="00BC6E3C"/>
    <w:rsid w:val="00BC70C6"/>
    <w:rsid w:val="00BC75DF"/>
    <w:rsid w:val="00BC78F2"/>
    <w:rsid w:val="00BD00FE"/>
    <w:rsid w:val="00BD0399"/>
    <w:rsid w:val="00BD129F"/>
    <w:rsid w:val="00BD1A07"/>
    <w:rsid w:val="00BD1DE5"/>
    <w:rsid w:val="00BD1DEC"/>
    <w:rsid w:val="00BD25CB"/>
    <w:rsid w:val="00BD2AE4"/>
    <w:rsid w:val="00BD2F3A"/>
    <w:rsid w:val="00BD3DAB"/>
    <w:rsid w:val="00BD3E97"/>
    <w:rsid w:val="00BD418E"/>
    <w:rsid w:val="00BD42F0"/>
    <w:rsid w:val="00BD5004"/>
    <w:rsid w:val="00BD53D7"/>
    <w:rsid w:val="00BD5BD0"/>
    <w:rsid w:val="00BD6039"/>
    <w:rsid w:val="00BD604C"/>
    <w:rsid w:val="00BD64DD"/>
    <w:rsid w:val="00BD64F2"/>
    <w:rsid w:val="00BD6532"/>
    <w:rsid w:val="00BD6763"/>
    <w:rsid w:val="00BD684B"/>
    <w:rsid w:val="00BD7462"/>
    <w:rsid w:val="00BD7ABD"/>
    <w:rsid w:val="00BD7B95"/>
    <w:rsid w:val="00BE016F"/>
    <w:rsid w:val="00BE06FE"/>
    <w:rsid w:val="00BE0F7C"/>
    <w:rsid w:val="00BE1210"/>
    <w:rsid w:val="00BE1474"/>
    <w:rsid w:val="00BE149A"/>
    <w:rsid w:val="00BE15C6"/>
    <w:rsid w:val="00BE1C40"/>
    <w:rsid w:val="00BE25CD"/>
    <w:rsid w:val="00BE2990"/>
    <w:rsid w:val="00BE33AC"/>
    <w:rsid w:val="00BE4146"/>
    <w:rsid w:val="00BE4DBF"/>
    <w:rsid w:val="00BE4F21"/>
    <w:rsid w:val="00BE5959"/>
    <w:rsid w:val="00BE597F"/>
    <w:rsid w:val="00BE5E1C"/>
    <w:rsid w:val="00BE608E"/>
    <w:rsid w:val="00BE6AB8"/>
    <w:rsid w:val="00BE790D"/>
    <w:rsid w:val="00BE79B0"/>
    <w:rsid w:val="00BF1398"/>
    <w:rsid w:val="00BF18AD"/>
    <w:rsid w:val="00BF1B74"/>
    <w:rsid w:val="00BF1C36"/>
    <w:rsid w:val="00BF1C39"/>
    <w:rsid w:val="00BF1E2B"/>
    <w:rsid w:val="00BF2035"/>
    <w:rsid w:val="00BF210B"/>
    <w:rsid w:val="00BF2240"/>
    <w:rsid w:val="00BF26E4"/>
    <w:rsid w:val="00BF282D"/>
    <w:rsid w:val="00BF2FF5"/>
    <w:rsid w:val="00BF3E88"/>
    <w:rsid w:val="00BF44F5"/>
    <w:rsid w:val="00BF4512"/>
    <w:rsid w:val="00BF4789"/>
    <w:rsid w:val="00BF4897"/>
    <w:rsid w:val="00BF489C"/>
    <w:rsid w:val="00BF4D8C"/>
    <w:rsid w:val="00BF503F"/>
    <w:rsid w:val="00BF5CA2"/>
    <w:rsid w:val="00BF6148"/>
    <w:rsid w:val="00BF6871"/>
    <w:rsid w:val="00BF6C2D"/>
    <w:rsid w:val="00BF7609"/>
    <w:rsid w:val="00BF7671"/>
    <w:rsid w:val="00BF7A99"/>
    <w:rsid w:val="00C007B1"/>
    <w:rsid w:val="00C00E09"/>
    <w:rsid w:val="00C00FCA"/>
    <w:rsid w:val="00C01A77"/>
    <w:rsid w:val="00C02016"/>
    <w:rsid w:val="00C02062"/>
    <w:rsid w:val="00C02614"/>
    <w:rsid w:val="00C03741"/>
    <w:rsid w:val="00C03A91"/>
    <w:rsid w:val="00C04135"/>
    <w:rsid w:val="00C04341"/>
    <w:rsid w:val="00C048EA"/>
    <w:rsid w:val="00C048FD"/>
    <w:rsid w:val="00C055FD"/>
    <w:rsid w:val="00C056AE"/>
    <w:rsid w:val="00C058FB"/>
    <w:rsid w:val="00C05964"/>
    <w:rsid w:val="00C070A6"/>
    <w:rsid w:val="00C07EFD"/>
    <w:rsid w:val="00C10228"/>
    <w:rsid w:val="00C10803"/>
    <w:rsid w:val="00C109DC"/>
    <w:rsid w:val="00C11174"/>
    <w:rsid w:val="00C118A9"/>
    <w:rsid w:val="00C11BB2"/>
    <w:rsid w:val="00C12107"/>
    <w:rsid w:val="00C12195"/>
    <w:rsid w:val="00C12714"/>
    <w:rsid w:val="00C12A03"/>
    <w:rsid w:val="00C12D06"/>
    <w:rsid w:val="00C13EB0"/>
    <w:rsid w:val="00C14175"/>
    <w:rsid w:val="00C143D8"/>
    <w:rsid w:val="00C14BAF"/>
    <w:rsid w:val="00C14BBF"/>
    <w:rsid w:val="00C1525D"/>
    <w:rsid w:val="00C156B2"/>
    <w:rsid w:val="00C15FE3"/>
    <w:rsid w:val="00C16C0A"/>
    <w:rsid w:val="00C1734C"/>
    <w:rsid w:val="00C176C2"/>
    <w:rsid w:val="00C2096B"/>
    <w:rsid w:val="00C20B29"/>
    <w:rsid w:val="00C20C3F"/>
    <w:rsid w:val="00C20C90"/>
    <w:rsid w:val="00C20FC1"/>
    <w:rsid w:val="00C21C14"/>
    <w:rsid w:val="00C21C68"/>
    <w:rsid w:val="00C22099"/>
    <w:rsid w:val="00C227E1"/>
    <w:rsid w:val="00C22B2B"/>
    <w:rsid w:val="00C22EE8"/>
    <w:rsid w:val="00C23855"/>
    <w:rsid w:val="00C238EF"/>
    <w:rsid w:val="00C23BCC"/>
    <w:rsid w:val="00C24F9F"/>
    <w:rsid w:val="00C25186"/>
    <w:rsid w:val="00C252F3"/>
    <w:rsid w:val="00C25867"/>
    <w:rsid w:val="00C265EE"/>
    <w:rsid w:val="00C26933"/>
    <w:rsid w:val="00C2755A"/>
    <w:rsid w:val="00C276EF"/>
    <w:rsid w:val="00C30159"/>
    <w:rsid w:val="00C30658"/>
    <w:rsid w:val="00C30720"/>
    <w:rsid w:val="00C30A14"/>
    <w:rsid w:val="00C31ADA"/>
    <w:rsid w:val="00C31ED3"/>
    <w:rsid w:val="00C322B4"/>
    <w:rsid w:val="00C329EE"/>
    <w:rsid w:val="00C32D41"/>
    <w:rsid w:val="00C32FB1"/>
    <w:rsid w:val="00C337D3"/>
    <w:rsid w:val="00C33DB1"/>
    <w:rsid w:val="00C346F7"/>
    <w:rsid w:val="00C35353"/>
    <w:rsid w:val="00C35959"/>
    <w:rsid w:val="00C359D3"/>
    <w:rsid w:val="00C35A72"/>
    <w:rsid w:val="00C35DFD"/>
    <w:rsid w:val="00C37616"/>
    <w:rsid w:val="00C37B34"/>
    <w:rsid w:val="00C408FC"/>
    <w:rsid w:val="00C40A97"/>
    <w:rsid w:val="00C40E98"/>
    <w:rsid w:val="00C4118F"/>
    <w:rsid w:val="00C41206"/>
    <w:rsid w:val="00C415A0"/>
    <w:rsid w:val="00C41F5A"/>
    <w:rsid w:val="00C4278A"/>
    <w:rsid w:val="00C42BEB"/>
    <w:rsid w:val="00C4378D"/>
    <w:rsid w:val="00C437BE"/>
    <w:rsid w:val="00C43CC7"/>
    <w:rsid w:val="00C43F84"/>
    <w:rsid w:val="00C447B6"/>
    <w:rsid w:val="00C44BAD"/>
    <w:rsid w:val="00C44D53"/>
    <w:rsid w:val="00C44FB8"/>
    <w:rsid w:val="00C4594E"/>
    <w:rsid w:val="00C462E9"/>
    <w:rsid w:val="00C46DAA"/>
    <w:rsid w:val="00C46E3D"/>
    <w:rsid w:val="00C47355"/>
    <w:rsid w:val="00C476D2"/>
    <w:rsid w:val="00C47C3B"/>
    <w:rsid w:val="00C50486"/>
    <w:rsid w:val="00C50570"/>
    <w:rsid w:val="00C5115C"/>
    <w:rsid w:val="00C51645"/>
    <w:rsid w:val="00C52619"/>
    <w:rsid w:val="00C52E8A"/>
    <w:rsid w:val="00C5315C"/>
    <w:rsid w:val="00C531C3"/>
    <w:rsid w:val="00C53DD0"/>
    <w:rsid w:val="00C540FD"/>
    <w:rsid w:val="00C54BFD"/>
    <w:rsid w:val="00C55B63"/>
    <w:rsid w:val="00C55DF6"/>
    <w:rsid w:val="00C563FB"/>
    <w:rsid w:val="00C5665B"/>
    <w:rsid w:val="00C568CA"/>
    <w:rsid w:val="00C5694C"/>
    <w:rsid w:val="00C57614"/>
    <w:rsid w:val="00C57AEE"/>
    <w:rsid w:val="00C57FCD"/>
    <w:rsid w:val="00C603D9"/>
    <w:rsid w:val="00C6064B"/>
    <w:rsid w:val="00C6072B"/>
    <w:rsid w:val="00C60DC6"/>
    <w:rsid w:val="00C610E7"/>
    <w:rsid w:val="00C61364"/>
    <w:rsid w:val="00C621D8"/>
    <w:rsid w:val="00C628B6"/>
    <w:rsid w:val="00C628BA"/>
    <w:rsid w:val="00C6390B"/>
    <w:rsid w:val="00C63C8F"/>
    <w:rsid w:val="00C63D4A"/>
    <w:rsid w:val="00C64063"/>
    <w:rsid w:val="00C642F2"/>
    <w:rsid w:val="00C644A1"/>
    <w:rsid w:val="00C64DB0"/>
    <w:rsid w:val="00C65047"/>
    <w:rsid w:val="00C65720"/>
    <w:rsid w:val="00C6574F"/>
    <w:rsid w:val="00C65A45"/>
    <w:rsid w:val="00C65E31"/>
    <w:rsid w:val="00C65EA4"/>
    <w:rsid w:val="00C7082C"/>
    <w:rsid w:val="00C70A62"/>
    <w:rsid w:val="00C70A9E"/>
    <w:rsid w:val="00C72135"/>
    <w:rsid w:val="00C72DFE"/>
    <w:rsid w:val="00C72F07"/>
    <w:rsid w:val="00C73100"/>
    <w:rsid w:val="00C73391"/>
    <w:rsid w:val="00C737F4"/>
    <w:rsid w:val="00C739E0"/>
    <w:rsid w:val="00C73BCE"/>
    <w:rsid w:val="00C745A9"/>
    <w:rsid w:val="00C749DF"/>
    <w:rsid w:val="00C75269"/>
    <w:rsid w:val="00C75848"/>
    <w:rsid w:val="00C7585D"/>
    <w:rsid w:val="00C758F5"/>
    <w:rsid w:val="00C75B40"/>
    <w:rsid w:val="00C760FA"/>
    <w:rsid w:val="00C76992"/>
    <w:rsid w:val="00C771DA"/>
    <w:rsid w:val="00C8007E"/>
    <w:rsid w:val="00C80659"/>
    <w:rsid w:val="00C80BD8"/>
    <w:rsid w:val="00C81121"/>
    <w:rsid w:val="00C81CCE"/>
    <w:rsid w:val="00C821EB"/>
    <w:rsid w:val="00C8325B"/>
    <w:rsid w:val="00C835BA"/>
    <w:rsid w:val="00C84078"/>
    <w:rsid w:val="00C842E3"/>
    <w:rsid w:val="00C847C0"/>
    <w:rsid w:val="00C84D8D"/>
    <w:rsid w:val="00C84F5F"/>
    <w:rsid w:val="00C85271"/>
    <w:rsid w:val="00C852F5"/>
    <w:rsid w:val="00C85E73"/>
    <w:rsid w:val="00C87472"/>
    <w:rsid w:val="00C87618"/>
    <w:rsid w:val="00C876C8"/>
    <w:rsid w:val="00C90055"/>
    <w:rsid w:val="00C903E1"/>
    <w:rsid w:val="00C90C40"/>
    <w:rsid w:val="00C90E1C"/>
    <w:rsid w:val="00C91247"/>
    <w:rsid w:val="00C92252"/>
    <w:rsid w:val="00C92353"/>
    <w:rsid w:val="00C93421"/>
    <w:rsid w:val="00C93B80"/>
    <w:rsid w:val="00C93F24"/>
    <w:rsid w:val="00C94599"/>
    <w:rsid w:val="00C94978"/>
    <w:rsid w:val="00C94AF1"/>
    <w:rsid w:val="00C952D1"/>
    <w:rsid w:val="00C9539D"/>
    <w:rsid w:val="00C954C6"/>
    <w:rsid w:val="00C95766"/>
    <w:rsid w:val="00C95AB5"/>
    <w:rsid w:val="00C960AB"/>
    <w:rsid w:val="00C973AE"/>
    <w:rsid w:val="00C97556"/>
    <w:rsid w:val="00C97A71"/>
    <w:rsid w:val="00C97D38"/>
    <w:rsid w:val="00CA0BCE"/>
    <w:rsid w:val="00CA0EC2"/>
    <w:rsid w:val="00CA216A"/>
    <w:rsid w:val="00CA2A17"/>
    <w:rsid w:val="00CA2F69"/>
    <w:rsid w:val="00CA3132"/>
    <w:rsid w:val="00CA31EC"/>
    <w:rsid w:val="00CA3823"/>
    <w:rsid w:val="00CA3BDF"/>
    <w:rsid w:val="00CA4819"/>
    <w:rsid w:val="00CA507A"/>
    <w:rsid w:val="00CA6D1D"/>
    <w:rsid w:val="00CA6FB3"/>
    <w:rsid w:val="00CA779C"/>
    <w:rsid w:val="00CA7818"/>
    <w:rsid w:val="00CA7D4D"/>
    <w:rsid w:val="00CB0580"/>
    <w:rsid w:val="00CB0DAA"/>
    <w:rsid w:val="00CB1111"/>
    <w:rsid w:val="00CB1998"/>
    <w:rsid w:val="00CB1FE0"/>
    <w:rsid w:val="00CB2C00"/>
    <w:rsid w:val="00CB2E2E"/>
    <w:rsid w:val="00CB2EDC"/>
    <w:rsid w:val="00CB3400"/>
    <w:rsid w:val="00CB4304"/>
    <w:rsid w:val="00CB436A"/>
    <w:rsid w:val="00CB522D"/>
    <w:rsid w:val="00CB556F"/>
    <w:rsid w:val="00CB569F"/>
    <w:rsid w:val="00CB5705"/>
    <w:rsid w:val="00CB5ACB"/>
    <w:rsid w:val="00CB670A"/>
    <w:rsid w:val="00CB6826"/>
    <w:rsid w:val="00CB6877"/>
    <w:rsid w:val="00CB7737"/>
    <w:rsid w:val="00CB79ED"/>
    <w:rsid w:val="00CC01EE"/>
    <w:rsid w:val="00CC08F9"/>
    <w:rsid w:val="00CC0C7B"/>
    <w:rsid w:val="00CC0DC3"/>
    <w:rsid w:val="00CC1425"/>
    <w:rsid w:val="00CC1C8E"/>
    <w:rsid w:val="00CC31DB"/>
    <w:rsid w:val="00CC3941"/>
    <w:rsid w:val="00CC3F15"/>
    <w:rsid w:val="00CC4115"/>
    <w:rsid w:val="00CC45A6"/>
    <w:rsid w:val="00CC47BE"/>
    <w:rsid w:val="00CC4800"/>
    <w:rsid w:val="00CC4F51"/>
    <w:rsid w:val="00CC4FD5"/>
    <w:rsid w:val="00CC53FE"/>
    <w:rsid w:val="00CC5603"/>
    <w:rsid w:val="00CC6B73"/>
    <w:rsid w:val="00CC75E0"/>
    <w:rsid w:val="00CC7B4E"/>
    <w:rsid w:val="00CD0426"/>
    <w:rsid w:val="00CD1E94"/>
    <w:rsid w:val="00CD1E9A"/>
    <w:rsid w:val="00CD29EE"/>
    <w:rsid w:val="00CD4492"/>
    <w:rsid w:val="00CD4CCE"/>
    <w:rsid w:val="00CD4DB9"/>
    <w:rsid w:val="00CD51E5"/>
    <w:rsid w:val="00CD5CAD"/>
    <w:rsid w:val="00CD5E1B"/>
    <w:rsid w:val="00CD6CEF"/>
    <w:rsid w:val="00CD7DD4"/>
    <w:rsid w:val="00CE00D5"/>
    <w:rsid w:val="00CE0197"/>
    <w:rsid w:val="00CE1155"/>
    <w:rsid w:val="00CE12D1"/>
    <w:rsid w:val="00CE1309"/>
    <w:rsid w:val="00CE1572"/>
    <w:rsid w:val="00CE19D0"/>
    <w:rsid w:val="00CE1A9E"/>
    <w:rsid w:val="00CE1B46"/>
    <w:rsid w:val="00CE338B"/>
    <w:rsid w:val="00CE3949"/>
    <w:rsid w:val="00CE4714"/>
    <w:rsid w:val="00CE5728"/>
    <w:rsid w:val="00CE5E20"/>
    <w:rsid w:val="00CE64E6"/>
    <w:rsid w:val="00CE66DA"/>
    <w:rsid w:val="00CE6C6B"/>
    <w:rsid w:val="00CE74C2"/>
    <w:rsid w:val="00CF0435"/>
    <w:rsid w:val="00CF05E5"/>
    <w:rsid w:val="00CF0FE1"/>
    <w:rsid w:val="00CF107A"/>
    <w:rsid w:val="00CF1A1E"/>
    <w:rsid w:val="00CF2304"/>
    <w:rsid w:val="00CF281A"/>
    <w:rsid w:val="00CF2B34"/>
    <w:rsid w:val="00CF2FAF"/>
    <w:rsid w:val="00CF35A8"/>
    <w:rsid w:val="00CF3A66"/>
    <w:rsid w:val="00CF3D44"/>
    <w:rsid w:val="00CF41D2"/>
    <w:rsid w:val="00CF4719"/>
    <w:rsid w:val="00CF4A33"/>
    <w:rsid w:val="00CF5F87"/>
    <w:rsid w:val="00CF624C"/>
    <w:rsid w:val="00CF6892"/>
    <w:rsid w:val="00CF758F"/>
    <w:rsid w:val="00CF78EE"/>
    <w:rsid w:val="00CF7C56"/>
    <w:rsid w:val="00CF7E76"/>
    <w:rsid w:val="00D01158"/>
    <w:rsid w:val="00D011FE"/>
    <w:rsid w:val="00D014DD"/>
    <w:rsid w:val="00D01764"/>
    <w:rsid w:val="00D017DE"/>
    <w:rsid w:val="00D01B66"/>
    <w:rsid w:val="00D021F9"/>
    <w:rsid w:val="00D02860"/>
    <w:rsid w:val="00D029D8"/>
    <w:rsid w:val="00D02ADF"/>
    <w:rsid w:val="00D02E2D"/>
    <w:rsid w:val="00D033EF"/>
    <w:rsid w:val="00D036AA"/>
    <w:rsid w:val="00D036EA"/>
    <w:rsid w:val="00D05AE1"/>
    <w:rsid w:val="00D0630F"/>
    <w:rsid w:val="00D06455"/>
    <w:rsid w:val="00D07590"/>
    <w:rsid w:val="00D07B4C"/>
    <w:rsid w:val="00D10319"/>
    <w:rsid w:val="00D103E0"/>
    <w:rsid w:val="00D105D9"/>
    <w:rsid w:val="00D1067F"/>
    <w:rsid w:val="00D1075B"/>
    <w:rsid w:val="00D10A4C"/>
    <w:rsid w:val="00D10BA7"/>
    <w:rsid w:val="00D113CC"/>
    <w:rsid w:val="00D11864"/>
    <w:rsid w:val="00D11980"/>
    <w:rsid w:val="00D119F0"/>
    <w:rsid w:val="00D11A7D"/>
    <w:rsid w:val="00D11D51"/>
    <w:rsid w:val="00D11F42"/>
    <w:rsid w:val="00D12577"/>
    <w:rsid w:val="00D126F6"/>
    <w:rsid w:val="00D12C97"/>
    <w:rsid w:val="00D133A9"/>
    <w:rsid w:val="00D13594"/>
    <w:rsid w:val="00D13E5F"/>
    <w:rsid w:val="00D14328"/>
    <w:rsid w:val="00D14E1C"/>
    <w:rsid w:val="00D156BF"/>
    <w:rsid w:val="00D156DD"/>
    <w:rsid w:val="00D16002"/>
    <w:rsid w:val="00D16140"/>
    <w:rsid w:val="00D1620D"/>
    <w:rsid w:val="00D167A8"/>
    <w:rsid w:val="00D16BEC"/>
    <w:rsid w:val="00D16C42"/>
    <w:rsid w:val="00D17256"/>
    <w:rsid w:val="00D17E1A"/>
    <w:rsid w:val="00D17E74"/>
    <w:rsid w:val="00D202A7"/>
    <w:rsid w:val="00D204FF"/>
    <w:rsid w:val="00D20BE8"/>
    <w:rsid w:val="00D20F21"/>
    <w:rsid w:val="00D21609"/>
    <w:rsid w:val="00D21859"/>
    <w:rsid w:val="00D21C3C"/>
    <w:rsid w:val="00D223D6"/>
    <w:rsid w:val="00D22BD6"/>
    <w:rsid w:val="00D231EA"/>
    <w:rsid w:val="00D23AC6"/>
    <w:rsid w:val="00D23BF5"/>
    <w:rsid w:val="00D23CE7"/>
    <w:rsid w:val="00D24378"/>
    <w:rsid w:val="00D244CF"/>
    <w:rsid w:val="00D254C8"/>
    <w:rsid w:val="00D257D1"/>
    <w:rsid w:val="00D266BC"/>
    <w:rsid w:val="00D27009"/>
    <w:rsid w:val="00D2769F"/>
    <w:rsid w:val="00D27786"/>
    <w:rsid w:val="00D279EF"/>
    <w:rsid w:val="00D27ACB"/>
    <w:rsid w:val="00D27D58"/>
    <w:rsid w:val="00D30084"/>
    <w:rsid w:val="00D3095C"/>
    <w:rsid w:val="00D3102B"/>
    <w:rsid w:val="00D31145"/>
    <w:rsid w:val="00D315E5"/>
    <w:rsid w:val="00D33275"/>
    <w:rsid w:val="00D33625"/>
    <w:rsid w:val="00D34BFC"/>
    <w:rsid w:val="00D35366"/>
    <w:rsid w:val="00D367F8"/>
    <w:rsid w:val="00D3701A"/>
    <w:rsid w:val="00D37F4F"/>
    <w:rsid w:val="00D400C0"/>
    <w:rsid w:val="00D4086E"/>
    <w:rsid w:val="00D41003"/>
    <w:rsid w:val="00D41440"/>
    <w:rsid w:val="00D419B8"/>
    <w:rsid w:val="00D41C13"/>
    <w:rsid w:val="00D41CFA"/>
    <w:rsid w:val="00D41D96"/>
    <w:rsid w:val="00D41E17"/>
    <w:rsid w:val="00D41F7B"/>
    <w:rsid w:val="00D42569"/>
    <w:rsid w:val="00D4264A"/>
    <w:rsid w:val="00D4272A"/>
    <w:rsid w:val="00D440E6"/>
    <w:rsid w:val="00D443AF"/>
    <w:rsid w:val="00D45380"/>
    <w:rsid w:val="00D458C4"/>
    <w:rsid w:val="00D46E48"/>
    <w:rsid w:val="00D47277"/>
    <w:rsid w:val="00D4746C"/>
    <w:rsid w:val="00D4778B"/>
    <w:rsid w:val="00D478C9"/>
    <w:rsid w:val="00D509AE"/>
    <w:rsid w:val="00D50CAE"/>
    <w:rsid w:val="00D50CC1"/>
    <w:rsid w:val="00D50CC7"/>
    <w:rsid w:val="00D514FB"/>
    <w:rsid w:val="00D51710"/>
    <w:rsid w:val="00D51B51"/>
    <w:rsid w:val="00D51DD0"/>
    <w:rsid w:val="00D52162"/>
    <w:rsid w:val="00D5255A"/>
    <w:rsid w:val="00D537FD"/>
    <w:rsid w:val="00D53F1B"/>
    <w:rsid w:val="00D546AC"/>
    <w:rsid w:val="00D547E6"/>
    <w:rsid w:val="00D5553A"/>
    <w:rsid w:val="00D55FC9"/>
    <w:rsid w:val="00D5644B"/>
    <w:rsid w:val="00D56B43"/>
    <w:rsid w:val="00D56DCC"/>
    <w:rsid w:val="00D56FA5"/>
    <w:rsid w:val="00D56FE0"/>
    <w:rsid w:val="00D57206"/>
    <w:rsid w:val="00D57209"/>
    <w:rsid w:val="00D57F51"/>
    <w:rsid w:val="00D6012A"/>
    <w:rsid w:val="00D60741"/>
    <w:rsid w:val="00D6123D"/>
    <w:rsid w:val="00D6187F"/>
    <w:rsid w:val="00D619A4"/>
    <w:rsid w:val="00D61E33"/>
    <w:rsid w:val="00D61FA6"/>
    <w:rsid w:val="00D62559"/>
    <w:rsid w:val="00D6265F"/>
    <w:rsid w:val="00D62E71"/>
    <w:rsid w:val="00D64360"/>
    <w:rsid w:val="00D647E9"/>
    <w:rsid w:val="00D6482E"/>
    <w:rsid w:val="00D64A75"/>
    <w:rsid w:val="00D64A8B"/>
    <w:rsid w:val="00D6544C"/>
    <w:rsid w:val="00D65778"/>
    <w:rsid w:val="00D65A95"/>
    <w:rsid w:val="00D65B33"/>
    <w:rsid w:val="00D65DB4"/>
    <w:rsid w:val="00D66393"/>
    <w:rsid w:val="00D66BD0"/>
    <w:rsid w:val="00D66CF0"/>
    <w:rsid w:val="00D66E0B"/>
    <w:rsid w:val="00D67063"/>
    <w:rsid w:val="00D67169"/>
    <w:rsid w:val="00D67484"/>
    <w:rsid w:val="00D67BC8"/>
    <w:rsid w:val="00D7040F"/>
    <w:rsid w:val="00D70C92"/>
    <w:rsid w:val="00D70CB0"/>
    <w:rsid w:val="00D71196"/>
    <w:rsid w:val="00D7134E"/>
    <w:rsid w:val="00D71DE8"/>
    <w:rsid w:val="00D72948"/>
    <w:rsid w:val="00D7299B"/>
    <w:rsid w:val="00D72B7E"/>
    <w:rsid w:val="00D738F7"/>
    <w:rsid w:val="00D73962"/>
    <w:rsid w:val="00D73E6F"/>
    <w:rsid w:val="00D7423D"/>
    <w:rsid w:val="00D743E4"/>
    <w:rsid w:val="00D74435"/>
    <w:rsid w:val="00D745EA"/>
    <w:rsid w:val="00D74C55"/>
    <w:rsid w:val="00D75306"/>
    <w:rsid w:val="00D76050"/>
    <w:rsid w:val="00D763A7"/>
    <w:rsid w:val="00D763F5"/>
    <w:rsid w:val="00D7653A"/>
    <w:rsid w:val="00D76A8D"/>
    <w:rsid w:val="00D76DFA"/>
    <w:rsid w:val="00D77281"/>
    <w:rsid w:val="00D7756A"/>
    <w:rsid w:val="00D775D6"/>
    <w:rsid w:val="00D77F98"/>
    <w:rsid w:val="00D805DB"/>
    <w:rsid w:val="00D80873"/>
    <w:rsid w:val="00D80CBD"/>
    <w:rsid w:val="00D81901"/>
    <w:rsid w:val="00D8204B"/>
    <w:rsid w:val="00D82619"/>
    <w:rsid w:val="00D83522"/>
    <w:rsid w:val="00D836FE"/>
    <w:rsid w:val="00D83830"/>
    <w:rsid w:val="00D84035"/>
    <w:rsid w:val="00D840C5"/>
    <w:rsid w:val="00D84960"/>
    <w:rsid w:val="00D849F9"/>
    <w:rsid w:val="00D84B3D"/>
    <w:rsid w:val="00D85260"/>
    <w:rsid w:val="00D85467"/>
    <w:rsid w:val="00D865FD"/>
    <w:rsid w:val="00D869EE"/>
    <w:rsid w:val="00D86CC5"/>
    <w:rsid w:val="00D871DE"/>
    <w:rsid w:val="00D879E7"/>
    <w:rsid w:val="00D9075C"/>
    <w:rsid w:val="00D90C8F"/>
    <w:rsid w:val="00D90E93"/>
    <w:rsid w:val="00D918CD"/>
    <w:rsid w:val="00D920B7"/>
    <w:rsid w:val="00D92893"/>
    <w:rsid w:val="00D92CC7"/>
    <w:rsid w:val="00D92D07"/>
    <w:rsid w:val="00D92D6E"/>
    <w:rsid w:val="00D92FD3"/>
    <w:rsid w:val="00D9303B"/>
    <w:rsid w:val="00D933D6"/>
    <w:rsid w:val="00D9359E"/>
    <w:rsid w:val="00D936D0"/>
    <w:rsid w:val="00D93A5E"/>
    <w:rsid w:val="00D940D7"/>
    <w:rsid w:val="00D94397"/>
    <w:rsid w:val="00D94572"/>
    <w:rsid w:val="00D94AED"/>
    <w:rsid w:val="00D94EF2"/>
    <w:rsid w:val="00D95120"/>
    <w:rsid w:val="00D9515B"/>
    <w:rsid w:val="00D9672A"/>
    <w:rsid w:val="00D970AF"/>
    <w:rsid w:val="00D973C0"/>
    <w:rsid w:val="00D978B6"/>
    <w:rsid w:val="00D978FC"/>
    <w:rsid w:val="00D97A4C"/>
    <w:rsid w:val="00D97D05"/>
    <w:rsid w:val="00DA02C3"/>
    <w:rsid w:val="00DA0421"/>
    <w:rsid w:val="00DA0553"/>
    <w:rsid w:val="00DA0EAA"/>
    <w:rsid w:val="00DA1299"/>
    <w:rsid w:val="00DA12F9"/>
    <w:rsid w:val="00DA160E"/>
    <w:rsid w:val="00DA200C"/>
    <w:rsid w:val="00DA22E5"/>
    <w:rsid w:val="00DA25FF"/>
    <w:rsid w:val="00DA2DE8"/>
    <w:rsid w:val="00DA322F"/>
    <w:rsid w:val="00DA3E84"/>
    <w:rsid w:val="00DA471A"/>
    <w:rsid w:val="00DA5036"/>
    <w:rsid w:val="00DA5D58"/>
    <w:rsid w:val="00DA6257"/>
    <w:rsid w:val="00DA6B6C"/>
    <w:rsid w:val="00DA7005"/>
    <w:rsid w:val="00DA73C0"/>
    <w:rsid w:val="00DA74D7"/>
    <w:rsid w:val="00DA7DC4"/>
    <w:rsid w:val="00DB0699"/>
    <w:rsid w:val="00DB0797"/>
    <w:rsid w:val="00DB130E"/>
    <w:rsid w:val="00DB1464"/>
    <w:rsid w:val="00DB1939"/>
    <w:rsid w:val="00DB1E34"/>
    <w:rsid w:val="00DB350C"/>
    <w:rsid w:val="00DB37D8"/>
    <w:rsid w:val="00DB3B86"/>
    <w:rsid w:val="00DB3DA3"/>
    <w:rsid w:val="00DB4965"/>
    <w:rsid w:val="00DB4C61"/>
    <w:rsid w:val="00DB4E51"/>
    <w:rsid w:val="00DB5495"/>
    <w:rsid w:val="00DB5977"/>
    <w:rsid w:val="00DB5F80"/>
    <w:rsid w:val="00DB663B"/>
    <w:rsid w:val="00DB6986"/>
    <w:rsid w:val="00DB791F"/>
    <w:rsid w:val="00DC04ED"/>
    <w:rsid w:val="00DC0679"/>
    <w:rsid w:val="00DC0B5B"/>
    <w:rsid w:val="00DC1362"/>
    <w:rsid w:val="00DC1399"/>
    <w:rsid w:val="00DC1AAC"/>
    <w:rsid w:val="00DC1C69"/>
    <w:rsid w:val="00DC1EE2"/>
    <w:rsid w:val="00DC2228"/>
    <w:rsid w:val="00DC238D"/>
    <w:rsid w:val="00DC29FC"/>
    <w:rsid w:val="00DC2F03"/>
    <w:rsid w:val="00DC3270"/>
    <w:rsid w:val="00DC3613"/>
    <w:rsid w:val="00DC3787"/>
    <w:rsid w:val="00DC3996"/>
    <w:rsid w:val="00DC3AC6"/>
    <w:rsid w:val="00DC3E0A"/>
    <w:rsid w:val="00DC4653"/>
    <w:rsid w:val="00DC5D84"/>
    <w:rsid w:val="00DC6A60"/>
    <w:rsid w:val="00DC7885"/>
    <w:rsid w:val="00DC7972"/>
    <w:rsid w:val="00DC79DD"/>
    <w:rsid w:val="00DC7CB3"/>
    <w:rsid w:val="00DD07E7"/>
    <w:rsid w:val="00DD0DCB"/>
    <w:rsid w:val="00DD111A"/>
    <w:rsid w:val="00DD1693"/>
    <w:rsid w:val="00DD1AE1"/>
    <w:rsid w:val="00DD1DC2"/>
    <w:rsid w:val="00DD21D9"/>
    <w:rsid w:val="00DD289E"/>
    <w:rsid w:val="00DD3230"/>
    <w:rsid w:val="00DD3321"/>
    <w:rsid w:val="00DD3454"/>
    <w:rsid w:val="00DD3C0C"/>
    <w:rsid w:val="00DD3D04"/>
    <w:rsid w:val="00DD441F"/>
    <w:rsid w:val="00DD464A"/>
    <w:rsid w:val="00DD53EE"/>
    <w:rsid w:val="00DD5CF3"/>
    <w:rsid w:val="00DD619E"/>
    <w:rsid w:val="00DD637F"/>
    <w:rsid w:val="00DD66A4"/>
    <w:rsid w:val="00DD687B"/>
    <w:rsid w:val="00DD6BC3"/>
    <w:rsid w:val="00DD6F3F"/>
    <w:rsid w:val="00DD71C0"/>
    <w:rsid w:val="00DD73EB"/>
    <w:rsid w:val="00DD781C"/>
    <w:rsid w:val="00DD7C98"/>
    <w:rsid w:val="00DE0248"/>
    <w:rsid w:val="00DE0587"/>
    <w:rsid w:val="00DE07CD"/>
    <w:rsid w:val="00DE0A52"/>
    <w:rsid w:val="00DE0E68"/>
    <w:rsid w:val="00DE15E8"/>
    <w:rsid w:val="00DE18CB"/>
    <w:rsid w:val="00DE1A48"/>
    <w:rsid w:val="00DE1A7A"/>
    <w:rsid w:val="00DE1DF1"/>
    <w:rsid w:val="00DE23D5"/>
    <w:rsid w:val="00DE2C44"/>
    <w:rsid w:val="00DE2D64"/>
    <w:rsid w:val="00DE40F7"/>
    <w:rsid w:val="00DE4ADB"/>
    <w:rsid w:val="00DE4F01"/>
    <w:rsid w:val="00DE503A"/>
    <w:rsid w:val="00DE549E"/>
    <w:rsid w:val="00DE56DB"/>
    <w:rsid w:val="00DE5CE7"/>
    <w:rsid w:val="00DE661C"/>
    <w:rsid w:val="00DE6DE8"/>
    <w:rsid w:val="00DE72A4"/>
    <w:rsid w:val="00DE73F5"/>
    <w:rsid w:val="00DE7E57"/>
    <w:rsid w:val="00DF0026"/>
    <w:rsid w:val="00DF0135"/>
    <w:rsid w:val="00DF039B"/>
    <w:rsid w:val="00DF07B4"/>
    <w:rsid w:val="00DF0BAC"/>
    <w:rsid w:val="00DF1ADA"/>
    <w:rsid w:val="00DF1C90"/>
    <w:rsid w:val="00DF20C0"/>
    <w:rsid w:val="00DF295F"/>
    <w:rsid w:val="00DF2B39"/>
    <w:rsid w:val="00DF2C48"/>
    <w:rsid w:val="00DF2C4E"/>
    <w:rsid w:val="00DF2EE6"/>
    <w:rsid w:val="00DF2F8D"/>
    <w:rsid w:val="00DF3483"/>
    <w:rsid w:val="00DF384A"/>
    <w:rsid w:val="00DF4396"/>
    <w:rsid w:val="00DF4D47"/>
    <w:rsid w:val="00DF4E03"/>
    <w:rsid w:val="00DF6417"/>
    <w:rsid w:val="00DF70FD"/>
    <w:rsid w:val="00DF717A"/>
    <w:rsid w:val="00DF71E6"/>
    <w:rsid w:val="00DF778F"/>
    <w:rsid w:val="00DF7A3B"/>
    <w:rsid w:val="00E017B9"/>
    <w:rsid w:val="00E01A7E"/>
    <w:rsid w:val="00E027E8"/>
    <w:rsid w:val="00E028F7"/>
    <w:rsid w:val="00E03286"/>
    <w:rsid w:val="00E03ED3"/>
    <w:rsid w:val="00E0442F"/>
    <w:rsid w:val="00E053E8"/>
    <w:rsid w:val="00E0634F"/>
    <w:rsid w:val="00E1002F"/>
    <w:rsid w:val="00E10E5B"/>
    <w:rsid w:val="00E11924"/>
    <w:rsid w:val="00E12983"/>
    <w:rsid w:val="00E12C05"/>
    <w:rsid w:val="00E12D1E"/>
    <w:rsid w:val="00E12F21"/>
    <w:rsid w:val="00E12FDB"/>
    <w:rsid w:val="00E13630"/>
    <w:rsid w:val="00E137ED"/>
    <w:rsid w:val="00E13A5F"/>
    <w:rsid w:val="00E13B8E"/>
    <w:rsid w:val="00E14026"/>
    <w:rsid w:val="00E14352"/>
    <w:rsid w:val="00E147FC"/>
    <w:rsid w:val="00E14D8E"/>
    <w:rsid w:val="00E1545A"/>
    <w:rsid w:val="00E1551F"/>
    <w:rsid w:val="00E15AC0"/>
    <w:rsid w:val="00E15DFF"/>
    <w:rsid w:val="00E1671A"/>
    <w:rsid w:val="00E16BC9"/>
    <w:rsid w:val="00E16EC4"/>
    <w:rsid w:val="00E16F49"/>
    <w:rsid w:val="00E170FF"/>
    <w:rsid w:val="00E171F8"/>
    <w:rsid w:val="00E172AA"/>
    <w:rsid w:val="00E172BC"/>
    <w:rsid w:val="00E17FD8"/>
    <w:rsid w:val="00E2042B"/>
    <w:rsid w:val="00E20B2E"/>
    <w:rsid w:val="00E21532"/>
    <w:rsid w:val="00E21A2D"/>
    <w:rsid w:val="00E21CE5"/>
    <w:rsid w:val="00E22551"/>
    <w:rsid w:val="00E234EC"/>
    <w:rsid w:val="00E24087"/>
    <w:rsid w:val="00E248B4"/>
    <w:rsid w:val="00E2496A"/>
    <w:rsid w:val="00E24CAF"/>
    <w:rsid w:val="00E254D4"/>
    <w:rsid w:val="00E25A88"/>
    <w:rsid w:val="00E2663D"/>
    <w:rsid w:val="00E26A1E"/>
    <w:rsid w:val="00E27221"/>
    <w:rsid w:val="00E27247"/>
    <w:rsid w:val="00E274BB"/>
    <w:rsid w:val="00E27728"/>
    <w:rsid w:val="00E30982"/>
    <w:rsid w:val="00E30B34"/>
    <w:rsid w:val="00E30E96"/>
    <w:rsid w:val="00E311F8"/>
    <w:rsid w:val="00E3129A"/>
    <w:rsid w:val="00E316F2"/>
    <w:rsid w:val="00E32056"/>
    <w:rsid w:val="00E32417"/>
    <w:rsid w:val="00E32487"/>
    <w:rsid w:val="00E3262D"/>
    <w:rsid w:val="00E33570"/>
    <w:rsid w:val="00E34087"/>
    <w:rsid w:val="00E34797"/>
    <w:rsid w:val="00E354BE"/>
    <w:rsid w:val="00E3636F"/>
    <w:rsid w:val="00E3661D"/>
    <w:rsid w:val="00E36E75"/>
    <w:rsid w:val="00E3703B"/>
    <w:rsid w:val="00E37DFD"/>
    <w:rsid w:val="00E40157"/>
    <w:rsid w:val="00E40173"/>
    <w:rsid w:val="00E4017D"/>
    <w:rsid w:val="00E40267"/>
    <w:rsid w:val="00E411F3"/>
    <w:rsid w:val="00E4125B"/>
    <w:rsid w:val="00E41989"/>
    <w:rsid w:val="00E42168"/>
    <w:rsid w:val="00E42963"/>
    <w:rsid w:val="00E43529"/>
    <w:rsid w:val="00E44B3B"/>
    <w:rsid w:val="00E4506C"/>
    <w:rsid w:val="00E452C4"/>
    <w:rsid w:val="00E4576E"/>
    <w:rsid w:val="00E46082"/>
    <w:rsid w:val="00E46219"/>
    <w:rsid w:val="00E46326"/>
    <w:rsid w:val="00E46457"/>
    <w:rsid w:val="00E464E6"/>
    <w:rsid w:val="00E46633"/>
    <w:rsid w:val="00E468B9"/>
    <w:rsid w:val="00E46A10"/>
    <w:rsid w:val="00E46A8A"/>
    <w:rsid w:val="00E46CE5"/>
    <w:rsid w:val="00E475DF"/>
    <w:rsid w:val="00E50750"/>
    <w:rsid w:val="00E50EEA"/>
    <w:rsid w:val="00E51341"/>
    <w:rsid w:val="00E514F4"/>
    <w:rsid w:val="00E5184C"/>
    <w:rsid w:val="00E51BD2"/>
    <w:rsid w:val="00E51CA8"/>
    <w:rsid w:val="00E51E3D"/>
    <w:rsid w:val="00E52895"/>
    <w:rsid w:val="00E52B31"/>
    <w:rsid w:val="00E532FD"/>
    <w:rsid w:val="00E53B4E"/>
    <w:rsid w:val="00E54250"/>
    <w:rsid w:val="00E54522"/>
    <w:rsid w:val="00E5477E"/>
    <w:rsid w:val="00E54BC6"/>
    <w:rsid w:val="00E5503A"/>
    <w:rsid w:val="00E55141"/>
    <w:rsid w:val="00E5547B"/>
    <w:rsid w:val="00E55CDA"/>
    <w:rsid w:val="00E55F0B"/>
    <w:rsid w:val="00E561EA"/>
    <w:rsid w:val="00E56A6C"/>
    <w:rsid w:val="00E56AB7"/>
    <w:rsid w:val="00E57440"/>
    <w:rsid w:val="00E6036F"/>
    <w:rsid w:val="00E61216"/>
    <w:rsid w:val="00E619C1"/>
    <w:rsid w:val="00E61A0D"/>
    <w:rsid w:val="00E62418"/>
    <w:rsid w:val="00E6276A"/>
    <w:rsid w:val="00E62861"/>
    <w:rsid w:val="00E62E89"/>
    <w:rsid w:val="00E6420C"/>
    <w:rsid w:val="00E647E7"/>
    <w:rsid w:val="00E65095"/>
    <w:rsid w:val="00E65399"/>
    <w:rsid w:val="00E65E03"/>
    <w:rsid w:val="00E6663A"/>
    <w:rsid w:val="00E666DC"/>
    <w:rsid w:val="00E66A46"/>
    <w:rsid w:val="00E66E58"/>
    <w:rsid w:val="00E67E8C"/>
    <w:rsid w:val="00E67FFD"/>
    <w:rsid w:val="00E700A7"/>
    <w:rsid w:val="00E703FA"/>
    <w:rsid w:val="00E70CC7"/>
    <w:rsid w:val="00E710DF"/>
    <w:rsid w:val="00E712BF"/>
    <w:rsid w:val="00E71BAB"/>
    <w:rsid w:val="00E72418"/>
    <w:rsid w:val="00E7278A"/>
    <w:rsid w:val="00E733B5"/>
    <w:rsid w:val="00E73475"/>
    <w:rsid w:val="00E73A8F"/>
    <w:rsid w:val="00E74D0F"/>
    <w:rsid w:val="00E74DD1"/>
    <w:rsid w:val="00E74ED8"/>
    <w:rsid w:val="00E750FD"/>
    <w:rsid w:val="00E75357"/>
    <w:rsid w:val="00E75B0E"/>
    <w:rsid w:val="00E75C7D"/>
    <w:rsid w:val="00E75CC8"/>
    <w:rsid w:val="00E75DA2"/>
    <w:rsid w:val="00E76114"/>
    <w:rsid w:val="00E7627A"/>
    <w:rsid w:val="00E76432"/>
    <w:rsid w:val="00E7666F"/>
    <w:rsid w:val="00E7791A"/>
    <w:rsid w:val="00E8125F"/>
    <w:rsid w:val="00E8209D"/>
    <w:rsid w:val="00E82170"/>
    <w:rsid w:val="00E8259E"/>
    <w:rsid w:val="00E82DD0"/>
    <w:rsid w:val="00E831F5"/>
    <w:rsid w:val="00E833BD"/>
    <w:rsid w:val="00E855C3"/>
    <w:rsid w:val="00E85E36"/>
    <w:rsid w:val="00E86306"/>
    <w:rsid w:val="00E863CF"/>
    <w:rsid w:val="00E86758"/>
    <w:rsid w:val="00E87135"/>
    <w:rsid w:val="00E874B6"/>
    <w:rsid w:val="00E87556"/>
    <w:rsid w:val="00E878D6"/>
    <w:rsid w:val="00E87A38"/>
    <w:rsid w:val="00E87B9C"/>
    <w:rsid w:val="00E9040E"/>
    <w:rsid w:val="00E90CE9"/>
    <w:rsid w:val="00E90D26"/>
    <w:rsid w:val="00E90ED7"/>
    <w:rsid w:val="00E91284"/>
    <w:rsid w:val="00E91305"/>
    <w:rsid w:val="00E91663"/>
    <w:rsid w:val="00E917EC"/>
    <w:rsid w:val="00E91B43"/>
    <w:rsid w:val="00E927B1"/>
    <w:rsid w:val="00E92C18"/>
    <w:rsid w:val="00E93611"/>
    <w:rsid w:val="00E94695"/>
    <w:rsid w:val="00E94E18"/>
    <w:rsid w:val="00E957C8"/>
    <w:rsid w:val="00E96038"/>
    <w:rsid w:val="00E96857"/>
    <w:rsid w:val="00E97657"/>
    <w:rsid w:val="00EA06BD"/>
    <w:rsid w:val="00EA0A9D"/>
    <w:rsid w:val="00EA0BEE"/>
    <w:rsid w:val="00EA0D23"/>
    <w:rsid w:val="00EA139C"/>
    <w:rsid w:val="00EA1B86"/>
    <w:rsid w:val="00EA1CDC"/>
    <w:rsid w:val="00EA2157"/>
    <w:rsid w:val="00EA2FA9"/>
    <w:rsid w:val="00EA3483"/>
    <w:rsid w:val="00EA38C8"/>
    <w:rsid w:val="00EA3D66"/>
    <w:rsid w:val="00EA4A8B"/>
    <w:rsid w:val="00EA4B19"/>
    <w:rsid w:val="00EA4B86"/>
    <w:rsid w:val="00EA4C21"/>
    <w:rsid w:val="00EA5B00"/>
    <w:rsid w:val="00EA5CD6"/>
    <w:rsid w:val="00EA5E0A"/>
    <w:rsid w:val="00EA6C3C"/>
    <w:rsid w:val="00EA74F6"/>
    <w:rsid w:val="00EA75E3"/>
    <w:rsid w:val="00EA7E3B"/>
    <w:rsid w:val="00EA7F1A"/>
    <w:rsid w:val="00EB0028"/>
    <w:rsid w:val="00EB0123"/>
    <w:rsid w:val="00EB0349"/>
    <w:rsid w:val="00EB05EE"/>
    <w:rsid w:val="00EB10C9"/>
    <w:rsid w:val="00EB10D5"/>
    <w:rsid w:val="00EB113F"/>
    <w:rsid w:val="00EB1B62"/>
    <w:rsid w:val="00EB1C1A"/>
    <w:rsid w:val="00EB227E"/>
    <w:rsid w:val="00EB260E"/>
    <w:rsid w:val="00EB29A1"/>
    <w:rsid w:val="00EB406B"/>
    <w:rsid w:val="00EB43C2"/>
    <w:rsid w:val="00EB4503"/>
    <w:rsid w:val="00EB4FB1"/>
    <w:rsid w:val="00EB5593"/>
    <w:rsid w:val="00EB57E9"/>
    <w:rsid w:val="00EB5970"/>
    <w:rsid w:val="00EB5AB3"/>
    <w:rsid w:val="00EB5D3F"/>
    <w:rsid w:val="00EB5FE5"/>
    <w:rsid w:val="00EB71DC"/>
    <w:rsid w:val="00EB71E1"/>
    <w:rsid w:val="00EB74EB"/>
    <w:rsid w:val="00EB7646"/>
    <w:rsid w:val="00EB7A9A"/>
    <w:rsid w:val="00EC0574"/>
    <w:rsid w:val="00EC06EA"/>
    <w:rsid w:val="00EC174B"/>
    <w:rsid w:val="00EC19FB"/>
    <w:rsid w:val="00EC1EF3"/>
    <w:rsid w:val="00EC2D9C"/>
    <w:rsid w:val="00EC3637"/>
    <w:rsid w:val="00EC3BCC"/>
    <w:rsid w:val="00EC3F37"/>
    <w:rsid w:val="00EC411D"/>
    <w:rsid w:val="00EC4273"/>
    <w:rsid w:val="00EC46A4"/>
    <w:rsid w:val="00EC51E7"/>
    <w:rsid w:val="00EC5E69"/>
    <w:rsid w:val="00EC644A"/>
    <w:rsid w:val="00EC669C"/>
    <w:rsid w:val="00EC74D6"/>
    <w:rsid w:val="00ED065E"/>
    <w:rsid w:val="00ED16AB"/>
    <w:rsid w:val="00ED18DF"/>
    <w:rsid w:val="00ED1A63"/>
    <w:rsid w:val="00ED1F44"/>
    <w:rsid w:val="00ED207B"/>
    <w:rsid w:val="00ED20E1"/>
    <w:rsid w:val="00ED258D"/>
    <w:rsid w:val="00ED2ECB"/>
    <w:rsid w:val="00ED306B"/>
    <w:rsid w:val="00ED30B7"/>
    <w:rsid w:val="00ED38B1"/>
    <w:rsid w:val="00ED39CD"/>
    <w:rsid w:val="00ED39D2"/>
    <w:rsid w:val="00ED418C"/>
    <w:rsid w:val="00ED4606"/>
    <w:rsid w:val="00ED4984"/>
    <w:rsid w:val="00ED6B60"/>
    <w:rsid w:val="00ED6E3D"/>
    <w:rsid w:val="00ED7135"/>
    <w:rsid w:val="00ED722B"/>
    <w:rsid w:val="00ED7703"/>
    <w:rsid w:val="00EE02F3"/>
    <w:rsid w:val="00EE0571"/>
    <w:rsid w:val="00EE1452"/>
    <w:rsid w:val="00EE1680"/>
    <w:rsid w:val="00EE2423"/>
    <w:rsid w:val="00EE2534"/>
    <w:rsid w:val="00EE28ED"/>
    <w:rsid w:val="00EE4AAA"/>
    <w:rsid w:val="00EE4D00"/>
    <w:rsid w:val="00EE5E23"/>
    <w:rsid w:val="00EE6129"/>
    <w:rsid w:val="00EE6191"/>
    <w:rsid w:val="00EE7185"/>
    <w:rsid w:val="00EE71C8"/>
    <w:rsid w:val="00EF0013"/>
    <w:rsid w:val="00EF059B"/>
    <w:rsid w:val="00EF0E14"/>
    <w:rsid w:val="00EF1420"/>
    <w:rsid w:val="00EF1666"/>
    <w:rsid w:val="00EF1A8E"/>
    <w:rsid w:val="00EF392E"/>
    <w:rsid w:val="00EF5946"/>
    <w:rsid w:val="00EF5A37"/>
    <w:rsid w:val="00EF5CD0"/>
    <w:rsid w:val="00EF644C"/>
    <w:rsid w:val="00EF7867"/>
    <w:rsid w:val="00EF7A08"/>
    <w:rsid w:val="00F00592"/>
    <w:rsid w:val="00F00920"/>
    <w:rsid w:val="00F00C1A"/>
    <w:rsid w:val="00F011A4"/>
    <w:rsid w:val="00F02146"/>
    <w:rsid w:val="00F02395"/>
    <w:rsid w:val="00F028AF"/>
    <w:rsid w:val="00F04302"/>
    <w:rsid w:val="00F049F2"/>
    <w:rsid w:val="00F0522F"/>
    <w:rsid w:val="00F059E7"/>
    <w:rsid w:val="00F05BE8"/>
    <w:rsid w:val="00F05FE3"/>
    <w:rsid w:val="00F066AC"/>
    <w:rsid w:val="00F0681F"/>
    <w:rsid w:val="00F07058"/>
    <w:rsid w:val="00F07603"/>
    <w:rsid w:val="00F07B90"/>
    <w:rsid w:val="00F07E1D"/>
    <w:rsid w:val="00F10499"/>
    <w:rsid w:val="00F10E78"/>
    <w:rsid w:val="00F10F9D"/>
    <w:rsid w:val="00F11063"/>
    <w:rsid w:val="00F117D6"/>
    <w:rsid w:val="00F11C94"/>
    <w:rsid w:val="00F11E47"/>
    <w:rsid w:val="00F12458"/>
    <w:rsid w:val="00F124CA"/>
    <w:rsid w:val="00F13F3D"/>
    <w:rsid w:val="00F14D3A"/>
    <w:rsid w:val="00F14EE2"/>
    <w:rsid w:val="00F15282"/>
    <w:rsid w:val="00F15A7D"/>
    <w:rsid w:val="00F15CAC"/>
    <w:rsid w:val="00F15FC1"/>
    <w:rsid w:val="00F1602F"/>
    <w:rsid w:val="00F20520"/>
    <w:rsid w:val="00F20CC2"/>
    <w:rsid w:val="00F22920"/>
    <w:rsid w:val="00F22994"/>
    <w:rsid w:val="00F22C2C"/>
    <w:rsid w:val="00F23123"/>
    <w:rsid w:val="00F231C3"/>
    <w:rsid w:val="00F23E9B"/>
    <w:rsid w:val="00F23EA4"/>
    <w:rsid w:val="00F252A4"/>
    <w:rsid w:val="00F252DA"/>
    <w:rsid w:val="00F25C15"/>
    <w:rsid w:val="00F2688D"/>
    <w:rsid w:val="00F26B42"/>
    <w:rsid w:val="00F26B50"/>
    <w:rsid w:val="00F26F68"/>
    <w:rsid w:val="00F27107"/>
    <w:rsid w:val="00F272EB"/>
    <w:rsid w:val="00F27AAD"/>
    <w:rsid w:val="00F27F7A"/>
    <w:rsid w:val="00F303ED"/>
    <w:rsid w:val="00F311E7"/>
    <w:rsid w:val="00F31312"/>
    <w:rsid w:val="00F314AD"/>
    <w:rsid w:val="00F31CD2"/>
    <w:rsid w:val="00F32798"/>
    <w:rsid w:val="00F32924"/>
    <w:rsid w:val="00F3363F"/>
    <w:rsid w:val="00F3365C"/>
    <w:rsid w:val="00F33949"/>
    <w:rsid w:val="00F33BF6"/>
    <w:rsid w:val="00F33C71"/>
    <w:rsid w:val="00F33DD2"/>
    <w:rsid w:val="00F34A70"/>
    <w:rsid w:val="00F35410"/>
    <w:rsid w:val="00F37071"/>
    <w:rsid w:val="00F37739"/>
    <w:rsid w:val="00F3777F"/>
    <w:rsid w:val="00F379E4"/>
    <w:rsid w:val="00F37B14"/>
    <w:rsid w:val="00F37CC2"/>
    <w:rsid w:val="00F40352"/>
    <w:rsid w:val="00F4045E"/>
    <w:rsid w:val="00F40793"/>
    <w:rsid w:val="00F407EE"/>
    <w:rsid w:val="00F41009"/>
    <w:rsid w:val="00F41409"/>
    <w:rsid w:val="00F418D0"/>
    <w:rsid w:val="00F4194B"/>
    <w:rsid w:val="00F41CCD"/>
    <w:rsid w:val="00F4206B"/>
    <w:rsid w:val="00F424A8"/>
    <w:rsid w:val="00F42649"/>
    <w:rsid w:val="00F42A46"/>
    <w:rsid w:val="00F432B6"/>
    <w:rsid w:val="00F43421"/>
    <w:rsid w:val="00F437B5"/>
    <w:rsid w:val="00F43DD3"/>
    <w:rsid w:val="00F44506"/>
    <w:rsid w:val="00F4470A"/>
    <w:rsid w:val="00F45508"/>
    <w:rsid w:val="00F45579"/>
    <w:rsid w:val="00F45924"/>
    <w:rsid w:val="00F45A8A"/>
    <w:rsid w:val="00F466C0"/>
    <w:rsid w:val="00F46AC8"/>
    <w:rsid w:val="00F46E55"/>
    <w:rsid w:val="00F47CA1"/>
    <w:rsid w:val="00F50701"/>
    <w:rsid w:val="00F5074D"/>
    <w:rsid w:val="00F50B89"/>
    <w:rsid w:val="00F50BBC"/>
    <w:rsid w:val="00F50FCD"/>
    <w:rsid w:val="00F51463"/>
    <w:rsid w:val="00F517F0"/>
    <w:rsid w:val="00F51AA9"/>
    <w:rsid w:val="00F51DDE"/>
    <w:rsid w:val="00F52140"/>
    <w:rsid w:val="00F525C6"/>
    <w:rsid w:val="00F52FF6"/>
    <w:rsid w:val="00F53067"/>
    <w:rsid w:val="00F5393A"/>
    <w:rsid w:val="00F5394E"/>
    <w:rsid w:val="00F53EF7"/>
    <w:rsid w:val="00F54722"/>
    <w:rsid w:val="00F548AF"/>
    <w:rsid w:val="00F54D8C"/>
    <w:rsid w:val="00F55FC1"/>
    <w:rsid w:val="00F55FC3"/>
    <w:rsid w:val="00F56D4E"/>
    <w:rsid w:val="00F57527"/>
    <w:rsid w:val="00F60BE1"/>
    <w:rsid w:val="00F615A7"/>
    <w:rsid w:val="00F6166B"/>
    <w:rsid w:val="00F61716"/>
    <w:rsid w:val="00F61CBA"/>
    <w:rsid w:val="00F61DB3"/>
    <w:rsid w:val="00F62565"/>
    <w:rsid w:val="00F62818"/>
    <w:rsid w:val="00F62DB3"/>
    <w:rsid w:val="00F6307A"/>
    <w:rsid w:val="00F63440"/>
    <w:rsid w:val="00F63AF2"/>
    <w:rsid w:val="00F63B89"/>
    <w:rsid w:val="00F64488"/>
    <w:rsid w:val="00F64A62"/>
    <w:rsid w:val="00F64FD9"/>
    <w:rsid w:val="00F65389"/>
    <w:rsid w:val="00F65F03"/>
    <w:rsid w:val="00F672D5"/>
    <w:rsid w:val="00F675C8"/>
    <w:rsid w:val="00F675EC"/>
    <w:rsid w:val="00F70341"/>
    <w:rsid w:val="00F708EA"/>
    <w:rsid w:val="00F70AF6"/>
    <w:rsid w:val="00F70D3C"/>
    <w:rsid w:val="00F71DB3"/>
    <w:rsid w:val="00F720F3"/>
    <w:rsid w:val="00F734B0"/>
    <w:rsid w:val="00F738C0"/>
    <w:rsid w:val="00F7480D"/>
    <w:rsid w:val="00F749FA"/>
    <w:rsid w:val="00F74A77"/>
    <w:rsid w:val="00F77928"/>
    <w:rsid w:val="00F7799C"/>
    <w:rsid w:val="00F77AD5"/>
    <w:rsid w:val="00F80278"/>
    <w:rsid w:val="00F802D9"/>
    <w:rsid w:val="00F805AD"/>
    <w:rsid w:val="00F8082C"/>
    <w:rsid w:val="00F80BB1"/>
    <w:rsid w:val="00F80D9C"/>
    <w:rsid w:val="00F8104D"/>
    <w:rsid w:val="00F8199C"/>
    <w:rsid w:val="00F82184"/>
    <w:rsid w:val="00F827E7"/>
    <w:rsid w:val="00F8299F"/>
    <w:rsid w:val="00F82C29"/>
    <w:rsid w:val="00F82DC4"/>
    <w:rsid w:val="00F8382B"/>
    <w:rsid w:val="00F84414"/>
    <w:rsid w:val="00F851F9"/>
    <w:rsid w:val="00F85F31"/>
    <w:rsid w:val="00F86D53"/>
    <w:rsid w:val="00F86DF7"/>
    <w:rsid w:val="00F87292"/>
    <w:rsid w:val="00F8740C"/>
    <w:rsid w:val="00F87759"/>
    <w:rsid w:val="00F87F37"/>
    <w:rsid w:val="00F87F43"/>
    <w:rsid w:val="00F90CD5"/>
    <w:rsid w:val="00F90D6B"/>
    <w:rsid w:val="00F921C6"/>
    <w:rsid w:val="00F927BB"/>
    <w:rsid w:val="00F92820"/>
    <w:rsid w:val="00F92D3A"/>
    <w:rsid w:val="00F946E7"/>
    <w:rsid w:val="00F94D25"/>
    <w:rsid w:val="00F95256"/>
    <w:rsid w:val="00F95ED0"/>
    <w:rsid w:val="00F96572"/>
    <w:rsid w:val="00F96838"/>
    <w:rsid w:val="00F97678"/>
    <w:rsid w:val="00F97799"/>
    <w:rsid w:val="00F979E5"/>
    <w:rsid w:val="00F97A2E"/>
    <w:rsid w:val="00FA0971"/>
    <w:rsid w:val="00FA111D"/>
    <w:rsid w:val="00FA1335"/>
    <w:rsid w:val="00FA1959"/>
    <w:rsid w:val="00FA1B8C"/>
    <w:rsid w:val="00FA1F2E"/>
    <w:rsid w:val="00FA25FA"/>
    <w:rsid w:val="00FA269A"/>
    <w:rsid w:val="00FA3146"/>
    <w:rsid w:val="00FA36A0"/>
    <w:rsid w:val="00FA4250"/>
    <w:rsid w:val="00FA4905"/>
    <w:rsid w:val="00FA4B2E"/>
    <w:rsid w:val="00FA5A3A"/>
    <w:rsid w:val="00FA5F4B"/>
    <w:rsid w:val="00FA62CF"/>
    <w:rsid w:val="00FA6958"/>
    <w:rsid w:val="00FA6D0C"/>
    <w:rsid w:val="00FA770D"/>
    <w:rsid w:val="00FB0D11"/>
    <w:rsid w:val="00FB0E89"/>
    <w:rsid w:val="00FB10F7"/>
    <w:rsid w:val="00FB1160"/>
    <w:rsid w:val="00FB18B7"/>
    <w:rsid w:val="00FB2057"/>
    <w:rsid w:val="00FB2103"/>
    <w:rsid w:val="00FB226A"/>
    <w:rsid w:val="00FB231B"/>
    <w:rsid w:val="00FB31BA"/>
    <w:rsid w:val="00FB346C"/>
    <w:rsid w:val="00FB36E7"/>
    <w:rsid w:val="00FB37CF"/>
    <w:rsid w:val="00FB3BAF"/>
    <w:rsid w:val="00FB3CEA"/>
    <w:rsid w:val="00FB43FD"/>
    <w:rsid w:val="00FB44C4"/>
    <w:rsid w:val="00FB44D9"/>
    <w:rsid w:val="00FB480E"/>
    <w:rsid w:val="00FB48EC"/>
    <w:rsid w:val="00FB4E25"/>
    <w:rsid w:val="00FB5044"/>
    <w:rsid w:val="00FB55BC"/>
    <w:rsid w:val="00FB5644"/>
    <w:rsid w:val="00FB590C"/>
    <w:rsid w:val="00FB5AAB"/>
    <w:rsid w:val="00FB6626"/>
    <w:rsid w:val="00FB6D72"/>
    <w:rsid w:val="00FB6ECB"/>
    <w:rsid w:val="00FB7185"/>
    <w:rsid w:val="00FB740D"/>
    <w:rsid w:val="00FC09C1"/>
    <w:rsid w:val="00FC1181"/>
    <w:rsid w:val="00FC121F"/>
    <w:rsid w:val="00FC1392"/>
    <w:rsid w:val="00FC1C20"/>
    <w:rsid w:val="00FC1F6A"/>
    <w:rsid w:val="00FC30DA"/>
    <w:rsid w:val="00FC335E"/>
    <w:rsid w:val="00FC3B08"/>
    <w:rsid w:val="00FC470D"/>
    <w:rsid w:val="00FC5351"/>
    <w:rsid w:val="00FC5374"/>
    <w:rsid w:val="00FC61EF"/>
    <w:rsid w:val="00FC6D14"/>
    <w:rsid w:val="00FC7E86"/>
    <w:rsid w:val="00FD024A"/>
    <w:rsid w:val="00FD143C"/>
    <w:rsid w:val="00FD1641"/>
    <w:rsid w:val="00FD2434"/>
    <w:rsid w:val="00FD2A28"/>
    <w:rsid w:val="00FD35DB"/>
    <w:rsid w:val="00FD371C"/>
    <w:rsid w:val="00FD47F5"/>
    <w:rsid w:val="00FD5BB0"/>
    <w:rsid w:val="00FD5D96"/>
    <w:rsid w:val="00FD6B74"/>
    <w:rsid w:val="00FD6E09"/>
    <w:rsid w:val="00FD7B99"/>
    <w:rsid w:val="00FD7F8C"/>
    <w:rsid w:val="00FE065F"/>
    <w:rsid w:val="00FE0787"/>
    <w:rsid w:val="00FE1611"/>
    <w:rsid w:val="00FE1922"/>
    <w:rsid w:val="00FE1F91"/>
    <w:rsid w:val="00FE2309"/>
    <w:rsid w:val="00FE2573"/>
    <w:rsid w:val="00FE25B2"/>
    <w:rsid w:val="00FE34E9"/>
    <w:rsid w:val="00FE36AC"/>
    <w:rsid w:val="00FE36CD"/>
    <w:rsid w:val="00FE43A5"/>
    <w:rsid w:val="00FE465F"/>
    <w:rsid w:val="00FE4753"/>
    <w:rsid w:val="00FE513E"/>
    <w:rsid w:val="00FE5641"/>
    <w:rsid w:val="00FE5C36"/>
    <w:rsid w:val="00FE6858"/>
    <w:rsid w:val="00FE6A8B"/>
    <w:rsid w:val="00FE6B7A"/>
    <w:rsid w:val="00FE74D9"/>
    <w:rsid w:val="00FE7585"/>
    <w:rsid w:val="00FE79D5"/>
    <w:rsid w:val="00FF05B1"/>
    <w:rsid w:val="00FF0B10"/>
    <w:rsid w:val="00FF1221"/>
    <w:rsid w:val="00FF1B5A"/>
    <w:rsid w:val="00FF1EAE"/>
    <w:rsid w:val="00FF4065"/>
    <w:rsid w:val="00FF4217"/>
    <w:rsid w:val="00FF4B59"/>
    <w:rsid w:val="00FF5519"/>
    <w:rsid w:val="00FF555B"/>
    <w:rsid w:val="00FF60DF"/>
    <w:rsid w:val="00FF6E7C"/>
    <w:rsid w:val="00FF6FD3"/>
    <w:rsid w:val="00FF70D4"/>
    <w:rsid w:val="00FF7274"/>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5FC"/>
    <w:rPr>
      <w:rFonts w:eastAsiaTheme="minorEastAsia"/>
    </w:rPr>
  </w:style>
  <w:style w:type="paragraph" w:styleId="Heading1">
    <w:name w:val="heading 1"/>
    <w:basedOn w:val="Normal"/>
    <w:next w:val="Normal"/>
    <w:link w:val="Heading1Char"/>
    <w:qFormat/>
    <w:rsid w:val="00DB4E51"/>
    <w:pPr>
      <w:keepNext/>
      <w:keepLines/>
      <w:numPr>
        <w:numId w:val="1"/>
      </w:numPr>
      <w:spacing w:after="0" w:line="504" w:lineRule="exact"/>
      <w:jc w:val="center"/>
      <w:outlineLvl w:val="0"/>
    </w:pPr>
    <w:rPr>
      <w:rFonts w:ascii="Times New Roman" w:eastAsia="Times New Roman" w:hAnsi="Times New Roman" w:cstheme="majorBidi"/>
      <w:b/>
      <w:bCs/>
      <w:sz w:val="24"/>
      <w:szCs w:val="28"/>
      <w:u w:val="single"/>
    </w:rPr>
  </w:style>
  <w:style w:type="paragraph" w:styleId="Heading2">
    <w:name w:val="heading 2"/>
    <w:basedOn w:val="Normal"/>
    <w:next w:val="Normal"/>
    <w:link w:val="Heading2Char"/>
    <w:uiPriority w:val="9"/>
    <w:unhideWhenUsed/>
    <w:qFormat/>
    <w:rsid w:val="00C30159"/>
    <w:pPr>
      <w:keepNext/>
      <w:keepLines/>
      <w:spacing w:before="200" w:after="120" w:line="240" w:lineRule="auto"/>
      <w:outlineLvl w:val="1"/>
    </w:pPr>
    <w:rPr>
      <w:rFonts w:ascii="Calibri" w:eastAsia="Times New Roman" w:hAnsi="Calibri" w:cstheme="majorBidi"/>
      <w:b/>
      <w:bCs/>
      <w:sz w:val="24"/>
      <w:szCs w:val="26"/>
      <w:u w:val="single"/>
    </w:rPr>
  </w:style>
  <w:style w:type="paragraph" w:styleId="Heading3">
    <w:name w:val="heading 3"/>
    <w:basedOn w:val="Normal"/>
    <w:next w:val="Normal"/>
    <w:link w:val="Heading3Char"/>
    <w:uiPriority w:val="9"/>
    <w:unhideWhenUsed/>
    <w:qFormat/>
    <w:rsid w:val="00112AA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2AA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AA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2AA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2AA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2AA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2AA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E51"/>
    <w:rPr>
      <w:rFonts w:ascii="Times New Roman" w:eastAsia="Times New Roman" w:hAnsi="Times New Roman" w:cstheme="majorBidi"/>
      <w:b/>
      <w:bCs/>
      <w:sz w:val="24"/>
      <w:szCs w:val="28"/>
      <w:u w:val="single"/>
    </w:rPr>
  </w:style>
  <w:style w:type="character" w:customStyle="1" w:styleId="Heading2Char">
    <w:name w:val="Heading 2 Char"/>
    <w:basedOn w:val="DefaultParagraphFont"/>
    <w:link w:val="Heading2"/>
    <w:uiPriority w:val="9"/>
    <w:rsid w:val="00C30159"/>
    <w:rPr>
      <w:rFonts w:ascii="Calibri" w:eastAsia="Times New Roman" w:hAnsi="Calibri" w:cstheme="majorBidi"/>
      <w:b/>
      <w:bCs/>
      <w:sz w:val="24"/>
      <w:szCs w:val="26"/>
      <w:u w:val="single"/>
    </w:rPr>
  </w:style>
  <w:style w:type="character" w:customStyle="1" w:styleId="Heading3Char">
    <w:name w:val="Heading 3 Char"/>
    <w:basedOn w:val="DefaultParagraphFont"/>
    <w:link w:val="Heading3"/>
    <w:uiPriority w:val="9"/>
    <w:rsid w:val="00112AA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12A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2A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2A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2A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2A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2AA0"/>
    <w:rPr>
      <w:rFonts w:asciiTheme="majorHAnsi" w:eastAsiaTheme="majorEastAsia" w:hAnsiTheme="majorHAnsi" w:cstheme="majorBidi"/>
      <w:i/>
      <w:iCs/>
      <w:color w:val="404040" w:themeColor="text1" w:themeTint="BF"/>
      <w:sz w:val="20"/>
      <w:szCs w:val="20"/>
    </w:rPr>
  </w:style>
  <w:style w:type="character" w:styleId="LineNumber">
    <w:name w:val="line number"/>
    <w:basedOn w:val="DefaultParagraphFont"/>
    <w:uiPriority w:val="99"/>
    <w:semiHidden/>
    <w:unhideWhenUsed/>
    <w:rsid w:val="00823379"/>
    <w:rPr>
      <w:rFonts w:asciiTheme="minorHAnsi" w:hAnsiTheme="minorHAnsi"/>
      <w:sz w:val="24"/>
    </w:rPr>
  </w:style>
  <w:style w:type="paragraph" w:customStyle="1" w:styleId="Question">
    <w:name w:val="Question"/>
    <w:basedOn w:val="NormalIndent"/>
    <w:rsid w:val="00112AA0"/>
    <w:pPr>
      <w:numPr>
        <w:numId w:val="2"/>
      </w:numPr>
      <w:tabs>
        <w:tab w:val="clear" w:pos="360"/>
      </w:tabs>
      <w:spacing w:after="0" w:line="480" w:lineRule="auto"/>
      <w:ind w:left="720" w:firstLine="0"/>
    </w:pPr>
    <w:rPr>
      <w:rFonts w:ascii="Times New Roman" w:eastAsia="Times New Roman" w:hAnsi="Times New Roman" w:cs="Times New Roman"/>
      <w:b/>
      <w:sz w:val="24"/>
      <w:szCs w:val="20"/>
    </w:rPr>
  </w:style>
  <w:style w:type="paragraph" w:styleId="NormalIndent">
    <w:name w:val="Normal Indent"/>
    <w:basedOn w:val="Normal"/>
    <w:uiPriority w:val="99"/>
    <w:semiHidden/>
    <w:unhideWhenUsed/>
    <w:rsid w:val="00112AA0"/>
    <w:pPr>
      <w:ind w:left="720"/>
    </w:pPr>
  </w:style>
  <w:style w:type="paragraph" w:styleId="Header">
    <w:name w:val="header"/>
    <w:basedOn w:val="Normal"/>
    <w:link w:val="HeaderChar"/>
    <w:uiPriority w:val="99"/>
    <w:unhideWhenUsed/>
    <w:rsid w:val="0011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AA0"/>
    <w:rPr>
      <w:rFonts w:eastAsiaTheme="minorEastAsia"/>
    </w:rPr>
  </w:style>
  <w:style w:type="paragraph" w:styleId="Footer">
    <w:name w:val="footer"/>
    <w:basedOn w:val="Normal"/>
    <w:link w:val="FooterChar"/>
    <w:uiPriority w:val="99"/>
    <w:unhideWhenUsed/>
    <w:rsid w:val="0011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AA0"/>
    <w:rPr>
      <w:rFonts w:eastAsiaTheme="minorEastAsia"/>
    </w:rPr>
  </w:style>
  <w:style w:type="paragraph" w:customStyle="1" w:styleId="7F164CA3BF9C4373845ECB452A5D9922">
    <w:name w:val="7F164CA3BF9C4373845ECB452A5D9922"/>
    <w:rsid w:val="00112AA0"/>
    <w:rPr>
      <w:rFonts w:eastAsiaTheme="minorEastAsia"/>
      <w:lang w:eastAsia="ja-JP"/>
    </w:rPr>
  </w:style>
  <w:style w:type="paragraph" w:styleId="BalloonText">
    <w:name w:val="Balloon Text"/>
    <w:basedOn w:val="Normal"/>
    <w:link w:val="BalloonTextChar"/>
    <w:uiPriority w:val="99"/>
    <w:semiHidden/>
    <w:unhideWhenUsed/>
    <w:rsid w:val="00112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A0"/>
    <w:rPr>
      <w:rFonts w:ascii="Tahoma" w:eastAsiaTheme="minorEastAsia" w:hAnsi="Tahoma" w:cs="Tahoma"/>
      <w:sz w:val="16"/>
      <w:szCs w:val="16"/>
    </w:rPr>
  </w:style>
  <w:style w:type="paragraph" w:customStyle="1" w:styleId="CE490426FA1F417B964E942E3A6CE9DE">
    <w:name w:val="CE490426FA1F417B964E942E3A6CE9DE"/>
    <w:rsid w:val="00112AA0"/>
    <w:rPr>
      <w:rFonts w:eastAsiaTheme="minorEastAsia"/>
      <w:lang w:eastAsia="ja-JP"/>
    </w:rPr>
  </w:style>
  <w:style w:type="paragraph" w:styleId="FootnoteText">
    <w:name w:val="footnote text"/>
    <w:basedOn w:val="Normal"/>
    <w:link w:val="FootnoteTextChar"/>
    <w:semiHidden/>
    <w:rsid w:val="00112A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12A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12AA0"/>
    <w:rPr>
      <w:vertAlign w:val="superscript"/>
    </w:rPr>
  </w:style>
  <w:style w:type="character" w:styleId="PlaceholderText">
    <w:name w:val="Placeholder Text"/>
    <w:basedOn w:val="DefaultParagraphFont"/>
    <w:uiPriority w:val="99"/>
    <w:semiHidden/>
    <w:rsid w:val="00112AA0"/>
    <w:rPr>
      <w:color w:val="808080"/>
    </w:rPr>
  </w:style>
  <w:style w:type="table" w:styleId="TableGrid">
    <w:name w:val="Table Grid"/>
    <w:basedOn w:val="TableNormal"/>
    <w:uiPriority w:val="59"/>
    <w:rsid w:val="00112A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12AA0"/>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Grid-Accent5">
    <w:name w:val="Colorful Grid Accent 5"/>
    <w:basedOn w:val="TableNormal"/>
    <w:uiPriority w:val="73"/>
    <w:rsid w:val="00112AA0"/>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Hyperlink">
    <w:name w:val="Hyperlink"/>
    <w:basedOn w:val="DefaultParagraphFont"/>
    <w:uiPriority w:val="99"/>
    <w:unhideWhenUsed/>
    <w:rsid w:val="00112AA0"/>
    <w:rPr>
      <w:color w:val="0000FF"/>
      <w:u w:val="single"/>
    </w:rPr>
  </w:style>
  <w:style w:type="paragraph" w:styleId="NoSpacing">
    <w:name w:val="No Spacing"/>
    <w:link w:val="NoSpacingChar"/>
    <w:uiPriority w:val="1"/>
    <w:qFormat/>
    <w:rsid w:val="00112A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12AA0"/>
    <w:rPr>
      <w:rFonts w:eastAsiaTheme="minorEastAsia"/>
      <w:lang w:eastAsia="ja-JP"/>
    </w:rPr>
  </w:style>
  <w:style w:type="character" w:styleId="CommentReference">
    <w:name w:val="annotation reference"/>
    <w:basedOn w:val="DefaultParagraphFont"/>
    <w:uiPriority w:val="99"/>
    <w:semiHidden/>
    <w:unhideWhenUsed/>
    <w:rsid w:val="00112AA0"/>
    <w:rPr>
      <w:sz w:val="16"/>
      <w:szCs w:val="16"/>
    </w:rPr>
  </w:style>
  <w:style w:type="paragraph" w:styleId="CommentText">
    <w:name w:val="annotation text"/>
    <w:basedOn w:val="Normal"/>
    <w:link w:val="CommentTextChar"/>
    <w:uiPriority w:val="99"/>
    <w:semiHidden/>
    <w:unhideWhenUsed/>
    <w:rsid w:val="00112AA0"/>
    <w:pPr>
      <w:spacing w:line="240" w:lineRule="auto"/>
    </w:pPr>
    <w:rPr>
      <w:sz w:val="20"/>
      <w:szCs w:val="20"/>
    </w:rPr>
  </w:style>
  <w:style w:type="character" w:customStyle="1" w:styleId="CommentTextChar">
    <w:name w:val="Comment Text Char"/>
    <w:basedOn w:val="DefaultParagraphFont"/>
    <w:link w:val="CommentText"/>
    <w:uiPriority w:val="99"/>
    <w:semiHidden/>
    <w:rsid w:val="00112AA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12AA0"/>
    <w:rPr>
      <w:b/>
      <w:bCs/>
    </w:rPr>
  </w:style>
  <w:style w:type="character" w:customStyle="1" w:styleId="CommentSubjectChar">
    <w:name w:val="Comment Subject Char"/>
    <w:basedOn w:val="CommentTextChar"/>
    <w:link w:val="CommentSubject"/>
    <w:uiPriority w:val="99"/>
    <w:semiHidden/>
    <w:rsid w:val="00112AA0"/>
    <w:rPr>
      <w:rFonts w:eastAsiaTheme="minorEastAsia"/>
      <w:b/>
      <w:bCs/>
      <w:sz w:val="20"/>
      <w:szCs w:val="20"/>
    </w:rPr>
  </w:style>
  <w:style w:type="paragraph" w:styleId="ListParagraph">
    <w:name w:val="List Paragraph"/>
    <w:basedOn w:val="Normal"/>
    <w:uiPriority w:val="34"/>
    <w:qFormat/>
    <w:rsid w:val="00112AA0"/>
    <w:pPr>
      <w:ind w:left="720"/>
      <w:contextualSpacing/>
    </w:pPr>
  </w:style>
  <w:style w:type="paragraph" w:styleId="TOCHeading">
    <w:name w:val="TOC Heading"/>
    <w:basedOn w:val="Heading1"/>
    <w:next w:val="Normal"/>
    <w:uiPriority w:val="39"/>
    <w:unhideWhenUsed/>
    <w:qFormat/>
    <w:rsid w:val="00112AA0"/>
    <w:pPr>
      <w:numPr>
        <w:numId w:val="0"/>
      </w:numPr>
      <w:outlineLvl w:val="9"/>
    </w:pPr>
    <w:rPr>
      <w:lang w:eastAsia="ja-JP"/>
    </w:rPr>
  </w:style>
  <w:style w:type="paragraph" w:styleId="TOC2">
    <w:name w:val="toc 2"/>
    <w:basedOn w:val="Normal"/>
    <w:next w:val="Normal"/>
    <w:autoRedefine/>
    <w:uiPriority w:val="39"/>
    <w:unhideWhenUsed/>
    <w:qFormat/>
    <w:rsid w:val="00876AF1"/>
    <w:pPr>
      <w:tabs>
        <w:tab w:val="left" w:pos="630"/>
        <w:tab w:val="left" w:pos="1080"/>
        <w:tab w:val="left" w:pos="1260"/>
        <w:tab w:val="right" w:leader="dot" w:pos="9350"/>
      </w:tabs>
      <w:spacing w:after="240" w:line="240" w:lineRule="auto"/>
    </w:pPr>
  </w:style>
  <w:style w:type="paragraph" w:styleId="TOC1">
    <w:name w:val="toc 1"/>
    <w:basedOn w:val="Normal"/>
    <w:next w:val="Normal"/>
    <w:autoRedefine/>
    <w:uiPriority w:val="39"/>
    <w:unhideWhenUsed/>
    <w:qFormat/>
    <w:rsid w:val="00823379"/>
    <w:pPr>
      <w:tabs>
        <w:tab w:val="left" w:pos="660"/>
        <w:tab w:val="right" w:leader="dot" w:pos="9350"/>
      </w:tabs>
      <w:spacing w:line="240" w:lineRule="auto"/>
    </w:pPr>
    <w:rPr>
      <w:rFonts w:asciiTheme="majorHAnsi" w:eastAsia="Times New Roman" w:hAnsiTheme="majorHAnsi" w:cstheme="majorBidi"/>
      <w:bCs/>
      <w:noProof/>
      <w:lang w:eastAsia="ja-JP"/>
    </w:rPr>
  </w:style>
  <w:style w:type="paragraph" w:styleId="TOC3">
    <w:name w:val="toc 3"/>
    <w:basedOn w:val="Normal"/>
    <w:next w:val="Normal"/>
    <w:autoRedefine/>
    <w:uiPriority w:val="39"/>
    <w:unhideWhenUsed/>
    <w:qFormat/>
    <w:rsid w:val="00112AA0"/>
    <w:pPr>
      <w:spacing w:after="100"/>
      <w:ind w:left="440"/>
    </w:pPr>
    <w:rPr>
      <w:lang w:eastAsia="ja-JP"/>
    </w:rPr>
  </w:style>
  <w:style w:type="paragraph" w:styleId="Revision">
    <w:name w:val="Revision"/>
    <w:hidden/>
    <w:uiPriority w:val="99"/>
    <w:semiHidden/>
    <w:rsid w:val="00112AA0"/>
    <w:pPr>
      <w:spacing w:after="0" w:line="240" w:lineRule="auto"/>
    </w:pPr>
    <w:rPr>
      <w:rFonts w:eastAsiaTheme="minorEastAsia"/>
    </w:rPr>
  </w:style>
  <w:style w:type="character" w:styleId="FollowedHyperlink">
    <w:name w:val="FollowedHyperlink"/>
    <w:basedOn w:val="DefaultParagraphFont"/>
    <w:uiPriority w:val="99"/>
    <w:semiHidden/>
    <w:unhideWhenUsed/>
    <w:rsid w:val="00112AA0"/>
    <w:rPr>
      <w:color w:val="800080" w:themeColor="followedHyperlink"/>
      <w:u w:val="single"/>
    </w:rPr>
  </w:style>
  <w:style w:type="character" w:styleId="PageNumber">
    <w:name w:val="page number"/>
    <w:aliases w:val="ES-Page Number"/>
    <w:basedOn w:val="DefaultParagraphFont"/>
    <w:semiHidden/>
    <w:rsid w:val="00831562"/>
  </w:style>
  <w:style w:type="paragraph" w:customStyle="1" w:styleId="DirectQuestion">
    <w:name w:val="Direct Question"/>
    <w:basedOn w:val="Normal"/>
    <w:next w:val="DirectAnswer"/>
    <w:rsid w:val="00486739"/>
    <w:pPr>
      <w:numPr>
        <w:numId w:val="18"/>
      </w:numPr>
      <w:spacing w:after="0" w:line="504" w:lineRule="exact"/>
    </w:pPr>
    <w:rPr>
      <w:rFonts w:ascii="Verdana" w:eastAsia="Times New Roman" w:hAnsi="Verdana" w:cstheme="minorHAnsi"/>
      <w:bCs/>
      <w:caps/>
      <w:sz w:val="20"/>
      <w:szCs w:val="20"/>
    </w:rPr>
  </w:style>
  <w:style w:type="paragraph" w:customStyle="1" w:styleId="DirectAnswer">
    <w:name w:val="Direct Answer"/>
    <w:basedOn w:val="Normal"/>
    <w:next w:val="DirectNext"/>
    <w:rsid w:val="004B3B01"/>
    <w:pPr>
      <w:numPr>
        <w:ilvl w:val="1"/>
        <w:numId w:val="19"/>
      </w:numPr>
      <w:spacing w:after="0" w:line="504" w:lineRule="exact"/>
    </w:pPr>
    <w:rPr>
      <w:rFonts w:ascii="Calibri" w:eastAsia="Times New Roman" w:hAnsi="Calibri" w:cs="Times New Roman"/>
      <w:sz w:val="24"/>
      <w:szCs w:val="24"/>
    </w:rPr>
  </w:style>
  <w:style w:type="paragraph" w:customStyle="1" w:styleId="DirectNext">
    <w:name w:val="Direct Next"/>
    <w:basedOn w:val="DirectAnswer"/>
    <w:rsid w:val="004B2CD5"/>
    <w:pPr>
      <w:numPr>
        <w:ilvl w:val="0"/>
        <w:numId w:val="0"/>
      </w:numPr>
      <w:ind w:left="720" w:firstLine="720"/>
      <w:jc w:val="both"/>
    </w:pPr>
    <w:rPr>
      <w:rFonts w:asciiTheme="minorHAnsi" w:hAnsiTheme="minorHAnsi" w:cstheme="minorHAnsi"/>
    </w:rPr>
  </w:style>
  <w:style w:type="paragraph" w:styleId="NormalWeb">
    <w:name w:val="Normal (Web)"/>
    <w:basedOn w:val="Normal"/>
    <w:uiPriority w:val="99"/>
    <w:semiHidden/>
    <w:unhideWhenUsed/>
    <w:rsid w:val="002B0934"/>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C37B34"/>
  </w:style>
  <w:style w:type="character" w:customStyle="1" w:styleId="UnresolvedMention1">
    <w:name w:val="Unresolved Mention1"/>
    <w:basedOn w:val="DefaultParagraphFont"/>
    <w:uiPriority w:val="99"/>
    <w:semiHidden/>
    <w:unhideWhenUsed/>
    <w:rsid w:val="000907C9"/>
    <w:rPr>
      <w:color w:val="808080"/>
      <w:shd w:val="clear" w:color="auto" w:fill="E6E6E6"/>
    </w:rPr>
  </w:style>
  <w:style w:type="paragraph" w:styleId="ListNumber">
    <w:name w:val="List Number"/>
    <w:basedOn w:val="Normal"/>
    <w:uiPriority w:val="99"/>
    <w:semiHidden/>
    <w:unhideWhenUsed/>
    <w:rsid w:val="00823379"/>
    <w:pPr>
      <w:numPr>
        <w:numId w:val="31"/>
      </w:numPr>
      <w:contextualSpacing/>
    </w:pPr>
    <w:rPr>
      <w:sz w:val="24"/>
    </w:rPr>
  </w:style>
  <w:style w:type="paragraph" w:styleId="ListNumber2">
    <w:name w:val="List Number 2"/>
    <w:basedOn w:val="Normal"/>
    <w:uiPriority w:val="99"/>
    <w:semiHidden/>
    <w:unhideWhenUsed/>
    <w:rsid w:val="00823379"/>
    <w:pPr>
      <w:numPr>
        <w:numId w:val="32"/>
      </w:numPr>
      <w:contextualSpacing/>
    </w:pPr>
    <w:rPr>
      <w:sz w:val="24"/>
    </w:rPr>
  </w:style>
  <w:style w:type="paragraph" w:styleId="ListNumber3">
    <w:name w:val="List Number 3"/>
    <w:basedOn w:val="Normal"/>
    <w:uiPriority w:val="99"/>
    <w:semiHidden/>
    <w:unhideWhenUsed/>
    <w:rsid w:val="00823379"/>
    <w:pPr>
      <w:numPr>
        <w:numId w:val="33"/>
      </w:numPr>
      <w:contextualSpacing/>
    </w:pPr>
    <w:rPr>
      <w:sz w:val="24"/>
    </w:rPr>
  </w:style>
  <w:style w:type="paragraph" w:styleId="ListNumber4">
    <w:name w:val="List Number 4"/>
    <w:basedOn w:val="Normal"/>
    <w:uiPriority w:val="99"/>
    <w:semiHidden/>
    <w:unhideWhenUsed/>
    <w:rsid w:val="00823379"/>
    <w:pPr>
      <w:numPr>
        <w:numId w:val="34"/>
      </w:numPr>
      <w:contextualSpacing/>
    </w:pPr>
    <w:rPr>
      <w:sz w:val="24"/>
    </w:rPr>
  </w:style>
  <w:style w:type="paragraph" w:styleId="ListNumber5">
    <w:name w:val="List Number 5"/>
    <w:basedOn w:val="Normal"/>
    <w:uiPriority w:val="99"/>
    <w:semiHidden/>
    <w:unhideWhenUsed/>
    <w:rsid w:val="00823379"/>
    <w:pPr>
      <w:numPr>
        <w:numId w:val="35"/>
      </w:numPr>
      <w:contextualSpacing/>
    </w:pPr>
    <w:rPr>
      <w:sz w:val="24"/>
    </w:rPr>
  </w:style>
  <w:style w:type="character" w:customStyle="1" w:styleId="UnresolvedMention2">
    <w:name w:val="Unresolved Mention2"/>
    <w:basedOn w:val="DefaultParagraphFont"/>
    <w:uiPriority w:val="99"/>
    <w:semiHidden/>
    <w:unhideWhenUsed/>
    <w:rsid w:val="00823379"/>
    <w:rPr>
      <w:color w:val="808080"/>
      <w:shd w:val="clear" w:color="auto" w:fill="E6E6E6"/>
    </w:rPr>
  </w:style>
  <w:style w:type="character" w:customStyle="1" w:styleId="UnresolvedMention3">
    <w:name w:val="Unresolved Mention3"/>
    <w:basedOn w:val="DefaultParagraphFont"/>
    <w:uiPriority w:val="99"/>
    <w:semiHidden/>
    <w:unhideWhenUsed/>
    <w:rsid w:val="002E40D9"/>
    <w:rPr>
      <w:color w:val="605E5C"/>
      <w:shd w:val="clear" w:color="auto" w:fill="E1DFDD"/>
    </w:rPr>
  </w:style>
  <w:style w:type="table" w:styleId="GridTable6Colorful">
    <w:name w:val="Grid Table 6 Colorful"/>
    <w:basedOn w:val="TableNormal"/>
    <w:uiPriority w:val="51"/>
    <w:rsid w:val="00701D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F3363F"/>
    <w:rPr>
      <w:color w:val="605E5C"/>
      <w:shd w:val="clear" w:color="auto" w:fill="E1DFDD"/>
    </w:rPr>
  </w:style>
  <w:style w:type="character" w:styleId="HTMLCite">
    <w:name w:val="HTML Cite"/>
    <w:basedOn w:val="DefaultParagraphFont"/>
    <w:uiPriority w:val="99"/>
    <w:semiHidden/>
    <w:unhideWhenUsed/>
    <w:rsid w:val="0081283E"/>
    <w:rPr>
      <w:i/>
      <w:iCs/>
    </w:rPr>
  </w:style>
  <w:style w:type="character" w:customStyle="1" w:styleId="UnresolvedMention5">
    <w:name w:val="Unresolved Mention5"/>
    <w:basedOn w:val="DefaultParagraphFont"/>
    <w:uiPriority w:val="99"/>
    <w:semiHidden/>
    <w:unhideWhenUsed/>
    <w:rsid w:val="008E3C27"/>
    <w:rPr>
      <w:color w:val="605E5C"/>
      <w:shd w:val="clear" w:color="auto" w:fill="E1DFDD"/>
    </w:rPr>
  </w:style>
  <w:style w:type="character" w:customStyle="1" w:styleId="UnresolvedMention6">
    <w:name w:val="Unresolved Mention6"/>
    <w:basedOn w:val="DefaultParagraphFont"/>
    <w:uiPriority w:val="99"/>
    <w:semiHidden/>
    <w:unhideWhenUsed/>
    <w:rsid w:val="00A8362B"/>
    <w:rPr>
      <w:color w:val="605E5C"/>
      <w:shd w:val="clear" w:color="auto" w:fill="E1DFDD"/>
    </w:rPr>
  </w:style>
  <w:style w:type="paragraph" w:styleId="Caption">
    <w:name w:val="caption"/>
    <w:basedOn w:val="Normal"/>
    <w:next w:val="Normal"/>
    <w:uiPriority w:val="35"/>
    <w:unhideWhenUsed/>
    <w:qFormat/>
    <w:rsid w:val="006556B3"/>
    <w:pPr>
      <w:spacing w:line="240" w:lineRule="auto"/>
    </w:pPr>
    <w:rPr>
      <w:i/>
      <w:iCs/>
      <w:color w:val="1F497D" w:themeColor="text2"/>
      <w:sz w:val="18"/>
      <w:szCs w:val="18"/>
    </w:rPr>
  </w:style>
  <w:style w:type="character" w:customStyle="1" w:styleId="UnresolvedMention7">
    <w:name w:val="Unresolved Mention7"/>
    <w:basedOn w:val="DefaultParagraphFont"/>
    <w:uiPriority w:val="99"/>
    <w:semiHidden/>
    <w:unhideWhenUsed/>
    <w:rsid w:val="000678E9"/>
    <w:rPr>
      <w:color w:val="605E5C"/>
      <w:shd w:val="clear" w:color="auto" w:fill="E1DFDD"/>
    </w:rPr>
  </w:style>
  <w:style w:type="paragraph" w:customStyle="1" w:styleId="Qoute">
    <w:name w:val="Qoute"/>
    <w:basedOn w:val="Normal"/>
    <w:link w:val="QouteChar"/>
    <w:qFormat/>
    <w:rsid w:val="00574BE6"/>
    <w:pPr>
      <w:spacing w:before="240" w:after="240"/>
      <w:ind w:left="2160" w:right="1080"/>
      <w:jc w:val="both"/>
    </w:pPr>
    <w:rPr>
      <w:rFonts w:ascii="Verdana" w:hAnsi="Verdana"/>
      <w:sz w:val="20"/>
      <w:szCs w:val="20"/>
    </w:rPr>
  </w:style>
  <w:style w:type="character" w:customStyle="1" w:styleId="UnresolvedMention">
    <w:name w:val="Unresolved Mention"/>
    <w:basedOn w:val="DefaultParagraphFont"/>
    <w:uiPriority w:val="99"/>
    <w:semiHidden/>
    <w:unhideWhenUsed/>
    <w:rsid w:val="00590C0F"/>
    <w:rPr>
      <w:color w:val="605E5C"/>
      <w:shd w:val="clear" w:color="auto" w:fill="E1DFDD"/>
    </w:rPr>
  </w:style>
  <w:style w:type="character" w:customStyle="1" w:styleId="QouteChar">
    <w:name w:val="Qoute Char"/>
    <w:basedOn w:val="DefaultParagraphFont"/>
    <w:link w:val="Qoute"/>
    <w:rsid w:val="00574BE6"/>
    <w:rPr>
      <w:rFonts w:ascii="Verdana" w:eastAsiaTheme="minorEastAsi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5">
      <w:bodyDiv w:val="1"/>
      <w:marLeft w:val="0"/>
      <w:marRight w:val="0"/>
      <w:marTop w:val="0"/>
      <w:marBottom w:val="0"/>
      <w:divBdr>
        <w:top w:val="none" w:sz="0" w:space="0" w:color="auto"/>
        <w:left w:val="none" w:sz="0" w:space="0" w:color="auto"/>
        <w:bottom w:val="none" w:sz="0" w:space="0" w:color="auto"/>
        <w:right w:val="none" w:sz="0" w:space="0" w:color="auto"/>
      </w:divBdr>
    </w:div>
    <w:div w:id="44112329">
      <w:bodyDiv w:val="1"/>
      <w:marLeft w:val="0"/>
      <w:marRight w:val="0"/>
      <w:marTop w:val="0"/>
      <w:marBottom w:val="0"/>
      <w:divBdr>
        <w:top w:val="none" w:sz="0" w:space="0" w:color="auto"/>
        <w:left w:val="none" w:sz="0" w:space="0" w:color="auto"/>
        <w:bottom w:val="none" w:sz="0" w:space="0" w:color="auto"/>
        <w:right w:val="none" w:sz="0" w:space="0" w:color="auto"/>
      </w:divBdr>
    </w:div>
    <w:div w:id="46031562">
      <w:bodyDiv w:val="1"/>
      <w:marLeft w:val="0"/>
      <w:marRight w:val="0"/>
      <w:marTop w:val="0"/>
      <w:marBottom w:val="0"/>
      <w:divBdr>
        <w:top w:val="none" w:sz="0" w:space="0" w:color="auto"/>
        <w:left w:val="none" w:sz="0" w:space="0" w:color="auto"/>
        <w:bottom w:val="none" w:sz="0" w:space="0" w:color="auto"/>
        <w:right w:val="none" w:sz="0" w:space="0" w:color="auto"/>
      </w:divBdr>
    </w:div>
    <w:div w:id="106582087">
      <w:bodyDiv w:val="1"/>
      <w:marLeft w:val="0"/>
      <w:marRight w:val="0"/>
      <w:marTop w:val="0"/>
      <w:marBottom w:val="0"/>
      <w:divBdr>
        <w:top w:val="none" w:sz="0" w:space="0" w:color="auto"/>
        <w:left w:val="none" w:sz="0" w:space="0" w:color="auto"/>
        <w:bottom w:val="none" w:sz="0" w:space="0" w:color="auto"/>
        <w:right w:val="none" w:sz="0" w:space="0" w:color="auto"/>
      </w:divBdr>
    </w:div>
    <w:div w:id="165479425">
      <w:bodyDiv w:val="1"/>
      <w:marLeft w:val="0"/>
      <w:marRight w:val="0"/>
      <w:marTop w:val="0"/>
      <w:marBottom w:val="0"/>
      <w:divBdr>
        <w:top w:val="none" w:sz="0" w:space="0" w:color="auto"/>
        <w:left w:val="none" w:sz="0" w:space="0" w:color="auto"/>
        <w:bottom w:val="none" w:sz="0" w:space="0" w:color="auto"/>
        <w:right w:val="none" w:sz="0" w:space="0" w:color="auto"/>
      </w:divBdr>
    </w:div>
    <w:div w:id="181092376">
      <w:bodyDiv w:val="1"/>
      <w:marLeft w:val="0"/>
      <w:marRight w:val="0"/>
      <w:marTop w:val="0"/>
      <w:marBottom w:val="0"/>
      <w:divBdr>
        <w:top w:val="none" w:sz="0" w:space="0" w:color="auto"/>
        <w:left w:val="none" w:sz="0" w:space="0" w:color="auto"/>
        <w:bottom w:val="none" w:sz="0" w:space="0" w:color="auto"/>
        <w:right w:val="none" w:sz="0" w:space="0" w:color="auto"/>
      </w:divBdr>
    </w:div>
    <w:div w:id="198511755">
      <w:bodyDiv w:val="1"/>
      <w:marLeft w:val="0"/>
      <w:marRight w:val="0"/>
      <w:marTop w:val="0"/>
      <w:marBottom w:val="0"/>
      <w:divBdr>
        <w:top w:val="none" w:sz="0" w:space="0" w:color="auto"/>
        <w:left w:val="none" w:sz="0" w:space="0" w:color="auto"/>
        <w:bottom w:val="none" w:sz="0" w:space="0" w:color="auto"/>
        <w:right w:val="none" w:sz="0" w:space="0" w:color="auto"/>
      </w:divBdr>
    </w:div>
    <w:div w:id="220991602">
      <w:bodyDiv w:val="1"/>
      <w:marLeft w:val="0"/>
      <w:marRight w:val="0"/>
      <w:marTop w:val="0"/>
      <w:marBottom w:val="0"/>
      <w:divBdr>
        <w:top w:val="none" w:sz="0" w:space="0" w:color="auto"/>
        <w:left w:val="none" w:sz="0" w:space="0" w:color="auto"/>
        <w:bottom w:val="none" w:sz="0" w:space="0" w:color="auto"/>
        <w:right w:val="none" w:sz="0" w:space="0" w:color="auto"/>
      </w:divBdr>
    </w:div>
    <w:div w:id="224948522">
      <w:bodyDiv w:val="1"/>
      <w:marLeft w:val="0"/>
      <w:marRight w:val="0"/>
      <w:marTop w:val="0"/>
      <w:marBottom w:val="0"/>
      <w:divBdr>
        <w:top w:val="none" w:sz="0" w:space="0" w:color="auto"/>
        <w:left w:val="none" w:sz="0" w:space="0" w:color="auto"/>
        <w:bottom w:val="none" w:sz="0" w:space="0" w:color="auto"/>
        <w:right w:val="none" w:sz="0" w:space="0" w:color="auto"/>
      </w:divBdr>
    </w:div>
    <w:div w:id="294069108">
      <w:bodyDiv w:val="1"/>
      <w:marLeft w:val="0"/>
      <w:marRight w:val="0"/>
      <w:marTop w:val="0"/>
      <w:marBottom w:val="0"/>
      <w:divBdr>
        <w:top w:val="none" w:sz="0" w:space="0" w:color="auto"/>
        <w:left w:val="none" w:sz="0" w:space="0" w:color="auto"/>
        <w:bottom w:val="none" w:sz="0" w:space="0" w:color="auto"/>
        <w:right w:val="none" w:sz="0" w:space="0" w:color="auto"/>
      </w:divBdr>
    </w:div>
    <w:div w:id="300353501">
      <w:bodyDiv w:val="1"/>
      <w:marLeft w:val="0"/>
      <w:marRight w:val="0"/>
      <w:marTop w:val="0"/>
      <w:marBottom w:val="0"/>
      <w:divBdr>
        <w:top w:val="none" w:sz="0" w:space="0" w:color="auto"/>
        <w:left w:val="none" w:sz="0" w:space="0" w:color="auto"/>
        <w:bottom w:val="none" w:sz="0" w:space="0" w:color="auto"/>
        <w:right w:val="none" w:sz="0" w:space="0" w:color="auto"/>
      </w:divBdr>
    </w:div>
    <w:div w:id="309527185">
      <w:bodyDiv w:val="1"/>
      <w:marLeft w:val="0"/>
      <w:marRight w:val="0"/>
      <w:marTop w:val="0"/>
      <w:marBottom w:val="0"/>
      <w:divBdr>
        <w:top w:val="none" w:sz="0" w:space="0" w:color="auto"/>
        <w:left w:val="none" w:sz="0" w:space="0" w:color="auto"/>
        <w:bottom w:val="none" w:sz="0" w:space="0" w:color="auto"/>
        <w:right w:val="none" w:sz="0" w:space="0" w:color="auto"/>
      </w:divBdr>
    </w:div>
    <w:div w:id="316768145">
      <w:bodyDiv w:val="1"/>
      <w:marLeft w:val="0"/>
      <w:marRight w:val="0"/>
      <w:marTop w:val="0"/>
      <w:marBottom w:val="0"/>
      <w:divBdr>
        <w:top w:val="none" w:sz="0" w:space="0" w:color="auto"/>
        <w:left w:val="none" w:sz="0" w:space="0" w:color="auto"/>
        <w:bottom w:val="none" w:sz="0" w:space="0" w:color="auto"/>
        <w:right w:val="none" w:sz="0" w:space="0" w:color="auto"/>
      </w:divBdr>
    </w:div>
    <w:div w:id="318584620">
      <w:bodyDiv w:val="1"/>
      <w:marLeft w:val="0"/>
      <w:marRight w:val="0"/>
      <w:marTop w:val="0"/>
      <w:marBottom w:val="0"/>
      <w:divBdr>
        <w:top w:val="none" w:sz="0" w:space="0" w:color="auto"/>
        <w:left w:val="none" w:sz="0" w:space="0" w:color="auto"/>
        <w:bottom w:val="none" w:sz="0" w:space="0" w:color="auto"/>
        <w:right w:val="none" w:sz="0" w:space="0" w:color="auto"/>
      </w:divBdr>
    </w:div>
    <w:div w:id="359476578">
      <w:bodyDiv w:val="1"/>
      <w:marLeft w:val="0"/>
      <w:marRight w:val="0"/>
      <w:marTop w:val="0"/>
      <w:marBottom w:val="0"/>
      <w:divBdr>
        <w:top w:val="none" w:sz="0" w:space="0" w:color="auto"/>
        <w:left w:val="none" w:sz="0" w:space="0" w:color="auto"/>
        <w:bottom w:val="none" w:sz="0" w:space="0" w:color="auto"/>
        <w:right w:val="none" w:sz="0" w:space="0" w:color="auto"/>
      </w:divBdr>
    </w:div>
    <w:div w:id="379668155">
      <w:bodyDiv w:val="1"/>
      <w:marLeft w:val="0"/>
      <w:marRight w:val="0"/>
      <w:marTop w:val="0"/>
      <w:marBottom w:val="0"/>
      <w:divBdr>
        <w:top w:val="none" w:sz="0" w:space="0" w:color="auto"/>
        <w:left w:val="none" w:sz="0" w:space="0" w:color="auto"/>
        <w:bottom w:val="none" w:sz="0" w:space="0" w:color="auto"/>
        <w:right w:val="none" w:sz="0" w:space="0" w:color="auto"/>
      </w:divBdr>
    </w:div>
    <w:div w:id="383405268">
      <w:bodyDiv w:val="1"/>
      <w:marLeft w:val="0"/>
      <w:marRight w:val="0"/>
      <w:marTop w:val="0"/>
      <w:marBottom w:val="0"/>
      <w:divBdr>
        <w:top w:val="none" w:sz="0" w:space="0" w:color="auto"/>
        <w:left w:val="none" w:sz="0" w:space="0" w:color="auto"/>
        <w:bottom w:val="none" w:sz="0" w:space="0" w:color="auto"/>
        <w:right w:val="none" w:sz="0" w:space="0" w:color="auto"/>
      </w:divBdr>
    </w:div>
    <w:div w:id="455220655">
      <w:bodyDiv w:val="1"/>
      <w:marLeft w:val="0"/>
      <w:marRight w:val="0"/>
      <w:marTop w:val="0"/>
      <w:marBottom w:val="0"/>
      <w:divBdr>
        <w:top w:val="none" w:sz="0" w:space="0" w:color="auto"/>
        <w:left w:val="none" w:sz="0" w:space="0" w:color="auto"/>
        <w:bottom w:val="none" w:sz="0" w:space="0" w:color="auto"/>
        <w:right w:val="none" w:sz="0" w:space="0" w:color="auto"/>
      </w:divBdr>
    </w:div>
    <w:div w:id="459810683">
      <w:bodyDiv w:val="1"/>
      <w:marLeft w:val="0"/>
      <w:marRight w:val="0"/>
      <w:marTop w:val="0"/>
      <w:marBottom w:val="0"/>
      <w:divBdr>
        <w:top w:val="none" w:sz="0" w:space="0" w:color="auto"/>
        <w:left w:val="none" w:sz="0" w:space="0" w:color="auto"/>
        <w:bottom w:val="none" w:sz="0" w:space="0" w:color="auto"/>
        <w:right w:val="none" w:sz="0" w:space="0" w:color="auto"/>
      </w:divBdr>
    </w:div>
    <w:div w:id="475144346">
      <w:bodyDiv w:val="1"/>
      <w:marLeft w:val="0"/>
      <w:marRight w:val="0"/>
      <w:marTop w:val="0"/>
      <w:marBottom w:val="0"/>
      <w:divBdr>
        <w:top w:val="none" w:sz="0" w:space="0" w:color="auto"/>
        <w:left w:val="none" w:sz="0" w:space="0" w:color="auto"/>
        <w:bottom w:val="none" w:sz="0" w:space="0" w:color="auto"/>
        <w:right w:val="none" w:sz="0" w:space="0" w:color="auto"/>
      </w:divBdr>
    </w:div>
    <w:div w:id="485510697">
      <w:bodyDiv w:val="1"/>
      <w:marLeft w:val="0"/>
      <w:marRight w:val="0"/>
      <w:marTop w:val="0"/>
      <w:marBottom w:val="0"/>
      <w:divBdr>
        <w:top w:val="none" w:sz="0" w:space="0" w:color="auto"/>
        <w:left w:val="none" w:sz="0" w:space="0" w:color="auto"/>
        <w:bottom w:val="none" w:sz="0" w:space="0" w:color="auto"/>
        <w:right w:val="none" w:sz="0" w:space="0" w:color="auto"/>
      </w:divBdr>
    </w:div>
    <w:div w:id="515578425">
      <w:bodyDiv w:val="1"/>
      <w:marLeft w:val="0"/>
      <w:marRight w:val="0"/>
      <w:marTop w:val="0"/>
      <w:marBottom w:val="0"/>
      <w:divBdr>
        <w:top w:val="none" w:sz="0" w:space="0" w:color="auto"/>
        <w:left w:val="none" w:sz="0" w:space="0" w:color="auto"/>
        <w:bottom w:val="none" w:sz="0" w:space="0" w:color="auto"/>
        <w:right w:val="none" w:sz="0" w:space="0" w:color="auto"/>
      </w:divBdr>
    </w:div>
    <w:div w:id="533076434">
      <w:bodyDiv w:val="1"/>
      <w:marLeft w:val="0"/>
      <w:marRight w:val="0"/>
      <w:marTop w:val="0"/>
      <w:marBottom w:val="0"/>
      <w:divBdr>
        <w:top w:val="none" w:sz="0" w:space="0" w:color="auto"/>
        <w:left w:val="none" w:sz="0" w:space="0" w:color="auto"/>
        <w:bottom w:val="none" w:sz="0" w:space="0" w:color="auto"/>
        <w:right w:val="none" w:sz="0" w:space="0" w:color="auto"/>
      </w:divBdr>
    </w:div>
    <w:div w:id="568462091">
      <w:bodyDiv w:val="1"/>
      <w:marLeft w:val="0"/>
      <w:marRight w:val="0"/>
      <w:marTop w:val="0"/>
      <w:marBottom w:val="0"/>
      <w:divBdr>
        <w:top w:val="none" w:sz="0" w:space="0" w:color="auto"/>
        <w:left w:val="none" w:sz="0" w:space="0" w:color="auto"/>
        <w:bottom w:val="none" w:sz="0" w:space="0" w:color="auto"/>
        <w:right w:val="none" w:sz="0" w:space="0" w:color="auto"/>
      </w:divBdr>
    </w:div>
    <w:div w:id="582878116">
      <w:bodyDiv w:val="1"/>
      <w:marLeft w:val="0"/>
      <w:marRight w:val="0"/>
      <w:marTop w:val="0"/>
      <w:marBottom w:val="0"/>
      <w:divBdr>
        <w:top w:val="none" w:sz="0" w:space="0" w:color="auto"/>
        <w:left w:val="none" w:sz="0" w:space="0" w:color="auto"/>
        <w:bottom w:val="none" w:sz="0" w:space="0" w:color="auto"/>
        <w:right w:val="none" w:sz="0" w:space="0" w:color="auto"/>
      </w:divBdr>
    </w:div>
    <w:div w:id="590242509">
      <w:bodyDiv w:val="1"/>
      <w:marLeft w:val="0"/>
      <w:marRight w:val="0"/>
      <w:marTop w:val="0"/>
      <w:marBottom w:val="0"/>
      <w:divBdr>
        <w:top w:val="none" w:sz="0" w:space="0" w:color="auto"/>
        <w:left w:val="none" w:sz="0" w:space="0" w:color="auto"/>
        <w:bottom w:val="none" w:sz="0" w:space="0" w:color="auto"/>
        <w:right w:val="none" w:sz="0" w:space="0" w:color="auto"/>
      </w:divBdr>
    </w:div>
    <w:div w:id="609943947">
      <w:bodyDiv w:val="1"/>
      <w:marLeft w:val="0"/>
      <w:marRight w:val="0"/>
      <w:marTop w:val="0"/>
      <w:marBottom w:val="0"/>
      <w:divBdr>
        <w:top w:val="none" w:sz="0" w:space="0" w:color="auto"/>
        <w:left w:val="none" w:sz="0" w:space="0" w:color="auto"/>
        <w:bottom w:val="none" w:sz="0" w:space="0" w:color="auto"/>
        <w:right w:val="none" w:sz="0" w:space="0" w:color="auto"/>
      </w:divBdr>
    </w:div>
    <w:div w:id="643704887">
      <w:bodyDiv w:val="1"/>
      <w:marLeft w:val="0"/>
      <w:marRight w:val="0"/>
      <w:marTop w:val="0"/>
      <w:marBottom w:val="0"/>
      <w:divBdr>
        <w:top w:val="none" w:sz="0" w:space="0" w:color="auto"/>
        <w:left w:val="none" w:sz="0" w:space="0" w:color="auto"/>
        <w:bottom w:val="none" w:sz="0" w:space="0" w:color="auto"/>
        <w:right w:val="none" w:sz="0" w:space="0" w:color="auto"/>
      </w:divBdr>
    </w:div>
    <w:div w:id="678772805">
      <w:bodyDiv w:val="1"/>
      <w:marLeft w:val="0"/>
      <w:marRight w:val="0"/>
      <w:marTop w:val="0"/>
      <w:marBottom w:val="0"/>
      <w:divBdr>
        <w:top w:val="none" w:sz="0" w:space="0" w:color="auto"/>
        <w:left w:val="none" w:sz="0" w:space="0" w:color="auto"/>
        <w:bottom w:val="none" w:sz="0" w:space="0" w:color="auto"/>
        <w:right w:val="none" w:sz="0" w:space="0" w:color="auto"/>
      </w:divBdr>
    </w:div>
    <w:div w:id="706490306">
      <w:bodyDiv w:val="1"/>
      <w:marLeft w:val="0"/>
      <w:marRight w:val="0"/>
      <w:marTop w:val="0"/>
      <w:marBottom w:val="0"/>
      <w:divBdr>
        <w:top w:val="none" w:sz="0" w:space="0" w:color="auto"/>
        <w:left w:val="none" w:sz="0" w:space="0" w:color="auto"/>
        <w:bottom w:val="none" w:sz="0" w:space="0" w:color="auto"/>
        <w:right w:val="none" w:sz="0" w:space="0" w:color="auto"/>
      </w:divBdr>
    </w:div>
    <w:div w:id="725647151">
      <w:bodyDiv w:val="1"/>
      <w:marLeft w:val="0"/>
      <w:marRight w:val="0"/>
      <w:marTop w:val="0"/>
      <w:marBottom w:val="0"/>
      <w:divBdr>
        <w:top w:val="none" w:sz="0" w:space="0" w:color="auto"/>
        <w:left w:val="none" w:sz="0" w:space="0" w:color="auto"/>
        <w:bottom w:val="none" w:sz="0" w:space="0" w:color="auto"/>
        <w:right w:val="none" w:sz="0" w:space="0" w:color="auto"/>
      </w:divBdr>
    </w:div>
    <w:div w:id="733816484">
      <w:bodyDiv w:val="1"/>
      <w:marLeft w:val="0"/>
      <w:marRight w:val="0"/>
      <w:marTop w:val="0"/>
      <w:marBottom w:val="0"/>
      <w:divBdr>
        <w:top w:val="none" w:sz="0" w:space="0" w:color="auto"/>
        <w:left w:val="none" w:sz="0" w:space="0" w:color="auto"/>
        <w:bottom w:val="none" w:sz="0" w:space="0" w:color="auto"/>
        <w:right w:val="none" w:sz="0" w:space="0" w:color="auto"/>
      </w:divBdr>
    </w:div>
    <w:div w:id="809128357">
      <w:bodyDiv w:val="1"/>
      <w:marLeft w:val="0"/>
      <w:marRight w:val="0"/>
      <w:marTop w:val="0"/>
      <w:marBottom w:val="0"/>
      <w:divBdr>
        <w:top w:val="none" w:sz="0" w:space="0" w:color="auto"/>
        <w:left w:val="none" w:sz="0" w:space="0" w:color="auto"/>
        <w:bottom w:val="none" w:sz="0" w:space="0" w:color="auto"/>
        <w:right w:val="none" w:sz="0" w:space="0" w:color="auto"/>
      </w:divBdr>
    </w:div>
    <w:div w:id="809320713">
      <w:bodyDiv w:val="1"/>
      <w:marLeft w:val="0"/>
      <w:marRight w:val="0"/>
      <w:marTop w:val="0"/>
      <w:marBottom w:val="0"/>
      <w:divBdr>
        <w:top w:val="none" w:sz="0" w:space="0" w:color="auto"/>
        <w:left w:val="none" w:sz="0" w:space="0" w:color="auto"/>
        <w:bottom w:val="none" w:sz="0" w:space="0" w:color="auto"/>
        <w:right w:val="none" w:sz="0" w:space="0" w:color="auto"/>
      </w:divBdr>
    </w:div>
    <w:div w:id="841970908">
      <w:bodyDiv w:val="1"/>
      <w:marLeft w:val="0"/>
      <w:marRight w:val="0"/>
      <w:marTop w:val="0"/>
      <w:marBottom w:val="0"/>
      <w:divBdr>
        <w:top w:val="none" w:sz="0" w:space="0" w:color="auto"/>
        <w:left w:val="none" w:sz="0" w:space="0" w:color="auto"/>
        <w:bottom w:val="none" w:sz="0" w:space="0" w:color="auto"/>
        <w:right w:val="none" w:sz="0" w:space="0" w:color="auto"/>
      </w:divBdr>
    </w:div>
    <w:div w:id="862208279">
      <w:bodyDiv w:val="1"/>
      <w:marLeft w:val="0"/>
      <w:marRight w:val="0"/>
      <w:marTop w:val="0"/>
      <w:marBottom w:val="0"/>
      <w:divBdr>
        <w:top w:val="none" w:sz="0" w:space="0" w:color="auto"/>
        <w:left w:val="none" w:sz="0" w:space="0" w:color="auto"/>
        <w:bottom w:val="none" w:sz="0" w:space="0" w:color="auto"/>
        <w:right w:val="none" w:sz="0" w:space="0" w:color="auto"/>
      </w:divBdr>
    </w:div>
    <w:div w:id="866066496">
      <w:bodyDiv w:val="1"/>
      <w:marLeft w:val="0"/>
      <w:marRight w:val="0"/>
      <w:marTop w:val="0"/>
      <w:marBottom w:val="0"/>
      <w:divBdr>
        <w:top w:val="none" w:sz="0" w:space="0" w:color="auto"/>
        <w:left w:val="none" w:sz="0" w:space="0" w:color="auto"/>
        <w:bottom w:val="none" w:sz="0" w:space="0" w:color="auto"/>
        <w:right w:val="none" w:sz="0" w:space="0" w:color="auto"/>
      </w:divBdr>
    </w:div>
    <w:div w:id="881020513">
      <w:bodyDiv w:val="1"/>
      <w:marLeft w:val="0"/>
      <w:marRight w:val="0"/>
      <w:marTop w:val="0"/>
      <w:marBottom w:val="0"/>
      <w:divBdr>
        <w:top w:val="none" w:sz="0" w:space="0" w:color="auto"/>
        <w:left w:val="none" w:sz="0" w:space="0" w:color="auto"/>
        <w:bottom w:val="none" w:sz="0" w:space="0" w:color="auto"/>
        <w:right w:val="none" w:sz="0" w:space="0" w:color="auto"/>
      </w:divBdr>
    </w:div>
    <w:div w:id="899365202">
      <w:bodyDiv w:val="1"/>
      <w:marLeft w:val="0"/>
      <w:marRight w:val="0"/>
      <w:marTop w:val="0"/>
      <w:marBottom w:val="0"/>
      <w:divBdr>
        <w:top w:val="none" w:sz="0" w:space="0" w:color="auto"/>
        <w:left w:val="none" w:sz="0" w:space="0" w:color="auto"/>
        <w:bottom w:val="none" w:sz="0" w:space="0" w:color="auto"/>
        <w:right w:val="none" w:sz="0" w:space="0" w:color="auto"/>
      </w:divBdr>
    </w:div>
    <w:div w:id="923761446">
      <w:bodyDiv w:val="1"/>
      <w:marLeft w:val="0"/>
      <w:marRight w:val="0"/>
      <w:marTop w:val="0"/>
      <w:marBottom w:val="0"/>
      <w:divBdr>
        <w:top w:val="none" w:sz="0" w:space="0" w:color="auto"/>
        <w:left w:val="none" w:sz="0" w:space="0" w:color="auto"/>
        <w:bottom w:val="none" w:sz="0" w:space="0" w:color="auto"/>
        <w:right w:val="none" w:sz="0" w:space="0" w:color="auto"/>
      </w:divBdr>
    </w:div>
    <w:div w:id="956061344">
      <w:bodyDiv w:val="1"/>
      <w:marLeft w:val="0"/>
      <w:marRight w:val="0"/>
      <w:marTop w:val="0"/>
      <w:marBottom w:val="0"/>
      <w:divBdr>
        <w:top w:val="none" w:sz="0" w:space="0" w:color="auto"/>
        <w:left w:val="none" w:sz="0" w:space="0" w:color="auto"/>
        <w:bottom w:val="none" w:sz="0" w:space="0" w:color="auto"/>
        <w:right w:val="none" w:sz="0" w:space="0" w:color="auto"/>
      </w:divBdr>
    </w:div>
    <w:div w:id="961154544">
      <w:bodyDiv w:val="1"/>
      <w:marLeft w:val="0"/>
      <w:marRight w:val="0"/>
      <w:marTop w:val="0"/>
      <w:marBottom w:val="0"/>
      <w:divBdr>
        <w:top w:val="none" w:sz="0" w:space="0" w:color="auto"/>
        <w:left w:val="none" w:sz="0" w:space="0" w:color="auto"/>
        <w:bottom w:val="none" w:sz="0" w:space="0" w:color="auto"/>
        <w:right w:val="none" w:sz="0" w:space="0" w:color="auto"/>
      </w:divBdr>
    </w:div>
    <w:div w:id="973683299">
      <w:bodyDiv w:val="1"/>
      <w:marLeft w:val="0"/>
      <w:marRight w:val="0"/>
      <w:marTop w:val="0"/>
      <w:marBottom w:val="0"/>
      <w:divBdr>
        <w:top w:val="none" w:sz="0" w:space="0" w:color="auto"/>
        <w:left w:val="none" w:sz="0" w:space="0" w:color="auto"/>
        <w:bottom w:val="none" w:sz="0" w:space="0" w:color="auto"/>
        <w:right w:val="none" w:sz="0" w:space="0" w:color="auto"/>
      </w:divBdr>
    </w:div>
    <w:div w:id="982079366">
      <w:bodyDiv w:val="1"/>
      <w:marLeft w:val="0"/>
      <w:marRight w:val="0"/>
      <w:marTop w:val="0"/>
      <w:marBottom w:val="0"/>
      <w:divBdr>
        <w:top w:val="none" w:sz="0" w:space="0" w:color="auto"/>
        <w:left w:val="none" w:sz="0" w:space="0" w:color="auto"/>
        <w:bottom w:val="none" w:sz="0" w:space="0" w:color="auto"/>
        <w:right w:val="none" w:sz="0" w:space="0" w:color="auto"/>
      </w:divBdr>
    </w:div>
    <w:div w:id="992679958">
      <w:bodyDiv w:val="1"/>
      <w:marLeft w:val="0"/>
      <w:marRight w:val="0"/>
      <w:marTop w:val="0"/>
      <w:marBottom w:val="0"/>
      <w:divBdr>
        <w:top w:val="none" w:sz="0" w:space="0" w:color="auto"/>
        <w:left w:val="none" w:sz="0" w:space="0" w:color="auto"/>
        <w:bottom w:val="none" w:sz="0" w:space="0" w:color="auto"/>
        <w:right w:val="none" w:sz="0" w:space="0" w:color="auto"/>
      </w:divBdr>
    </w:div>
    <w:div w:id="1032874858">
      <w:bodyDiv w:val="1"/>
      <w:marLeft w:val="0"/>
      <w:marRight w:val="0"/>
      <w:marTop w:val="0"/>
      <w:marBottom w:val="0"/>
      <w:divBdr>
        <w:top w:val="none" w:sz="0" w:space="0" w:color="auto"/>
        <w:left w:val="none" w:sz="0" w:space="0" w:color="auto"/>
        <w:bottom w:val="none" w:sz="0" w:space="0" w:color="auto"/>
        <w:right w:val="none" w:sz="0" w:space="0" w:color="auto"/>
      </w:divBdr>
    </w:div>
    <w:div w:id="1054037132">
      <w:bodyDiv w:val="1"/>
      <w:marLeft w:val="0"/>
      <w:marRight w:val="0"/>
      <w:marTop w:val="0"/>
      <w:marBottom w:val="0"/>
      <w:divBdr>
        <w:top w:val="none" w:sz="0" w:space="0" w:color="auto"/>
        <w:left w:val="none" w:sz="0" w:space="0" w:color="auto"/>
        <w:bottom w:val="none" w:sz="0" w:space="0" w:color="auto"/>
        <w:right w:val="none" w:sz="0" w:space="0" w:color="auto"/>
      </w:divBdr>
    </w:div>
    <w:div w:id="1066760882">
      <w:bodyDiv w:val="1"/>
      <w:marLeft w:val="0"/>
      <w:marRight w:val="0"/>
      <w:marTop w:val="0"/>
      <w:marBottom w:val="0"/>
      <w:divBdr>
        <w:top w:val="none" w:sz="0" w:space="0" w:color="auto"/>
        <w:left w:val="none" w:sz="0" w:space="0" w:color="auto"/>
        <w:bottom w:val="none" w:sz="0" w:space="0" w:color="auto"/>
        <w:right w:val="none" w:sz="0" w:space="0" w:color="auto"/>
      </w:divBdr>
    </w:div>
    <w:div w:id="1081953836">
      <w:bodyDiv w:val="1"/>
      <w:marLeft w:val="0"/>
      <w:marRight w:val="0"/>
      <w:marTop w:val="0"/>
      <w:marBottom w:val="0"/>
      <w:divBdr>
        <w:top w:val="none" w:sz="0" w:space="0" w:color="auto"/>
        <w:left w:val="none" w:sz="0" w:space="0" w:color="auto"/>
        <w:bottom w:val="none" w:sz="0" w:space="0" w:color="auto"/>
        <w:right w:val="none" w:sz="0" w:space="0" w:color="auto"/>
      </w:divBdr>
    </w:div>
    <w:div w:id="1180631129">
      <w:bodyDiv w:val="1"/>
      <w:marLeft w:val="0"/>
      <w:marRight w:val="0"/>
      <w:marTop w:val="0"/>
      <w:marBottom w:val="0"/>
      <w:divBdr>
        <w:top w:val="none" w:sz="0" w:space="0" w:color="auto"/>
        <w:left w:val="none" w:sz="0" w:space="0" w:color="auto"/>
        <w:bottom w:val="none" w:sz="0" w:space="0" w:color="auto"/>
        <w:right w:val="none" w:sz="0" w:space="0" w:color="auto"/>
      </w:divBdr>
    </w:div>
    <w:div w:id="1191531577">
      <w:bodyDiv w:val="1"/>
      <w:marLeft w:val="0"/>
      <w:marRight w:val="0"/>
      <w:marTop w:val="0"/>
      <w:marBottom w:val="0"/>
      <w:divBdr>
        <w:top w:val="none" w:sz="0" w:space="0" w:color="auto"/>
        <w:left w:val="none" w:sz="0" w:space="0" w:color="auto"/>
        <w:bottom w:val="none" w:sz="0" w:space="0" w:color="auto"/>
        <w:right w:val="none" w:sz="0" w:space="0" w:color="auto"/>
      </w:divBdr>
    </w:div>
    <w:div w:id="1211649528">
      <w:bodyDiv w:val="1"/>
      <w:marLeft w:val="0"/>
      <w:marRight w:val="0"/>
      <w:marTop w:val="0"/>
      <w:marBottom w:val="0"/>
      <w:divBdr>
        <w:top w:val="none" w:sz="0" w:space="0" w:color="auto"/>
        <w:left w:val="none" w:sz="0" w:space="0" w:color="auto"/>
        <w:bottom w:val="none" w:sz="0" w:space="0" w:color="auto"/>
        <w:right w:val="none" w:sz="0" w:space="0" w:color="auto"/>
      </w:divBdr>
    </w:div>
    <w:div w:id="1243685298">
      <w:bodyDiv w:val="1"/>
      <w:marLeft w:val="0"/>
      <w:marRight w:val="0"/>
      <w:marTop w:val="0"/>
      <w:marBottom w:val="0"/>
      <w:divBdr>
        <w:top w:val="none" w:sz="0" w:space="0" w:color="auto"/>
        <w:left w:val="none" w:sz="0" w:space="0" w:color="auto"/>
        <w:bottom w:val="none" w:sz="0" w:space="0" w:color="auto"/>
        <w:right w:val="none" w:sz="0" w:space="0" w:color="auto"/>
      </w:divBdr>
    </w:div>
    <w:div w:id="1257639191">
      <w:bodyDiv w:val="1"/>
      <w:marLeft w:val="0"/>
      <w:marRight w:val="0"/>
      <w:marTop w:val="0"/>
      <w:marBottom w:val="0"/>
      <w:divBdr>
        <w:top w:val="none" w:sz="0" w:space="0" w:color="auto"/>
        <w:left w:val="none" w:sz="0" w:space="0" w:color="auto"/>
        <w:bottom w:val="none" w:sz="0" w:space="0" w:color="auto"/>
        <w:right w:val="none" w:sz="0" w:space="0" w:color="auto"/>
      </w:divBdr>
    </w:div>
    <w:div w:id="1261839703">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339890731">
      <w:bodyDiv w:val="1"/>
      <w:marLeft w:val="0"/>
      <w:marRight w:val="0"/>
      <w:marTop w:val="0"/>
      <w:marBottom w:val="0"/>
      <w:divBdr>
        <w:top w:val="none" w:sz="0" w:space="0" w:color="auto"/>
        <w:left w:val="none" w:sz="0" w:space="0" w:color="auto"/>
        <w:bottom w:val="none" w:sz="0" w:space="0" w:color="auto"/>
        <w:right w:val="none" w:sz="0" w:space="0" w:color="auto"/>
      </w:divBdr>
    </w:div>
    <w:div w:id="1342708244">
      <w:bodyDiv w:val="1"/>
      <w:marLeft w:val="0"/>
      <w:marRight w:val="0"/>
      <w:marTop w:val="0"/>
      <w:marBottom w:val="0"/>
      <w:divBdr>
        <w:top w:val="none" w:sz="0" w:space="0" w:color="auto"/>
        <w:left w:val="none" w:sz="0" w:space="0" w:color="auto"/>
        <w:bottom w:val="none" w:sz="0" w:space="0" w:color="auto"/>
        <w:right w:val="none" w:sz="0" w:space="0" w:color="auto"/>
      </w:divBdr>
    </w:div>
    <w:div w:id="1353528738">
      <w:bodyDiv w:val="1"/>
      <w:marLeft w:val="0"/>
      <w:marRight w:val="0"/>
      <w:marTop w:val="0"/>
      <w:marBottom w:val="0"/>
      <w:divBdr>
        <w:top w:val="none" w:sz="0" w:space="0" w:color="auto"/>
        <w:left w:val="none" w:sz="0" w:space="0" w:color="auto"/>
        <w:bottom w:val="none" w:sz="0" w:space="0" w:color="auto"/>
        <w:right w:val="none" w:sz="0" w:space="0" w:color="auto"/>
      </w:divBdr>
    </w:div>
    <w:div w:id="1416632256">
      <w:bodyDiv w:val="1"/>
      <w:marLeft w:val="0"/>
      <w:marRight w:val="0"/>
      <w:marTop w:val="0"/>
      <w:marBottom w:val="0"/>
      <w:divBdr>
        <w:top w:val="none" w:sz="0" w:space="0" w:color="auto"/>
        <w:left w:val="none" w:sz="0" w:space="0" w:color="auto"/>
        <w:bottom w:val="none" w:sz="0" w:space="0" w:color="auto"/>
        <w:right w:val="none" w:sz="0" w:space="0" w:color="auto"/>
      </w:divBdr>
    </w:div>
    <w:div w:id="1493906406">
      <w:bodyDiv w:val="1"/>
      <w:marLeft w:val="0"/>
      <w:marRight w:val="0"/>
      <w:marTop w:val="0"/>
      <w:marBottom w:val="0"/>
      <w:divBdr>
        <w:top w:val="none" w:sz="0" w:space="0" w:color="auto"/>
        <w:left w:val="none" w:sz="0" w:space="0" w:color="auto"/>
        <w:bottom w:val="none" w:sz="0" w:space="0" w:color="auto"/>
        <w:right w:val="none" w:sz="0" w:space="0" w:color="auto"/>
      </w:divBdr>
    </w:div>
    <w:div w:id="1506478705">
      <w:bodyDiv w:val="1"/>
      <w:marLeft w:val="0"/>
      <w:marRight w:val="0"/>
      <w:marTop w:val="0"/>
      <w:marBottom w:val="0"/>
      <w:divBdr>
        <w:top w:val="none" w:sz="0" w:space="0" w:color="auto"/>
        <w:left w:val="none" w:sz="0" w:space="0" w:color="auto"/>
        <w:bottom w:val="none" w:sz="0" w:space="0" w:color="auto"/>
        <w:right w:val="none" w:sz="0" w:space="0" w:color="auto"/>
      </w:divBdr>
    </w:div>
    <w:div w:id="1522667416">
      <w:bodyDiv w:val="1"/>
      <w:marLeft w:val="0"/>
      <w:marRight w:val="0"/>
      <w:marTop w:val="0"/>
      <w:marBottom w:val="0"/>
      <w:divBdr>
        <w:top w:val="none" w:sz="0" w:space="0" w:color="auto"/>
        <w:left w:val="none" w:sz="0" w:space="0" w:color="auto"/>
        <w:bottom w:val="none" w:sz="0" w:space="0" w:color="auto"/>
        <w:right w:val="none" w:sz="0" w:space="0" w:color="auto"/>
      </w:divBdr>
    </w:div>
    <w:div w:id="1566333485">
      <w:bodyDiv w:val="1"/>
      <w:marLeft w:val="0"/>
      <w:marRight w:val="0"/>
      <w:marTop w:val="0"/>
      <w:marBottom w:val="0"/>
      <w:divBdr>
        <w:top w:val="none" w:sz="0" w:space="0" w:color="auto"/>
        <w:left w:val="none" w:sz="0" w:space="0" w:color="auto"/>
        <w:bottom w:val="none" w:sz="0" w:space="0" w:color="auto"/>
        <w:right w:val="none" w:sz="0" w:space="0" w:color="auto"/>
      </w:divBdr>
    </w:div>
    <w:div w:id="1582446844">
      <w:bodyDiv w:val="1"/>
      <w:marLeft w:val="0"/>
      <w:marRight w:val="0"/>
      <w:marTop w:val="0"/>
      <w:marBottom w:val="0"/>
      <w:divBdr>
        <w:top w:val="none" w:sz="0" w:space="0" w:color="auto"/>
        <w:left w:val="none" w:sz="0" w:space="0" w:color="auto"/>
        <w:bottom w:val="none" w:sz="0" w:space="0" w:color="auto"/>
        <w:right w:val="none" w:sz="0" w:space="0" w:color="auto"/>
      </w:divBdr>
    </w:div>
    <w:div w:id="1618756082">
      <w:bodyDiv w:val="1"/>
      <w:marLeft w:val="0"/>
      <w:marRight w:val="0"/>
      <w:marTop w:val="0"/>
      <w:marBottom w:val="0"/>
      <w:divBdr>
        <w:top w:val="none" w:sz="0" w:space="0" w:color="auto"/>
        <w:left w:val="none" w:sz="0" w:space="0" w:color="auto"/>
        <w:bottom w:val="none" w:sz="0" w:space="0" w:color="auto"/>
        <w:right w:val="none" w:sz="0" w:space="0" w:color="auto"/>
      </w:divBdr>
    </w:div>
    <w:div w:id="1626622716">
      <w:bodyDiv w:val="1"/>
      <w:marLeft w:val="0"/>
      <w:marRight w:val="0"/>
      <w:marTop w:val="0"/>
      <w:marBottom w:val="0"/>
      <w:divBdr>
        <w:top w:val="none" w:sz="0" w:space="0" w:color="auto"/>
        <w:left w:val="none" w:sz="0" w:space="0" w:color="auto"/>
        <w:bottom w:val="none" w:sz="0" w:space="0" w:color="auto"/>
        <w:right w:val="none" w:sz="0" w:space="0" w:color="auto"/>
      </w:divBdr>
    </w:div>
    <w:div w:id="1629169219">
      <w:bodyDiv w:val="1"/>
      <w:marLeft w:val="0"/>
      <w:marRight w:val="0"/>
      <w:marTop w:val="0"/>
      <w:marBottom w:val="0"/>
      <w:divBdr>
        <w:top w:val="none" w:sz="0" w:space="0" w:color="auto"/>
        <w:left w:val="none" w:sz="0" w:space="0" w:color="auto"/>
        <w:bottom w:val="none" w:sz="0" w:space="0" w:color="auto"/>
        <w:right w:val="none" w:sz="0" w:space="0" w:color="auto"/>
      </w:divBdr>
    </w:div>
    <w:div w:id="1648053148">
      <w:bodyDiv w:val="1"/>
      <w:marLeft w:val="0"/>
      <w:marRight w:val="0"/>
      <w:marTop w:val="0"/>
      <w:marBottom w:val="0"/>
      <w:divBdr>
        <w:top w:val="none" w:sz="0" w:space="0" w:color="auto"/>
        <w:left w:val="none" w:sz="0" w:space="0" w:color="auto"/>
        <w:bottom w:val="none" w:sz="0" w:space="0" w:color="auto"/>
        <w:right w:val="none" w:sz="0" w:space="0" w:color="auto"/>
      </w:divBdr>
    </w:div>
    <w:div w:id="1664353034">
      <w:bodyDiv w:val="1"/>
      <w:marLeft w:val="0"/>
      <w:marRight w:val="0"/>
      <w:marTop w:val="0"/>
      <w:marBottom w:val="0"/>
      <w:divBdr>
        <w:top w:val="none" w:sz="0" w:space="0" w:color="auto"/>
        <w:left w:val="none" w:sz="0" w:space="0" w:color="auto"/>
        <w:bottom w:val="none" w:sz="0" w:space="0" w:color="auto"/>
        <w:right w:val="none" w:sz="0" w:space="0" w:color="auto"/>
      </w:divBdr>
    </w:div>
    <w:div w:id="1707606972">
      <w:bodyDiv w:val="1"/>
      <w:marLeft w:val="0"/>
      <w:marRight w:val="0"/>
      <w:marTop w:val="0"/>
      <w:marBottom w:val="0"/>
      <w:divBdr>
        <w:top w:val="none" w:sz="0" w:space="0" w:color="auto"/>
        <w:left w:val="none" w:sz="0" w:space="0" w:color="auto"/>
        <w:bottom w:val="none" w:sz="0" w:space="0" w:color="auto"/>
        <w:right w:val="none" w:sz="0" w:space="0" w:color="auto"/>
      </w:divBdr>
    </w:div>
    <w:div w:id="1755318918">
      <w:bodyDiv w:val="1"/>
      <w:marLeft w:val="0"/>
      <w:marRight w:val="0"/>
      <w:marTop w:val="0"/>
      <w:marBottom w:val="0"/>
      <w:divBdr>
        <w:top w:val="none" w:sz="0" w:space="0" w:color="auto"/>
        <w:left w:val="none" w:sz="0" w:space="0" w:color="auto"/>
        <w:bottom w:val="none" w:sz="0" w:space="0" w:color="auto"/>
        <w:right w:val="none" w:sz="0" w:space="0" w:color="auto"/>
      </w:divBdr>
    </w:div>
    <w:div w:id="1758287460">
      <w:bodyDiv w:val="1"/>
      <w:marLeft w:val="0"/>
      <w:marRight w:val="0"/>
      <w:marTop w:val="0"/>
      <w:marBottom w:val="0"/>
      <w:divBdr>
        <w:top w:val="none" w:sz="0" w:space="0" w:color="auto"/>
        <w:left w:val="none" w:sz="0" w:space="0" w:color="auto"/>
        <w:bottom w:val="none" w:sz="0" w:space="0" w:color="auto"/>
        <w:right w:val="none" w:sz="0" w:space="0" w:color="auto"/>
      </w:divBdr>
    </w:div>
    <w:div w:id="1766804611">
      <w:bodyDiv w:val="1"/>
      <w:marLeft w:val="0"/>
      <w:marRight w:val="0"/>
      <w:marTop w:val="0"/>
      <w:marBottom w:val="0"/>
      <w:divBdr>
        <w:top w:val="none" w:sz="0" w:space="0" w:color="auto"/>
        <w:left w:val="none" w:sz="0" w:space="0" w:color="auto"/>
        <w:bottom w:val="none" w:sz="0" w:space="0" w:color="auto"/>
        <w:right w:val="none" w:sz="0" w:space="0" w:color="auto"/>
      </w:divBdr>
    </w:div>
    <w:div w:id="1793818476">
      <w:bodyDiv w:val="1"/>
      <w:marLeft w:val="0"/>
      <w:marRight w:val="0"/>
      <w:marTop w:val="0"/>
      <w:marBottom w:val="0"/>
      <w:divBdr>
        <w:top w:val="none" w:sz="0" w:space="0" w:color="auto"/>
        <w:left w:val="none" w:sz="0" w:space="0" w:color="auto"/>
        <w:bottom w:val="none" w:sz="0" w:space="0" w:color="auto"/>
        <w:right w:val="none" w:sz="0" w:space="0" w:color="auto"/>
      </w:divBdr>
    </w:div>
    <w:div w:id="1826697776">
      <w:bodyDiv w:val="1"/>
      <w:marLeft w:val="0"/>
      <w:marRight w:val="0"/>
      <w:marTop w:val="0"/>
      <w:marBottom w:val="0"/>
      <w:divBdr>
        <w:top w:val="none" w:sz="0" w:space="0" w:color="auto"/>
        <w:left w:val="none" w:sz="0" w:space="0" w:color="auto"/>
        <w:bottom w:val="none" w:sz="0" w:space="0" w:color="auto"/>
        <w:right w:val="none" w:sz="0" w:space="0" w:color="auto"/>
      </w:divBdr>
    </w:div>
    <w:div w:id="1900437960">
      <w:bodyDiv w:val="1"/>
      <w:marLeft w:val="0"/>
      <w:marRight w:val="0"/>
      <w:marTop w:val="0"/>
      <w:marBottom w:val="0"/>
      <w:divBdr>
        <w:top w:val="none" w:sz="0" w:space="0" w:color="auto"/>
        <w:left w:val="none" w:sz="0" w:space="0" w:color="auto"/>
        <w:bottom w:val="none" w:sz="0" w:space="0" w:color="auto"/>
        <w:right w:val="none" w:sz="0" w:space="0" w:color="auto"/>
      </w:divBdr>
    </w:div>
    <w:div w:id="1987316577">
      <w:bodyDiv w:val="1"/>
      <w:marLeft w:val="0"/>
      <w:marRight w:val="0"/>
      <w:marTop w:val="0"/>
      <w:marBottom w:val="0"/>
      <w:divBdr>
        <w:top w:val="none" w:sz="0" w:space="0" w:color="auto"/>
        <w:left w:val="none" w:sz="0" w:space="0" w:color="auto"/>
        <w:bottom w:val="none" w:sz="0" w:space="0" w:color="auto"/>
        <w:right w:val="none" w:sz="0" w:space="0" w:color="auto"/>
      </w:divBdr>
    </w:div>
    <w:div w:id="2014919290">
      <w:bodyDiv w:val="1"/>
      <w:marLeft w:val="0"/>
      <w:marRight w:val="0"/>
      <w:marTop w:val="0"/>
      <w:marBottom w:val="0"/>
      <w:divBdr>
        <w:top w:val="none" w:sz="0" w:space="0" w:color="auto"/>
        <w:left w:val="none" w:sz="0" w:space="0" w:color="auto"/>
        <w:bottom w:val="none" w:sz="0" w:space="0" w:color="auto"/>
        <w:right w:val="none" w:sz="0" w:space="0" w:color="auto"/>
      </w:divBdr>
    </w:div>
    <w:div w:id="2023818270">
      <w:bodyDiv w:val="1"/>
      <w:marLeft w:val="0"/>
      <w:marRight w:val="0"/>
      <w:marTop w:val="0"/>
      <w:marBottom w:val="0"/>
      <w:divBdr>
        <w:top w:val="none" w:sz="0" w:space="0" w:color="auto"/>
        <w:left w:val="none" w:sz="0" w:space="0" w:color="auto"/>
        <w:bottom w:val="none" w:sz="0" w:space="0" w:color="auto"/>
        <w:right w:val="none" w:sz="0" w:space="0" w:color="auto"/>
      </w:divBdr>
    </w:div>
    <w:div w:id="2058241821">
      <w:bodyDiv w:val="1"/>
      <w:marLeft w:val="0"/>
      <w:marRight w:val="0"/>
      <w:marTop w:val="0"/>
      <w:marBottom w:val="0"/>
      <w:divBdr>
        <w:top w:val="none" w:sz="0" w:space="0" w:color="auto"/>
        <w:left w:val="none" w:sz="0" w:space="0" w:color="auto"/>
        <w:bottom w:val="none" w:sz="0" w:space="0" w:color="auto"/>
        <w:right w:val="none" w:sz="0" w:space="0" w:color="auto"/>
      </w:divBdr>
    </w:div>
    <w:div w:id="2102949222">
      <w:bodyDiv w:val="1"/>
      <w:marLeft w:val="0"/>
      <w:marRight w:val="0"/>
      <w:marTop w:val="0"/>
      <w:marBottom w:val="0"/>
      <w:divBdr>
        <w:top w:val="none" w:sz="0" w:space="0" w:color="auto"/>
        <w:left w:val="none" w:sz="0" w:space="0" w:color="auto"/>
        <w:bottom w:val="none" w:sz="0" w:space="0" w:color="auto"/>
        <w:right w:val="none" w:sz="0" w:space="0" w:color="auto"/>
      </w:divBdr>
    </w:div>
    <w:div w:id="2130663192">
      <w:bodyDiv w:val="1"/>
      <w:marLeft w:val="0"/>
      <w:marRight w:val="0"/>
      <w:marTop w:val="0"/>
      <w:marBottom w:val="0"/>
      <w:divBdr>
        <w:top w:val="none" w:sz="0" w:space="0" w:color="auto"/>
        <w:left w:val="none" w:sz="0" w:space="0" w:color="auto"/>
        <w:bottom w:val="none" w:sz="0" w:space="0" w:color="auto"/>
        <w:right w:val="none" w:sz="0" w:space="0" w:color="auto"/>
      </w:divBdr>
    </w:div>
    <w:div w:id="2135445876">
      <w:bodyDiv w:val="1"/>
      <w:marLeft w:val="0"/>
      <w:marRight w:val="0"/>
      <w:marTop w:val="0"/>
      <w:marBottom w:val="0"/>
      <w:divBdr>
        <w:top w:val="none" w:sz="0" w:space="0" w:color="auto"/>
        <w:left w:val="none" w:sz="0" w:space="0" w:color="auto"/>
        <w:bottom w:val="none" w:sz="0" w:space="0" w:color="auto"/>
        <w:right w:val="none" w:sz="0" w:space="0" w:color="auto"/>
      </w:divBdr>
    </w:div>
    <w:div w:id="21468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6.xml"/><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emf"/><Relationship Id="rId29" Type="http://schemas.openxmlformats.org/officeDocument/2006/relationships/image" Target="media/image13.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4.emf"/><Relationship Id="rId31" Type="http://schemas.openxmlformats.org/officeDocument/2006/relationships/image" Target="media/image15.emf"/><Relationship Id="rId44" Type="http://schemas.openxmlformats.org/officeDocument/2006/relationships/image" Target="media/image28.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hyperlink" Target="https://www.treasury.gov/resource-center/data-chart-center/interest-rates/Pages/default.aspx" TargetMode="External"/><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footer" Target="footer7.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hiladelphiafed.org/-/media/research-and-data/real-time-center/survey-of-professional-forecasters/2019/spfq119.pdf?la=en" TargetMode="External"/><Relationship Id="rId3" Type="http://schemas.openxmlformats.org/officeDocument/2006/relationships/hyperlink" Target="https://www.federalreserve.gov/monetarypolicy/files/monetary20190731a1.pdf" TargetMode="External"/><Relationship Id="rId7" Type="http://schemas.openxmlformats.org/officeDocument/2006/relationships/hyperlink" Target="https://www.cnbc.com/2019/02/11/vanguard-cuts-expected-return-for-stock-market-over-the-next-decade.html" TargetMode="External"/><Relationship Id="rId2" Type="http://schemas.openxmlformats.org/officeDocument/2006/relationships/hyperlink" Target="https://www.federalreserve.gov/monetarypolicy/files/monetary20190918a1.pdf" TargetMode="External"/><Relationship Id="rId1" Type="http://schemas.openxmlformats.org/officeDocument/2006/relationships/hyperlink" Target="http://www.spglobal.com" TargetMode="External"/><Relationship Id="rId6" Type="http://schemas.openxmlformats.org/officeDocument/2006/relationships/hyperlink" Target="https://ir.epelectric.com/news/news-details/2019/El-Paso-Electric-Enters-into-Agreement-to-Be-Purchased-by-the-Infrastructure-Investments-Fund-an-Investment-Vehicle-Advised-by-JP-Morgan-Investment-Management-Inc/default.aspx" TargetMode="External"/><Relationship Id="rId5" Type="http://schemas.openxmlformats.org/officeDocument/2006/relationships/hyperlink" Target="https://www.reuters.com/article/us-el-paso-electric-m-a-infrastructure-i/el-paso-electric-to-be-bought-by-an-infrastructure-fund-for-2-78-billion-idUSKCN1T41K8" TargetMode="External"/><Relationship Id="rId4" Type="http://schemas.openxmlformats.org/officeDocument/2006/relationships/hyperlink" Target="https://www.newyorkfed.org/markets/opolicy/operating_policy_1909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b36479632356276/Rate%20Cases/GPC%2042516/42516%20DOD_MReno%20Sch.%20MLR-1%20to%20MLR-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Figure 2. Treasury</a:t>
            </a:r>
            <a:r>
              <a:rPr lang="en-US" b="1" baseline="0">
                <a:solidFill>
                  <a:sysClr val="windowText" lastClr="000000"/>
                </a:solidFill>
              </a:rPr>
              <a:t> Security Yield Curve</a:t>
            </a:r>
            <a:endParaRPr lang="en-US"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02311873443586"/>
          <c:y val="0.15567681007345224"/>
          <c:w val="0.85189303843943553"/>
          <c:h val="0.64254612454660387"/>
        </c:manualLayout>
      </c:layout>
      <c:lineChart>
        <c:grouping val="standard"/>
        <c:varyColors val="0"/>
        <c:ser>
          <c:idx val="0"/>
          <c:order val="0"/>
          <c:tx>
            <c:strRef>
              <c:f>'[42516 DOD_MReno Sch. MLR-1 to MLR-3.xlsx]Sch. MLR-2b Yield Curve'!$C$2</c:f>
              <c:strCache>
                <c:ptCount val="1"/>
                <c:pt idx="0">
                  <c:v>Last Rate Case (9/10/2013)</c:v>
                </c:pt>
              </c:strCache>
            </c:strRef>
          </c:tx>
          <c:spPr>
            <a:ln w="28575" cap="rnd">
              <a:solidFill>
                <a:schemeClr val="accent1"/>
              </a:solidFill>
              <a:prstDash val="dash"/>
              <a:round/>
            </a:ln>
            <a:effectLst/>
          </c:spPr>
          <c:marker>
            <c:symbol val="circle"/>
            <c:size val="5"/>
            <c:spPr>
              <a:solidFill>
                <a:schemeClr val="accent1"/>
              </a:solidFill>
              <a:ln w="9525">
                <a:solidFill>
                  <a:schemeClr val="accent1"/>
                </a:solidFill>
                <a:prstDash val="dash"/>
              </a:ln>
              <a:effectLst/>
            </c:spPr>
          </c:marker>
          <c:cat>
            <c:strRef>
              <c:f>'[42516 DOD_MReno Sch. MLR-1 to MLR-3.xlsx]Sch. MLR-2b Yield Curve'!$B$3:$B$13</c:f>
              <c:strCache>
                <c:ptCount val="11"/>
                <c:pt idx="0">
                  <c:v>1 Mo</c:v>
                </c:pt>
                <c:pt idx="1">
                  <c:v>3 Mo</c:v>
                </c:pt>
                <c:pt idx="2">
                  <c:v>6 Mo</c:v>
                </c:pt>
                <c:pt idx="3">
                  <c:v>1 Yr</c:v>
                </c:pt>
                <c:pt idx="4">
                  <c:v>2 Yr</c:v>
                </c:pt>
                <c:pt idx="5">
                  <c:v>3 Yr</c:v>
                </c:pt>
                <c:pt idx="6">
                  <c:v>5 Yr</c:v>
                </c:pt>
                <c:pt idx="7">
                  <c:v>7 Yr</c:v>
                </c:pt>
                <c:pt idx="8">
                  <c:v>10 Yr</c:v>
                </c:pt>
                <c:pt idx="9">
                  <c:v>20 Yr</c:v>
                </c:pt>
                <c:pt idx="10">
                  <c:v>30 Yr</c:v>
                </c:pt>
              </c:strCache>
            </c:strRef>
          </c:cat>
          <c:val>
            <c:numRef>
              <c:f>'[42516 DOD_MReno Sch. MLR-1 to MLR-3.xlsx]Sch. MLR-2b Yield Curve'!$C$3:$C$13</c:f>
              <c:numCache>
                <c:formatCode>General</c:formatCode>
                <c:ptCount val="11"/>
                <c:pt idx="0">
                  <c:v>0.01</c:v>
                </c:pt>
                <c:pt idx="1">
                  <c:v>0.02</c:v>
                </c:pt>
                <c:pt idx="2">
                  <c:v>0.04</c:v>
                </c:pt>
                <c:pt idx="3">
                  <c:v>0.13</c:v>
                </c:pt>
                <c:pt idx="4">
                  <c:v>0.5</c:v>
                </c:pt>
                <c:pt idx="5">
                  <c:v>0.92</c:v>
                </c:pt>
                <c:pt idx="6">
                  <c:v>1.78</c:v>
                </c:pt>
                <c:pt idx="7">
                  <c:v>2.4</c:v>
                </c:pt>
                <c:pt idx="8">
                  <c:v>2.96</c:v>
                </c:pt>
                <c:pt idx="9">
                  <c:v>3.65</c:v>
                </c:pt>
                <c:pt idx="10">
                  <c:v>3.88</c:v>
                </c:pt>
              </c:numCache>
            </c:numRef>
          </c:val>
          <c:smooth val="0"/>
          <c:extLst>
            <c:ext xmlns:c16="http://schemas.microsoft.com/office/drawing/2014/chart" uri="{C3380CC4-5D6E-409C-BE32-E72D297353CC}">
              <c16:uniqueId val="{00000000-2287-4165-8DC0-C11929FC00E5}"/>
            </c:ext>
          </c:extLst>
        </c:ser>
        <c:ser>
          <c:idx val="1"/>
          <c:order val="1"/>
          <c:tx>
            <c:strRef>
              <c:f>'[42516 DOD_MReno Sch. MLR-1 to MLR-3.xlsx]Sch. MLR-2b Yield Curve'!$D$2</c:f>
              <c:strCache>
                <c:ptCount val="1"/>
                <c:pt idx="0">
                  <c:v>Current (9/10/2019)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'[42516 DOD_MReno Sch. MLR-1 to MLR-3.xlsx]Sch. MLR-2b Yield Curve'!$B$3:$B$13</c:f>
              <c:strCache>
                <c:ptCount val="11"/>
                <c:pt idx="0">
                  <c:v>1 Mo</c:v>
                </c:pt>
                <c:pt idx="1">
                  <c:v>3 Mo</c:v>
                </c:pt>
                <c:pt idx="2">
                  <c:v>6 Mo</c:v>
                </c:pt>
                <c:pt idx="3">
                  <c:v>1 Yr</c:v>
                </c:pt>
                <c:pt idx="4">
                  <c:v>2 Yr</c:v>
                </c:pt>
                <c:pt idx="5">
                  <c:v>3 Yr</c:v>
                </c:pt>
                <c:pt idx="6">
                  <c:v>5 Yr</c:v>
                </c:pt>
                <c:pt idx="7">
                  <c:v>7 Yr</c:v>
                </c:pt>
                <c:pt idx="8">
                  <c:v>10 Yr</c:v>
                </c:pt>
                <c:pt idx="9">
                  <c:v>20 Yr</c:v>
                </c:pt>
                <c:pt idx="10">
                  <c:v>30 Yr</c:v>
                </c:pt>
              </c:strCache>
            </c:strRef>
          </c:cat>
          <c:val>
            <c:numRef>
              <c:f>'[42516 DOD_MReno Sch. MLR-1 to MLR-3.xlsx]Sch. MLR-2b Yield Curve'!$D$3:$D$13</c:f>
              <c:numCache>
                <c:formatCode>General</c:formatCode>
                <c:ptCount val="11"/>
                <c:pt idx="0">
                  <c:v>2.0099999999999998</c:v>
                </c:pt>
                <c:pt idx="1">
                  <c:v>1.96</c:v>
                </c:pt>
                <c:pt idx="2">
                  <c:v>1.88</c:v>
                </c:pt>
                <c:pt idx="3">
                  <c:v>1.79</c:v>
                </c:pt>
                <c:pt idx="4">
                  <c:v>1.68</c:v>
                </c:pt>
                <c:pt idx="5">
                  <c:v>1.62</c:v>
                </c:pt>
                <c:pt idx="6">
                  <c:v>1.6</c:v>
                </c:pt>
                <c:pt idx="7">
                  <c:v>1.68</c:v>
                </c:pt>
                <c:pt idx="8">
                  <c:v>1.75</c:v>
                </c:pt>
                <c:pt idx="9">
                  <c:v>2.02</c:v>
                </c:pt>
                <c:pt idx="10">
                  <c:v>2.2200000000000002</c:v>
                </c:pt>
              </c:numCache>
            </c:numRef>
          </c:val>
          <c:smooth val="0"/>
          <c:extLst>
            <c:ext xmlns:c16="http://schemas.microsoft.com/office/drawing/2014/chart" uri="{C3380CC4-5D6E-409C-BE32-E72D297353CC}">
              <c16:uniqueId val="{00000001-2287-4165-8DC0-C11929FC00E5}"/>
            </c:ext>
          </c:extLst>
        </c:ser>
        <c:dLbls>
          <c:showLegendKey val="0"/>
          <c:showVal val="0"/>
          <c:showCatName val="0"/>
          <c:showSerName val="0"/>
          <c:showPercent val="0"/>
          <c:showBubbleSize val="0"/>
        </c:dLbls>
        <c:marker val="1"/>
        <c:smooth val="0"/>
        <c:axId val="371797176"/>
        <c:axId val="371797960"/>
        <c:extLst/>
      </c:lineChart>
      <c:catAx>
        <c:axId val="371797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797960"/>
        <c:crosses val="autoZero"/>
        <c:auto val="1"/>
        <c:lblAlgn val="ctr"/>
        <c:lblOffset val="100"/>
        <c:noMultiLvlLbl val="0"/>
      </c:catAx>
      <c:valAx>
        <c:axId val="371797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Yield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797176"/>
        <c:crosses val="autoZero"/>
        <c:crossBetween val="between"/>
      </c:valAx>
      <c:spPr>
        <a:noFill/>
        <a:ln>
          <a:noFill/>
        </a:ln>
        <a:effectLst/>
      </c:spPr>
    </c:plotArea>
    <c:legend>
      <c:legendPos val="b"/>
      <c:layout>
        <c:manualLayout>
          <c:xMode val="edge"/>
          <c:yMode val="edge"/>
          <c:x val="0.62673195563771045"/>
          <c:y val="0.61865670019026908"/>
          <c:w val="0.32394110866439674"/>
          <c:h val="7.35371674702156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0.08447</cdr:x>
      <cdr:y>0.90536</cdr:y>
    </cdr:from>
    <cdr:to>
      <cdr:x>0.26693</cdr:x>
      <cdr:y>1</cdr:y>
    </cdr:to>
    <cdr:sp macro="" textlink="">
      <cdr:nvSpPr>
        <cdr:cNvPr id="2" name="TextBox 1"/>
        <cdr:cNvSpPr txBox="1"/>
      </cdr:nvSpPr>
      <cdr:spPr>
        <a:xfrm xmlns:a="http://schemas.openxmlformats.org/drawingml/2006/main">
          <a:off x="423333" y="2739403"/>
          <a:ext cx="914400" cy="2863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0.02764</cdr:x>
      <cdr:y>0.89333</cdr:y>
    </cdr:from>
    <cdr:to>
      <cdr:x>0.99534</cdr:x>
      <cdr:y>0.98727</cdr:y>
    </cdr:to>
    <cdr:sp macro="" textlink="">
      <cdr:nvSpPr>
        <cdr:cNvPr id="3" name="TextBox 2"/>
        <cdr:cNvSpPr txBox="1"/>
      </cdr:nvSpPr>
      <cdr:spPr>
        <a:xfrm xmlns:a="http://schemas.openxmlformats.org/drawingml/2006/main">
          <a:off x="138317" y="2647025"/>
          <a:ext cx="4842618" cy="2783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aseline="0"/>
            <a:t>Source: www.treasury.gov </a:t>
          </a:r>
          <a:endParaRPr 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8C43-923C-4C03-8012-CA3FE0E0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14170</Words>
  <Characters>80772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2019-10-15T19:24:00Z</dcterms:created>
  <dcterms:modified xsi:type="dcterms:W3CDTF">2019-10-15T23:08:00Z</dcterms:modified>
  <cp:contentStatus/>
</cp:coreProperties>
</file>