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042" w:rsidRDefault="00DA4042" w:rsidP="00DA4042">
      <w:pPr>
        <w:spacing w:after="0"/>
      </w:pPr>
      <w:bookmarkStart w:id="0" w:name="_GoBack"/>
      <w:bookmarkEnd w:id="0"/>
    </w:p>
    <w:p w:rsidR="00DA4042" w:rsidRPr="00DA4042" w:rsidRDefault="00FD17DD" w:rsidP="00DA4042">
      <w:pPr>
        <w:spacing w:after="0"/>
        <w:jc w:val="center"/>
        <w:rPr>
          <w:rFonts w:ascii="Times New Roman" w:hAnsi="Times New Roman" w:cs="Times New Roman"/>
          <w:b/>
          <w:sz w:val="24"/>
          <w:u w:val="single"/>
        </w:rPr>
      </w:pPr>
      <w:r>
        <w:rPr>
          <w:rFonts w:ascii="Times New Roman" w:hAnsi="Times New Roman" w:cs="Times New Roman"/>
          <w:b/>
          <w:sz w:val="24"/>
          <w:u w:val="single"/>
        </w:rPr>
        <w:t>NET CHANGE</w:t>
      </w:r>
    </w:p>
    <w:p w:rsidR="00DA4042" w:rsidRDefault="00DA4042" w:rsidP="00DA4042">
      <w:pPr>
        <w:spacing w:after="0"/>
        <w:jc w:val="center"/>
        <w:rPr>
          <w:rFonts w:ascii="Times New Roman" w:hAnsi="Times New Roman" w:cs="Times New Roman"/>
          <w:sz w:val="24"/>
        </w:rPr>
      </w:pPr>
      <w:r w:rsidRPr="00DA4042">
        <w:rPr>
          <w:rFonts w:ascii="Times New Roman" w:hAnsi="Times New Roman" w:cs="Times New Roman"/>
          <w:sz w:val="24"/>
        </w:rPr>
        <w:t xml:space="preserve">(COLUMN </w:t>
      </w:r>
      <w:r w:rsidR="001D0B7B">
        <w:rPr>
          <w:rFonts w:ascii="Times New Roman" w:hAnsi="Times New Roman" w:cs="Times New Roman"/>
          <w:sz w:val="24"/>
        </w:rPr>
        <w:t>6</w:t>
      </w:r>
      <w:r w:rsidRPr="00DA4042">
        <w:rPr>
          <w:rFonts w:ascii="Times New Roman" w:hAnsi="Times New Roman" w:cs="Times New Roman"/>
          <w:sz w:val="24"/>
        </w:rPr>
        <w:t>)</w:t>
      </w:r>
    </w:p>
    <w:p w:rsidR="00DA4042" w:rsidRDefault="00DA4042" w:rsidP="00DA4042">
      <w:pPr>
        <w:spacing w:after="0"/>
        <w:jc w:val="center"/>
        <w:rPr>
          <w:rFonts w:ascii="Times New Roman" w:hAnsi="Times New Roman" w:cs="Times New Roman"/>
          <w:sz w:val="24"/>
        </w:rPr>
      </w:pPr>
    </w:p>
    <w:p w:rsidR="00DA4042" w:rsidRDefault="00DA4042" w:rsidP="00DA4042">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Q</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1D0B7B">
        <w:rPr>
          <w:rFonts w:ascii="Times New Roman" w:hAnsi="Times New Roman" w:cs="Times New Roman"/>
          <w:sz w:val="24"/>
          <w:u w:val="single"/>
        </w:rPr>
        <w:t>5</w:t>
      </w:r>
      <w:r w:rsidR="00272D98">
        <w:rPr>
          <w:rFonts w:ascii="Times New Roman" w:hAnsi="Times New Roman" w:cs="Times New Roman"/>
          <w:sz w:val="24"/>
          <w:u w:val="single"/>
        </w:rPr>
        <w:t>4,448</w:t>
      </w:r>
      <w:r>
        <w:rPr>
          <w:rFonts w:ascii="Times New Roman" w:hAnsi="Times New Roman" w:cs="Times New Roman"/>
          <w:sz w:val="24"/>
        </w:rPr>
        <w:tab/>
      </w:r>
      <w:r w:rsidR="001D0B7B">
        <w:rPr>
          <w:rFonts w:ascii="Times New Roman" w:hAnsi="Times New Roman" w:cs="Times New Roman"/>
          <w:sz w:val="24"/>
        </w:rPr>
        <w:tab/>
      </w:r>
      <w:r>
        <w:rPr>
          <w:rFonts w:ascii="Times New Roman" w:hAnsi="Times New Roman" w:cs="Times New Roman"/>
          <w:sz w:val="24"/>
        </w:rPr>
        <w:t xml:space="preserve">Sales of Electricity </w:t>
      </w:r>
    </w:p>
    <w:p w:rsidR="00DA4042" w:rsidRDefault="00DA4042" w:rsidP="00DA4042">
      <w:pPr>
        <w:spacing w:after="0"/>
        <w:rPr>
          <w:rFonts w:ascii="Times New Roman" w:hAnsi="Times New Roman" w:cs="Times New Roman"/>
          <w:sz w:val="24"/>
        </w:rPr>
      </w:pPr>
    </w:p>
    <w:p w:rsidR="00DA4042" w:rsidRDefault="006D44C5" w:rsidP="00DA4042">
      <w:pPr>
        <w:spacing w:after="0"/>
        <w:jc w:val="both"/>
        <w:rPr>
          <w:rFonts w:ascii="Times New Roman" w:hAnsi="Times New Roman" w:cs="Times New Roman"/>
          <w:sz w:val="24"/>
        </w:rPr>
      </w:pPr>
      <w:r>
        <w:rPr>
          <w:rFonts w:ascii="Times New Roman" w:hAnsi="Times New Roman" w:cs="Times New Roman"/>
          <w:sz w:val="24"/>
        </w:rPr>
        <w:t xml:space="preserve">The following is an analysis of the increase in Sales of Electricity: </w:t>
      </w:r>
    </w:p>
    <w:p w:rsidR="00536C95" w:rsidRDefault="00536C95" w:rsidP="00DA4042">
      <w:pPr>
        <w:spacing w:after="0"/>
        <w:jc w:val="both"/>
        <w:rPr>
          <w:rFonts w:ascii="Times New Roman" w:hAnsi="Times New Roman" w:cs="Times New Roman"/>
          <w:sz w:val="24"/>
        </w:rPr>
      </w:pPr>
    </w:p>
    <w:p w:rsidR="00DD6E35" w:rsidRDefault="00245481" w:rsidP="00680B78">
      <w:pPr>
        <w:spacing w:after="0"/>
        <w:jc w:val="center"/>
        <w:rPr>
          <w:rFonts w:ascii="Times New Roman" w:hAnsi="Times New Roman" w:cs="Times New Roman"/>
          <w:sz w:val="24"/>
        </w:rPr>
      </w:pPr>
      <w:r w:rsidRPr="00245481">
        <w:rPr>
          <w:noProof/>
        </w:rPr>
        <w:drawing>
          <wp:inline distT="0" distB="0" distL="0" distR="0">
            <wp:extent cx="4968240" cy="1661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8240" cy="1661160"/>
                    </a:xfrm>
                    <a:prstGeom prst="rect">
                      <a:avLst/>
                    </a:prstGeom>
                    <a:noFill/>
                    <a:ln>
                      <a:noFill/>
                    </a:ln>
                  </pic:spPr>
                </pic:pic>
              </a:graphicData>
            </a:graphic>
          </wp:inline>
        </w:drawing>
      </w:r>
    </w:p>
    <w:p w:rsidR="00DD6E35" w:rsidRDefault="00DD6E35" w:rsidP="00DA4042">
      <w:pPr>
        <w:spacing w:after="0"/>
        <w:jc w:val="both"/>
        <w:rPr>
          <w:rFonts w:ascii="Times New Roman" w:hAnsi="Times New Roman" w:cs="Times New Roman"/>
          <w:sz w:val="24"/>
        </w:rPr>
      </w:pPr>
    </w:p>
    <w:p w:rsidR="00536C95" w:rsidRPr="003A4DDF" w:rsidRDefault="00137089" w:rsidP="00680B78">
      <w:pPr>
        <w:pStyle w:val="BodyText"/>
        <w:jc w:val="both"/>
        <w:rPr>
          <w:rFonts w:ascii="Times New Roman" w:hAnsi="Times New Roman"/>
          <w:sz w:val="24"/>
        </w:rPr>
      </w:pPr>
      <w:r>
        <w:rPr>
          <w:rFonts w:ascii="Times New Roman" w:hAnsi="Times New Roman"/>
          <w:sz w:val="24"/>
        </w:rPr>
        <w:t>The r</w:t>
      </w:r>
      <w:r w:rsidR="00A61128">
        <w:rPr>
          <w:rFonts w:ascii="Times New Roman" w:hAnsi="Times New Roman"/>
          <w:sz w:val="24"/>
        </w:rPr>
        <w:t>etail base revenues in the test period</w:t>
      </w:r>
      <w:r>
        <w:rPr>
          <w:rFonts w:ascii="Times New Roman" w:hAnsi="Times New Roman"/>
          <w:sz w:val="24"/>
        </w:rPr>
        <w:t xml:space="preserve">, which are based on the </w:t>
      </w:r>
      <w:r w:rsidR="00110DC8">
        <w:rPr>
          <w:rFonts w:ascii="Times New Roman" w:hAnsi="Times New Roman"/>
          <w:sz w:val="24"/>
        </w:rPr>
        <w:t>weather normal</w:t>
      </w:r>
      <w:r>
        <w:rPr>
          <w:rFonts w:ascii="Times New Roman" w:hAnsi="Times New Roman"/>
          <w:sz w:val="24"/>
        </w:rPr>
        <w:t xml:space="preserve"> sales forecast, </w:t>
      </w:r>
      <w:r w:rsidR="00A61128">
        <w:rPr>
          <w:rFonts w:ascii="Times New Roman" w:hAnsi="Times New Roman"/>
          <w:sz w:val="24"/>
        </w:rPr>
        <w:t xml:space="preserve">are expected to decrease compared to the actual 2018 </w:t>
      </w:r>
      <w:r>
        <w:rPr>
          <w:rFonts w:ascii="Times New Roman" w:hAnsi="Times New Roman"/>
          <w:sz w:val="24"/>
        </w:rPr>
        <w:t xml:space="preserve">retail </w:t>
      </w:r>
      <w:r w:rsidR="00A61128">
        <w:rPr>
          <w:rFonts w:ascii="Times New Roman" w:hAnsi="Times New Roman"/>
          <w:sz w:val="24"/>
        </w:rPr>
        <w:t>base revenues</w:t>
      </w:r>
      <w:r w:rsidR="00B838E9">
        <w:rPr>
          <w:rFonts w:ascii="Times New Roman" w:hAnsi="Times New Roman"/>
          <w:sz w:val="24"/>
        </w:rPr>
        <w:t>, which were higher than budget primarily driven by positive weather</w:t>
      </w:r>
      <w:r w:rsidR="00A61128">
        <w:rPr>
          <w:rFonts w:ascii="Times New Roman" w:hAnsi="Times New Roman"/>
          <w:sz w:val="24"/>
        </w:rPr>
        <w:t>. Th</w:t>
      </w:r>
      <w:r w:rsidR="00110DC8">
        <w:rPr>
          <w:rFonts w:ascii="Times New Roman" w:hAnsi="Times New Roman"/>
          <w:sz w:val="24"/>
        </w:rPr>
        <w:t>e underlying energy sales are</w:t>
      </w:r>
      <w:r w:rsidR="00A61128">
        <w:rPr>
          <w:rFonts w:ascii="Times New Roman" w:hAnsi="Times New Roman"/>
          <w:sz w:val="24"/>
        </w:rPr>
        <w:t xml:space="preserve"> consistent with the Company’s 2018 actual retail energy sales and the </w:t>
      </w:r>
      <w:r>
        <w:rPr>
          <w:rFonts w:ascii="Times New Roman" w:hAnsi="Times New Roman"/>
          <w:sz w:val="24"/>
        </w:rPr>
        <w:t>sales</w:t>
      </w:r>
      <w:r w:rsidR="00A61128">
        <w:rPr>
          <w:rFonts w:ascii="Times New Roman" w:hAnsi="Times New Roman"/>
          <w:sz w:val="24"/>
        </w:rPr>
        <w:t xml:space="preserve"> forecast </w:t>
      </w:r>
      <w:r>
        <w:rPr>
          <w:rFonts w:ascii="Times New Roman" w:hAnsi="Times New Roman"/>
          <w:sz w:val="24"/>
        </w:rPr>
        <w:t xml:space="preserve">for </w:t>
      </w:r>
      <w:r w:rsidR="00A61128">
        <w:rPr>
          <w:rFonts w:ascii="Times New Roman" w:hAnsi="Times New Roman"/>
          <w:sz w:val="24"/>
        </w:rPr>
        <w:t>the test period filed in Docket No. 42310.</w:t>
      </w:r>
      <w:r w:rsidR="00536C95" w:rsidRPr="00552372">
        <w:rPr>
          <w:rFonts w:ascii="Times New Roman" w:hAnsi="Times New Roman"/>
          <w:sz w:val="24"/>
        </w:rPr>
        <w:t xml:space="preserve"> </w:t>
      </w:r>
      <w:r w:rsidR="00C141BF">
        <w:rPr>
          <w:rFonts w:ascii="Times New Roman" w:hAnsi="Times New Roman"/>
          <w:sz w:val="24"/>
        </w:rPr>
        <w:t xml:space="preserve">Please see </w:t>
      </w:r>
      <w:proofErr w:type="spellStart"/>
      <w:r w:rsidR="00C141BF">
        <w:rPr>
          <w:rFonts w:ascii="Times New Roman" w:hAnsi="Times New Roman"/>
          <w:sz w:val="24"/>
        </w:rPr>
        <w:t>Appendix</w:t>
      </w:r>
      <w:r w:rsidR="00394FD6">
        <w:rPr>
          <w:rFonts w:ascii="Times New Roman" w:hAnsi="Times New Roman"/>
          <w:sz w:val="24"/>
        </w:rPr>
        <w:t>_</w:t>
      </w:r>
      <w:r w:rsidR="00C141BF">
        <w:rPr>
          <w:rFonts w:ascii="Times New Roman" w:hAnsi="Times New Roman"/>
          <w:sz w:val="24"/>
        </w:rPr>
        <w:t>Exhibits</w:t>
      </w:r>
      <w:proofErr w:type="spellEnd"/>
      <w:r w:rsidR="00C141BF">
        <w:rPr>
          <w:rFonts w:ascii="Times New Roman" w:hAnsi="Times New Roman"/>
          <w:sz w:val="24"/>
        </w:rPr>
        <w:t xml:space="preserve"> 1</w:t>
      </w:r>
      <w:r w:rsidR="00394FD6">
        <w:rPr>
          <w:rFonts w:ascii="Times New Roman" w:hAnsi="Times New Roman"/>
          <w:sz w:val="24"/>
        </w:rPr>
        <w:t>.1</w:t>
      </w:r>
      <w:r w:rsidR="00C141BF">
        <w:rPr>
          <w:rFonts w:ascii="Times New Roman" w:hAnsi="Times New Roman"/>
          <w:sz w:val="24"/>
        </w:rPr>
        <w:t xml:space="preserve"> and </w:t>
      </w:r>
      <w:r w:rsidR="00394FD6">
        <w:rPr>
          <w:rFonts w:ascii="Times New Roman" w:hAnsi="Times New Roman"/>
          <w:sz w:val="24"/>
        </w:rPr>
        <w:t>1.</w:t>
      </w:r>
      <w:r w:rsidR="00C141BF">
        <w:rPr>
          <w:rFonts w:ascii="Times New Roman" w:hAnsi="Times New Roman"/>
          <w:sz w:val="24"/>
        </w:rPr>
        <w:t>2 for further discussion</w:t>
      </w:r>
      <w:r>
        <w:rPr>
          <w:rFonts w:ascii="Times New Roman" w:hAnsi="Times New Roman"/>
          <w:sz w:val="24"/>
        </w:rPr>
        <w:t xml:space="preserve"> on the budgeted sales and revenues for the test period and beyond</w:t>
      </w:r>
      <w:r w:rsidR="00C141BF">
        <w:rPr>
          <w:rFonts w:ascii="Times New Roman" w:hAnsi="Times New Roman"/>
          <w:sz w:val="24"/>
        </w:rPr>
        <w:t>. The retail fuel revenues are true</w:t>
      </w:r>
      <w:r w:rsidR="009E1B95">
        <w:rPr>
          <w:rFonts w:ascii="Times New Roman" w:hAnsi="Times New Roman"/>
          <w:sz w:val="24"/>
        </w:rPr>
        <w:t>d</w:t>
      </w:r>
      <w:r w:rsidR="00C141BF">
        <w:rPr>
          <w:rFonts w:ascii="Times New Roman" w:hAnsi="Times New Roman"/>
          <w:sz w:val="24"/>
        </w:rPr>
        <w:t xml:space="preserve">-up based on retail fuel expenses.  </w:t>
      </w:r>
      <w:r w:rsidR="006D3E59" w:rsidRPr="006D3E59">
        <w:rPr>
          <w:rFonts w:ascii="Times New Roman" w:hAnsi="Times New Roman"/>
          <w:sz w:val="24"/>
        </w:rPr>
        <w:t xml:space="preserve">The decrease in wholesale revenues is primarily due to the expiration of the Flint 25 MW contract </w:t>
      </w:r>
      <w:r w:rsidR="00C141BF">
        <w:rPr>
          <w:rFonts w:ascii="Times New Roman" w:hAnsi="Times New Roman"/>
          <w:sz w:val="24"/>
        </w:rPr>
        <w:t>of Plant Scherer Unit 3 and the Company’s offer to transfer</w:t>
      </w:r>
      <w:r w:rsidR="009E1B95">
        <w:rPr>
          <w:rFonts w:ascii="Times New Roman" w:hAnsi="Times New Roman"/>
          <w:sz w:val="24"/>
        </w:rPr>
        <w:t xml:space="preserve"> that</w:t>
      </w:r>
      <w:r w:rsidR="00C141BF">
        <w:rPr>
          <w:rFonts w:ascii="Times New Roman" w:hAnsi="Times New Roman"/>
          <w:sz w:val="24"/>
        </w:rPr>
        <w:t xml:space="preserve"> capacity to retail </w:t>
      </w:r>
      <w:r w:rsidR="009E1B95">
        <w:rPr>
          <w:rFonts w:ascii="Times New Roman" w:hAnsi="Times New Roman"/>
          <w:sz w:val="24"/>
        </w:rPr>
        <w:t xml:space="preserve">as well as a </w:t>
      </w:r>
      <w:r w:rsidR="00C141BF">
        <w:rPr>
          <w:rFonts w:ascii="Times New Roman" w:hAnsi="Times New Roman"/>
          <w:sz w:val="24"/>
        </w:rPr>
        <w:t>decrease in projected wholesale fuel revenues due to decrease in projected fuel expenses</w:t>
      </w:r>
      <w:r w:rsidR="006D3E59" w:rsidRPr="006D3E59">
        <w:rPr>
          <w:rFonts w:ascii="Times New Roman" w:hAnsi="Times New Roman"/>
          <w:sz w:val="24"/>
        </w:rPr>
        <w:t xml:space="preserve">. </w:t>
      </w:r>
      <w:r w:rsidR="00693B8D" w:rsidRPr="006D3E59">
        <w:rPr>
          <w:rFonts w:ascii="Times New Roman" w:hAnsi="Times New Roman"/>
          <w:sz w:val="24"/>
        </w:rPr>
        <w:t>The impact of FOOTNOTE A/</w:t>
      </w:r>
      <w:r w:rsidR="00552372" w:rsidRPr="006D3E59">
        <w:rPr>
          <w:rFonts w:ascii="Times New Roman" w:hAnsi="Times New Roman"/>
          <w:sz w:val="24"/>
        </w:rPr>
        <w:t xml:space="preserve"> offsets the expected decrease in </w:t>
      </w:r>
      <w:r w:rsidR="006606A5" w:rsidRPr="006D3E59">
        <w:rPr>
          <w:rFonts w:ascii="Times New Roman" w:hAnsi="Times New Roman"/>
          <w:sz w:val="24"/>
        </w:rPr>
        <w:t>revenues</w:t>
      </w:r>
      <w:r w:rsidR="00552372" w:rsidRPr="006D3E59">
        <w:rPr>
          <w:rFonts w:ascii="Times New Roman" w:hAnsi="Times New Roman"/>
          <w:sz w:val="24"/>
        </w:rPr>
        <w:t>.</w:t>
      </w:r>
      <w:r w:rsidR="00552372" w:rsidRPr="00552372">
        <w:rPr>
          <w:rFonts w:ascii="Times New Roman" w:hAnsi="Times New Roman"/>
          <w:sz w:val="24"/>
        </w:rPr>
        <w:t xml:space="preserve">  </w:t>
      </w:r>
      <w:r w:rsidR="00536C95" w:rsidRPr="003A4DDF">
        <w:rPr>
          <w:rFonts w:ascii="Times New Roman" w:hAnsi="Times New Roman"/>
          <w:sz w:val="24"/>
        </w:rPr>
        <w:t xml:space="preserve"> </w:t>
      </w:r>
    </w:p>
    <w:p w:rsidR="00DA4042" w:rsidRDefault="00DA4042" w:rsidP="00DA4042">
      <w:pPr>
        <w:spacing w:after="0"/>
        <w:jc w:val="both"/>
        <w:rPr>
          <w:rFonts w:ascii="Times New Roman" w:hAnsi="Times New Roman" w:cs="Times New Roman"/>
          <w:sz w:val="24"/>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R</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1D0B7B">
        <w:rPr>
          <w:rFonts w:ascii="Times New Roman" w:hAnsi="Times New Roman" w:cs="Times New Roman"/>
          <w:sz w:val="24"/>
          <w:u w:val="single"/>
        </w:rPr>
        <w:t>28</w:t>
      </w:r>
      <w:r w:rsidR="00373404">
        <w:rPr>
          <w:rFonts w:ascii="Times New Roman" w:hAnsi="Times New Roman" w:cs="Times New Roman"/>
          <w:sz w:val="24"/>
          <w:u w:val="single"/>
        </w:rPr>
        <w:t>1,7</w:t>
      </w:r>
      <w:r w:rsidR="00245481">
        <w:rPr>
          <w:rFonts w:ascii="Times New Roman" w:hAnsi="Times New Roman" w:cs="Times New Roman"/>
          <w:sz w:val="24"/>
          <w:u w:val="single"/>
        </w:rPr>
        <w:t>88</w:t>
      </w:r>
      <w:r>
        <w:rPr>
          <w:rFonts w:ascii="Times New Roman" w:hAnsi="Times New Roman" w:cs="Times New Roman"/>
          <w:sz w:val="24"/>
        </w:rPr>
        <w:tab/>
      </w:r>
      <w:r>
        <w:rPr>
          <w:rFonts w:ascii="Times New Roman" w:hAnsi="Times New Roman" w:cs="Times New Roman"/>
          <w:sz w:val="24"/>
        </w:rPr>
        <w:tab/>
        <w:t xml:space="preserve">Other Operating Revenues  </w:t>
      </w:r>
    </w:p>
    <w:p w:rsidR="00362DBE" w:rsidRDefault="00362DBE" w:rsidP="00362DBE">
      <w:pPr>
        <w:spacing w:after="0"/>
        <w:rPr>
          <w:rFonts w:ascii="Times New Roman" w:hAnsi="Times New Roman" w:cs="Times New Roman"/>
          <w:sz w:val="24"/>
        </w:rPr>
      </w:pPr>
    </w:p>
    <w:p w:rsidR="00362DBE" w:rsidRDefault="008567FE" w:rsidP="00AF661B">
      <w:pPr>
        <w:spacing w:after="0"/>
        <w:jc w:val="both"/>
        <w:rPr>
          <w:rFonts w:ascii="Times New Roman" w:hAnsi="Times New Roman" w:cs="Times New Roman"/>
          <w:sz w:val="24"/>
        </w:rPr>
      </w:pPr>
      <w:r w:rsidRPr="008567FE">
        <w:rPr>
          <w:rFonts w:ascii="Times New Roman" w:hAnsi="Times New Roman" w:cs="Times New Roman"/>
          <w:sz w:val="24"/>
        </w:rPr>
        <w:t>Th</w:t>
      </w:r>
      <w:r w:rsidR="00AF661B">
        <w:rPr>
          <w:rFonts w:ascii="Times New Roman" w:hAnsi="Times New Roman" w:cs="Times New Roman"/>
          <w:sz w:val="24"/>
        </w:rPr>
        <w:t xml:space="preserve">e following is an analysis of the increase in Other Operating </w:t>
      </w:r>
      <w:r w:rsidR="005A5758">
        <w:rPr>
          <w:rFonts w:ascii="Times New Roman" w:hAnsi="Times New Roman" w:cs="Times New Roman"/>
          <w:sz w:val="24"/>
        </w:rPr>
        <w:t>Revenues</w:t>
      </w:r>
      <w:r w:rsidR="00AF661B">
        <w:rPr>
          <w:rFonts w:ascii="Times New Roman" w:hAnsi="Times New Roman" w:cs="Times New Roman"/>
          <w:sz w:val="24"/>
        </w:rPr>
        <w:t>:</w:t>
      </w:r>
    </w:p>
    <w:p w:rsidR="00AF661B" w:rsidRDefault="00AF661B" w:rsidP="008567FE">
      <w:pPr>
        <w:spacing w:after="0"/>
        <w:jc w:val="both"/>
        <w:rPr>
          <w:rFonts w:ascii="Times New Roman" w:hAnsi="Times New Roman" w:cs="Times New Roman"/>
          <w:sz w:val="24"/>
        </w:rPr>
      </w:pPr>
    </w:p>
    <w:p w:rsidR="00831C08" w:rsidRPr="001D2F76" w:rsidRDefault="00FC6B6C" w:rsidP="001D2F76">
      <w:pPr>
        <w:spacing w:after="0"/>
        <w:jc w:val="center"/>
        <w:rPr>
          <w:rFonts w:ascii="Times New Roman" w:hAnsi="Times New Roman" w:cs="Times New Roman"/>
          <w:sz w:val="24"/>
        </w:rPr>
      </w:pPr>
      <w:r w:rsidRPr="00FC6B6C">
        <w:rPr>
          <w:noProof/>
        </w:rPr>
        <w:drawing>
          <wp:inline distT="0" distB="0" distL="0" distR="0">
            <wp:extent cx="5425440" cy="183642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5440" cy="1836420"/>
                    </a:xfrm>
                    <a:prstGeom prst="rect">
                      <a:avLst/>
                    </a:prstGeom>
                    <a:noFill/>
                    <a:ln>
                      <a:noFill/>
                    </a:ln>
                  </pic:spPr>
                </pic:pic>
              </a:graphicData>
            </a:graphic>
          </wp:inline>
        </w:drawing>
      </w:r>
    </w:p>
    <w:p w:rsidR="00831C08" w:rsidRPr="00831C08" w:rsidRDefault="00831C08" w:rsidP="00FF1BA9">
      <w:pPr>
        <w:spacing w:after="0"/>
        <w:jc w:val="both"/>
        <w:rPr>
          <w:rFonts w:ascii="Times New Roman" w:hAnsi="Times New Roman" w:cs="Times New Roman"/>
          <w:sz w:val="24"/>
        </w:rPr>
      </w:pPr>
      <w:r w:rsidRPr="00831C08">
        <w:rPr>
          <w:rFonts w:ascii="Times New Roman" w:hAnsi="Times New Roman" w:cs="Times New Roman"/>
          <w:sz w:val="24"/>
        </w:rPr>
        <w:lastRenderedPageBreak/>
        <w:t xml:space="preserve">The increase is primarily driven by </w:t>
      </w:r>
      <w:r w:rsidR="00C141BF">
        <w:rPr>
          <w:rFonts w:ascii="Times New Roman" w:hAnsi="Times New Roman" w:cs="Times New Roman"/>
          <w:sz w:val="24"/>
        </w:rPr>
        <w:t xml:space="preserve">the </w:t>
      </w:r>
      <w:r w:rsidR="007D0469">
        <w:rPr>
          <w:rFonts w:ascii="Times New Roman" w:hAnsi="Times New Roman" w:cs="Times New Roman"/>
          <w:sz w:val="24"/>
        </w:rPr>
        <w:t>Tax Reform Act</w:t>
      </w:r>
      <w:r w:rsidR="00C141BF">
        <w:rPr>
          <w:rFonts w:ascii="Times New Roman" w:hAnsi="Times New Roman" w:cs="Times New Roman"/>
          <w:sz w:val="24"/>
        </w:rPr>
        <w:t xml:space="preserve"> refunds approved by the Commission </w:t>
      </w:r>
      <w:r w:rsidRPr="00831C08">
        <w:rPr>
          <w:rFonts w:ascii="Times New Roman" w:hAnsi="Times New Roman" w:cs="Times New Roman"/>
          <w:sz w:val="24"/>
        </w:rPr>
        <w:t>in Docket No. 36989 and the impact of FOOTNOTE B</w:t>
      </w:r>
      <w:r w:rsidR="0066569E">
        <w:rPr>
          <w:rFonts w:ascii="Times New Roman" w:hAnsi="Times New Roman" w:cs="Times New Roman"/>
          <w:sz w:val="24"/>
        </w:rPr>
        <w:t>/</w:t>
      </w:r>
      <w:r w:rsidRPr="00831C08">
        <w:rPr>
          <w:rFonts w:ascii="Times New Roman" w:hAnsi="Times New Roman" w:cs="Times New Roman"/>
          <w:sz w:val="24"/>
        </w:rPr>
        <w:t>, which adjusts revenue for unregulated outdoor lighting, wholesale to retail market differential, Plant Vogtle Units 3 &amp; 4 nuclear fuel, FERC boundary land, and SCGEM.</w:t>
      </w:r>
      <w:r w:rsidR="00BF6E3D">
        <w:rPr>
          <w:rFonts w:ascii="Times New Roman" w:hAnsi="Times New Roman" w:cs="Times New Roman"/>
          <w:sz w:val="24"/>
        </w:rPr>
        <w:t xml:space="preserve">  </w:t>
      </w:r>
    </w:p>
    <w:p w:rsidR="00552372" w:rsidRDefault="00552372" w:rsidP="00362DBE">
      <w:pPr>
        <w:spacing w:after="0"/>
        <w:rPr>
          <w:rFonts w:ascii="Times New Roman" w:hAnsi="Times New Roman" w:cs="Times New Roman"/>
          <w:sz w:val="24"/>
          <w:u w:val="single"/>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S</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373404">
        <w:rPr>
          <w:rFonts w:ascii="Times New Roman" w:hAnsi="Times New Roman" w:cs="Times New Roman"/>
          <w:sz w:val="24"/>
          <w:u w:val="single"/>
        </w:rPr>
        <w:t>120,204</w:t>
      </w:r>
      <w:r w:rsidR="001D0B7B">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8567FE">
        <w:rPr>
          <w:rFonts w:ascii="Times New Roman" w:hAnsi="Times New Roman" w:cs="Times New Roman"/>
          <w:sz w:val="24"/>
        </w:rPr>
        <w:t>Total Operation and Maintenance Expenses</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362DBE" w:rsidRPr="00DA4042" w:rsidRDefault="005A5758" w:rsidP="00DA4042">
      <w:pPr>
        <w:spacing w:after="0"/>
        <w:jc w:val="both"/>
        <w:rPr>
          <w:rFonts w:ascii="Times New Roman" w:hAnsi="Times New Roman" w:cs="Times New Roman"/>
          <w:sz w:val="24"/>
        </w:rPr>
      </w:pPr>
      <w:r w:rsidRPr="007A1199">
        <w:rPr>
          <w:rFonts w:ascii="Times New Roman" w:hAnsi="Times New Roman" w:cs="Times New Roman"/>
          <w:sz w:val="24"/>
        </w:rPr>
        <w:t xml:space="preserve">The </w:t>
      </w:r>
      <w:r w:rsidR="007A1199" w:rsidRPr="007A1199">
        <w:rPr>
          <w:rFonts w:ascii="Times New Roman" w:hAnsi="Times New Roman" w:cs="Times New Roman"/>
          <w:sz w:val="24"/>
        </w:rPr>
        <w:t>decrease</w:t>
      </w:r>
      <w:r w:rsidRPr="007A1199">
        <w:rPr>
          <w:rFonts w:ascii="Times New Roman" w:hAnsi="Times New Roman" w:cs="Times New Roman"/>
          <w:sz w:val="24"/>
        </w:rPr>
        <w:t xml:space="preserve"> in Operation and Maintenance Expenses is outlined in the explanations provided on the following pages.  Compound annual growth rate (CAGR) as shown reflects annualized growth over the 19 months between the historic and test periods.</w:t>
      </w:r>
    </w:p>
    <w:sectPr w:rsidR="00362DBE" w:rsidRPr="00DA4042" w:rsidSect="00100F95">
      <w:headerReference w:type="default" r:id="rId8"/>
      <w:pgSz w:w="12240" w:h="15840"/>
      <w:pgMar w:top="1440" w:right="1440" w:bottom="1440" w:left="1440" w:header="720" w:footer="720"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042" w:rsidRDefault="00DA4042" w:rsidP="00DA4042">
      <w:pPr>
        <w:spacing w:after="0" w:line="240" w:lineRule="auto"/>
      </w:pPr>
      <w:r>
        <w:separator/>
      </w:r>
    </w:p>
  </w:endnote>
  <w:endnote w:type="continuationSeparator" w:id="0">
    <w:p w:rsidR="00DA4042" w:rsidRDefault="00DA4042" w:rsidP="00DA4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042" w:rsidRDefault="00DA4042" w:rsidP="00DA4042">
      <w:pPr>
        <w:spacing w:after="0" w:line="240" w:lineRule="auto"/>
      </w:pPr>
      <w:r>
        <w:separator/>
      </w:r>
    </w:p>
  </w:footnote>
  <w:footnote w:type="continuationSeparator" w:id="0">
    <w:p w:rsidR="00DA4042" w:rsidRDefault="00DA4042" w:rsidP="00DA4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1318336367"/>
      <w:docPartObj>
        <w:docPartGallery w:val="Page Numbers (Top of Page)"/>
        <w:docPartUnique/>
      </w:docPartObj>
    </w:sdtPr>
    <w:sdtEndPr/>
    <w:sdtContent>
      <w:p w:rsidR="00100F95" w:rsidRPr="00DA4042" w:rsidRDefault="00100F95" w:rsidP="00100F95">
        <w:pPr>
          <w:pStyle w:val="Header"/>
          <w:jc w:val="right"/>
          <w:rPr>
            <w:rFonts w:ascii="Times New Roman" w:hAnsi="Times New Roman" w:cs="Times New Roman"/>
            <w:sz w:val="24"/>
          </w:rPr>
        </w:pPr>
        <w:r w:rsidRPr="00DA4042">
          <w:rPr>
            <w:rFonts w:ascii="Times New Roman" w:hAnsi="Times New Roman" w:cs="Times New Roman"/>
            <w:sz w:val="24"/>
          </w:rPr>
          <w:t>Exhibit___(DPP</w:t>
        </w:r>
        <w:r w:rsidR="0011610D">
          <w:rPr>
            <w:rFonts w:ascii="Times New Roman" w:hAnsi="Times New Roman" w:cs="Times New Roman"/>
            <w:sz w:val="24"/>
          </w:rPr>
          <w:t>/</w:t>
        </w:r>
        <w:r>
          <w:rPr>
            <w:rFonts w:ascii="Times New Roman" w:hAnsi="Times New Roman" w:cs="Times New Roman"/>
            <w:sz w:val="24"/>
          </w:rPr>
          <w:t>SPA</w:t>
        </w:r>
        <w:r w:rsidR="0011610D">
          <w:rPr>
            <w:rFonts w:ascii="Times New Roman" w:hAnsi="Times New Roman" w:cs="Times New Roman"/>
            <w:sz w:val="24"/>
          </w:rPr>
          <w:t>/</w:t>
        </w:r>
        <w:r>
          <w:rPr>
            <w:rFonts w:ascii="Times New Roman" w:hAnsi="Times New Roman" w:cs="Times New Roman"/>
            <w:sz w:val="24"/>
          </w:rPr>
          <w:t>MBR</w:t>
        </w:r>
        <w:r w:rsidRPr="00DA4042">
          <w:rPr>
            <w:rFonts w:ascii="Times New Roman" w:hAnsi="Times New Roman" w:cs="Times New Roman"/>
            <w:sz w:val="24"/>
          </w:rPr>
          <w:t>-2)</w:t>
        </w:r>
      </w:p>
      <w:p w:rsidR="00100F95" w:rsidRPr="00100F95" w:rsidRDefault="00100F95">
        <w:pPr>
          <w:pStyle w:val="Header"/>
          <w:jc w:val="right"/>
          <w:rPr>
            <w:rFonts w:ascii="Times New Roman" w:hAnsi="Times New Roman" w:cs="Times New Roman"/>
            <w:sz w:val="24"/>
          </w:rPr>
        </w:pPr>
        <w:r w:rsidRPr="00100F95">
          <w:rPr>
            <w:rFonts w:ascii="Times New Roman" w:hAnsi="Times New Roman" w:cs="Times New Roman"/>
            <w:sz w:val="24"/>
          </w:rPr>
          <w:t xml:space="preserve">Page </w:t>
        </w:r>
        <w:r w:rsidRPr="00100F95">
          <w:rPr>
            <w:rFonts w:ascii="Times New Roman" w:hAnsi="Times New Roman" w:cs="Times New Roman"/>
            <w:sz w:val="24"/>
          </w:rPr>
          <w:fldChar w:fldCharType="begin"/>
        </w:r>
        <w:r w:rsidRPr="00100F95">
          <w:rPr>
            <w:rFonts w:ascii="Times New Roman" w:hAnsi="Times New Roman" w:cs="Times New Roman"/>
            <w:sz w:val="24"/>
          </w:rPr>
          <w:instrText xml:space="preserve"> PAGE </w:instrText>
        </w:r>
        <w:r w:rsidRPr="00100F95">
          <w:rPr>
            <w:rFonts w:ascii="Times New Roman" w:hAnsi="Times New Roman" w:cs="Times New Roman"/>
            <w:sz w:val="24"/>
          </w:rPr>
          <w:fldChar w:fldCharType="separate"/>
        </w:r>
        <w:r w:rsidRPr="00100F95">
          <w:rPr>
            <w:rFonts w:ascii="Times New Roman" w:hAnsi="Times New Roman" w:cs="Times New Roman"/>
            <w:sz w:val="24"/>
          </w:rPr>
          <w:t>2</w:t>
        </w:r>
        <w:r w:rsidRPr="00100F95">
          <w:rPr>
            <w:rFonts w:ascii="Times New Roman" w:hAnsi="Times New Roman" w:cs="Times New Roman"/>
            <w:sz w:val="24"/>
          </w:rPr>
          <w:fldChar w:fldCharType="end"/>
        </w:r>
        <w:r w:rsidRPr="00100F95">
          <w:rPr>
            <w:rFonts w:ascii="Times New Roman" w:hAnsi="Times New Roman" w:cs="Times New Roman"/>
            <w:sz w:val="24"/>
          </w:rPr>
          <w:t xml:space="preserve"> of 36</w:t>
        </w:r>
      </w:p>
    </w:sdtContent>
  </w:sdt>
  <w:p w:rsidR="00DA4042" w:rsidRPr="00100F95" w:rsidRDefault="00DA4042" w:rsidP="00100F95">
    <w:pPr>
      <w:pStyle w:val="Head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42"/>
    <w:rsid w:val="000C10F9"/>
    <w:rsid w:val="00100F95"/>
    <w:rsid w:val="00110DC8"/>
    <w:rsid w:val="0011610D"/>
    <w:rsid w:val="00137089"/>
    <w:rsid w:val="00172F88"/>
    <w:rsid w:val="001D0B7B"/>
    <w:rsid w:val="001D2F76"/>
    <w:rsid w:val="00245481"/>
    <w:rsid w:val="00262BDE"/>
    <w:rsid w:val="00272D98"/>
    <w:rsid w:val="002F38F4"/>
    <w:rsid w:val="00362DBE"/>
    <w:rsid w:val="00364EF5"/>
    <w:rsid w:val="00373404"/>
    <w:rsid w:val="00394FD6"/>
    <w:rsid w:val="00427B1E"/>
    <w:rsid w:val="004801CB"/>
    <w:rsid w:val="00493667"/>
    <w:rsid w:val="00533A63"/>
    <w:rsid w:val="00536C95"/>
    <w:rsid w:val="00552372"/>
    <w:rsid w:val="005A5758"/>
    <w:rsid w:val="006606A5"/>
    <w:rsid w:val="0066569E"/>
    <w:rsid w:val="00680B78"/>
    <w:rsid w:val="00693B8D"/>
    <w:rsid w:val="00697638"/>
    <w:rsid w:val="006D3E59"/>
    <w:rsid w:val="006D44C5"/>
    <w:rsid w:val="00762958"/>
    <w:rsid w:val="007A1199"/>
    <w:rsid w:val="007D0469"/>
    <w:rsid w:val="00831C08"/>
    <w:rsid w:val="00853165"/>
    <w:rsid w:val="008567FE"/>
    <w:rsid w:val="00946EE4"/>
    <w:rsid w:val="009E1B95"/>
    <w:rsid w:val="00A61128"/>
    <w:rsid w:val="00AF661B"/>
    <w:rsid w:val="00B12198"/>
    <w:rsid w:val="00B838E9"/>
    <w:rsid w:val="00BA2756"/>
    <w:rsid w:val="00BD3619"/>
    <w:rsid w:val="00BF6E3D"/>
    <w:rsid w:val="00C141BF"/>
    <w:rsid w:val="00DA4042"/>
    <w:rsid w:val="00DD0AFE"/>
    <w:rsid w:val="00DD6E35"/>
    <w:rsid w:val="00E109E9"/>
    <w:rsid w:val="00E42227"/>
    <w:rsid w:val="00F929A9"/>
    <w:rsid w:val="00FC6B6C"/>
    <w:rsid w:val="00FD17DD"/>
    <w:rsid w:val="00FF1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042"/>
  </w:style>
  <w:style w:type="paragraph" w:styleId="Footer">
    <w:name w:val="footer"/>
    <w:basedOn w:val="Normal"/>
    <w:link w:val="FooterChar"/>
    <w:uiPriority w:val="99"/>
    <w:unhideWhenUsed/>
    <w:rsid w:val="00DA4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042"/>
  </w:style>
  <w:style w:type="paragraph" w:styleId="BodyText">
    <w:name w:val="Body Text"/>
    <w:basedOn w:val="Normal"/>
    <w:link w:val="BodyTextChar"/>
    <w:rsid w:val="00536C95"/>
    <w:pPr>
      <w:spacing w:after="0" w:line="240" w:lineRule="auto"/>
    </w:pPr>
    <w:rPr>
      <w:rFonts w:ascii="Arial" w:eastAsia="Times New Roman" w:hAnsi="Arial" w:cs="Times New Roman"/>
      <w:szCs w:val="20"/>
    </w:rPr>
  </w:style>
  <w:style w:type="character" w:customStyle="1" w:styleId="BodyTextChar">
    <w:name w:val="Body Text Char"/>
    <w:basedOn w:val="DefaultParagraphFont"/>
    <w:link w:val="BodyText"/>
    <w:rsid w:val="00536C95"/>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844685">
      <w:bodyDiv w:val="1"/>
      <w:marLeft w:val="0"/>
      <w:marRight w:val="0"/>
      <w:marTop w:val="0"/>
      <w:marBottom w:val="0"/>
      <w:divBdr>
        <w:top w:val="none" w:sz="0" w:space="0" w:color="auto"/>
        <w:left w:val="none" w:sz="0" w:space="0" w:color="auto"/>
        <w:bottom w:val="none" w:sz="0" w:space="0" w:color="auto"/>
        <w:right w:val="none" w:sz="0" w:space="0" w:color="auto"/>
      </w:divBdr>
    </w:div>
    <w:div w:id="20167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2019-06-25T17:15:00Z</dcterms:created>
  <dcterms:modified xsi:type="dcterms:W3CDTF">2019-06-25T17:16:00Z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