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815F6" w14:textId="1D0E5D4B" w:rsidR="005713FB" w:rsidRDefault="005713FB" w:rsidP="00207FD4">
      <w:pPr>
        <w:pStyle w:val="Title"/>
        <w:spacing w:line="276" w:lineRule="auto"/>
        <w:rPr>
          <w:sz w:val="24"/>
          <w:szCs w:val="24"/>
          <w:u w:val="single"/>
        </w:rPr>
      </w:pPr>
      <w:bookmarkStart w:id="0" w:name="_GoBack"/>
      <w:bookmarkEnd w:id="0"/>
      <w:r w:rsidRPr="00207FD4">
        <w:rPr>
          <w:sz w:val="24"/>
          <w:szCs w:val="24"/>
          <w:u w:val="single"/>
        </w:rPr>
        <w:t>G</w:t>
      </w:r>
      <w:r w:rsidR="00207FD4" w:rsidRPr="00207FD4">
        <w:rPr>
          <w:sz w:val="24"/>
          <w:szCs w:val="24"/>
          <w:u w:val="single"/>
        </w:rPr>
        <w:t>EORGIA POWER COMPANY</w:t>
      </w:r>
    </w:p>
    <w:p w14:paraId="4B1DB6E0" w14:textId="77777777" w:rsidR="00207FD4" w:rsidRPr="00207FD4" w:rsidRDefault="00207FD4" w:rsidP="00207FD4">
      <w:pPr>
        <w:pStyle w:val="Title"/>
        <w:spacing w:line="276" w:lineRule="auto"/>
        <w:rPr>
          <w:sz w:val="24"/>
          <w:szCs w:val="24"/>
          <w:u w:val="single"/>
        </w:rPr>
      </w:pPr>
    </w:p>
    <w:p w14:paraId="393F3930" w14:textId="3AF8FA90" w:rsidR="005713FB" w:rsidRPr="00207FD4" w:rsidRDefault="005713FB" w:rsidP="00207FD4">
      <w:pPr>
        <w:spacing w:line="276" w:lineRule="auto"/>
        <w:jc w:val="center"/>
        <w:rPr>
          <w:b/>
          <w:sz w:val="24"/>
          <w:szCs w:val="24"/>
          <w:u w:val="single"/>
        </w:rPr>
      </w:pPr>
      <w:r w:rsidRPr="00207FD4">
        <w:rPr>
          <w:b/>
          <w:sz w:val="24"/>
          <w:szCs w:val="24"/>
          <w:u w:val="single"/>
        </w:rPr>
        <w:t>R</w:t>
      </w:r>
      <w:r w:rsidR="00207FD4">
        <w:rPr>
          <w:b/>
          <w:sz w:val="24"/>
          <w:szCs w:val="24"/>
          <w:u w:val="single"/>
        </w:rPr>
        <w:t>ETAIL REVENUE FORECAST</w:t>
      </w:r>
    </w:p>
    <w:p w14:paraId="4981B077" w14:textId="77777777" w:rsidR="005713FB" w:rsidRPr="00207FD4" w:rsidRDefault="005713FB">
      <w:pPr>
        <w:rPr>
          <w:sz w:val="24"/>
          <w:szCs w:val="24"/>
          <w:u w:val="single"/>
        </w:rPr>
      </w:pPr>
    </w:p>
    <w:p w14:paraId="0F5BB0C2" w14:textId="4BA1E656" w:rsidR="005713FB" w:rsidRPr="00207FD4" w:rsidRDefault="005713FB" w:rsidP="00745DC8">
      <w:pPr>
        <w:spacing w:line="276" w:lineRule="auto"/>
        <w:jc w:val="both"/>
        <w:rPr>
          <w:sz w:val="24"/>
          <w:szCs w:val="24"/>
        </w:rPr>
      </w:pPr>
      <w:r w:rsidRPr="00207FD4">
        <w:rPr>
          <w:sz w:val="24"/>
          <w:szCs w:val="24"/>
        </w:rPr>
        <w:t>Georgia Power Company developed the Budget 20</w:t>
      </w:r>
      <w:r w:rsidR="008B1B55" w:rsidRPr="00207FD4">
        <w:rPr>
          <w:sz w:val="24"/>
          <w:szCs w:val="24"/>
        </w:rPr>
        <w:t>1</w:t>
      </w:r>
      <w:r w:rsidR="006B58AD" w:rsidRPr="00207FD4">
        <w:rPr>
          <w:sz w:val="24"/>
          <w:szCs w:val="24"/>
        </w:rPr>
        <w:t>9</w:t>
      </w:r>
      <w:r w:rsidRPr="00207FD4">
        <w:rPr>
          <w:sz w:val="24"/>
          <w:szCs w:val="24"/>
        </w:rPr>
        <w:t xml:space="preserve"> retail revenue forecast based on the Budget 20</w:t>
      </w:r>
      <w:r w:rsidR="008B1B55" w:rsidRPr="00207FD4">
        <w:rPr>
          <w:sz w:val="24"/>
          <w:szCs w:val="24"/>
        </w:rPr>
        <w:t>1</w:t>
      </w:r>
      <w:r w:rsidR="006B58AD" w:rsidRPr="00207FD4">
        <w:rPr>
          <w:sz w:val="24"/>
          <w:szCs w:val="24"/>
        </w:rPr>
        <w:t>9</w:t>
      </w:r>
      <w:r w:rsidRPr="00207FD4">
        <w:rPr>
          <w:sz w:val="24"/>
          <w:szCs w:val="24"/>
        </w:rPr>
        <w:t xml:space="preserve"> Load and Energy Forecast.  </w:t>
      </w:r>
      <w:r w:rsidR="008B1B55" w:rsidRPr="00207FD4">
        <w:rPr>
          <w:sz w:val="24"/>
          <w:szCs w:val="24"/>
        </w:rPr>
        <w:t>E</w:t>
      </w:r>
      <w:r w:rsidRPr="00207FD4">
        <w:rPr>
          <w:sz w:val="24"/>
          <w:szCs w:val="24"/>
        </w:rPr>
        <w:t xml:space="preserve">nergy sales by </w:t>
      </w:r>
      <w:r w:rsidR="00FC1718" w:rsidRPr="00207FD4">
        <w:rPr>
          <w:sz w:val="24"/>
          <w:szCs w:val="24"/>
        </w:rPr>
        <w:t xml:space="preserve">customer </w:t>
      </w:r>
      <w:r w:rsidRPr="00207FD4">
        <w:rPr>
          <w:sz w:val="24"/>
          <w:szCs w:val="24"/>
        </w:rPr>
        <w:t xml:space="preserve">class were used to project revenues for this filing.  The forecast of base rate retail revenue under present rates is </w:t>
      </w:r>
      <w:r w:rsidR="00B7302E" w:rsidRPr="00207FD4">
        <w:rPr>
          <w:sz w:val="24"/>
          <w:szCs w:val="24"/>
        </w:rPr>
        <w:t>$</w:t>
      </w:r>
      <w:r w:rsidR="007B3A98" w:rsidRPr="00207FD4">
        <w:rPr>
          <w:sz w:val="24"/>
          <w:szCs w:val="24"/>
        </w:rPr>
        <w:t>5</w:t>
      </w:r>
      <w:r w:rsidR="00593E8B" w:rsidRPr="00207FD4">
        <w:rPr>
          <w:sz w:val="24"/>
          <w:szCs w:val="24"/>
        </w:rPr>
        <w:t>,</w:t>
      </w:r>
      <w:r w:rsidR="00B66A54" w:rsidRPr="00207FD4">
        <w:rPr>
          <w:sz w:val="24"/>
          <w:szCs w:val="24"/>
        </w:rPr>
        <w:t>619</w:t>
      </w:r>
      <w:r w:rsidR="00593E8B" w:rsidRPr="00207FD4">
        <w:rPr>
          <w:sz w:val="24"/>
          <w:szCs w:val="24"/>
        </w:rPr>
        <w:t>,</w:t>
      </w:r>
      <w:r w:rsidR="00B66A54" w:rsidRPr="00207FD4">
        <w:rPr>
          <w:sz w:val="24"/>
          <w:szCs w:val="24"/>
        </w:rPr>
        <w:t>988</w:t>
      </w:r>
      <w:r w:rsidR="008B1B55" w:rsidRPr="00207FD4">
        <w:rPr>
          <w:sz w:val="24"/>
          <w:szCs w:val="24"/>
        </w:rPr>
        <w:t>,</w:t>
      </w:r>
      <w:r w:rsidR="00B66A54" w:rsidRPr="00207FD4">
        <w:rPr>
          <w:sz w:val="24"/>
          <w:szCs w:val="24"/>
        </w:rPr>
        <w:t>90</w:t>
      </w:r>
      <w:r w:rsidR="004A5E55" w:rsidRPr="00207FD4">
        <w:rPr>
          <w:sz w:val="24"/>
          <w:szCs w:val="24"/>
        </w:rPr>
        <w:t>8</w:t>
      </w:r>
      <w:r w:rsidR="00593E8B" w:rsidRPr="00207FD4">
        <w:rPr>
          <w:sz w:val="24"/>
          <w:szCs w:val="24"/>
        </w:rPr>
        <w:t xml:space="preserve"> </w:t>
      </w:r>
      <w:r w:rsidR="00B7302E" w:rsidRPr="00207FD4">
        <w:rPr>
          <w:sz w:val="24"/>
          <w:szCs w:val="24"/>
        </w:rPr>
        <w:t>during the test period</w:t>
      </w:r>
      <w:r w:rsidRPr="00207FD4">
        <w:rPr>
          <w:sz w:val="24"/>
          <w:szCs w:val="24"/>
        </w:rPr>
        <w:t xml:space="preserve">, which covers the twelve months ending </w:t>
      </w:r>
      <w:r w:rsidR="00DE2006" w:rsidRPr="00207FD4">
        <w:rPr>
          <w:sz w:val="24"/>
          <w:szCs w:val="24"/>
        </w:rPr>
        <w:t>July</w:t>
      </w:r>
      <w:r w:rsidR="00B7302E" w:rsidRPr="00207FD4">
        <w:rPr>
          <w:sz w:val="24"/>
          <w:szCs w:val="24"/>
        </w:rPr>
        <w:t xml:space="preserve"> </w:t>
      </w:r>
      <w:r w:rsidR="008B1B55" w:rsidRPr="00207FD4">
        <w:rPr>
          <w:sz w:val="24"/>
          <w:szCs w:val="24"/>
        </w:rPr>
        <w:t>31, 20</w:t>
      </w:r>
      <w:r w:rsidR="00A67919" w:rsidRPr="00207FD4">
        <w:rPr>
          <w:sz w:val="24"/>
          <w:szCs w:val="24"/>
        </w:rPr>
        <w:t>20</w:t>
      </w:r>
      <w:r w:rsidR="00627BAA" w:rsidRPr="00207FD4">
        <w:rPr>
          <w:sz w:val="24"/>
          <w:szCs w:val="24"/>
        </w:rPr>
        <w:t xml:space="preserve">.  </w:t>
      </w:r>
      <w:r w:rsidRPr="00207FD4">
        <w:rPr>
          <w:sz w:val="24"/>
          <w:szCs w:val="24"/>
        </w:rPr>
        <w:t>For a comprehensive description of the development of the Budget 20</w:t>
      </w:r>
      <w:r w:rsidR="008B1B55" w:rsidRPr="00207FD4">
        <w:rPr>
          <w:sz w:val="24"/>
          <w:szCs w:val="24"/>
        </w:rPr>
        <w:t>1</w:t>
      </w:r>
      <w:r w:rsidR="00A67919" w:rsidRPr="00207FD4">
        <w:rPr>
          <w:sz w:val="24"/>
          <w:szCs w:val="24"/>
        </w:rPr>
        <w:t>9</w:t>
      </w:r>
      <w:r w:rsidRPr="00207FD4">
        <w:rPr>
          <w:sz w:val="24"/>
          <w:szCs w:val="24"/>
        </w:rPr>
        <w:t xml:space="preserve"> Forecast, please see Volume </w:t>
      </w:r>
      <w:r w:rsidR="008A2D5E" w:rsidRPr="00207FD4">
        <w:rPr>
          <w:sz w:val="24"/>
          <w:szCs w:val="24"/>
        </w:rPr>
        <w:t>1</w:t>
      </w:r>
      <w:r w:rsidRPr="00207FD4">
        <w:rPr>
          <w:sz w:val="24"/>
          <w:szCs w:val="24"/>
        </w:rPr>
        <w:t xml:space="preserve">, </w:t>
      </w:r>
      <w:r w:rsidRPr="00207FD4">
        <w:rPr>
          <w:sz w:val="24"/>
          <w:szCs w:val="24"/>
          <w:u w:val="single"/>
        </w:rPr>
        <w:t>Budget 20</w:t>
      </w:r>
      <w:r w:rsidR="008B1B55" w:rsidRPr="00207FD4">
        <w:rPr>
          <w:sz w:val="24"/>
          <w:szCs w:val="24"/>
          <w:u w:val="single"/>
        </w:rPr>
        <w:t>1</w:t>
      </w:r>
      <w:r w:rsidR="00A67919" w:rsidRPr="00207FD4">
        <w:rPr>
          <w:sz w:val="24"/>
          <w:szCs w:val="24"/>
          <w:u w:val="single"/>
        </w:rPr>
        <w:t>9</w:t>
      </w:r>
      <w:r w:rsidRPr="00207FD4">
        <w:rPr>
          <w:sz w:val="24"/>
          <w:szCs w:val="24"/>
          <w:u w:val="single"/>
        </w:rPr>
        <w:t xml:space="preserve"> Load &amp; Energy Forecast</w:t>
      </w:r>
      <w:r w:rsidRPr="00207FD4">
        <w:rPr>
          <w:sz w:val="24"/>
          <w:szCs w:val="24"/>
        </w:rPr>
        <w:t>, of the technical appendices of the 20</w:t>
      </w:r>
      <w:r w:rsidR="008B1B55" w:rsidRPr="00207FD4">
        <w:rPr>
          <w:sz w:val="24"/>
          <w:szCs w:val="24"/>
        </w:rPr>
        <w:t>1</w:t>
      </w:r>
      <w:r w:rsidR="00A67919" w:rsidRPr="00207FD4">
        <w:rPr>
          <w:sz w:val="24"/>
          <w:szCs w:val="24"/>
        </w:rPr>
        <w:t>9</w:t>
      </w:r>
      <w:r w:rsidRPr="00207FD4">
        <w:rPr>
          <w:sz w:val="24"/>
          <w:szCs w:val="24"/>
        </w:rPr>
        <w:t xml:space="preserve"> Integrated Resource Plan filed in the Docket No. </w:t>
      </w:r>
      <w:r w:rsidR="008A2D5E" w:rsidRPr="00207FD4">
        <w:rPr>
          <w:sz w:val="24"/>
          <w:szCs w:val="24"/>
        </w:rPr>
        <w:t>42310</w:t>
      </w:r>
      <w:r w:rsidRPr="00207FD4">
        <w:rPr>
          <w:sz w:val="24"/>
          <w:szCs w:val="24"/>
        </w:rPr>
        <w:t xml:space="preserve"> documentation book.</w:t>
      </w:r>
    </w:p>
    <w:p w14:paraId="4B98A8B1" w14:textId="77777777" w:rsidR="00627BAA" w:rsidRPr="00207FD4" w:rsidRDefault="00627BAA" w:rsidP="00745DC8">
      <w:pPr>
        <w:spacing w:line="276" w:lineRule="auto"/>
        <w:jc w:val="both"/>
        <w:rPr>
          <w:sz w:val="24"/>
          <w:szCs w:val="24"/>
        </w:rPr>
      </w:pPr>
    </w:p>
    <w:p w14:paraId="3A8C5A34" w14:textId="40C85171" w:rsidR="00AE14BA" w:rsidRPr="00207FD4" w:rsidRDefault="005713FB" w:rsidP="00745DC8">
      <w:pPr>
        <w:spacing w:line="276" w:lineRule="auto"/>
        <w:jc w:val="both"/>
        <w:rPr>
          <w:sz w:val="24"/>
          <w:szCs w:val="24"/>
          <w:highlight w:val="yellow"/>
        </w:rPr>
      </w:pPr>
      <w:r w:rsidRPr="00207FD4">
        <w:rPr>
          <w:sz w:val="24"/>
          <w:szCs w:val="24"/>
        </w:rPr>
        <w:t xml:space="preserve">In preparing the revenue forecast under present rates, </w:t>
      </w:r>
      <w:r w:rsidR="00E059D1" w:rsidRPr="00207FD4">
        <w:rPr>
          <w:sz w:val="24"/>
          <w:szCs w:val="24"/>
        </w:rPr>
        <w:t xml:space="preserve">the Company </w:t>
      </w:r>
      <w:r w:rsidR="007D4262" w:rsidRPr="00207FD4">
        <w:rPr>
          <w:sz w:val="24"/>
          <w:szCs w:val="24"/>
        </w:rPr>
        <w:t xml:space="preserve">used </w:t>
      </w:r>
      <w:r w:rsidR="003D1F31" w:rsidRPr="00207FD4">
        <w:rPr>
          <w:sz w:val="24"/>
          <w:szCs w:val="24"/>
        </w:rPr>
        <w:t xml:space="preserve">similar </w:t>
      </w:r>
      <w:r w:rsidR="007D4262" w:rsidRPr="00207FD4">
        <w:rPr>
          <w:sz w:val="24"/>
          <w:szCs w:val="24"/>
        </w:rPr>
        <w:t xml:space="preserve">methodologies </w:t>
      </w:r>
      <w:r w:rsidR="003D1F31" w:rsidRPr="00207FD4">
        <w:rPr>
          <w:sz w:val="24"/>
          <w:szCs w:val="24"/>
        </w:rPr>
        <w:t xml:space="preserve">as in past revenue </w:t>
      </w:r>
      <w:r w:rsidR="003D1F31" w:rsidRPr="00207FD4">
        <w:rPr>
          <w:color w:val="000000" w:themeColor="text1"/>
          <w:sz w:val="24"/>
          <w:szCs w:val="24"/>
        </w:rPr>
        <w:t xml:space="preserve">forecasts. </w:t>
      </w:r>
      <w:r w:rsidRPr="00207FD4">
        <w:rPr>
          <w:color w:val="000000" w:themeColor="text1"/>
          <w:sz w:val="24"/>
          <w:szCs w:val="24"/>
        </w:rPr>
        <w:t>First</w:t>
      </w:r>
      <w:r w:rsidRPr="00207FD4">
        <w:rPr>
          <w:sz w:val="24"/>
          <w:szCs w:val="24"/>
        </w:rPr>
        <w:t xml:space="preserve">, a monthly forecast of the number of customers and energy sales by customer class was prepared. </w:t>
      </w:r>
      <w:r w:rsidR="003D1F31" w:rsidRPr="00207FD4">
        <w:rPr>
          <w:sz w:val="24"/>
          <w:szCs w:val="24"/>
        </w:rPr>
        <w:t xml:space="preserve">Then, </w:t>
      </w:r>
      <w:r w:rsidR="007D4262" w:rsidRPr="00207FD4">
        <w:rPr>
          <w:sz w:val="24"/>
          <w:szCs w:val="24"/>
        </w:rPr>
        <w:t xml:space="preserve">average rate curves were developed for </w:t>
      </w:r>
      <w:r w:rsidR="00E059D1" w:rsidRPr="00207FD4">
        <w:rPr>
          <w:sz w:val="24"/>
          <w:szCs w:val="24"/>
        </w:rPr>
        <w:t xml:space="preserve">traditional </w:t>
      </w:r>
      <w:r w:rsidR="007D4262" w:rsidRPr="00207FD4">
        <w:rPr>
          <w:sz w:val="24"/>
          <w:szCs w:val="24"/>
        </w:rPr>
        <w:t>base tariff revenues, excluding the riders</w:t>
      </w:r>
      <w:r w:rsidR="003443D1" w:rsidRPr="00207FD4">
        <w:rPr>
          <w:sz w:val="24"/>
          <w:szCs w:val="24"/>
        </w:rPr>
        <w:t>,</w:t>
      </w:r>
      <w:r w:rsidR="009E64AE" w:rsidRPr="00207FD4">
        <w:rPr>
          <w:sz w:val="24"/>
          <w:szCs w:val="24"/>
        </w:rPr>
        <w:t xml:space="preserve"> for each customer class. Average rate curves were developed using regression and trending techniques. </w:t>
      </w:r>
      <w:r w:rsidRPr="00207FD4">
        <w:rPr>
          <w:sz w:val="24"/>
          <w:szCs w:val="24"/>
        </w:rPr>
        <w:t xml:space="preserve">These </w:t>
      </w:r>
      <w:r w:rsidR="009E64AE" w:rsidRPr="00207FD4">
        <w:rPr>
          <w:sz w:val="24"/>
          <w:szCs w:val="24"/>
        </w:rPr>
        <w:t xml:space="preserve">average rate curves </w:t>
      </w:r>
      <w:r w:rsidRPr="00207FD4">
        <w:rPr>
          <w:sz w:val="24"/>
          <w:szCs w:val="24"/>
        </w:rPr>
        <w:t>were developed for the residential, commercial</w:t>
      </w:r>
      <w:r w:rsidR="008B1B55" w:rsidRPr="00207FD4">
        <w:rPr>
          <w:sz w:val="24"/>
          <w:szCs w:val="24"/>
        </w:rPr>
        <w:t>,</w:t>
      </w:r>
      <w:r w:rsidRPr="00207FD4">
        <w:rPr>
          <w:sz w:val="24"/>
          <w:szCs w:val="24"/>
        </w:rPr>
        <w:t xml:space="preserve"> and industrial classes excluding the customers on the Real Time Pricing (RTP) rate.</w:t>
      </w:r>
      <w:r w:rsidR="005252DE" w:rsidRPr="00207FD4">
        <w:rPr>
          <w:sz w:val="24"/>
          <w:szCs w:val="24"/>
        </w:rPr>
        <w:t xml:space="preserve"> </w:t>
      </w:r>
      <w:r w:rsidR="00E06865" w:rsidRPr="00207FD4">
        <w:rPr>
          <w:sz w:val="24"/>
          <w:szCs w:val="24"/>
        </w:rPr>
        <w:t xml:space="preserve">Governmental lighting and MARTA revenues were forecasted using a regression model based on historical revenue in the class.   </w:t>
      </w:r>
    </w:p>
    <w:p w14:paraId="356D56CE" w14:textId="77777777" w:rsidR="00AE14BA" w:rsidRPr="00207FD4" w:rsidRDefault="00AE14BA" w:rsidP="00745DC8">
      <w:pPr>
        <w:spacing w:line="276" w:lineRule="auto"/>
        <w:jc w:val="both"/>
        <w:rPr>
          <w:sz w:val="24"/>
          <w:szCs w:val="24"/>
        </w:rPr>
      </w:pPr>
    </w:p>
    <w:p w14:paraId="3EA7F57A" w14:textId="5FE92F72" w:rsidR="005713FB" w:rsidRPr="00207FD4" w:rsidRDefault="005713FB" w:rsidP="00745DC8">
      <w:pPr>
        <w:spacing w:line="276" w:lineRule="auto"/>
        <w:jc w:val="both"/>
        <w:rPr>
          <w:sz w:val="24"/>
          <w:szCs w:val="24"/>
        </w:rPr>
      </w:pPr>
      <w:r w:rsidRPr="00207FD4">
        <w:rPr>
          <w:sz w:val="24"/>
          <w:szCs w:val="24"/>
        </w:rPr>
        <w:t>The revenue from RTP customers was estimated separately.  Total kilowatt-hour sales predicted in the energy forecast were first separated into RTP and non-RTP sales for the commercial and industrial class</w:t>
      </w:r>
      <w:r w:rsidR="008B1B55" w:rsidRPr="00207FD4">
        <w:rPr>
          <w:sz w:val="24"/>
          <w:szCs w:val="24"/>
        </w:rPr>
        <w:t>es</w:t>
      </w:r>
      <w:r w:rsidR="001B72EC" w:rsidRPr="00207FD4">
        <w:rPr>
          <w:sz w:val="24"/>
          <w:szCs w:val="24"/>
        </w:rPr>
        <w:t xml:space="preserve"> </w:t>
      </w:r>
      <w:r w:rsidR="0038783E" w:rsidRPr="00207FD4">
        <w:rPr>
          <w:sz w:val="24"/>
          <w:szCs w:val="24"/>
        </w:rPr>
        <w:t>based on historical data that captures historical</w:t>
      </w:r>
      <w:r w:rsidR="001B72EC" w:rsidRPr="00207FD4">
        <w:rPr>
          <w:sz w:val="24"/>
          <w:szCs w:val="24"/>
        </w:rPr>
        <w:t xml:space="preserve"> penetration of the RTP rate in each </w:t>
      </w:r>
      <w:r w:rsidR="00941EC4" w:rsidRPr="00207FD4">
        <w:rPr>
          <w:sz w:val="24"/>
          <w:szCs w:val="24"/>
        </w:rPr>
        <w:t xml:space="preserve">customer </w:t>
      </w:r>
      <w:r w:rsidR="001B72EC" w:rsidRPr="00207FD4">
        <w:rPr>
          <w:sz w:val="24"/>
          <w:szCs w:val="24"/>
        </w:rPr>
        <w:t xml:space="preserve">class. </w:t>
      </w:r>
      <w:r w:rsidRPr="00207FD4">
        <w:rPr>
          <w:sz w:val="24"/>
          <w:szCs w:val="24"/>
        </w:rPr>
        <w:t>RTP energy was</w:t>
      </w:r>
      <w:r w:rsidR="001B72EC" w:rsidRPr="00207FD4">
        <w:rPr>
          <w:sz w:val="24"/>
          <w:szCs w:val="24"/>
        </w:rPr>
        <w:t xml:space="preserve"> further</w:t>
      </w:r>
      <w:r w:rsidRPr="00207FD4">
        <w:rPr>
          <w:sz w:val="24"/>
          <w:szCs w:val="24"/>
        </w:rPr>
        <w:t xml:space="preserve"> separated into the customer baseline load (CBL) and incremental portion.  </w:t>
      </w:r>
      <w:r w:rsidR="006A2077" w:rsidRPr="00207FD4">
        <w:rPr>
          <w:sz w:val="24"/>
          <w:szCs w:val="24"/>
        </w:rPr>
        <w:t xml:space="preserve">CBL </w:t>
      </w:r>
      <w:r w:rsidR="003F2E9D" w:rsidRPr="00207FD4">
        <w:rPr>
          <w:sz w:val="24"/>
          <w:szCs w:val="24"/>
        </w:rPr>
        <w:t xml:space="preserve">revenues were then estimated using regression and trending techniques. </w:t>
      </w:r>
      <w:r w:rsidRPr="00207FD4">
        <w:rPr>
          <w:sz w:val="24"/>
          <w:szCs w:val="24"/>
        </w:rPr>
        <w:t xml:space="preserve">The projected incremental RTP revenue was calculated by multiplying forecasted RTP prices (adjusted for fuel) by the incremental </w:t>
      </w:r>
      <w:r w:rsidR="001B72EC" w:rsidRPr="00207FD4">
        <w:rPr>
          <w:sz w:val="24"/>
          <w:szCs w:val="24"/>
        </w:rPr>
        <w:t>projection</w:t>
      </w:r>
      <w:r w:rsidRPr="00207FD4">
        <w:rPr>
          <w:sz w:val="24"/>
          <w:szCs w:val="24"/>
        </w:rPr>
        <w:t xml:space="preserve"> of RTP sales.  Finally, total RTP revenue was calculated by summing the forecasted CBL and the incremental revenue for the commercial and industrial class</w:t>
      </w:r>
      <w:r w:rsidR="008B1B55" w:rsidRPr="00207FD4">
        <w:rPr>
          <w:sz w:val="24"/>
          <w:szCs w:val="24"/>
        </w:rPr>
        <w:t>es</w:t>
      </w:r>
      <w:r w:rsidRPr="00207FD4">
        <w:rPr>
          <w:sz w:val="24"/>
          <w:szCs w:val="24"/>
        </w:rPr>
        <w:t>.</w:t>
      </w:r>
    </w:p>
    <w:p w14:paraId="4C811E97" w14:textId="77777777" w:rsidR="00DE2006" w:rsidRPr="00207FD4" w:rsidRDefault="00DE2006" w:rsidP="00745DC8">
      <w:pPr>
        <w:spacing w:line="276" w:lineRule="auto"/>
        <w:jc w:val="both"/>
        <w:rPr>
          <w:sz w:val="24"/>
          <w:szCs w:val="24"/>
        </w:rPr>
      </w:pPr>
    </w:p>
    <w:p w14:paraId="107F5575" w14:textId="14BBCD0D" w:rsidR="00DE2006" w:rsidRPr="00207FD4" w:rsidRDefault="0097130F" w:rsidP="00745DC8">
      <w:pPr>
        <w:spacing w:line="276" w:lineRule="auto"/>
        <w:jc w:val="both"/>
        <w:rPr>
          <w:sz w:val="24"/>
          <w:szCs w:val="24"/>
        </w:rPr>
      </w:pPr>
      <w:r w:rsidRPr="00207FD4">
        <w:rPr>
          <w:sz w:val="24"/>
          <w:szCs w:val="24"/>
        </w:rPr>
        <w:t>The l</w:t>
      </w:r>
      <w:r w:rsidR="00C248F0" w:rsidRPr="00207FD4">
        <w:rPr>
          <w:sz w:val="24"/>
          <w:szCs w:val="24"/>
        </w:rPr>
        <w:t>ast</w:t>
      </w:r>
      <w:r w:rsidR="007B3A98" w:rsidRPr="00207FD4">
        <w:rPr>
          <w:sz w:val="24"/>
          <w:szCs w:val="24"/>
        </w:rPr>
        <w:t xml:space="preserve"> rate </w:t>
      </w:r>
      <w:r w:rsidR="00064837" w:rsidRPr="00207FD4">
        <w:rPr>
          <w:sz w:val="24"/>
          <w:szCs w:val="24"/>
        </w:rPr>
        <w:t xml:space="preserve">increase went into effect for </w:t>
      </w:r>
      <w:r w:rsidR="00BB2E6A" w:rsidRPr="00207FD4">
        <w:rPr>
          <w:sz w:val="24"/>
          <w:szCs w:val="24"/>
        </w:rPr>
        <w:t xml:space="preserve">traditional </w:t>
      </w:r>
      <w:r w:rsidR="00064837" w:rsidRPr="00207FD4">
        <w:rPr>
          <w:sz w:val="24"/>
          <w:szCs w:val="24"/>
        </w:rPr>
        <w:t xml:space="preserve">base </w:t>
      </w:r>
      <w:r w:rsidR="00BB2E6A" w:rsidRPr="00207FD4">
        <w:rPr>
          <w:sz w:val="24"/>
          <w:szCs w:val="24"/>
        </w:rPr>
        <w:t xml:space="preserve">tariffs </w:t>
      </w:r>
      <w:r w:rsidR="00E059D1" w:rsidRPr="00207FD4">
        <w:rPr>
          <w:sz w:val="24"/>
          <w:szCs w:val="24"/>
        </w:rPr>
        <w:t>o</w:t>
      </w:r>
      <w:r w:rsidR="00AE14BA" w:rsidRPr="00207FD4">
        <w:rPr>
          <w:sz w:val="24"/>
          <w:szCs w:val="24"/>
        </w:rPr>
        <w:t xml:space="preserve">n </w:t>
      </w:r>
      <w:r w:rsidR="00E059D1" w:rsidRPr="00207FD4">
        <w:rPr>
          <w:sz w:val="24"/>
          <w:szCs w:val="24"/>
        </w:rPr>
        <w:t xml:space="preserve">January 1, </w:t>
      </w:r>
      <w:r w:rsidR="00AE14BA" w:rsidRPr="00207FD4">
        <w:rPr>
          <w:sz w:val="24"/>
          <w:szCs w:val="24"/>
        </w:rPr>
        <w:t>2016</w:t>
      </w:r>
      <w:r w:rsidR="004967FD" w:rsidRPr="00207FD4">
        <w:rPr>
          <w:sz w:val="24"/>
          <w:szCs w:val="24"/>
        </w:rPr>
        <w:t xml:space="preserve"> based on the approved 2016 compliance filing</w:t>
      </w:r>
      <w:r w:rsidR="00AE14BA" w:rsidRPr="00207FD4">
        <w:rPr>
          <w:sz w:val="24"/>
          <w:szCs w:val="24"/>
        </w:rPr>
        <w:t xml:space="preserve">. The rider revenues reflect increases that went into effect </w:t>
      </w:r>
      <w:r w:rsidR="00BB2E6A" w:rsidRPr="00207FD4">
        <w:rPr>
          <w:sz w:val="24"/>
          <w:szCs w:val="24"/>
        </w:rPr>
        <w:t>on January 1,</w:t>
      </w:r>
      <w:r w:rsidR="00AE14BA" w:rsidRPr="00207FD4">
        <w:rPr>
          <w:sz w:val="24"/>
          <w:szCs w:val="24"/>
        </w:rPr>
        <w:t xml:space="preserve"> 2016 for D</w:t>
      </w:r>
      <w:r w:rsidR="00BB2E6A" w:rsidRPr="00207FD4">
        <w:rPr>
          <w:sz w:val="24"/>
          <w:szCs w:val="24"/>
        </w:rPr>
        <w:t xml:space="preserve">emand </w:t>
      </w:r>
      <w:r w:rsidR="00AE14BA" w:rsidRPr="00207FD4">
        <w:rPr>
          <w:sz w:val="24"/>
          <w:szCs w:val="24"/>
        </w:rPr>
        <w:t>S</w:t>
      </w:r>
      <w:r w:rsidR="00BB2E6A" w:rsidRPr="00207FD4">
        <w:rPr>
          <w:sz w:val="24"/>
          <w:szCs w:val="24"/>
        </w:rPr>
        <w:t xml:space="preserve">ide </w:t>
      </w:r>
      <w:r w:rsidR="00AE14BA" w:rsidRPr="00207FD4">
        <w:rPr>
          <w:sz w:val="24"/>
          <w:szCs w:val="24"/>
        </w:rPr>
        <w:t>M</w:t>
      </w:r>
      <w:r w:rsidR="00BB2E6A" w:rsidRPr="00207FD4">
        <w:rPr>
          <w:sz w:val="24"/>
          <w:szCs w:val="24"/>
        </w:rPr>
        <w:t>anagement</w:t>
      </w:r>
      <w:r w:rsidR="00941EC4" w:rsidRPr="00207FD4">
        <w:rPr>
          <w:sz w:val="24"/>
          <w:szCs w:val="24"/>
        </w:rPr>
        <w:t xml:space="preserve"> (DSM)</w:t>
      </w:r>
      <w:r w:rsidR="00AE14BA" w:rsidRPr="00207FD4">
        <w:rPr>
          <w:sz w:val="24"/>
          <w:szCs w:val="24"/>
        </w:rPr>
        <w:t>, E</w:t>
      </w:r>
      <w:r w:rsidR="00BB2E6A" w:rsidRPr="00207FD4">
        <w:rPr>
          <w:sz w:val="24"/>
          <w:szCs w:val="24"/>
        </w:rPr>
        <w:t xml:space="preserve">nvironmental </w:t>
      </w:r>
      <w:r w:rsidR="00AE14BA" w:rsidRPr="00207FD4">
        <w:rPr>
          <w:sz w:val="24"/>
          <w:szCs w:val="24"/>
        </w:rPr>
        <w:t>C</w:t>
      </w:r>
      <w:r w:rsidR="00BB2E6A" w:rsidRPr="00207FD4">
        <w:rPr>
          <w:sz w:val="24"/>
          <w:szCs w:val="24"/>
        </w:rPr>
        <w:t>o</w:t>
      </w:r>
      <w:r w:rsidRPr="00207FD4">
        <w:rPr>
          <w:sz w:val="24"/>
          <w:szCs w:val="24"/>
        </w:rPr>
        <w:t>mpliance</w:t>
      </w:r>
      <w:r w:rsidR="00BB2E6A" w:rsidRPr="00207FD4">
        <w:rPr>
          <w:sz w:val="24"/>
          <w:szCs w:val="24"/>
        </w:rPr>
        <w:t xml:space="preserve"> </w:t>
      </w:r>
      <w:r w:rsidR="00AE14BA" w:rsidRPr="00207FD4">
        <w:rPr>
          <w:sz w:val="24"/>
          <w:szCs w:val="24"/>
        </w:rPr>
        <w:t>C</w:t>
      </w:r>
      <w:r w:rsidR="00BB2E6A" w:rsidRPr="00207FD4">
        <w:rPr>
          <w:sz w:val="24"/>
          <w:szCs w:val="24"/>
        </w:rPr>
        <w:t xml:space="preserve">ost </w:t>
      </w:r>
      <w:r w:rsidR="00AE14BA" w:rsidRPr="00207FD4">
        <w:rPr>
          <w:sz w:val="24"/>
          <w:szCs w:val="24"/>
        </w:rPr>
        <w:t>R</w:t>
      </w:r>
      <w:r w:rsidR="00BB2E6A" w:rsidRPr="00207FD4">
        <w:rPr>
          <w:sz w:val="24"/>
          <w:szCs w:val="24"/>
        </w:rPr>
        <w:t>ecovery</w:t>
      </w:r>
      <w:r w:rsidR="00941EC4" w:rsidRPr="00207FD4">
        <w:rPr>
          <w:sz w:val="24"/>
          <w:szCs w:val="24"/>
        </w:rPr>
        <w:t xml:space="preserve"> (ECCR)</w:t>
      </w:r>
      <w:r w:rsidR="00AE14BA" w:rsidRPr="00207FD4">
        <w:rPr>
          <w:sz w:val="24"/>
          <w:szCs w:val="24"/>
        </w:rPr>
        <w:t>, and M</w:t>
      </w:r>
      <w:r w:rsidR="00BB2E6A" w:rsidRPr="00207FD4">
        <w:rPr>
          <w:sz w:val="24"/>
          <w:szCs w:val="24"/>
        </w:rPr>
        <w:t xml:space="preserve">unicipal </w:t>
      </w:r>
      <w:r w:rsidR="00AE14BA" w:rsidRPr="00207FD4">
        <w:rPr>
          <w:sz w:val="24"/>
          <w:szCs w:val="24"/>
        </w:rPr>
        <w:t>F</w:t>
      </w:r>
      <w:r w:rsidR="00BB2E6A" w:rsidRPr="00207FD4">
        <w:rPr>
          <w:sz w:val="24"/>
          <w:szCs w:val="24"/>
        </w:rPr>
        <w:t xml:space="preserve">ranchise </w:t>
      </w:r>
      <w:r w:rsidR="00AE14BA" w:rsidRPr="00207FD4">
        <w:rPr>
          <w:sz w:val="24"/>
          <w:szCs w:val="24"/>
        </w:rPr>
        <w:t>F</w:t>
      </w:r>
      <w:r w:rsidR="00BB2E6A" w:rsidRPr="00207FD4">
        <w:rPr>
          <w:sz w:val="24"/>
          <w:szCs w:val="24"/>
        </w:rPr>
        <w:t>ee</w:t>
      </w:r>
      <w:r w:rsidR="00941EC4" w:rsidRPr="00207FD4">
        <w:rPr>
          <w:sz w:val="24"/>
          <w:szCs w:val="24"/>
        </w:rPr>
        <w:t>s (MFF)</w:t>
      </w:r>
      <w:r w:rsidR="00BB2E6A" w:rsidRPr="00207FD4">
        <w:rPr>
          <w:sz w:val="24"/>
          <w:szCs w:val="24"/>
        </w:rPr>
        <w:t xml:space="preserve"> tariffs</w:t>
      </w:r>
      <w:r w:rsidR="00941EC4" w:rsidRPr="00207FD4">
        <w:rPr>
          <w:sz w:val="24"/>
          <w:szCs w:val="24"/>
        </w:rPr>
        <w:t xml:space="preserve"> and</w:t>
      </w:r>
      <w:r w:rsidR="00AE14BA" w:rsidRPr="00207FD4">
        <w:rPr>
          <w:sz w:val="24"/>
          <w:szCs w:val="24"/>
        </w:rPr>
        <w:t xml:space="preserve"> </w:t>
      </w:r>
      <w:r w:rsidR="00BB2E6A" w:rsidRPr="00207FD4">
        <w:rPr>
          <w:sz w:val="24"/>
          <w:szCs w:val="24"/>
        </w:rPr>
        <w:t xml:space="preserve">on January 1, </w:t>
      </w:r>
      <w:r w:rsidR="00AE14BA" w:rsidRPr="00207FD4">
        <w:rPr>
          <w:sz w:val="24"/>
          <w:szCs w:val="24"/>
        </w:rPr>
        <w:t xml:space="preserve">2019 for </w:t>
      </w:r>
      <w:r w:rsidR="00B4097F" w:rsidRPr="00207FD4">
        <w:rPr>
          <w:sz w:val="24"/>
          <w:szCs w:val="24"/>
        </w:rPr>
        <w:t>N</w:t>
      </w:r>
      <w:r w:rsidR="00BB2E6A" w:rsidRPr="00207FD4">
        <w:rPr>
          <w:sz w:val="24"/>
          <w:szCs w:val="24"/>
        </w:rPr>
        <w:t xml:space="preserve">uclear </w:t>
      </w:r>
      <w:r w:rsidR="00B4097F" w:rsidRPr="00207FD4">
        <w:rPr>
          <w:sz w:val="24"/>
          <w:szCs w:val="24"/>
        </w:rPr>
        <w:t>C</w:t>
      </w:r>
      <w:r w:rsidR="00BB2E6A" w:rsidRPr="00207FD4">
        <w:rPr>
          <w:sz w:val="24"/>
          <w:szCs w:val="24"/>
        </w:rPr>
        <w:t xml:space="preserve">onstruction </w:t>
      </w:r>
      <w:r w:rsidR="00B4097F" w:rsidRPr="00207FD4">
        <w:rPr>
          <w:sz w:val="24"/>
          <w:szCs w:val="24"/>
        </w:rPr>
        <w:t>C</w:t>
      </w:r>
      <w:r w:rsidR="00BB2E6A" w:rsidRPr="00207FD4">
        <w:rPr>
          <w:sz w:val="24"/>
          <w:szCs w:val="24"/>
        </w:rPr>
        <w:t xml:space="preserve">ost </w:t>
      </w:r>
      <w:r w:rsidR="00B4097F" w:rsidRPr="00207FD4">
        <w:rPr>
          <w:sz w:val="24"/>
          <w:szCs w:val="24"/>
        </w:rPr>
        <w:t>R</w:t>
      </w:r>
      <w:r w:rsidR="00BB2E6A" w:rsidRPr="00207FD4">
        <w:rPr>
          <w:sz w:val="24"/>
          <w:szCs w:val="24"/>
        </w:rPr>
        <w:t xml:space="preserve">ecovery </w:t>
      </w:r>
      <w:r w:rsidR="00941EC4" w:rsidRPr="00207FD4">
        <w:rPr>
          <w:sz w:val="24"/>
          <w:szCs w:val="24"/>
        </w:rPr>
        <w:t xml:space="preserve">(NCCR) </w:t>
      </w:r>
      <w:r w:rsidR="00BB2E6A" w:rsidRPr="00207FD4">
        <w:rPr>
          <w:sz w:val="24"/>
          <w:szCs w:val="24"/>
        </w:rPr>
        <w:t>tariff</w:t>
      </w:r>
      <w:r w:rsidR="00941EC4" w:rsidRPr="00207FD4">
        <w:rPr>
          <w:sz w:val="24"/>
          <w:szCs w:val="24"/>
        </w:rPr>
        <w:t>.</w:t>
      </w:r>
      <w:r w:rsidR="00AE14BA" w:rsidRPr="00207FD4">
        <w:rPr>
          <w:sz w:val="24"/>
          <w:szCs w:val="24"/>
        </w:rPr>
        <w:t xml:space="preserve"> Fuel</w:t>
      </w:r>
      <w:r w:rsidR="00941EC4" w:rsidRPr="00207FD4">
        <w:rPr>
          <w:sz w:val="24"/>
          <w:szCs w:val="24"/>
        </w:rPr>
        <w:t xml:space="preserve"> Cost Recovery (FCR) tariff</w:t>
      </w:r>
      <w:r w:rsidRPr="00207FD4">
        <w:rPr>
          <w:sz w:val="24"/>
          <w:szCs w:val="24"/>
        </w:rPr>
        <w:t xml:space="preserve"> revenue</w:t>
      </w:r>
      <w:r w:rsidR="00AE14BA" w:rsidRPr="00207FD4">
        <w:rPr>
          <w:sz w:val="24"/>
          <w:szCs w:val="24"/>
        </w:rPr>
        <w:t xml:space="preserve"> was estimated for MFF based on the </w:t>
      </w:r>
      <w:r w:rsidR="00941EC4" w:rsidRPr="00207FD4">
        <w:rPr>
          <w:sz w:val="24"/>
          <w:szCs w:val="24"/>
        </w:rPr>
        <w:t xml:space="preserve">current </w:t>
      </w:r>
      <w:r w:rsidR="00AE14BA" w:rsidRPr="00207FD4">
        <w:rPr>
          <w:sz w:val="24"/>
          <w:szCs w:val="24"/>
        </w:rPr>
        <w:t xml:space="preserve">FCR-24 rate. </w:t>
      </w:r>
      <w:r w:rsidR="00224C7A" w:rsidRPr="00207FD4">
        <w:rPr>
          <w:sz w:val="24"/>
          <w:szCs w:val="24"/>
        </w:rPr>
        <w:lastRenderedPageBreak/>
        <w:t xml:space="preserve">Rider revenues were added to </w:t>
      </w:r>
      <w:r w:rsidR="00941EC4" w:rsidRPr="00207FD4">
        <w:rPr>
          <w:sz w:val="24"/>
          <w:szCs w:val="24"/>
        </w:rPr>
        <w:t xml:space="preserve">traditional </w:t>
      </w:r>
      <w:r w:rsidR="00224C7A" w:rsidRPr="00207FD4">
        <w:rPr>
          <w:sz w:val="24"/>
          <w:szCs w:val="24"/>
        </w:rPr>
        <w:t xml:space="preserve">base tariff revenues to arrive at the </w:t>
      </w:r>
      <w:r w:rsidR="00941EC4" w:rsidRPr="00207FD4">
        <w:rPr>
          <w:sz w:val="24"/>
          <w:szCs w:val="24"/>
        </w:rPr>
        <w:t xml:space="preserve">total </w:t>
      </w:r>
      <w:r w:rsidR="00224C7A" w:rsidRPr="00207FD4">
        <w:rPr>
          <w:sz w:val="24"/>
          <w:szCs w:val="24"/>
        </w:rPr>
        <w:t xml:space="preserve">base </w:t>
      </w:r>
      <w:r w:rsidR="00941EC4" w:rsidRPr="00207FD4">
        <w:rPr>
          <w:sz w:val="24"/>
          <w:szCs w:val="24"/>
        </w:rPr>
        <w:t xml:space="preserve">rate </w:t>
      </w:r>
      <w:r w:rsidR="00224C7A" w:rsidRPr="00207FD4">
        <w:rPr>
          <w:sz w:val="24"/>
          <w:szCs w:val="24"/>
        </w:rPr>
        <w:t xml:space="preserve">revenues. </w:t>
      </w:r>
      <w:r w:rsidR="00AE14BA" w:rsidRPr="00207FD4">
        <w:rPr>
          <w:sz w:val="24"/>
          <w:szCs w:val="24"/>
        </w:rPr>
        <w:t xml:space="preserve"> </w:t>
      </w:r>
    </w:p>
    <w:p w14:paraId="7FFE31BB" w14:textId="77777777" w:rsidR="00627BAA" w:rsidRPr="00207FD4" w:rsidRDefault="00627BAA" w:rsidP="00745DC8">
      <w:pPr>
        <w:spacing w:line="276" w:lineRule="auto"/>
        <w:jc w:val="both"/>
        <w:rPr>
          <w:sz w:val="24"/>
          <w:szCs w:val="24"/>
        </w:rPr>
      </w:pPr>
    </w:p>
    <w:p w14:paraId="55C6D708" w14:textId="37238855" w:rsidR="005713FB" w:rsidRPr="00207FD4" w:rsidRDefault="005713FB" w:rsidP="00745DC8">
      <w:pPr>
        <w:spacing w:line="276" w:lineRule="auto"/>
        <w:jc w:val="both"/>
        <w:rPr>
          <w:sz w:val="24"/>
          <w:szCs w:val="24"/>
        </w:rPr>
      </w:pPr>
      <w:r w:rsidRPr="00207FD4">
        <w:rPr>
          <w:sz w:val="24"/>
          <w:szCs w:val="24"/>
        </w:rPr>
        <w:t xml:space="preserve">In summary, residential revenues were estimated solely with average rate curves.  Commercial and industrial revenue was calculated by summing the revenue from non-RTP customers (calculated using average rate curves) and the revenue from RTP (calculated using CBL average rates and projected RTP prices).  Governmental lighting </w:t>
      </w:r>
      <w:r w:rsidR="00CC5FDA" w:rsidRPr="00207FD4">
        <w:rPr>
          <w:sz w:val="24"/>
          <w:szCs w:val="24"/>
        </w:rPr>
        <w:t xml:space="preserve">and MARTA </w:t>
      </w:r>
      <w:r w:rsidRPr="00207FD4">
        <w:rPr>
          <w:sz w:val="24"/>
          <w:szCs w:val="24"/>
        </w:rPr>
        <w:t>revenue</w:t>
      </w:r>
      <w:r w:rsidR="00CC5FDA" w:rsidRPr="00207FD4">
        <w:rPr>
          <w:sz w:val="24"/>
          <w:szCs w:val="24"/>
        </w:rPr>
        <w:t>s</w:t>
      </w:r>
      <w:r w:rsidRPr="00207FD4">
        <w:rPr>
          <w:sz w:val="24"/>
          <w:szCs w:val="24"/>
        </w:rPr>
        <w:t xml:space="preserve"> w</w:t>
      </w:r>
      <w:r w:rsidR="00CC5FDA" w:rsidRPr="00207FD4">
        <w:rPr>
          <w:sz w:val="24"/>
          <w:szCs w:val="24"/>
        </w:rPr>
        <w:t>ere</w:t>
      </w:r>
      <w:r w:rsidRPr="00207FD4">
        <w:rPr>
          <w:sz w:val="24"/>
          <w:szCs w:val="24"/>
        </w:rPr>
        <w:t xml:space="preserve"> forecasted using a regression </w:t>
      </w:r>
      <w:r w:rsidR="000C7F76" w:rsidRPr="00207FD4">
        <w:rPr>
          <w:sz w:val="24"/>
          <w:szCs w:val="24"/>
        </w:rPr>
        <w:t xml:space="preserve">model </w:t>
      </w:r>
      <w:r w:rsidRPr="00207FD4">
        <w:rPr>
          <w:sz w:val="24"/>
          <w:szCs w:val="24"/>
        </w:rPr>
        <w:t xml:space="preserve">based on historical revenue in the class.   </w:t>
      </w:r>
      <w:r w:rsidR="008B1B55" w:rsidRPr="00207FD4">
        <w:rPr>
          <w:sz w:val="24"/>
          <w:szCs w:val="24"/>
        </w:rPr>
        <w:t>Projected total retail revenue wa</w:t>
      </w:r>
      <w:r w:rsidRPr="00207FD4">
        <w:rPr>
          <w:sz w:val="24"/>
          <w:szCs w:val="24"/>
        </w:rPr>
        <w:t xml:space="preserve">s calculated by summing the revenue from each customer class.  </w:t>
      </w:r>
      <w:proofErr w:type="spellStart"/>
      <w:r w:rsidR="00CC5FDA" w:rsidRPr="00207FD4">
        <w:rPr>
          <w:sz w:val="24"/>
          <w:szCs w:val="24"/>
        </w:rPr>
        <w:t>A</w:t>
      </w:r>
      <w:r w:rsidR="00B66A54" w:rsidRPr="00207FD4">
        <w:rPr>
          <w:sz w:val="24"/>
          <w:szCs w:val="24"/>
        </w:rPr>
        <w:t>ppendix</w:t>
      </w:r>
      <w:r w:rsidR="00873584" w:rsidRPr="00207FD4">
        <w:rPr>
          <w:sz w:val="24"/>
          <w:szCs w:val="24"/>
        </w:rPr>
        <w:t>_Exhibit</w:t>
      </w:r>
      <w:proofErr w:type="spellEnd"/>
      <w:r w:rsidR="004711ED">
        <w:rPr>
          <w:sz w:val="24"/>
          <w:szCs w:val="24"/>
        </w:rPr>
        <w:t xml:space="preserve"> </w:t>
      </w:r>
      <w:r w:rsidR="00873584" w:rsidRPr="00207FD4">
        <w:rPr>
          <w:sz w:val="24"/>
          <w:szCs w:val="24"/>
        </w:rPr>
        <w:t>1</w:t>
      </w:r>
      <w:r w:rsidR="004711ED">
        <w:rPr>
          <w:sz w:val="24"/>
          <w:szCs w:val="24"/>
        </w:rPr>
        <w:t>.</w:t>
      </w:r>
      <w:r w:rsidR="00873584" w:rsidRPr="00207FD4">
        <w:rPr>
          <w:sz w:val="24"/>
          <w:szCs w:val="24"/>
        </w:rPr>
        <w:t>2</w:t>
      </w:r>
      <w:r w:rsidR="004711ED">
        <w:rPr>
          <w:sz w:val="24"/>
          <w:szCs w:val="24"/>
        </w:rPr>
        <w:t xml:space="preserve">, </w:t>
      </w:r>
      <w:r w:rsidR="00873584" w:rsidRPr="00207FD4">
        <w:rPr>
          <w:sz w:val="24"/>
          <w:szCs w:val="24"/>
        </w:rPr>
        <w:t>Workpaper</w:t>
      </w:r>
      <w:r w:rsidRPr="00207FD4">
        <w:rPr>
          <w:sz w:val="24"/>
          <w:szCs w:val="24"/>
        </w:rPr>
        <w:t xml:space="preserve"> </w:t>
      </w:r>
      <w:r w:rsidR="004711ED">
        <w:rPr>
          <w:sz w:val="24"/>
          <w:szCs w:val="24"/>
        </w:rPr>
        <w:t xml:space="preserve">1 </w:t>
      </w:r>
      <w:r w:rsidR="00873584" w:rsidRPr="00207FD4">
        <w:rPr>
          <w:sz w:val="24"/>
          <w:szCs w:val="24"/>
        </w:rPr>
        <w:t xml:space="preserve">contains </w:t>
      </w:r>
      <w:r w:rsidRPr="00207FD4">
        <w:rPr>
          <w:sz w:val="24"/>
          <w:szCs w:val="24"/>
        </w:rPr>
        <w:t xml:space="preserve">a summary of </w:t>
      </w:r>
      <w:r w:rsidR="00627BAA" w:rsidRPr="00207FD4">
        <w:rPr>
          <w:sz w:val="24"/>
          <w:szCs w:val="24"/>
        </w:rPr>
        <w:t xml:space="preserve">energy and </w:t>
      </w:r>
      <w:r w:rsidRPr="00207FD4">
        <w:rPr>
          <w:sz w:val="24"/>
          <w:szCs w:val="24"/>
        </w:rPr>
        <w:t xml:space="preserve">base revenue for each </w:t>
      </w:r>
      <w:r w:rsidR="00941EC4" w:rsidRPr="00207FD4">
        <w:rPr>
          <w:sz w:val="24"/>
          <w:szCs w:val="24"/>
        </w:rPr>
        <w:t xml:space="preserve">customer </w:t>
      </w:r>
      <w:r w:rsidRPr="00207FD4">
        <w:rPr>
          <w:sz w:val="24"/>
          <w:szCs w:val="24"/>
        </w:rPr>
        <w:t>class by month for the test period.</w:t>
      </w:r>
    </w:p>
    <w:sectPr w:rsidR="005713FB" w:rsidRPr="00207FD4" w:rsidSect="00E403D2">
      <w:headerReference w:type="default" r:id="rId6"/>
      <w:footerReference w:type="even" r:id="rId7"/>
      <w:foot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C5ED2" w14:textId="77777777" w:rsidR="00F90E82" w:rsidRDefault="00F90E82">
      <w:r>
        <w:separator/>
      </w:r>
    </w:p>
  </w:endnote>
  <w:endnote w:type="continuationSeparator" w:id="0">
    <w:p w14:paraId="39525259" w14:textId="77777777" w:rsidR="00F90E82" w:rsidRDefault="00F9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580E8" w14:textId="77777777" w:rsidR="005713FB" w:rsidRDefault="003601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13F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CF3C04" w14:textId="77777777" w:rsidR="005713FB" w:rsidRDefault="005713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1EAFB" w14:textId="77777777" w:rsidR="005713FB" w:rsidRDefault="005713F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267E1" w14:textId="77777777" w:rsidR="00F90E82" w:rsidRDefault="00F90E82">
      <w:r>
        <w:separator/>
      </w:r>
    </w:p>
  </w:footnote>
  <w:footnote w:type="continuationSeparator" w:id="0">
    <w:p w14:paraId="56C6C465" w14:textId="77777777" w:rsidR="00F90E82" w:rsidRDefault="00F90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A38D1" w14:textId="7B82A5E7" w:rsidR="00B51D53" w:rsidRDefault="00B51D53" w:rsidP="00B51D53">
    <w:pPr>
      <w:pStyle w:val="Header"/>
      <w:jc w:val="right"/>
    </w:pPr>
    <w:proofErr w:type="spellStart"/>
    <w:r>
      <w:t>Appendix_Exhibit</w:t>
    </w:r>
    <w:proofErr w:type="spellEnd"/>
    <w:r>
      <w:t xml:space="preserve"> 1</w:t>
    </w:r>
    <w:r w:rsidR="004711ED">
      <w:t>.</w:t>
    </w:r>
    <w:r>
      <w:t>2</w:t>
    </w:r>
  </w:p>
  <w:p w14:paraId="24B29E97" w14:textId="77777777" w:rsidR="00B51D53" w:rsidRPr="001B6B05" w:rsidRDefault="00B51D53" w:rsidP="00B51D53">
    <w:pPr>
      <w:pStyle w:val="Header"/>
      <w:jc w:val="right"/>
    </w:pPr>
    <w:r w:rsidRPr="001B6B05">
      <w:t xml:space="preserve">Page </w:t>
    </w:r>
    <w:r w:rsidR="008A2D5E">
      <w:rPr>
        <w:noProof/>
      </w:rPr>
      <w:fldChar w:fldCharType="begin"/>
    </w:r>
    <w:r w:rsidR="008A2D5E">
      <w:rPr>
        <w:noProof/>
      </w:rPr>
      <w:instrText xml:space="preserve"> PAGE </w:instrText>
    </w:r>
    <w:r w:rsidR="008A2D5E">
      <w:rPr>
        <w:noProof/>
      </w:rPr>
      <w:fldChar w:fldCharType="separate"/>
    </w:r>
    <w:r w:rsidR="008026DF">
      <w:rPr>
        <w:noProof/>
      </w:rPr>
      <w:t>2</w:t>
    </w:r>
    <w:r w:rsidR="008A2D5E">
      <w:rPr>
        <w:noProof/>
      </w:rPr>
      <w:fldChar w:fldCharType="end"/>
    </w:r>
    <w:r w:rsidRPr="001B6B05">
      <w:t xml:space="preserve"> of </w:t>
    </w:r>
    <w:r w:rsidR="008A2D5E">
      <w:rPr>
        <w:noProof/>
      </w:rPr>
      <w:fldChar w:fldCharType="begin"/>
    </w:r>
    <w:r w:rsidR="008A2D5E">
      <w:rPr>
        <w:noProof/>
      </w:rPr>
      <w:instrText xml:space="preserve"> NUMPAGES  </w:instrText>
    </w:r>
    <w:r w:rsidR="008A2D5E">
      <w:rPr>
        <w:noProof/>
      </w:rPr>
      <w:fldChar w:fldCharType="separate"/>
    </w:r>
    <w:r w:rsidR="008026DF">
      <w:rPr>
        <w:noProof/>
      </w:rPr>
      <w:t>2</w:t>
    </w:r>
    <w:r w:rsidR="008A2D5E">
      <w:rPr>
        <w:noProof/>
      </w:rPr>
      <w:fldChar w:fldCharType="end"/>
    </w:r>
  </w:p>
  <w:p w14:paraId="737AD9A6" w14:textId="77777777" w:rsidR="00B51D53" w:rsidRDefault="00B51D53" w:rsidP="00B51D5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A3393" w14:textId="07CBD997" w:rsidR="00622E26" w:rsidRDefault="00622E26" w:rsidP="00622E26">
    <w:pPr>
      <w:pStyle w:val="Header"/>
      <w:jc w:val="right"/>
    </w:pPr>
    <w:proofErr w:type="spellStart"/>
    <w:r>
      <w:t>Appendix_Exhibit</w:t>
    </w:r>
    <w:proofErr w:type="spellEnd"/>
    <w:r>
      <w:t xml:space="preserve"> 1</w:t>
    </w:r>
    <w:r w:rsidR="004711ED">
      <w:t>.</w:t>
    </w:r>
    <w:r>
      <w:t>2</w:t>
    </w:r>
  </w:p>
  <w:p w14:paraId="31997E6C" w14:textId="77777777" w:rsidR="00622E26" w:rsidRPr="001B6B05" w:rsidRDefault="00622E26" w:rsidP="00622E26">
    <w:pPr>
      <w:pStyle w:val="Header"/>
      <w:jc w:val="right"/>
    </w:pPr>
    <w:r w:rsidRPr="001B6B05">
      <w:t xml:space="preserve">Page </w:t>
    </w:r>
    <w:r w:rsidR="003601DA" w:rsidRPr="001B6B05">
      <w:rPr>
        <w:sz w:val="24"/>
        <w:szCs w:val="24"/>
      </w:rPr>
      <w:fldChar w:fldCharType="begin"/>
    </w:r>
    <w:r w:rsidRPr="001B6B05">
      <w:instrText xml:space="preserve"> PAGE </w:instrText>
    </w:r>
    <w:r w:rsidR="003601DA" w:rsidRPr="001B6B05">
      <w:rPr>
        <w:sz w:val="24"/>
        <w:szCs w:val="24"/>
      </w:rPr>
      <w:fldChar w:fldCharType="separate"/>
    </w:r>
    <w:r w:rsidR="008026DF">
      <w:rPr>
        <w:noProof/>
      </w:rPr>
      <w:t>1</w:t>
    </w:r>
    <w:r w:rsidR="003601DA" w:rsidRPr="001B6B05">
      <w:rPr>
        <w:sz w:val="24"/>
        <w:szCs w:val="24"/>
      </w:rPr>
      <w:fldChar w:fldCharType="end"/>
    </w:r>
    <w:r w:rsidRPr="001B6B05">
      <w:t xml:space="preserve"> of </w:t>
    </w:r>
    <w:r w:rsidR="003601DA" w:rsidRPr="001B6B05">
      <w:rPr>
        <w:sz w:val="24"/>
        <w:szCs w:val="24"/>
      </w:rPr>
      <w:fldChar w:fldCharType="begin"/>
    </w:r>
    <w:r w:rsidRPr="001B6B05">
      <w:instrText xml:space="preserve"> NUMPAGES  </w:instrText>
    </w:r>
    <w:r w:rsidR="003601DA" w:rsidRPr="001B6B05">
      <w:rPr>
        <w:sz w:val="24"/>
        <w:szCs w:val="24"/>
      </w:rPr>
      <w:fldChar w:fldCharType="separate"/>
    </w:r>
    <w:r w:rsidR="008026DF">
      <w:rPr>
        <w:noProof/>
      </w:rPr>
      <w:t>2</w:t>
    </w:r>
    <w:r w:rsidR="003601DA" w:rsidRPr="001B6B05">
      <w:rPr>
        <w:sz w:val="24"/>
        <w:szCs w:val="24"/>
      </w:rPr>
      <w:fldChar w:fldCharType="end"/>
    </w:r>
  </w:p>
  <w:p w14:paraId="6893BDFD" w14:textId="77777777" w:rsidR="00622E26" w:rsidRDefault="00622E26">
    <w:pPr>
      <w:pStyle w:val="Header"/>
      <w:jc w:val="right"/>
    </w:pPr>
  </w:p>
  <w:p w14:paraId="06EC7B10" w14:textId="77777777" w:rsidR="00622E26" w:rsidRDefault="00622E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2E"/>
    <w:rsid w:val="00064837"/>
    <w:rsid w:val="000768EF"/>
    <w:rsid w:val="000A388F"/>
    <w:rsid w:val="000C336E"/>
    <w:rsid w:val="000C7F76"/>
    <w:rsid w:val="000D316D"/>
    <w:rsid w:val="00106512"/>
    <w:rsid w:val="00120291"/>
    <w:rsid w:val="00133EEC"/>
    <w:rsid w:val="00164D47"/>
    <w:rsid w:val="00164E2E"/>
    <w:rsid w:val="001B6B05"/>
    <w:rsid w:val="001B72EC"/>
    <w:rsid w:val="001F22CF"/>
    <w:rsid w:val="00207FD4"/>
    <w:rsid w:val="00224C7A"/>
    <w:rsid w:val="002319BE"/>
    <w:rsid w:val="002568B3"/>
    <w:rsid w:val="00296ED5"/>
    <w:rsid w:val="003443D1"/>
    <w:rsid w:val="003461BF"/>
    <w:rsid w:val="003601DA"/>
    <w:rsid w:val="00364FB4"/>
    <w:rsid w:val="00375BE8"/>
    <w:rsid w:val="0038783E"/>
    <w:rsid w:val="003C739E"/>
    <w:rsid w:val="003D1F31"/>
    <w:rsid w:val="003F2E9D"/>
    <w:rsid w:val="004711ED"/>
    <w:rsid w:val="004967FD"/>
    <w:rsid w:val="004A5E55"/>
    <w:rsid w:val="00524AC2"/>
    <w:rsid w:val="005252DE"/>
    <w:rsid w:val="005713FB"/>
    <w:rsid w:val="005857BA"/>
    <w:rsid w:val="00593E8B"/>
    <w:rsid w:val="005C4DF4"/>
    <w:rsid w:val="00622E26"/>
    <w:rsid w:val="00627BAA"/>
    <w:rsid w:val="00692245"/>
    <w:rsid w:val="006A2077"/>
    <w:rsid w:val="006B57D3"/>
    <w:rsid w:val="006B58AD"/>
    <w:rsid w:val="00745DC8"/>
    <w:rsid w:val="007772ED"/>
    <w:rsid w:val="00783F74"/>
    <w:rsid w:val="0079621E"/>
    <w:rsid w:val="007B3A98"/>
    <w:rsid w:val="007D4262"/>
    <w:rsid w:val="007D6277"/>
    <w:rsid w:val="007E6402"/>
    <w:rsid w:val="008026DF"/>
    <w:rsid w:val="008150CC"/>
    <w:rsid w:val="00873584"/>
    <w:rsid w:val="008A2D5E"/>
    <w:rsid w:val="008B1B55"/>
    <w:rsid w:val="00941EC4"/>
    <w:rsid w:val="0097129F"/>
    <w:rsid w:val="0097130F"/>
    <w:rsid w:val="009E64AE"/>
    <w:rsid w:val="00A16424"/>
    <w:rsid w:val="00A23243"/>
    <w:rsid w:val="00A67919"/>
    <w:rsid w:val="00AA0C4A"/>
    <w:rsid w:val="00AE14BA"/>
    <w:rsid w:val="00B4097F"/>
    <w:rsid w:val="00B45B57"/>
    <w:rsid w:val="00B51D53"/>
    <w:rsid w:val="00B66A54"/>
    <w:rsid w:val="00B7302E"/>
    <w:rsid w:val="00B84880"/>
    <w:rsid w:val="00BB2E6A"/>
    <w:rsid w:val="00BD70A9"/>
    <w:rsid w:val="00BF3720"/>
    <w:rsid w:val="00C248F0"/>
    <w:rsid w:val="00CA4D71"/>
    <w:rsid w:val="00CC5FDA"/>
    <w:rsid w:val="00D03557"/>
    <w:rsid w:val="00D44EDA"/>
    <w:rsid w:val="00D9238B"/>
    <w:rsid w:val="00DE2006"/>
    <w:rsid w:val="00E059D1"/>
    <w:rsid w:val="00E06865"/>
    <w:rsid w:val="00E403D2"/>
    <w:rsid w:val="00E85E1A"/>
    <w:rsid w:val="00ED4F77"/>
    <w:rsid w:val="00F838E0"/>
    <w:rsid w:val="00F90E82"/>
    <w:rsid w:val="00FC1718"/>
    <w:rsid w:val="00FF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33C76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40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403D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03D2"/>
  </w:style>
  <w:style w:type="paragraph" w:styleId="Title">
    <w:name w:val="Title"/>
    <w:basedOn w:val="Normal"/>
    <w:qFormat/>
    <w:rsid w:val="00E403D2"/>
    <w:pPr>
      <w:jc w:val="center"/>
    </w:pPr>
    <w:rPr>
      <w:b/>
      <w:sz w:val="28"/>
    </w:rPr>
  </w:style>
  <w:style w:type="paragraph" w:styleId="BalloonText">
    <w:name w:val="Balloon Text"/>
    <w:basedOn w:val="Normal"/>
    <w:semiHidden/>
    <w:rsid w:val="00B730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22E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E26"/>
  </w:style>
  <w:style w:type="character" w:styleId="CommentReference">
    <w:name w:val="annotation reference"/>
    <w:basedOn w:val="DefaultParagraphFont"/>
    <w:semiHidden/>
    <w:unhideWhenUsed/>
    <w:rsid w:val="006A207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A2077"/>
  </w:style>
  <w:style w:type="character" w:customStyle="1" w:styleId="CommentTextChar">
    <w:name w:val="Comment Text Char"/>
    <w:basedOn w:val="DefaultParagraphFont"/>
    <w:link w:val="CommentText"/>
    <w:semiHidden/>
    <w:rsid w:val="006A207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20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2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2019-05-14T16:09:00Z</dcterms:created>
  <dcterms:modified xsi:type="dcterms:W3CDTF">2019-06-25T21:19:00Z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