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042" w:rsidRDefault="00DA4042" w:rsidP="00DA4042">
      <w:pPr>
        <w:spacing w:after="0"/>
      </w:pPr>
      <w:bookmarkStart w:id="0" w:name="_GoBack"/>
      <w:bookmarkEnd w:id="0"/>
    </w:p>
    <w:p w:rsidR="00DA4042" w:rsidRPr="00DA4042" w:rsidRDefault="00DA4042" w:rsidP="00DA4042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A4042">
        <w:rPr>
          <w:rFonts w:ascii="Times New Roman" w:hAnsi="Times New Roman" w:cs="Times New Roman"/>
          <w:b/>
          <w:sz w:val="24"/>
          <w:u w:val="single"/>
        </w:rPr>
        <w:t>HISTORICAL PERIOD ADJUSTMENTS</w:t>
      </w:r>
    </w:p>
    <w:p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A4042">
        <w:rPr>
          <w:rFonts w:ascii="Times New Roman" w:hAnsi="Times New Roman" w:cs="Times New Roman"/>
          <w:sz w:val="24"/>
        </w:rPr>
        <w:t>(COLUMN 4)</w:t>
      </w:r>
    </w:p>
    <w:p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>FOOTNOTE A/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$(380,389)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Sales of Electricity </w:t>
      </w:r>
    </w:p>
    <w:p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</w:p>
    <w:p w:rsidR="00B34A39" w:rsidRDefault="00B34A39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 xml:space="preserve">removes revenue associated with the Nuclear Construction Cost Recovery (NCCR) tariff; removes carrying cost on under-recovered fuel balance, which are collected in fuel rates; reflects revenue sharing associated with economy energy sales and short-term capacity sales; removes Southern Company Generation &amp; Energy Marketing (SCGEM) wholesale transactions involving purchases and subsequent resale; and </w:t>
      </w:r>
      <w:r w:rsidR="00713D99">
        <w:rPr>
          <w:rFonts w:ascii="Times New Roman" w:hAnsi="Times New Roman" w:cs="Times New Roman"/>
          <w:sz w:val="24"/>
        </w:rPr>
        <w:t xml:space="preserve">removes the carrying cost associated with over-recovery of Demand-Side Management (DSM) programs.  </w:t>
      </w:r>
      <w:r w:rsidR="007E528F">
        <w:rPr>
          <w:rFonts w:ascii="Times New Roman" w:hAnsi="Times New Roman" w:cs="Times New Roman"/>
          <w:sz w:val="24"/>
        </w:rPr>
        <w:t xml:space="preserve"> </w:t>
      </w:r>
    </w:p>
    <w:p w:rsidR="00B34A39" w:rsidRDefault="00B34A39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34A39" w:rsidRDefault="00713D99" w:rsidP="002B2EC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13D99">
        <w:rPr>
          <w:noProof/>
        </w:rPr>
        <w:drawing>
          <wp:inline distT="0" distB="0" distL="0" distR="0">
            <wp:extent cx="4244340" cy="1859280"/>
            <wp:effectExtent l="0" t="0" r="381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042" w:rsidRDefault="00DA4042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4780D" w:rsidRDefault="0034780D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150,841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Other Operating Revenues 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E8777A" w:rsidRDefault="00E8777A" w:rsidP="00E8777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 xml:space="preserve">removes revenue associated with unregulated outdoor lighting; </w:t>
      </w:r>
      <w:r w:rsidR="00713D99">
        <w:rPr>
          <w:rFonts w:ascii="Times New Roman" w:hAnsi="Times New Roman" w:cs="Times New Roman"/>
          <w:sz w:val="24"/>
        </w:rPr>
        <w:t xml:space="preserve">reflects the adjustment for </w:t>
      </w:r>
      <w:r w:rsidR="007E528F">
        <w:rPr>
          <w:rFonts w:ascii="Times New Roman" w:hAnsi="Times New Roman" w:cs="Times New Roman"/>
          <w:sz w:val="24"/>
        </w:rPr>
        <w:t>wholesale to retail market differential; reflects an adjustment to allow for an equity return on nuclear fuel associated with Plant Vogtle Units 3 and 4; removes the revenue associated with FERC boundary land; and removes SCGEM wholesale transactions involving purchases and subsequent resale.</w:t>
      </w:r>
    </w:p>
    <w:p w:rsidR="00793F6A" w:rsidRDefault="00793F6A" w:rsidP="00E8777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8777A" w:rsidRDefault="002B2EC9" w:rsidP="00793F6A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B2EC9">
        <w:rPr>
          <w:noProof/>
        </w:rPr>
        <w:drawing>
          <wp:inline distT="0" distB="0" distL="0" distR="0">
            <wp:extent cx="3756660" cy="1638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F6A" w:rsidRDefault="00793F6A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8567FE">
        <w:rPr>
          <w:rFonts w:ascii="Times New Roman" w:hAnsi="Times New Roman" w:cs="Times New Roman"/>
          <w:sz w:val="24"/>
          <w:u w:val="single"/>
        </w:rPr>
        <w:t>C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67,769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>Total Operation and Maintenance Expenses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761348" w:rsidRDefault="008567FE" w:rsidP="00761348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 w:rsidR="00717A86">
        <w:rPr>
          <w:rFonts w:ascii="Times New Roman" w:hAnsi="Times New Roman" w:cs="Times New Roman"/>
          <w:sz w:val="24"/>
        </w:rPr>
        <w:t>removes expenses related to stock</w:t>
      </w:r>
      <w:r w:rsidR="004A2DB0">
        <w:rPr>
          <w:rFonts w:ascii="Times New Roman" w:hAnsi="Times New Roman" w:cs="Times New Roman"/>
          <w:sz w:val="24"/>
        </w:rPr>
        <w:t>-</w:t>
      </w:r>
      <w:r w:rsidR="00717A86">
        <w:rPr>
          <w:rFonts w:ascii="Times New Roman" w:hAnsi="Times New Roman" w:cs="Times New Roman"/>
          <w:sz w:val="24"/>
        </w:rPr>
        <w:t xml:space="preserve">based compensation; removes </w:t>
      </w:r>
      <w:r w:rsidR="004A2DB0">
        <w:rPr>
          <w:rFonts w:ascii="Times New Roman" w:hAnsi="Times New Roman" w:cs="Times New Roman"/>
          <w:sz w:val="24"/>
        </w:rPr>
        <w:t>interest component of expenses associated with capitalized PPAs</w:t>
      </w:r>
      <w:r w:rsidR="00717A86">
        <w:rPr>
          <w:rFonts w:ascii="Times New Roman" w:hAnsi="Times New Roman" w:cs="Times New Roman"/>
          <w:sz w:val="24"/>
        </w:rPr>
        <w:t xml:space="preserve">; </w:t>
      </w:r>
      <w:r w:rsidR="00717A86" w:rsidRPr="008567FE">
        <w:rPr>
          <w:rFonts w:ascii="Times New Roman" w:hAnsi="Times New Roman" w:cs="Times New Roman"/>
          <w:sz w:val="24"/>
        </w:rPr>
        <w:t xml:space="preserve">removes </w:t>
      </w:r>
      <w:r w:rsidR="004A2DB0">
        <w:rPr>
          <w:rFonts w:ascii="Times New Roman" w:hAnsi="Times New Roman" w:cs="Times New Roman"/>
          <w:sz w:val="24"/>
        </w:rPr>
        <w:t xml:space="preserve">O&amp;M </w:t>
      </w:r>
      <w:r w:rsidR="00717A86" w:rsidRPr="008567FE">
        <w:rPr>
          <w:rFonts w:ascii="Times New Roman" w:hAnsi="Times New Roman" w:cs="Times New Roman"/>
          <w:sz w:val="24"/>
        </w:rPr>
        <w:t xml:space="preserve">expenses associated with unregulated outdoor lighting; removes </w:t>
      </w:r>
      <w:r w:rsidR="004A2DB0">
        <w:rPr>
          <w:rFonts w:ascii="Times New Roman" w:hAnsi="Times New Roman" w:cs="Times New Roman"/>
          <w:sz w:val="24"/>
        </w:rPr>
        <w:t>brand</w:t>
      </w:r>
      <w:r w:rsidR="00717A86" w:rsidRPr="008567FE">
        <w:rPr>
          <w:rFonts w:ascii="Times New Roman" w:hAnsi="Times New Roman" w:cs="Times New Roman"/>
          <w:sz w:val="24"/>
        </w:rPr>
        <w:t xml:space="preserve"> advertising expenses;</w:t>
      </w:r>
      <w:r w:rsidR="00717A86">
        <w:rPr>
          <w:rFonts w:ascii="Times New Roman" w:hAnsi="Times New Roman" w:cs="Times New Roman"/>
          <w:sz w:val="24"/>
        </w:rPr>
        <w:t xml:space="preserve"> reflects the miscellaneous adjustment</w:t>
      </w:r>
      <w:r w:rsidR="004A2DB0">
        <w:rPr>
          <w:rFonts w:ascii="Times New Roman" w:hAnsi="Times New Roman" w:cs="Times New Roman"/>
          <w:sz w:val="24"/>
        </w:rPr>
        <w:t xml:space="preserve"> from the 2013 base rate case settlement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717A86">
        <w:rPr>
          <w:rFonts w:ascii="Times New Roman" w:hAnsi="Times New Roman" w:cs="Times New Roman"/>
          <w:sz w:val="24"/>
        </w:rPr>
        <w:t xml:space="preserve"> </w:t>
      </w:r>
      <w:r w:rsidR="00717A86" w:rsidRPr="008567FE">
        <w:rPr>
          <w:rFonts w:ascii="Times New Roman" w:hAnsi="Times New Roman" w:cs="Times New Roman"/>
          <w:sz w:val="24"/>
        </w:rPr>
        <w:t>removes SCGE</w:t>
      </w:r>
      <w:r w:rsidR="004A2DB0">
        <w:rPr>
          <w:rFonts w:ascii="Times New Roman" w:hAnsi="Times New Roman" w:cs="Times New Roman"/>
          <w:sz w:val="24"/>
        </w:rPr>
        <w:t>M</w:t>
      </w:r>
      <w:r w:rsidR="00717A86" w:rsidRPr="008567FE">
        <w:rPr>
          <w:rFonts w:ascii="Times New Roman" w:hAnsi="Times New Roman" w:cs="Times New Roman"/>
          <w:sz w:val="24"/>
        </w:rPr>
        <w:t xml:space="preserve"> expenses for wholesale activities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8567FE">
        <w:rPr>
          <w:rFonts w:ascii="Times New Roman" w:hAnsi="Times New Roman" w:cs="Times New Roman"/>
          <w:sz w:val="24"/>
        </w:rPr>
        <w:t xml:space="preserve"> </w:t>
      </w:r>
      <w:r w:rsidR="00717A86">
        <w:rPr>
          <w:rFonts w:ascii="Times New Roman" w:hAnsi="Times New Roman" w:cs="Times New Roman"/>
          <w:sz w:val="24"/>
        </w:rPr>
        <w:t xml:space="preserve">removes the expenses related to FERC boundary land; removes </w:t>
      </w:r>
      <w:r w:rsidR="00E15C11">
        <w:rPr>
          <w:rFonts w:ascii="Times New Roman" w:hAnsi="Times New Roman" w:cs="Times New Roman"/>
          <w:sz w:val="24"/>
        </w:rPr>
        <w:t xml:space="preserve">100% of </w:t>
      </w:r>
      <w:r w:rsidR="00717A86">
        <w:rPr>
          <w:rFonts w:ascii="Times New Roman" w:hAnsi="Times New Roman" w:cs="Times New Roman"/>
          <w:sz w:val="24"/>
        </w:rPr>
        <w:t>the expenses and savings related to the merger with AGL Resources</w:t>
      </w:r>
      <w:r w:rsidR="00E15C11">
        <w:rPr>
          <w:rFonts w:ascii="Times New Roman" w:hAnsi="Times New Roman" w:cs="Times New Roman"/>
          <w:sz w:val="24"/>
        </w:rPr>
        <w:t xml:space="preserve"> as approved by the Commission in Docket No. 39971</w:t>
      </w:r>
      <w:r w:rsidR="00717A86">
        <w:rPr>
          <w:rFonts w:ascii="Times New Roman" w:hAnsi="Times New Roman" w:cs="Times New Roman"/>
          <w:sz w:val="24"/>
        </w:rPr>
        <w:t xml:space="preserve">; </w:t>
      </w:r>
      <w:r w:rsidR="00717A86" w:rsidRPr="008567FE">
        <w:rPr>
          <w:rFonts w:ascii="Times New Roman" w:hAnsi="Times New Roman" w:cs="Times New Roman"/>
          <w:sz w:val="24"/>
        </w:rPr>
        <w:t xml:space="preserve">removes Nuclear Energy Institute (NEI) expenses; </w:t>
      </w:r>
      <w:r w:rsidRPr="008567FE">
        <w:rPr>
          <w:rFonts w:ascii="Times New Roman" w:hAnsi="Times New Roman" w:cs="Times New Roman"/>
          <w:sz w:val="24"/>
        </w:rPr>
        <w:t xml:space="preserve">reflects treatment of the corporate headquarters and Rome headquarters buildings as operating leases; </w:t>
      </w:r>
      <w:r w:rsidR="004A2DB0">
        <w:rPr>
          <w:rFonts w:ascii="Times New Roman" w:hAnsi="Times New Roman" w:cs="Times New Roman"/>
          <w:sz w:val="24"/>
        </w:rPr>
        <w:t xml:space="preserve">and </w:t>
      </w:r>
      <w:r w:rsidRPr="008567FE">
        <w:rPr>
          <w:rFonts w:ascii="Times New Roman" w:hAnsi="Times New Roman" w:cs="Times New Roman"/>
          <w:sz w:val="24"/>
        </w:rPr>
        <w:t xml:space="preserve">reflects the regulatory treatment for additional sums associated with certain purchased power agreements </w:t>
      </w:r>
      <w:r w:rsidR="004A2DB0">
        <w:rPr>
          <w:rFonts w:ascii="Times New Roman" w:hAnsi="Times New Roman" w:cs="Times New Roman"/>
          <w:sz w:val="24"/>
        </w:rPr>
        <w:t xml:space="preserve">and the DSM program.  </w:t>
      </w:r>
    </w:p>
    <w:p w:rsidR="00761348" w:rsidRDefault="00761348" w:rsidP="0076134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15C11" w:rsidRPr="00761348" w:rsidRDefault="00761348" w:rsidP="0076134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61348">
        <w:rPr>
          <w:noProof/>
        </w:rPr>
        <w:drawing>
          <wp:inline distT="0" distB="0" distL="0" distR="0">
            <wp:extent cx="3566160" cy="3489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348" w:rsidRDefault="00761348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8567FE">
        <w:rPr>
          <w:rFonts w:ascii="Times New Roman" w:hAnsi="Times New Roman" w:cs="Times New Roman"/>
          <w:sz w:val="24"/>
          <w:u w:val="single"/>
        </w:rPr>
        <w:t>D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15,957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>Depreciation Expense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8567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 w:rsidR="004A2DB0" w:rsidRPr="008567FE">
        <w:rPr>
          <w:rFonts w:ascii="Times New Roman" w:hAnsi="Times New Roman" w:cs="Times New Roman"/>
          <w:sz w:val="24"/>
        </w:rPr>
        <w:t xml:space="preserve">removes </w:t>
      </w:r>
      <w:r w:rsidR="004A2DB0">
        <w:rPr>
          <w:rFonts w:ascii="Times New Roman" w:hAnsi="Times New Roman" w:cs="Times New Roman"/>
          <w:sz w:val="24"/>
        </w:rPr>
        <w:t xml:space="preserve">depreciation </w:t>
      </w:r>
      <w:r w:rsidR="004A2DB0" w:rsidRPr="008567FE">
        <w:rPr>
          <w:rFonts w:ascii="Times New Roman" w:hAnsi="Times New Roman" w:cs="Times New Roman"/>
          <w:sz w:val="24"/>
        </w:rPr>
        <w:t>expenses associated with unregulated outdoor lightin</w:t>
      </w:r>
      <w:r w:rsidR="004A2DB0">
        <w:rPr>
          <w:rFonts w:ascii="Times New Roman" w:hAnsi="Times New Roman" w:cs="Times New Roman"/>
          <w:sz w:val="24"/>
        </w:rPr>
        <w:t xml:space="preserve">g and </w:t>
      </w:r>
      <w:r w:rsidRPr="008567FE">
        <w:rPr>
          <w:rFonts w:ascii="Times New Roman" w:hAnsi="Times New Roman" w:cs="Times New Roman"/>
          <w:sz w:val="24"/>
        </w:rPr>
        <w:t>reflects</w:t>
      </w:r>
      <w:r w:rsidR="004A2DB0">
        <w:rPr>
          <w:rFonts w:ascii="Times New Roman" w:hAnsi="Times New Roman" w:cs="Times New Roman"/>
          <w:sz w:val="24"/>
        </w:rPr>
        <w:t xml:space="preserve"> the</w:t>
      </w:r>
      <w:r w:rsidRPr="008567FE">
        <w:rPr>
          <w:rFonts w:ascii="Times New Roman" w:hAnsi="Times New Roman" w:cs="Times New Roman"/>
          <w:sz w:val="24"/>
        </w:rPr>
        <w:t xml:space="preserve"> regulatory treatment of the Rome headquarters </w:t>
      </w:r>
      <w:r w:rsidR="004A2DB0">
        <w:rPr>
          <w:rFonts w:ascii="Times New Roman" w:hAnsi="Times New Roman" w:cs="Times New Roman"/>
          <w:sz w:val="24"/>
        </w:rPr>
        <w:t xml:space="preserve">building </w:t>
      </w:r>
      <w:r w:rsidRPr="008567FE">
        <w:rPr>
          <w:rFonts w:ascii="Times New Roman" w:hAnsi="Times New Roman" w:cs="Times New Roman"/>
          <w:sz w:val="24"/>
        </w:rPr>
        <w:t>as an operating leas</w:t>
      </w:r>
      <w:r w:rsidR="004A2DB0">
        <w:rPr>
          <w:rFonts w:ascii="Times New Roman" w:hAnsi="Times New Roman" w:cs="Times New Roman"/>
          <w:sz w:val="24"/>
        </w:rPr>
        <w:t>e</w:t>
      </w:r>
      <w:r w:rsidRPr="008567FE">
        <w:rPr>
          <w:rFonts w:ascii="Times New Roman" w:hAnsi="Times New Roman" w:cs="Times New Roman"/>
          <w:sz w:val="24"/>
        </w:rPr>
        <w:t>.</w:t>
      </w:r>
    </w:p>
    <w:p w:rsidR="004A2DB0" w:rsidRDefault="004A2DB0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15C11" w:rsidRPr="00761348" w:rsidRDefault="00761348" w:rsidP="0076134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61348">
        <w:rPr>
          <w:noProof/>
        </w:rPr>
        <w:drawing>
          <wp:inline distT="0" distB="0" distL="0" distR="0">
            <wp:extent cx="3063240" cy="103632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533A63">
        <w:rPr>
          <w:rFonts w:ascii="Times New Roman" w:hAnsi="Times New Roman" w:cs="Times New Roman"/>
          <w:sz w:val="24"/>
          <w:u w:val="single"/>
        </w:rPr>
        <w:t>E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7,281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Taxes Other Than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4A2DB0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property, payroll, and municipal franchise taxes associated with unregulated outdoor lighting.  </w:t>
      </w:r>
    </w:p>
    <w:p w:rsidR="004A2DB0" w:rsidRDefault="004A2DB0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533A63">
        <w:rPr>
          <w:rFonts w:ascii="Times New Roman" w:hAnsi="Times New Roman" w:cs="Times New Roman"/>
          <w:sz w:val="24"/>
          <w:u w:val="single"/>
        </w:rPr>
        <w:t>F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87,060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A2DB0">
        <w:rPr>
          <w:rFonts w:ascii="Times New Roman" w:hAnsi="Times New Roman" w:cs="Times New Roman"/>
          <w:sz w:val="24"/>
        </w:rPr>
        <w:t xml:space="preserve">Current </w:t>
      </w:r>
      <w:r w:rsidR="004801CB">
        <w:rPr>
          <w:rFonts w:ascii="Times New Roman" w:hAnsi="Times New Roman" w:cs="Times New Roman"/>
          <w:sz w:val="24"/>
        </w:rPr>
        <w:t xml:space="preserve">Income Taxes Payable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4801CB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results from the </w:t>
      </w:r>
      <w:r w:rsidR="004A2DB0">
        <w:rPr>
          <w:rFonts w:ascii="Times New Roman" w:hAnsi="Times New Roman" w:cs="Times New Roman"/>
          <w:sz w:val="24"/>
        </w:rPr>
        <w:t xml:space="preserve">income tax </w:t>
      </w:r>
      <w:r>
        <w:rPr>
          <w:rFonts w:ascii="Times New Roman" w:hAnsi="Times New Roman" w:cs="Times New Roman"/>
          <w:sz w:val="24"/>
        </w:rPr>
        <w:t xml:space="preserve">treatment of items referenced in FOOTNOTES A/ through </w:t>
      </w:r>
      <w:r w:rsidR="00793F6A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/ and the interest synchronization adjustment.   </w:t>
      </w:r>
    </w:p>
    <w:p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G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$(3</w:t>
      </w:r>
      <w:r w:rsidR="00533A63">
        <w:rPr>
          <w:rFonts w:ascii="Times New Roman" w:hAnsi="Times New Roman" w:cs="Times New Roman"/>
          <w:sz w:val="24"/>
          <w:u w:val="single"/>
        </w:rPr>
        <w:t>,945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Deferred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4801CB">
        <w:rPr>
          <w:rFonts w:ascii="Times New Roman" w:hAnsi="Times New Roman" w:cs="Times New Roman"/>
          <w:sz w:val="24"/>
        </w:rPr>
        <w:t xml:space="preserve">results from the </w:t>
      </w:r>
      <w:r w:rsidR="004A2DB0">
        <w:rPr>
          <w:rFonts w:ascii="Times New Roman" w:hAnsi="Times New Roman" w:cs="Times New Roman"/>
          <w:sz w:val="24"/>
        </w:rPr>
        <w:t xml:space="preserve">income tax </w:t>
      </w:r>
      <w:r w:rsidR="004801CB">
        <w:rPr>
          <w:rFonts w:ascii="Times New Roman" w:hAnsi="Times New Roman" w:cs="Times New Roman"/>
          <w:sz w:val="24"/>
        </w:rPr>
        <w:t xml:space="preserve">treatment of items referenced in FOOTNOTES A/ through </w:t>
      </w:r>
      <w:r w:rsidR="00793F6A">
        <w:rPr>
          <w:rFonts w:ascii="Times New Roman" w:hAnsi="Times New Roman" w:cs="Times New Roman"/>
          <w:sz w:val="24"/>
        </w:rPr>
        <w:t>E</w:t>
      </w:r>
      <w:r w:rsidR="004801CB">
        <w:rPr>
          <w:rFonts w:ascii="Times New Roman" w:hAnsi="Times New Roman" w:cs="Times New Roman"/>
          <w:sz w:val="24"/>
        </w:rPr>
        <w:t xml:space="preserve">/.  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H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545,876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Electric Plant-in-Service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4801CB">
        <w:rPr>
          <w:rFonts w:ascii="Times New Roman" w:hAnsi="Times New Roman" w:cs="Times New Roman"/>
          <w:sz w:val="24"/>
        </w:rPr>
        <w:t>reflects treatment of the corporate headquarters and Rome headquarters buildings as operating leases</w:t>
      </w:r>
      <w:r w:rsidR="00396219">
        <w:rPr>
          <w:rFonts w:ascii="Times New Roman" w:hAnsi="Times New Roman" w:cs="Times New Roman"/>
          <w:sz w:val="24"/>
        </w:rPr>
        <w:t xml:space="preserve">; </w:t>
      </w:r>
      <w:r w:rsidR="004801CB">
        <w:rPr>
          <w:rFonts w:ascii="Times New Roman" w:hAnsi="Times New Roman" w:cs="Times New Roman"/>
          <w:sz w:val="24"/>
        </w:rPr>
        <w:t>removes the investment associated with unregulated outdoor lighting</w:t>
      </w:r>
      <w:r w:rsidR="00396219">
        <w:rPr>
          <w:rFonts w:ascii="Times New Roman" w:hAnsi="Times New Roman" w:cs="Times New Roman"/>
          <w:sz w:val="24"/>
        </w:rPr>
        <w:t xml:space="preserve">; and removes the closures associated with Plant Vogtle Units 3 and 4 </w:t>
      </w:r>
      <w:r w:rsidR="004A55BE">
        <w:rPr>
          <w:rFonts w:ascii="Times New Roman" w:hAnsi="Times New Roman" w:cs="Times New Roman"/>
          <w:sz w:val="24"/>
        </w:rPr>
        <w:t xml:space="preserve">whose carrying cost is </w:t>
      </w:r>
      <w:r w:rsidR="00396219">
        <w:rPr>
          <w:rFonts w:ascii="Times New Roman" w:hAnsi="Times New Roman" w:cs="Times New Roman"/>
          <w:sz w:val="24"/>
        </w:rPr>
        <w:t>recovered through the NCCR tariff</w:t>
      </w:r>
      <w:r w:rsidR="004801CB">
        <w:rPr>
          <w:rFonts w:ascii="Times New Roman" w:hAnsi="Times New Roman" w:cs="Times New Roman"/>
          <w:sz w:val="24"/>
        </w:rPr>
        <w:t xml:space="preserve">.  </w:t>
      </w:r>
      <w:r>
        <w:rPr>
          <w:rFonts w:ascii="Times New Roman" w:hAnsi="Times New Roman" w:cs="Times New Roman"/>
          <w:sz w:val="24"/>
        </w:rPr>
        <w:t xml:space="preserve">  </w:t>
      </w:r>
    </w:p>
    <w:p w:rsidR="002B2EC9" w:rsidRDefault="002B2EC9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2EC9" w:rsidRDefault="00761348" w:rsidP="002B2EC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61348">
        <w:rPr>
          <w:noProof/>
        </w:rPr>
        <w:drawing>
          <wp:inline distT="0" distB="0" distL="0" distR="0">
            <wp:extent cx="3558540" cy="1440180"/>
            <wp:effectExtent l="0" t="0" r="381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I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116,469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Nuclear Fuel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E15C11" w:rsidRDefault="00362DBE" w:rsidP="00E15C11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</w:t>
      </w:r>
      <w:r w:rsidR="004801CB">
        <w:rPr>
          <w:rFonts w:ascii="Times New Roman" w:hAnsi="Times New Roman" w:cs="Times New Roman"/>
          <w:sz w:val="24"/>
        </w:rPr>
        <w:t xml:space="preserve"> nuclear fuel associated with Plant Vogtle Units 3 and 4.  </w:t>
      </w:r>
    </w:p>
    <w:p w:rsidR="00E15C11" w:rsidRDefault="00E15C11" w:rsidP="00E15C11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</w:p>
    <w:p w:rsidR="00761348" w:rsidRDefault="00761348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:rsidR="00362DBE" w:rsidRDefault="00362DBE" w:rsidP="00E15C11">
      <w:pPr>
        <w:spacing w:after="0"/>
        <w:jc w:val="both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J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88,678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 xml:space="preserve">Accumulated Reserve for Depreciation </w:t>
      </w:r>
      <w:r>
        <w:rPr>
          <w:rFonts w:ascii="Times New Roman" w:hAnsi="Times New Roman" w:cs="Times New Roman"/>
          <w:sz w:val="24"/>
        </w:rPr>
        <w:t xml:space="preserve"> </w:t>
      </w:r>
    </w:p>
    <w:p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:rsidR="00362DBE" w:rsidRDefault="00362DBE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4801CB">
        <w:rPr>
          <w:rFonts w:ascii="Times New Roman" w:hAnsi="Times New Roman" w:cs="Times New Roman"/>
          <w:sz w:val="24"/>
        </w:rPr>
        <w:t xml:space="preserve">reflects the treatment </w:t>
      </w:r>
      <w:r w:rsidR="00364EF5">
        <w:rPr>
          <w:rFonts w:ascii="Times New Roman" w:hAnsi="Times New Roman" w:cs="Times New Roman"/>
          <w:sz w:val="24"/>
        </w:rPr>
        <w:t xml:space="preserve">of the Rome headquarters building as an operating lease and the removal of accumulated depreciation associated with unregulated outdoor lighting.  </w:t>
      </w:r>
      <w:r>
        <w:rPr>
          <w:rFonts w:ascii="Times New Roman" w:hAnsi="Times New Roman" w:cs="Times New Roman"/>
          <w:sz w:val="24"/>
        </w:rPr>
        <w:t xml:space="preserve">  </w:t>
      </w:r>
    </w:p>
    <w:p w:rsidR="00E723CD" w:rsidRDefault="00E723CD" w:rsidP="00362DB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4EF5" w:rsidRDefault="00761348" w:rsidP="00E723CD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61348">
        <w:rPr>
          <w:noProof/>
        </w:rPr>
        <w:drawing>
          <wp:inline distT="0" distB="0" distL="0" distR="0">
            <wp:extent cx="3147060" cy="104394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219" w:rsidRDefault="00396219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K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4,757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Fuel and Materials &amp; Supplies Inventory  </w:t>
      </w:r>
    </w:p>
    <w:p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materials and supplies inventories associated with unregulated outdoor lighting.  </w:t>
      </w:r>
    </w:p>
    <w:p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4EF5" w:rsidRDefault="00364EF5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L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DD0AFE">
        <w:rPr>
          <w:rFonts w:ascii="Times New Roman" w:hAnsi="Times New Roman" w:cs="Times New Roman"/>
          <w:sz w:val="24"/>
          <w:u w:val="single"/>
        </w:rPr>
        <w:t>920,574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ARO Regulatory Liability (254)</w:t>
      </w:r>
    </w:p>
    <w:p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:rsidR="00364EF5" w:rsidRDefault="00E723CD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the external nuclear decommissioning regulatory liability funded through an external trust.  </w:t>
      </w:r>
    </w:p>
    <w:p w:rsidR="006A4903" w:rsidRDefault="006A4903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533A63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M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151,779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33A63">
        <w:rPr>
          <w:rFonts w:ascii="Times New Roman" w:hAnsi="Times New Roman" w:cs="Times New Roman"/>
          <w:sz w:val="24"/>
        </w:rPr>
        <w:t>Adjustment to Accumulated Deferred</w:t>
      </w:r>
    </w:p>
    <w:p w:rsidR="00364EF5" w:rsidRDefault="00533A63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Income Taxes (282)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</w:t>
      </w:r>
      <w:r>
        <w:rPr>
          <w:rFonts w:ascii="Times New Roman" w:hAnsi="Times New Roman" w:cs="Times New Roman"/>
          <w:sz w:val="24"/>
        </w:rPr>
        <w:t xml:space="preserve"> </w:t>
      </w:r>
      <w:r w:rsidR="00C6402F">
        <w:rPr>
          <w:rFonts w:ascii="Times New Roman" w:hAnsi="Times New Roman" w:cs="Times New Roman"/>
          <w:sz w:val="24"/>
        </w:rPr>
        <w:t xml:space="preserve">ADITs </w:t>
      </w:r>
      <w:r w:rsidR="00E723CD">
        <w:rPr>
          <w:rFonts w:ascii="Times New Roman" w:hAnsi="Times New Roman" w:cs="Times New Roman"/>
          <w:sz w:val="24"/>
        </w:rPr>
        <w:t>associated with</w:t>
      </w:r>
      <w:r w:rsidR="00C6402F">
        <w:rPr>
          <w:rFonts w:ascii="Times New Roman" w:hAnsi="Times New Roman" w:cs="Times New Roman"/>
          <w:sz w:val="24"/>
        </w:rPr>
        <w:t xml:space="preserve"> CWIP, unregulated outdoor lighting, </w:t>
      </w:r>
      <w:r w:rsidR="00696031">
        <w:rPr>
          <w:rFonts w:ascii="Times New Roman" w:hAnsi="Times New Roman" w:cs="Times New Roman"/>
          <w:sz w:val="24"/>
        </w:rPr>
        <w:t>NCCR</w:t>
      </w:r>
      <w:r w:rsidR="00C6402F">
        <w:rPr>
          <w:rFonts w:ascii="Times New Roman" w:hAnsi="Times New Roman" w:cs="Times New Roman"/>
          <w:sz w:val="24"/>
        </w:rPr>
        <w:t xml:space="preserve">, and the Rome Headquarters building.  </w:t>
      </w:r>
    </w:p>
    <w:p w:rsidR="00651939" w:rsidRDefault="00651939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4EF5" w:rsidRDefault="009A123E" w:rsidP="0076134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A123E">
        <w:rPr>
          <w:noProof/>
        </w:rPr>
        <w:drawing>
          <wp:inline distT="0" distB="0" distL="0" distR="0">
            <wp:extent cx="3512820" cy="14401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348" w:rsidRDefault="00761348" w:rsidP="00761348">
      <w:pPr>
        <w:rPr>
          <w:rFonts w:ascii="Times New Roman" w:hAnsi="Times New Roman" w:cs="Times New Roman"/>
          <w:sz w:val="24"/>
          <w:u w:val="single"/>
        </w:rPr>
      </w:pPr>
    </w:p>
    <w:p w:rsidR="00DD0AFE" w:rsidRPr="00761348" w:rsidRDefault="00364EF5" w:rsidP="00614C78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N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  <w:u w:val="single"/>
        </w:rPr>
        <w:t>$</w:t>
      </w:r>
      <w:r w:rsidR="006572C2">
        <w:rPr>
          <w:rFonts w:ascii="Times New Roman" w:hAnsi="Times New Roman" w:cs="Times New Roman"/>
          <w:sz w:val="24"/>
          <w:u w:val="single"/>
        </w:rPr>
        <w:t>1,256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ab/>
        <w:t>Adjustment to Accumulated Deferred</w:t>
      </w:r>
    </w:p>
    <w:p w:rsidR="00364EF5" w:rsidRDefault="00DD0AFE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Income Taxes (283)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:rsidR="00C6402F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 ADITs associated with</w:t>
      </w:r>
      <w:r w:rsidR="00420C52">
        <w:rPr>
          <w:rFonts w:ascii="Times New Roman" w:hAnsi="Times New Roman" w:cs="Times New Roman"/>
          <w:sz w:val="24"/>
        </w:rPr>
        <w:t xml:space="preserve"> the </w:t>
      </w:r>
      <w:r w:rsidR="00C6402F">
        <w:rPr>
          <w:rFonts w:ascii="Times New Roman" w:hAnsi="Times New Roman" w:cs="Times New Roman"/>
          <w:sz w:val="24"/>
        </w:rPr>
        <w:t>NCCR and DSM tariff</w:t>
      </w:r>
      <w:r w:rsidR="00420C52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.    </w:t>
      </w:r>
    </w:p>
    <w:p w:rsidR="00E15C11" w:rsidRDefault="00E15C11" w:rsidP="004A55BE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614C78" w:rsidRDefault="00614C78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:rsidR="00DD0AFE" w:rsidRPr="0034780D" w:rsidRDefault="00DD0AFE" w:rsidP="004A55BE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O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4,347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Adjustment to Accumulated Deferred</w:t>
      </w:r>
    </w:p>
    <w:p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Income Taxes (190) </w:t>
      </w:r>
    </w:p>
    <w:p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:rsidR="002D2584" w:rsidRDefault="00E723CD" w:rsidP="002D258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ADITs associated with stock-based compensation, unregulated outdoor lighting, DSM tariff, NCCR tariff, Rome Headquarters building, and CWIP.  </w:t>
      </w:r>
    </w:p>
    <w:p w:rsidR="00DD0AFE" w:rsidRDefault="00DD0AFE" w:rsidP="00DD0AF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D2584" w:rsidRDefault="009A123E" w:rsidP="000D49E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A123E">
        <w:rPr>
          <w:noProof/>
        </w:rPr>
        <w:drawing>
          <wp:inline distT="0" distB="0" distL="0" distR="0">
            <wp:extent cx="3512820" cy="18973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584" w:rsidRDefault="002D2584" w:rsidP="00DD0AF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4780D" w:rsidRDefault="0034780D" w:rsidP="00DD0AFE">
      <w:pPr>
        <w:spacing w:after="0"/>
        <w:rPr>
          <w:rFonts w:ascii="Times New Roman" w:hAnsi="Times New Roman" w:cs="Times New Roman"/>
          <w:sz w:val="24"/>
          <w:u w:val="single"/>
        </w:rPr>
      </w:pPr>
    </w:p>
    <w:p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P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135</w:t>
      </w:r>
      <w:r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Cash Working Capital</w:t>
      </w:r>
    </w:p>
    <w:p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:rsidR="00362DBE" w:rsidRPr="00DA4042" w:rsidRDefault="00DD0A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reflects </w:t>
      </w:r>
      <w:r w:rsidR="00651939">
        <w:rPr>
          <w:rFonts w:ascii="Times New Roman" w:hAnsi="Times New Roman" w:cs="Times New Roman"/>
          <w:sz w:val="24"/>
        </w:rPr>
        <w:t xml:space="preserve">cash working capital impacts of adjustments in FOOTNOTES A/ through </w:t>
      </w:r>
      <w:r w:rsidR="0034780D">
        <w:rPr>
          <w:rFonts w:ascii="Times New Roman" w:hAnsi="Times New Roman" w:cs="Times New Roman"/>
          <w:sz w:val="24"/>
        </w:rPr>
        <w:t>G</w:t>
      </w:r>
      <w:r w:rsidR="00651939">
        <w:rPr>
          <w:rFonts w:ascii="Times New Roman" w:hAnsi="Times New Roman" w:cs="Times New Roman"/>
          <w:sz w:val="24"/>
        </w:rPr>
        <w:t>/.</w:t>
      </w:r>
      <w:r w:rsidR="0034780D">
        <w:rPr>
          <w:rFonts w:ascii="Times New Roman" w:hAnsi="Times New Roman" w:cs="Times New Roman"/>
          <w:sz w:val="24"/>
        </w:rPr>
        <w:t xml:space="preserve">  The following page provides a detailed calculation of the adjustment.  </w:t>
      </w:r>
      <w:r w:rsidR="00651939">
        <w:rPr>
          <w:rFonts w:ascii="Times New Roman" w:hAnsi="Times New Roman" w:cs="Times New Roman"/>
          <w:sz w:val="24"/>
        </w:rPr>
        <w:t xml:space="preserve">    </w:t>
      </w:r>
    </w:p>
    <w:sectPr w:rsidR="00362DBE" w:rsidRPr="00DA4042" w:rsidSect="00761348">
      <w:headerReference w:type="default" r:id="rId14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042" w:rsidRDefault="00DA4042" w:rsidP="00DA4042">
      <w:pPr>
        <w:spacing w:after="0" w:line="240" w:lineRule="auto"/>
      </w:pPr>
      <w:r>
        <w:separator/>
      </w:r>
    </w:p>
  </w:endnote>
  <w:endnote w:type="continuationSeparator" w:id="0">
    <w:p w:rsidR="00DA4042" w:rsidRDefault="00DA4042" w:rsidP="00DA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042" w:rsidRDefault="00DA4042" w:rsidP="00DA4042">
      <w:pPr>
        <w:spacing w:after="0" w:line="240" w:lineRule="auto"/>
      </w:pPr>
      <w:r>
        <w:separator/>
      </w:r>
    </w:p>
  </w:footnote>
  <w:footnote w:type="continuationSeparator" w:id="0">
    <w:p w:rsidR="00DA4042" w:rsidRDefault="00DA4042" w:rsidP="00DA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D" w:rsidRPr="00DA4042" w:rsidRDefault="0059181D" w:rsidP="0059181D">
    <w:pPr>
      <w:pStyle w:val="Header"/>
      <w:jc w:val="right"/>
      <w:rPr>
        <w:rFonts w:ascii="Times New Roman" w:hAnsi="Times New Roman" w:cs="Times New Roman"/>
        <w:sz w:val="24"/>
      </w:rPr>
    </w:pPr>
    <w:r w:rsidRPr="00DA4042">
      <w:rPr>
        <w:rFonts w:ascii="Times New Roman" w:hAnsi="Times New Roman" w:cs="Times New Roman"/>
        <w:sz w:val="24"/>
      </w:rPr>
      <w:t>Exhibit___(DPP</w:t>
    </w:r>
    <w:r w:rsidR="00876D63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SPA</w:t>
    </w:r>
    <w:r w:rsidR="00876D63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MBR</w:t>
    </w:r>
    <w:r w:rsidRPr="00DA4042">
      <w:rPr>
        <w:rFonts w:ascii="Times New Roman" w:hAnsi="Times New Roman" w:cs="Times New Roman"/>
        <w:sz w:val="24"/>
      </w:rPr>
      <w:t>-2)</w:t>
    </w:r>
  </w:p>
  <w:sdt>
    <w:sdtPr>
      <w:rPr>
        <w:rFonts w:ascii="Times New Roman" w:hAnsi="Times New Roman" w:cs="Times New Roman"/>
        <w:sz w:val="24"/>
      </w:rPr>
      <w:id w:val="-1318336367"/>
      <w:docPartObj>
        <w:docPartGallery w:val="Page Numbers (Top of Page)"/>
        <w:docPartUnique/>
      </w:docPartObj>
    </w:sdtPr>
    <w:sdtEndPr/>
    <w:sdtContent>
      <w:p w:rsidR="0059181D" w:rsidRPr="0059181D" w:rsidRDefault="0059181D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59181D">
          <w:rPr>
            <w:rFonts w:ascii="Times New Roman" w:hAnsi="Times New Roman" w:cs="Times New Roman"/>
            <w:sz w:val="24"/>
          </w:rPr>
          <w:t xml:space="preserve">Page </w:t>
        </w:r>
        <w:r w:rsidRPr="0059181D">
          <w:rPr>
            <w:rFonts w:ascii="Times New Roman" w:hAnsi="Times New Roman" w:cs="Times New Roman"/>
            <w:sz w:val="24"/>
          </w:rPr>
          <w:fldChar w:fldCharType="begin"/>
        </w:r>
        <w:r w:rsidRPr="0059181D">
          <w:rPr>
            <w:rFonts w:ascii="Times New Roman" w:hAnsi="Times New Roman" w:cs="Times New Roman"/>
            <w:sz w:val="24"/>
          </w:rPr>
          <w:instrText xml:space="preserve"> PAGE </w:instrText>
        </w:r>
        <w:r w:rsidRPr="0059181D">
          <w:rPr>
            <w:rFonts w:ascii="Times New Roman" w:hAnsi="Times New Roman" w:cs="Times New Roman"/>
            <w:sz w:val="24"/>
          </w:rPr>
          <w:fldChar w:fldCharType="separate"/>
        </w:r>
        <w:r w:rsidRPr="0059181D">
          <w:rPr>
            <w:rFonts w:ascii="Times New Roman" w:hAnsi="Times New Roman" w:cs="Times New Roman"/>
            <w:sz w:val="24"/>
          </w:rPr>
          <w:t>2</w:t>
        </w:r>
        <w:r w:rsidRPr="0059181D">
          <w:rPr>
            <w:rFonts w:ascii="Times New Roman" w:hAnsi="Times New Roman" w:cs="Times New Roman"/>
            <w:sz w:val="24"/>
          </w:rPr>
          <w:fldChar w:fldCharType="end"/>
        </w:r>
        <w:r w:rsidRPr="0059181D">
          <w:rPr>
            <w:rFonts w:ascii="Times New Roman" w:hAnsi="Times New Roman" w:cs="Times New Roman"/>
            <w:sz w:val="24"/>
          </w:rPr>
          <w:t xml:space="preserve"> of </w:t>
        </w:r>
        <w:r>
          <w:rPr>
            <w:rFonts w:ascii="Times New Roman" w:hAnsi="Times New Roman" w:cs="Times New Roman"/>
            <w:sz w:val="24"/>
          </w:rPr>
          <w:t>36</w:t>
        </w:r>
      </w:p>
    </w:sdtContent>
  </w:sdt>
  <w:p w:rsidR="00DA4042" w:rsidRPr="00DA4042" w:rsidRDefault="00DA4042" w:rsidP="00DA4042">
    <w:pPr>
      <w:pStyle w:val="Header"/>
      <w:jc w:val="right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42"/>
    <w:rsid w:val="00071AC8"/>
    <w:rsid w:val="000C10F9"/>
    <w:rsid w:val="000D49EB"/>
    <w:rsid w:val="002B2EC9"/>
    <w:rsid w:val="002D2584"/>
    <w:rsid w:val="0034780D"/>
    <w:rsid w:val="00362DBE"/>
    <w:rsid w:val="00364EF5"/>
    <w:rsid w:val="00396219"/>
    <w:rsid w:val="00420C52"/>
    <w:rsid w:val="004801CB"/>
    <w:rsid w:val="00493667"/>
    <w:rsid w:val="004A2DB0"/>
    <w:rsid w:val="004A55BE"/>
    <w:rsid w:val="00533A63"/>
    <w:rsid w:val="0059181D"/>
    <w:rsid w:val="00614C78"/>
    <w:rsid w:val="00651939"/>
    <w:rsid w:val="006572C2"/>
    <w:rsid w:val="00696031"/>
    <w:rsid w:val="006A4903"/>
    <w:rsid w:val="00713D99"/>
    <w:rsid w:val="00717A86"/>
    <w:rsid w:val="00761348"/>
    <w:rsid w:val="00792FFC"/>
    <w:rsid w:val="00793F6A"/>
    <w:rsid w:val="007E528F"/>
    <w:rsid w:val="008567FE"/>
    <w:rsid w:val="00876D63"/>
    <w:rsid w:val="00965B74"/>
    <w:rsid w:val="009A123E"/>
    <w:rsid w:val="00AE7B78"/>
    <w:rsid w:val="00B34A39"/>
    <w:rsid w:val="00BD4C1A"/>
    <w:rsid w:val="00C6402F"/>
    <w:rsid w:val="00C7491F"/>
    <w:rsid w:val="00D07DC5"/>
    <w:rsid w:val="00D61945"/>
    <w:rsid w:val="00DA4042"/>
    <w:rsid w:val="00DD0AFE"/>
    <w:rsid w:val="00E109E9"/>
    <w:rsid w:val="00E15C11"/>
    <w:rsid w:val="00E723CD"/>
    <w:rsid w:val="00E8777A"/>
    <w:rsid w:val="00F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042"/>
  </w:style>
  <w:style w:type="paragraph" w:styleId="Footer">
    <w:name w:val="footer"/>
    <w:basedOn w:val="Normal"/>
    <w:link w:val="Foot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042"/>
  </w:style>
  <w:style w:type="paragraph" w:styleId="BalloonText">
    <w:name w:val="Balloon Text"/>
    <w:basedOn w:val="Normal"/>
    <w:link w:val="BalloonTextChar"/>
    <w:uiPriority w:val="99"/>
    <w:semiHidden/>
    <w:unhideWhenUsed/>
    <w:rsid w:val="00965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2019-06-25T17:14:00Z</dcterms:created>
  <dcterms:modified xsi:type="dcterms:W3CDTF">2019-06-25T17:14:00Z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