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5B41" w:rsidRDefault="00B25B41" w:rsidP="00EA67C4">
      <w:pPr>
        <w:tabs>
          <w:tab w:val="left" w:pos="720"/>
        </w:tabs>
        <w:spacing w:line="276" w:lineRule="auto"/>
        <w:ind w:left="720" w:hanging="720"/>
        <w:jc w:val="center"/>
        <w:rPr>
          <w:b/>
          <w:u w:val="single"/>
        </w:rPr>
      </w:pPr>
      <w:bookmarkStart w:id="0" w:name="_GoBack"/>
      <w:bookmarkEnd w:id="0"/>
      <w:r>
        <w:rPr>
          <w:b/>
          <w:u w:val="single"/>
        </w:rPr>
        <w:t>GEORGIA POWER COMPANY</w:t>
      </w:r>
    </w:p>
    <w:p w:rsidR="00EA67C4" w:rsidRDefault="00EA67C4" w:rsidP="00EA67C4">
      <w:pPr>
        <w:tabs>
          <w:tab w:val="left" w:pos="720"/>
        </w:tabs>
        <w:spacing w:line="276" w:lineRule="auto"/>
        <w:ind w:left="720" w:hanging="720"/>
        <w:jc w:val="center"/>
        <w:rPr>
          <w:b/>
          <w:u w:val="single"/>
        </w:rPr>
      </w:pPr>
    </w:p>
    <w:p w:rsidR="00B25B41" w:rsidRDefault="00B25B41" w:rsidP="00EA67C4">
      <w:pPr>
        <w:tabs>
          <w:tab w:val="left" w:pos="720"/>
        </w:tabs>
        <w:spacing w:line="276" w:lineRule="auto"/>
        <w:ind w:left="720" w:hanging="720"/>
        <w:jc w:val="center"/>
        <w:rPr>
          <w:b/>
          <w:u w:val="single"/>
        </w:rPr>
      </w:pPr>
      <w:r>
        <w:rPr>
          <w:b/>
          <w:u w:val="single"/>
        </w:rPr>
        <w:t>LEAD/LAG STUDY SUPPORTING</w:t>
      </w:r>
    </w:p>
    <w:p w:rsidR="00EA67C4" w:rsidRDefault="00EA67C4" w:rsidP="00EA67C4">
      <w:pPr>
        <w:tabs>
          <w:tab w:val="left" w:pos="720"/>
        </w:tabs>
        <w:spacing w:line="276" w:lineRule="auto"/>
        <w:ind w:left="720" w:hanging="720"/>
        <w:jc w:val="center"/>
        <w:rPr>
          <w:b/>
          <w:u w:val="single"/>
        </w:rPr>
      </w:pPr>
    </w:p>
    <w:p w:rsidR="00B25B41" w:rsidRDefault="00B25B41" w:rsidP="00EA67C4">
      <w:pPr>
        <w:tabs>
          <w:tab w:val="left" w:pos="720"/>
        </w:tabs>
        <w:spacing w:line="276" w:lineRule="auto"/>
        <w:ind w:left="720" w:hanging="720"/>
        <w:jc w:val="center"/>
        <w:rPr>
          <w:b/>
          <w:u w:val="single"/>
        </w:rPr>
      </w:pPr>
      <w:r>
        <w:rPr>
          <w:b/>
          <w:u w:val="single"/>
        </w:rPr>
        <w:t>CASH WORKING CAPITAL</w:t>
      </w:r>
    </w:p>
    <w:p w:rsidR="00B25B41" w:rsidRDefault="00B25B41">
      <w:pPr>
        <w:tabs>
          <w:tab w:val="left" w:pos="720"/>
        </w:tabs>
        <w:spacing w:line="480" w:lineRule="auto"/>
        <w:ind w:left="720" w:hanging="720"/>
        <w:jc w:val="center"/>
        <w:rPr>
          <w:b/>
          <w:u w:val="single"/>
        </w:rPr>
      </w:pPr>
    </w:p>
    <w:p w:rsidR="00B25B41" w:rsidRDefault="00B25B41" w:rsidP="000A5D53">
      <w:pPr>
        <w:tabs>
          <w:tab w:val="left" w:pos="720"/>
        </w:tabs>
        <w:spacing w:line="276" w:lineRule="auto"/>
        <w:jc w:val="both"/>
        <w:rPr>
          <w:b/>
          <w:szCs w:val="24"/>
          <w:u w:val="single"/>
        </w:rPr>
      </w:pPr>
      <w:r w:rsidRPr="00EA67C4">
        <w:rPr>
          <w:b/>
          <w:szCs w:val="24"/>
          <w:u w:val="single"/>
        </w:rPr>
        <w:t>Overview</w:t>
      </w:r>
    </w:p>
    <w:p w:rsidR="000A5D53" w:rsidRPr="00EA67C4" w:rsidRDefault="000A5D53" w:rsidP="000A5D53">
      <w:pPr>
        <w:tabs>
          <w:tab w:val="left" w:pos="720"/>
        </w:tabs>
        <w:spacing w:line="276" w:lineRule="auto"/>
        <w:jc w:val="both"/>
        <w:rPr>
          <w:b/>
          <w:szCs w:val="24"/>
          <w:u w:val="single"/>
        </w:rPr>
      </w:pPr>
    </w:p>
    <w:p w:rsidR="00CA038F" w:rsidRPr="00EA67C4" w:rsidRDefault="00B25B41" w:rsidP="000A5D53">
      <w:pPr>
        <w:tabs>
          <w:tab w:val="left" w:pos="720"/>
        </w:tabs>
        <w:spacing w:line="276" w:lineRule="auto"/>
        <w:jc w:val="both"/>
        <w:rPr>
          <w:szCs w:val="24"/>
        </w:rPr>
      </w:pPr>
      <w:r w:rsidRPr="00EA67C4">
        <w:rPr>
          <w:szCs w:val="24"/>
        </w:rPr>
        <w:t>A lead-lag study was performed to determine the Company’s estimated cash working capital requirement for the test period.  For the purpose of this study, a “lag” is defined as the estimated time period between the rendering of electric service and the receipt of payment from customers for such service.  Offsetting the “lag” is the period of time between which suppliers, employees</w:t>
      </w:r>
      <w:r w:rsidR="00154DE5" w:rsidRPr="00EA67C4">
        <w:rPr>
          <w:szCs w:val="24"/>
        </w:rPr>
        <w:t>,</w:t>
      </w:r>
      <w:r w:rsidRPr="00EA67C4">
        <w:rPr>
          <w:szCs w:val="24"/>
        </w:rPr>
        <w:t xml:space="preserve"> and others provide goods and services to the Company and the date the Company </w:t>
      </w:r>
      <w:r w:rsidR="00303FE8" w:rsidRPr="00EA67C4">
        <w:rPr>
          <w:szCs w:val="24"/>
        </w:rPr>
        <w:t>renders payment</w:t>
      </w:r>
      <w:r w:rsidRPr="00EA67C4">
        <w:rPr>
          <w:szCs w:val="24"/>
        </w:rPr>
        <w:t xml:space="preserve">, which is defined as a “lead”.  </w:t>
      </w:r>
    </w:p>
    <w:p w:rsidR="000A5D53" w:rsidRDefault="000A5D53" w:rsidP="000A5D53">
      <w:pPr>
        <w:tabs>
          <w:tab w:val="left" w:pos="720"/>
        </w:tabs>
        <w:spacing w:line="276" w:lineRule="auto"/>
        <w:jc w:val="both"/>
        <w:rPr>
          <w:szCs w:val="24"/>
        </w:rPr>
      </w:pPr>
    </w:p>
    <w:p w:rsidR="00B931D0" w:rsidRPr="00EA67C4" w:rsidRDefault="00B25B41" w:rsidP="000A5D53">
      <w:pPr>
        <w:tabs>
          <w:tab w:val="left" w:pos="720"/>
        </w:tabs>
        <w:spacing w:line="276" w:lineRule="auto"/>
        <w:jc w:val="both"/>
        <w:rPr>
          <w:szCs w:val="24"/>
        </w:rPr>
      </w:pPr>
      <w:r w:rsidRPr="00EA67C4">
        <w:rPr>
          <w:szCs w:val="24"/>
        </w:rPr>
        <w:t>For the test period, the lead and lag days were determined by a study which analyzed actual transactions for t</w:t>
      </w:r>
      <w:r w:rsidR="0067302A" w:rsidRPr="00EA67C4">
        <w:rPr>
          <w:szCs w:val="24"/>
        </w:rPr>
        <w:t>he twelve months ended June 30, 201</w:t>
      </w:r>
      <w:r w:rsidR="00B41C52" w:rsidRPr="00EA67C4">
        <w:rPr>
          <w:szCs w:val="24"/>
        </w:rPr>
        <w:t>8</w:t>
      </w:r>
      <w:r w:rsidR="0055174F" w:rsidRPr="00EA67C4">
        <w:rPr>
          <w:szCs w:val="24"/>
        </w:rPr>
        <w:t>.</w:t>
      </w:r>
      <w:r w:rsidRPr="00EA67C4">
        <w:rPr>
          <w:szCs w:val="24"/>
        </w:rPr>
        <w:t xml:space="preserve">  Consideration was given to any changes in the Company’s payment policies or procedures which would affect operations during the test year.</w:t>
      </w:r>
      <w:r w:rsidR="00F83D93" w:rsidRPr="00EA67C4">
        <w:rPr>
          <w:szCs w:val="24"/>
        </w:rPr>
        <w:t xml:space="preserve"> </w:t>
      </w:r>
    </w:p>
    <w:p w:rsidR="000A5D53" w:rsidRDefault="000A5D53" w:rsidP="000A5D53">
      <w:pPr>
        <w:tabs>
          <w:tab w:val="left" w:pos="720"/>
        </w:tabs>
        <w:spacing w:line="276" w:lineRule="auto"/>
        <w:jc w:val="both"/>
        <w:rPr>
          <w:szCs w:val="24"/>
        </w:rPr>
      </w:pPr>
    </w:p>
    <w:p w:rsidR="004754DF" w:rsidRPr="00EA67C4" w:rsidRDefault="00F83D93" w:rsidP="000A5D53">
      <w:pPr>
        <w:tabs>
          <w:tab w:val="left" w:pos="720"/>
        </w:tabs>
        <w:spacing w:line="276" w:lineRule="auto"/>
        <w:jc w:val="both"/>
        <w:rPr>
          <w:szCs w:val="24"/>
        </w:rPr>
      </w:pPr>
      <w:r w:rsidRPr="00EA67C4">
        <w:rPr>
          <w:szCs w:val="24"/>
        </w:rPr>
        <w:t>T</w:t>
      </w:r>
      <w:r w:rsidR="00EC7B3E" w:rsidRPr="00EA67C4">
        <w:rPr>
          <w:szCs w:val="24"/>
        </w:rPr>
        <w:t>he C</w:t>
      </w:r>
      <w:r w:rsidR="00940515" w:rsidRPr="00EA67C4">
        <w:rPr>
          <w:szCs w:val="24"/>
        </w:rPr>
        <w:t xml:space="preserve">ompany </w:t>
      </w:r>
      <w:r w:rsidRPr="00EA67C4">
        <w:rPr>
          <w:szCs w:val="24"/>
        </w:rPr>
        <w:t>continues to c</w:t>
      </w:r>
      <w:r w:rsidR="00940515" w:rsidRPr="00EA67C4">
        <w:rPr>
          <w:szCs w:val="24"/>
        </w:rPr>
        <w:t>alculate</w:t>
      </w:r>
      <w:r w:rsidR="004754DF" w:rsidRPr="00EA67C4">
        <w:rPr>
          <w:szCs w:val="24"/>
        </w:rPr>
        <w:t xml:space="preserve"> working capital applicable to municipal franchise fees </w:t>
      </w:r>
      <w:r w:rsidR="00940515" w:rsidRPr="00EA67C4">
        <w:rPr>
          <w:szCs w:val="24"/>
        </w:rPr>
        <w:t xml:space="preserve">separately from the rest </w:t>
      </w:r>
      <w:r w:rsidR="00EC7B3E" w:rsidRPr="00EA67C4">
        <w:rPr>
          <w:szCs w:val="24"/>
        </w:rPr>
        <w:t>of the Company’s cash working capital calculation.</w:t>
      </w:r>
      <w:r w:rsidR="00940515" w:rsidRPr="00EA67C4">
        <w:rPr>
          <w:szCs w:val="24"/>
        </w:rPr>
        <w:t xml:space="preserve">  This separate treatment</w:t>
      </w:r>
      <w:r w:rsidR="00567D37" w:rsidRPr="00EA67C4">
        <w:rPr>
          <w:szCs w:val="24"/>
        </w:rPr>
        <w:t xml:space="preserve"> complies </w:t>
      </w:r>
      <w:r w:rsidR="00940515" w:rsidRPr="00EA67C4">
        <w:rPr>
          <w:szCs w:val="24"/>
        </w:rPr>
        <w:t>with the collection me</w:t>
      </w:r>
      <w:r w:rsidR="008D7424" w:rsidRPr="00EA67C4">
        <w:rPr>
          <w:szCs w:val="24"/>
        </w:rPr>
        <w:t xml:space="preserve">thodology </w:t>
      </w:r>
      <w:r w:rsidR="00343F81" w:rsidRPr="00EA67C4">
        <w:rPr>
          <w:szCs w:val="24"/>
        </w:rPr>
        <w:t>O</w:t>
      </w:r>
      <w:r w:rsidR="008D7424" w:rsidRPr="00EA67C4">
        <w:rPr>
          <w:szCs w:val="24"/>
        </w:rPr>
        <w:t>rder in Docket No. 21112</w:t>
      </w:r>
      <w:r w:rsidR="00FB6D24" w:rsidRPr="00EA67C4">
        <w:rPr>
          <w:szCs w:val="24"/>
        </w:rPr>
        <w:t>.</w:t>
      </w:r>
    </w:p>
    <w:p w:rsidR="000A5D53" w:rsidRDefault="000A5D53" w:rsidP="000A5D53">
      <w:pPr>
        <w:tabs>
          <w:tab w:val="left" w:pos="720"/>
        </w:tabs>
        <w:spacing w:line="276" w:lineRule="auto"/>
        <w:jc w:val="both"/>
        <w:rPr>
          <w:szCs w:val="24"/>
        </w:rPr>
      </w:pPr>
    </w:p>
    <w:p w:rsidR="005D2199" w:rsidRPr="00EA67C4" w:rsidRDefault="00390C3D" w:rsidP="000A5D53">
      <w:pPr>
        <w:tabs>
          <w:tab w:val="left" w:pos="720"/>
        </w:tabs>
        <w:spacing w:line="276" w:lineRule="auto"/>
        <w:jc w:val="both"/>
        <w:rPr>
          <w:szCs w:val="24"/>
        </w:rPr>
      </w:pPr>
      <w:r w:rsidRPr="00EA67C4">
        <w:rPr>
          <w:szCs w:val="24"/>
        </w:rPr>
        <w:t xml:space="preserve">With the exception of the </w:t>
      </w:r>
      <w:r w:rsidR="007D34E3" w:rsidRPr="00EA67C4">
        <w:rPr>
          <w:szCs w:val="24"/>
        </w:rPr>
        <w:t>aforementioned items, t</w:t>
      </w:r>
      <w:r w:rsidR="00547D69" w:rsidRPr="00EA67C4">
        <w:rPr>
          <w:szCs w:val="24"/>
        </w:rPr>
        <w:t>here were no other</w:t>
      </w:r>
      <w:r w:rsidR="007D34E3" w:rsidRPr="00EA67C4">
        <w:rPr>
          <w:szCs w:val="24"/>
        </w:rPr>
        <w:t xml:space="preserve"> significant</w:t>
      </w:r>
      <w:r w:rsidR="00B25B41" w:rsidRPr="00EA67C4">
        <w:rPr>
          <w:szCs w:val="24"/>
        </w:rPr>
        <w:t xml:space="preserve"> unusual conditions or</w:t>
      </w:r>
      <w:r w:rsidR="00547D69" w:rsidRPr="00EA67C4">
        <w:rPr>
          <w:szCs w:val="24"/>
        </w:rPr>
        <w:t xml:space="preserve"> prospective changes identified.  All other</w:t>
      </w:r>
      <w:r w:rsidR="00B25B41" w:rsidRPr="00EA67C4">
        <w:rPr>
          <w:szCs w:val="24"/>
        </w:rPr>
        <w:t xml:space="preserve"> transactions that occurred during the study period are representative of the test period and no adjustments were made.  The development of the lead-lag day</w:t>
      </w:r>
      <w:r w:rsidR="005D2199" w:rsidRPr="00EA67C4">
        <w:rPr>
          <w:szCs w:val="24"/>
        </w:rPr>
        <w:t>s is discussed in detail below.</w:t>
      </w:r>
    </w:p>
    <w:p w:rsidR="005D2199" w:rsidRPr="00EA67C4" w:rsidRDefault="005D2199" w:rsidP="000A5D53">
      <w:pPr>
        <w:tabs>
          <w:tab w:val="left" w:pos="720"/>
        </w:tabs>
        <w:spacing w:line="276" w:lineRule="auto"/>
        <w:jc w:val="both"/>
        <w:rPr>
          <w:szCs w:val="24"/>
        </w:rPr>
      </w:pPr>
    </w:p>
    <w:p w:rsidR="00567D37" w:rsidRPr="00EA67C4" w:rsidRDefault="00567D37" w:rsidP="000A5D53">
      <w:pPr>
        <w:spacing w:line="276" w:lineRule="auto"/>
        <w:rPr>
          <w:b/>
          <w:szCs w:val="24"/>
        </w:rPr>
      </w:pPr>
      <w:r w:rsidRPr="00EA67C4">
        <w:rPr>
          <w:b/>
          <w:szCs w:val="24"/>
        </w:rPr>
        <w:br w:type="page"/>
      </w:r>
    </w:p>
    <w:p w:rsidR="00B25B41" w:rsidRDefault="00B25B41" w:rsidP="000A5D53">
      <w:pPr>
        <w:tabs>
          <w:tab w:val="left" w:pos="720"/>
        </w:tabs>
        <w:spacing w:line="276" w:lineRule="auto"/>
        <w:jc w:val="both"/>
        <w:rPr>
          <w:b/>
          <w:szCs w:val="24"/>
        </w:rPr>
      </w:pPr>
      <w:r w:rsidRPr="00EA67C4">
        <w:rPr>
          <w:b/>
          <w:szCs w:val="24"/>
        </w:rPr>
        <w:lastRenderedPageBreak/>
        <w:t>LAG DAYS</w:t>
      </w:r>
    </w:p>
    <w:p w:rsidR="000A5D53" w:rsidRPr="00EA67C4" w:rsidRDefault="000A5D53" w:rsidP="000A5D53">
      <w:pPr>
        <w:tabs>
          <w:tab w:val="left" w:pos="720"/>
        </w:tabs>
        <w:spacing w:line="276" w:lineRule="auto"/>
        <w:jc w:val="both"/>
        <w:rPr>
          <w:szCs w:val="24"/>
        </w:rPr>
      </w:pPr>
    </w:p>
    <w:p w:rsidR="00B25B41" w:rsidRDefault="00523C22" w:rsidP="000A5D53">
      <w:pPr>
        <w:tabs>
          <w:tab w:val="left" w:pos="720"/>
        </w:tabs>
        <w:spacing w:line="276" w:lineRule="auto"/>
        <w:ind w:left="720" w:hanging="720"/>
        <w:jc w:val="both"/>
        <w:rPr>
          <w:b/>
          <w:szCs w:val="24"/>
          <w:u w:val="single"/>
        </w:rPr>
      </w:pPr>
      <w:r w:rsidRPr="00EA67C4">
        <w:rPr>
          <w:b/>
          <w:szCs w:val="24"/>
          <w:u w:val="single"/>
        </w:rPr>
        <w:t xml:space="preserve">Operating </w:t>
      </w:r>
      <w:r w:rsidR="00B25B41" w:rsidRPr="00EA67C4">
        <w:rPr>
          <w:b/>
          <w:szCs w:val="24"/>
          <w:u w:val="single"/>
        </w:rPr>
        <w:t>Revenue Lag</w:t>
      </w:r>
    </w:p>
    <w:p w:rsidR="000A5D53" w:rsidRPr="00EA67C4" w:rsidRDefault="000A5D53" w:rsidP="000A5D53">
      <w:pPr>
        <w:tabs>
          <w:tab w:val="left" w:pos="720"/>
        </w:tabs>
        <w:spacing w:line="276" w:lineRule="auto"/>
        <w:ind w:left="720" w:hanging="720"/>
        <w:jc w:val="both"/>
        <w:rPr>
          <w:b/>
          <w:szCs w:val="24"/>
          <w:u w:val="single"/>
        </w:rPr>
      </w:pPr>
    </w:p>
    <w:p w:rsidR="00B25B41" w:rsidRPr="00EA67C4" w:rsidRDefault="00B25B41" w:rsidP="000A5D53">
      <w:pPr>
        <w:tabs>
          <w:tab w:val="left" w:pos="720"/>
        </w:tabs>
        <w:spacing w:line="276" w:lineRule="auto"/>
        <w:jc w:val="both"/>
        <w:rPr>
          <w:szCs w:val="24"/>
        </w:rPr>
      </w:pPr>
      <w:r w:rsidRPr="00EA67C4">
        <w:rPr>
          <w:szCs w:val="24"/>
        </w:rPr>
        <w:t>The</w:t>
      </w:r>
      <w:r w:rsidR="00523C22" w:rsidRPr="00EA67C4">
        <w:rPr>
          <w:szCs w:val="24"/>
        </w:rPr>
        <w:t xml:space="preserve"> Operating Revenue Lag </w:t>
      </w:r>
      <w:r w:rsidRPr="00EA67C4">
        <w:rPr>
          <w:szCs w:val="24"/>
        </w:rPr>
        <w:t>was determined based on a weighted average calculation for Retail Revenue lag and Other</w:t>
      </w:r>
      <w:r w:rsidR="006F130C" w:rsidRPr="00EA67C4">
        <w:rPr>
          <w:szCs w:val="24"/>
        </w:rPr>
        <w:t xml:space="preserve"> Operating</w:t>
      </w:r>
      <w:r w:rsidRPr="00EA67C4">
        <w:rPr>
          <w:szCs w:val="24"/>
        </w:rPr>
        <w:t xml:space="preserve"> Revenue lag.  Retail Revenue lag was determined by first measuring the average period of service.  The Company reads its meters once a month on a cycle basis.  Therefore, th</w:t>
      </w:r>
      <w:r w:rsidR="00BE294B" w:rsidRPr="00EA67C4">
        <w:rPr>
          <w:szCs w:val="24"/>
        </w:rPr>
        <w:t>e</w:t>
      </w:r>
      <w:r w:rsidR="00A24D9F" w:rsidRPr="00EA67C4">
        <w:rPr>
          <w:szCs w:val="24"/>
        </w:rPr>
        <w:t xml:space="preserve"> average service period is 30.4</w:t>
      </w:r>
      <w:r w:rsidR="00567D37" w:rsidRPr="00EA67C4">
        <w:rPr>
          <w:szCs w:val="24"/>
        </w:rPr>
        <w:t>2</w:t>
      </w:r>
      <w:r w:rsidRPr="00EA67C4">
        <w:rPr>
          <w:szCs w:val="24"/>
        </w:rPr>
        <w:t xml:space="preserve"> days (365 / 12).  Since it is reasonable to assume that service is rendered evenly during this average service period, the midpoint of the period can be used as a proxy for the date that service was rendered.  Thus, the average period of time from receipt of service until the meter is read is 15.2</w:t>
      </w:r>
      <w:r w:rsidR="00567D37" w:rsidRPr="00EA67C4">
        <w:rPr>
          <w:szCs w:val="24"/>
        </w:rPr>
        <w:t>1</w:t>
      </w:r>
      <w:r w:rsidRPr="00EA67C4">
        <w:rPr>
          <w:szCs w:val="24"/>
        </w:rPr>
        <w:t xml:space="preserve"> days.</w:t>
      </w:r>
    </w:p>
    <w:p w:rsidR="000A5D53" w:rsidRDefault="000A5D53" w:rsidP="000A5D53">
      <w:pPr>
        <w:tabs>
          <w:tab w:val="left" w:pos="720"/>
        </w:tabs>
        <w:spacing w:line="276" w:lineRule="auto"/>
        <w:jc w:val="both"/>
        <w:rPr>
          <w:szCs w:val="24"/>
        </w:rPr>
      </w:pPr>
    </w:p>
    <w:p w:rsidR="00B25B41" w:rsidRPr="00EA67C4" w:rsidRDefault="00B25B41" w:rsidP="000A5D53">
      <w:pPr>
        <w:tabs>
          <w:tab w:val="left" w:pos="720"/>
        </w:tabs>
        <w:spacing w:line="276" w:lineRule="auto"/>
        <w:jc w:val="both"/>
        <w:rPr>
          <w:szCs w:val="24"/>
        </w:rPr>
      </w:pPr>
      <w:r w:rsidRPr="00EA67C4">
        <w:rPr>
          <w:szCs w:val="24"/>
        </w:rPr>
        <w:t>Second, the period from the meter reading date to the billing date was measured.  T</w:t>
      </w:r>
      <w:r w:rsidR="002D1358" w:rsidRPr="00EA67C4">
        <w:rPr>
          <w:szCs w:val="24"/>
        </w:rPr>
        <w:t>his period averaged a lag of</w:t>
      </w:r>
      <w:r w:rsidR="006F130C" w:rsidRPr="00EA67C4">
        <w:rPr>
          <w:szCs w:val="24"/>
        </w:rPr>
        <w:t xml:space="preserve"> 0</w:t>
      </w:r>
      <w:r w:rsidR="002D1358" w:rsidRPr="00EA67C4">
        <w:rPr>
          <w:szCs w:val="24"/>
        </w:rPr>
        <w:t>.</w:t>
      </w:r>
      <w:r w:rsidR="00B41C52" w:rsidRPr="00EA67C4">
        <w:rPr>
          <w:szCs w:val="24"/>
        </w:rPr>
        <w:t>4</w:t>
      </w:r>
      <w:r w:rsidR="00500ED4" w:rsidRPr="00EA67C4">
        <w:rPr>
          <w:szCs w:val="24"/>
        </w:rPr>
        <w:t>0</w:t>
      </w:r>
      <w:r w:rsidRPr="00EA67C4">
        <w:rPr>
          <w:szCs w:val="24"/>
        </w:rPr>
        <w:t xml:space="preserve"> days.  This lag was calculated based on information obtained from the Company’s monthly meter reading and data processing schedules for each billing cycle.</w:t>
      </w:r>
    </w:p>
    <w:p w:rsidR="000A5D53" w:rsidRDefault="000A5D53" w:rsidP="000A5D53">
      <w:pPr>
        <w:tabs>
          <w:tab w:val="left" w:pos="720"/>
        </w:tabs>
        <w:spacing w:line="276" w:lineRule="auto"/>
        <w:jc w:val="both"/>
        <w:rPr>
          <w:szCs w:val="24"/>
        </w:rPr>
      </w:pPr>
    </w:p>
    <w:p w:rsidR="00B25B41" w:rsidRPr="00EA67C4" w:rsidRDefault="00B25B41" w:rsidP="000A5D53">
      <w:pPr>
        <w:tabs>
          <w:tab w:val="left" w:pos="720"/>
        </w:tabs>
        <w:spacing w:line="276" w:lineRule="auto"/>
        <w:jc w:val="both"/>
        <w:rPr>
          <w:szCs w:val="24"/>
        </w:rPr>
      </w:pPr>
      <w:r w:rsidRPr="00EA67C4">
        <w:rPr>
          <w:szCs w:val="24"/>
        </w:rPr>
        <w:t>Finally, the average lag from the billing date to the collection date was determined based on a calculation of the average revenue days in accounts receivable.  This calculation indicates that this po</w:t>
      </w:r>
      <w:r w:rsidR="00523C22" w:rsidRPr="00EA67C4">
        <w:rPr>
          <w:szCs w:val="24"/>
        </w:rPr>
        <w:t xml:space="preserve">rtion of the revenue lag is </w:t>
      </w:r>
      <w:r w:rsidR="00B41C52" w:rsidRPr="00EA67C4">
        <w:rPr>
          <w:szCs w:val="24"/>
        </w:rPr>
        <w:t>19.0</w:t>
      </w:r>
      <w:r w:rsidR="00500ED4" w:rsidRPr="00EA67C4">
        <w:rPr>
          <w:szCs w:val="24"/>
        </w:rPr>
        <w:t>9</w:t>
      </w:r>
      <w:r w:rsidRPr="00EA67C4">
        <w:rPr>
          <w:szCs w:val="24"/>
        </w:rPr>
        <w:t xml:space="preserve"> days.  Adding the three com</w:t>
      </w:r>
      <w:r w:rsidR="00523C22" w:rsidRPr="00EA67C4">
        <w:rPr>
          <w:szCs w:val="24"/>
        </w:rPr>
        <w:t>ponents together provides a</w:t>
      </w:r>
      <w:r w:rsidR="006F130C" w:rsidRPr="00EA67C4">
        <w:rPr>
          <w:szCs w:val="24"/>
        </w:rPr>
        <w:t xml:space="preserve"> lag day of</w:t>
      </w:r>
      <w:r w:rsidR="00523C22" w:rsidRPr="00EA67C4">
        <w:rPr>
          <w:szCs w:val="24"/>
        </w:rPr>
        <w:t xml:space="preserve"> </w:t>
      </w:r>
      <w:r w:rsidR="00B41C52" w:rsidRPr="00EA67C4">
        <w:rPr>
          <w:szCs w:val="24"/>
        </w:rPr>
        <w:t>34.</w:t>
      </w:r>
      <w:r w:rsidR="00500ED4" w:rsidRPr="00EA67C4">
        <w:rPr>
          <w:szCs w:val="24"/>
        </w:rPr>
        <w:t>70</w:t>
      </w:r>
      <w:r w:rsidR="006F130C" w:rsidRPr="00EA67C4">
        <w:rPr>
          <w:szCs w:val="24"/>
        </w:rPr>
        <w:t xml:space="preserve"> </w:t>
      </w:r>
      <w:r w:rsidRPr="00EA67C4">
        <w:rPr>
          <w:szCs w:val="24"/>
        </w:rPr>
        <w:t xml:space="preserve">in the collection of revenues for services rendered to retail customers.  </w:t>
      </w:r>
    </w:p>
    <w:p w:rsidR="000A5D53" w:rsidRDefault="000A5D53" w:rsidP="000A5D53">
      <w:pPr>
        <w:tabs>
          <w:tab w:val="left" w:pos="720"/>
        </w:tabs>
        <w:spacing w:line="276" w:lineRule="auto"/>
        <w:jc w:val="both"/>
        <w:rPr>
          <w:szCs w:val="24"/>
        </w:rPr>
      </w:pPr>
    </w:p>
    <w:p w:rsidR="00927D46" w:rsidRPr="00EA67C4" w:rsidRDefault="00B25B41" w:rsidP="000A5D53">
      <w:pPr>
        <w:tabs>
          <w:tab w:val="left" w:pos="720"/>
        </w:tabs>
        <w:spacing w:line="276" w:lineRule="auto"/>
        <w:jc w:val="both"/>
        <w:rPr>
          <w:szCs w:val="24"/>
        </w:rPr>
      </w:pPr>
      <w:r w:rsidRPr="00EA67C4">
        <w:rPr>
          <w:szCs w:val="24"/>
        </w:rPr>
        <w:t xml:space="preserve">Other </w:t>
      </w:r>
      <w:r w:rsidR="006F130C" w:rsidRPr="00EA67C4">
        <w:rPr>
          <w:szCs w:val="24"/>
        </w:rPr>
        <w:t>Operating Revenues represent</w:t>
      </w:r>
      <w:r w:rsidR="00B346CF" w:rsidRPr="00EA67C4">
        <w:rPr>
          <w:szCs w:val="24"/>
        </w:rPr>
        <w:t xml:space="preserve"> revenues</w:t>
      </w:r>
      <w:r w:rsidR="006F130C" w:rsidRPr="00EA67C4">
        <w:rPr>
          <w:szCs w:val="24"/>
        </w:rPr>
        <w:t xml:space="preserve"> </w:t>
      </w:r>
      <w:r w:rsidRPr="00EA67C4">
        <w:rPr>
          <w:szCs w:val="24"/>
        </w:rPr>
        <w:t>for services and charges billed to customers which are not specifically provided for in the retail revenue accounts.  These revenues include rents received for the use of company facilities</w:t>
      </w:r>
      <w:r w:rsidR="00A51364" w:rsidRPr="00EA67C4">
        <w:rPr>
          <w:szCs w:val="24"/>
        </w:rPr>
        <w:t xml:space="preserve"> and equipment</w:t>
      </w:r>
      <w:r w:rsidRPr="00EA67C4">
        <w:rPr>
          <w:szCs w:val="24"/>
        </w:rPr>
        <w:t>, account establishment charges,</w:t>
      </w:r>
      <w:r w:rsidR="00523C22" w:rsidRPr="00EA67C4">
        <w:rPr>
          <w:szCs w:val="24"/>
        </w:rPr>
        <w:t xml:space="preserve"> late payment fees</w:t>
      </w:r>
      <w:r w:rsidRPr="00EA67C4">
        <w:rPr>
          <w:szCs w:val="24"/>
        </w:rPr>
        <w:t xml:space="preserve"> and other revenues derived from electric operations.  Other </w:t>
      </w:r>
      <w:r w:rsidR="006F130C" w:rsidRPr="00EA67C4">
        <w:rPr>
          <w:szCs w:val="24"/>
        </w:rPr>
        <w:t xml:space="preserve">Operating </w:t>
      </w:r>
      <w:r w:rsidRPr="00EA67C4">
        <w:rPr>
          <w:szCs w:val="24"/>
        </w:rPr>
        <w:t xml:space="preserve">Revenue lag was determined by calculating the days from the midpoint of the service period to the date the customer payment was received for </w:t>
      </w:r>
      <w:r w:rsidR="00A51364" w:rsidRPr="00EA67C4">
        <w:rPr>
          <w:szCs w:val="24"/>
        </w:rPr>
        <w:t xml:space="preserve">the respective </w:t>
      </w:r>
      <w:r w:rsidRPr="00EA67C4">
        <w:rPr>
          <w:szCs w:val="24"/>
        </w:rPr>
        <w:t>service account</w:t>
      </w:r>
      <w:r w:rsidR="00A51364" w:rsidRPr="00EA67C4">
        <w:rPr>
          <w:szCs w:val="24"/>
        </w:rPr>
        <w:t>s</w:t>
      </w:r>
      <w:r w:rsidRPr="00EA67C4">
        <w:rPr>
          <w:szCs w:val="24"/>
        </w:rPr>
        <w:t xml:space="preserve">. </w:t>
      </w:r>
      <w:r w:rsidR="00C04EA2" w:rsidRPr="00EA67C4">
        <w:rPr>
          <w:szCs w:val="24"/>
        </w:rPr>
        <w:t xml:space="preserve">A review of all </w:t>
      </w:r>
      <w:r w:rsidR="003463A0" w:rsidRPr="00EA67C4">
        <w:rPr>
          <w:szCs w:val="24"/>
        </w:rPr>
        <w:t>O</w:t>
      </w:r>
      <w:r w:rsidR="00C04EA2" w:rsidRPr="00EA67C4">
        <w:rPr>
          <w:szCs w:val="24"/>
        </w:rPr>
        <w:t xml:space="preserve">ther </w:t>
      </w:r>
      <w:r w:rsidR="006F130C" w:rsidRPr="00EA67C4">
        <w:rPr>
          <w:szCs w:val="24"/>
        </w:rPr>
        <w:t xml:space="preserve">Operating </w:t>
      </w:r>
      <w:r w:rsidR="003463A0" w:rsidRPr="00EA67C4">
        <w:rPr>
          <w:szCs w:val="24"/>
        </w:rPr>
        <w:t>R</w:t>
      </w:r>
      <w:r w:rsidR="00C04EA2" w:rsidRPr="00EA67C4">
        <w:rPr>
          <w:szCs w:val="24"/>
        </w:rPr>
        <w:t xml:space="preserve">evenue accounts was impractical due to the large </w:t>
      </w:r>
      <w:r w:rsidR="0003522B" w:rsidRPr="00EA67C4">
        <w:rPr>
          <w:szCs w:val="24"/>
        </w:rPr>
        <w:t xml:space="preserve">volume of transactions.  </w:t>
      </w:r>
      <w:r w:rsidR="00500ED4" w:rsidRPr="00EA67C4">
        <w:rPr>
          <w:szCs w:val="24"/>
        </w:rPr>
        <w:t xml:space="preserve">Instead, Other </w:t>
      </w:r>
      <w:r w:rsidR="006F130C" w:rsidRPr="00EA67C4">
        <w:rPr>
          <w:szCs w:val="24"/>
        </w:rPr>
        <w:t xml:space="preserve">Operating </w:t>
      </w:r>
      <w:r w:rsidR="00500ED4" w:rsidRPr="00EA67C4">
        <w:rPr>
          <w:szCs w:val="24"/>
        </w:rPr>
        <w:t>Revenue accounts were analyzed that represented over 9</w:t>
      </w:r>
      <w:r w:rsidR="00E352B8" w:rsidRPr="00EA67C4">
        <w:rPr>
          <w:szCs w:val="24"/>
        </w:rPr>
        <w:t>8</w:t>
      </w:r>
      <w:r w:rsidR="00500ED4" w:rsidRPr="00EA67C4">
        <w:rPr>
          <w:szCs w:val="24"/>
        </w:rPr>
        <w:t>% of total Other</w:t>
      </w:r>
      <w:r w:rsidR="006F130C" w:rsidRPr="00EA67C4">
        <w:rPr>
          <w:szCs w:val="24"/>
        </w:rPr>
        <w:t xml:space="preserve"> Operating</w:t>
      </w:r>
      <w:r w:rsidR="00500ED4" w:rsidRPr="00EA67C4">
        <w:rPr>
          <w:szCs w:val="24"/>
        </w:rPr>
        <w:t xml:space="preserve"> Revenue.</w:t>
      </w:r>
      <w:r w:rsidR="00C04EA2" w:rsidRPr="00EA67C4">
        <w:rPr>
          <w:szCs w:val="24"/>
        </w:rPr>
        <w:t xml:space="preserve"> </w:t>
      </w:r>
      <w:r w:rsidR="00500ED4" w:rsidRPr="00EA67C4">
        <w:rPr>
          <w:szCs w:val="24"/>
        </w:rPr>
        <w:t xml:space="preserve"> </w:t>
      </w:r>
      <w:r w:rsidRPr="00EA67C4">
        <w:rPr>
          <w:szCs w:val="24"/>
        </w:rPr>
        <w:t>The overall weighted</w:t>
      </w:r>
      <w:r w:rsidR="002D1358" w:rsidRPr="00EA67C4">
        <w:rPr>
          <w:szCs w:val="24"/>
        </w:rPr>
        <w:t xml:space="preserve"> lag for Other </w:t>
      </w:r>
      <w:r w:rsidR="006F130C" w:rsidRPr="00EA67C4">
        <w:rPr>
          <w:szCs w:val="24"/>
        </w:rPr>
        <w:t xml:space="preserve">Operating </w:t>
      </w:r>
      <w:r w:rsidR="002D1358" w:rsidRPr="00EA67C4">
        <w:rPr>
          <w:szCs w:val="24"/>
        </w:rPr>
        <w:t xml:space="preserve">Revenue was </w:t>
      </w:r>
      <w:r w:rsidR="00500ED4" w:rsidRPr="00EA67C4">
        <w:rPr>
          <w:szCs w:val="24"/>
        </w:rPr>
        <w:t>1</w:t>
      </w:r>
      <w:r w:rsidR="00E352B8" w:rsidRPr="00EA67C4">
        <w:rPr>
          <w:szCs w:val="24"/>
        </w:rPr>
        <w:t>11.03</w:t>
      </w:r>
      <w:r w:rsidRPr="00EA67C4">
        <w:rPr>
          <w:szCs w:val="24"/>
        </w:rPr>
        <w:t xml:space="preserve"> days.  The overall weighted lag for </w:t>
      </w:r>
      <w:r w:rsidR="00523C22" w:rsidRPr="00EA67C4">
        <w:rPr>
          <w:szCs w:val="24"/>
        </w:rPr>
        <w:t>T</w:t>
      </w:r>
      <w:r w:rsidRPr="00EA67C4">
        <w:rPr>
          <w:szCs w:val="24"/>
        </w:rPr>
        <w:t>otal</w:t>
      </w:r>
      <w:r w:rsidR="00523C22" w:rsidRPr="00EA67C4">
        <w:rPr>
          <w:szCs w:val="24"/>
        </w:rPr>
        <w:t xml:space="preserve"> Revenues</w:t>
      </w:r>
      <w:r w:rsidRPr="00EA67C4">
        <w:rPr>
          <w:szCs w:val="24"/>
        </w:rPr>
        <w:t xml:space="preserve"> (including Retail Reve</w:t>
      </w:r>
      <w:r w:rsidR="005C7723" w:rsidRPr="00EA67C4">
        <w:rPr>
          <w:szCs w:val="24"/>
        </w:rPr>
        <w:t>nue</w:t>
      </w:r>
      <w:r w:rsidR="006F130C" w:rsidRPr="00EA67C4">
        <w:rPr>
          <w:szCs w:val="24"/>
        </w:rPr>
        <w:t>s</w:t>
      </w:r>
      <w:r w:rsidR="005C7723" w:rsidRPr="00EA67C4">
        <w:rPr>
          <w:szCs w:val="24"/>
        </w:rPr>
        <w:t xml:space="preserve"> and Other </w:t>
      </w:r>
      <w:r w:rsidR="003F6A41" w:rsidRPr="00EA67C4">
        <w:rPr>
          <w:szCs w:val="24"/>
        </w:rPr>
        <w:t xml:space="preserve">Operating </w:t>
      </w:r>
      <w:r w:rsidR="005C7723" w:rsidRPr="00EA67C4">
        <w:rPr>
          <w:szCs w:val="24"/>
        </w:rPr>
        <w:t>Revenue</w:t>
      </w:r>
      <w:r w:rsidR="006F130C" w:rsidRPr="00EA67C4">
        <w:rPr>
          <w:szCs w:val="24"/>
        </w:rPr>
        <w:t>s</w:t>
      </w:r>
      <w:r w:rsidR="005C7723" w:rsidRPr="00EA67C4">
        <w:rPr>
          <w:szCs w:val="24"/>
        </w:rPr>
        <w:t>) is</w:t>
      </w:r>
      <w:r w:rsidR="00C00ECF" w:rsidRPr="00EA67C4">
        <w:rPr>
          <w:szCs w:val="24"/>
        </w:rPr>
        <w:t xml:space="preserve"> </w:t>
      </w:r>
      <w:r w:rsidR="005C5E7F" w:rsidRPr="00EA67C4">
        <w:rPr>
          <w:szCs w:val="24"/>
        </w:rPr>
        <w:t>37.08</w:t>
      </w:r>
      <w:r w:rsidR="00500ED4" w:rsidRPr="00EA67C4">
        <w:rPr>
          <w:szCs w:val="24"/>
        </w:rPr>
        <w:t xml:space="preserve"> days.  </w:t>
      </w:r>
    </w:p>
    <w:p w:rsidR="009A17DC" w:rsidRPr="00EA67C4" w:rsidRDefault="009A17DC" w:rsidP="000A5D53">
      <w:pPr>
        <w:tabs>
          <w:tab w:val="left" w:pos="720"/>
        </w:tabs>
        <w:spacing w:line="276" w:lineRule="auto"/>
        <w:jc w:val="both"/>
        <w:rPr>
          <w:szCs w:val="24"/>
        </w:rPr>
      </w:pPr>
    </w:p>
    <w:p w:rsidR="00500ED4" w:rsidRDefault="00B25B41" w:rsidP="000A5D53">
      <w:pPr>
        <w:tabs>
          <w:tab w:val="left" w:pos="720"/>
        </w:tabs>
        <w:spacing w:line="276" w:lineRule="auto"/>
        <w:jc w:val="both"/>
        <w:rPr>
          <w:b/>
          <w:szCs w:val="24"/>
        </w:rPr>
      </w:pPr>
      <w:r w:rsidRPr="00EA67C4">
        <w:rPr>
          <w:b/>
          <w:szCs w:val="24"/>
        </w:rPr>
        <w:t>LEAD DAYS</w:t>
      </w:r>
    </w:p>
    <w:p w:rsidR="000A5D53" w:rsidRPr="00EA67C4" w:rsidRDefault="000A5D53" w:rsidP="000A5D53">
      <w:pPr>
        <w:tabs>
          <w:tab w:val="left" w:pos="720"/>
        </w:tabs>
        <w:spacing w:line="276" w:lineRule="auto"/>
        <w:jc w:val="both"/>
        <w:rPr>
          <w:szCs w:val="24"/>
        </w:rPr>
      </w:pPr>
    </w:p>
    <w:p w:rsidR="00B25B41" w:rsidRDefault="00B25B41" w:rsidP="000A5D53">
      <w:pPr>
        <w:tabs>
          <w:tab w:val="left" w:pos="720"/>
        </w:tabs>
        <w:spacing w:line="276" w:lineRule="auto"/>
        <w:ind w:left="720" w:hanging="720"/>
        <w:jc w:val="both"/>
        <w:rPr>
          <w:b/>
          <w:szCs w:val="24"/>
          <w:u w:val="single"/>
        </w:rPr>
      </w:pPr>
      <w:r w:rsidRPr="00EA67C4">
        <w:rPr>
          <w:b/>
          <w:szCs w:val="24"/>
          <w:u w:val="single"/>
        </w:rPr>
        <w:t>Fuel</w:t>
      </w:r>
      <w:r w:rsidR="00711FD2" w:rsidRPr="00EA67C4">
        <w:rPr>
          <w:b/>
          <w:szCs w:val="24"/>
          <w:u w:val="single"/>
        </w:rPr>
        <w:t>s Other Than Nuclear</w:t>
      </w:r>
    </w:p>
    <w:p w:rsidR="000A5D53" w:rsidRPr="00EA67C4" w:rsidRDefault="000A5D53" w:rsidP="000A5D53">
      <w:pPr>
        <w:tabs>
          <w:tab w:val="left" w:pos="720"/>
        </w:tabs>
        <w:spacing w:line="276" w:lineRule="auto"/>
        <w:ind w:left="720" w:hanging="720"/>
        <w:jc w:val="both"/>
        <w:rPr>
          <w:b/>
          <w:szCs w:val="24"/>
          <w:u w:val="single"/>
        </w:rPr>
      </w:pPr>
    </w:p>
    <w:p w:rsidR="003F5A22" w:rsidRPr="00EA67C4" w:rsidRDefault="00B25B41" w:rsidP="000A5D53">
      <w:pPr>
        <w:tabs>
          <w:tab w:val="left" w:pos="720"/>
        </w:tabs>
        <w:spacing w:line="276" w:lineRule="auto"/>
        <w:jc w:val="both"/>
        <w:rPr>
          <w:szCs w:val="24"/>
        </w:rPr>
      </w:pPr>
      <w:r w:rsidRPr="00EA67C4">
        <w:rPr>
          <w:szCs w:val="24"/>
        </w:rPr>
        <w:t>This lead was measured by analyzing the major components of this expense (i.e., coal, oil, gas, freight, and fuel handling costs)</w:t>
      </w:r>
      <w:r w:rsidR="00280A2E" w:rsidRPr="00EA67C4">
        <w:rPr>
          <w:szCs w:val="24"/>
        </w:rPr>
        <w:t>.  D</w:t>
      </w:r>
      <w:r w:rsidR="00B51CED" w:rsidRPr="00EA67C4">
        <w:rPr>
          <w:szCs w:val="24"/>
        </w:rPr>
        <w:t>ue to the volume of invoices during the study period, d</w:t>
      </w:r>
      <w:r w:rsidR="00280A2E" w:rsidRPr="00EA67C4">
        <w:rPr>
          <w:szCs w:val="24"/>
        </w:rPr>
        <w:t>etailed te</w:t>
      </w:r>
      <w:r w:rsidR="00927D46" w:rsidRPr="00EA67C4">
        <w:rPr>
          <w:szCs w:val="24"/>
        </w:rPr>
        <w:t>sts for coal</w:t>
      </w:r>
      <w:r w:rsidR="0084560F" w:rsidRPr="00EA67C4">
        <w:rPr>
          <w:szCs w:val="24"/>
        </w:rPr>
        <w:t xml:space="preserve">, </w:t>
      </w:r>
      <w:r w:rsidR="00927D46" w:rsidRPr="00EA67C4">
        <w:rPr>
          <w:szCs w:val="24"/>
        </w:rPr>
        <w:t>oil</w:t>
      </w:r>
      <w:r w:rsidR="00B51CED" w:rsidRPr="00EA67C4">
        <w:rPr>
          <w:szCs w:val="24"/>
        </w:rPr>
        <w:t>,</w:t>
      </w:r>
      <w:r w:rsidR="00927D46" w:rsidRPr="00EA67C4">
        <w:rPr>
          <w:szCs w:val="24"/>
        </w:rPr>
        <w:t xml:space="preserve"> and freight </w:t>
      </w:r>
      <w:r w:rsidRPr="00EA67C4">
        <w:rPr>
          <w:szCs w:val="24"/>
        </w:rPr>
        <w:t>were performed for a selected month to determine the average lead.  The month selected was representative of normal levels of activity that the Company had experienced and anticipates experiencing in the future.</w:t>
      </w:r>
      <w:r w:rsidR="00A66112" w:rsidRPr="00EA67C4">
        <w:rPr>
          <w:szCs w:val="24"/>
        </w:rPr>
        <w:t xml:space="preserve">  In addition, a review was made of selected transactions from the other representative months during the year, which supported the </w:t>
      </w:r>
      <w:r w:rsidR="00A66112" w:rsidRPr="00EA67C4">
        <w:rPr>
          <w:szCs w:val="24"/>
        </w:rPr>
        <w:lastRenderedPageBreak/>
        <w:t>reasonableness of the sa</w:t>
      </w:r>
      <w:r w:rsidR="00915416" w:rsidRPr="00EA67C4">
        <w:rPr>
          <w:szCs w:val="24"/>
        </w:rPr>
        <w:t>mple lead for these components.</w:t>
      </w:r>
      <w:r w:rsidR="00B51CED" w:rsidRPr="00EA67C4">
        <w:rPr>
          <w:szCs w:val="24"/>
        </w:rPr>
        <w:t xml:space="preserve">  For gas and gas he</w:t>
      </w:r>
      <w:r w:rsidR="005F10C4" w:rsidRPr="00EA67C4">
        <w:rPr>
          <w:szCs w:val="24"/>
        </w:rPr>
        <w:t xml:space="preserve">dge gains and losses, the Company calculated the lead day for all the months due to the limited number of invoices.  </w:t>
      </w:r>
      <w:r w:rsidR="00915416" w:rsidRPr="00EA67C4">
        <w:rPr>
          <w:szCs w:val="24"/>
        </w:rPr>
        <w:t xml:space="preserve">  </w:t>
      </w:r>
      <w:r w:rsidRPr="00EA67C4">
        <w:rPr>
          <w:szCs w:val="24"/>
        </w:rPr>
        <w:tab/>
      </w:r>
    </w:p>
    <w:p w:rsidR="000A5D53" w:rsidRDefault="000A5D53" w:rsidP="000A5D53">
      <w:pPr>
        <w:tabs>
          <w:tab w:val="left" w:pos="720"/>
        </w:tabs>
        <w:spacing w:line="276" w:lineRule="auto"/>
        <w:jc w:val="both"/>
        <w:rPr>
          <w:szCs w:val="24"/>
        </w:rPr>
      </w:pPr>
    </w:p>
    <w:p w:rsidR="00B25B41" w:rsidRPr="00EA67C4" w:rsidRDefault="00B25B41" w:rsidP="000A5D53">
      <w:pPr>
        <w:tabs>
          <w:tab w:val="left" w:pos="720"/>
        </w:tabs>
        <w:spacing w:line="276" w:lineRule="auto"/>
        <w:jc w:val="both"/>
        <w:rPr>
          <w:szCs w:val="24"/>
        </w:rPr>
      </w:pPr>
      <w:r w:rsidRPr="00EA67C4">
        <w:rPr>
          <w:szCs w:val="24"/>
        </w:rPr>
        <w:t>The lead for coal was calculated from the shipment date</w:t>
      </w:r>
      <w:r w:rsidR="008553C9" w:rsidRPr="00EA67C4">
        <w:rPr>
          <w:szCs w:val="24"/>
        </w:rPr>
        <w:t xml:space="preserve"> (which is the date the Company takes ownership of the coal)</w:t>
      </w:r>
      <w:r w:rsidRPr="00EA67C4">
        <w:rPr>
          <w:szCs w:val="24"/>
        </w:rPr>
        <w:t xml:space="preserve"> to the date of payment to vendors.  The lead for oil, gas, and freight was calculated from the date of receipt by the Company to the date of payment to the vendors.  Since inventories are included in rate base, the lead calculation assumed that all fuel received was immediately </w:t>
      </w:r>
      <w:r w:rsidR="00B41C52" w:rsidRPr="00EA67C4">
        <w:rPr>
          <w:szCs w:val="24"/>
        </w:rPr>
        <w:t>consumed and</w:t>
      </w:r>
      <w:r w:rsidRPr="00EA67C4">
        <w:rPr>
          <w:szCs w:val="24"/>
        </w:rPr>
        <w:t xml:space="preserve"> ignored the period of time these items may have resided in inventories.</w:t>
      </w:r>
    </w:p>
    <w:p w:rsidR="000A5D53" w:rsidRDefault="000A5D53" w:rsidP="000A5D53">
      <w:pPr>
        <w:tabs>
          <w:tab w:val="left" w:pos="720"/>
        </w:tabs>
        <w:spacing w:line="276" w:lineRule="auto"/>
        <w:jc w:val="both"/>
        <w:rPr>
          <w:szCs w:val="24"/>
        </w:rPr>
      </w:pPr>
    </w:p>
    <w:p w:rsidR="008C62FF" w:rsidRPr="00EA67C4" w:rsidRDefault="00111F83" w:rsidP="000A5D53">
      <w:pPr>
        <w:tabs>
          <w:tab w:val="left" w:pos="720"/>
        </w:tabs>
        <w:spacing w:line="276" w:lineRule="auto"/>
        <w:jc w:val="both"/>
        <w:rPr>
          <w:szCs w:val="24"/>
        </w:rPr>
      </w:pPr>
      <w:r w:rsidRPr="00EA67C4">
        <w:rPr>
          <w:szCs w:val="24"/>
        </w:rPr>
        <w:t xml:space="preserve">The lead days for gas hedges were calculated by the hedge month (which corresponds to the month the amounts were booked to </w:t>
      </w:r>
      <w:r w:rsidR="005F10C4" w:rsidRPr="00EA67C4">
        <w:rPr>
          <w:szCs w:val="24"/>
        </w:rPr>
        <w:t>fuel expenses</w:t>
      </w:r>
      <w:r w:rsidRPr="00EA67C4">
        <w:rPr>
          <w:szCs w:val="24"/>
        </w:rPr>
        <w:t xml:space="preserve">) to the date payment was made or received. </w:t>
      </w:r>
    </w:p>
    <w:p w:rsidR="000A5D53" w:rsidRDefault="000A5D53" w:rsidP="000A5D53">
      <w:pPr>
        <w:tabs>
          <w:tab w:val="left" w:pos="720"/>
        </w:tabs>
        <w:spacing w:line="276" w:lineRule="auto"/>
        <w:jc w:val="both"/>
        <w:rPr>
          <w:szCs w:val="24"/>
        </w:rPr>
      </w:pPr>
    </w:p>
    <w:p w:rsidR="00B25B41" w:rsidRPr="00EA67C4" w:rsidRDefault="00B25B41" w:rsidP="000A5D53">
      <w:pPr>
        <w:tabs>
          <w:tab w:val="left" w:pos="720"/>
        </w:tabs>
        <w:spacing w:line="276" w:lineRule="auto"/>
        <w:jc w:val="both"/>
        <w:rPr>
          <w:szCs w:val="24"/>
        </w:rPr>
      </w:pPr>
      <w:r w:rsidRPr="00EA67C4">
        <w:rPr>
          <w:szCs w:val="24"/>
        </w:rPr>
        <w:t>The lead for fuel handling was determined by separating the costs for the study period by the source of the expense (i.e., labor and accounts payable).  These costs were then weighted by the applicable lead for each source to determine the weighted average lead.</w:t>
      </w:r>
    </w:p>
    <w:p w:rsidR="000A5D53" w:rsidRDefault="000A5D53" w:rsidP="000A5D53">
      <w:pPr>
        <w:tabs>
          <w:tab w:val="left" w:pos="720"/>
        </w:tabs>
        <w:spacing w:line="276" w:lineRule="auto"/>
        <w:jc w:val="both"/>
        <w:rPr>
          <w:szCs w:val="24"/>
        </w:rPr>
      </w:pPr>
    </w:p>
    <w:p w:rsidR="00500ED4" w:rsidRPr="00EA67C4" w:rsidRDefault="00B25B41" w:rsidP="000A5D53">
      <w:pPr>
        <w:tabs>
          <w:tab w:val="left" w:pos="720"/>
        </w:tabs>
        <w:spacing w:line="276" w:lineRule="auto"/>
        <w:jc w:val="both"/>
        <w:rPr>
          <w:szCs w:val="24"/>
        </w:rPr>
      </w:pPr>
      <w:r w:rsidRPr="00EA67C4">
        <w:rPr>
          <w:szCs w:val="24"/>
        </w:rPr>
        <w:t>The Company pays the use tax on its fuel purchases directly to the State.  Since the lead period for use tax is longer than for fuel invoices, an adjustment is factored into the fuel lead to reflect this fact.  The total number of lead days applicable to fuel (other than nu</w:t>
      </w:r>
      <w:r w:rsidR="00FD293E" w:rsidRPr="00EA67C4">
        <w:rPr>
          <w:szCs w:val="24"/>
        </w:rPr>
        <w:t xml:space="preserve">clear) was determined to be </w:t>
      </w:r>
      <w:r w:rsidR="00D576AD" w:rsidRPr="00EA67C4">
        <w:rPr>
          <w:szCs w:val="24"/>
        </w:rPr>
        <w:t>27.</w:t>
      </w:r>
      <w:r w:rsidR="005F10C4" w:rsidRPr="00EA67C4">
        <w:rPr>
          <w:szCs w:val="24"/>
        </w:rPr>
        <w:t>19</w:t>
      </w:r>
      <w:r w:rsidRPr="00EA67C4">
        <w:rPr>
          <w:szCs w:val="24"/>
        </w:rPr>
        <w:t xml:space="preserve"> days.</w:t>
      </w:r>
    </w:p>
    <w:p w:rsidR="009A17DC" w:rsidRPr="00EA67C4" w:rsidRDefault="009A17DC" w:rsidP="000A5D53">
      <w:pPr>
        <w:tabs>
          <w:tab w:val="left" w:pos="720"/>
        </w:tabs>
        <w:spacing w:line="276" w:lineRule="auto"/>
        <w:jc w:val="both"/>
        <w:rPr>
          <w:szCs w:val="24"/>
        </w:rPr>
      </w:pPr>
    </w:p>
    <w:p w:rsidR="00B25B41" w:rsidRDefault="00B25B41" w:rsidP="000A5D53">
      <w:pPr>
        <w:tabs>
          <w:tab w:val="left" w:pos="720"/>
        </w:tabs>
        <w:spacing w:line="276" w:lineRule="auto"/>
        <w:jc w:val="both"/>
        <w:rPr>
          <w:b/>
          <w:szCs w:val="24"/>
          <w:u w:val="single"/>
        </w:rPr>
      </w:pPr>
      <w:r w:rsidRPr="00EA67C4">
        <w:rPr>
          <w:b/>
          <w:szCs w:val="24"/>
          <w:u w:val="single"/>
        </w:rPr>
        <w:t>Nuclear Fuel Disposal Costs</w:t>
      </w:r>
    </w:p>
    <w:p w:rsidR="000A5D53" w:rsidRPr="00EA67C4" w:rsidRDefault="000A5D53" w:rsidP="000A5D53">
      <w:pPr>
        <w:tabs>
          <w:tab w:val="left" w:pos="720"/>
        </w:tabs>
        <w:spacing w:line="276" w:lineRule="auto"/>
        <w:jc w:val="both"/>
        <w:rPr>
          <w:szCs w:val="24"/>
        </w:rPr>
      </w:pPr>
    </w:p>
    <w:p w:rsidR="00062C7E" w:rsidRPr="00EA67C4" w:rsidRDefault="00460661" w:rsidP="000A5D53">
      <w:pPr>
        <w:tabs>
          <w:tab w:val="left" w:pos="720"/>
        </w:tabs>
        <w:spacing w:line="276" w:lineRule="auto"/>
        <w:jc w:val="both"/>
        <w:rPr>
          <w:szCs w:val="24"/>
        </w:rPr>
      </w:pPr>
      <w:r w:rsidRPr="00EA67C4">
        <w:rPr>
          <w:szCs w:val="24"/>
        </w:rPr>
        <w:t>Ordinarily, t</w:t>
      </w:r>
      <w:r w:rsidR="00B25B41" w:rsidRPr="00EA67C4">
        <w:rPr>
          <w:szCs w:val="24"/>
        </w:rPr>
        <w:t>he lead for nuclear fuel disposal cost of 7</w:t>
      </w:r>
      <w:r w:rsidR="002D1358" w:rsidRPr="00EA67C4">
        <w:rPr>
          <w:szCs w:val="24"/>
        </w:rPr>
        <w:t>2</w:t>
      </w:r>
      <w:r w:rsidR="008C0AF0" w:rsidRPr="00EA67C4">
        <w:rPr>
          <w:szCs w:val="24"/>
        </w:rPr>
        <w:t>.</w:t>
      </w:r>
      <w:r w:rsidR="00081887" w:rsidRPr="00EA67C4">
        <w:rPr>
          <w:szCs w:val="24"/>
        </w:rPr>
        <w:t>5</w:t>
      </w:r>
      <w:r w:rsidR="00B25B41" w:rsidRPr="00EA67C4">
        <w:rPr>
          <w:szCs w:val="24"/>
        </w:rPr>
        <w:t xml:space="preserve"> days is based on the requirements of the Nuclear Waste Policy Act of 1982.  The Act requires that the payment for the disposal of spent nuclear fuel be made by the last business day of the month following the end of the quarter.  The lead was determined from the midpoint of the quarter u</w:t>
      </w:r>
      <w:r w:rsidR="00062C7E" w:rsidRPr="00EA67C4">
        <w:rPr>
          <w:szCs w:val="24"/>
        </w:rPr>
        <w:t>ntil the payment date.</w:t>
      </w:r>
    </w:p>
    <w:p w:rsidR="000A5D53" w:rsidRDefault="000A5D53" w:rsidP="000A5D53">
      <w:pPr>
        <w:tabs>
          <w:tab w:val="left" w:pos="720"/>
        </w:tabs>
        <w:spacing w:line="276" w:lineRule="auto"/>
        <w:jc w:val="both"/>
        <w:rPr>
          <w:szCs w:val="24"/>
        </w:rPr>
      </w:pPr>
    </w:p>
    <w:p w:rsidR="00062C7E" w:rsidRPr="00EA67C4" w:rsidRDefault="00460661" w:rsidP="000A5D53">
      <w:pPr>
        <w:tabs>
          <w:tab w:val="left" w:pos="720"/>
        </w:tabs>
        <w:spacing w:line="276" w:lineRule="auto"/>
        <w:jc w:val="both"/>
        <w:rPr>
          <w:szCs w:val="24"/>
        </w:rPr>
      </w:pPr>
      <w:r w:rsidRPr="00EA67C4">
        <w:rPr>
          <w:szCs w:val="24"/>
        </w:rPr>
        <w:t>However, in 2014</w:t>
      </w:r>
      <w:r w:rsidR="00500ED4" w:rsidRPr="00EA67C4">
        <w:rPr>
          <w:szCs w:val="24"/>
        </w:rPr>
        <w:t>,</w:t>
      </w:r>
      <w:r w:rsidRPr="00EA67C4">
        <w:rPr>
          <w:szCs w:val="24"/>
        </w:rPr>
        <w:t xml:space="preserve"> the </w:t>
      </w:r>
      <w:r w:rsidR="000B2DF3" w:rsidRPr="00EA67C4">
        <w:rPr>
          <w:szCs w:val="24"/>
        </w:rPr>
        <w:t>Commission</w:t>
      </w:r>
      <w:r w:rsidRPr="00EA67C4">
        <w:rPr>
          <w:szCs w:val="24"/>
        </w:rPr>
        <w:t xml:space="preserve"> ordered the Company to cease paying nuclear fuel disposal costs into the fund since the federal government had failed to complete a nuclear fuel disposal site (Yucca Mountain).  Subsequent federal court orders called for the cessation of payments until such time as a disposal site could be named.  Therefore, th</w:t>
      </w:r>
      <w:r w:rsidR="000B2DF3" w:rsidRPr="00EA67C4">
        <w:rPr>
          <w:szCs w:val="24"/>
        </w:rPr>
        <w:t>is section</w:t>
      </w:r>
      <w:r w:rsidRPr="00EA67C4">
        <w:rPr>
          <w:szCs w:val="24"/>
        </w:rPr>
        <w:t xml:space="preserve"> is </w:t>
      </w:r>
      <w:r w:rsidR="00794BF0" w:rsidRPr="00EA67C4">
        <w:rPr>
          <w:szCs w:val="24"/>
        </w:rPr>
        <w:t>not applicable</w:t>
      </w:r>
      <w:r w:rsidR="000B2DF3" w:rsidRPr="00EA67C4">
        <w:rPr>
          <w:szCs w:val="24"/>
        </w:rPr>
        <w:t xml:space="preserve"> to this study</w:t>
      </w:r>
      <w:r w:rsidRPr="00EA67C4">
        <w:rPr>
          <w:szCs w:val="24"/>
        </w:rPr>
        <w:t>.</w:t>
      </w:r>
    </w:p>
    <w:p w:rsidR="00500ED4" w:rsidRPr="00EA67C4" w:rsidRDefault="00500ED4" w:rsidP="000A5D53">
      <w:pPr>
        <w:tabs>
          <w:tab w:val="left" w:pos="720"/>
        </w:tabs>
        <w:spacing w:line="276" w:lineRule="auto"/>
        <w:jc w:val="both"/>
        <w:rPr>
          <w:b/>
          <w:szCs w:val="24"/>
          <w:u w:val="single"/>
        </w:rPr>
      </w:pPr>
    </w:p>
    <w:p w:rsidR="00B25B41" w:rsidRDefault="00B25B41" w:rsidP="000A5D53">
      <w:pPr>
        <w:tabs>
          <w:tab w:val="left" w:pos="720"/>
        </w:tabs>
        <w:spacing w:line="276" w:lineRule="auto"/>
        <w:jc w:val="both"/>
        <w:rPr>
          <w:b/>
          <w:szCs w:val="24"/>
          <w:u w:val="single"/>
        </w:rPr>
      </w:pPr>
      <w:r w:rsidRPr="00EA67C4">
        <w:rPr>
          <w:b/>
          <w:szCs w:val="24"/>
          <w:u w:val="single"/>
        </w:rPr>
        <w:t>Nuclear Decommissioning</w:t>
      </w:r>
    </w:p>
    <w:p w:rsidR="00C014EC" w:rsidRPr="00EA67C4" w:rsidRDefault="00C014EC" w:rsidP="000A5D53">
      <w:pPr>
        <w:tabs>
          <w:tab w:val="left" w:pos="720"/>
        </w:tabs>
        <w:spacing w:line="276" w:lineRule="auto"/>
        <w:jc w:val="both"/>
        <w:rPr>
          <w:szCs w:val="24"/>
        </w:rPr>
      </w:pPr>
    </w:p>
    <w:p w:rsidR="00500ED4" w:rsidRPr="00EA67C4" w:rsidRDefault="00B25B41" w:rsidP="000A5D53">
      <w:pPr>
        <w:tabs>
          <w:tab w:val="left" w:pos="720"/>
        </w:tabs>
        <w:spacing w:line="276" w:lineRule="auto"/>
        <w:jc w:val="both"/>
        <w:rPr>
          <w:b/>
          <w:szCs w:val="24"/>
          <w:u w:val="single"/>
        </w:rPr>
      </w:pPr>
      <w:r w:rsidRPr="00EA67C4">
        <w:rPr>
          <w:szCs w:val="24"/>
        </w:rPr>
        <w:t>The lead for externally funded nuclear</w:t>
      </w:r>
      <w:r w:rsidR="00FF1DD1" w:rsidRPr="00EA67C4">
        <w:rPr>
          <w:szCs w:val="24"/>
        </w:rPr>
        <w:t xml:space="preserve"> decommissioning expenses of 25</w:t>
      </w:r>
      <w:r w:rsidR="006F3CD5" w:rsidRPr="00EA67C4">
        <w:rPr>
          <w:szCs w:val="24"/>
        </w:rPr>
        <w:t>2</w:t>
      </w:r>
      <w:r w:rsidRPr="00EA67C4">
        <w:rPr>
          <w:szCs w:val="24"/>
        </w:rPr>
        <w:t xml:space="preserve"> days was measured from the midpoint</w:t>
      </w:r>
      <w:r w:rsidR="006F3CD5" w:rsidRPr="00EA67C4">
        <w:rPr>
          <w:szCs w:val="24"/>
        </w:rPr>
        <w:t xml:space="preserve"> of the calendar year to March 9, 2018</w:t>
      </w:r>
      <w:r w:rsidRPr="00EA67C4">
        <w:rPr>
          <w:szCs w:val="24"/>
        </w:rPr>
        <w:t>, the date the Company made the related con</w:t>
      </w:r>
      <w:r w:rsidR="005D2199" w:rsidRPr="00EA67C4">
        <w:rPr>
          <w:szCs w:val="24"/>
        </w:rPr>
        <w:t>tribution to the external fund</w:t>
      </w:r>
      <w:r w:rsidR="000B2DF3" w:rsidRPr="00EA67C4">
        <w:rPr>
          <w:szCs w:val="24"/>
        </w:rPr>
        <w:t>, as ordered by the Commission</w:t>
      </w:r>
      <w:r w:rsidR="005D2199" w:rsidRPr="00EA67C4">
        <w:rPr>
          <w:szCs w:val="24"/>
        </w:rPr>
        <w:t>.</w:t>
      </w:r>
    </w:p>
    <w:p w:rsidR="00500ED4" w:rsidRPr="00EA67C4" w:rsidRDefault="00500ED4" w:rsidP="000A5D53">
      <w:pPr>
        <w:tabs>
          <w:tab w:val="left" w:pos="720"/>
        </w:tabs>
        <w:spacing w:line="276" w:lineRule="auto"/>
        <w:jc w:val="both"/>
        <w:rPr>
          <w:b/>
          <w:szCs w:val="24"/>
          <w:u w:val="single"/>
        </w:rPr>
      </w:pPr>
    </w:p>
    <w:p w:rsidR="00C014EC" w:rsidRDefault="00B25B41" w:rsidP="000A5D53">
      <w:pPr>
        <w:tabs>
          <w:tab w:val="left" w:pos="720"/>
        </w:tabs>
        <w:spacing w:line="276" w:lineRule="auto"/>
        <w:jc w:val="both"/>
        <w:rPr>
          <w:b/>
          <w:szCs w:val="24"/>
          <w:u w:val="single"/>
        </w:rPr>
      </w:pPr>
      <w:r w:rsidRPr="00EA67C4">
        <w:rPr>
          <w:b/>
          <w:szCs w:val="24"/>
          <w:u w:val="single"/>
        </w:rPr>
        <w:t>Purchased Power</w:t>
      </w:r>
    </w:p>
    <w:p w:rsidR="00B25B41" w:rsidRPr="00EA67C4" w:rsidRDefault="00B25B41" w:rsidP="000A5D53">
      <w:pPr>
        <w:tabs>
          <w:tab w:val="left" w:pos="720"/>
        </w:tabs>
        <w:spacing w:line="276" w:lineRule="auto"/>
        <w:jc w:val="both"/>
        <w:rPr>
          <w:szCs w:val="24"/>
        </w:rPr>
      </w:pPr>
      <w:r w:rsidRPr="00EA67C4">
        <w:rPr>
          <w:b/>
          <w:szCs w:val="24"/>
          <w:u w:val="single"/>
        </w:rPr>
        <w:t xml:space="preserve"> </w:t>
      </w:r>
    </w:p>
    <w:p w:rsidR="00762751" w:rsidRPr="00EA67C4" w:rsidRDefault="00B25B41" w:rsidP="000A5D53">
      <w:pPr>
        <w:tabs>
          <w:tab w:val="left" w:pos="720"/>
        </w:tabs>
        <w:spacing w:line="276" w:lineRule="auto"/>
        <w:jc w:val="both"/>
        <w:rPr>
          <w:szCs w:val="24"/>
        </w:rPr>
      </w:pPr>
      <w:r w:rsidRPr="00EA67C4">
        <w:rPr>
          <w:szCs w:val="24"/>
        </w:rPr>
        <w:t xml:space="preserve">An analysis of all purchased power transactions </w:t>
      </w:r>
      <w:r w:rsidR="000B2DF3" w:rsidRPr="00EA67C4">
        <w:rPr>
          <w:szCs w:val="24"/>
        </w:rPr>
        <w:t xml:space="preserve">by contracts </w:t>
      </w:r>
      <w:r w:rsidRPr="00EA67C4">
        <w:rPr>
          <w:szCs w:val="24"/>
        </w:rPr>
        <w:t xml:space="preserve">was performed for the study period to determine the leads and lags pertaining to the purchase and sale of power.  The leads on net </w:t>
      </w:r>
      <w:r w:rsidRPr="00EA67C4">
        <w:rPr>
          <w:szCs w:val="24"/>
        </w:rPr>
        <w:lastRenderedPageBreak/>
        <w:t xml:space="preserve">purchases were measured from the midpoints of the service periods to the dates paid.  Similarly, the lags on net sales of power by the Company were measured from the midpoints of the service periods to the receipt of payments.  </w:t>
      </w:r>
      <w:r w:rsidR="002C5042" w:rsidRPr="00EA67C4">
        <w:rPr>
          <w:szCs w:val="24"/>
        </w:rPr>
        <w:t>For the study period, this analysis resulted in a</w:t>
      </w:r>
      <w:r w:rsidR="000B2DF3" w:rsidRPr="00EA67C4">
        <w:rPr>
          <w:szCs w:val="24"/>
        </w:rPr>
        <w:t xml:space="preserve"> lead day of 32.63</w:t>
      </w:r>
      <w:r w:rsidR="002C5042" w:rsidRPr="00EA67C4">
        <w:rPr>
          <w:szCs w:val="24"/>
        </w:rPr>
        <w:t xml:space="preserve"> for </w:t>
      </w:r>
      <w:r w:rsidR="00500ED4" w:rsidRPr="00EA67C4">
        <w:rPr>
          <w:szCs w:val="24"/>
        </w:rPr>
        <w:t>net affiliated purchased power transactions</w:t>
      </w:r>
      <w:r w:rsidR="000B2DF3" w:rsidRPr="00EA67C4">
        <w:rPr>
          <w:szCs w:val="24"/>
        </w:rPr>
        <w:t xml:space="preserve"> and a lead day of 35.20 for net non-affiliated purchased power transactions</w:t>
      </w:r>
      <w:r w:rsidR="00500ED4" w:rsidRPr="00EA67C4">
        <w:rPr>
          <w:szCs w:val="24"/>
        </w:rPr>
        <w:t xml:space="preserve">.  </w:t>
      </w:r>
    </w:p>
    <w:p w:rsidR="00AB6DF2" w:rsidRPr="00EA67C4" w:rsidRDefault="00AB6DF2" w:rsidP="000A5D53">
      <w:pPr>
        <w:tabs>
          <w:tab w:val="left" w:pos="720"/>
        </w:tabs>
        <w:spacing w:line="276" w:lineRule="auto"/>
        <w:jc w:val="both"/>
        <w:rPr>
          <w:szCs w:val="24"/>
        </w:rPr>
      </w:pPr>
    </w:p>
    <w:p w:rsidR="00B25B41" w:rsidRDefault="00E47F58" w:rsidP="000A5D53">
      <w:pPr>
        <w:tabs>
          <w:tab w:val="left" w:pos="720"/>
        </w:tabs>
        <w:spacing w:line="276" w:lineRule="auto"/>
        <w:jc w:val="both"/>
        <w:rPr>
          <w:b/>
          <w:szCs w:val="24"/>
          <w:u w:val="single"/>
        </w:rPr>
      </w:pPr>
      <w:r w:rsidRPr="00EA67C4">
        <w:rPr>
          <w:b/>
          <w:szCs w:val="24"/>
          <w:u w:val="single"/>
        </w:rPr>
        <w:t>Other Operating and</w:t>
      </w:r>
      <w:r w:rsidR="00B25B41" w:rsidRPr="00EA67C4">
        <w:rPr>
          <w:b/>
          <w:szCs w:val="24"/>
          <w:u w:val="single"/>
        </w:rPr>
        <w:t xml:space="preserve"> Maintenance Expenses</w:t>
      </w:r>
    </w:p>
    <w:p w:rsidR="00FF7505" w:rsidRPr="00EA67C4" w:rsidRDefault="00FF7505" w:rsidP="000A5D53">
      <w:pPr>
        <w:tabs>
          <w:tab w:val="left" w:pos="720"/>
        </w:tabs>
        <w:spacing w:line="276" w:lineRule="auto"/>
        <w:jc w:val="both"/>
        <w:rPr>
          <w:szCs w:val="24"/>
        </w:rPr>
      </w:pPr>
    </w:p>
    <w:p w:rsidR="00B25B41" w:rsidRDefault="00B25B41" w:rsidP="000A5D53">
      <w:pPr>
        <w:tabs>
          <w:tab w:val="left" w:pos="720"/>
        </w:tabs>
        <w:spacing w:line="276" w:lineRule="auto"/>
        <w:jc w:val="both"/>
        <w:rPr>
          <w:szCs w:val="24"/>
        </w:rPr>
      </w:pPr>
      <w:r w:rsidRPr="00EA67C4">
        <w:rPr>
          <w:szCs w:val="24"/>
        </w:rPr>
        <w:t xml:space="preserve">The different payment processing procedures for other operating </w:t>
      </w:r>
      <w:r w:rsidR="000B2DF3" w:rsidRPr="00EA67C4">
        <w:rPr>
          <w:szCs w:val="24"/>
        </w:rPr>
        <w:t xml:space="preserve">and maintenance </w:t>
      </w:r>
      <w:r w:rsidRPr="00EA67C4">
        <w:rPr>
          <w:szCs w:val="24"/>
        </w:rPr>
        <w:t xml:space="preserve">expenses were analyzed to determine the lead days for these expenses.  Among the payment procedures analyzed were ordinary vendor payments, payments to </w:t>
      </w:r>
      <w:r w:rsidR="00500ED4" w:rsidRPr="00EA67C4">
        <w:rPr>
          <w:szCs w:val="24"/>
        </w:rPr>
        <w:t>Southern Company Services (</w:t>
      </w:r>
      <w:r w:rsidR="00940515" w:rsidRPr="00EA67C4">
        <w:rPr>
          <w:szCs w:val="24"/>
        </w:rPr>
        <w:t>SCS</w:t>
      </w:r>
      <w:r w:rsidR="00500ED4" w:rsidRPr="00EA67C4">
        <w:rPr>
          <w:szCs w:val="24"/>
        </w:rPr>
        <w:t>)</w:t>
      </w:r>
      <w:r w:rsidRPr="00EA67C4">
        <w:rPr>
          <w:szCs w:val="24"/>
        </w:rPr>
        <w:t xml:space="preserve"> and Southern Nuclear</w:t>
      </w:r>
      <w:r w:rsidR="00940515" w:rsidRPr="00EA67C4">
        <w:rPr>
          <w:szCs w:val="24"/>
        </w:rPr>
        <w:t xml:space="preserve"> Operating</w:t>
      </w:r>
      <w:r w:rsidRPr="00EA67C4">
        <w:rPr>
          <w:szCs w:val="24"/>
        </w:rPr>
        <w:t xml:space="preserve"> Company</w:t>
      </w:r>
      <w:r w:rsidR="00940515" w:rsidRPr="00EA67C4">
        <w:rPr>
          <w:szCs w:val="24"/>
        </w:rPr>
        <w:t xml:space="preserve"> (SNC)</w:t>
      </w:r>
      <w:r w:rsidRPr="00EA67C4">
        <w:rPr>
          <w:szCs w:val="24"/>
        </w:rPr>
        <w:t xml:space="preserve">, recurring payments, payroll, expense statements, procurement card purchases, employee pensions and benefit payments, </w:t>
      </w:r>
      <w:r w:rsidR="000B2DF3" w:rsidRPr="00EA67C4">
        <w:rPr>
          <w:szCs w:val="24"/>
        </w:rPr>
        <w:t xml:space="preserve">bad debt expenses, </w:t>
      </w:r>
      <w:r w:rsidRPr="00EA67C4">
        <w:rPr>
          <w:szCs w:val="24"/>
        </w:rPr>
        <w:t xml:space="preserve">and </w:t>
      </w:r>
      <w:r w:rsidR="000B2DF3" w:rsidRPr="00EA67C4">
        <w:rPr>
          <w:szCs w:val="24"/>
        </w:rPr>
        <w:t xml:space="preserve">prepaid </w:t>
      </w:r>
      <w:r w:rsidRPr="00EA67C4">
        <w:rPr>
          <w:szCs w:val="24"/>
        </w:rPr>
        <w:t>risk insurance and miscellaneous expenses.  A weighted average calculation of the number of lead days was made using the number of days applicable to each payment procedure.</w:t>
      </w:r>
    </w:p>
    <w:p w:rsidR="00FF7505" w:rsidRPr="00EA67C4" w:rsidRDefault="00FF7505" w:rsidP="000A5D53">
      <w:pPr>
        <w:tabs>
          <w:tab w:val="left" w:pos="720"/>
        </w:tabs>
        <w:spacing w:line="276" w:lineRule="auto"/>
        <w:jc w:val="both"/>
        <w:rPr>
          <w:szCs w:val="24"/>
        </w:rPr>
      </w:pPr>
    </w:p>
    <w:p w:rsidR="00B25B41" w:rsidRDefault="00B25B41" w:rsidP="000A5D53">
      <w:pPr>
        <w:tabs>
          <w:tab w:val="left" w:pos="720"/>
        </w:tabs>
        <w:spacing w:line="276" w:lineRule="auto"/>
        <w:jc w:val="both"/>
        <w:rPr>
          <w:szCs w:val="24"/>
        </w:rPr>
      </w:pPr>
      <w:r w:rsidRPr="00EA67C4">
        <w:rPr>
          <w:szCs w:val="24"/>
        </w:rPr>
        <w:t>A review of all payments to vendors was impractical due to the large volume of transa</w:t>
      </w:r>
      <w:r w:rsidR="00970554" w:rsidRPr="00EA67C4">
        <w:rPr>
          <w:szCs w:val="24"/>
        </w:rPr>
        <w:t>ctions.  Instead, a</w:t>
      </w:r>
      <w:r w:rsidRPr="00EA67C4">
        <w:rPr>
          <w:szCs w:val="24"/>
        </w:rPr>
        <w:t xml:space="preserve"> sample of vendor payments pertaining to other operating </w:t>
      </w:r>
      <w:r w:rsidR="000B2DF3" w:rsidRPr="00EA67C4">
        <w:rPr>
          <w:szCs w:val="24"/>
        </w:rPr>
        <w:t xml:space="preserve">and maintenance </w:t>
      </w:r>
      <w:r w:rsidRPr="00EA67C4">
        <w:rPr>
          <w:szCs w:val="24"/>
        </w:rPr>
        <w:t>expense</w:t>
      </w:r>
      <w:r w:rsidR="00D43FAF" w:rsidRPr="00EA67C4">
        <w:rPr>
          <w:szCs w:val="24"/>
        </w:rPr>
        <w:t xml:space="preserve"> accounts were</w:t>
      </w:r>
      <w:r w:rsidRPr="00EA67C4">
        <w:rPr>
          <w:szCs w:val="24"/>
        </w:rPr>
        <w:t xml:space="preserve"> selected from </w:t>
      </w:r>
      <w:r w:rsidR="00460661" w:rsidRPr="00EA67C4">
        <w:rPr>
          <w:szCs w:val="24"/>
        </w:rPr>
        <w:t>July</w:t>
      </w:r>
      <w:r w:rsidR="001337A7" w:rsidRPr="00EA67C4">
        <w:rPr>
          <w:szCs w:val="24"/>
        </w:rPr>
        <w:t xml:space="preserve"> 201</w:t>
      </w:r>
      <w:r w:rsidR="006F3CD5" w:rsidRPr="00EA67C4">
        <w:rPr>
          <w:szCs w:val="24"/>
        </w:rPr>
        <w:t>7</w:t>
      </w:r>
      <w:r w:rsidR="001337A7" w:rsidRPr="00EA67C4">
        <w:rPr>
          <w:szCs w:val="24"/>
        </w:rPr>
        <w:t xml:space="preserve"> - June 201</w:t>
      </w:r>
      <w:r w:rsidR="006F3CD5" w:rsidRPr="00EA67C4">
        <w:rPr>
          <w:szCs w:val="24"/>
        </w:rPr>
        <w:t>8</w:t>
      </w:r>
      <w:r w:rsidR="001337A7" w:rsidRPr="00EA67C4">
        <w:rPr>
          <w:szCs w:val="24"/>
        </w:rPr>
        <w:t xml:space="preserve">. </w:t>
      </w:r>
      <w:r w:rsidRPr="00EA67C4">
        <w:rPr>
          <w:szCs w:val="24"/>
        </w:rPr>
        <w:t xml:space="preserve">Vendor invoices and supporting documents (i.e., payment vouchers and receiving reports) were analyzed.  </w:t>
      </w:r>
      <w:r w:rsidR="00D43FAF" w:rsidRPr="00EA67C4">
        <w:rPr>
          <w:szCs w:val="24"/>
        </w:rPr>
        <w:t>Based on our sample</w:t>
      </w:r>
      <w:r w:rsidRPr="00EA67C4">
        <w:rPr>
          <w:szCs w:val="24"/>
        </w:rPr>
        <w:t>, it was concluded that the average lead for vendor payment</w:t>
      </w:r>
      <w:r w:rsidR="005C67E0" w:rsidRPr="00EA67C4">
        <w:rPr>
          <w:szCs w:val="24"/>
        </w:rPr>
        <w:t xml:space="preserve">s during the study period was </w:t>
      </w:r>
      <w:r w:rsidR="00500ED4" w:rsidRPr="00EA67C4">
        <w:rPr>
          <w:szCs w:val="24"/>
        </w:rPr>
        <w:t>11.74</w:t>
      </w:r>
      <w:r w:rsidRPr="00EA67C4">
        <w:rPr>
          <w:szCs w:val="24"/>
        </w:rPr>
        <w:t xml:space="preserve"> days.  In a manner similar to the </w:t>
      </w:r>
      <w:r w:rsidR="000B2DF3" w:rsidRPr="00EA67C4">
        <w:rPr>
          <w:szCs w:val="24"/>
        </w:rPr>
        <w:t xml:space="preserve">calculation of the </w:t>
      </w:r>
      <w:r w:rsidRPr="00EA67C4">
        <w:rPr>
          <w:szCs w:val="24"/>
        </w:rPr>
        <w:t>lead</w:t>
      </w:r>
      <w:r w:rsidR="000B2DF3" w:rsidRPr="00EA67C4">
        <w:rPr>
          <w:szCs w:val="24"/>
        </w:rPr>
        <w:t xml:space="preserve"> days</w:t>
      </w:r>
      <w:r w:rsidRPr="00EA67C4">
        <w:rPr>
          <w:szCs w:val="24"/>
        </w:rPr>
        <w:t xml:space="preserve"> for fuel purchases discussed earlier, the lead</w:t>
      </w:r>
      <w:r w:rsidR="000B2DF3" w:rsidRPr="00EA67C4">
        <w:rPr>
          <w:szCs w:val="24"/>
        </w:rPr>
        <w:t xml:space="preserve"> day for</w:t>
      </w:r>
      <w:r w:rsidRPr="00EA67C4">
        <w:rPr>
          <w:szCs w:val="24"/>
        </w:rPr>
        <w:t xml:space="preserve"> payments to vendors were adjusted for the longer lead </w:t>
      </w:r>
      <w:r w:rsidR="000B2DF3" w:rsidRPr="00EA67C4">
        <w:rPr>
          <w:szCs w:val="24"/>
        </w:rPr>
        <w:t xml:space="preserve">days </w:t>
      </w:r>
      <w:r w:rsidRPr="00EA67C4">
        <w:rPr>
          <w:szCs w:val="24"/>
        </w:rPr>
        <w:t>associated with use tax payments.</w:t>
      </w:r>
    </w:p>
    <w:p w:rsidR="00FF7505" w:rsidRPr="00EA67C4" w:rsidRDefault="00FF7505" w:rsidP="000A5D53">
      <w:pPr>
        <w:tabs>
          <w:tab w:val="left" w:pos="720"/>
        </w:tabs>
        <w:spacing w:line="276" w:lineRule="auto"/>
        <w:jc w:val="both"/>
        <w:rPr>
          <w:szCs w:val="24"/>
        </w:rPr>
      </w:pPr>
    </w:p>
    <w:p w:rsidR="00583B08" w:rsidRDefault="00583B08" w:rsidP="000A5D53">
      <w:pPr>
        <w:tabs>
          <w:tab w:val="left" w:pos="720"/>
        </w:tabs>
        <w:spacing w:line="276" w:lineRule="auto"/>
        <w:jc w:val="both"/>
        <w:rPr>
          <w:szCs w:val="24"/>
        </w:rPr>
      </w:pPr>
      <w:r w:rsidRPr="00EA67C4">
        <w:rPr>
          <w:szCs w:val="24"/>
        </w:rPr>
        <w:t xml:space="preserve">An analysis of </w:t>
      </w:r>
      <w:r w:rsidR="00E03BB7" w:rsidRPr="00EA67C4">
        <w:rPr>
          <w:szCs w:val="24"/>
        </w:rPr>
        <w:t xml:space="preserve">all expense statements was performed for the study period. </w:t>
      </w:r>
      <w:r w:rsidR="00AA7D56" w:rsidRPr="00EA67C4">
        <w:rPr>
          <w:szCs w:val="24"/>
        </w:rPr>
        <w:t>The overall weighted lead for expense statements was 7.38 days which was measured from the mid-point to the payroll date</w:t>
      </w:r>
      <w:r w:rsidR="00B346CF" w:rsidRPr="00EA67C4">
        <w:rPr>
          <w:szCs w:val="24"/>
        </w:rPr>
        <w:t xml:space="preserve">, since expense statements are reimbursed through the employee’s payroll check.  </w:t>
      </w:r>
    </w:p>
    <w:p w:rsidR="00812B56" w:rsidRPr="00EA67C4" w:rsidRDefault="00812B56" w:rsidP="000A5D53">
      <w:pPr>
        <w:tabs>
          <w:tab w:val="left" w:pos="720"/>
        </w:tabs>
        <w:spacing w:line="276" w:lineRule="auto"/>
        <w:jc w:val="both"/>
        <w:rPr>
          <w:szCs w:val="24"/>
        </w:rPr>
      </w:pPr>
    </w:p>
    <w:p w:rsidR="00812B56" w:rsidRDefault="00F54D7F" w:rsidP="000A5D53">
      <w:pPr>
        <w:tabs>
          <w:tab w:val="left" w:pos="720"/>
        </w:tabs>
        <w:spacing w:line="276" w:lineRule="auto"/>
        <w:jc w:val="both"/>
        <w:rPr>
          <w:szCs w:val="24"/>
        </w:rPr>
      </w:pPr>
      <w:r w:rsidRPr="00EA67C4">
        <w:rPr>
          <w:szCs w:val="24"/>
        </w:rPr>
        <w:t xml:space="preserve">An analysis of all payments to SCS and SNC was performed for the study period.  SCS defers 3.5% of its total billings and are paid by the Company as requested.  Therefore, they were assigned a zero-lead day for those payments.  Likewise, </w:t>
      </w:r>
      <w:r w:rsidR="00360739" w:rsidRPr="00EA67C4">
        <w:rPr>
          <w:szCs w:val="24"/>
        </w:rPr>
        <w:t>o</w:t>
      </w:r>
      <w:r w:rsidRPr="00EA67C4">
        <w:rPr>
          <w:szCs w:val="24"/>
        </w:rPr>
        <w:t xml:space="preserve">ther </w:t>
      </w:r>
      <w:r w:rsidR="00360739" w:rsidRPr="00EA67C4">
        <w:rPr>
          <w:szCs w:val="24"/>
        </w:rPr>
        <w:t>p</w:t>
      </w:r>
      <w:r w:rsidRPr="00EA67C4">
        <w:rPr>
          <w:szCs w:val="24"/>
        </w:rPr>
        <w:t>ost-</w:t>
      </w:r>
      <w:r w:rsidR="00360739" w:rsidRPr="00EA67C4">
        <w:rPr>
          <w:szCs w:val="24"/>
        </w:rPr>
        <w:t>r</w:t>
      </w:r>
      <w:r w:rsidRPr="00EA67C4">
        <w:rPr>
          <w:szCs w:val="24"/>
        </w:rPr>
        <w:t xml:space="preserve">etirement </w:t>
      </w:r>
      <w:r w:rsidR="00360739" w:rsidRPr="00EA67C4">
        <w:rPr>
          <w:szCs w:val="24"/>
        </w:rPr>
        <w:t>b</w:t>
      </w:r>
      <w:r w:rsidRPr="00EA67C4">
        <w:rPr>
          <w:szCs w:val="24"/>
        </w:rPr>
        <w:t xml:space="preserve">enefits and pension billings from SNC were also assigned a zero-lead day since they are deferred and paid by the Company when requested.  The overall weighted lead for SCS and SNC billings was 9.97 days which was measured from the invoice date to the </w:t>
      </w:r>
      <w:r w:rsidR="00360739" w:rsidRPr="00EA67C4">
        <w:rPr>
          <w:szCs w:val="24"/>
        </w:rPr>
        <w:t>payment date</w:t>
      </w:r>
      <w:r w:rsidRPr="00EA67C4">
        <w:rPr>
          <w:szCs w:val="24"/>
        </w:rPr>
        <w:t>.</w:t>
      </w:r>
    </w:p>
    <w:p w:rsidR="00B25B41" w:rsidRPr="00EA67C4" w:rsidRDefault="00F54D7F" w:rsidP="000A5D53">
      <w:pPr>
        <w:tabs>
          <w:tab w:val="left" w:pos="720"/>
        </w:tabs>
        <w:spacing w:line="276" w:lineRule="auto"/>
        <w:jc w:val="both"/>
        <w:rPr>
          <w:szCs w:val="24"/>
        </w:rPr>
      </w:pPr>
      <w:r w:rsidRPr="00EA67C4">
        <w:rPr>
          <w:szCs w:val="24"/>
        </w:rPr>
        <w:t xml:space="preserve">  </w:t>
      </w:r>
    </w:p>
    <w:p w:rsidR="00812B56" w:rsidRDefault="0043196A" w:rsidP="000A5D53">
      <w:pPr>
        <w:tabs>
          <w:tab w:val="left" w:pos="720"/>
        </w:tabs>
        <w:spacing w:line="276" w:lineRule="auto"/>
        <w:jc w:val="both"/>
        <w:rPr>
          <w:szCs w:val="24"/>
        </w:rPr>
      </w:pPr>
      <w:r w:rsidRPr="00EA67C4">
        <w:rPr>
          <w:szCs w:val="24"/>
        </w:rPr>
        <w:t xml:space="preserve">An analysis of recurring payments </w:t>
      </w:r>
      <w:r w:rsidR="00F54D7F" w:rsidRPr="00EA67C4">
        <w:rPr>
          <w:szCs w:val="24"/>
        </w:rPr>
        <w:t xml:space="preserve">on other operations and maintenance expenses </w:t>
      </w:r>
      <w:r w:rsidRPr="00EA67C4">
        <w:rPr>
          <w:szCs w:val="24"/>
        </w:rPr>
        <w:t>was performed for the study period.</w:t>
      </w:r>
      <w:r w:rsidR="00032D53" w:rsidRPr="00EA67C4">
        <w:rPr>
          <w:szCs w:val="24"/>
        </w:rPr>
        <w:t xml:space="preserve"> Recurring payments were analyzed from vendors pertaining to retainers, rent and various other payments</w:t>
      </w:r>
      <w:r w:rsidR="00F54D7F" w:rsidRPr="00EA67C4">
        <w:rPr>
          <w:szCs w:val="24"/>
        </w:rPr>
        <w:t>, which were grouped based on monthly, quarterly, or annual recurring payments</w:t>
      </w:r>
      <w:r w:rsidR="00032D53" w:rsidRPr="00EA67C4">
        <w:rPr>
          <w:szCs w:val="24"/>
        </w:rPr>
        <w:t xml:space="preserve">. The overall weighted </w:t>
      </w:r>
      <w:r w:rsidR="00F54D7F" w:rsidRPr="00EA67C4">
        <w:rPr>
          <w:szCs w:val="24"/>
        </w:rPr>
        <w:t>days</w:t>
      </w:r>
      <w:r w:rsidR="00032D53" w:rsidRPr="00EA67C4">
        <w:rPr>
          <w:szCs w:val="24"/>
        </w:rPr>
        <w:t xml:space="preserve"> for recurring payments was </w:t>
      </w:r>
      <w:r w:rsidR="00F54D7F" w:rsidRPr="00EA67C4">
        <w:rPr>
          <w:szCs w:val="24"/>
        </w:rPr>
        <w:t xml:space="preserve">a lag of </w:t>
      </w:r>
      <w:r w:rsidR="00032D53" w:rsidRPr="00EA67C4">
        <w:rPr>
          <w:szCs w:val="24"/>
        </w:rPr>
        <w:t xml:space="preserve">18.39 days </w:t>
      </w:r>
      <w:r w:rsidR="00F54D7F" w:rsidRPr="00EA67C4">
        <w:rPr>
          <w:szCs w:val="24"/>
        </w:rPr>
        <w:t xml:space="preserve">since these payments are </w:t>
      </w:r>
      <w:r w:rsidR="00360739" w:rsidRPr="00EA67C4">
        <w:rPr>
          <w:szCs w:val="24"/>
        </w:rPr>
        <w:t xml:space="preserve">made </w:t>
      </w:r>
      <w:r w:rsidR="00F54D7F" w:rsidRPr="00EA67C4">
        <w:rPr>
          <w:szCs w:val="24"/>
        </w:rPr>
        <w:t>prior to the service period.</w:t>
      </w:r>
    </w:p>
    <w:p w:rsidR="0043196A" w:rsidRPr="00EA67C4" w:rsidRDefault="00F54D7F" w:rsidP="000A5D53">
      <w:pPr>
        <w:tabs>
          <w:tab w:val="left" w:pos="720"/>
        </w:tabs>
        <w:spacing w:line="276" w:lineRule="auto"/>
        <w:jc w:val="both"/>
        <w:rPr>
          <w:szCs w:val="24"/>
        </w:rPr>
      </w:pPr>
      <w:r w:rsidRPr="00EA67C4">
        <w:rPr>
          <w:szCs w:val="24"/>
        </w:rPr>
        <w:t xml:space="preserve">  </w:t>
      </w:r>
      <w:r w:rsidR="0043196A" w:rsidRPr="00EA67C4">
        <w:rPr>
          <w:szCs w:val="24"/>
        </w:rPr>
        <w:t xml:space="preserve"> </w:t>
      </w:r>
    </w:p>
    <w:p w:rsidR="00812B56" w:rsidRDefault="00F54D7F" w:rsidP="000A5D53">
      <w:pPr>
        <w:tabs>
          <w:tab w:val="left" w:pos="720"/>
        </w:tabs>
        <w:spacing w:line="276" w:lineRule="auto"/>
        <w:jc w:val="both"/>
        <w:rPr>
          <w:szCs w:val="24"/>
        </w:rPr>
      </w:pPr>
      <w:r w:rsidRPr="00EA67C4">
        <w:rPr>
          <w:szCs w:val="24"/>
        </w:rPr>
        <w:lastRenderedPageBreak/>
        <w:t>An analysis of Integrated Transmission System (ITS) parity payments was performed for the study period.  On a monthly basis, the Company either receives or makes a payment from or to other ITS participants based on their parity positions.  The overall weighted lead for parity payments was 56.22</w:t>
      </w:r>
      <w:r w:rsidR="00360739" w:rsidRPr="00EA67C4">
        <w:rPr>
          <w:szCs w:val="24"/>
        </w:rPr>
        <w:t xml:space="preserve"> days which was measured from the mid-point of each month to payment date</w:t>
      </w:r>
      <w:r w:rsidRPr="00EA67C4">
        <w:rPr>
          <w:szCs w:val="24"/>
        </w:rPr>
        <w:t>.</w:t>
      </w:r>
    </w:p>
    <w:p w:rsidR="00733B42" w:rsidRPr="00EA67C4" w:rsidRDefault="00F54D7F" w:rsidP="000A5D53">
      <w:pPr>
        <w:tabs>
          <w:tab w:val="left" w:pos="720"/>
        </w:tabs>
        <w:spacing w:line="276" w:lineRule="auto"/>
        <w:jc w:val="both"/>
        <w:rPr>
          <w:color w:val="FF0000"/>
          <w:szCs w:val="24"/>
        </w:rPr>
      </w:pPr>
      <w:r w:rsidRPr="00EA67C4">
        <w:rPr>
          <w:szCs w:val="24"/>
        </w:rPr>
        <w:t xml:space="preserve">  </w:t>
      </w:r>
    </w:p>
    <w:p w:rsidR="00812B56" w:rsidRDefault="00DC6426" w:rsidP="000A5D53">
      <w:pPr>
        <w:tabs>
          <w:tab w:val="left" w:pos="720"/>
        </w:tabs>
        <w:spacing w:line="276" w:lineRule="auto"/>
        <w:jc w:val="both"/>
        <w:rPr>
          <w:szCs w:val="24"/>
        </w:rPr>
      </w:pPr>
      <w:r w:rsidRPr="00EA67C4">
        <w:rPr>
          <w:szCs w:val="24"/>
        </w:rPr>
        <w:t xml:space="preserve">The lead </w:t>
      </w:r>
      <w:r w:rsidR="00241743" w:rsidRPr="00EA67C4">
        <w:rPr>
          <w:szCs w:val="24"/>
        </w:rPr>
        <w:t xml:space="preserve">day </w:t>
      </w:r>
      <w:r w:rsidRPr="00EA67C4">
        <w:rPr>
          <w:szCs w:val="24"/>
        </w:rPr>
        <w:t>for payroll was determined</w:t>
      </w:r>
      <w:r w:rsidR="00B25B41" w:rsidRPr="00EA67C4">
        <w:rPr>
          <w:szCs w:val="24"/>
        </w:rPr>
        <w:t xml:space="preserve"> from the midpoint of the biweekly pay period, and in the case of payments under the Performance Pay Plan</w:t>
      </w:r>
      <w:r w:rsidR="008C5A75" w:rsidRPr="00EA67C4">
        <w:rPr>
          <w:szCs w:val="24"/>
        </w:rPr>
        <w:t>,</w:t>
      </w:r>
      <w:r w:rsidR="00B25B41" w:rsidRPr="00EA67C4">
        <w:rPr>
          <w:szCs w:val="24"/>
        </w:rPr>
        <w:t xml:space="preserve"> from the midpoint of the</w:t>
      </w:r>
      <w:r w:rsidR="005161F1" w:rsidRPr="00EA67C4">
        <w:rPr>
          <w:szCs w:val="24"/>
        </w:rPr>
        <w:t xml:space="preserve"> </w:t>
      </w:r>
      <w:r w:rsidR="00B25B41" w:rsidRPr="00EA67C4">
        <w:rPr>
          <w:szCs w:val="24"/>
        </w:rPr>
        <w:t>calendar year, until the employee was paid.  Also factored in the overall payroll lead</w:t>
      </w:r>
      <w:r w:rsidR="00241743" w:rsidRPr="00EA67C4">
        <w:rPr>
          <w:szCs w:val="24"/>
        </w:rPr>
        <w:t xml:space="preserve"> days</w:t>
      </w:r>
      <w:r w:rsidR="00B25B41" w:rsidRPr="00EA67C4">
        <w:rPr>
          <w:szCs w:val="24"/>
        </w:rPr>
        <w:t xml:space="preserve"> are leads for the various employee withholdings.  The Company has use of these withholdings until they are paid, and therefore, the withholdings are used to reduce working capital.  The lead</w:t>
      </w:r>
      <w:r w:rsidR="00241743" w:rsidRPr="00EA67C4">
        <w:rPr>
          <w:szCs w:val="24"/>
        </w:rPr>
        <w:t xml:space="preserve"> days</w:t>
      </w:r>
      <w:r w:rsidR="00B25B41" w:rsidRPr="00EA67C4">
        <w:rPr>
          <w:szCs w:val="24"/>
        </w:rPr>
        <w:t xml:space="preserve"> for withholdings </w:t>
      </w:r>
      <w:r w:rsidR="00241743" w:rsidRPr="00EA67C4">
        <w:rPr>
          <w:szCs w:val="24"/>
        </w:rPr>
        <w:t>followed the calculation of lead days for payroll.  The overall weighted average lead of all components of gross payroll was 50.50 days.</w:t>
      </w:r>
    </w:p>
    <w:p w:rsidR="00B25B41" w:rsidRPr="00EA67C4" w:rsidRDefault="00241743" w:rsidP="000A5D53">
      <w:pPr>
        <w:tabs>
          <w:tab w:val="left" w:pos="720"/>
        </w:tabs>
        <w:spacing w:line="276" w:lineRule="auto"/>
        <w:jc w:val="both"/>
        <w:rPr>
          <w:szCs w:val="24"/>
        </w:rPr>
      </w:pPr>
      <w:r w:rsidRPr="00EA67C4">
        <w:rPr>
          <w:szCs w:val="24"/>
        </w:rPr>
        <w:t xml:space="preserve">  </w:t>
      </w:r>
    </w:p>
    <w:p w:rsidR="00812B56" w:rsidRDefault="00733B42" w:rsidP="000A5D53">
      <w:pPr>
        <w:tabs>
          <w:tab w:val="left" w:pos="720"/>
        </w:tabs>
        <w:spacing w:line="276" w:lineRule="auto"/>
        <w:jc w:val="both"/>
        <w:rPr>
          <w:szCs w:val="24"/>
        </w:rPr>
      </w:pPr>
      <w:r w:rsidRPr="00EA67C4">
        <w:rPr>
          <w:szCs w:val="24"/>
        </w:rPr>
        <w:t>An analysis of all procurement card payments was performed for the study period.  The overall weighted lead</w:t>
      </w:r>
      <w:r w:rsidR="009A17DC" w:rsidRPr="00EA67C4">
        <w:rPr>
          <w:szCs w:val="24"/>
        </w:rPr>
        <w:t xml:space="preserve"> day</w:t>
      </w:r>
      <w:r w:rsidRPr="00EA67C4">
        <w:rPr>
          <w:szCs w:val="24"/>
        </w:rPr>
        <w:t xml:space="preserve"> for procurement card payments was 29.59 which was measured from the invoice date to the </w:t>
      </w:r>
      <w:r w:rsidR="00F54D7F" w:rsidRPr="00EA67C4">
        <w:rPr>
          <w:szCs w:val="24"/>
        </w:rPr>
        <w:t>payment date</w:t>
      </w:r>
      <w:r w:rsidRPr="00EA67C4">
        <w:rPr>
          <w:szCs w:val="24"/>
        </w:rPr>
        <w:t>.</w:t>
      </w:r>
    </w:p>
    <w:p w:rsidR="00733B42" w:rsidRPr="00EA67C4" w:rsidRDefault="00733B42" w:rsidP="000A5D53">
      <w:pPr>
        <w:tabs>
          <w:tab w:val="left" w:pos="720"/>
        </w:tabs>
        <w:spacing w:line="276" w:lineRule="auto"/>
        <w:jc w:val="both"/>
        <w:rPr>
          <w:szCs w:val="24"/>
        </w:rPr>
      </w:pPr>
      <w:r w:rsidRPr="00EA67C4">
        <w:rPr>
          <w:szCs w:val="24"/>
        </w:rPr>
        <w:t xml:space="preserve"> </w:t>
      </w:r>
    </w:p>
    <w:p w:rsidR="00812B56" w:rsidRDefault="00E04C50" w:rsidP="000A5D53">
      <w:pPr>
        <w:tabs>
          <w:tab w:val="left" w:pos="720"/>
        </w:tabs>
        <w:spacing w:line="276" w:lineRule="auto"/>
        <w:jc w:val="both"/>
        <w:rPr>
          <w:szCs w:val="24"/>
        </w:rPr>
      </w:pPr>
      <w:r w:rsidRPr="00EA67C4">
        <w:rPr>
          <w:szCs w:val="24"/>
        </w:rPr>
        <w:t xml:space="preserve">An analysis of pension and benefits was performed for the study period.  Qualified pension payments are made out of a separate trust, </w:t>
      </w:r>
      <w:r w:rsidR="00DD5302" w:rsidRPr="00EA67C4">
        <w:rPr>
          <w:szCs w:val="24"/>
        </w:rPr>
        <w:t>and therefore</w:t>
      </w:r>
      <w:r w:rsidRPr="00EA67C4">
        <w:rPr>
          <w:szCs w:val="24"/>
        </w:rPr>
        <w:t>, no payments are made directly from the Company</w:t>
      </w:r>
      <w:r w:rsidR="00DD5302" w:rsidRPr="00EA67C4">
        <w:rPr>
          <w:szCs w:val="24"/>
        </w:rPr>
        <w:t xml:space="preserve"> to the employees.  Nonqualified pension plans pay against the accrued liability and are paid as recorded.  T</w:t>
      </w:r>
      <w:r w:rsidRPr="00EA67C4">
        <w:rPr>
          <w:szCs w:val="24"/>
        </w:rPr>
        <w:t xml:space="preserve">herefore, the lead days are </w:t>
      </w:r>
      <w:r w:rsidR="00DD5302" w:rsidRPr="00EA67C4">
        <w:rPr>
          <w:szCs w:val="24"/>
        </w:rPr>
        <w:t xml:space="preserve">assigned </w:t>
      </w:r>
      <w:r w:rsidRPr="00EA67C4">
        <w:rPr>
          <w:szCs w:val="24"/>
        </w:rPr>
        <w:t>zero</w:t>
      </w:r>
      <w:r w:rsidR="00DD5302" w:rsidRPr="00EA67C4">
        <w:rPr>
          <w:szCs w:val="24"/>
        </w:rPr>
        <w:t xml:space="preserve"> for pension expenses</w:t>
      </w:r>
      <w:r w:rsidRPr="00EA67C4">
        <w:rPr>
          <w:szCs w:val="24"/>
        </w:rPr>
        <w:t>.</w:t>
      </w:r>
      <w:r w:rsidR="009A17DC" w:rsidRPr="00EA67C4">
        <w:rPr>
          <w:szCs w:val="24"/>
        </w:rPr>
        <w:t xml:space="preserve">  </w:t>
      </w:r>
      <w:r w:rsidR="00DD5302" w:rsidRPr="00EA67C4">
        <w:rPr>
          <w:szCs w:val="24"/>
        </w:rPr>
        <w:t>Insurance payments lead</w:t>
      </w:r>
      <w:r w:rsidR="009A17DC" w:rsidRPr="00EA67C4">
        <w:rPr>
          <w:szCs w:val="24"/>
        </w:rPr>
        <w:t xml:space="preserve"> was 8.23 days which was measured from the invoice date to the </w:t>
      </w:r>
      <w:r w:rsidR="00DD5302" w:rsidRPr="00EA67C4">
        <w:rPr>
          <w:szCs w:val="24"/>
        </w:rPr>
        <w:t>payment date</w:t>
      </w:r>
      <w:r w:rsidR="009A17DC" w:rsidRPr="00EA67C4">
        <w:rPr>
          <w:szCs w:val="24"/>
        </w:rPr>
        <w:t xml:space="preserve">.  </w:t>
      </w:r>
      <w:r w:rsidRPr="00EA67C4">
        <w:rPr>
          <w:szCs w:val="24"/>
        </w:rPr>
        <w:t xml:space="preserve">Severance expense was not considered in the study as the Company does not budget for severances.  </w:t>
      </w:r>
      <w:r w:rsidR="009A17DC" w:rsidRPr="00EA67C4">
        <w:rPr>
          <w:szCs w:val="24"/>
        </w:rPr>
        <w:t xml:space="preserve">The employee savings plan </w:t>
      </w:r>
      <w:r w:rsidR="00DD5302" w:rsidRPr="00EA67C4">
        <w:rPr>
          <w:szCs w:val="24"/>
        </w:rPr>
        <w:t xml:space="preserve">benefit is provided to the employees when they are paid.  Therefore, it </w:t>
      </w:r>
      <w:r w:rsidR="009A17DC" w:rsidRPr="00EA67C4">
        <w:rPr>
          <w:szCs w:val="24"/>
        </w:rPr>
        <w:t xml:space="preserve">was assigned </w:t>
      </w:r>
      <w:r w:rsidR="00DD5302" w:rsidRPr="00EA67C4">
        <w:rPr>
          <w:szCs w:val="24"/>
        </w:rPr>
        <w:t xml:space="preserve">the same </w:t>
      </w:r>
      <w:r w:rsidR="009A17DC" w:rsidRPr="00EA67C4">
        <w:rPr>
          <w:szCs w:val="24"/>
        </w:rPr>
        <w:t xml:space="preserve">lead day as payroll of 14 days.  </w:t>
      </w:r>
      <w:r w:rsidRPr="00EA67C4">
        <w:rPr>
          <w:szCs w:val="24"/>
        </w:rPr>
        <w:t xml:space="preserve">Other items </w:t>
      </w:r>
      <w:r w:rsidR="009A17DC" w:rsidRPr="00EA67C4">
        <w:rPr>
          <w:szCs w:val="24"/>
        </w:rPr>
        <w:t>in the benefit category are related to benefits such as service awards, educational assistance, subscription</w:t>
      </w:r>
      <w:r w:rsidR="00A47E2C" w:rsidRPr="00EA67C4">
        <w:rPr>
          <w:szCs w:val="24"/>
        </w:rPr>
        <w:t>s</w:t>
      </w:r>
      <w:r w:rsidR="009A17DC" w:rsidRPr="00EA67C4">
        <w:rPr>
          <w:szCs w:val="24"/>
        </w:rPr>
        <w:t>, etc., which are expense</w:t>
      </w:r>
      <w:r w:rsidR="00A47E2C" w:rsidRPr="00EA67C4">
        <w:rPr>
          <w:szCs w:val="24"/>
        </w:rPr>
        <w:t>d</w:t>
      </w:r>
      <w:r w:rsidR="009A17DC" w:rsidRPr="00EA67C4">
        <w:rPr>
          <w:szCs w:val="24"/>
        </w:rPr>
        <w:t xml:space="preserve"> a</w:t>
      </w:r>
      <w:r w:rsidR="00A47E2C" w:rsidRPr="00EA67C4">
        <w:rPr>
          <w:szCs w:val="24"/>
        </w:rPr>
        <w:t xml:space="preserve">s </w:t>
      </w:r>
      <w:r w:rsidR="009A17DC" w:rsidRPr="00EA67C4">
        <w:rPr>
          <w:szCs w:val="24"/>
        </w:rPr>
        <w:t>paid</w:t>
      </w:r>
      <w:r w:rsidR="00DD5302" w:rsidRPr="00EA67C4">
        <w:rPr>
          <w:szCs w:val="24"/>
        </w:rPr>
        <w:t>.  Therefore,</w:t>
      </w:r>
      <w:r w:rsidR="009A17DC" w:rsidRPr="00EA67C4">
        <w:rPr>
          <w:szCs w:val="24"/>
        </w:rPr>
        <w:t xml:space="preserve"> </w:t>
      </w:r>
      <w:r w:rsidR="00DD5302" w:rsidRPr="00EA67C4">
        <w:rPr>
          <w:szCs w:val="24"/>
        </w:rPr>
        <w:t xml:space="preserve">it was </w:t>
      </w:r>
      <w:r w:rsidR="009A17DC" w:rsidRPr="00EA67C4">
        <w:rPr>
          <w:szCs w:val="24"/>
        </w:rPr>
        <w:t>assigned a lead day of zero.  The overall weighted lead day for pension and benefits was 16.44</w:t>
      </w:r>
      <w:r w:rsidR="00DD5302" w:rsidRPr="00EA67C4">
        <w:rPr>
          <w:szCs w:val="24"/>
        </w:rPr>
        <w:t xml:space="preserve"> days</w:t>
      </w:r>
      <w:r w:rsidR="009A17DC" w:rsidRPr="00EA67C4">
        <w:rPr>
          <w:szCs w:val="24"/>
        </w:rPr>
        <w:t>.</w:t>
      </w:r>
    </w:p>
    <w:p w:rsidR="00E04C50" w:rsidRPr="00EA67C4" w:rsidRDefault="009A17DC" w:rsidP="000A5D53">
      <w:pPr>
        <w:tabs>
          <w:tab w:val="left" w:pos="720"/>
        </w:tabs>
        <w:spacing w:line="276" w:lineRule="auto"/>
        <w:jc w:val="both"/>
        <w:rPr>
          <w:szCs w:val="24"/>
        </w:rPr>
      </w:pPr>
      <w:r w:rsidRPr="00EA67C4">
        <w:rPr>
          <w:szCs w:val="24"/>
        </w:rPr>
        <w:t xml:space="preserve">       </w:t>
      </w:r>
      <w:r w:rsidR="00E04C50" w:rsidRPr="00EA67C4">
        <w:rPr>
          <w:szCs w:val="24"/>
        </w:rPr>
        <w:t xml:space="preserve">    </w:t>
      </w:r>
    </w:p>
    <w:p w:rsidR="00812B56" w:rsidRDefault="00DD5302" w:rsidP="000A5D53">
      <w:pPr>
        <w:tabs>
          <w:tab w:val="left" w:pos="720"/>
        </w:tabs>
        <w:spacing w:line="276" w:lineRule="auto"/>
        <w:jc w:val="both"/>
        <w:rPr>
          <w:szCs w:val="24"/>
        </w:rPr>
      </w:pPr>
      <w:r w:rsidRPr="00EA67C4">
        <w:rPr>
          <w:szCs w:val="24"/>
        </w:rPr>
        <w:t xml:space="preserve">The total expense for other operating and maintenance expenses also included expenses for uncollectible accounts and risk insurance and miscellaneous expenses.  The uncollectible accounts represent revenues never received and therefore, do not have a finite receipt date of payments needed to calculate lead/lag days.  The risk insurance and miscellaneous expenses represent amortization of prepayments by the Company, which is included in rate base.  Therefore, these expenses were assigned a zero lead day for this study. </w:t>
      </w:r>
    </w:p>
    <w:p w:rsidR="00733B42" w:rsidRPr="00EA67C4" w:rsidRDefault="00DD5302" w:rsidP="000A5D53">
      <w:pPr>
        <w:tabs>
          <w:tab w:val="left" w:pos="720"/>
        </w:tabs>
        <w:spacing w:line="276" w:lineRule="auto"/>
        <w:jc w:val="both"/>
        <w:rPr>
          <w:szCs w:val="24"/>
        </w:rPr>
      </w:pPr>
      <w:r w:rsidRPr="00EA67C4">
        <w:rPr>
          <w:szCs w:val="24"/>
        </w:rPr>
        <w:t xml:space="preserve">  </w:t>
      </w:r>
      <w:r w:rsidR="00E04C50" w:rsidRPr="00EA67C4">
        <w:rPr>
          <w:szCs w:val="24"/>
        </w:rPr>
        <w:t xml:space="preserve">  </w:t>
      </w:r>
    </w:p>
    <w:p w:rsidR="005D2199" w:rsidRPr="00EA67C4" w:rsidRDefault="00B25A30" w:rsidP="000A5D53">
      <w:pPr>
        <w:tabs>
          <w:tab w:val="left" w:pos="720"/>
        </w:tabs>
        <w:spacing w:line="276" w:lineRule="auto"/>
        <w:jc w:val="both"/>
        <w:rPr>
          <w:szCs w:val="24"/>
        </w:rPr>
      </w:pPr>
      <w:r w:rsidRPr="00EA67C4">
        <w:rPr>
          <w:szCs w:val="24"/>
        </w:rPr>
        <w:t xml:space="preserve">The overall </w:t>
      </w:r>
      <w:r w:rsidR="00500ED4" w:rsidRPr="00EA67C4">
        <w:rPr>
          <w:szCs w:val="24"/>
        </w:rPr>
        <w:t>2</w:t>
      </w:r>
      <w:r w:rsidR="00241743" w:rsidRPr="00EA67C4">
        <w:rPr>
          <w:szCs w:val="24"/>
        </w:rPr>
        <w:t>1.70</w:t>
      </w:r>
      <w:r w:rsidR="006F3CD5" w:rsidRPr="00EA67C4">
        <w:rPr>
          <w:szCs w:val="24"/>
        </w:rPr>
        <w:t>-day</w:t>
      </w:r>
      <w:r w:rsidR="00B25B41" w:rsidRPr="00EA67C4">
        <w:rPr>
          <w:szCs w:val="24"/>
        </w:rPr>
        <w:t xml:space="preserve"> lead for other operating </w:t>
      </w:r>
      <w:r w:rsidR="00241743" w:rsidRPr="00EA67C4">
        <w:rPr>
          <w:szCs w:val="24"/>
        </w:rPr>
        <w:t>and maintenance expenses</w:t>
      </w:r>
      <w:r w:rsidR="00B25B41" w:rsidRPr="00EA67C4">
        <w:rPr>
          <w:szCs w:val="24"/>
        </w:rPr>
        <w:t xml:space="preserve"> represents a weighted average of the leads measured </w:t>
      </w:r>
      <w:r w:rsidR="005D2199" w:rsidRPr="00EA67C4">
        <w:rPr>
          <w:szCs w:val="24"/>
        </w:rPr>
        <w:t>for each payment procedure.</w:t>
      </w:r>
    </w:p>
    <w:p w:rsidR="005D2199" w:rsidRPr="00EA67C4" w:rsidRDefault="005D2199" w:rsidP="000A5D53">
      <w:pPr>
        <w:tabs>
          <w:tab w:val="left" w:pos="720"/>
        </w:tabs>
        <w:spacing w:line="276" w:lineRule="auto"/>
        <w:jc w:val="both"/>
        <w:rPr>
          <w:szCs w:val="24"/>
        </w:rPr>
      </w:pPr>
    </w:p>
    <w:p w:rsidR="00B8695B" w:rsidRDefault="00B8695B" w:rsidP="000A5D53">
      <w:pPr>
        <w:tabs>
          <w:tab w:val="left" w:pos="720"/>
        </w:tabs>
        <w:spacing w:line="276" w:lineRule="auto"/>
        <w:jc w:val="both"/>
        <w:rPr>
          <w:b/>
          <w:szCs w:val="24"/>
          <w:u w:val="single"/>
        </w:rPr>
      </w:pPr>
      <w:r w:rsidRPr="00EA67C4">
        <w:rPr>
          <w:b/>
          <w:szCs w:val="24"/>
          <w:u w:val="single"/>
        </w:rPr>
        <w:t>Taxes Other Than Income Taxes</w:t>
      </w:r>
    </w:p>
    <w:p w:rsidR="00812B56" w:rsidRPr="00EA67C4" w:rsidRDefault="00812B56" w:rsidP="000A5D53">
      <w:pPr>
        <w:tabs>
          <w:tab w:val="left" w:pos="720"/>
        </w:tabs>
        <w:spacing w:line="276" w:lineRule="auto"/>
        <w:jc w:val="both"/>
        <w:rPr>
          <w:szCs w:val="24"/>
        </w:rPr>
      </w:pPr>
    </w:p>
    <w:p w:rsidR="006C3B63" w:rsidRDefault="00B8695B" w:rsidP="000A5D53">
      <w:pPr>
        <w:pStyle w:val="BodyText"/>
        <w:spacing w:line="276" w:lineRule="auto"/>
        <w:rPr>
          <w:szCs w:val="24"/>
        </w:rPr>
      </w:pPr>
      <w:r w:rsidRPr="00EA67C4">
        <w:rPr>
          <w:szCs w:val="24"/>
        </w:rPr>
        <w:t xml:space="preserve">Separate analyses were performed to determine the lead days for ad valorem taxes, </w:t>
      </w:r>
      <w:r w:rsidR="00241743" w:rsidRPr="00EA67C4">
        <w:rPr>
          <w:szCs w:val="24"/>
        </w:rPr>
        <w:t>payroll taxes</w:t>
      </w:r>
      <w:r w:rsidRPr="00EA67C4">
        <w:rPr>
          <w:szCs w:val="24"/>
        </w:rPr>
        <w:t xml:space="preserve">, federal and state unemployment taxes, and other miscellaneous taxes other than income taxes.  The </w:t>
      </w:r>
      <w:r w:rsidRPr="00EA67C4">
        <w:rPr>
          <w:szCs w:val="24"/>
        </w:rPr>
        <w:lastRenderedPageBreak/>
        <w:t>lead</w:t>
      </w:r>
      <w:r w:rsidR="00241743" w:rsidRPr="00EA67C4">
        <w:rPr>
          <w:szCs w:val="24"/>
        </w:rPr>
        <w:t xml:space="preserve"> days</w:t>
      </w:r>
      <w:r w:rsidRPr="00EA67C4">
        <w:rPr>
          <w:szCs w:val="24"/>
        </w:rPr>
        <w:t xml:space="preserve"> were computed from the midpoint of the tax year to the payment dates of the taxes</w:t>
      </w:r>
      <w:r w:rsidR="00241743" w:rsidRPr="00EA67C4">
        <w:rPr>
          <w:szCs w:val="24"/>
        </w:rPr>
        <w:t>, except payroll taxes.  The lead days for payroll taxes followed the calculation of lead days for payroll</w:t>
      </w:r>
      <w:r w:rsidRPr="00EA67C4">
        <w:rPr>
          <w:szCs w:val="24"/>
        </w:rPr>
        <w:t>.  The ove</w:t>
      </w:r>
      <w:r w:rsidR="00B25A30" w:rsidRPr="00EA67C4">
        <w:rPr>
          <w:szCs w:val="24"/>
        </w:rPr>
        <w:t xml:space="preserve">rall weighted average lead was </w:t>
      </w:r>
      <w:r w:rsidR="006F3CD5" w:rsidRPr="00EA67C4">
        <w:rPr>
          <w:szCs w:val="24"/>
        </w:rPr>
        <w:t>1</w:t>
      </w:r>
      <w:r w:rsidR="00500ED4" w:rsidRPr="00EA67C4">
        <w:rPr>
          <w:szCs w:val="24"/>
        </w:rPr>
        <w:t>65.5</w:t>
      </w:r>
      <w:r w:rsidR="005C5E7F" w:rsidRPr="00EA67C4">
        <w:rPr>
          <w:szCs w:val="24"/>
        </w:rPr>
        <w:t>2</w:t>
      </w:r>
      <w:r w:rsidRPr="00EA67C4">
        <w:rPr>
          <w:szCs w:val="24"/>
        </w:rPr>
        <w:t xml:space="preserve"> days.</w:t>
      </w:r>
      <w:r w:rsidR="00EC7B3E" w:rsidRPr="00EA67C4">
        <w:rPr>
          <w:szCs w:val="24"/>
        </w:rPr>
        <w:t xml:space="preserve">  As discussed previously, municipal franchise fe</w:t>
      </w:r>
      <w:r w:rsidR="00241743" w:rsidRPr="00EA67C4">
        <w:rPr>
          <w:szCs w:val="24"/>
        </w:rPr>
        <w:t>e</w:t>
      </w:r>
      <w:r w:rsidR="00EC7B3E" w:rsidRPr="00EA67C4">
        <w:rPr>
          <w:szCs w:val="24"/>
        </w:rPr>
        <w:t>s are not included in this calculation.</w:t>
      </w:r>
    </w:p>
    <w:p w:rsidR="00812B56" w:rsidRPr="00EA67C4" w:rsidRDefault="00812B56" w:rsidP="000A5D53">
      <w:pPr>
        <w:pStyle w:val="BodyText"/>
        <w:spacing w:line="276" w:lineRule="auto"/>
        <w:rPr>
          <w:szCs w:val="24"/>
        </w:rPr>
      </w:pPr>
    </w:p>
    <w:p w:rsidR="00B25B41" w:rsidRDefault="00972FEB" w:rsidP="000A5D53">
      <w:pPr>
        <w:pStyle w:val="BodyText"/>
        <w:spacing w:line="276" w:lineRule="auto"/>
        <w:rPr>
          <w:b/>
          <w:szCs w:val="24"/>
          <w:u w:val="single"/>
        </w:rPr>
      </w:pPr>
      <w:r w:rsidRPr="00EA67C4">
        <w:rPr>
          <w:b/>
          <w:szCs w:val="24"/>
          <w:u w:val="single"/>
        </w:rPr>
        <w:t xml:space="preserve">Current </w:t>
      </w:r>
      <w:r w:rsidR="00B25B41" w:rsidRPr="00EA67C4">
        <w:rPr>
          <w:b/>
          <w:szCs w:val="24"/>
          <w:u w:val="single"/>
        </w:rPr>
        <w:t>Income Taxes</w:t>
      </w:r>
    </w:p>
    <w:p w:rsidR="00812B56" w:rsidRPr="00EA67C4" w:rsidRDefault="00812B56" w:rsidP="000A5D53">
      <w:pPr>
        <w:pStyle w:val="BodyText"/>
        <w:spacing w:line="276" w:lineRule="auto"/>
        <w:rPr>
          <w:szCs w:val="24"/>
        </w:rPr>
      </w:pPr>
    </w:p>
    <w:p w:rsidR="00500ED4" w:rsidRDefault="00B25B41" w:rsidP="00812B56">
      <w:pPr>
        <w:tabs>
          <w:tab w:val="left" w:pos="720"/>
        </w:tabs>
        <w:spacing w:line="276" w:lineRule="auto"/>
        <w:jc w:val="both"/>
        <w:rPr>
          <w:szCs w:val="24"/>
        </w:rPr>
      </w:pPr>
      <w:r w:rsidRPr="00EA67C4">
        <w:rPr>
          <w:szCs w:val="24"/>
        </w:rPr>
        <w:t>The lead for both Fede</w:t>
      </w:r>
      <w:r w:rsidR="00720375" w:rsidRPr="00EA67C4">
        <w:rPr>
          <w:szCs w:val="24"/>
        </w:rPr>
        <w:t>ral and State income taxes of 3</w:t>
      </w:r>
      <w:r w:rsidR="00500ED4" w:rsidRPr="00EA67C4">
        <w:rPr>
          <w:szCs w:val="24"/>
        </w:rPr>
        <w:t>8</w:t>
      </w:r>
      <w:r w:rsidRPr="00EA67C4">
        <w:rPr>
          <w:szCs w:val="24"/>
        </w:rPr>
        <w:t xml:space="preserve"> days was based on the statutory requirements of the Internal Revenue Code and the State of Georgia Revenue Code.  The requirements call for estimated tax payments of 25% of total taxes on April 15, June 15, September 15, and D</w:t>
      </w:r>
      <w:r w:rsidR="001F2180" w:rsidRPr="00EA67C4">
        <w:rPr>
          <w:szCs w:val="24"/>
        </w:rPr>
        <w:t>ecember 15 of the current year.</w:t>
      </w:r>
    </w:p>
    <w:p w:rsidR="00812B56" w:rsidRPr="00812B56" w:rsidRDefault="00812B56" w:rsidP="00812B56">
      <w:pPr>
        <w:tabs>
          <w:tab w:val="left" w:pos="720"/>
        </w:tabs>
        <w:spacing w:line="276" w:lineRule="auto"/>
        <w:jc w:val="both"/>
        <w:rPr>
          <w:szCs w:val="24"/>
        </w:rPr>
      </w:pPr>
    </w:p>
    <w:p w:rsidR="00B25B41" w:rsidRDefault="00B25B41" w:rsidP="000A5D53">
      <w:pPr>
        <w:tabs>
          <w:tab w:val="left" w:pos="720"/>
        </w:tabs>
        <w:spacing w:line="276" w:lineRule="auto"/>
        <w:jc w:val="both"/>
        <w:rPr>
          <w:b/>
          <w:szCs w:val="24"/>
          <w:u w:val="single"/>
        </w:rPr>
      </w:pPr>
      <w:r w:rsidRPr="00EA67C4">
        <w:rPr>
          <w:b/>
          <w:szCs w:val="24"/>
          <w:u w:val="single"/>
        </w:rPr>
        <w:t xml:space="preserve">Adjustment for Average Sales </w:t>
      </w:r>
      <w:r w:rsidR="00241743" w:rsidRPr="00EA67C4">
        <w:rPr>
          <w:b/>
          <w:szCs w:val="24"/>
          <w:u w:val="single"/>
        </w:rPr>
        <w:t xml:space="preserve">and Energy Excise </w:t>
      </w:r>
      <w:r w:rsidRPr="00EA67C4">
        <w:rPr>
          <w:b/>
          <w:szCs w:val="24"/>
          <w:u w:val="single"/>
        </w:rPr>
        <w:t>Tax Collections</w:t>
      </w:r>
    </w:p>
    <w:p w:rsidR="00812B56" w:rsidRPr="00EA67C4" w:rsidRDefault="00812B56" w:rsidP="000A5D53">
      <w:pPr>
        <w:tabs>
          <w:tab w:val="left" w:pos="720"/>
        </w:tabs>
        <w:spacing w:line="276" w:lineRule="auto"/>
        <w:jc w:val="both"/>
        <w:rPr>
          <w:szCs w:val="24"/>
        </w:rPr>
      </w:pPr>
    </w:p>
    <w:p w:rsidR="00A9370B" w:rsidRPr="00EA67C4" w:rsidRDefault="00B25B41" w:rsidP="000A5D53">
      <w:pPr>
        <w:tabs>
          <w:tab w:val="left" w:pos="720"/>
        </w:tabs>
        <w:spacing w:line="276" w:lineRule="auto"/>
        <w:jc w:val="both"/>
        <w:rPr>
          <w:szCs w:val="24"/>
        </w:rPr>
      </w:pPr>
      <w:r w:rsidRPr="00EA67C4">
        <w:rPr>
          <w:szCs w:val="24"/>
        </w:rPr>
        <w:t xml:space="preserve">The Company collects and remits </w:t>
      </w:r>
      <w:r w:rsidR="00241743" w:rsidRPr="00EA67C4">
        <w:rPr>
          <w:szCs w:val="24"/>
        </w:rPr>
        <w:t>to the State of Georgia the sales and energy excise tax included in customer billings.  On average, the Company remits sales tax 27.73 days and energy excise tax</w:t>
      </w:r>
      <w:r w:rsidR="00AE02F0" w:rsidRPr="00EA67C4">
        <w:rPr>
          <w:szCs w:val="24"/>
        </w:rPr>
        <w:t xml:space="preserve"> 35.39 days after the mid-point of the service period.  Since it takes the Company 19.09 days to the collect the sales and energy excise tax from customers, there is a net lead day adjustment.  </w:t>
      </w:r>
      <w:r w:rsidR="00A9370B" w:rsidRPr="00EA67C4">
        <w:rPr>
          <w:szCs w:val="24"/>
        </w:rPr>
        <w:t xml:space="preserve"> </w:t>
      </w:r>
    </w:p>
    <w:p w:rsidR="00812B56" w:rsidRDefault="00812B56" w:rsidP="000A5D53">
      <w:pPr>
        <w:tabs>
          <w:tab w:val="left" w:pos="720"/>
        </w:tabs>
        <w:spacing w:line="276" w:lineRule="auto"/>
        <w:jc w:val="both"/>
        <w:rPr>
          <w:b/>
          <w:szCs w:val="24"/>
          <w:u w:val="single"/>
        </w:rPr>
      </w:pPr>
    </w:p>
    <w:p w:rsidR="00B25B41" w:rsidRDefault="00B25B41" w:rsidP="000A5D53">
      <w:pPr>
        <w:tabs>
          <w:tab w:val="left" w:pos="720"/>
        </w:tabs>
        <w:spacing w:line="276" w:lineRule="auto"/>
        <w:jc w:val="both"/>
        <w:rPr>
          <w:b/>
          <w:szCs w:val="24"/>
          <w:u w:val="single"/>
        </w:rPr>
      </w:pPr>
      <w:r w:rsidRPr="00EA67C4">
        <w:rPr>
          <w:b/>
          <w:szCs w:val="24"/>
          <w:u w:val="single"/>
        </w:rPr>
        <w:t>Interest Expense on Long Term Debt</w:t>
      </w:r>
    </w:p>
    <w:p w:rsidR="00812B56" w:rsidRPr="00EA67C4" w:rsidRDefault="00812B56" w:rsidP="000A5D53">
      <w:pPr>
        <w:tabs>
          <w:tab w:val="left" w:pos="720"/>
        </w:tabs>
        <w:spacing w:line="276" w:lineRule="auto"/>
        <w:jc w:val="both"/>
        <w:rPr>
          <w:szCs w:val="24"/>
        </w:rPr>
      </w:pPr>
    </w:p>
    <w:p w:rsidR="00AB6DF2" w:rsidRPr="00EA67C4" w:rsidRDefault="00B25B41" w:rsidP="000A5D53">
      <w:pPr>
        <w:pStyle w:val="BodyTextIndent"/>
        <w:spacing w:line="276" w:lineRule="auto"/>
        <w:rPr>
          <w:szCs w:val="24"/>
        </w:rPr>
      </w:pPr>
      <w:r w:rsidRPr="00EA67C4">
        <w:rPr>
          <w:szCs w:val="24"/>
        </w:rPr>
        <w:tab/>
        <w:t>In</w:t>
      </w:r>
      <w:r w:rsidR="00CA6CF9" w:rsidRPr="00EA67C4">
        <w:rPr>
          <w:szCs w:val="24"/>
        </w:rPr>
        <w:t xml:space="preserve">terest on </w:t>
      </w:r>
      <w:r w:rsidRPr="00EA67C4">
        <w:rPr>
          <w:szCs w:val="24"/>
        </w:rPr>
        <w:t>Senior Notes</w:t>
      </w:r>
      <w:r w:rsidR="00CA6CF9" w:rsidRPr="00EA67C4">
        <w:rPr>
          <w:szCs w:val="24"/>
        </w:rPr>
        <w:t xml:space="preserve"> </w:t>
      </w:r>
      <w:r w:rsidR="00EE75C4" w:rsidRPr="00EA67C4">
        <w:rPr>
          <w:szCs w:val="24"/>
        </w:rPr>
        <w:t>are</w:t>
      </w:r>
      <w:r w:rsidRPr="00EA67C4">
        <w:rPr>
          <w:szCs w:val="24"/>
        </w:rPr>
        <w:t xml:space="preserve"> paid by the Company either month</w:t>
      </w:r>
      <w:r w:rsidR="00211D8C" w:rsidRPr="00EA67C4">
        <w:rPr>
          <w:szCs w:val="24"/>
        </w:rPr>
        <w:t xml:space="preserve">ly, quarterly, or semi-annually.  </w:t>
      </w:r>
      <w:r w:rsidR="00565531" w:rsidRPr="00EA67C4">
        <w:rPr>
          <w:szCs w:val="24"/>
        </w:rPr>
        <w:t xml:space="preserve">Interest on Bank Notes </w:t>
      </w:r>
      <w:r w:rsidR="00EE75C4" w:rsidRPr="00EA67C4">
        <w:rPr>
          <w:szCs w:val="24"/>
        </w:rPr>
        <w:t>are</w:t>
      </w:r>
      <w:r w:rsidR="00565531" w:rsidRPr="00EA67C4">
        <w:rPr>
          <w:szCs w:val="24"/>
        </w:rPr>
        <w:t xml:space="preserve"> paid in the middle of the month.  </w:t>
      </w:r>
      <w:r w:rsidR="00211D8C" w:rsidRPr="00EA67C4">
        <w:rPr>
          <w:szCs w:val="24"/>
        </w:rPr>
        <w:t xml:space="preserve">Interest on </w:t>
      </w:r>
      <w:r w:rsidR="00AE02F0" w:rsidRPr="00EA67C4">
        <w:rPr>
          <w:szCs w:val="24"/>
        </w:rPr>
        <w:t>variable</w:t>
      </w:r>
      <w:r w:rsidR="00211D8C" w:rsidRPr="00EA67C4">
        <w:rPr>
          <w:szCs w:val="24"/>
        </w:rPr>
        <w:t xml:space="preserve"> rate Pollution Control Bonds</w:t>
      </w:r>
      <w:r w:rsidR="00DD5302" w:rsidRPr="00EA67C4">
        <w:rPr>
          <w:szCs w:val="24"/>
        </w:rPr>
        <w:t xml:space="preserve"> (PCBs)</w:t>
      </w:r>
      <w:r w:rsidR="00211D8C" w:rsidRPr="00EA67C4">
        <w:rPr>
          <w:szCs w:val="24"/>
        </w:rPr>
        <w:t xml:space="preserve"> </w:t>
      </w:r>
      <w:r w:rsidR="00EE75C4" w:rsidRPr="00EA67C4">
        <w:rPr>
          <w:szCs w:val="24"/>
        </w:rPr>
        <w:t>are</w:t>
      </w:r>
      <w:r w:rsidR="00211D8C" w:rsidRPr="00EA67C4">
        <w:rPr>
          <w:szCs w:val="24"/>
        </w:rPr>
        <w:t xml:space="preserve"> paid by the Company based on the type of auction</w:t>
      </w:r>
      <w:r w:rsidR="004F5FFF" w:rsidRPr="00EA67C4">
        <w:rPr>
          <w:szCs w:val="24"/>
        </w:rPr>
        <w:t xml:space="preserve"> (7-day, 28-day, 35-</w:t>
      </w:r>
      <w:r w:rsidR="00211D8C" w:rsidRPr="00EA67C4">
        <w:rPr>
          <w:szCs w:val="24"/>
        </w:rPr>
        <w:t xml:space="preserve">day, </w:t>
      </w:r>
      <w:r w:rsidR="00395F4C" w:rsidRPr="00EA67C4">
        <w:rPr>
          <w:szCs w:val="24"/>
        </w:rPr>
        <w:t>q</w:t>
      </w:r>
      <w:r w:rsidR="00211D8C" w:rsidRPr="00EA67C4">
        <w:rPr>
          <w:szCs w:val="24"/>
        </w:rPr>
        <w:t>uarterly, etc.)</w:t>
      </w:r>
      <w:r w:rsidR="00DD5302" w:rsidRPr="00EA67C4">
        <w:rPr>
          <w:szCs w:val="24"/>
        </w:rPr>
        <w:t xml:space="preserve"> and interest on fixed rate PCBs </w:t>
      </w:r>
      <w:r w:rsidR="00EE75C4" w:rsidRPr="00EA67C4">
        <w:rPr>
          <w:szCs w:val="24"/>
        </w:rPr>
        <w:t>are</w:t>
      </w:r>
      <w:r w:rsidR="00DD5302" w:rsidRPr="00EA67C4">
        <w:rPr>
          <w:szCs w:val="24"/>
        </w:rPr>
        <w:t xml:space="preserve"> paid semi-annually at the end of the period</w:t>
      </w:r>
      <w:r w:rsidR="004F5FFF" w:rsidRPr="00EA67C4">
        <w:rPr>
          <w:szCs w:val="24"/>
        </w:rPr>
        <w:t>.</w:t>
      </w:r>
      <w:r w:rsidRPr="00EA67C4">
        <w:rPr>
          <w:szCs w:val="24"/>
        </w:rPr>
        <w:t xml:space="preserve">  </w:t>
      </w:r>
      <w:r w:rsidR="00AF7700" w:rsidRPr="00EA67C4">
        <w:rPr>
          <w:szCs w:val="24"/>
        </w:rPr>
        <w:t xml:space="preserve">Interest on DOE loans </w:t>
      </w:r>
      <w:r w:rsidR="00EE75C4" w:rsidRPr="00EA67C4">
        <w:rPr>
          <w:szCs w:val="24"/>
        </w:rPr>
        <w:t xml:space="preserve">are </w:t>
      </w:r>
      <w:r w:rsidR="00AF7700" w:rsidRPr="00EA67C4">
        <w:rPr>
          <w:szCs w:val="24"/>
        </w:rPr>
        <w:t>paid quarterly in the middle of the month, and interest on Junior Subordinated Notes are paid quarterly on the first of the month.</w:t>
      </w:r>
      <w:r w:rsidR="00565531" w:rsidRPr="00EA67C4">
        <w:rPr>
          <w:szCs w:val="24"/>
        </w:rPr>
        <w:t xml:space="preserve">  </w:t>
      </w:r>
      <w:r w:rsidRPr="00EA67C4">
        <w:rPr>
          <w:szCs w:val="24"/>
        </w:rPr>
        <w:t>The overall weighted average lead</w:t>
      </w:r>
      <w:r w:rsidR="00395F4C" w:rsidRPr="00EA67C4">
        <w:rPr>
          <w:szCs w:val="24"/>
        </w:rPr>
        <w:t xml:space="preserve"> </w:t>
      </w:r>
      <w:r w:rsidR="003E2BB0" w:rsidRPr="00EA67C4">
        <w:rPr>
          <w:szCs w:val="24"/>
        </w:rPr>
        <w:t>days for these issuances were</w:t>
      </w:r>
      <w:r w:rsidR="005C67E0" w:rsidRPr="00EA67C4">
        <w:rPr>
          <w:szCs w:val="24"/>
        </w:rPr>
        <w:t xml:space="preserve"> </w:t>
      </w:r>
      <w:r w:rsidR="00A9370B" w:rsidRPr="00EA67C4">
        <w:rPr>
          <w:szCs w:val="24"/>
        </w:rPr>
        <w:t>79.</w:t>
      </w:r>
      <w:r w:rsidR="00500ED4" w:rsidRPr="00EA67C4">
        <w:rPr>
          <w:szCs w:val="24"/>
        </w:rPr>
        <w:t>44</w:t>
      </w:r>
      <w:r w:rsidRPr="00EA67C4">
        <w:rPr>
          <w:szCs w:val="24"/>
        </w:rPr>
        <w:t xml:space="preserve"> days.  </w:t>
      </w:r>
    </w:p>
    <w:p w:rsidR="003F470B" w:rsidRPr="00EA67C4" w:rsidRDefault="00AB6DF2" w:rsidP="000A5D53">
      <w:pPr>
        <w:pStyle w:val="BodyTextIndent"/>
        <w:spacing w:line="276" w:lineRule="auto"/>
        <w:rPr>
          <w:szCs w:val="24"/>
        </w:rPr>
      </w:pPr>
      <w:r w:rsidRPr="00EA67C4">
        <w:rPr>
          <w:szCs w:val="24"/>
        </w:rPr>
        <w:tab/>
      </w:r>
    </w:p>
    <w:p w:rsidR="00B25B41" w:rsidRDefault="008B1579" w:rsidP="000A5D53">
      <w:pPr>
        <w:pStyle w:val="BodyTextIndent"/>
        <w:spacing w:line="276" w:lineRule="auto"/>
        <w:rPr>
          <w:b/>
          <w:szCs w:val="24"/>
          <w:u w:val="single"/>
        </w:rPr>
      </w:pPr>
      <w:r w:rsidRPr="00EA67C4">
        <w:rPr>
          <w:b/>
          <w:szCs w:val="24"/>
        </w:rPr>
        <w:tab/>
      </w:r>
      <w:r w:rsidR="00B25B41" w:rsidRPr="00EA67C4">
        <w:rPr>
          <w:b/>
          <w:szCs w:val="24"/>
          <w:u w:val="single"/>
        </w:rPr>
        <w:t xml:space="preserve">Preferred </w:t>
      </w:r>
      <w:r w:rsidR="00AE02F0" w:rsidRPr="00EA67C4">
        <w:rPr>
          <w:b/>
          <w:szCs w:val="24"/>
          <w:u w:val="single"/>
        </w:rPr>
        <w:t xml:space="preserve">and Preference </w:t>
      </w:r>
      <w:r w:rsidR="00B25B41" w:rsidRPr="00EA67C4">
        <w:rPr>
          <w:b/>
          <w:szCs w:val="24"/>
          <w:u w:val="single"/>
        </w:rPr>
        <w:t>Dividends</w:t>
      </w:r>
    </w:p>
    <w:p w:rsidR="00812B56" w:rsidRPr="00EA67C4" w:rsidRDefault="00812B56" w:rsidP="000A5D53">
      <w:pPr>
        <w:pStyle w:val="BodyTextIndent"/>
        <w:spacing w:line="276" w:lineRule="auto"/>
        <w:rPr>
          <w:szCs w:val="24"/>
        </w:rPr>
      </w:pPr>
    </w:p>
    <w:p w:rsidR="00AC0AE8" w:rsidRPr="00EA67C4" w:rsidRDefault="007D002A" w:rsidP="000A5D53">
      <w:pPr>
        <w:tabs>
          <w:tab w:val="left" w:pos="0"/>
        </w:tabs>
        <w:spacing w:line="276" w:lineRule="auto"/>
        <w:jc w:val="both"/>
        <w:rPr>
          <w:szCs w:val="24"/>
        </w:rPr>
      </w:pPr>
      <w:r w:rsidRPr="00EA67C4">
        <w:rPr>
          <w:szCs w:val="24"/>
        </w:rPr>
        <w:t>Prior to 2017, the Company paid dividends</w:t>
      </w:r>
      <w:r w:rsidR="00B25B41" w:rsidRPr="00EA67C4">
        <w:rPr>
          <w:szCs w:val="24"/>
        </w:rPr>
        <w:t xml:space="preserve"> </w:t>
      </w:r>
      <w:r w:rsidR="003E2BB0" w:rsidRPr="00EA67C4">
        <w:rPr>
          <w:szCs w:val="24"/>
        </w:rPr>
        <w:t>quarterly;</w:t>
      </w:r>
      <w:r w:rsidR="00B25B41" w:rsidRPr="00EA67C4">
        <w:rPr>
          <w:szCs w:val="24"/>
        </w:rPr>
        <w:t xml:space="preserve"> </w:t>
      </w:r>
      <w:r w:rsidRPr="00EA67C4">
        <w:rPr>
          <w:szCs w:val="24"/>
        </w:rPr>
        <w:t>therefore,</w:t>
      </w:r>
      <w:r w:rsidR="00B25B41" w:rsidRPr="00EA67C4">
        <w:rPr>
          <w:szCs w:val="24"/>
        </w:rPr>
        <w:t xml:space="preserve"> the lead for Preferred</w:t>
      </w:r>
      <w:r w:rsidR="00AE02F0" w:rsidRPr="00EA67C4">
        <w:rPr>
          <w:szCs w:val="24"/>
        </w:rPr>
        <w:t xml:space="preserve"> and Preference</w:t>
      </w:r>
      <w:r w:rsidR="00B25B41" w:rsidRPr="00EA67C4">
        <w:rPr>
          <w:szCs w:val="24"/>
        </w:rPr>
        <w:t xml:space="preserve"> Dividends </w:t>
      </w:r>
      <w:r w:rsidR="00AE02F0" w:rsidRPr="00EA67C4">
        <w:rPr>
          <w:szCs w:val="24"/>
        </w:rPr>
        <w:t>was</w:t>
      </w:r>
      <w:r w:rsidR="00B25B41" w:rsidRPr="00EA67C4">
        <w:rPr>
          <w:szCs w:val="24"/>
        </w:rPr>
        <w:t xml:space="preserve"> 45 days.</w:t>
      </w:r>
      <w:r w:rsidRPr="00EA67C4">
        <w:rPr>
          <w:szCs w:val="24"/>
        </w:rPr>
        <w:t xml:space="preserve">  During 2017, the Company redeemed all preferred and preference stock</w:t>
      </w:r>
      <w:r w:rsidR="00AE02F0" w:rsidRPr="00EA67C4">
        <w:rPr>
          <w:szCs w:val="24"/>
        </w:rPr>
        <w:t xml:space="preserve"> and</w:t>
      </w:r>
      <w:r w:rsidRPr="00EA67C4">
        <w:rPr>
          <w:szCs w:val="24"/>
        </w:rPr>
        <w:t xml:space="preserve"> no longer distributed any preferred </w:t>
      </w:r>
      <w:r w:rsidR="00AE02F0" w:rsidRPr="00EA67C4">
        <w:rPr>
          <w:szCs w:val="24"/>
        </w:rPr>
        <w:t xml:space="preserve">and preference </w:t>
      </w:r>
      <w:r w:rsidRPr="00EA67C4">
        <w:rPr>
          <w:szCs w:val="24"/>
        </w:rPr>
        <w:t>dividends.  T</w:t>
      </w:r>
      <w:r w:rsidR="00AE02F0" w:rsidRPr="00EA67C4">
        <w:rPr>
          <w:szCs w:val="24"/>
        </w:rPr>
        <w:t>herefore, t</w:t>
      </w:r>
      <w:r w:rsidRPr="00EA67C4">
        <w:rPr>
          <w:szCs w:val="24"/>
        </w:rPr>
        <w:t xml:space="preserve">his section </w:t>
      </w:r>
      <w:r w:rsidR="00500ED4" w:rsidRPr="00EA67C4">
        <w:rPr>
          <w:szCs w:val="24"/>
        </w:rPr>
        <w:t>is not applicable to th</w:t>
      </w:r>
      <w:r w:rsidR="00AE02F0" w:rsidRPr="00EA67C4">
        <w:rPr>
          <w:szCs w:val="24"/>
        </w:rPr>
        <w:t>is</w:t>
      </w:r>
      <w:r w:rsidR="00500ED4" w:rsidRPr="00EA67C4">
        <w:rPr>
          <w:szCs w:val="24"/>
        </w:rPr>
        <w:t xml:space="preserve"> study.  </w:t>
      </w:r>
    </w:p>
    <w:p w:rsidR="00062C7E" w:rsidRDefault="007D002A" w:rsidP="000A5D53">
      <w:pPr>
        <w:tabs>
          <w:tab w:val="left" w:pos="720"/>
        </w:tabs>
        <w:spacing w:line="276" w:lineRule="auto"/>
        <w:jc w:val="center"/>
        <w:rPr>
          <w:b/>
          <w:szCs w:val="24"/>
          <w:u w:val="single"/>
        </w:rPr>
      </w:pPr>
      <w:r w:rsidRPr="00EA67C4">
        <w:rPr>
          <w:b/>
          <w:szCs w:val="24"/>
        </w:rPr>
        <w:br w:type="page"/>
      </w:r>
      <w:r w:rsidR="009F167B" w:rsidRPr="00812B56">
        <w:rPr>
          <w:b/>
          <w:szCs w:val="24"/>
          <w:u w:val="single"/>
        </w:rPr>
        <w:lastRenderedPageBreak/>
        <w:t>GEORGIA POWER COMPANY</w:t>
      </w:r>
    </w:p>
    <w:p w:rsidR="00812B56" w:rsidRPr="00812B56" w:rsidRDefault="00812B56" w:rsidP="000A5D53">
      <w:pPr>
        <w:tabs>
          <w:tab w:val="left" w:pos="720"/>
        </w:tabs>
        <w:spacing w:line="276" w:lineRule="auto"/>
        <w:jc w:val="center"/>
        <w:rPr>
          <w:b/>
          <w:szCs w:val="24"/>
          <w:u w:val="single"/>
        </w:rPr>
      </w:pPr>
    </w:p>
    <w:p w:rsidR="009F167B" w:rsidRDefault="009F167B" w:rsidP="000A5D53">
      <w:pPr>
        <w:tabs>
          <w:tab w:val="left" w:pos="720"/>
        </w:tabs>
        <w:spacing w:line="276" w:lineRule="auto"/>
        <w:ind w:left="720" w:hanging="720"/>
        <w:jc w:val="center"/>
        <w:rPr>
          <w:b/>
          <w:szCs w:val="24"/>
          <w:u w:val="single"/>
        </w:rPr>
      </w:pPr>
      <w:r w:rsidRPr="00812B56">
        <w:rPr>
          <w:b/>
          <w:szCs w:val="24"/>
          <w:u w:val="single"/>
        </w:rPr>
        <w:t>CASH WORKING CAPITAL</w:t>
      </w:r>
    </w:p>
    <w:p w:rsidR="00812B56" w:rsidRPr="00812B56" w:rsidRDefault="00812B56" w:rsidP="000A5D53">
      <w:pPr>
        <w:tabs>
          <w:tab w:val="left" w:pos="720"/>
        </w:tabs>
        <w:spacing w:line="276" w:lineRule="auto"/>
        <w:ind w:left="720" w:hanging="720"/>
        <w:jc w:val="center"/>
        <w:rPr>
          <w:b/>
          <w:szCs w:val="24"/>
          <w:u w:val="single"/>
        </w:rPr>
      </w:pPr>
    </w:p>
    <w:p w:rsidR="009F167B" w:rsidRPr="00EA67C4" w:rsidRDefault="009F167B" w:rsidP="000A5D53">
      <w:pPr>
        <w:tabs>
          <w:tab w:val="left" w:pos="720"/>
        </w:tabs>
        <w:spacing w:line="276" w:lineRule="auto"/>
        <w:ind w:left="720" w:hanging="720"/>
        <w:jc w:val="center"/>
        <w:rPr>
          <w:b/>
          <w:szCs w:val="24"/>
        </w:rPr>
      </w:pPr>
      <w:r w:rsidRPr="00812B56">
        <w:rPr>
          <w:b/>
          <w:szCs w:val="24"/>
          <w:u w:val="single"/>
        </w:rPr>
        <w:t>SUMMARY OF LEAD/(LAG) DAYS</w:t>
      </w:r>
    </w:p>
    <w:p w:rsidR="006F3B1A" w:rsidRPr="00EA67C4" w:rsidRDefault="006F3B1A" w:rsidP="000A5D53">
      <w:pPr>
        <w:tabs>
          <w:tab w:val="left" w:pos="720"/>
        </w:tabs>
        <w:spacing w:line="276" w:lineRule="auto"/>
        <w:ind w:left="720" w:hanging="720"/>
        <w:jc w:val="center"/>
        <w:rPr>
          <w:b/>
          <w:szCs w:val="24"/>
        </w:rPr>
      </w:pPr>
    </w:p>
    <w:p w:rsidR="00360739" w:rsidRPr="00EA67C4" w:rsidRDefault="00360739" w:rsidP="000A5D53">
      <w:pPr>
        <w:tabs>
          <w:tab w:val="left" w:pos="720"/>
        </w:tabs>
        <w:spacing w:line="276" w:lineRule="auto"/>
        <w:ind w:left="720" w:hanging="720"/>
        <w:jc w:val="center"/>
        <w:rPr>
          <w:b/>
          <w:szCs w:val="24"/>
        </w:rPr>
      </w:pPr>
    </w:p>
    <w:p w:rsidR="006F3B1A" w:rsidRPr="00EA67C4" w:rsidRDefault="006F3B1A" w:rsidP="000A5D53">
      <w:pPr>
        <w:tabs>
          <w:tab w:val="left" w:pos="720"/>
        </w:tabs>
        <w:spacing w:line="276" w:lineRule="auto"/>
        <w:ind w:left="720" w:hanging="720"/>
        <w:jc w:val="center"/>
        <w:rPr>
          <w:b/>
          <w:szCs w:val="24"/>
        </w:rPr>
      </w:pPr>
    </w:p>
    <w:p w:rsidR="009F167B" w:rsidRPr="00EA67C4" w:rsidRDefault="009F167B" w:rsidP="000A5D53">
      <w:pPr>
        <w:tabs>
          <w:tab w:val="left" w:pos="720"/>
        </w:tabs>
        <w:spacing w:line="276" w:lineRule="auto"/>
        <w:ind w:left="720" w:hanging="720"/>
        <w:rPr>
          <w:b/>
          <w:szCs w:val="24"/>
        </w:rPr>
      </w:pPr>
    </w:p>
    <w:p w:rsidR="009F167B" w:rsidRPr="00EA67C4" w:rsidRDefault="006F3B1A" w:rsidP="000A5D53">
      <w:pPr>
        <w:tabs>
          <w:tab w:val="left" w:pos="720"/>
        </w:tabs>
        <w:spacing w:line="276" w:lineRule="auto"/>
        <w:ind w:left="720" w:hanging="720"/>
        <w:jc w:val="both"/>
        <w:rPr>
          <w:szCs w:val="24"/>
        </w:rPr>
      </w:pPr>
      <w:r w:rsidRPr="00EA67C4">
        <w:rPr>
          <w:szCs w:val="24"/>
        </w:rPr>
        <w:tab/>
      </w:r>
      <w:r w:rsidRPr="00EA67C4">
        <w:rPr>
          <w:szCs w:val="24"/>
        </w:rPr>
        <w:tab/>
      </w:r>
      <w:r w:rsidR="007D002A" w:rsidRPr="00EA67C4">
        <w:rPr>
          <w:szCs w:val="24"/>
        </w:rPr>
        <w:t>Operating Revenue</w:t>
      </w:r>
      <w:r w:rsidR="007D002A" w:rsidRPr="00EA67C4">
        <w:rPr>
          <w:szCs w:val="24"/>
        </w:rPr>
        <w:tab/>
      </w:r>
      <w:r w:rsidR="007D002A" w:rsidRPr="00EA67C4">
        <w:rPr>
          <w:szCs w:val="24"/>
        </w:rPr>
        <w:tab/>
      </w:r>
      <w:r w:rsidR="007D002A" w:rsidRPr="00EA67C4">
        <w:rPr>
          <w:szCs w:val="24"/>
        </w:rPr>
        <w:tab/>
      </w:r>
      <w:r w:rsidR="007D002A" w:rsidRPr="00EA67C4">
        <w:rPr>
          <w:szCs w:val="24"/>
        </w:rPr>
        <w:tab/>
      </w:r>
      <w:r w:rsidR="007D002A" w:rsidRPr="00EA67C4">
        <w:rPr>
          <w:szCs w:val="24"/>
        </w:rPr>
        <w:tab/>
      </w:r>
      <w:r w:rsidR="007D002A" w:rsidRPr="00EA67C4">
        <w:rPr>
          <w:szCs w:val="24"/>
        </w:rPr>
        <w:tab/>
      </w:r>
      <w:r w:rsidR="009F167B" w:rsidRPr="00EA67C4">
        <w:rPr>
          <w:szCs w:val="24"/>
        </w:rPr>
        <w:t>(</w:t>
      </w:r>
      <w:r w:rsidR="00535605" w:rsidRPr="00EA67C4">
        <w:rPr>
          <w:szCs w:val="24"/>
        </w:rPr>
        <w:t>3</w:t>
      </w:r>
      <w:r w:rsidR="005C5E7F" w:rsidRPr="00EA67C4">
        <w:rPr>
          <w:szCs w:val="24"/>
        </w:rPr>
        <w:t>7.08</w:t>
      </w:r>
      <w:r w:rsidR="009F167B" w:rsidRPr="00EA67C4">
        <w:rPr>
          <w:szCs w:val="24"/>
        </w:rPr>
        <w:t>)</w:t>
      </w:r>
    </w:p>
    <w:p w:rsidR="009F167B" w:rsidRPr="00EA67C4" w:rsidRDefault="009F167B" w:rsidP="000A5D53">
      <w:pPr>
        <w:tabs>
          <w:tab w:val="left" w:pos="720"/>
        </w:tabs>
        <w:spacing w:line="276" w:lineRule="auto"/>
        <w:ind w:left="720" w:hanging="720"/>
        <w:jc w:val="both"/>
        <w:rPr>
          <w:szCs w:val="24"/>
        </w:rPr>
      </w:pPr>
    </w:p>
    <w:p w:rsidR="009F167B" w:rsidRPr="00EA67C4" w:rsidRDefault="006F3B1A" w:rsidP="000A5D53">
      <w:pPr>
        <w:tabs>
          <w:tab w:val="left" w:pos="720"/>
        </w:tabs>
        <w:spacing w:line="276" w:lineRule="auto"/>
        <w:ind w:left="720" w:hanging="720"/>
        <w:jc w:val="both"/>
        <w:rPr>
          <w:szCs w:val="24"/>
        </w:rPr>
      </w:pPr>
      <w:r w:rsidRPr="00EA67C4">
        <w:rPr>
          <w:szCs w:val="24"/>
        </w:rPr>
        <w:tab/>
      </w:r>
      <w:r w:rsidRPr="00EA67C4">
        <w:rPr>
          <w:szCs w:val="24"/>
        </w:rPr>
        <w:tab/>
      </w:r>
      <w:r w:rsidR="007D002A" w:rsidRPr="00EA67C4">
        <w:rPr>
          <w:szCs w:val="24"/>
        </w:rPr>
        <w:t>Fuels Other Than Nuclear</w:t>
      </w:r>
      <w:r w:rsidR="007D002A" w:rsidRPr="00EA67C4">
        <w:rPr>
          <w:szCs w:val="24"/>
        </w:rPr>
        <w:tab/>
      </w:r>
      <w:r w:rsidR="007D002A" w:rsidRPr="00EA67C4">
        <w:rPr>
          <w:szCs w:val="24"/>
        </w:rPr>
        <w:tab/>
      </w:r>
      <w:r w:rsidR="007D002A" w:rsidRPr="00EA67C4">
        <w:rPr>
          <w:szCs w:val="24"/>
        </w:rPr>
        <w:tab/>
      </w:r>
      <w:r w:rsidR="007D002A" w:rsidRPr="00EA67C4">
        <w:rPr>
          <w:szCs w:val="24"/>
        </w:rPr>
        <w:tab/>
        <w:t xml:space="preserve"> </w:t>
      </w:r>
      <w:r w:rsidR="007D002A" w:rsidRPr="00EA67C4">
        <w:rPr>
          <w:szCs w:val="24"/>
        </w:rPr>
        <w:tab/>
      </w:r>
      <w:r w:rsidR="00535605" w:rsidRPr="00EA67C4">
        <w:rPr>
          <w:szCs w:val="24"/>
        </w:rPr>
        <w:t>2</w:t>
      </w:r>
      <w:r w:rsidR="00500ED4" w:rsidRPr="00EA67C4">
        <w:rPr>
          <w:szCs w:val="24"/>
        </w:rPr>
        <w:t>7.19</w:t>
      </w:r>
    </w:p>
    <w:p w:rsidR="009F167B" w:rsidRPr="00EA67C4" w:rsidRDefault="009F167B" w:rsidP="000A5D53">
      <w:pPr>
        <w:tabs>
          <w:tab w:val="left" w:pos="720"/>
        </w:tabs>
        <w:spacing w:line="276" w:lineRule="auto"/>
        <w:ind w:left="720" w:hanging="720"/>
        <w:jc w:val="both"/>
        <w:rPr>
          <w:szCs w:val="24"/>
        </w:rPr>
      </w:pPr>
    </w:p>
    <w:p w:rsidR="009F167B" w:rsidRPr="00EA67C4" w:rsidRDefault="006F3B1A" w:rsidP="000A5D53">
      <w:pPr>
        <w:tabs>
          <w:tab w:val="left" w:pos="720"/>
        </w:tabs>
        <w:spacing w:line="276" w:lineRule="auto"/>
        <w:ind w:left="720" w:hanging="720"/>
        <w:jc w:val="both"/>
        <w:rPr>
          <w:szCs w:val="24"/>
        </w:rPr>
      </w:pPr>
      <w:r w:rsidRPr="00EA67C4">
        <w:rPr>
          <w:szCs w:val="24"/>
        </w:rPr>
        <w:tab/>
      </w:r>
      <w:r w:rsidRPr="00EA67C4">
        <w:rPr>
          <w:szCs w:val="24"/>
        </w:rPr>
        <w:tab/>
      </w:r>
      <w:r w:rsidR="007D002A" w:rsidRPr="00EA67C4">
        <w:rPr>
          <w:szCs w:val="24"/>
        </w:rPr>
        <w:t>Nuclear Decommissioning</w:t>
      </w:r>
      <w:r w:rsidR="007D002A" w:rsidRPr="00EA67C4">
        <w:rPr>
          <w:szCs w:val="24"/>
        </w:rPr>
        <w:tab/>
      </w:r>
      <w:r w:rsidR="007D002A" w:rsidRPr="00EA67C4">
        <w:rPr>
          <w:szCs w:val="24"/>
        </w:rPr>
        <w:tab/>
      </w:r>
      <w:r w:rsidR="007D002A" w:rsidRPr="00EA67C4">
        <w:rPr>
          <w:szCs w:val="24"/>
        </w:rPr>
        <w:tab/>
      </w:r>
      <w:r w:rsidR="007D002A" w:rsidRPr="00EA67C4">
        <w:rPr>
          <w:szCs w:val="24"/>
        </w:rPr>
        <w:tab/>
      </w:r>
      <w:r w:rsidR="007D002A" w:rsidRPr="00EA67C4">
        <w:rPr>
          <w:szCs w:val="24"/>
        </w:rPr>
        <w:tab/>
      </w:r>
      <w:r w:rsidR="009F167B" w:rsidRPr="00EA67C4">
        <w:rPr>
          <w:szCs w:val="24"/>
        </w:rPr>
        <w:t>25</w:t>
      </w:r>
      <w:r w:rsidR="00500ED4" w:rsidRPr="00EA67C4">
        <w:rPr>
          <w:szCs w:val="24"/>
        </w:rPr>
        <w:t>2</w:t>
      </w:r>
    </w:p>
    <w:p w:rsidR="009F167B" w:rsidRPr="00EA67C4" w:rsidRDefault="009F167B" w:rsidP="000A5D53">
      <w:pPr>
        <w:tabs>
          <w:tab w:val="left" w:pos="720"/>
        </w:tabs>
        <w:spacing w:line="276" w:lineRule="auto"/>
        <w:ind w:left="720" w:hanging="720"/>
        <w:jc w:val="both"/>
        <w:rPr>
          <w:szCs w:val="24"/>
        </w:rPr>
      </w:pPr>
    </w:p>
    <w:p w:rsidR="009F167B" w:rsidRPr="00EA67C4" w:rsidRDefault="006F3B1A" w:rsidP="000A5D53">
      <w:pPr>
        <w:tabs>
          <w:tab w:val="left" w:pos="720"/>
        </w:tabs>
        <w:spacing w:line="276" w:lineRule="auto"/>
        <w:ind w:left="720" w:hanging="720"/>
        <w:jc w:val="both"/>
        <w:rPr>
          <w:szCs w:val="24"/>
        </w:rPr>
      </w:pPr>
      <w:r w:rsidRPr="00EA67C4">
        <w:rPr>
          <w:szCs w:val="24"/>
        </w:rPr>
        <w:tab/>
      </w:r>
      <w:r w:rsidRPr="00EA67C4">
        <w:rPr>
          <w:szCs w:val="24"/>
        </w:rPr>
        <w:tab/>
      </w:r>
      <w:r w:rsidR="009F167B" w:rsidRPr="00EA67C4">
        <w:rPr>
          <w:szCs w:val="24"/>
        </w:rPr>
        <w:t>Purchased Power</w:t>
      </w:r>
    </w:p>
    <w:p w:rsidR="009F167B" w:rsidRPr="00EA67C4" w:rsidRDefault="009F167B" w:rsidP="000A5D53">
      <w:pPr>
        <w:tabs>
          <w:tab w:val="left" w:pos="720"/>
        </w:tabs>
        <w:spacing w:line="276" w:lineRule="auto"/>
        <w:ind w:left="720" w:hanging="720"/>
        <w:jc w:val="both"/>
        <w:rPr>
          <w:szCs w:val="24"/>
        </w:rPr>
      </w:pPr>
    </w:p>
    <w:p w:rsidR="00E318D5" w:rsidRPr="00EA67C4" w:rsidRDefault="009F167B" w:rsidP="000A5D53">
      <w:pPr>
        <w:tabs>
          <w:tab w:val="left" w:pos="720"/>
        </w:tabs>
        <w:spacing w:line="276" w:lineRule="auto"/>
        <w:ind w:left="720" w:hanging="720"/>
        <w:jc w:val="both"/>
        <w:rPr>
          <w:szCs w:val="24"/>
        </w:rPr>
      </w:pPr>
      <w:r w:rsidRPr="00EA67C4">
        <w:rPr>
          <w:szCs w:val="24"/>
        </w:rPr>
        <w:tab/>
      </w:r>
      <w:r w:rsidR="006F3B1A" w:rsidRPr="00EA67C4">
        <w:rPr>
          <w:szCs w:val="24"/>
        </w:rPr>
        <w:tab/>
      </w:r>
      <w:r w:rsidR="006F3B1A" w:rsidRPr="00EA67C4">
        <w:rPr>
          <w:szCs w:val="24"/>
        </w:rPr>
        <w:tab/>
      </w:r>
      <w:r w:rsidR="00535605" w:rsidRPr="00EA67C4">
        <w:rPr>
          <w:szCs w:val="24"/>
        </w:rPr>
        <w:t>Affiliate PPAs – (Net)</w:t>
      </w:r>
      <w:r w:rsidRPr="00EA67C4">
        <w:rPr>
          <w:szCs w:val="24"/>
        </w:rPr>
        <w:tab/>
      </w:r>
      <w:r w:rsidRPr="00EA67C4">
        <w:rPr>
          <w:szCs w:val="24"/>
        </w:rPr>
        <w:tab/>
      </w:r>
      <w:r w:rsidRPr="00EA67C4">
        <w:rPr>
          <w:szCs w:val="24"/>
        </w:rPr>
        <w:tab/>
      </w:r>
      <w:r w:rsidR="007D002A" w:rsidRPr="00EA67C4">
        <w:rPr>
          <w:szCs w:val="24"/>
        </w:rPr>
        <w:tab/>
        <w:t xml:space="preserve"> </w:t>
      </w:r>
      <w:r w:rsidR="007D002A" w:rsidRPr="00EA67C4">
        <w:rPr>
          <w:szCs w:val="24"/>
        </w:rPr>
        <w:tab/>
      </w:r>
      <w:r w:rsidR="00535605" w:rsidRPr="00EA67C4">
        <w:rPr>
          <w:szCs w:val="24"/>
        </w:rPr>
        <w:t>3</w:t>
      </w:r>
      <w:r w:rsidR="00E029AC" w:rsidRPr="00EA67C4">
        <w:rPr>
          <w:szCs w:val="24"/>
        </w:rPr>
        <w:t>2.</w:t>
      </w:r>
      <w:r w:rsidR="00BC305A" w:rsidRPr="00EA67C4">
        <w:rPr>
          <w:szCs w:val="24"/>
        </w:rPr>
        <w:t>63</w:t>
      </w:r>
    </w:p>
    <w:p w:rsidR="00E318D5" w:rsidRPr="00EA67C4" w:rsidRDefault="00535605" w:rsidP="000A5D53">
      <w:pPr>
        <w:tabs>
          <w:tab w:val="left" w:pos="720"/>
        </w:tabs>
        <w:spacing w:line="276" w:lineRule="auto"/>
        <w:jc w:val="both"/>
        <w:rPr>
          <w:szCs w:val="24"/>
        </w:rPr>
      </w:pPr>
      <w:r w:rsidRPr="00EA67C4">
        <w:rPr>
          <w:szCs w:val="24"/>
        </w:rPr>
        <w:tab/>
      </w:r>
      <w:r w:rsidRPr="00EA67C4">
        <w:rPr>
          <w:szCs w:val="24"/>
        </w:rPr>
        <w:tab/>
      </w:r>
      <w:r w:rsidRPr="00EA67C4">
        <w:rPr>
          <w:szCs w:val="24"/>
        </w:rPr>
        <w:tab/>
        <w:t>Non-Affiliate PPAs – (Net)</w:t>
      </w:r>
      <w:r w:rsidR="009F167B" w:rsidRPr="00EA67C4">
        <w:rPr>
          <w:szCs w:val="24"/>
        </w:rPr>
        <w:tab/>
      </w:r>
      <w:r w:rsidR="007D002A" w:rsidRPr="00EA67C4">
        <w:rPr>
          <w:szCs w:val="24"/>
        </w:rPr>
        <w:tab/>
      </w:r>
      <w:r w:rsidR="007D002A" w:rsidRPr="00EA67C4">
        <w:rPr>
          <w:szCs w:val="24"/>
        </w:rPr>
        <w:tab/>
      </w:r>
      <w:r w:rsidR="007D002A" w:rsidRPr="00EA67C4">
        <w:rPr>
          <w:szCs w:val="24"/>
        </w:rPr>
        <w:tab/>
      </w:r>
      <w:r w:rsidRPr="00EA67C4">
        <w:rPr>
          <w:szCs w:val="24"/>
        </w:rPr>
        <w:t>3</w:t>
      </w:r>
      <w:r w:rsidR="00BC305A" w:rsidRPr="00EA67C4">
        <w:rPr>
          <w:szCs w:val="24"/>
        </w:rPr>
        <w:t>5.20</w:t>
      </w:r>
      <w:r w:rsidR="009B6F28" w:rsidRPr="00EA67C4">
        <w:rPr>
          <w:szCs w:val="24"/>
        </w:rPr>
        <w:tab/>
      </w:r>
      <w:r w:rsidR="009B6F28" w:rsidRPr="00EA67C4">
        <w:rPr>
          <w:szCs w:val="24"/>
        </w:rPr>
        <w:tab/>
      </w:r>
      <w:r w:rsidR="009B6F28" w:rsidRPr="00EA67C4">
        <w:rPr>
          <w:szCs w:val="24"/>
        </w:rPr>
        <w:tab/>
      </w:r>
    </w:p>
    <w:p w:rsidR="009F167B" w:rsidRPr="00EA67C4" w:rsidRDefault="009F167B" w:rsidP="000A5D53">
      <w:pPr>
        <w:tabs>
          <w:tab w:val="left" w:pos="720"/>
        </w:tabs>
        <w:spacing w:line="276" w:lineRule="auto"/>
        <w:ind w:left="720" w:hanging="720"/>
        <w:jc w:val="both"/>
        <w:rPr>
          <w:szCs w:val="24"/>
        </w:rPr>
      </w:pPr>
    </w:p>
    <w:p w:rsidR="009F167B" w:rsidRPr="00EA67C4" w:rsidRDefault="006F3B1A" w:rsidP="000A5D53">
      <w:pPr>
        <w:tabs>
          <w:tab w:val="left" w:pos="720"/>
        </w:tabs>
        <w:spacing w:line="276" w:lineRule="auto"/>
        <w:ind w:left="720" w:hanging="720"/>
        <w:jc w:val="both"/>
        <w:rPr>
          <w:szCs w:val="24"/>
        </w:rPr>
      </w:pPr>
      <w:r w:rsidRPr="00EA67C4">
        <w:rPr>
          <w:szCs w:val="24"/>
        </w:rPr>
        <w:tab/>
      </w:r>
      <w:r w:rsidRPr="00EA67C4">
        <w:rPr>
          <w:szCs w:val="24"/>
        </w:rPr>
        <w:tab/>
      </w:r>
      <w:r w:rsidR="009F167B" w:rsidRPr="00EA67C4">
        <w:rPr>
          <w:szCs w:val="24"/>
        </w:rPr>
        <w:t>Other Operating and Mainte</w:t>
      </w:r>
      <w:r w:rsidR="007D002A" w:rsidRPr="00EA67C4">
        <w:rPr>
          <w:szCs w:val="24"/>
        </w:rPr>
        <w:t>nance Expenses</w:t>
      </w:r>
      <w:r w:rsidR="007D002A" w:rsidRPr="00EA67C4">
        <w:rPr>
          <w:szCs w:val="24"/>
        </w:rPr>
        <w:tab/>
      </w:r>
      <w:r w:rsidR="007D002A" w:rsidRPr="00EA67C4">
        <w:rPr>
          <w:szCs w:val="24"/>
        </w:rPr>
        <w:tab/>
      </w:r>
      <w:r w:rsidR="007D002A" w:rsidRPr="00EA67C4">
        <w:rPr>
          <w:szCs w:val="24"/>
        </w:rPr>
        <w:tab/>
      </w:r>
      <w:r w:rsidR="00BC305A" w:rsidRPr="00EA67C4">
        <w:rPr>
          <w:szCs w:val="24"/>
        </w:rPr>
        <w:t>2</w:t>
      </w:r>
      <w:r w:rsidR="005C5E7F" w:rsidRPr="00EA67C4">
        <w:rPr>
          <w:szCs w:val="24"/>
        </w:rPr>
        <w:t>1.07</w:t>
      </w:r>
    </w:p>
    <w:p w:rsidR="009F167B" w:rsidRPr="00EA67C4" w:rsidRDefault="009F167B" w:rsidP="000A5D53">
      <w:pPr>
        <w:tabs>
          <w:tab w:val="left" w:pos="720"/>
        </w:tabs>
        <w:spacing w:line="276" w:lineRule="auto"/>
        <w:ind w:left="720" w:hanging="720"/>
        <w:jc w:val="both"/>
        <w:rPr>
          <w:szCs w:val="24"/>
        </w:rPr>
      </w:pPr>
    </w:p>
    <w:p w:rsidR="009F167B" w:rsidRPr="00EA67C4" w:rsidRDefault="006F3B1A" w:rsidP="000A5D53">
      <w:pPr>
        <w:tabs>
          <w:tab w:val="left" w:pos="720"/>
        </w:tabs>
        <w:spacing w:line="276" w:lineRule="auto"/>
        <w:ind w:left="720" w:hanging="720"/>
        <w:jc w:val="both"/>
        <w:rPr>
          <w:szCs w:val="24"/>
        </w:rPr>
      </w:pPr>
      <w:r w:rsidRPr="00EA67C4">
        <w:rPr>
          <w:szCs w:val="24"/>
        </w:rPr>
        <w:tab/>
      </w:r>
      <w:r w:rsidRPr="00EA67C4">
        <w:rPr>
          <w:szCs w:val="24"/>
        </w:rPr>
        <w:tab/>
      </w:r>
      <w:r w:rsidR="009F167B" w:rsidRPr="00EA67C4">
        <w:rPr>
          <w:szCs w:val="24"/>
        </w:rPr>
        <w:t>Taxes Other Than Income Taxes</w:t>
      </w:r>
      <w:r w:rsidR="002A1A8D" w:rsidRPr="00EA67C4">
        <w:rPr>
          <w:szCs w:val="24"/>
        </w:rPr>
        <w:tab/>
      </w:r>
      <w:r w:rsidR="000047FE" w:rsidRPr="00EA67C4">
        <w:rPr>
          <w:szCs w:val="24"/>
        </w:rPr>
        <w:tab/>
      </w:r>
      <w:r w:rsidR="007D002A" w:rsidRPr="00EA67C4">
        <w:rPr>
          <w:szCs w:val="24"/>
        </w:rPr>
        <w:tab/>
      </w:r>
      <w:r w:rsidR="002A1A8D" w:rsidRPr="00EA67C4">
        <w:rPr>
          <w:szCs w:val="24"/>
        </w:rPr>
        <w:tab/>
      </w:r>
      <w:r w:rsidR="00535605" w:rsidRPr="00EA67C4">
        <w:rPr>
          <w:szCs w:val="24"/>
        </w:rPr>
        <w:t>1</w:t>
      </w:r>
      <w:r w:rsidR="00BC305A" w:rsidRPr="00EA67C4">
        <w:rPr>
          <w:szCs w:val="24"/>
        </w:rPr>
        <w:t>65.5</w:t>
      </w:r>
      <w:r w:rsidR="005C5E7F" w:rsidRPr="00EA67C4">
        <w:rPr>
          <w:szCs w:val="24"/>
        </w:rPr>
        <w:t>2</w:t>
      </w:r>
    </w:p>
    <w:p w:rsidR="009F167B" w:rsidRPr="00EA67C4" w:rsidRDefault="009F167B" w:rsidP="000A5D53">
      <w:pPr>
        <w:tabs>
          <w:tab w:val="left" w:pos="720"/>
        </w:tabs>
        <w:spacing w:line="276" w:lineRule="auto"/>
        <w:ind w:left="720" w:hanging="720"/>
        <w:jc w:val="both"/>
        <w:rPr>
          <w:szCs w:val="24"/>
        </w:rPr>
      </w:pPr>
    </w:p>
    <w:p w:rsidR="009F167B" w:rsidRPr="00EA67C4" w:rsidRDefault="009F167B" w:rsidP="000A5D53">
      <w:pPr>
        <w:tabs>
          <w:tab w:val="left" w:pos="720"/>
        </w:tabs>
        <w:spacing w:line="276" w:lineRule="auto"/>
        <w:ind w:left="720" w:hanging="720"/>
        <w:jc w:val="both"/>
        <w:rPr>
          <w:szCs w:val="24"/>
        </w:rPr>
      </w:pPr>
      <w:r w:rsidRPr="00EA67C4">
        <w:rPr>
          <w:szCs w:val="24"/>
        </w:rPr>
        <w:tab/>
      </w:r>
      <w:r w:rsidR="006F3B1A" w:rsidRPr="00EA67C4">
        <w:rPr>
          <w:szCs w:val="24"/>
        </w:rPr>
        <w:tab/>
      </w:r>
      <w:r w:rsidRPr="00EA67C4">
        <w:rPr>
          <w:szCs w:val="24"/>
        </w:rPr>
        <w:t>Federal</w:t>
      </w:r>
      <w:r w:rsidR="007D002A" w:rsidRPr="00EA67C4">
        <w:rPr>
          <w:szCs w:val="24"/>
        </w:rPr>
        <w:t xml:space="preserve"> Income Taxes</w:t>
      </w:r>
      <w:r w:rsidR="007D002A" w:rsidRPr="00EA67C4">
        <w:rPr>
          <w:szCs w:val="24"/>
        </w:rPr>
        <w:tab/>
      </w:r>
      <w:r w:rsidR="007D002A" w:rsidRPr="00EA67C4">
        <w:rPr>
          <w:szCs w:val="24"/>
        </w:rPr>
        <w:tab/>
      </w:r>
      <w:r w:rsidR="007D002A" w:rsidRPr="00EA67C4">
        <w:rPr>
          <w:szCs w:val="24"/>
        </w:rPr>
        <w:tab/>
      </w:r>
      <w:r w:rsidR="007D002A" w:rsidRPr="00EA67C4">
        <w:rPr>
          <w:szCs w:val="24"/>
        </w:rPr>
        <w:tab/>
      </w:r>
      <w:r w:rsidR="007D002A" w:rsidRPr="00EA67C4">
        <w:rPr>
          <w:szCs w:val="24"/>
        </w:rPr>
        <w:tab/>
      </w:r>
      <w:r w:rsidR="007D002A" w:rsidRPr="00EA67C4">
        <w:rPr>
          <w:szCs w:val="24"/>
        </w:rPr>
        <w:tab/>
      </w:r>
      <w:r w:rsidR="00D626F3" w:rsidRPr="00EA67C4">
        <w:rPr>
          <w:szCs w:val="24"/>
        </w:rPr>
        <w:t>3</w:t>
      </w:r>
      <w:r w:rsidR="00BC305A" w:rsidRPr="00EA67C4">
        <w:rPr>
          <w:szCs w:val="24"/>
        </w:rPr>
        <w:t>8</w:t>
      </w:r>
    </w:p>
    <w:p w:rsidR="009F167B" w:rsidRPr="00EA67C4" w:rsidRDefault="009F167B" w:rsidP="000A5D53">
      <w:pPr>
        <w:tabs>
          <w:tab w:val="left" w:pos="720"/>
        </w:tabs>
        <w:spacing w:line="276" w:lineRule="auto"/>
        <w:ind w:left="720" w:hanging="720"/>
        <w:jc w:val="both"/>
        <w:rPr>
          <w:szCs w:val="24"/>
        </w:rPr>
      </w:pPr>
    </w:p>
    <w:p w:rsidR="009F167B" w:rsidRPr="00EA67C4" w:rsidRDefault="009F167B" w:rsidP="000A5D53">
      <w:pPr>
        <w:tabs>
          <w:tab w:val="left" w:pos="720"/>
        </w:tabs>
        <w:spacing w:line="276" w:lineRule="auto"/>
        <w:ind w:left="720" w:hanging="720"/>
        <w:jc w:val="both"/>
        <w:rPr>
          <w:szCs w:val="24"/>
        </w:rPr>
      </w:pPr>
      <w:r w:rsidRPr="00EA67C4">
        <w:rPr>
          <w:szCs w:val="24"/>
        </w:rPr>
        <w:tab/>
      </w:r>
      <w:r w:rsidR="006F3B1A" w:rsidRPr="00EA67C4">
        <w:rPr>
          <w:szCs w:val="24"/>
        </w:rPr>
        <w:tab/>
      </w:r>
      <w:r w:rsidR="00D626F3" w:rsidRPr="00EA67C4">
        <w:rPr>
          <w:szCs w:val="24"/>
        </w:rPr>
        <w:t>State</w:t>
      </w:r>
      <w:r w:rsidR="007D002A" w:rsidRPr="00EA67C4">
        <w:rPr>
          <w:szCs w:val="24"/>
        </w:rPr>
        <w:t xml:space="preserve"> Income Taxes</w:t>
      </w:r>
      <w:r w:rsidR="007D002A" w:rsidRPr="00EA67C4">
        <w:rPr>
          <w:szCs w:val="24"/>
        </w:rPr>
        <w:tab/>
      </w:r>
      <w:r w:rsidR="007D002A" w:rsidRPr="00EA67C4">
        <w:rPr>
          <w:szCs w:val="24"/>
        </w:rPr>
        <w:tab/>
      </w:r>
      <w:r w:rsidR="007D002A" w:rsidRPr="00EA67C4">
        <w:rPr>
          <w:szCs w:val="24"/>
        </w:rPr>
        <w:tab/>
      </w:r>
      <w:r w:rsidR="007D002A" w:rsidRPr="00EA67C4">
        <w:rPr>
          <w:szCs w:val="24"/>
        </w:rPr>
        <w:tab/>
      </w:r>
      <w:r w:rsidR="007D002A" w:rsidRPr="00EA67C4">
        <w:rPr>
          <w:szCs w:val="24"/>
        </w:rPr>
        <w:tab/>
      </w:r>
      <w:r w:rsidR="007D002A" w:rsidRPr="00EA67C4">
        <w:rPr>
          <w:szCs w:val="24"/>
        </w:rPr>
        <w:tab/>
      </w:r>
      <w:r w:rsidR="00D626F3" w:rsidRPr="00EA67C4">
        <w:rPr>
          <w:szCs w:val="24"/>
        </w:rPr>
        <w:t>3</w:t>
      </w:r>
      <w:r w:rsidR="00BC305A" w:rsidRPr="00EA67C4">
        <w:rPr>
          <w:szCs w:val="24"/>
        </w:rPr>
        <w:t>8</w:t>
      </w:r>
    </w:p>
    <w:p w:rsidR="009F167B" w:rsidRPr="00EA67C4" w:rsidRDefault="009F167B" w:rsidP="000A5D53">
      <w:pPr>
        <w:tabs>
          <w:tab w:val="left" w:pos="720"/>
        </w:tabs>
        <w:spacing w:line="276" w:lineRule="auto"/>
        <w:ind w:left="720" w:hanging="720"/>
        <w:jc w:val="both"/>
        <w:rPr>
          <w:szCs w:val="24"/>
        </w:rPr>
      </w:pPr>
    </w:p>
    <w:p w:rsidR="00DD5302" w:rsidRPr="00EA67C4" w:rsidRDefault="006F3B1A" w:rsidP="000A5D53">
      <w:pPr>
        <w:tabs>
          <w:tab w:val="left" w:pos="720"/>
        </w:tabs>
        <w:spacing w:line="276" w:lineRule="auto"/>
        <w:ind w:left="720" w:hanging="720"/>
        <w:jc w:val="both"/>
        <w:rPr>
          <w:szCs w:val="24"/>
        </w:rPr>
      </w:pPr>
      <w:r w:rsidRPr="00EA67C4">
        <w:rPr>
          <w:szCs w:val="24"/>
        </w:rPr>
        <w:tab/>
      </w:r>
      <w:r w:rsidRPr="00EA67C4">
        <w:rPr>
          <w:szCs w:val="24"/>
        </w:rPr>
        <w:tab/>
      </w:r>
      <w:r w:rsidR="00DD5302" w:rsidRPr="00EA67C4">
        <w:rPr>
          <w:szCs w:val="24"/>
        </w:rPr>
        <w:t>Interest Expense – Long-Term Debt</w:t>
      </w:r>
      <w:r w:rsidR="00DD5302" w:rsidRPr="00EA67C4">
        <w:rPr>
          <w:szCs w:val="24"/>
        </w:rPr>
        <w:tab/>
      </w:r>
      <w:r w:rsidR="00DD5302" w:rsidRPr="00EA67C4">
        <w:rPr>
          <w:szCs w:val="24"/>
        </w:rPr>
        <w:tab/>
      </w:r>
      <w:r w:rsidR="00DD5302" w:rsidRPr="00EA67C4">
        <w:rPr>
          <w:szCs w:val="24"/>
        </w:rPr>
        <w:tab/>
      </w:r>
      <w:r w:rsidR="00DD5302" w:rsidRPr="00EA67C4">
        <w:rPr>
          <w:szCs w:val="24"/>
        </w:rPr>
        <w:tab/>
        <w:t>79.44</w:t>
      </w:r>
    </w:p>
    <w:p w:rsidR="00DD5302" w:rsidRPr="00EA67C4" w:rsidRDefault="00DD5302" w:rsidP="000A5D53">
      <w:pPr>
        <w:tabs>
          <w:tab w:val="left" w:pos="720"/>
        </w:tabs>
        <w:spacing w:line="276" w:lineRule="auto"/>
        <w:ind w:left="720" w:hanging="720"/>
        <w:jc w:val="both"/>
        <w:rPr>
          <w:szCs w:val="24"/>
        </w:rPr>
      </w:pPr>
    </w:p>
    <w:p w:rsidR="009F167B" w:rsidRPr="00EA67C4" w:rsidRDefault="00DD5302" w:rsidP="000A5D53">
      <w:pPr>
        <w:tabs>
          <w:tab w:val="left" w:pos="720"/>
        </w:tabs>
        <w:spacing w:line="276" w:lineRule="auto"/>
        <w:ind w:left="720" w:hanging="720"/>
        <w:jc w:val="both"/>
        <w:rPr>
          <w:szCs w:val="24"/>
        </w:rPr>
      </w:pPr>
      <w:r w:rsidRPr="00EA67C4">
        <w:rPr>
          <w:szCs w:val="24"/>
        </w:rPr>
        <w:tab/>
      </w:r>
      <w:r w:rsidRPr="00EA67C4">
        <w:rPr>
          <w:szCs w:val="24"/>
        </w:rPr>
        <w:tab/>
      </w:r>
      <w:r w:rsidR="009F167B" w:rsidRPr="00EA67C4">
        <w:rPr>
          <w:szCs w:val="24"/>
        </w:rPr>
        <w:t>Adjustment for Av</w:t>
      </w:r>
      <w:r w:rsidR="007D002A" w:rsidRPr="00EA67C4">
        <w:rPr>
          <w:szCs w:val="24"/>
        </w:rPr>
        <w:t>erage Sales Tax Collections</w:t>
      </w:r>
      <w:r w:rsidR="007D002A" w:rsidRPr="00EA67C4">
        <w:rPr>
          <w:szCs w:val="24"/>
        </w:rPr>
        <w:tab/>
      </w:r>
      <w:r w:rsidR="007D002A" w:rsidRPr="00EA67C4">
        <w:rPr>
          <w:szCs w:val="24"/>
        </w:rPr>
        <w:tab/>
      </w:r>
      <w:r w:rsidR="00BC305A" w:rsidRPr="00EA67C4">
        <w:rPr>
          <w:szCs w:val="24"/>
        </w:rPr>
        <w:t>8.64</w:t>
      </w:r>
    </w:p>
    <w:p w:rsidR="00BC305A" w:rsidRPr="00EA67C4" w:rsidRDefault="00BC305A" w:rsidP="000A5D53">
      <w:pPr>
        <w:tabs>
          <w:tab w:val="left" w:pos="720"/>
        </w:tabs>
        <w:spacing w:line="276" w:lineRule="auto"/>
        <w:ind w:left="720" w:hanging="720"/>
        <w:jc w:val="both"/>
        <w:rPr>
          <w:szCs w:val="24"/>
        </w:rPr>
      </w:pPr>
    </w:p>
    <w:p w:rsidR="00BC305A" w:rsidRPr="00EA67C4" w:rsidRDefault="00BC305A" w:rsidP="000A5D53">
      <w:pPr>
        <w:tabs>
          <w:tab w:val="left" w:pos="720"/>
        </w:tabs>
        <w:spacing w:line="276" w:lineRule="auto"/>
        <w:ind w:left="720" w:hanging="720"/>
        <w:jc w:val="both"/>
        <w:rPr>
          <w:szCs w:val="24"/>
        </w:rPr>
      </w:pPr>
      <w:r w:rsidRPr="00EA67C4">
        <w:rPr>
          <w:szCs w:val="24"/>
        </w:rPr>
        <w:tab/>
      </w:r>
      <w:r w:rsidRPr="00EA67C4">
        <w:rPr>
          <w:szCs w:val="24"/>
        </w:rPr>
        <w:tab/>
        <w:t>Adjustment for Average Excise Tax Collections</w:t>
      </w:r>
      <w:r w:rsidRPr="00EA67C4">
        <w:rPr>
          <w:szCs w:val="24"/>
        </w:rPr>
        <w:tab/>
      </w:r>
      <w:r w:rsidRPr="00EA67C4">
        <w:rPr>
          <w:szCs w:val="24"/>
        </w:rPr>
        <w:tab/>
        <w:t>16.30</w:t>
      </w:r>
    </w:p>
    <w:p w:rsidR="009F167B" w:rsidRDefault="009F167B" w:rsidP="009F167B">
      <w:pPr>
        <w:tabs>
          <w:tab w:val="left" w:pos="720"/>
        </w:tabs>
        <w:ind w:left="720" w:hanging="720"/>
        <w:jc w:val="both"/>
      </w:pPr>
    </w:p>
    <w:p w:rsidR="009F167B" w:rsidRDefault="006F3B1A" w:rsidP="009F167B">
      <w:pPr>
        <w:tabs>
          <w:tab w:val="left" w:pos="720"/>
        </w:tabs>
        <w:ind w:left="720" w:hanging="720"/>
        <w:jc w:val="both"/>
      </w:pPr>
      <w:r>
        <w:tab/>
      </w:r>
      <w:r>
        <w:tab/>
      </w:r>
    </w:p>
    <w:p w:rsidR="009F167B" w:rsidRDefault="009F167B" w:rsidP="009F167B">
      <w:pPr>
        <w:tabs>
          <w:tab w:val="left" w:pos="720"/>
        </w:tabs>
        <w:ind w:left="720" w:hanging="720"/>
        <w:jc w:val="both"/>
      </w:pPr>
    </w:p>
    <w:p w:rsidR="009F167B" w:rsidRPr="009F167B" w:rsidRDefault="006F3B1A" w:rsidP="00DD5302">
      <w:pPr>
        <w:tabs>
          <w:tab w:val="left" w:pos="720"/>
        </w:tabs>
        <w:ind w:left="720" w:hanging="720"/>
        <w:jc w:val="both"/>
      </w:pPr>
      <w:r>
        <w:tab/>
      </w:r>
      <w:r>
        <w:tab/>
      </w:r>
    </w:p>
    <w:p w:rsidR="00062C7E" w:rsidRDefault="00062C7E" w:rsidP="00062C7E">
      <w:pPr>
        <w:tabs>
          <w:tab w:val="left" w:pos="720"/>
        </w:tabs>
        <w:ind w:left="720" w:hanging="720"/>
        <w:rPr>
          <w:b/>
        </w:rPr>
      </w:pPr>
    </w:p>
    <w:p w:rsidR="00ED5CF2" w:rsidRDefault="00ED5CF2" w:rsidP="00062C7E">
      <w:pPr>
        <w:tabs>
          <w:tab w:val="left" w:pos="720"/>
        </w:tabs>
        <w:ind w:left="720" w:hanging="720"/>
        <w:rPr>
          <w:b/>
        </w:rPr>
      </w:pPr>
    </w:p>
    <w:p w:rsidR="00EA0250" w:rsidRPr="008D09D1" w:rsidRDefault="001F2180" w:rsidP="001F2180">
      <w:pPr>
        <w:tabs>
          <w:tab w:val="left" w:pos="720"/>
        </w:tabs>
        <w:rPr>
          <w:b/>
        </w:rPr>
      </w:pPr>
      <w:r>
        <w:rPr>
          <w:b/>
        </w:rPr>
        <w:t xml:space="preserve"> </w:t>
      </w:r>
    </w:p>
    <w:sectPr w:rsidR="00EA0250" w:rsidRPr="008D09D1" w:rsidSect="00E305E5">
      <w:headerReference w:type="default" r:id="rId7"/>
      <w:footerReference w:type="even" r:id="rId8"/>
      <w:pgSz w:w="12240" w:h="15840" w:code="1"/>
      <w:pgMar w:top="1440" w:right="1440" w:bottom="720" w:left="1440" w:header="288"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0732" w:rsidRDefault="008E0732">
      <w:r>
        <w:separator/>
      </w:r>
    </w:p>
  </w:endnote>
  <w:endnote w:type="continuationSeparator" w:id="0">
    <w:p w:rsidR="008E0732" w:rsidRDefault="008E0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71A" w:rsidRDefault="004A571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A571A" w:rsidRDefault="004A57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0732" w:rsidRDefault="008E0732">
      <w:r>
        <w:separator/>
      </w:r>
    </w:p>
  </w:footnote>
  <w:footnote w:type="continuationSeparator" w:id="0">
    <w:p w:rsidR="008E0732" w:rsidRDefault="008E07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1AF7" w:rsidRPr="00343F81" w:rsidRDefault="002C1AF7" w:rsidP="002C1AF7">
    <w:pPr>
      <w:pStyle w:val="Header"/>
      <w:jc w:val="right"/>
      <w:rPr>
        <w:sz w:val="24"/>
        <w:szCs w:val="24"/>
      </w:rPr>
    </w:pPr>
    <w:r>
      <w:rPr>
        <w:sz w:val="24"/>
        <w:szCs w:val="24"/>
      </w:rPr>
      <w:tab/>
    </w:r>
    <w:r>
      <w:rPr>
        <w:sz w:val="24"/>
        <w:szCs w:val="24"/>
      </w:rPr>
      <w:tab/>
      <w:t xml:space="preserve">        </w:t>
    </w:r>
    <w:r w:rsidR="00343F81" w:rsidRPr="00343F81">
      <w:rPr>
        <w:sz w:val="24"/>
        <w:szCs w:val="24"/>
      </w:rPr>
      <w:t>Appendix</w:t>
    </w:r>
    <w:r>
      <w:rPr>
        <w:sz w:val="24"/>
        <w:szCs w:val="24"/>
      </w:rPr>
      <w:t>_Exhibit 3</w:t>
    </w:r>
  </w:p>
  <w:sdt>
    <w:sdtPr>
      <w:rPr>
        <w:sz w:val="24"/>
        <w:szCs w:val="24"/>
      </w:rPr>
      <w:id w:val="98381352"/>
      <w:docPartObj>
        <w:docPartGallery w:val="Page Numbers (Top of Page)"/>
        <w:docPartUnique/>
      </w:docPartObj>
    </w:sdtPr>
    <w:sdtEndPr/>
    <w:sdtContent>
      <w:p w:rsidR="00343F81" w:rsidRPr="00343F81" w:rsidRDefault="00343F81" w:rsidP="002C1AF7">
        <w:pPr>
          <w:pStyle w:val="Header"/>
          <w:ind w:left="720" w:firstLine="4320"/>
          <w:jc w:val="right"/>
          <w:rPr>
            <w:sz w:val="24"/>
            <w:szCs w:val="24"/>
          </w:rPr>
        </w:pPr>
        <w:r w:rsidRPr="00343F81">
          <w:rPr>
            <w:sz w:val="24"/>
            <w:szCs w:val="24"/>
          </w:rPr>
          <w:t xml:space="preserve">Page </w:t>
        </w:r>
        <w:r w:rsidRPr="00343F81">
          <w:rPr>
            <w:bCs/>
            <w:sz w:val="24"/>
            <w:szCs w:val="24"/>
          </w:rPr>
          <w:fldChar w:fldCharType="begin"/>
        </w:r>
        <w:r w:rsidRPr="00343F81">
          <w:rPr>
            <w:bCs/>
            <w:sz w:val="24"/>
            <w:szCs w:val="24"/>
          </w:rPr>
          <w:instrText xml:space="preserve"> PAGE </w:instrText>
        </w:r>
        <w:r w:rsidRPr="00343F81">
          <w:rPr>
            <w:bCs/>
            <w:sz w:val="24"/>
            <w:szCs w:val="24"/>
          </w:rPr>
          <w:fldChar w:fldCharType="separate"/>
        </w:r>
        <w:r w:rsidRPr="00343F81">
          <w:rPr>
            <w:bCs/>
            <w:noProof/>
            <w:sz w:val="24"/>
            <w:szCs w:val="24"/>
          </w:rPr>
          <w:t>2</w:t>
        </w:r>
        <w:r w:rsidRPr="00343F81">
          <w:rPr>
            <w:bCs/>
            <w:sz w:val="24"/>
            <w:szCs w:val="24"/>
          </w:rPr>
          <w:fldChar w:fldCharType="end"/>
        </w:r>
        <w:r w:rsidRPr="00343F81">
          <w:rPr>
            <w:sz w:val="24"/>
            <w:szCs w:val="24"/>
          </w:rPr>
          <w:t xml:space="preserve"> of </w:t>
        </w:r>
        <w:r w:rsidRPr="00343F81">
          <w:rPr>
            <w:bCs/>
            <w:sz w:val="24"/>
            <w:szCs w:val="24"/>
          </w:rPr>
          <w:fldChar w:fldCharType="begin"/>
        </w:r>
        <w:r w:rsidRPr="00343F81">
          <w:rPr>
            <w:bCs/>
            <w:sz w:val="24"/>
            <w:szCs w:val="24"/>
          </w:rPr>
          <w:instrText xml:space="preserve"> NUMPAGES  </w:instrText>
        </w:r>
        <w:r w:rsidRPr="00343F81">
          <w:rPr>
            <w:bCs/>
            <w:sz w:val="24"/>
            <w:szCs w:val="24"/>
          </w:rPr>
          <w:fldChar w:fldCharType="separate"/>
        </w:r>
        <w:r w:rsidRPr="00343F81">
          <w:rPr>
            <w:bCs/>
            <w:noProof/>
            <w:sz w:val="24"/>
            <w:szCs w:val="24"/>
          </w:rPr>
          <w:t>2</w:t>
        </w:r>
        <w:r w:rsidRPr="00343F81">
          <w:rPr>
            <w:bCs/>
            <w:sz w:val="24"/>
            <w:szCs w:val="24"/>
          </w:rPr>
          <w:fldChar w:fldCharType="end"/>
        </w:r>
      </w:p>
    </w:sdtContent>
  </w:sdt>
  <w:p w:rsidR="00343F81" w:rsidRPr="00A941CD" w:rsidRDefault="00343F81" w:rsidP="00E50CC0">
    <w:pPr>
      <w:pStyle w:val="Header"/>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D709D0"/>
    <w:multiLevelType w:val="hybridMultilevel"/>
    <w:tmpl w:val="644E7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D47"/>
    <w:rsid w:val="000047FE"/>
    <w:rsid w:val="000218A8"/>
    <w:rsid w:val="00032D53"/>
    <w:rsid w:val="0003522B"/>
    <w:rsid w:val="000535FC"/>
    <w:rsid w:val="00062C7E"/>
    <w:rsid w:val="00071690"/>
    <w:rsid w:val="00073E8C"/>
    <w:rsid w:val="00081887"/>
    <w:rsid w:val="000A5D53"/>
    <w:rsid w:val="000B2DF3"/>
    <w:rsid w:val="000F144C"/>
    <w:rsid w:val="00110E9E"/>
    <w:rsid w:val="00111F83"/>
    <w:rsid w:val="001278E1"/>
    <w:rsid w:val="001337A7"/>
    <w:rsid w:val="001444C2"/>
    <w:rsid w:val="00150F52"/>
    <w:rsid w:val="00151135"/>
    <w:rsid w:val="00154DE5"/>
    <w:rsid w:val="0016171A"/>
    <w:rsid w:val="00183F9C"/>
    <w:rsid w:val="0018447B"/>
    <w:rsid w:val="00197055"/>
    <w:rsid w:val="001B24EE"/>
    <w:rsid w:val="001D41FD"/>
    <w:rsid w:val="001E324B"/>
    <w:rsid w:val="001F2180"/>
    <w:rsid w:val="001F64DD"/>
    <w:rsid w:val="00202ECD"/>
    <w:rsid w:val="00205B06"/>
    <w:rsid w:val="00211D8C"/>
    <w:rsid w:val="002172AD"/>
    <w:rsid w:val="00225BD3"/>
    <w:rsid w:val="00233427"/>
    <w:rsid w:val="00236989"/>
    <w:rsid w:val="00241743"/>
    <w:rsid w:val="00241748"/>
    <w:rsid w:val="00244F60"/>
    <w:rsid w:val="00262F53"/>
    <w:rsid w:val="00265D2F"/>
    <w:rsid w:val="00272404"/>
    <w:rsid w:val="00280448"/>
    <w:rsid w:val="00280A2E"/>
    <w:rsid w:val="00281C71"/>
    <w:rsid w:val="002A1A8D"/>
    <w:rsid w:val="002B291B"/>
    <w:rsid w:val="002B313E"/>
    <w:rsid w:val="002C1AF7"/>
    <w:rsid w:val="002C5042"/>
    <w:rsid w:val="002D1358"/>
    <w:rsid w:val="002D23F2"/>
    <w:rsid w:val="002D54D0"/>
    <w:rsid w:val="002E46D7"/>
    <w:rsid w:val="002F317B"/>
    <w:rsid w:val="003036B8"/>
    <w:rsid w:val="00303FE8"/>
    <w:rsid w:val="003126B7"/>
    <w:rsid w:val="00343F81"/>
    <w:rsid w:val="003463A0"/>
    <w:rsid w:val="00360739"/>
    <w:rsid w:val="00390C3D"/>
    <w:rsid w:val="00395F4C"/>
    <w:rsid w:val="003A07D2"/>
    <w:rsid w:val="003E2BB0"/>
    <w:rsid w:val="003F308E"/>
    <w:rsid w:val="003F470B"/>
    <w:rsid w:val="003F5A22"/>
    <w:rsid w:val="003F6A41"/>
    <w:rsid w:val="00404BDD"/>
    <w:rsid w:val="00415F95"/>
    <w:rsid w:val="004204D2"/>
    <w:rsid w:val="00426582"/>
    <w:rsid w:val="0043196A"/>
    <w:rsid w:val="00435042"/>
    <w:rsid w:val="00440E23"/>
    <w:rsid w:val="00445975"/>
    <w:rsid w:val="004523BE"/>
    <w:rsid w:val="00452EA6"/>
    <w:rsid w:val="00460661"/>
    <w:rsid w:val="0046192B"/>
    <w:rsid w:val="004754DF"/>
    <w:rsid w:val="00477C9E"/>
    <w:rsid w:val="004938F9"/>
    <w:rsid w:val="0049750A"/>
    <w:rsid w:val="004A571A"/>
    <w:rsid w:val="004B3B66"/>
    <w:rsid w:val="004C00E4"/>
    <w:rsid w:val="004D3F86"/>
    <w:rsid w:val="004E166C"/>
    <w:rsid w:val="004F5FFF"/>
    <w:rsid w:val="00500ED4"/>
    <w:rsid w:val="005026B3"/>
    <w:rsid w:val="00503CDD"/>
    <w:rsid w:val="005161F1"/>
    <w:rsid w:val="00523C22"/>
    <w:rsid w:val="00535605"/>
    <w:rsid w:val="00547D69"/>
    <w:rsid w:val="0055174F"/>
    <w:rsid w:val="00551C8A"/>
    <w:rsid w:val="00555CF7"/>
    <w:rsid w:val="00565531"/>
    <w:rsid w:val="00566B1D"/>
    <w:rsid w:val="00567D37"/>
    <w:rsid w:val="00583B08"/>
    <w:rsid w:val="005C5E7F"/>
    <w:rsid w:val="005C67E0"/>
    <w:rsid w:val="005C7723"/>
    <w:rsid w:val="005D2199"/>
    <w:rsid w:val="005D4E5F"/>
    <w:rsid w:val="005D63F5"/>
    <w:rsid w:val="005F10C4"/>
    <w:rsid w:val="005F2C7D"/>
    <w:rsid w:val="005F5D68"/>
    <w:rsid w:val="00614CA3"/>
    <w:rsid w:val="0063450F"/>
    <w:rsid w:val="0064002A"/>
    <w:rsid w:val="00650AD8"/>
    <w:rsid w:val="00653416"/>
    <w:rsid w:val="0067064D"/>
    <w:rsid w:val="0067302A"/>
    <w:rsid w:val="006828CF"/>
    <w:rsid w:val="00683CF0"/>
    <w:rsid w:val="00687511"/>
    <w:rsid w:val="00692A6A"/>
    <w:rsid w:val="006935CE"/>
    <w:rsid w:val="006A392F"/>
    <w:rsid w:val="006A6979"/>
    <w:rsid w:val="006C1F4E"/>
    <w:rsid w:val="006C3B63"/>
    <w:rsid w:val="006E143E"/>
    <w:rsid w:val="006F0A6C"/>
    <w:rsid w:val="006F130C"/>
    <w:rsid w:val="006F3B1A"/>
    <w:rsid w:val="006F3CD5"/>
    <w:rsid w:val="0070076F"/>
    <w:rsid w:val="00707089"/>
    <w:rsid w:val="007102BF"/>
    <w:rsid w:val="00711FD2"/>
    <w:rsid w:val="00720375"/>
    <w:rsid w:val="007225F5"/>
    <w:rsid w:val="00724F52"/>
    <w:rsid w:val="00733B42"/>
    <w:rsid w:val="0074221A"/>
    <w:rsid w:val="00762751"/>
    <w:rsid w:val="00764F15"/>
    <w:rsid w:val="00766DF9"/>
    <w:rsid w:val="007746F9"/>
    <w:rsid w:val="00781E22"/>
    <w:rsid w:val="00783B0F"/>
    <w:rsid w:val="00794BF0"/>
    <w:rsid w:val="007A7906"/>
    <w:rsid w:val="007B140E"/>
    <w:rsid w:val="007B5149"/>
    <w:rsid w:val="007B523F"/>
    <w:rsid w:val="007C3C5D"/>
    <w:rsid w:val="007C7494"/>
    <w:rsid w:val="007D002A"/>
    <w:rsid w:val="007D34E3"/>
    <w:rsid w:val="007D6562"/>
    <w:rsid w:val="007E07D1"/>
    <w:rsid w:val="007F115A"/>
    <w:rsid w:val="007F32D5"/>
    <w:rsid w:val="007F5EC8"/>
    <w:rsid w:val="00806007"/>
    <w:rsid w:val="00812B56"/>
    <w:rsid w:val="00817732"/>
    <w:rsid w:val="00833525"/>
    <w:rsid w:val="0084560F"/>
    <w:rsid w:val="008553C9"/>
    <w:rsid w:val="00856554"/>
    <w:rsid w:val="00870C98"/>
    <w:rsid w:val="00882DF7"/>
    <w:rsid w:val="008B1579"/>
    <w:rsid w:val="008C0AF0"/>
    <w:rsid w:val="008C328A"/>
    <w:rsid w:val="008C5A75"/>
    <w:rsid w:val="008C62FF"/>
    <w:rsid w:val="008D09D1"/>
    <w:rsid w:val="008D5483"/>
    <w:rsid w:val="008D7424"/>
    <w:rsid w:val="008E0732"/>
    <w:rsid w:val="008F2C32"/>
    <w:rsid w:val="00915416"/>
    <w:rsid w:val="009238D9"/>
    <w:rsid w:val="00927D46"/>
    <w:rsid w:val="00940515"/>
    <w:rsid w:val="00952AC7"/>
    <w:rsid w:val="00961FE0"/>
    <w:rsid w:val="00964B60"/>
    <w:rsid w:val="00970554"/>
    <w:rsid w:val="00972688"/>
    <w:rsid w:val="00972FEB"/>
    <w:rsid w:val="009851BD"/>
    <w:rsid w:val="009A17DC"/>
    <w:rsid w:val="009B6F28"/>
    <w:rsid w:val="009E5283"/>
    <w:rsid w:val="009F0868"/>
    <w:rsid w:val="009F167B"/>
    <w:rsid w:val="009F6EB9"/>
    <w:rsid w:val="009F7E01"/>
    <w:rsid w:val="00A00021"/>
    <w:rsid w:val="00A24D9F"/>
    <w:rsid w:val="00A256A7"/>
    <w:rsid w:val="00A349F4"/>
    <w:rsid w:val="00A41052"/>
    <w:rsid w:val="00A47E2C"/>
    <w:rsid w:val="00A51364"/>
    <w:rsid w:val="00A54BD6"/>
    <w:rsid w:val="00A66112"/>
    <w:rsid w:val="00A8148E"/>
    <w:rsid w:val="00A9291E"/>
    <w:rsid w:val="00A9370B"/>
    <w:rsid w:val="00A941CD"/>
    <w:rsid w:val="00A96A1C"/>
    <w:rsid w:val="00AA3CDF"/>
    <w:rsid w:val="00AA4C3A"/>
    <w:rsid w:val="00AA7D56"/>
    <w:rsid w:val="00AB6DF2"/>
    <w:rsid w:val="00AC0AE8"/>
    <w:rsid w:val="00AC45C6"/>
    <w:rsid w:val="00AC616B"/>
    <w:rsid w:val="00AD3DAB"/>
    <w:rsid w:val="00AE02F0"/>
    <w:rsid w:val="00AE09A7"/>
    <w:rsid w:val="00AE7E02"/>
    <w:rsid w:val="00AF7700"/>
    <w:rsid w:val="00B218CA"/>
    <w:rsid w:val="00B25A30"/>
    <w:rsid w:val="00B25B41"/>
    <w:rsid w:val="00B346CF"/>
    <w:rsid w:val="00B41C52"/>
    <w:rsid w:val="00B47796"/>
    <w:rsid w:val="00B51CED"/>
    <w:rsid w:val="00B56C24"/>
    <w:rsid w:val="00B60131"/>
    <w:rsid w:val="00B80E68"/>
    <w:rsid w:val="00B8695B"/>
    <w:rsid w:val="00B91346"/>
    <w:rsid w:val="00B913BE"/>
    <w:rsid w:val="00B931D0"/>
    <w:rsid w:val="00B94724"/>
    <w:rsid w:val="00BA0D0C"/>
    <w:rsid w:val="00BA116F"/>
    <w:rsid w:val="00BC305A"/>
    <w:rsid w:val="00BC3DE4"/>
    <w:rsid w:val="00BC6141"/>
    <w:rsid w:val="00BC77C5"/>
    <w:rsid w:val="00BD5147"/>
    <w:rsid w:val="00BE294B"/>
    <w:rsid w:val="00C00ECF"/>
    <w:rsid w:val="00C014EC"/>
    <w:rsid w:val="00C04EA2"/>
    <w:rsid w:val="00C100F8"/>
    <w:rsid w:val="00C10D47"/>
    <w:rsid w:val="00C15BE1"/>
    <w:rsid w:val="00C319AB"/>
    <w:rsid w:val="00C41453"/>
    <w:rsid w:val="00C47BBE"/>
    <w:rsid w:val="00C528FD"/>
    <w:rsid w:val="00C625DB"/>
    <w:rsid w:val="00C62944"/>
    <w:rsid w:val="00C638FE"/>
    <w:rsid w:val="00C936B4"/>
    <w:rsid w:val="00C93776"/>
    <w:rsid w:val="00CA038F"/>
    <w:rsid w:val="00CA6CF9"/>
    <w:rsid w:val="00CC1764"/>
    <w:rsid w:val="00CD0D30"/>
    <w:rsid w:val="00CD6BA2"/>
    <w:rsid w:val="00CF16F8"/>
    <w:rsid w:val="00D10C54"/>
    <w:rsid w:val="00D2074C"/>
    <w:rsid w:val="00D43FAF"/>
    <w:rsid w:val="00D54A6E"/>
    <w:rsid w:val="00D576AD"/>
    <w:rsid w:val="00D626F3"/>
    <w:rsid w:val="00D8613E"/>
    <w:rsid w:val="00D862AA"/>
    <w:rsid w:val="00D872B5"/>
    <w:rsid w:val="00D92147"/>
    <w:rsid w:val="00DA5CF8"/>
    <w:rsid w:val="00DC6426"/>
    <w:rsid w:val="00DD5302"/>
    <w:rsid w:val="00DE3360"/>
    <w:rsid w:val="00DE544D"/>
    <w:rsid w:val="00DE69A8"/>
    <w:rsid w:val="00DE7B69"/>
    <w:rsid w:val="00DF2BD6"/>
    <w:rsid w:val="00DF2E05"/>
    <w:rsid w:val="00E029AC"/>
    <w:rsid w:val="00E02A47"/>
    <w:rsid w:val="00E03BB7"/>
    <w:rsid w:val="00E04C50"/>
    <w:rsid w:val="00E17CEF"/>
    <w:rsid w:val="00E305E5"/>
    <w:rsid w:val="00E318D5"/>
    <w:rsid w:val="00E352B8"/>
    <w:rsid w:val="00E47F58"/>
    <w:rsid w:val="00E50CC0"/>
    <w:rsid w:val="00E50D50"/>
    <w:rsid w:val="00E60224"/>
    <w:rsid w:val="00E6124C"/>
    <w:rsid w:val="00E91DBA"/>
    <w:rsid w:val="00EA0250"/>
    <w:rsid w:val="00EA67C4"/>
    <w:rsid w:val="00EB42DD"/>
    <w:rsid w:val="00EC7B3E"/>
    <w:rsid w:val="00ED1073"/>
    <w:rsid w:val="00ED236E"/>
    <w:rsid w:val="00ED5CF2"/>
    <w:rsid w:val="00EE4BC2"/>
    <w:rsid w:val="00EE75C4"/>
    <w:rsid w:val="00EF27C4"/>
    <w:rsid w:val="00F004A0"/>
    <w:rsid w:val="00F01C86"/>
    <w:rsid w:val="00F1419D"/>
    <w:rsid w:val="00F31709"/>
    <w:rsid w:val="00F443E2"/>
    <w:rsid w:val="00F44A51"/>
    <w:rsid w:val="00F54D7F"/>
    <w:rsid w:val="00F55730"/>
    <w:rsid w:val="00F56D7E"/>
    <w:rsid w:val="00F56EEC"/>
    <w:rsid w:val="00F62591"/>
    <w:rsid w:val="00F66FA1"/>
    <w:rsid w:val="00F674C2"/>
    <w:rsid w:val="00F71AE7"/>
    <w:rsid w:val="00F83D93"/>
    <w:rsid w:val="00F91A39"/>
    <w:rsid w:val="00F92C8D"/>
    <w:rsid w:val="00F97B2F"/>
    <w:rsid w:val="00FA1814"/>
    <w:rsid w:val="00FA3674"/>
    <w:rsid w:val="00FB6D24"/>
    <w:rsid w:val="00FC4961"/>
    <w:rsid w:val="00FD0DB0"/>
    <w:rsid w:val="00FD177D"/>
    <w:rsid w:val="00FD293E"/>
    <w:rsid w:val="00FF0990"/>
    <w:rsid w:val="00FF1DD1"/>
    <w:rsid w:val="00FF473E"/>
    <w:rsid w:val="00FF7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tabs>
        <w:tab w:val="left" w:pos="720"/>
      </w:tabs>
      <w:spacing w:line="480" w:lineRule="auto"/>
      <w:ind w:left="720" w:hanging="720"/>
      <w:outlineLvl w:val="0"/>
    </w:pPr>
    <w:rPr>
      <w:b/>
    </w:rPr>
  </w:style>
  <w:style w:type="paragraph" w:styleId="Heading2">
    <w:name w:val="heading 2"/>
    <w:basedOn w:val="Normal"/>
    <w:next w:val="Normal"/>
    <w:qFormat/>
    <w:pPr>
      <w:keepNext/>
      <w:tabs>
        <w:tab w:val="left" w:pos="720"/>
      </w:tabs>
      <w:ind w:left="720" w:hanging="720"/>
      <w:jc w:val="center"/>
      <w:outlineLvl w:val="1"/>
    </w:pPr>
    <w:rPr>
      <w:b/>
    </w:rPr>
  </w:style>
  <w:style w:type="paragraph" w:styleId="Heading3">
    <w:name w:val="heading 3"/>
    <w:basedOn w:val="Normal"/>
    <w:next w:val="Normal"/>
    <w:qFormat/>
    <w:pPr>
      <w:keepNext/>
      <w:jc w:val="center"/>
      <w:outlineLvl w:val="2"/>
    </w:pPr>
    <w:rPr>
      <w:b/>
    </w:rPr>
  </w:style>
  <w:style w:type="paragraph" w:styleId="Heading4">
    <w:name w:val="heading 4"/>
    <w:basedOn w:val="Normal"/>
    <w:next w:val="Normal"/>
    <w:qFormat/>
    <w:pPr>
      <w:keepNext/>
      <w:tabs>
        <w:tab w:val="left" w:pos="720"/>
      </w:tabs>
      <w:spacing w:line="480" w:lineRule="auto"/>
      <w:ind w:left="720" w:hanging="720"/>
      <w:jc w:val="both"/>
      <w:outlineLvl w:val="3"/>
    </w:pPr>
    <w:rPr>
      <w:b/>
      <w:u w:val="single"/>
    </w:rPr>
  </w:style>
  <w:style w:type="paragraph" w:styleId="Heading5">
    <w:name w:val="heading 5"/>
    <w:basedOn w:val="Normal"/>
    <w:next w:val="Normal"/>
    <w:qFormat/>
    <w:pPr>
      <w:keepNext/>
      <w:tabs>
        <w:tab w:val="left" w:pos="0"/>
      </w:tabs>
      <w:spacing w:line="480" w:lineRule="auto"/>
      <w:jc w:val="both"/>
      <w:outlineLvl w:val="4"/>
    </w:pPr>
    <w:rPr>
      <w:b/>
      <w:u w:val="single"/>
    </w:rPr>
  </w:style>
  <w:style w:type="paragraph" w:styleId="Heading6">
    <w:name w:val="heading 6"/>
    <w:basedOn w:val="Normal"/>
    <w:next w:val="Normal"/>
    <w:qFormat/>
    <w:pPr>
      <w:keepNext/>
      <w:tabs>
        <w:tab w:val="left" w:pos="720"/>
      </w:tabs>
      <w:ind w:left="720" w:hanging="720"/>
      <w:jc w:val="center"/>
      <w:outlineLvl w:val="5"/>
    </w:pPr>
    <w:rPr>
      <w:b/>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link w:val="HeaderChar"/>
    <w:uiPriority w:val="99"/>
    <w:pPr>
      <w:widowControl w:val="0"/>
      <w:tabs>
        <w:tab w:val="center" w:pos="4320"/>
        <w:tab w:val="right" w:pos="8640"/>
      </w:tabs>
    </w:pPr>
    <w:rPr>
      <w:sz w:val="20"/>
    </w:rPr>
  </w:style>
  <w:style w:type="paragraph" w:styleId="Footer">
    <w:name w:val="footer"/>
    <w:basedOn w:val="Normal"/>
    <w:pPr>
      <w:widowControl w:val="0"/>
      <w:tabs>
        <w:tab w:val="center" w:pos="4320"/>
        <w:tab w:val="right" w:pos="8640"/>
      </w:tabs>
    </w:pPr>
    <w:rPr>
      <w:sz w:val="20"/>
    </w:rPr>
  </w:style>
  <w:style w:type="paragraph" w:styleId="BodyText">
    <w:name w:val="Body Text"/>
    <w:basedOn w:val="Normal"/>
    <w:pPr>
      <w:tabs>
        <w:tab w:val="left" w:pos="0"/>
      </w:tabs>
      <w:spacing w:line="480" w:lineRule="auto"/>
      <w:jc w:val="both"/>
    </w:pPr>
  </w:style>
  <w:style w:type="paragraph" w:styleId="BodyTextIndent">
    <w:name w:val="Body Text Indent"/>
    <w:basedOn w:val="Normal"/>
    <w:pPr>
      <w:tabs>
        <w:tab w:val="left" w:pos="0"/>
      </w:tabs>
      <w:spacing w:line="480" w:lineRule="auto"/>
      <w:ind w:hanging="720"/>
      <w:jc w:val="both"/>
    </w:pPr>
  </w:style>
  <w:style w:type="paragraph" w:styleId="Title">
    <w:name w:val="Title"/>
    <w:basedOn w:val="Normal"/>
    <w:qFormat/>
    <w:pPr>
      <w:tabs>
        <w:tab w:val="left" w:pos="720"/>
      </w:tabs>
      <w:ind w:left="720" w:hanging="720"/>
      <w:jc w:val="center"/>
    </w:pPr>
    <w:rPr>
      <w:b/>
      <w:sz w:val="56"/>
    </w:rPr>
  </w:style>
  <w:style w:type="paragraph" w:styleId="FootnoteText">
    <w:name w:val="footnote text"/>
    <w:basedOn w:val="Normal"/>
    <w:semiHidden/>
    <w:rsid w:val="00E305E5"/>
    <w:rPr>
      <w:sz w:val="20"/>
    </w:rPr>
  </w:style>
  <w:style w:type="character" w:styleId="FootnoteReference">
    <w:name w:val="footnote reference"/>
    <w:semiHidden/>
    <w:rsid w:val="00E305E5"/>
    <w:rPr>
      <w:vertAlign w:val="superscript"/>
    </w:rPr>
  </w:style>
  <w:style w:type="paragraph" w:styleId="BalloonText">
    <w:name w:val="Balloon Text"/>
    <w:basedOn w:val="Normal"/>
    <w:semiHidden/>
    <w:rsid w:val="001F64DD"/>
    <w:rPr>
      <w:rFonts w:ascii="Tahoma" w:hAnsi="Tahoma" w:cs="Tahoma"/>
      <w:sz w:val="16"/>
      <w:szCs w:val="16"/>
    </w:rPr>
  </w:style>
  <w:style w:type="paragraph" w:styleId="ListParagraph">
    <w:name w:val="List Paragraph"/>
    <w:basedOn w:val="Normal"/>
    <w:uiPriority w:val="34"/>
    <w:qFormat/>
    <w:rsid w:val="00241743"/>
    <w:pPr>
      <w:ind w:left="720"/>
      <w:contextualSpacing/>
    </w:pPr>
  </w:style>
  <w:style w:type="character" w:customStyle="1" w:styleId="HeaderChar">
    <w:name w:val="Header Char"/>
    <w:basedOn w:val="DefaultParagraphFont"/>
    <w:link w:val="Header"/>
    <w:uiPriority w:val="99"/>
    <w:rsid w:val="00343F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2517</Words>
  <Characters>13458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2019-06-25T21:17:00Z</dcterms:created>
  <dcterms:modified xsi:type="dcterms:W3CDTF">2019-06-25T21:17:00Z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