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A4E" w:rsidRDefault="000F4A4E" w:rsidP="00BC33A2">
      <w:pPr>
        <w:widowControl w:val="0"/>
        <w:tabs>
          <w:tab w:val="center" w:pos="4680"/>
        </w:tabs>
        <w:suppressAutoHyphens/>
        <w:autoSpaceDE w:val="0"/>
        <w:autoSpaceDN w:val="0"/>
        <w:adjustRightInd w:val="0"/>
        <w:spacing w:line="240" w:lineRule="atLeast"/>
        <w:jc w:val="center"/>
        <w:rPr>
          <w:b/>
        </w:rPr>
      </w:pPr>
    </w:p>
    <w:p w:rsidR="00BC33A2" w:rsidRPr="005479AA" w:rsidRDefault="00BC33A2" w:rsidP="00BC33A2">
      <w:pPr>
        <w:widowControl w:val="0"/>
        <w:tabs>
          <w:tab w:val="center" w:pos="4680"/>
        </w:tabs>
        <w:suppressAutoHyphens/>
        <w:autoSpaceDE w:val="0"/>
        <w:autoSpaceDN w:val="0"/>
        <w:adjustRightInd w:val="0"/>
        <w:spacing w:line="240" w:lineRule="atLeast"/>
        <w:jc w:val="center"/>
        <w:rPr>
          <w:b/>
        </w:rPr>
      </w:pPr>
      <w:r w:rsidRPr="005479AA">
        <w:rPr>
          <w:b/>
        </w:rPr>
        <w:t>STATE OF GEORGIA</w:t>
      </w:r>
    </w:p>
    <w:p w:rsidR="00BC33A2" w:rsidRPr="005479AA" w:rsidRDefault="00BC33A2" w:rsidP="00BC33A2">
      <w:pPr>
        <w:widowControl w:val="0"/>
        <w:tabs>
          <w:tab w:val="center" w:pos="4680"/>
        </w:tabs>
        <w:suppressAutoHyphens/>
        <w:autoSpaceDE w:val="0"/>
        <w:autoSpaceDN w:val="0"/>
        <w:adjustRightInd w:val="0"/>
        <w:spacing w:line="240" w:lineRule="atLeast"/>
        <w:jc w:val="center"/>
        <w:rPr>
          <w:b/>
        </w:rPr>
      </w:pPr>
      <w:r w:rsidRPr="005479AA">
        <w:rPr>
          <w:b/>
        </w:rPr>
        <w:t>BEFORE THE GEORGIA PUBLIC SERVICE COMMISSION</w:t>
      </w:r>
    </w:p>
    <w:p w:rsidR="00BC33A2" w:rsidRDefault="00BC33A2" w:rsidP="00BC33A2">
      <w:pPr>
        <w:pStyle w:val="BodyTextIndent"/>
        <w:spacing w:after="0" w:line="240" w:lineRule="auto"/>
        <w:rPr>
          <w:b/>
        </w:rPr>
      </w:pPr>
    </w:p>
    <w:p w:rsidR="00BC33A2" w:rsidRDefault="00BC33A2" w:rsidP="00BC33A2">
      <w:pPr>
        <w:pStyle w:val="BodyTextIndent"/>
        <w:spacing w:after="0" w:line="240" w:lineRule="auto"/>
        <w:rPr>
          <w:b/>
        </w:rPr>
      </w:pPr>
      <w:r>
        <w:rPr>
          <w:b/>
        </w:rPr>
        <w:tab/>
      </w:r>
      <w:r>
        <w:rPr>
          <w:b/>
        </w:rPr>
        <w:tab/>
      </w:r>
    </w:p>
    <w:tbl>
      <w:tblPr>
        <w:tblW w:w="0" w:type="auto"/>
        <w:tblLook w:val="01E0" w:firstRow="1" w:lastRow="1" w:firstColumn="1" w:lastColumn="1" w:noHBand="0" w:noVBand="0"/>
      </w:tblPr>
      <w:tblGrid>
        <w:gridCol w:w="5225"/>
        <w:gridCol w:w="296"/>
        <w:gridCol w:w="3335"/>
      </w:tblGrid>
      <w:tr w:rsidR="00BC33A2" w:rsidRPr="00743317" w:rsidTr="00407F53">
        <w:tc>
          <w:tcPr>
            <w:tcW w:w="5225" w:type="dxa"/>
            <w:shd w:val="clear" w:color="auto" w:fill="auto"/>
          </w:tcPr>
          <w:p w:rsidR="00BC33A2" w:rsidRPr="00EC5450" w:rsidRDefault="00CA6242" w:rsidP="00DF6697">
            <w:pPr>
              <w:pStyle w:val="NoSpacing"/>
              <w:ind w:left="0" w:firstLine="0"/>
              <w:rPr>
                <w:b/>
              </w:rPr>
            </w:pPr>
            <w:r w:rsidRPr="00CA6242">
              <w:rPr>
                <w:b/>
              </w:rPr>
              <w:t xml:space="preserve">Georgia </w:t>
            </w:r>
            <w:r>
              <w:rPr>
                <w:b/>
              </w:rPr>
              <w:t>Power Company’s 201</w:t>
            </w:r>
            <w:r w:rsidR="00DF6697">
              <w:rPr>
                <w:b/>
              </w:rPr>
              <w:t>9</w:t>
            </w:r>
            <w:r>
              <w:rPr>
                <w:b/>
              </w:rPr>
              <w:t xml:space="preserve"> Integrated R</w:t>
            </w:r>
            <w:r w:rsidRPr="00CA6242">
              <w:rPr>
                <w:b/>
              </w:rPr>
              <w:t xml:space="preserve">esource Plan </w:t>
            </w:r>
            <w:r w:rsidR="00DF6697">
              <w:rPr>
                <w:b/>
              </w:rPr>
              <w:t>a</w:t>
            </w:r>
            <w:r w:rsidR="00DF6697" w:rsidRPr="00DF6697">
              <w:rPr>
                <w:b/>
              </w:rPr>
              <w:t xml:space="preserve">nd Application for Certification of Capacity from Plant Scherer Unit 3 and Plant Goat Rock Units 9-12 and Application for Decertification of Plant Hammond Units 1-4, Plant McIntosh Unit 1, Plant </w:t>
            </w:r>
            <w:proofErr w:type="spellStart"/>
            <w:r w:rsidR="00DF6697" w:rsidRPr="00DF6697">
              <w:rPr>
                <w:b/>
              </w:rPr>
              <w:t>Estatoah</w:t>
            </w:r>
            <w:proofErr w:type="spellEnd"/>
            <w:r w:rsidR="00DF6697" w:rsidRPr="00DF6697">
              <w:rPr>
                <w:b/>
              </w:rPr>
              <w:t xml:space="preserve"> Unit 1, Plant Langdale Units 5-6, and Plant Riverview Units 1-2</w:t>
            </w:r>
          </w:p>
        </w:tc>
        <w:tc>
          <w:tcPr>
            <w:tcW w:w="296" w:type="dxa"/>
            <w:shd w:val="clear" w:color="auto" w:fill="auto"/>
          </w:tcPr>
          <w:p w:rsidR="00BC33A2" w:rsidRPr="00EC5450" w:rsidRDefault="00BC33A2" w:rsidP="000976DC">
            <w:pPr>
              <w:pStyle w:val="BodyTextIndent"/>
              <w:spacing w:after="0" w:line="240" w:lineRule="auto"/>
              <w:rPr>
                <w:rFonts w:ascii="Times New Roman" w:hAnsi="Times New Roman"/>
                <w:b/>
                <w:lang w:val="en-US" w:eastAsia="en-US"/>
              </w:rPr>
            </w:pPr>
            <w:r w:rsidRPr="00EC5450">
              <w:rPr>
                <w:rFonts w:ascii="Times New Roman" w:hAnsi="Times New Roman"/>
                <w:b/>
                <w:lang w:val="en-US" w:eastAsia="en-US"/>
              </w:rPr>
              <w:t>)</w:t>
            </w:r>
          </w:p>
          <w:p w:rsidR="00BC33A2" w:rsidRPr="00EC5450" w:rsidRDefault="00BC33A2" w:rsidP="000976DC">
            <w:pPr>
              <w:pStyle w:val="BodyTextIndent"/>
              <w:spacing w:after="0" w:line="240" w:lineRule="auto"/>
              <w:rPr>
                <w:rFonts w:ascii="Times New Roman" w:hAnsi="Times New Roman"/>
                <w:b/>
                <w:lang w:val="en-US" w:eastAsia="en-US"/>
              </w:rPr>
            </w:pPr>
            <w:r w:rsidRPr="00EC5450">
              <w:rPr>
                <w:rFonts w:ascii="Times New Roman" w:hAnsi="Times New Roman"/>
                <w:b/>
                <w:lang w:val="en-US" w:eastAsia="en-US"/>
              </w:rPr>
              <w:t>)</w:t>
            </w:r>
          </w:p>
          <w:p w:rsidR="00BC33A2" w:rsidRPr="00EC5450" w:rsidRDefault="00BC33A2" w:rsidP="000976DC">
            <w:pPr>
              <w:pStyle w:val="BodyTextIndent"/>
              <w:spacing w:after="0" w:line="240" w:lineRule="auto"/>
              <w:rPr>
                <w:rFonts w:ascii="Times New Roman" w:hAnsi="Times New Roman"/>
                <w:b/>
                <w:lang w:val="en-US" w:eastAsia="en-US"/>
              </w:rPr>
            </w:pPr>
            <w:r w:rsidRPr="00EC5450">
              <w:rPr>
                <w:rFonts w:ascii="Times New Roman" w:hAnsi="Times New Roman"/>
                <w:b/>
                <w:lang w:val="en-US" w:eastAsia="en-US"/>
              </w:rPr>
              <w:t>)</w:t>
            </w:r>
          </w:p>
          <w:p w:rsidR="00BC33A2" w:rsidRPr="00EC5450" w:rsidRDefault="00BC33A2" w:rsidP="000976DC">
            <w:pPr>
              <w:pStyle w:val="BodyTextIndent"/>
              <w:spacing w:after="0" w:line="240" w:lineRule="auto"/>
              <w:rPr>
                <w:rFonts w:ascii="Times New Roman" w:hAnsi="Times New Roman"/>
                <w:b/>
                <w:lang w:val="en-US" w:eastAsia="en-US"/>
              </w:rPr>
            </w:pPr>
            <w:r w:rsidRPr="00EC5450">
              <w:rPr>
                <w:rFonts w:ascii="Times New Roman" w:hAnsi="Times New Roman"/>
                <w:b/>
                <w:lang w:val="en-US" w:eastAsia="en-US"/>
              </w:rPr>
              <w:t>)</w:t>
            </w:r>
          </w:p>
          <w:p w:rsidR="00BC33A2" w:rsidRPr="00EC5450" w:rsidRDefault="00BC33A2" w:rsidP="000976DC">
            <w:pPr>
              <w:pStyle w:val="BodyTextIndent"/>
              <w:spacing w:after="0" w:line="240" w:lineRule="auto"/>
              <w:rPr>
                <w:rFonts w:ascii="Times New Roman" w:hAnsi="Times New Roman"/>
                <w:b/>
                <w:lang w:val="en-US" w:eastAsia="en-US"/>
              </w:rPr>
            </w:pPr>
            <w:r w:rsidRPr="00EC5450">
              <w:rPr>
                <w:rFonts w:ascii="Times New Roman" w:hAnsi="Times New Roman"/>
                <w:b/>
                <w:lang w:val="en-US" w:eastAsia="en-US"/>
              </w:rPr>
              <w:t>)</w:t>
            </w:r>
          </w:p>
          <w:p w:rsidR="00BC33A2" w:rsidRPr="00EC5450" w:rsidRDefault="00BC33A2" w:rsidP="000976DC">
            <w:pPr>
              <w:pStyle w:val="BodyTextIndent"/>
              <w:spacing w:after="0" w:line="240" w:lineRule="auto"/>
              <w:rPr>
                <w:rFonts w:ascii="Times New Roman" w:hAnsi="Times New Roman"/>
                <w:b/>
                <w:lang w:val="en-US" w:eastAsia="en-US"/>
              </w:rPr>
            </w:pPr>
            <w:r w:rsidRPr="00EC5450">
              <w:rPr>
                <w:rFonts w:ascii="Times New Roman" w:hAnsi="Times New Roman"/>
                <w:b/>
                <w:lang w:val="en-US" w:eastAsia="en-US"/>
              </w:rPr>
              <w:t>)</w:t>
            </w:r>
          </w:p>
          <w:p w:rsidR="00DF6697" w:rsidRDefault="00DF6697" w:rsidP="000976DC">
            <w:pPr>
              <w:pStyle w:val="BodyTextIndent"/>
              <w:spacing w:after="0" w:line="240" w:lineRule="auto"/>
              <w:rPr>
                <w:rFonts w:ascii="Times New Roman" w:hAnsi="Times New Roman"/>
                <w:b/>
                <w:lang w:val="en-US" w:eastAsia="en-US"/>
              </w:rPr>
            </w:pPr>
            <w:r>
              <w:rPr>
                <w:rFonts w:ascii="Times New Roman" w:hAnsi="Times New Roman"/>
                <w:b/>
                <w:lang w:val="en-US" w:eastAsia="en-US"/>
              </w:rPr>
              <w:t>)</w:t>
            </w:r>
          </w:p>
          <w:p w:rsidR="00BC33A2" w:rsidRDefault="00DF6697" w:rsidP="000976DC">
            <w:pPr>
              <w:pStyle w:val="BodyTextIndent"/>
              <w:spacing w:after="0" w:line="240" w:lineRule="auto"/>
              <w:rPr>
                <w:rFonts w:ascii="Times New Roman" w:hAnsi="Times New Roman"/>
                <w:b/>
                <w:lang w:val="en-US" w:eastAsia="en-US"/>
              </w:rPr>
            </w:pPr>
            <w:r>
              <w:rPr>
                <w:rFonts w:ascii="Times New Roman" w:hAnsi="Times New Roman"/>
                <w:b/>
                <w:lang w:val="en-US" w:eastAsia="en-US"/>
              </w:rPr>
              <w:t>)</w:t>
            </w:r>
          </w:p>
          <w:p w:rsidR="00DF6697" w:rsidRPr="00EC5450" w:rsidRDefault="00DF6697" w:rsidP="000976DC">
            <w:pPr>
              <w:pStyle w:val="BodyTextIndent"/>
              <w:spacing w:after="0" w:line="240" w:lineRule="auto"/>
              <w:rPr>
                <w:rFonts w:ascii="Times New Roman" w:hAnsi="Times New Roman"/>
                <w:b/>
                <w:lang w:val="en-US" w:eastAsia="en-US"/>
              </w:rPr>
            </w:pPr>
          </w:p>
        </w:tc>
        <w:tc>
          <w:tcPr>
            <w:tcW w:w="3335" w:type="dxa"/>
            <w:shd w:val="clear" w:color="auto" w:fill="auto"/>
          </w:tcPr>
          <w:p w:rsidR="00BC33A2" w:rsidRPr="00EC5450" w:rsidRDefault="00BC33A2" w:rsidP="000976DC">
            <w:pPr>
              <w:pStyle w:val="BodyTextIndent"/>
              <w:spacing w:after="0" w:line="240" w:lineRule="auto"/>
              <w:rPr>
                <w:rFonts w:ascii="Times New Roman" w:hAnsi="Times New Roman"/>
                <w:b/>
                <w:lang w:val="en-US" w:eastAsia="en-US"/>
              </w:rPr>
            </w:pPr>
          </w:p>
          <w:p w:rsidR="00BC33A2" w:rsidRPr="00EC5450" w:rsidRDefault="00BC33A2" w:rsidP="000976DC">
            <w:pPr>
              <w:pStyle w:val="BodyTextIndent"/>
              <w:spacing w:after="0" w:line="240" w:lineRule="auto"/>
              <w:jc w:val="center"/>
              <w:rPr>
                <w:rFonts w:ascii="Times New Roman" w:hAnsi="Times New Roman"/>
                <w:b/>
                <w:lang w:val="en-US" w:eastAsia="en-US"/>
              </w:rPr>
            </w:pPr>
          </w:p>
          <w:p w:rsidR="00DF6697" w:rsidRDefault="00DF6697" w:rsidP="00DF6697">
            <w:pPr>
              <w:pStyle w:val="BodyTextIndent"/>
              <w:spacing w:after="0" w:line="240" w:lineRule="auto"/>
              <w:jc w:val="center"/>
              <w:rPr>
                <w:rFonts w:ascii="Times New Roman" w:hAnsi="Times New Roman"/>
                <w:b/>
                <w:lang w:val="en-US" w:eastAsia="en-US"/>
              </w:rPr>
            </w:pPr>
          </w:p>
          <w:p w:rsidR="00BC33A2" w:rsidRPr="00EC5450" w:rsidRDefault="00BC33A2" w:rsidP="00DF6697">
            <w:pPr>
              <w:pStyle w:val="BodyTextIndent"/>
              <w:spacing w:after="0" w:line="240" w:lineRule="auto"/>
              <w:jc w:val="center"/>
              <w:rPr>
                <w:rFonts w:ascii="Times New Roman" w:hAnsi="Times New Roman"/>
                <w:b/>
                <w:lang w:val="en-US" w:eastAsia="en-US"/>
              </w:rPr>
            </w:pPr>
            <w:r w:rsidRPr="00EC5450">
              <w:rPr>
                <w:rFonts w:ascii="Times New Roman" w:hAnsi="Times New Roman"/>
                <w:b/>
                <w:lang w:val="en-US" w:eastAsia="en-US"/>
              </w:rPr>
              <w:t xml:space="preserve">DOCKET NO. </w:t>
            </w:r>
            <w:r w:rsidR="00DF6697">
              <w:rPr>
                <w:rFonts w:ascii="Times New Roman" w:hAnsi="Times New Roman"/>
                <w:b/>
                <w:lang w:val="en-US" w:eastAsia="en-US"/>
              </w:rPr>
              <w:t>42310</w:t>
            </w:r>
          </w:p>
        </w:tc>
      </w:tr>
    </w:tbl>
    <w:p w:rsidR="00BC33A2" w:rsidRPr="00743317" w:rsidRDefault="00BC33A2" w:rsidP="00BC33A2">
      <w:pPr>
        <w:pStyle w:val="Title"/>
        <w:spacing w:after="0"/>
        <w:jc w:val="left"/>
        <w:rPr>
          <w:sz w:val="20"/>
        </w:rPr>
      </w:pPr>
    </w:p>
    <w:p w:rsidR="00BC33A2" w:rsidRPr="00743317" w:rsidRDefault="00BC33A2" w:rsidP="00BC33A2">
      <w:pPr>
        <w:pStyle w:val="Title"/>
        <w:spacing w:after="0"/>
        <w:jc w:val="left"/>
        <w:rPr>
          <w:sz w:val="20"/>
        </w:rPr>
      </w:pPr>
    </w:p>
    <w:p w:rsidR="00BC33A2" w:rsidRDefault="00BC33A2" w:rsidP="00BC33A2">
      <w:pPr>
        <w:pStyle w:val="Title"/>
        <w:spacing w:after="0"/>
        <w:rPr>
          <w:sz w:val="20"/>
        </w:rPr>
      </w:pPr>
    </w:p>
    <w:p w:rsidR="00BC33A2" w:rsidRPr="00063AA8" w:rsidRDefault="00BC33A2" w:rsidP="00BC33A2">
      <w:pPr>
        <w:pStyle w:val="Title"/>
        <w:spacing w:after="0"/>
        <w:rPr>
          <w:sz w:val="32"/>
          <w:szCs w:val="32"/>
          <w:lang w:val="en-US"/>
        </w:rPr>
      </w:pPr>
      <w:r>
        <w:rPr>
          <w:sz w:val="32"/>
          <w:szCs w:val="32"/>
        </w:rPr>
        <w:t xml:space="preserve">DIRECT </w:t>
      </w:r>
      <w:r w:rsidRPr="00E94F20">
        <w:rPr>
          <w:sz w:val="32"/>
          <w:szCs w:val="32"/>
        </w:rPr>
        <w:t xml:space="preserve">TESTIMONY OF </w:t>
      </w:r>
      <w:r w:rsidR="00063AA8">
        <w:rPr>
          <w:sz w:val="32"/>
          <w:szCs w:val="32"/>
          <w:lang w:val="en-US"/>
        </w:rPr>
        <w:t>Mark</w:t>
      </w:r>
      <w:r w:rsidR="00063AA8">
        <w:rPr>
          <w:sz w:val="32"/>
          <w:szCs w:val="32"/>
        </w:rPr>
        <w:t xml:space="preserve"> D. </w:t>
      </w:r>
      <w:r w:rsidR="00063AA8">
        <w:rPr>
          <w:sz w:val="32"/>
          <w:szCs w:val="32"/>
          <w:lang w:val="en-US"/>
        </w:rPr>
        <w:t>Detsky</w:t>
      </w:r>
    </w:p>
    <w:p w:rsidR="00BC33A2" w:rsidRPr="00E94F20" w:rsidRDefault="00BC33A2" w:rsidP="00BC33A2">
      <w:pPr>
        <w:pStyle w:val="Title"/>
        <w:spacing w:after="0"/>
        <w:rPr>
          <w:sz w:val="32"/>
          <w:szCs w:val="32"/>
        </w:rPr>
      </w:pPr>
      <w:r w:rsidRPr="00E94F20">
        <w:rPr>
          <w:sz w:val="32"/>
          <w:szCs w:val="32"/>
        </w:rPr>
        <w:t xml:space="preserve">ON BEHALF OF </w:t>
      </w:r>
    </w:p>
    <w:p w:rsidR="00BC33A2" w:rsidRDefault="00BC33A2" w:rsidP="00BC33A2">
      <w:pPr>
        <w:pStyle w:val="Title"/>
        <w:spacing w:after="0"/>
        <w:rPr>
          <w:rFonts w:ascii="Times New Roman Bold" w:hAnsi="Times New Roman Bold"/>
          <w:caps w:val="0"/>
          <w:sz w:val="32"/>
          <w:szCs w:val="32"/>
        </w:rPr>
      </w:pPr>
      <w:r>
        <w:rPr>
          <w:rFonts w:ascii="Times New Roman Bold" w:hAnsi="Times New Roman Bold"/>
          <w:caps w:val="0"/>
          <w:sz w:val="32"/>
          <w:szCs w:val="32"/>
        </w:rPr>
        <w:t>SOUTHERN ALLIANCE FOR CLEAN ENERGY</w:t>
      </w:r>
    </w:p>
    <w:p w:rsidR="00376BCD" w:rsidRDefault="00376BCD" w:rsidP="00BC33A2">
      <w:pPr>
        <w:pStyle w:val="Title"/>
        <w:spacing w:after="0"/>
        <w:rPr>
          <w:rFonts w:ascii="Times New Roman Bold" w:hAnsi="Times New Roman Bold"/>
          <w:caps w:val="0"/>
          <w:sz w:val="32"/>
          <w:szCs w:val="32"/>
          <w:lang w:val="en-US"/>
        </w:rPr>
      </w:pPr>
      <w:r>
        <w:rPr>
          <w:rFonts w:ascii="Times New Roman Bold" w:hAnsi="Times New Roman Bold"/>
          <w:caps w:val="0"/>
          <w:sz w:val="32"/>
          <w:szCs w:val="32"/>
          <w:lang w:val="en-US"/>
        </w:rPr>
        <w:t>AND</w:t>
      </w:r>
    </w:p>
    <w:p w:rsidR="00376BCD" w:rsidRPr="00376BCD" w:rsidRDefault="00376BCD" w:rsidP="00BC33A2">
      <w:pPr>
        <w:pStyle w:val="Title"/>
        <w:spacing w:after="0"/>
        <w:rPr>
          <w:rFonts w:ascii="Times New Roman Bold" w:hAnsi="Times New Roman Bold"/>
          <w:caps w:val="0"/>
          <w:sz w:val="32"/>
          <w:szCs w:val="32"/>
          <w:lang w:val="en-US"/>
        </w:rPr>
      </w:pPr>
      <w:r>
        <w:rPr>
          <w:rFonts w:ascii="Times New Roman Bold" w:hAnsi="Times New Roman Bold"/>
          <w:caps w:val="0"/>
          <w:sz w:val="32"/>
          <w:szCs w:val="32"/>
          <w:lang w:val="en-US"/>
        </w:rPr>
        <w:t>SOUTHERN RENEWABLE ENERGY ASSOCIATION</w:t>
      </w:r>
    </w:p>
    <w:p w:rsidR="00BC33A2" w:rsidRDefault="00BC33A2" w:rsidP="00BC33A2">
      <w:pPr>
        <w:pStyle w:val="Title"/>
        <w:spacing w:after="0"/>
        <w:rPr>
          <w:rFonts w:ascii="Times New Roman Bold" w:hAnsi="Times New Roman Bold"/>
          <w:caps w:val="0"/>
          <w:sz w:val="32"/>
          <w:szCs w:val="32"/>
        </w:rPr>
      </w:pPr>
    </w:p>
    <w:p w:rsidR="00BC33A2" w:rsidRDefault="00BC33A2" w:rsidP="00BC33A2">
      <w:pPr>
        <w:pStyle w:val="Title"/>
        <w:spacing w:after="0"/>
        <w:rPr>
          <w:rFonts w:ascii="Times New Roman Bold" w:hAnsi="Times New Roman Bold"/>
          <w:caps w:val="0"/>
          <w:sz w:val="32"/>
          <w:szCs w:val="32"/>
        </w:rPr>
      </w:pPr>
    </w:p>
    <w:p w:rsidR="00BC33A2" w:rsidRDefault="00BC33A2" w:rsidP="00BC33A2">
      <w:pPr>
        <w:pStyle w:val="Title"/>
        <w:spacing w:after="0"/>
        <w:jc w:val="left"/>
        <w:rPr>
          <w:rFonts w:ascii="Times New Roman Bold" w:hAnsi="Times New Roman Bold"/>
          <w:caps w:val="0"/>
          <w:sz w:val="32"/>
          <w:szCs w:val="32"/>
        </w:rPr>
      </w:pPr>
    </w:p>
    <w:p w:rsidR="00BC33A2" w:rsidRDefault="00BC33A2" w:rsidP="00BC33A2">
      <w:pPr>
        <w:pStyle w:val="Title"/>
        <w:spacing w:after="0"/>
        <w:rPr>
          <w:rFonts w:ascii="Times New Roman Bold" w:hAnsi="Times New Roman Bold"/>
          <w:caps w:val="0"/>
          <w:sz w:val="32"/>
          <w:szCs w:val="32"/>
        </w:rPr>
      </w:pPr>
    </w:p>
    <w:p w:rsidR="00BC33A2" w:rsidRPr="00CA6242" w:rsidRDefault="0064415A" w:rsidP="00BC33A2">
      <w:pPr>
        <w:pStyle w:val="Title"/>
        <w:spacing w:after="0"/>
        <w:rPr>
          <w:caps w:val="0"/>
          <w:sz w:val="32"/>
          <w:szCs w:val="32"/>
          <w:lang w:val="en-US"/>
        </w:rPr>
      </w:pPr>
      <w:r>
        <w:rPr>
          <w:caps w:val="0"/>
          <w:sz w:val="32"/>
          <w:szCs w:val="32"/>
          <w:lang w:val="en-US"/>
        </w:rPr>
        <w:t>April 25</w:t>
      </w:r>
      <w:r w:rsidR="00DF6697">
        <w:rPr>
          <w:caps w:val="0"/>
          <w:sz w:val="32"/>
          <w:szCs w:val="32"/>
          <w:lang w:val="en-US"/>
        </w:rPr>
        <w:t>, 2019</w:t>
      </w:r>
    </w:p>
    <w:p w:rsidR="000F4A4E" w:rsidRPr="000F4A4E" w:rsidRDefault="00BC33A2" w:rsidP="00D96CF4">
      <w:pPr>
        <w:keepNext/>
        <w:ind w:firstLine="0"/>
        <w:jc w:val="both"/>
        <w:rPr>
          <w:b/>
          <w:u w:val="single"/>
        </w:rPr>
      </w:pPr>
      <w:r>
        <w:br w:type="page"/>
      </w:r>
      <w:r w:rsidR="00070B63" w:rsidRPr="00070B63">
        <w:rPr>
          <w:b/>
        </w:rPr>
        <w:lastRenderedPageBreak/>
        <w:t>I.</w:t>
      </w:r>
      <w:r w:rsidR="00070B63">
        <w:tab/>
      </w:r>
      <w:r w:rsidR="000F4A4E" w:rsidRPr="000F4A4E">
        <w:rPr>
          <w:b/>
          <w:u w:val="single"/>
        </w:rPr>
        <w:t>Introduction</w:t>
      </w:r>
    </w:p>
    <w:p w:rsidR="00BC33A2" w:rsidRPr="00BC33A2" w:rsidRDefault="00BC33A2" w:rsidP="00955BA4">
      <w:pPr>
        <w:pStyle w:val="Question"/>
        <w:keepNext/>
        <w:jc w:val="both"/>
        <w:rPr>
          <w:b/>
        </w:rPr>
      </w:pPr>
      <w:r w:rsidRPr="00BC33A2">
        <w:rPr>
          <w:b/>
        </w:rPr>
        <w:t>Q.</w:t>
      </w:r>
      <w:r w:rsidRPr="00BC33A2">
        <w:rPr>
          <w:b/>
        </w:rPr>
        <w:tab/>
      </w:r>
      <w:r w:rsidR="000F4A4E">
        <w:rPr>
          <w:b/>
        </w:rPr>
        <w:t>Please state</w:t>
      </w:r>
      <w:r w:rsidRPr="00BC33A2">
        <w:rPr>
          <w:b/>
        </w:rPr>
        <w:t xml:space="preserve"> your name, position and business add</w:t>
      </w:r>
      <w:r w:rsidR="000F4A4E">
        <w:rPr>
          <w:b/>
        </w:rPr>
        <w:t>ress.</w:t>
      </w:r>
    </w:p>
    <w:p w:rsidR="00BC33A2" w:rsidRPr="00E11C96" w:rsidRDefault="00BC33A2" w:rsidP="00DF6697">
      <w:pPr>
        <w:pStyle w:val="Answer"/>
        <w:spacing w:line="480" w:lineRule="auto"/>
        <w:jc w:val="both"/>
        <w:rPr>
          <w:szCs w:val="24"/>
        </w:rPr>
      </w:pPr>
      <w:r>
        <w:t>A.</w:t>
      </w:r>
      <w:r>
        <w:tab/>
      </w:r>
      <w:r w:rsidR="00063AA8">
        <w:t>My name is Mark D. Detsky</w:t>
      </w:r>
      <w:r w:rsidR="00C664ED" w:rsidRPr="00C664ED">
        <w:t xml:space="preserve">.  I am </w:t>
      </w:r>
      <w:r w:rsidR="00EA0FA2">
        <w:t xml:space="preserve">an </w:t>
      </w:r>
      <w:r w:rsidR="002B15A7">
        <w:t>Attorney</w:t>
      </w:r>
      <w:r w:rsidR="000E3302">
        <w:t xml:space="preserve"> </w:t>
      </w:r>
      <w:r w:rsidR="00EA0FA2">
        <w:t xml:space="preserve">and Partner </w:t>
      </w:r>
      <w:r w:rsidR="00EC0124">
        <w:t xml:space="preserve">at Dietze and Davis, P.C. in Boulder, Colorado. </w:t>
      </w:r>
      <w:r w:rsidR="00C664ED" w:rsidRPr="00C664ED">
        <w:t xml:space="preserve"> </w:t>
      </w:r>
      <w:r w:rsidR="00EC0124">
        <w:t>M</w:t>
      </w:r>
      <w:r w:rsidR="00C664ED" w:rsidRPr="00C664ED">
        <w:t>y business address is</w:t>
      </w:r>
      <w:r w:rsidR="00DF6697">
        <w:t xml:space="preserve"> </w:t>
      </w:r>
      <w:r w:rsidR="00063AA8">
        <w:t>2060 Broadway, Suite 400, Boulder</w:t>
      </w:r>
      <w:r w:rsidR="00CC7117">
        <w:t>,</w:t>
      </w:r>
      <w:r w:rsidR="00063AA8">
        <w:t xml:space="preserve"> CO 80302</w:t>
      </w:r>
      <w:r w:rsidR="00C664ED" w:rsidRPr="00C664ED">
        <w:t>.</w:t>
      </w:r>
    </w:p>
    <w:p w:rsidR="00BC33A2" w:rsidRPr="00BC33A2" w:rsidRDefault="00BC33A2" w:rsidP="00955BA4">
      <w:pPr>
        <w:pStyle w:val="Question"/>
        <w:keepNext/>
        <w:jc w:val="both"/>
        <w:rPr>
          <w:b/>
        </w:rPr>
      </w:pPr>
      <w:r w:rsidRPr="00BC33A2">
        <w:rPr>
          <w:b/>
        </w:rPr>
        <w:t>Q.</w:t>
      </w:r>
      <w:r w:rsidRPr="00BC33A2">
        <w:rPr>
          <w:b/>
        </w:rPr>
        <w:tab/>
        <w:t xml:space="preserve">On whose behalf are you testifying in this </w:t>
      </w:r>
      <w:r w:rsidR="000F4A4E">
        <w:rPr>
          <w:b/>
        </w:rPr>
        <w:t>proceeding</w:t>
      </w:r>
      <w:r w:rsidRPr="00BC33A2">
        <w:rPr>
          <w:b/>
        </w:rPr>
        <w:t>?</w:t>
      </w:r>
    </w:p>
    <w:p w:rsidR="00BC33A2" w:rsidRDefault="00BC33A2" w:rsidP="0036456B">
      <w:pPr>
        <w:pStyle w:val="Answer"/>
        <w:spacing w:line="480" w:lineRule="auto"/>
      </w:pPr>
      <w:r>
        <w:t>A.</w:t>
      </w:r>
      <w:r>
        <w:tab/>
      </w:r>
      <w:r w:rsidR="005A0C4F">
        <w:t xml:space="preserve">I am testifying on behalf of </w:t>
      </w:r>
      <w:r w:rsidR="00EC0124">
        <w:t xml:space="preserve">the </w:t>
      </w:r>
      <w:r w:rsidR="00EC0124" w:rsidRPr="00C664ED">
        <w:t>Southern Alliance for Clean Energy (“SACE”)</w:t>
      </w:r>
      <w:r w:rsidR="005A0C4F">
        <w:t xml:space="preserve">.  </w:t>
      </w:r>
    </w:p>
    <w:p w:rsidR="00BC33A2" w:rsidRPr="00BC33A2" w:rsidRDefault="00BC33A2" w:rsidP="00955BA4">
      <w:pPr>
        <w:pStyle w:val="Question"/>
        <w:keepNext/>
        <w:jc w:val="both"/>
        <w:rPr>
          <w:b/>
          <w:szCs w:val="24"/>
        </w:rPr>
      </w:pPr>
      <w:r w:rsidRPr="00BC33A2">
        <w:rPr>
          <w:b/>
          <w:szCs w:val="24"/>
        </w:rPr>
        <w:t>Q.</w:t>
      </w:r>
      <w:r w:rsidRPr="00BC33A2">
        <w:rPr>
          <w:b/>
          <w:szCs w:val="24"/>
        </w:rPr>
        <w:tab/>
        <w:t xml:space="preserve">Please summarize your </w:t>
      </w:r>
      <w:r w:rsidR="000F4A4E">
        <w:rPr>
          <w:b/>
          <w:szCs w:val="24"/>
        </w:rPr>
        <w:t>qualifications</w:t>
      </w:r>
      <w:r w:rsidRPr="00BC33A2">
        <w:rPr>
          <w:b/>
          <w:szCs w:val="24"/>
        </w:rPr>
        <w:t xml:space="preserve"> and work experience.</w:t>
      </w:r>
    </w:p>
    <w:p w:rsidR="00BC33A2" w:rsidRDefault="00BC33A2" w:rsidP="006A6811">
      <w:pPr>
        <w:pStyle w:val="Answer"/>
        <w:spacing w:line="480" w:lineRule="auto"/>
        <w:jc w:val="both"/>
      </w:pPr>
      <w:r>
        <w:t>A.</w:t>
      </w:r>
      <w:r>
        <w:tab/>
        <w:t>A copy of my resume is included as</w:t>
      </w:r>
      <w:r w:rsidR="009E5653">
        <w:t xml:space="preserve"> </w:t>
      </w:r>
      <w:r w:rsidR="0062124D" w:rsidRPr="00401124">
        <w:rPr>
          <w:b/>
        </w:rPr>
        <w:t xml:space="preserve">EXHIBIT </w:t>
      </w:r>
      <w:r w:rsidR="005A0C4F" w:rsidRPr="00401124">
        <w:rPr>
          <w:b/>
        </w:rPr>
        <w:t>SACE-</w:t>
      </w:r>
      <w:r w:rsidR="00EC0124" w:rsidRPr="00401124">
        <w:rPr>
          <w:b/>
        </w:rPr>
        <w:t>MDD</w:t>
      </w:r>
      <w:r w:rsidR="005A0C4F" w:rsidRPr="00401124">
        <w:rPr>
          <w:b/>
        </w:rPr>
        <w:t>-</w:t>
      </w:r>
      <w:r w:rsidR="00D90BD9" w:rsidRPr="00401124">
        <w:rPr>
          <w:b/>
        </w:rPr>
        <w:t>1</w:t>
      </w:r>
      <w:r w:rsidR="00D90BD9">
        <w:t>.</w:t>
      </w:r>
    </w:p>
    <w:p w:rsidR="00BC33A2" w:rsidRPr="00BC33A2" w:rsidRDefault="00BC33A2" w:rsidP="00955BA4">
      <w:pPr>
        <w:pStyle w:val="Question"/>
        <w:keepNext/>
        <w:jc w:val="both"/>
        <w:rPr>
          <w:b/>
        </w:rPr>
      </w:pPr>
      <w:r w:rsidRPr="00BC33A2">
        <w:rPr>
          <w:b/>
        </w:rPr>
        <w:t>Q.</w:t>
      </w:r>
      <w:r w:rsidRPr="00BC33A2">
        <w:rPr>
          <w:b/>
        </w:rPr>
        <w:tab/>
        <w:t xml:space="preserve">Have you </w:t>
      </w:r>
      <w:r w:rsidR="007C5F9D" w:rsidRPr="00BC33A2">
        <w:rPr>
          <w:b/>
        </w:rPr>
        <w:t xml:space="preserve">previously </w:t>
      </w:r>
      <w:r w:rsidRPr="00BC33A2">
        <w:rPr>
          <w:b/>
        </w:rPr>
        <w:t xml:space="preserve">testified before </w:t>
      </w:r>
      <w:r w:rsidR="000A1F0F" w:rsidRPr="00BC33A2">
        <w:rPr>
          <w:b/>
        </w:rPr>
        <w:t>th</w:t>
      </w:r>
      <w:r w:rsidR="000A1F0F">
        <w:rPr>
          <w:b/>
        </w:rPr>
        <w:t>e Georgia Public Service</w:t>
      </w:r>
      <w:r w:rsidR="000A1F0F" w:rsidRPr="00BC33A2">
        <w:rPr>
          <w:b/>
        </w:rPr>
        <w:t xml:space="preserve"> </w:t>
      </w:r>
      <w:r w:rsidRPr="00BC33A2">
        <w:rPr>
          <w:b/>
        </w:rPr>
        <w:t>Commission</w:t>
      </w:r>
      <w:r w:rsidR="000A1F0F">
        <w:rPr>
          <w:b/>
        </w:rPr>
        <w:t xml:space="preserve"> (“GPSC” or “the Commission”)</w:t>
      </w:r>
      <w:r w:rsidRPr="00BC33A2">
        <w:rPr>
          <w:b/>
        </w:rPr>
        <w:t>?</w:t>
      </w:r>
    </w:p>
    <w:p w:rsidR="00C664ED" w:rsidRPr="00C664ED" w:rsidRDefault="00BC33A2" w:rsidP="006A6811">
      <w:pPr>
        <w:pStyle w:val="Answer"/>
        <w:spacing w:line="480" w:lineRule="auto"/>
        <w:jc w:val="both"/>
      </w:pPr>
      <w:r>
        <w:t>A.</w:t>
      </w:r>
      <w:r>
        <w:tab/>
      </w:r>
      <w:r w:rsidR="00EC0124">
        <w:t xml:space="preserve">No, this is my first time testifying before the Commission.  </w:t>
      </w:r>
    </w:p>
    <w:p w:rsidR="00BC33A2" w:rsidRPr="00BC33A2" w:rsidRDefault="00BC33A2" w:rsidP="00955BA4">
      <w:pPr>
        <w:pStyle w:val="Question"/>
        <w:keepNext/>
        <w:jc w:val="both"/>
        <w:rPr>
          <w:b/>
        </w:rPr>
      </w:pPr>
      <w:r w:rsidRPr="00BC33A2">
        <w:rPr>
          <w:b/>
        </w:rPr>
        <w:t>Q.</w:t>
      </w:r>
      <w:r w:rsidRPr="00BC33A2">
        <w:rPr>
          <w:b/>
        </w:rPr>
        <w:tab/>
        <w:t>What is the purpose of your testimony?</w:t>
      </w:r>
    </w:p>
    <w:p w:rsidR="00173E81" w:rsidRDefault="00173E81" w:rsidP="00173E81">
      <w:pPr>
        <w:spacing w:after="0" w:line="480" w:lineRule="auto"/>
        <w:jc w:val="both"/>
      </w:pPr>
      <w:r>
        <w:t>A.</w:t>
      </w:r>
      <w:r>
        <w:tab/>
        <w:t>There a</w:t>
      </w:r>
      <w:r w:rsidR="00CC7117">
        <w:t>re two purposes of my testimony:</w:t>
      </w:r>
      <w:r>
        <w:t xml:space="preserve"> </w:t>
      </w:r>
    </w:p>
    <w:p w:rsidR="00173E81" w:rsidRPr="006C56BA" w:rsidRDefault="00173E81" w:rsidP="00173E81">
      <w:pPr>
        <w:spacing w:after="0" w:line="480" w:lineRule="auto"/>
        <w:ind w:firstLine="720"/>
        <w:jc w:val="both"/>
        <w:rPr>
          <w:szCs w:val="24"/>
        </w:rPr>
      </w:pPr>
      <w:r w:rsidRPr="006C56BA">
        <w:rPr>
          <w:szCs w:val="24"/>
        </w:rPr>
        <w:t>First, I testify to bring perspective to the Commission from Colorado</w:t>
      </w:r>
      <w:r w:rsidR="00EA0FA2" w:rsidRPr="006C56BA">
        <w:rPr>
          <w:szCs w:val="24"/>
        </w:rPr>
        <w:t>, which is similarly situated to Georgia</w:t>
      </w:r>
      <w:r w:rsidR="0062124D" w:rsidRPr="006C56BA">
        <w:rPr>
          <w:szCs w:val="24"/>
        </w:rPr>
        <w:t xml:space="preserve"> and Georgia Power Company (“GPC”)</w:t>
      </w:r>
      <w:r w:rsidR="00EA0FA2" w:rsidRPr="006C56BA">
        <w:rPr>
          <w:szCs w:val="24"/>
        </w:rPr>
        <w:t xml:space="preserve"> in several ways</w:t>
      </w:r>
      <w:r w:rsidRPr="006C56BA">
        <w:rPr>
          <w:szCs w:val="24"/>
        </w:rPr>
        <w:t xml:space="preserve">.  Colorado is not part of an organized market but relies on its Electric Resource Planning </w:t>
      </w:r>
      <w:r w:rsidR="00EA0FA2" w:rsidRPr="006C56BA">
        <w:rPr>
          <w:szCs w:val="24"/>
        </w:rPr>
        <w:t xml:space="preserve">(“ERP”) </w:t>
      </w:r>
      <w:r w:rsidRPr="006C56BA">
        <w:rPr>
          <w:szCs w:val="24"/>
        </w:rPr>
        <w:t xml:space="preserve">rules of the Colorado Public Utilities Commission (the “Colorado Commission”).  The state’s </w:t>
      </w:r>
      <w:r w:rsidR="00FF182C" w:rsidRPr="006C56BA">
        <w:rPr>
          <w:szCs w:val="24"/>
        </w:rPr>
        <w:t xml:space="preserve">largest </w:t>
      </w:r>
      <w:r w:rsidRPr="006C56BA">
        <w:rPr>
          <w:szCs w:val="24"/>
        </w:rPr>
        <w:t xml:space="preserve">investor-owned utility, Public Service Company of Colorado, d/b/a Xcel Energy (“Xcel”), </w:t>
      </w:r>
      <w:r w:rsidR="00FF182C" w:rsidRPr="006C56BA">
        <w:rPr>
          <w:szCs w:val="24"/>
        </w:rPr>
        <w:t xml:space="preserve">touches nearly every county and serves </w:t>
      </w:r>
      <w:r w:rsidR="0062124D" w:rsidRPr="006C56BA">
        <w:rPr>
          <w:szCs w:val="24"/>
        </w:rPr>
        <w:t xml:space="preserve">approximately </w:t>
      </w:r>
      <w:r w:rsidR="00FF182C" w:rsidRPr="006C56BA">
        <w:rPr>
          <w:szCs w:val="24"/>
        </w:rPr>
        <w:t>6</w:t>
      </w:r>
      <w:r w:rsidR="0062124D" w:rsidRPr="006C56BA">
        <w:rPr>
          <w:szCs w:val="24"/>
        </w:rPr>
        <w:t>5</w:t>
      </w:r>
      <w:r w:rsidR="00FF182C" w:rsidRPr="006C56BA">
        <w:rPr>
          <w:szCs w:val="24"/>
        </w:rPr>
        <w:t>% of the state.  Xcel serves approximately 1.5 million customers with a peak load</w:t>
      </w:r>
      <w:r w:rsidR="0062124D" w:rsidRPr="006C56BA">
        <w:rPr>
          <w:szCs w:val="24"/>
        </w:rPr>
        <w:t xml:space="preserve">, including its reserve </w:t>
      </w:r>
      <w:r w:rsidR="0062124D" w:rsidRPr="006C56BA">
        <w:rPr>
          <w:szCs w:val="24"/>
        </w:rPr>
        <w:lastRenderedPageBreak/>
        <w:t>margin,</w:t>
      </w:r>
      <w:r w:rsidR="00FF182C" w:rsidRPr="006C56BA">
        <w:rPr>
          <w:szCs w:val="24"/>
        </w:rPr>
        <w:t xml:space="preserve"> </w:t>
      </w:r>
      <w:r w:rsidR="0062124D" w:rsidRPr="006C56BA">
        <w:rPr>
          <w:szCs w:val="24"/>
        </w:rPr>
        <w:t>of nearly</w:t>
      </w:r>
      <w:r w:rsidR="00FF182C" w:rsidRPr="006C56BA">
        <w:rPr>
          <w:szCs w:val="24"/>
        </w:rPr>
        <w:t xml:space="preserve"> 7,500 MW.</w:t>
      </w:r>
      <w:r w:rsidR="00FF182C" w:rsidRPr="006C56BA">
        <w:rPr>
          <w:rStyle w:val="FootnoteReference"/>
          <w:szCs w:val="24"/>
        </w:rPr>
        <w:footnoteReference w:id="2"/>
      </w:r>
      <w:r w:rsidR="00FF182C" w:rsidRPr="006C56BA">
        <w:rPr>
          <w:szCs w:val="24"/>
        </w:rPr>
        <w:t xml:space="preserve">   Xcel </w:t>
      </w:r>
      <w:r w:rsidRPr="006C56BA">
        <w:rPr>
          <w:szCs w:val="24"/>
        </w:rPr>
        <w:t>has used the Strategist capacity expansion modeling software since</w:t>
      </w:r>
      <w:r w:rsidR="00FF182C" w:rsidRPr="006C56BA">
        <w:rPr>
          <w:szCs w:val="24"/>
        </w:rPr>
        <w:t xml:space="preserve"> </w:t>
      </w:r>
      <w:r w:rsidRPr="006C56BA">
        <w:rPr>
          <w:szCs w:val="24"/>
        </w:rPr>
        <w:t>2007</w:t>
      </w:r>
      <w:r w:rsidR="00FF182C" w:rsidRPr="006C56BA">
        <w:rPr>
          <w:szCs w:val="24"/>
        </w:rPr>
        <w:t xml:space="preserve"> and </w:t>
      </w:r>
      <w:r w:rsidRPr="006C56BA">
        <w:rPr>
          <w:szCs w:val="24"/>
        </w:rPr>
        <w:t xml:space="preserve">for </w:t>
      </w:r>
      <w:r w:rsidR="00C97EFA" w:rsidRPr="006C56BA">
        <w:rPr>
          <w:szCs w:val="24"/>
        </w:rPr>
        <w:t>its</w:t>
      </w:r>
      <w:r w:rsidRPr="006C56BA">
        <w:rPr>
          <w:szCs w:val="24"/>
        </w:rPr>
        <w:t xml:space="preserve"> last three ERP cycles</w:t>
      </w:r>
      <w:r w:rsidR="007941D0">
        <w:rPr>
          <w:szCs w:val="24"/>
        </w:rPr>
        <w:t>, including its most recent ERP that tested the economics of continuing to run or decommissioning two coal units</w:t>
      </w:r>
      <w:r w:rsidR="00FF182C" w:rsidRPr="006C56BA">
        <w:rPr>
          <w:szCs w:val="24"/>
        </w:rPr>
        <w:t>.  Xcel also</w:t>
      </w:r>
      <w:r w:rsidRPr="006C56BA">
        <w:rPr>
          <w:szCs w:val="24"/>
        </w:rPr>
        <w:t xml:space="preserve"> employs the same Independent Evaluator (“IE”)</w:t>
      </w:r>
      <w:r w:rsidR="00FF182C" w:rsidRPr="006C56BA">
        <w:rPr>
          <w:szCs w:val="24"/>
        </w:rPr>
        <w:t xml:space="preserve"> as GPC</w:t>
      </w:r>
      <w:r w:rsidR="00C97EFA" w:rsidRPr="006C56BA">
        <w:rPr>
          <w:szCs w:val="24"/>
        </w:rPr>
        <w:t xml:space="preserve">, </w:t>
      </w:r>
      <w:proofErr w:type="spellStart"/>
      <w:r w:rsidR="00C97EFA" w:rsidRPr="006C56BA">
        <w:rPr>
          <w:szCs w:val="24"/>
        </w:rPr>
        <w:t>Accion</w:t>
      </w:r>
      <w:proofErr w:type="spellEnd"/>
      <w:r w:rsidR="00C97EFA" w:rsidRPr="006C56BA">
        <w:rPr>
          <w:szCs w:val="24"/>
        </w:rPr>
        <w:t>,</w:t>
      </w:r>
      <w:r w:rsidR="00FF182C" w:rsidRPr="006C56BA">
        <w:rPr>
          <w:szCs w:val="24"/>
        </w:rPr>
        <w:t xml:space="preserve"> and</w:t>
      </w:r>
      <w:r w:rsidRPr="006C56BA">
        <w:rPr>
          <w:szCs w:val="24"/>
        </w:rPr>
        <w:t xml:space="preserve"> ha</w:t>
      </w:r>
      <w:bookmarkStart w:id="0" w:name="_Hlk6836514"/>
      <w:r w:rsidRPr="006C56BA">
        <w:rPr>
          <w:szCs w:val="24"/>
        </w:rPr>
        <w:t>s an approved customer</w:t>
      </w:r>
      <w:r w:rsidR="00EA0FA2" w:rsidRPr="006C56BA">
        <w:rPr>
          <w:szCs w:val="24"/>
        </w:rPr>
        <w:t>-</w:t>
      </w:r>
      <w:r w:rsidRPr="006C56BA">
        <w:rPr>
          <w:szCs w:val="24"/>
        </w:rPr>
        <w:t xml:space="preserve">facing renewable subscription program </w:t>
      </w:r>
      <w:r w:rsidR="00FF182C" w:rsidRPr="006C56BA">
        <w:rPr>
          <w:szCs w:val="24"/>
        </w:rPr>
        <w:t>along the lines of</w:t>
      </w:r>
      <w:r w:rsidRPr="006C56BA">
        <w:rPr>
          <w:szCs w:val="24"/>
        </w:rPr>
        <w:t xml:space="preserve"> </w:t>
      </w:r>
      <w:r w:rsidR="00EA0FA2" w:rsidRPr="006C56BA">
        <w:rPr>
          <w:szCs w:val="24"/>
        </w:rPr>
        <w:t xml:space="preserve">GPC’s </w:t>
      </w:r>
      <w:r w:rsidR="00A97F5C" w:rsidRPr="006C56BA">
        <w:rPr>
          <w:rFonts w:eastAsia="Calibri"/>
          <w:szCs w:val="24"/>
        </w:rPr>
        <w:t>Customer Renewable Supply Procurement (“CRSP”)</w:t>
      </w:r>
      <w:r w:rsidR="00FF182C" w:rsidRPr="006C56BA">
        <w:rPr>
          <w:szCs w:val="24"/>
        </w:rPr>
        <w:t>, known as Renewable Connect</w:t>
      </w:r>
      <w:bookmarkEnd w:id="0"/>
      <w:r w:rsidRPr="006C56BA">
        <w:rPr>
          <w:szCs w:val="24"/>
        </w:rPr>
        <w:t xml:space="preserve">.  Xcel serves an area with a growing economy and clean energy goals in line with those announced by Southern Company.  </w:t>
      </w:r>
    </w:p>
    <w:p w:rsidR="00173E81" w:rsidRDefault="00173E81" w:rsidP="00173E81">
      <w:pPr>
        <w:spacing w:after="0" w:line="480" w:lineRule="auto"/>
        <w:ind w:firstLine="720"/>
        <w:jc w:val="both"/>
      </w:pPr>
      <w:r w:rsidRPr="00173E81">
        <w:t xml:space="preserve">Where </w:t>
      </w:r>
      <w:r>
        <w:t xml:space="preserve">Xcel and GPC </w:t>
      </w:r>
      <w:r w:rsidRPr="00173E81">
        <w:t>differ</w:t>
      </w:r>
      <w:r>
        <w:t xml:space="preserve"> in the</w:t>
      </w:r>
      <w:r w:rsidR="00FF182C">
        <w:t>ir respective</w:t>
      </w:r>
      <w:r>
        <w:t xml:space="preserve"> resource planning process</w:t>
      </w:r>
      <w:r w:rsidR="00FF182C">
        <w:t>es</w:t>
      </w:r>
      <w:r w:rsidRPr="00173E81">
        <w:t xml:space="preserve"> is the use of </w:t>
      </w:r>
      <w:r w:rsidR="008C01FB">
        <w:t>its</w:t>
      </w:r>
      <w:r w:rsidR="008C01FB" w:rsidRPr="00173E81">
        <w:t xml:space="preserve"> </w:t>
      </w:r>
      <w:r w:rsidRPr="00173E81">
        <w:t xml:space="preserve">capacity expansion model to </w:t>
      </w:r>
      <w:r w:rsidR="00FF182C">
        <w:t>evaluate</w:t>
      </w:r>
      <w:r w:rsidRPr="00173E81">
        <w:t xml:space="preserve"> an all-source technology bidding process.  The all-source </w:t>
      </w:r>
      <w:r>
        <w:t xml:space="preserve">competitive acquisition </w:t>
      </w:r>
      <w:r w:rsidRPr="00173E81">
        <w:t xml:space="preserve">process </w:t>
      </w:r>
      <w:r w:rsidR="00FF182C">
        <w:t xml:space="preserve">for Xcel </w:t>
      </w:r>
      <w:r w:rsidRPr="00173E81">
        <w:t xml:space="preserve">has engendered </w:t>
      </w:r>
      <w:r>
        <w:t xml:space="preserve">a </w:t>
      </w:r>
      <w:r w:rsidRPr="00173E81">
        <w:t>robust market in Colorado</w:t>
      </w:r>
      <w:r>
        <w:t xml:space="preserve"> for Independent Power Producers (“IPPs”)</w:t>
      </w:r>
      <w:r w:rsidRPr="00173E81">
        <w:t xml:space="preserve">, </w:t>
      </w:r>
      <w:r>
        <w:t>and has resulted in</w:t>
      </w:r>
      <w:r w:rsidRPr="00173E81">
        <w:t xml:space="preserve"> large </w:t>
      </w:r>
      <w:r w:rsidR="00FF182C">
        <w:t xml:space="preserve">utility-scale </w:t>
      </w:r>
      <w:r w:rsidRPr="00173E81">
        <w:t>acquisitions of renewable energy at the lowest prices in the na</w:t>
      </w:r>
      <w:r w:rsidR="0074383D">
        <w:t xml:space="preserve">tion thanks to market certainty </w:t>
      </w:r>
      <w:r w:rsidR="00C97EFA">
        <w:t>created</w:t>
      </w:r>
      <w:r w:rsidR="0074383D">
        <w:t xml:space="preserve"> by the Colorado </w:t>
      </w:r>
      <w:r w:rsidR="00C97EFA">
        <w:t>Commission’s</w:t>
      </w:r>
      <w:r w:rsidR="0074383D">
        <w:t xml:space="preserve"> competitive </w:t>
      </w:r>
      <w:r w:rsidRPr="00173E81">
        <w:t>acquisition principles</w:t>
      </w:r>
      <w:r>
        <w:t>, above and beyond that required by Colorado’s Renewable Energy Standard (“RES”)</w:t>
      </w:r>
      <w:r w:rsidRPr="00173E81">
        <w:t>.</w:t>
      </w:r>
      <w:r w:rsidR="00EA0FA2">
        <w:t xml:space="preserve">  I explain the competitive process in Colorado further in my testimony.  </w:t>
      </w:r>
    </w:p>
    <w:p w:rsidR="00FA55D6" w:rsidRDefault="00173E81" w:rsidP="00FA55D6">
      <w:pPr>
        <w:spacing w:after="0" w:line="480" w:lineRule="auto"/>
        <w:ind w:firstLine="720"/>
        <w:jc w:val="both"/>
      </w:pPr>
      <w:r w:rsidRPr="00173E81">
        <w:t>Second</w:t>
      </w:r>
      <w:r>
        <w:t>, I p</w:t>
      </w:r>
      <w:r w:rsidRPr="00173E81">
        <w:t xml:space="preserve">rovide recommendations for the </w:t>
      </w:r>
      <w:r>
        <w:t>Commission based on my review of the</w:t>
      </w:r>
      <w:r w:rsidR="00FF182C">
        <w:t xml:space="preserve"> GPC</w:t>
      </w:r>
      <w:r>
        <w:t xml:space="preserve"> </w:t>
      </w:r>
      <w:r w:rsidR="0057481F" w:rsidRPr="0062124D">
        <w:t>Integrated Resource Plan</w:t>
      </w:r>
      <w:r w:rsidR="0057481F">
        <w:t xml:space="preserve"> (“</w:t>
      </w:r>
      <w:r>
        <w:t>IRP</w:t>
      </w:r>
      <w:r w:rsidR="0057481F">
        <w:t>”)</w:t>
      </w:r>
      <w:r w:rsidRPr="00173E81">
        <w:t xml:space="preserve"> </w:t>
      </w:r>
      <w:r>
        <w:t xml:space="preserve">in order </w:t>
      </w:r>
      <w:r w:rsidRPr="00173E81">
        <w:t xml:space="preserve">to implement an all-source </w:t>
      </w:r>
      <w:r>
        <w:t>bidding process</w:t>
      </w:r>
      <w:r w:rsidRPr="00173E81">
        <w:t xml:space="preserve"> </w:t>
      </w:r>
      <w:r>
        <w:t xml:space="preserve">for GPC </w:t>
      </w:r>
      <w:r w:rsidRPr="00173E81">
        <w:t xml:space="preserve">in 2020.  </w:t>
      </w:r>
      <w:r w:rsidR="006C56BA">
        <w:t xml:space="preserve">I conclude that there is low risk and high upside for the Commission to direct </w:t>
      </w:r>
      <w:r w:rsidR="00FF182C">
        <w:t xml:space="preserve">GPC </w:t>
      </w:r>
      <w:r w:rsidR="006C56BA">
        <w:t xml:space="preserve">to </w:t>
      </w:r>
      <w:r w:rsidRPr="00173E81">
        <w:t>hol</w:t>
      </w:r>
      <w:r w:rsidR="006C56BA">
        <w:t>d</w:t>
      </w:r>
      <w:r w:rsidRPr="00173E81">
        <w:t xml:space="preserve"> an all-source </w:t>
      </w:r>
      <w:r>
        <w:t>request for proposals (“</w:t>
      </w:r>
      <w:r w:rsidRPr="00173E81">
        <w:t>RFP</w:t>
      </w:r>
      <w:r>
        <w:t>”)</w:t>
      </w:r>
      <w:r w:rsidRPr="00173E81">
        <w:t xml:space="preserve"> process </w:t>
      </w:r>
      <w:r w:rsidR="00FF182C">
        <w:t>in 2020</w:t>
      </w:r>
      <w:r w:rsidR="006C56BA">
        <w:t>.  This is</w:t>
      </w:r>
      <w:r w:rsidRPr="00173E81">
        <w:t xml:space="preserve"> </w:t>
      </w:r>
      <w:r w:rsidRPr="00173E81">
        <w:lastRenderedPageBreak/>
        <w:t xml:space="preserve">because </w:t>
      </w:r>
      <w:r w:rsidR="00FF182C">
        <w:t xml:space="preserve">1) the capacity need in 2022 is driven by the </w:t>
      </w:r>
      <w:r w:rsidR="00FA55D6">
        <w:t>economic</w:t>
      </w:r>
      <w:r w:rsidR="00FF182C">
        <w:t xml:space="preserve"> retirement of the Plant Bowen Units 1-2 and not a short overall capacity position</w:t>
      </w:r>
      <w:r w:rsidR="00FA55D6">
        <w:t>, which does not occur until 2028, and GPC proposes that retirement decision be based on the quality of bids received;</w:t>
      </w:r>
      <w:r w:rsidR="00FF182C">
        <w:t xml:space="preserve"> and 2) </w:t>
      </w:r>
      <w:r w:rsidR="00EC0CEB">
        <w:t>the early capacity need is from plants that produce significant energy to the system and are not “peaking” units</w:t>
      </w:r>
      <w:r w:rsidR="00FA55D6">
        <w:t xml:space="preserve">.  </w:t>
      </w:r>
      <w:r w:rsidR="00337864">
        <w:t xml:space="preserve"> </w:t>
      </w:r>
      <w:r w:rsidR="00FA55D6">
        <w:t xml:space="preserve">The Plant Bowen Unit 1-2 </w:t>
      </w:r>
      <w:r w:rsidR="00FF182C">
        <w:t>retirement</w:t>
      </w:r>
      <w:r w:rsidR="00FA55D6">
        <w:t>s</w:t>
      </w:r>
      <w:r w:rsidR="00FF182C">
        <w:t xml:space="preserve"> would cause </w:t>
      </w:r>
      <w:r w:rsidR="0062124D">
        <w:t xml:space="preserve">both </w:t>
      </w:r>
      <w:r w:rsidR="00FF182C">
        <w:t>a large</w:t>
      </w:r>
      <w:r w:rsidR="002A3B9D">
        <w:t xml:space="preserve"> capacity and</w:t>
      </w:r>
      <w:r w:rsidR="00FF182C">
        <w:t xml:space="preserve"> energy </w:t>
      </w:r>
      <w:r w:rsidR="00FA55D6">
        <w:t xml:space="preserve">need </w:t>
      </w:r>
      <w:r w:rsidR="00FF182C">
        <w:t>that can be met by renewable energy</w:t>
      </w:r>
      <w:r w:rsidR="00FA55D6">
        <w:t xml:space="preserve"> generators</w:t>
      </w:r>
      <w:r w:rsidR="007A3676">
        <w:t>,</w:t>
      </w:r>
      <w:r w:rsidR="00C97EFA">
        <w:t xml:space="preserve"> if given the chance to compete</w:t>
      </w:r>
      <w:r w:rsidR="00FF182C">
        <w:t>.</w:t>
      </w:r>
      <w:r w:rsidR="00C97EFA">
        <w:t xml:space="preserve">  I</w:t>
      </w:r>
      <w:r w:rsidR="00FA55D6" w:rsidRPr="00173E81">
        <w:t xml:space="preserve">f </w:t>
      </w:r>
      <w:r w:rsidR="00CD7D85">
        <w:t xml:space="preserve">an all-source </w:t>
      </w:r>
      <w:r w:rsidR="0057481F">
        <w:t xml:space="preserve">RFP </w:t>
      </w:r>
      <w:r w:rsidR="00CD7D85">
        <w:t xml:space="preserve">in 2020 is </w:t>
      </w:r>
      <w:r w:rsidR="00FA55D6" w:rsidRPr="00173E81">
        <w:t>successful</w:t>
      </w:r>
      <w:r w:rsidR="00CD7D85">
        <w:t xml:space="preserve"> in allowing the Plant Bowen Units 1-2 to economically retire</w:t>
      </w:r>
      <w:r w:rsidR="00FA55D6" w:rsidRPr="00173E81">
        <w:t xml:space="preserve">, </w:t>
      </w:r>
      <w:r w:rsidR="00CD7D85">
        <w:t>GPC</w:t>
      </w:r>
      <w:r w:rsidR="00FA55D6" w:rsidRPr="00173E81">
        <w:t xml:space="preserve"> could </w:t>
      </w:r>
      <w:r w:rsidR="00376BCD">
        <w:t xml:space="preserve">model future RFPs around its experience in </w:t>
      </w:r>
      <w:r w:rsidR="00C97EFA">
        <w:t>with that first all-source process</w:t>
      </w:r>
      <w:r w:rsidR="00FA55D6" w:rsidRPr="00173E81">
        <w:t>.</w:t>
      </w:r>
    </w:p>
    <w:p w:rsidR="00CD7D85" w:rsidRDefault="00FF182C" w:rsidP="00173E81">
      <w:pPr>
        <w:spacing w:after="0" w:line="480" w:lineRule="auto"/>
        <w:ind w:firstLine="720"/>
        <w:jc w:val="both"/>
      </w:pPr>
      <w:r>
        <w:t>Renewable energy resources, despite their tremendous market growth, are treated</w:t>
      </w:r>
      <w:r w:rsidR="00FA55D6">
        <w:t xml:space="preserve"> in the IRP as value-</w:t>
      </w:r>
      <w:r>
        <w:t>add</w:t>
      </w:r>
      <w:r w:rsidR="00CD7D85">
        <w:t>ed resources primarily benefitting</w:t>
      </w:r>
      <w:r>
        <w:t xml:space="preserve"> customers</w:t>
      </w:r>
      <w:r w:rsidR="00FA55D6">
        <w:t xml:space="preserve"> that</w:t>
      </w:r>
      <w:r>
        <w:t xml:space="preserve"> pay extra in the CRSP program</w:t>
      </w:r>
      <w:r w:rsidR="00B22ECB">
        <w:t xml:space="preserve">. </w:t>
      </w:r>
      <w:r w:rsidR="00BB2D57">
        <w:t xml:space="preserve"> </w:t>
      </w:r>
      <w:r w:rsidR="00CD7D85">
        <w:t>M</w:t>
      </w:r>
      <w:r w:rsidR="00FA55D6">
        <w:t>ean</w:t>
      </w:r>
      <w:r>
        <w:t>while</w:t>
      </w:r>
      <w:r w:rsidR="00CD7D85">
        <w:t>,</w:t>
      </w:r>
      <w:r>
        <w:t xml:space="preserve"> in </w:t>
      </w:r>
      <w:r w:rsidR="002A3B9D">
        <w:t xml:space="preserve">many </w:t>
      </w:r>
      <w:r>
        <w:t>areas of the country</w:t>
      </w:r>
      <w:r w:rsidR="002A3B9D">
        <w:t>,</w:t>
      </w:r>
      <w:r>
        <w:t xml:space="preserve"> </w:t>
      </w:r>
      <w:r w:rsidR="002A3B9D">
        <w:t>including</w:t>
      </w:r>
      <w:r w:rsidR="00FA55D6">
        <w:t xml:space="preserve"> Colorado</w:t>
      </w:r>
      <w:r w:rsidR="002A3B9D">
        <w:t>, renewable</w:t>
      </w:r>
      <w:r w:rsidR="00FA55D6">
        <w:t xml:space="preserve"> resources</w:t>
      </w:r>
      <w:r>
        <w:t xml:space="preserve"> are the most cost-effective system additions </w:t>
      </w:r>
      <w:r w:rsidR="002A3B9D">
        <w:t>available,</w:t>
      </w:r>
      <w:r w:rsidR="00337864">
        <w:t xml:space="preserve"> and that trend is expected to continue</w:t>
      </w:r>
      <w:r>
        <w:t>.</w:t>
      </w:r>
      <w:r>
        <w:rPr>
          <w:rStyle w:val="FootnoteReference"/>
        </w:rPr>
        <w:footnoteReference w:id="3"/>
      </w:r>
      <w:r w:rsidR="00FA55D6">
        <w:t xml:space="preserve"> </w:t>
      </w:r>
      <w:r w:rsidR="002A3B9D">
        <w:t xml:space="preserve">Here, however, </w:t>
      </w:r>
      <w:r w:rsidR="0060030B">
        <w:t>GPC’s</w:t>
      </w:r>
      <w:r w:rsidR="00173E81" w:rsidRPr="00173E81">
        <w:t xml:space="preserve"> acquisition </w:t>
      </w:r>
      <w:r w:rsidR="002A3B9D">
        <w:t>plans</w:t>
      </w:r>
      <w:r w:rsidR="00173E81" w:rsidRPr="00173E81">
        <w:t xml:space="preserve"> for renewable energy ha</w:t>
      </w:r>
      <w:r w:rsidR="002A3B9D">
        <w:t>ve</w:t>
      </w:r>
      <w:r w:rsidR="00173E81" w:rsidRPr="00173E81">
        <w:t xml:space="preserve"> essentially been pulled out of thin air</w:t>
      </w:r>
      <w:r w:rsidR="0060030B">
        <w:t xml:space="preserve">.   </w:t>
      </w:r>
    </w:p>
    <w:p w:rsidR="00173E81" w:rsidRDefault="0060030B" w:rsidP="00173E81">
      <w:pPr>
        <w:spacing w:after="0" w:line="480" w:lineRule="auto"/>
        <w:ind w:firstLine="720"/>
        <w:jc w:val="both"/>
      </w:pPr>
      <w:r>
        <w:t xml:space="preserve">The “Base Case” modeling forming GPC’s acquisition plan </w:t>
      </w:r>
      <w:r w:rsidR="00173E81" w:rsidRPr="00173E81">
        <w:t xml:space="preserve">are based on </w:t>
      </w:r>
      <w:r w:rsidR="00BB2D57">
        <w:t>screening-out gene</w:t>
      </w:r>
      <w:r w:rsidR="00173E81" w:rsidRPr="00173E81">
        <w:t xml:space="preserve">ric </w:t>
      </w:r>
      <w:r w:rsidR="002A3B9D">
        <w:t>technology representations</w:t>
      </w:r>
      <w:r w:rsidR="00173E81" w:rsidRPr="00173E81">
        <w:t xml:space="preserve"> </w:t>
      </w:r>
      <w:r>
        <w:t xml:space="preserve">that should be tested by </w:t>
      </w:r>
      <w:r w:rsidR="00337864">
        <w:t xml:space="preserve">the </w:t>
      </w:r>
      <w:r w:rsidR="00173E81" w:rsidRPr="00173E81">
        <w:t>real</w:t>
      </w:r>
      <w:r w:rsidR="00337864">
        <w:t>-</w:t>
      </w:r>
      <w:r w:rsidR="00173E81" w:rsidRPr="00173E81">
        <w:t xml:space="preserve">world </w:t>
      </w:r>
      <w:r w:rsidR="00DD40D6">
        <w:t xml:space="preserve">market.  </w:t>
      </w:r>
      <w:r w:rsidR="00173E81" w:rsidRPr="00173E81">
        <w:t xml:space="preserve">The way to test </w:t>
      </w:r>
      <w:r w:rsidR="002A3B9D">
        <w:t>the best fit</w:t>
      </w:r>
      <w:r w:rsidR="00BB2D57">
        <w:t xml:space="preserve"> resources</w:t>
      </w:r>
      <w:r w:rsidR="002A3B9D">
        <w:t xml:space="preserve"> to meet </w:t>
      </w:r>
      <w:r w:rsidR="007941D0">
        <w:t>GPC’</w:t>
      </w:r>
      <w:r w:rsidR="002A3B9D">
        <w:t>s system</w:t>
      </w:r>
      <w:r w:rsidR="00173E81" w:rsidRPr="00173E81">
        <w:t xml:space="preserve"> need is to hold an all-source RFP and use the Strategist model to optimize</w:t>
      </w:r>
      <w:r w:rsidR="00FA55D6">
        <w:t xml:space="preserve"> among submitted bids</w:t>
      </w:r>
      <w:r w:rsidR="00173E81" w:rsidRPr="00173E81">
        <w:t xml:space="preserve">; that is to assemble </w:t>
      </w:r>
      <w:r w:rsidR="00173E81" w:rsidRPr="00173E81">
        <w:lastRenderedPageBreak/>
        <w:t xml:space="preserve">portfolios for the </w:t>
      </w:r>
      <w:r w:rsidR="00FA55D6">
        <w:t>Commission</w:t>
      </w:r>
      <w:r w:rsidR="00173E81" w:rsidRPr="00173E81">
        <w:t>’s review and approval</w:t>
      </w:r>
      <w:r w:rsidR="00337864">
        <w:t xml:space="preserve"> based on bids evaluated</w:t>
      </w:r>
      <w:r w:rsidR="00173E81" w:rsidRPr="00173E81">
        <w:t xml:space="preserve">.  </w:t>
      </w:r>
      <w:r w:rsidR="00FA55D6">
        <w:t>When IPPs perceive a large and transparent market opportunity, they will sharpen their pencils to</w:t>
      </w:r>
      <w:r w:rsidR="00FA55D6" w:rsidRPr="00173E81">
        <w:t xml:space="preserve"> compete against one-another.  </w:t>
      </w:r>
    </w:p>
    <w:p w:rsidR="0060030B" w:rsidRPr="0060030B" w:rsidRDefault="0060030B" w:rsidP="0060030B">
      <w:pPr>
        <w:spacing w:after="0" w:line="480" w:lineRule="auto"/>
        <w:jc w:val="both"/>
        <w:rPr>
          <w:b/>
        </w:rPr>
      </w:pPr>
      <w:r w:rsidRPr="0060030B">
        <w:rPr>
          <w:b/>
        </w:rPr>
        <w:t>Q.</w:t>
      </w:r>
      <w:r w:rsidRPr="0060030B">
        <w:rPr>
          <w:b/>
        </w:rPr>
        <w:tab/>
      </w:r>
      <w:r w:rsidR="0057481F">
        <w:rPr>
          <w:b/>
        </w:rPr>
        <w:t>What qualifies you as an expert in</w:t>
      </w:r>
      <w:r w:rsidRPr="0060030B">
        <w:rPr>
          <w:b/>
        </w:rPr>
        <w:t xml:space="preserve"> Strategist modeling?</w:t>
      </w:r>
    </w:p>
    <w:p w:rsidR="0060030B" w:rsidRPr="00173E81" w:rsidRDefault="0060030B" w:rsidP="0060030B">
      <w:pPr>
        <w:spacing w:after="0" w:line="480" w:lineRule="auto"/>
        <w:jc w:val="both"/>
      </w:pPr>
      <w:r>
        <w:t>A.</w:t>
      </w:r>
      <w:r>
        <w:tab/>
      </w:r>
      <w:r>
        <w:tab/>
        <w:t xml:space="preserve">I am </w:t>
      </w:r>
      <w:r w:rsidR="00FA55D6">
        <w:t>neither</w:t>
      </w:r>
      <w:r>
        <w:t xml:space="preserve"> an engineer </w:t>
      </w:r>
      <w:r w:rsidR="00FA55D6">
        <w:t>n</w:t>
      </w:r>
      <w:r>
        <w:t xml:space="preserve">or </w:t>
      </w:r>
      <w:r w:rsidR="00FA55D6">
        <w:t xml:space="preserve">a </w:t>
      </w:r>
      <w:r w:rsidR="00DD40D6">
        <w:t xml:space="preserve">modeler.  </w:t>
      </w:r>
      <w:r w:rsidR="0057481F">
        <w:t>However, I have 1</w:t>
      </w:r>
      <w:r>
        <w:t>5 years of legal practice before the Colorado Commission over approximately eight ERPs for various Colorado utilities, not including those of non-reg</w:t>
      </w:r>
      <w:r w:rsidR="00DD40D6">
        <w:t xml:space="preserve">ulated utilities in Colorado.  </w:t>
      </w:r>
      <w:r>
        <w:t>My practice includes the representation of IPP trade associations and individual developers in such ERPs.  As a result, I have had experience with investigating and sometimes critiquing the Strategist model</w:t>
      </w:r>
      <w:r w:rsidR="002A3B9D">
        <w:t xml:space="preserve"> use</w:t>
      </w:r>
      <w:r w:rsidR="007941D0">
        <w:t>d</w:t>
      </w:r>
      <w:r w:rsidR="002A3B9D">
        <w:t xml:space="preserve"> in resource planning decisions</w:t>
      </w:r>
      <w:r>
        <w:t xml:space="preserve">.  As relevant to my testimony, I have experience with how the model is used in </w:t>
      </w:r>
      <w:r w:rsidR="00C97EFA">
        <w:t xml:space="preserve">the all-source bidding process in </w:t>
      </w:r>
      <w:r>
        <w:t>the Colorado ERP</w:t>
      </w:r>
      <w:r w:rsidR="00FA55D6">
        <w:t xml:space="preserve"> and speak from that experience</w:t>
      </w:r>
      <w:r>
        <w:t xml:space="preserve">.  </w:t>
      </w:r>
      <w:r w:rsidR="0062124D">
        <w:t xml:space="preserve">My testimony does not comment on the veracity of </w:t>
      </w:r>
      <w:r w:rsidR="00337864">
        <w:t>specific</w:t>
      </w:r>
      <w:r w:rsidR="0062124D">
        <w:t xml:space="preserve"> modeling inputs, rather the policy supporting the IRP’s requests as based on its modeling decisions.</w:t>
      </w:r>
    </w:p>
    <w:p w:rsidR="00BC33A2" w:rsidRDefault="00BC33A2" w:rsidP="0060030B">
      <w:pPr>
        <w:spacing w:after="0" w:line="480" w:lineRule="auto"/>
        <w:jc w:val="both"/>
      </w:pPr>
      <w:r w:rsidRPr="00743317">
        <w:rPr>
          <w:b/>
        </w:rPr>
        <w:t>Q.</w:t>
      </w:r>
      <w:r>
        <w:tab/>
        <w:t>A</w:t>
      </w:r>
      <w:r w:rsidRPr="000E7E52">
        <w:rPr>
          <w:b/>
        </w:rPr>
        <w:t xml:space="preserve">re you submitting exhibits </w:t>
      </w:r>
      <w:r>
        <w:rPr>
          <w:b/>
        </w:rPr>
        <w:t>along with</w:t>
      </w:r>
      <w:r w:rsidRPr="000E7E52">
        <w:rPr>
          <w:b/>
        </w:rPr>
        <w:t xml:space="preserve"> your testimony?</w:t>
      </w:r>
    </w:p>
    <w:p w:rsidR="007A0DA0" w:rsidRPr="0016234B" w:rsidRDefault="007A0DA0" w:rsidP="0017374B">
      <w:pPr>
        <w:pStyle w:val="Question"/>
        <w:spacing w:after="0" w:line="480" w:lineRule="auto"/>
        <w:jc w:val="both"/>
      </w:pPr>
      <w:r>
        <w:t>A.</w:t>
      </w:r>
      <w:r>
        <w:tab/>
      </w:r>
      <w:r w:rsidR="00651F04" w:rsidRPr="0016234B">
        <w:t xml:space="preserve">Yes, I am submitting </w:t>
      </w:r>
      <w:r w:rsidR="00FE713A">
        <w:t>six</w:t>
      </w:r>
      <w:r w:rsidR="00E30C39" w:rsidRPr="0016234B">
        <w:t xml:space="preserve"> </w:t>
      </w:r>
      <w:r w:rsidR="00651F04" w:rsidRPr="0016234B">
        <w:t>exhibits</w:t>
      </w:r>
      <w:r w:rsidR="007B1BF2" w:rsidRPr="0016234B">
        <w:t xml:space="preserve"> along with my testimony</w:t>
      </w:r>
      <w:r w:rsidR="004570DB" w:rsidRPr="0016234B">
        <w:t>,</w:t>
      </w:r>
      <w:r w:rsidR="007B1BF2" w:rsidRPr="0016234B">
        <w:t xml:space="preserve"> as follows:</w:t>
      </w:r>
    </w:p>
    <w:p w:rsidR="00E6647B" w:rsidRPr="0016234B" w:rsidRDefault="00EF7A18" w:rsidP="005C6881">
      <w:pPr>
        <w:pStyle w:val="Answer"/>
        <w:numPr>
          <w:ilvl w:val="0"/>
          <w:numId w:val="1"/>
        </w:numPr>
        <w:spacing w:after="0" w:line="480" w:lineRule="auto"/>
      </w:pPr>
      <w:r w:rsidRPr="0016234B">
        <w:t>SACE-</w:t>
      </w:r>
      <w:r w:rsidR="0060030B" w:rsidRPr="0016234B">
        <w:t>MDD</w:t>
      </w:r>
      <w:r w:rsidRPr="0016234B">
        <w:t xml:space="preserve">-1: </w:t>
      </w:r>
      <w:r w:rsidR="00855A85" w:rsidRPr="0016234B">
        <w:tab/>
      </w:r>
      <w:r w:rsidRPr="0016234B">
        <w:t>Resume of Mark D. Detsky</w:t>
      </w:r>
      <w:r w:rsidR="009D1A69" w:rsidRPr="0016234B">
        <w:t>;</w:t>
      </w:r>
    </w:p>
    <w:p w:rsidR="0062124D" w:rsidRPr="0016234B" w:rsidRDefault="00FE713A" w:rsidP="005C6881">
      <w:pPr>
        <w:pStyle w:val="Answer"/>
        <w:numPr>
          <w:ilvl w:val="0"/>
          <w:numId w:val="1"/>
        </w:numPr>
        <w:spacing w:after="0" w:line="480" w:lineRule="auto"/>
      </w:pPr>
      <w:r>
        <w:t>SACE MDD-2</w:t>
      </w:r>
      <w:r w:rsidR="0016234B" w:rsidRPr="0016234B">
        <w:t>:</w:t>
      </w:r>
      <w:r w:rsidR="0016234B" w:rsidRPr="0016234B">
        <w:tab/>
      </w:r>
      <w:r w:rsidR="002C24D3" w:rsidRPr="0016234B">
        <w:t>GPC Discovery Response STF-DEA-1-5</w:t>
      </w:r>
      <w:r w:rsidR="00337864">
        <w:t>;</w:t>
      </w:r>
    </w:p>
    <w:p w:rsidR="0062124D" w:rsidRPr="0016234B" w:rsidRDefault="0062124D" w:rsidP="005C6881">
      <w:pPr>
        <w:pStyle w:val="Answer"/>
        <w:numPr>
          <w:ilvl w:val="0"/>
          <w:numId w:val="1"/>
        </w:numPr>
        <w:spacing w:after="0" w:line="480" w:lineRule="auto"/>
      </w:pPr>
      <w:r w:rsidRPr="0016234B">
        <w:t>SACE-MDD-</w:t>
      </w:r>
      <w:r w:rsidR="00FE713A">
        <w:t>3</w:t>
      </w:r>
      <w:r w:rsidRPr="0016234B">
        <w:t>:</w:t>
      </w:r>
      <w:r w:rsidR="002C24D3" w:rsidRPr="0016234B">
        <w:tab/>
        <w:t>GPC Discovery Response STF-DEA-1-6</w:t>
      </w:r>
      <w:r w:rsidR="00337864">
        <w:t>;</w:t>
      </w:r>
    </w:p>
    <w:p w:rsidR="0062124D" w:rsidRPr="0016234B" w:rsidRDefault="0062124D" w:rsidP="005C6881">
      <w:pPr>
        <w:pStyle w:val="Answer"/>
        <w:numPr>
          <w:ilvl w:val="0"/>
          <w:numId w:val="1"/>
        </w:numPr>
        <w:spacing w:after="0" w:line="480" w:lineRule="auto"/>
      </w:pPr>
      <w:r w:rsidRPr="0016234B">
        <w:t>SACE-MDD-</w:t>
      </w:r>
      <w:r w:rsidR="00FE713A">
        <w:t>4</w:t>
      </w:r>
      <w:r w:rsidRPr="0016234B">
        <w:t>:</w:t>
      </w:r>
      <w:r w:rsidR="002C24D3" w:rsidRPr="0016234B">
        <w:tab/>
        <w:t>GPC Discovery Response STF-DEA-1-8</w:t>
      </w:r>
      <w:r w:rsidR="00337864">
        <w:t>;</w:t>
      </w:r>
    </w:p>
    <w:p w:rsidR="0016234B" w:rsidRDefault="0062124D" w:rsidP="005C6881">
      <w:pPr>
        <w:pStyle w:val="Answer"/>
        <w:numPr>
          <w:ilvl w:val="0"/>
          <w:numId w:val="1"/>
        </w:numPr>
        <w:spacing w:after="0" w:line="480" w:lineRule="auto"/>
      </w:pPr>
      <w:r w:rsidRPr="0016234B">
        <w:t>SACE-MDD-</w:t>
      </w:r>
      <w:r w:rsidR="00FE713A">
        <w:t>5</w:t>
      </w:r>
      <w:r w:rsidRPr="0016234B">
        <w:t>:</w:t>
      </w:r>
      <w:r w:rsidR="00D755F5" w:rsidRPr="0016234B">
        <w:tab/>
        <w:t>GPC Discovery Response STF-DEA-1-10</w:t>
      </w:r>
      <w:r w:rsidR="00337864">
        <w:t>;</w:t>
      </w:r>
    </w:p>
    <w:p w:rsidR="0062124D" w:rsidRPr="0016234B" w:rsidRDefault="0062124D" w:rsidP="005C6881">
      <w:pPr>
        <w:pStyle w:val="Answer"/>
        <w:numPr>
          <w:ilvl w:val="0"/>
          <w:numId w:val="1"/>
        </w:numPr>
        <w:spacing w:after="0" w:line="480" w:lineRule="auto"/>
      </w:pPr>
      <w:r w:rsidRPr="0016234B">
        <w:t>SACE-MDD-</w:t>
      </w:r>
      <w:r w:rsidR="00FE713A">
        <w:t>6</w:t>
      </w:r>
      <w:r w:rsidRPr="0016234B">
        <w:t>:</w:t>
      </w:r>
      <w:r w:rsidR="006E3C41" w:rsidRPr="0016234B">
        <w:tab/>
        <w:t>Schedule showing GPC plant data derived from EIA database</w:t>
      </w:r>
      <w:r w:rsidR="00337864">
        <w:t>.</w:t>
      </w:r>
    </w:p>
    <w:p w:rsidR="00D608E9" w:rsidRPr="00406218" w:rsidRDefault="00406218" w:rsidP="00D96CF4">
      <w:pPr>
        <w:pStyle w:val="Question"/>
        <w:keepNext/>
        <w:ind w:firstLine="0"/>
        <w:jc w:val="both"/>
      </w:pPr>
      <w:r w:rsidRPr="00406218">
        <w:rPr>
          <w:b/>
        </w:rPr>
        <w:lastRenderedPageBreak/>
        <w:t xml:space="preserve">II. </w:t>
      </w:r>
      <w:r w:rsidRPr="00406218">
        <w:rPr>
          <w:b/>
        </w:rPr>
        <w:tab/>
        <w:t xml:space="preserve"> </w:t>
      </w:r>
      <w:r w:rsidR="00D608E9" w:rsidRPr="00406218">
        <w:rPr>
          <w:b/>
          <w:u w:val="single"/>
        </w:rPr>
        <w:t>Summary</w:t>
      </w:r>
      <w:r w:rsidR="00D608E9" w:rsidRPr="0036456B">
        <w:rPr>
          <w:b/>
          <w:u w:val="single"/>
        </w:rPr>
        <w:t xml:space="preserve"> of </w:t>
      </w:r>
      <w:r w:rsidR="0060030B">
        <w:rPr>
          <w:b/>
          <w:u w:val="single"/>
        </w:rPr>
        <w:t>Recommendations</w:t>
      </w:r>
    </w:p>
    <w:p w:rsidR="00BC33A2" w:rsidRPr="0036456B" w:rsidRDefault="00BC33A2" w:rsidP="00955BA4">
      <w:pPr>
        <w:pStyle w:val="Question"/>
        <w:keepNext/>
        <w:jc w:val="both"/>
        <w:rPr>
          <w:b/>
        </w:rPr>
      </w:pPr>
      <w:r w:rsidRPr="0036456B">
        <w:rPr>
          <w:b/>
        </w:rPr>
        <w:t>Q.</w:t>
      </w:r>
      <w:r w:rsidRPr="0036456B">
        <w:rPr>
          <w:b/>
        </w:rPr>
        <w:tab/>
        <w:t xml:space="preserve">Please summarize </w:t>
      </w:r>
      <w:r w:rsidR="00376BCD">
        <w:rPr>
          <w:b/>
        </w:rPr>
        <w:t xml:space="preserve">your </w:t>
      </w:r>
      <w:r w:rsidR="0060030B">
        <w:rPr>
          <w:b/>
        </w:rPr>
        <w:t xml:space="preserve">recommendations for the Commission in approving </w:t>
      </w:r>
      <w:r w:rsidR="00620318">
        <w:rPr>
          <w:b/>
        </w:rPr>
        <w:t>the Company’s 201</w:t>
      </w:r>
      <w:r w:rsidR="00DF6697">
        <w:rPr>
          <w:b/>
        </w:rPr>
        <w:t>9</w:t>
      </w:r>
      <w:r w:rsidR="00620318">
        <w:rPr>
          <w:b/>
        </w:rPr>
        <w:t xml:space="preserve"> IRP</w:t>
      </w:r>
      <w:r w:rsidRPr="0036456B">
        <w:rPr>
          <w:b/>
        </w:rPr>
        <w:t>.</w:t>
      </w:r>
    </w:p>
    <w:p w:rsidR="003D0F52" w:rsidRPr="00CB15B1" w:rsidRDefault="00BC33A2" w:rsidP="00DD39F6">
      <w:pPr>
        <w:spacing w:after="0" w:line="480" w:lineRule="auto"/>
        <w:jc w:val="both"/>
        <w:rPr>
          <w:szCs w:val="24"/>
        </w:rPr>
      </w:pPr>
      <w:r w:rsidRPr="0036456B">
        <w:t>A.</w:t>
      </w:r>
      <w:r w:rsidRPr="0036456B">
        <w:tab/>
      </w:r>
      <w:r w:rsidR="0060030B" w:rsidRPr="00CB15B1">
        <w:rPr>
          <w:szCs w:val="24"/>
        </w:rPr>
        <w:t>My recommendations are as follows:</w:t>
      </w:r>
    </w:p>
    <w:p w:rsidR="0060030B" w:rsidRPr="00CB15B1" w:rsidRDefault="00C72B62" w:rsidP="005C6881">
      <w:pPr>
        <w:pStyle w:val="ListParagraph"/>
        <w:numPr>
          <w:ilvl w:val="0"/>
          <w:numId w:val="2"/>
        </w:numPr>
        <w:spacing w:line="480" w:lineRule="auto"/>
        <w:rPr>
          <w:rFonts w:ascii="Times New Roman" w:hAnsi="Times New Roman"/>
          <w:sz w:val="24"/>
          <w:szCs w:val="24"/>
        </w:rPr>
      </w:pPr>
      <w:r w:rsidRPr="00CB15B1">
        <w:rPr>
          <w:rFonts w:ascii="Times New Roman" w:hAnsi="Times New Roman"/>
          <w:sz w:val="24"/>
          <w:szCs w:val="24"/>
          <w:u w:val="single"/>
        </w:rPr>
        <w:t>Conduct an All-Source RFP for Capacity and Energy</w:t>
      </w:r>
      <w:r w:rsidRPr="00CB15B1">
        <w:rPr>
          <w:rFonts w:ascii="Times New Roman" w:hAnsi="Times New Roman"/>
          <w:sz w:val="24"/>
          <w:szCs w:val="24"/>
        </w:rPr>
        <w:t xml:space="preserve">.  </w:t>
      </w:r>
      <w:r w:rsidR="0060030B" w:rsidRPr="00CB15B1">
        <w:rPr>
          <w:rFonts w:ascii="Times New Roman" w:hAnsi="Times New Roman"/>
          <w:sz w:val="24"/>
          <w:szCs w:val="24"/>
        </w:rPr>
        <w:t xml:space="preserve">Direct GPC to conduct an All-Source RFP in 2020 open to any </w:t>
      </w:r>
      <w:r w:rsidR="00722DAC" w:rsidRPr="00CB15B1">
        <w:rPr>
          <w:rFonts w:ascii="Times New Roman" w:hAnsi="Times New Roman"/>
          <w:sz w:val="24"/>
          <w:szCs w:val="24"/>
        </w:rPr>
        <w:t xml:space="preserve">generation </w:t>
      </w:r>
      <w:r w:rsidR="0060030B" w:rsidRPr="00CB15B1">
        <w:rPr>
          <w:rFonts w:ascii="Times New Roman" w:hAnsi="Times New Roman"/>
          <w:sz w:val="24"/>
          <w:szCs w:val="24"/>
        </w:rPr>
        <w:t>technology to meet the capacity and energy need approved by the Commission for</w:t>
      </w:r>
      <w:r w:rsidR="00CD7D85">
        <w:rPr>
          <w:rFonts w:ascii="Times New Roman" w:hAnsi="Times New Roman"/>
          <w:sz w:val="24"/>
          <w:szCs w:val="24"/>
        </w:rPr>
        <w:t xml:space="preserve"> 2022, in</w:t>
      </w:r>
      <w:r w:rsidR="00376BCD">
        <w:rPr>
          <w:rFonts w:ascii="Times New Roman" w:hAnsi="Times New Roman"/>
          <w:sz w:val="24"/>
          <w:szCs w:val="24"/>
        </w:rPr>
        <w:t xml:space="preserve">cluding verifying </w:t>
      </w:r>
      <w:r w:rsidR="00CD7D85">
        <w:rPr>
          <w:rFonts w:ascii="Times New Roman" w:hAnsi="Times New Roman"/>
          <w:sz w:val="24"/>
          <w:szCs w:val="24"/>
        </w:rPr>
        <w:t>the economics of decommissioning Plant Bowen Units 1-2</w:t>
      </w:r>
      <w:r w:rsidR="0060030B" w:rsidRPr="00CB15B1">
        <w:rPr>
          <w:rFonts w:ascii="Times New Roman" w:hAnsi="Times New Roman"/>
          <w:sz w:val="24"/>
          <w:szCs w:val="24"/>
        </w:rPr>
        <w:t xml:space="preserve">.     </w:t>
      </w:r>
    </w:p>
    <w:p w:rsidR="00BB2D57" w:rsidRDefault="00A37AB1" w:rsidP="005C6881">
      <w:pPr>
        <w:pStyle w:val="ListParagraph"/>
        <w:numPr>
          <w:ilvl w:val="0"/>
          <w:numId w:val="4"/>
        </w:numPr>
        <w:spacing w:line="480" w:lineRule="auto"/>
        <w:rPr>
          <w:rFonts w:ascii="Times New Roman" w:hAnsi="Times New Roman"/>
          <w:sz w:val="24"/>
          <w:szCs w:val="24"/>
        </w:rPr>
      </w:pPr>
      <w:r w:rsidRPr="00CB15B1">
        <w:rPr>
          <w:rFonts w:ascii="Times New Roman" w:hAnsi="Times New Roman"/>
          <w:sz w:val="24"/>
          <w:szCs w:val="24"/>
        </w:rPr>
        <w:t xml:space="preserve">Allow bids </w:t>
      </w:r>
      <w:r w:rsidR="00CD7D85">
        <w:rPr>
          <w:rFonts w:ascii="Times New Roman" w:hAnsi="Times New Roman"/>
          <w:sz w:val="24"/>
          <w:szCs w:val="24"/>
        </w:rPr>
        <w:t xml:space="preserve">above 20 MW </w:t>
      </w:r>
      <w:r w:rsidR="00C97EFA">
        <w:rPr>
          <w:rFonts w:ascii="Times New Roman" w:hAnsi="Times New Roman"/>
          <w:sz w:val="24"/>
          <w:szCs w:val="24"/>
        </w:rPr>
        <w:t xml:space="preserve">capacity </w:t>
      </w:r>
      <w:r w:rsidR="00BB2D57">
        <w:rPr>
          <w:rFonts w:ascii="Times New Roman" w:hAnsi="Times New Roman"/>
          <w:sz w:val="24"/>
          <w:szCs w:val="24"/>
        </w:rPr>
        <w:t>to be submitted for either</w:t>
      </w:r>
      <w:r w:rsidRPr="00CB15B1">
        <w:rPr>
          <w:rFonts w:ascii="Times New Roman" w:hAnsi="Times New Roman"/>
          <w:sz w:val="24"/>
          <w:szCs w:val="24"/>
        </w:rPr>
        <w:t xml:space="preserve"> </w:t>
      </w:r>
      <w:r w:rsidR="0060030B" w:rsidRPr="00CB15B1">
        <w:rPr>
          <w:rFonts w:ascii="Times New Roman" w:hAnsi="Times New Roman"/>
          <w:sz w:val="24"/>
          <w:szCs w:val="24"/>
        </w:rPr>
        <w:t>renewable/intermittent, renewable with storage, and fully dispatchable generation</w:t>
      </w:r>
      <w:r w:rsidR="00BB2D57">
        <w:rPr>
          <w:rFonts w:ascii="Times New Roman" w:hAnsi="Times New Roman"/>
          <w:sz w:val="24"/>
          <w:szCs w:val="24"/>
        </w:rPr>
        <w:t>;</w:t>
      </w:r>
    </w:p>
    <w:p w:rsidR="0060030B" w:rsidRPr="00CB15B1" w:rsidRDefault="00BB2D57" w:rsidP="005C6881">
      <w:pPr>
        <w:pStyle w:val="ListParagraph"/>
        <w:numPr>
          <w:ilvl w:val="0"/>
          <w:numId w:val="4"/>
        </w:numPr>
        <w:spacing w:line="480" w:lineRule="auto"/>
        <w:rPr>
          <w:rFonts w:ascii="Times New Roman" w:hAnsi="Times New Roman"/>
          <w:sz w:val="24"/>
          <w:szCs w:val="24"/>
        </w:rPr>
      </w:pPr>
      <w:r>
        <w:rPr>
          <w:rFonts w:ascii="Times New Roman" w:hAnsi="Times New Roman"/>
          <w:sz w:val="24"/>
          <w:szCs w:val="24"/>
        </w:rPr>
        <w:t>After screening for fatal flaws, i</w:t>
      </w:r>
      <w:r w:rsidR="00A37AB1" w:rsidRPr="00CB15B1">
        <w:rPr>
          <w:rFonts w:ascii="Times New Roman" w:hAnsi="Times New Roman"/>
          <w:sz w:val="24"/>
          <w:szCs w:val="24"/>
        </w:rPr>
        <w:t xml:space="preserve">nput </w:t>
      </w:r>
      <w:r>
        <w:rPr>
          <w:rFonts w:ascii="Times New Roman" w:hAnsi="Times New Roman"/>
          <w:sz w:val="24"/>
          <w:szCs w:val="24"/>
        </w:rPr>
        <w:t xml:space="preserve">cost-effective </w:t>
      </w:r>
      <w:r w:rsidR="00A37AB1" w:rsidRPr="00CB15B1">
        <w:rPr>
          <w:rFonts w:ascii="Times New Roman" w:hAnsi="Times New Roman"/>
          <w:sz w:val="24"/>
          <w:szCs w:val="24"/>
        </w:rPr>
        <w:t xml:space="preserve">bids </w:t>
      </w:r>
      <w:r>
        <w:rPr>
          <w:rFonts w:ascii="Times New Roman" w:hAnsi="Times New Roman"/>
          <w:sz w:val="24"/>
          <w:szCs w:val="24"/>
        </w:rPr>
        <w:t xml:space="preserve">from renewable, renewable plus storage, and gas technologies </w:t>
      </w:r>
      <w:r w:rsidR="00A37AB1" w:rsidRPr="00CB15B1">
        <w:rPr>
          <w:rFonts w:ascii="Times New Roman" w:hAnsi="Times New Roman"/>
          <w:sz w:val="24"/>
          <w:szCs w:val="24"/>
        </w:rPr>
        <w:t xml:space="preserve">to be advanced to </w:t>
      </w:r>
      <w:r w:rsidR="00376BCD">
        <w:rPr>
          <w:rFonts w:ascii="Times New Roman" w:hAnsi="Times New Roman"/>
          <w:sz w:val="24"/>
          <w:szCs w:val="24"/>
        </w:rPr>
        <w:t>the Company’s capacity expansion model for</w:t>
      </w:r>
      <w:r w:rsidR="0060030B" w:rsidRPr="00CB15B1">
        <w:rPr>
          <w:rFonts w:ascii="Times New Roman" w:hAnsi="Times New Roman"/>
          <w:sz w:val="24"/>
          <w:szCs w:val="24"/>
        </w:rPr>
        <w:t xml:space="preserve"> optimiz</w:t>
      </w:r>
      <w:r w:rsidR="00376BCD">
        <w:rPr>
          <w:rFonts w:ascii="Times New Roman" w:hAnsi="Times New Roman"/>
          <w:sz w:val="24"/>
          <w:szCs w:val="24"/>
        </w:rPr>
        <w:t>ation</w:t>
      </w:r>
      <w:r>
        <w:rPr>
          <w:rFonts w:ascii="Times New Roman" w:hAnsi="Times New Roman"/>
          <w:sz w:val="24"/>
          <w:szCs w:val="24"/>
        </w:rPr>
        <w:t>;</w:t>
      </w:r>
    </w:p>
    <w:p w:rsidR="0060030B" w:rsidRPr="00CB15B1" w:rsidRDefault="0060030B" w:rsidP="005C6881">
      <w:pPr>
        <w:pStyle w:val="ListParagraph"/>
        <w:numPr>
          <w:ilvl w:val="0"/>
          <w:numId w:val="4"/>
        </w:numPr>
        <w:spacing w:line="480" w:lineRule="auto"/>
        <w:rPr>
          <w:rFonts w:ascii="Times New Roman" w:hAnsi="Times New Roman"/>
          <w:sz w:val="24"/>
          <w:szCs w:val="24"/>
        </w:rPr>
      </w:pPr>
      <w:r w:rsidRPr="00CB15B1">
        <w:rPr>
          <w:rFonts w:ascii="Times New Roman" w:hAnsi="Times New Roman"/>
          <w:sz w:val="24"/>
          <w:szCs w:val="24"/>
        </w:rPr>
        <w:t xml:space="preserve">Use the </w:t>
      </w:r>
      <w:r w:rsidR="00376BCD">
        <w:rPr>
          <w:rFonts w:ascii="Times New Roman" w:hAnsi="Times New Roman"/>
          <w:sz w:val="24"/>
          <w:szCs w:val="24"/>
        </w:rPr>
        <w:t>capacity expansion</w:t>
      </w:r>
      <w:r w:rsidR="00376BCD" w:rsidRPr="00CB15B1">
        <w:rPr>
          <w:rFonts w:ascii="Times New Roman" w:hAnsi="Times New Roman"/>
          <w:sz w:val="24"/>
          <w:szCs w:val="24"/>
        </w:rPr>
        <w:t xml:space="preserve"> </w:t>
      </w:r>
      <w:r w:rsidRPr="00CB15B1">
        <w:rPr>
          <w:rFonts w:ascii="Times New Roman" w:hAnsi="Times New Roman"/>
          <w:sz w:val="24"/>
          <w:szCs w:val="24"/>
        </w:rPr>
        <w:t xml:space="preserve">model for bid evaluation purposes either in lieu of or in addition to </w:t>
      </w:r>
      <w:r w:rsidRPr="00EF03D5">
        <w:rPr>
          <w:rFonts w:ascii="Times New Roman" w:hAnsi="Times New Roman"/>
          <w:sz w:val="24"/>
          <w:szCs w:val="24"/>
        </w:rPr>
        <w:t xml:space="preserve">the </w:t>
      </w:r>
      <w:r w:rsidR="00EF03D5" w:rsidRPr="00EF03D5">
        <w:rPr>
          <w:rFonts w:ascii="Times New Roman" w:hAnsi="Times New Roman"/>
          <w:sz w:val="24"/>
          <w:szCs w:val="24"/>
        </w:rPr>
        <w:t xml:space="preserve">Renewable Cost Benefit (“RCB”) </w:t>
      </w:r>
      <w:r w:rsidR="00EF03D5">
        <w:rPr>
          <w:rFonts w:ascii="Times New Roman" w:hAnsi="Times New Roman"/>
          <w:sz w:val="24"/>
          <w:szCs w:val="24"/>
        </w:rPr>
        <w:t>F</w:t>
      </w:r>
      <w:r w:rsidRPr="00EF03D5">
        <w:rPr>
          <w:rFonts w:ascii="Times New Roman" w:hAnsi="Times New Roman"/>
          <w:sz w:val="24"/>
          <w:szCs w:val="24"/>
        </w:rPr>
        <w:t>ramework</w:t>
      </w:r>
      <w:r w:rsidR="00A37AB1" w:rsidRPr="00CB15B1">
        <w:rPr>
          <w:rFonts w:ascii="Times New Roman" w:hAnsi="Times New Roman"/>
          <w:sz w:val="24"/>
          <w:szCs w:val="24"/>
        </w:rPr>
        <w:t>.</w:t>
      </w:r>
    </w:p>
    <w:p w:rsidR="00C97EFA" w:rsidRDefault="0060030B" w:rsidP="005C6881">
      <w:pPr>
        <w:pStyle w:val="ListParagraph"/>
        <w:numPr>
          <w:ilvl w:val="1"/>
          <w:numId w:val="4"/>
        </w:numPr>
        <w:spacing w:line="480" w:lineRule="auto"/>
        <w:ind w:left="2880" w:hanging="720"/>
        <w:rPr>
          <w:rFonts w:ascii="Times New Roman" w:hAnsi="Times New Roman"/>
          <w:sz w:val="24"/>
          <w:szCs w:val="24"/>
        </w:rPr>
      </w:pPr>
      <w:r w:rsidRPr="00CB15B1">
        <w:rPr>
          <w:rFonts w:ascii="Times New Roman" w:hAnsi="Times New Roman"/>
          <w:sz w:val="24"/>
          <w:szCs w:val="24"/>
        </w:rPr>
        <w:t xml:space="preserve">Leverage the capabilities of the capacity expansion model to optimize among bids </w:t>
      </w:r>
      <w:r w:rsidR="007A3676">
        <w:rPr>
          <w:rFonts w:ascii="Times New Roman" w:hAnsi="Times New Roman"/>
          <w:sz w:val="24"/>
          <w:szCs w:val="24"/>
        </w:rPr>
        <w:t xml:space="preserve">of all technologies </w:t>
      </w:r>
      <w:r w:rsidRPr="00CB15B1">
        <w:rPr>
          <w:rFonts w:ascii="Times New Roman" w:hAnsi="Times New Roman"/>
          <w:sz w:val="24"/>
          <w:szCs w:val="24"/>
        </w:rPr>
        <w:t xml:space="preserve">to fill the approved system energy need during the resource acquisition period </w:t>
      </w:r>
      <w:r w:rsidR="00337864">
        <w:rPr>
          <w:rFonts w:ascii="Times New Roman" w:hAnsi="Times New Roman"/>
          <w:sz w:val="24"/>
          <w:szCs w:val="24"/>
        </w:rPr>
        <w:t>(</w:t>
      </w:r>
      <w:r w:rsidRPr="00337864">
        <w:rPr>
          <w:rFonts w:ascii="Times New Roman" w:hAnsi="Times New Roman"/>
          <w:i/>
          <w:sz w:val="24"/>
          <w:szCs w:val="24"/>
        </w:rPr>
        <w:t>i.e.</w:t>
      </w:r>
      <w:r w:rsidRPr="00CB15B1">
        <w:rPr>
          <w:rFonts w:ascii="Times New Roman" w:hAnsi="Times New Roman"/>
          <w:sz w:val="24"/>
          <w:szCs w:val="24"/>
        </w:rPr>
        <w:t xml:space="preserve"> through 2028).</w:t>
      </w:r>
    </w:p>
    <w:p w:rsidR="00C97EFA" w:rsidRDefault="00376BCD" w:rsidP="005C6881">
      <w:pPr>
        <w:pStyle w:val="ListParagraph"/>
        <w:numPr>
          <w:ilvl w:val="1"/>
          <w:numId w:val="4"/>
        </w:numPr>
        <w:spacing w:line="480" w:lineRule="auto"/>
        <w:ind w:left="2880" w:hanging="720"/>
        <w:rPr>
          <w:rFonts w:ascii="Times New Roman" w:hAnsi="Times New Roman"/>
          <w:sz w:val="24"/>
          <w:szCs w:val="24"/>
        </w:rPr>
      </w:pPr>
      <w:r w:rsidRPr="00C97EFA">
        <w:rPr>
          <w:rFonts w:ascii="Times New Roman" w:hAnsi="Times New Roman"/>
          <w:sz w:val="24"/>
          <w:szCs w:val="24"/>
        </w:rPr>
        <w:lastRenderedPageBreak/>
        <w:t>Create and c</w:t>
      </w:r>
      <w:r w:rsidR="00CD7D85" w:rsidRPr="00C97EFA">
        <w:rPr>
          <w:rFonts w:ascii="Times New Roman" w:hAnsi="Times New Roman"/>
          <w:sz w:val="24"/>
          <w:szCs w:val="24"/>
        </w:rPr>
        <w:t xml:space="preserve">ompare </w:t>
      </w:r>
      <w:r w:rsidRPr="00C97EFA">
        <w:rPr>
          <w:rFonts w:ascii="Times New Roman" w:hAnsi="Times New Roman"/>
          <w:sz w:val="24"/>
          <w:szCs w:val="24"/>
        </w:rPr>
        <w:t>multiple</w:t>
      </w:r>
      <w:r w:rsidR="00CD7D85" w:rsidRPr="00C97EFA">
        <w:rPr>
          <w:rFonts w:ascii="Times New Roman" w:hAnsi="Times New Roman"/>
          <w:sz w:val="24"/>
          <w:szCs w:val="24"/>
        </w:rPr>
        <w:t xml:space="preserve"> bid portfolios with Plant Bowen Units 1-2 offline and online</w:t>
      </w:r>
      <w:r w:rsidR="00BB2D57">
        <w:rPr>
          <w:rStyle w:val="FootnoteReference"/>
          <w:rFonts w:ascii="Times New Roman" w:hAnsi="Times New Roman"/>
          <w:sz w:val="24"/>
          <w:szCs w:val="24"/>
        </w:rPr>
        <w:footnoteReference w:id="4"/>
      </w:r>
      <w:r w:rsidR="00CD7D85" w:rsidRPr="00C97EFA">
        <w:rPr>
          <w:rFonts w:ascii="Times New Roman" w:hAnsi="Times New Roman"/>
          <w:sz w:val="24"/>
          <w:szCs w:val="24"/>
        </w:rPr>
        <w:t xml:space="preserve">, such that the model can </w:t>
      </w:r>
      <w:r w:rsidR="00BB2D57">
        <w:rPr>
          <w:rFonts w:ascii="Times New Roman" w:hAnsi="Times New Roman"/>
          <w:sz w:val="24"/>
          <w:szCs w:val="24"/>
        </w:rPr>
        <w:t>create portfolios that represent outcomes</w:t>
      </w:r>
      <w:r w:rsidR="00CD7D85" w:rsidRPr="00C97EFA">
        <w:rPr>
          <w:rFonts w:ascii="Times New Roman" w:hAnsi="Times New Roman"/>
          <w:sz w:val="24"/>
          <w:szCs w:val="24"/>
        </w:rPr>
        <w:t xml:space="preserve"> </w:t>
      </w:r>
      <w:r w:rsidR="00BB2D57">
        <w:rPr>
          <w:rFonts w:ascii="Times New Roman" w:hAnsi="Times New Roman"/>
          <w:sz w:val="24"/>
          <w:szCs w:val="24"/>
        </w:rPr>
        <w:t xml:space="preserve">comparable </w:t>
      </w:r>
      <w:r w:rsidR="00CD7D85" w:rsidRPr="00C97EFA">
        <w:rPr>
          <w:rFonts w:ascii="Times New Roman" w:hAnsi="Times New Roman"/>
          <w:sz w:val="24"/>
          <w:szCs w:val="24"/>
        </w:rPr>
        <w:t>on a net present value of revenue requirements (“NPVRR”) basis.</w:t>
      </w:r>
    </w:p>
    <w:p w:rsidR="0060030B" w:rsidRPr="00C97EFA" w:rsidRDefault="00C6694E" w:rsidP="005C6881">
      <w:pPr>
        <w:pStyle w:val="ListParagraph"/>
        <w:numPr>
          <w:ilvl w:val="1"/>
          <w:numId w:val="4"/>
        </w:numPr>
        <w:spacing w:line="480" w:lineRule="auto"/>
        <w:ind w:left="2880" w:hanging="720"/>
        <w:rPr>
          <w:rFonts w:ascii="Times New Roman" w:hAnsi="Times New Roman"/>
          <w:sz w:val="24"/>
          <w:szCs w:val="24"/>
        </w:rPr>
      </w:pPr>
      <w:r w:rsidRPr="00C97EFA">
        <w:rPr>
          <w:rFonts w:ascii="Times New Roman" w:hAnsi="Times New Roman"/>
          <w:sz w:val="24"/>
          <w:szCs w:val="24"/>
        </w:rPr>
        <w:t>Certain inputs from t</w:t>
      </w:r>
      <w:r w:rsidR="00A37AB1" w:rsidRPr="00C97EFA">
        <w:rPr>
          <w:rFonts w:ascii="Times New Roman" w:hAnsi="Times New Roman"/>
          <w:sz w:val="24"/>
          <w:szCs w:val="24"/>
        </w:rPr>
        <w:t xml:space="preserve">he </w:t>
      </w:r>
      <w:r w:rsidR="00EF03D5" w:rsidRPr="00C97EFA">
        <w:rPr>
          <w:rFonts w:ascii="Times New Roman" w:hAnsi="Times New Roman"/>
          <w:sz w:val="24"/>
          <w:szCs w:val="24"/>
        </w:rPr>
        <w:t>RCB F</w:t>
      </w:r>
      <w:r w:rsidR="0060030B" w:rsidRPr="00C97EFA">
        <w:rPr>
          <w:rFonts w:ascii="Times New Roman" w:hAnsi="Times New Roman"/>
          <w:sz w:val="24"/>
          <w:szCs w:val="24"/>
        </w:rPr>
        <w:t>ramework</w:t>
      </w:r>
      <w:r w:rsidRPr="00C97EFA">
        <w:rPr>
          <w:rFonts w:ascii="Times New Roman" w:hAnsi="Times New Roman"/>
          <w:sz w:val="24"/>
          <w:szCs w:val="24"/>
        </w:rPr>
        <w:t xml:space="preserve">, </w:t>
      </w:r>
      <w:r w:rsidR="00C97EFA">
        <w:rPr>
          <w:rFonts w:ascii="Times New Roman" w:hAnsi="Times New Roman"/>
          <w:sz w:val="24"/>
          <w:szCs w:val="24"/>
        </w:rPr>
        <w:t>such as</w:t>
      </w:r>
      <w:r w:rsidRPr="00C97EFA">
        <w:rPr>
          <w:rFonts w:ascii="Times New Roman" w:hAnsi="Times New Roman"/>
          <w:sz w:val="24"/>
          <w:szCs w:val="24"/>
        </w:rPr>
        <w:t xml:space="preserve"> support capacity costs,</w:t>
      </w:r>
      <w:r w:rsidR="0060030B" w:rsidRPr="00C97EFA">
        <w:rPr>
          <w:rFonts w:ascii="Times New Roman" w:hAnsi="Times New Roman"/>
          <w:sz w:val="24"/>
          <w:szCs w:val="24"/>
        </w:rPr>
        <w:t xml:space="preserve"> </w:t>
      </w:r>
      <w:r w:rsidR="00CD7D85" w:rsidRPr="00C97EFA">
        <w:rPr>
          <w:rFonts w:ascii="Times New Roman" w:hAnsi="Times New Roman"/>
          <w:sz w:val="24"/>
          <w:szCs w:val="24"/>
        </w:rPr>
        <w:t xml:space="preserve">should be </w:t>
      </w:r>
      <w:r w:rsidRPr="00C97EFA">
        <w:rPr>
          <w:rFonts w:ascii="Times New Roman" w:hAnsi="Times New Roman"/>
          <w:sz w:val="24"/>
          <w:szCs w:val="24"/>
        </w:rPr>
        <w:t>included as cost adders (or deductions) in the capacity expansion model</w:t>
      </w:r>
      <w:r w:rsidR="00CD7D85" w:rsidRPr="00C97EFA">
        <w:rPr>
          <w:rFonts w:ascii="Times New Roman" w:hAnsi="Times New Roman"/>
          <w:sz w:val="24"/>
          <w:szCs w:val="24"/>
        </w:rPr>
        <w:t xml:space="preserve"> for the all-source evaluation.  </w:t>
      </w:r>
      <w:bookmarkStart w:id="1" w:name="_Hlk6831464"/>
      <w:r w:rsidR="00C97EFA" w:rsidRPr="00C97EFA">
        <w:rPr>
          <w:rFonts w:ascii="Times New Roman" w:hAnsi="Times New Roman"/>
          <w:sz w:val="24"/>
          <w:szCs w:val="24"/>
        </w:rPr>
        <w:t>Critical</w:t>
      </w:r>
      <w:r w:rsidR="002D1345" w:rsidRPr="00C97EFA">
        <w:rPr>
          <w:rFonts w:ascii="Times New Roman" w:hAnsi="Times New Roman"/>
          <w:sz w:val="24"/>
          <w:szCs w:val="24"/>
        </w:rPr>
        <w:t xml:space="preserve"> to this recommendation</w:t>
      </w:r>
      <w:r w:rsidRPr="00C97EFA">
        <w:rPr>
          <w:rFonts w:ascii="Times New Roman" w:hAnsi="Times New Roman"/>
          <w:sz w:val="24"/>
          <w:szCs w:val="24"/>
        </w:rPr>
        <w:t>,</w:t>
      </w:r>
      <w:r w:rsidR="0060030B" w:rsidRPr="00C97EFA">
        <w:rPr>
          <w:rFonts w:ascii="Times New Roman" w:hAnsi="Times New Roman"/>
          <w:sz w:val="24"/>
          <w:szCs w:val="24"/>
        </w:rPr>
        <w:t xml:space="preserve"> capacity values for renewables</w:t>
      </w:r>
      <w:r w:rsidRPr="00C97EFA">
        <w:rPr>
          <w:rFonts w:ascii="Times New Roman" w:hAnsi="Times New Roman"/>
          <w:sz w:val="24"/>
          <w:szCs w:val="24"/>
        </w:rPr>
        <w:t xml:space="preserve"> (</w:t>
      </w:r>
      <w:r w:rsidRPr="002A3B9D">
        <w:rPr>
          <w:rFonts w:ascii="Times New Roman" w:hAnsi="Times New Roman"/>
          <w:sz w:val="24"/>
          <w:szCs w:val="24"/>
        </w:rPr>
        <w:t>calculated as incremental capacity equivalents</w:t>
      </w:r>
      <w:r w:rsidRPr="00C97EFA">
        <w:rPr>
          <w:rFonts w:ascii="Times New Roman" w:hAnsi="Times New Roman"/>
          <w:sz w:val="24"/>
          <w:szCs w:val="24"/>
        </w:rPr>
        <w:t>)</w:t>
      </w:r>
      <w:r w:rsidR="0060030B" w:rsidRPr="00C97EFA">
        <w:rPr>
          <w:rFonts w:ascii="Times New Roman" w:hAnsi="Times New Roman"/>
          <w:sz w:val="24"/>
          <w:szCs w:val="24"/>
        </w:rPr>
        <w:t xml:space="preserve">, </w:t>
      </w:r>
      <w:r w:rsidR="00A37AB1" w:rsidRPr="00C97EFA">
        <w:rPr>
          <w:rFonts w:ascii="Times New Roman" w:hAnsi="Times New Roman"/>
          <w:sz w:val="24"/>
          <w:szCs w:val="24"/>
        </w:rPr>
        <w:t>should</w:t>
      </w:r>
      <w:r w:rsidR="0060030B" w:rsidRPr="00C97EFA">
        <w:rPr>
          <w:rFonts w:ascii="Times New Roman" w:hAnsi="Times New Roman"/>
          <w:sz w:val="24"/>
          <w:szCs w:val="24"/>
        </w:rPr>
        <w:t xml:space="preserve"> be used as assumptions in the capacity expansion model to allow a reasonable fraction of renewable and storage capacity to meet the capacity need.</w:t>
      </w:r>
      <w:bookmarkEnd w:id="1"/>
    </w:p>
    <w:p w:rsidR="0060030B" w:rsidRPr="00CB15B1" w:rsidRDefault="0060030B" w:rsidP="005C6881">
      <w:pPr>
        <w:pStyle w:val="ListParagraph"/>
        <w:numPr>
          <w:ilvl w:val="0"/>
          <w:numId w:val="4"/>
        </w:numPr>
        <w:spacing w:line="480" w:lineRule="auto"/>
        <w:rPr>
          <w:rFonts w:ascii="Times New Roman" w:hAnsi="Times New Roman"/>
          <w:sz w:val="24"/>
          <w:szCs w:val="24"/>
        </w:rPr>
      </w:pPr>
      <w:r w:rsidRPr="00CB15B1">
        <w:rPr>
          <w:rFonts w:ascii="Times New Roman" w:hAnsi="Times New Roman"/>
          <w:sz w:val="24"/>
          <w:szCs w:val="24"/>
        </w:rPr>
        <w:t xml:space="preserve">After </w:t>
      </w:r>
      <w:r w:rsidR="00C97EFA">
        <w:rPr>
          <w:rFonts w:ascii="Times New Roman" w:hAnsi="Times New Roman"/>
          <w:sz w:val="24"/>
          <w:szCs w:val="24"/>
        </w:rPr>
        <w:t xml:space="preserve">soliciting </w:t>
      </w:r>
      <w:r w:rsidRPr="00CB15B1">
        <w:rPr>
          <w:rFonts w:ascii="Times New Roman" w:hAnsi="Times New Roman"/>
          <w:sz w:val="24"/>
          <w:szCs w:val="24"/>
        </w:rPr>
        <w:t>comments on the</w:t>
      </w:r>
      <w:r w:rsidR="00CD7D85">
        <w:rPr>
          <w:rFonts w:ascii="Times New Roman" w:hAnsi="Times New Roman"/>
          <w:sz w:val="24"/>
          <w:szCs w:val="24"/>
        </w:rPr>
        <w:t xml:space="preserve"> bid evaluation</w:t>
      </w:r>
      <w:r w:rsidRPr="00CB15B1">
        <w:rPr>
          <w:rFonts w:ascii="Times New Roman" w:hAnsi="Times New Roman"/>
          <w:sz w:val="24"/>
          <w:szCs w:val="24"/>
        </w:rPr>
        <w:t xml:space="preserve"> report</w:t>
      </w:r>
      <w:r w:rsidR="00A37AB1" w:rsidRPr="00CB15B1">
        <w:rPr>
          <w:rFonts w:ascii="Times New Roman" w:hAnsi="Times New Roman"/>
          <w:sz w:val="24"/>
          <w:szCs w:val="24"/>
        </w:rPr>
        <w:t xml:space="preserve"> from parties</w:t>
      </w:r>
      <w:r w:rsidRPr="00CB15B1">
        <w:rPr>
          <w:rFonts w:ascii="Times New Roman" w:hAnsi="Times New Roman"/>
          <w:sz w:val="24"/>
          <w:szCs w:val="24"/>
        </w:rPr>
        <w:t xml:space="preserve">, the Commission can approve or modify a </w:t>
      </w:r>
      <w:r w:rsidR="00CD7D85">
        <w:rPr>
          <w:rFonts w:ascii="Times New Roman" w:hAnsi="Times New Roman"/>
          <w:sz w:val="24"/>
          <w:szCs w:val="24"/>
        </w:rPr>
        <w:t xml:space="preserve">resource </w:t>
      </w:r>
      <w:r w:rsidRPr="00CB15B1">
        <w:rPr>
          <w:rFonts w:ascii="Times New Roman" w:hAnsi="Times New Roman"/>
          <w:sz w:val="24"/>
          <w:szCs w:val="24"/>
        </w:rPr>
        <w:t>portfolio to meet the capacity and energy need</w:t>
      </w:r>
      <w:r w:rsidR="00C6694E">
        <w:rPr>
          <w:rFonts w:ascii="Times New Roman" w:hAnsi="Times New Roman"/>
          <w:sz w:val="24"/>
          <w:szCs w:val="24"/>
        </w:rPr>
        <w:t>.</w:t>
      </w:r>
      <w:r w:rsidRPr="00CB15B1">
        <w:rPr>
          <w:rFonts w:ascii="Times New Roman" w:hAnsi="Times New Roman"/>
          <w:sz w:val="24"/>
          <w:szCs w:val="24"/>
        </w:rPr>
        <w:t xml:space="preserve"> </w:t>
      </w:r>
    </w:p>
    <w:p w:rsidR="0060030B" w:rsidRPr="002A3B9D" w:rsidRDefault="0060030B" w:rsidP="005C6881">
      <w:pPr>
        <w:pStyle w:val="ListParagraph"/>
        <w:numPr>
          <w:ilvl w:val="0"/>
          <w:numId w:val="4"/>
        </w:numPr>
        <w:spacing w:line="480" w:lineRule="auto"/>
        <w:rPr>
          <w:rFonts w:ascii="Times New Roman" w:hAnsi="Times New Roman"/>
          <w:sz w:val="24"/>
          <w:szCs w:val="24"/>
        </w:rPr>
      </w:pPr>
      <w:bookmarkStart w:id="2" w:name="_Hlk6831496"/>
      <w:r w:rsidRPr="002A3B9D">
        <w:rPr>
          <w:rFonts w:ascii="Times New Roman" w:hAnsi="Times New Roman"/>
          <w:sz w:val="24"/>
          <w:szCs w:val="24"/>
        </w:rPr>
        <w:t xml:space="preserve">Allow the 1000 MW CRSP </w:t>
      </w:r>
      <w:r w:rsidR="002A3B9D" w:rsidRPr="002A3B9D">
        <w:rPr>
          <w:rFonts w:ascii="Times New Roman" w:hAnsi="Times New Roman"/>
          <w:sz w:val="24"/>
          <w:szCs w:val="24"/>
        </w:rPr>
        <w:t xml:space="preserve">procurement </w:t>
      </w:r>
      <w:r w:rsidRPr="002A3B9D">
        <w:rPr>
          <w:rFonts w:ascii="Times New Roman" w:hAnsi="Times New Roman"/>
          <w:sz w:val="24"/>
          <w:szCs w:val="24"/>
        </w:rPr>
        <w:t>to go forward separately to meet the customer driven criteria set forth by GP on an avoided energy and variable O &amp; M basis – perhaps informed by all-source bids, however allow the all-source RFP to meet the capacity and energy need established for resource adequacy purposes</w:t>
      </w:r>
      <w:r w:rsidR="007A3676">
        <w:rPr>
          <w:rFonts w:ascii="Times New Roman" w:hAnsi="Times New Roman"/>
          <w:sz w:val="24"/>
          <w:szCs w:val="24"/>
        </w:rPr>
        <w:t>.</w:t>
      </w:r>
    </w:p>
    <w:bookmarkEnd w:id="2"/>
    <w:p w:rsidR="00A37AB1" w:rsidRPr="00CB15B1" w:rsidRDefault="00C72B62" w:rsidP="005C6881">
      <w:pPr>
        <w:pStyle w:val="ListParagraph"/>
        <w:numPr>
          <w:ilvl w:val="0"/>
          <w:numId w:val="2"/>
        </w:numPr>
        <w:spacing w:line="480" w:lineRule="auto"/>
        <w:rPr>
          <w:rFonts w:ascii="Times New Roman" w:hAnsi="Times New Roman"/>
          <w:sz w:val="24"/>
          <w:szCs w:val="24"/>
        </w:rPr>
      </w:pPr>
      <w:r w:rsidRPr="00CB15B1">
        <w:rPr>
          <w:rFonts w:ascii="Times New Roman" w:hAnsi="Times New Roman"/>
          <w:sz w:val="24"/>
          <w:szCs w:val="24"/>
          <w:u w:val="single"/>
        </w:rPr>
        <w:lastRenderedPageBreak/>
        <w:t>Develop</w:t>
      </w:r>
      <w:r w:rsidR="00CD7D85">
        <w:rPr>
          <w:rFonts w:ascii="Times New Roman" w:hAnsi="Times New Roman"/>
          <w:sz w:val="24"/>
          <w:szCs w:val="24"/>
          <w:u w:val="single"/>
        </w:rPr>
        <w:t>ment of</w:t>
      </w:r>
      <w:r w:rsidRPr="00CB15B1">
        <w:rPr>
          <w:rFonts w:ascii="Times New Roman" w:hAnsi="Times New Roman"/>
          <w:sz w:val="24"/>
          <w:szCs w:val="24"/>
          <w:u w:val="single"/>
        </w:rPr>
        <w:t xml:space="preserve"> </w:t>
      </w:r>
      <w:r w:rsidR="00CD7D85">
        <w:rPr>
          <w:rFonts w:ascii="Times New Roman" w:hAnsi="Times New Roman"/>
          <w:sz w:val="24"/>
          <w:szCs w:val="24"/>
          <w:u w:val="single"/>
        </w:rPr>
        <w:t xml:space="preserve">Alternative </w:t>
      </w:r>
      <w:r w:rsidRPr="00CB15B1">
        <w:rPr>
          <w:rFonts w:ascii="Times New Roman" w:hAnsi="Times New Roman"/>
          <w:sz w:val="24"/>
          <w:szCs w:val="24"/>
          <w:u w:val="single"/>
        </w:rPr>
        <w:t>Resource Portfolios</w:t>
      </w:r>
      <w:r w:rsidRPr="00CB15B1">
        <w:rPr>
          <w:rFonts w:ascii="Times New Roman" w:hAnsi="Times New Roman"/>
          <w:sz w:val="24"/>
          <w:szCs w:val="24"/>
        </w:rPr>
        <w:t xml:space="preserve">.  </w:t>
      </w:r>
      <w:r w:rsidR="00A37AB1" w:rsidRPr="00CB15B1">
        <w:rPr>
          <w:rFonts w:ascii="Times New Roman" w:hAnsi="Times New Roman"/>
          <w:sz w:val="24"/>
          <w:szCs w:val="24"/>
        </w:rPr>
        <w:t xml:space="preserve">In its report on the all-source RFP bid evaluation, require GPC to present alternative portfolios responsive to </w:t>
      </w:r>
      <w:r w:rsidR="002A3B9D">
        <w:rPr>
          <w:rFonts w:ascii="Times New Roman" w:hAnsi="Times New Roman"/>
          <w:sz w:val="24"/>
          <w:szCs w:val="24"/>
        </w:rPr>
        <w:t>criteria</w:t>
      </w:r>
      <w:r w:rsidR="00855A85">
        <w:rPr>
          <w:rFonts w:ascii="Times New Roman" w:hAnsi="Times New Roman"/>
          <w:sz w:val="24"/>
          <w:szCs w:val="24"/>
        </w:rPr>
        <w:t xml:space="preserve"> </w:t>
      </w:r>
      <w:r w:rsidR="00A06BFE">
        <w:rPr>
          <w:rFonts w:ascii="Times New Roman" w:hAnsi="Times New Roman"/>
          <w:sz w:val="24"/>
          <w:szCs w:val="24"/>
        </w:rPr>
        <w:t>included</w:t>
      </w:r>
      <w:r w:rsidR="00855A85">
        <w:rPr>
          <w:rFonts w:ascii="Times New Roman" w:hAnsi="Times New Roman"/>
          <w:sz w:val="24"/>
          <w:szCs w:val="24"/>
        </w:rPr>
        <w:t xml:space="preserve"> in the</w:t>
      </w:r>
      <w:r w:rsidR="00A37AB1" w:rsidRPr="00CB15B1">
        <w:rPr>
          <w:rFonts w:ascii="Times New Roman" w:hAnsi="Times New Roman"/>
          <w:sz w:val="24"/>
          <w:szCs w:val="24"/>
        </w:rPr>
        <w:t xml:space="preserve"> Commission’s order to give the Commission market-driven alternatives to fill both the energy and capacity need </w:t>
      </w:r>
      <w:r w:rsidR="00CD7D85">
        <w:rPr>
          <w:rFonts w:ascii="Times New Roman" w:hAnsi="Times New Roman"/>
          <w:sz w:val="24"/>
          <w:szCs w:val="24"/>
        </w:rPr>
        <w:t xml:space="preserve">driven by Plant Bowen Units 1-2, </w:t>
      </w:r>
      <w:r w:rsidR="00A06BFE">
        <w:rPr>
          <w:rFonts w:ascii="Times New Roman" w:hAnsi="Times New Roman"/>
          <w:sz w:val="24"/>
          <w:szCs w:val="24"/>
        </w:rPr>
        <w:t xml:space="preserve">and Plant Wansley, </w:t>
      </w:r>
      <w:r w:rsidR="00A37AB1" w:rsidRPr="00CB15B1">
        <w:rPr>
          <w:rFonts w:ascii="Times New Roman" w:hAnsi="Times New Roman"/>
          <w:sz w:val="24"/>
          <w:szCs w:val="24"/>
        </w:rPr>
        <w:t>rather than const</w:t>
      </w:r>
      <w:r w:rsidR="00CD7D85">
        <w:rPr>
          <w:rFonts w:ascii="Times New Roman" w:hAnsi="Times New Roman"/>
          <w:sz w:val="24"/>
          <w:szCs w:val="24"/>
        </w:rPr>
        <w:t>raining the Commission’s review.</w:t>
      </w:r>
      <w:r w:rsidR="00A37AB1" w:rsidRPr="00CB15B1">
        <w:rPr>
          <w:rFonts w:ascii="Times New Roman" w:hAnsi="Times New Roman"/>
          <w:sz w:val="24"/>
          <w:szCs w:val="24"/>
        </w:rPr>
        <w:t xml:space="preserve"> </w:t>
      </w:r>
    </w:p>
    <w:p w:rsidR="00337864" w:rsidRDefault="0060030B" w:rsidP="005C6881">
      <w:pPr>
        <w:pStyle w:val="ListParagraph"/>
        <w:numPr>
          <w:ilvl w:val="0"/>
          <w:numId w:val="5"/>
        </w:numPr>
        <w:spacing w:line="480" w:lineRule="auto"/>
        <w:ind w:left="2160" w:hanging="720"/>
        <w:rPr>
          <w:rFonts w:ascii="Times New Roman" w:hAnsi="Times New Roman"/>
          <w:sz w:val="24"/>
          <w:szCs w:val="24"/>
        </w:rPr>
      </w:pPr>
      <w:r w:rsidRPr="00CB15B1">
        <w:rPr>
          <w:rFonts w:ascii="Times New Roman" w:hAnsi="Times New Roman"/>
          <w:sz w:val="24"/>
          <w:szCs w:val="24"/>
        </w:rPr>
        <w:t xml:space="preserve">The </w:t>
      </w:r>
      <w:r w:rsidR="00CD7D85">
        <w:rPr>
          <w:rFonts w:ascii="Times New Roman" w:hAnsi="Times New Roman"/>
          <w:sz w:val="24"/>
          <w:szCs w:val="24"/>
        </w:rPr>
        <w:t>Commission</w:t>
      </w:r>
      <w:r w:rsidRPr="00CB15B1">
        <w:rPr>
          <w:rFonts w:ascii="Times New Roman" w:hAnsi="Times New Roman"/>
          <w:sz w:val="24"/>
          <w:szCs w:val="24"/>
        </w:rPr>
        <w:t xml:space="preserve"> </w:t>
      </w:r>
      <w:r w:rsidR="00A37AB1" w:rsidRPr="00CB15B1">
        <w:rPr>
          <w:rFonts w:ascii="Times New Roman" w:hAnsi="Times New Roman"/>
          <w:sz w:val="24"/>
          <w:szCs w:val="24"/>
        </w:rPr>
        <w:t>should</w:t>
      </w:r>
      <w:r w:rsidRPr="00CB15B1">
        <w:rPr>
          <w:rFonts w:ascii="Times New Roman" w:hAnsi="Times New Roman"/>
          <w:sz w:val="24"/>
          <w:szCs w:val="24"/>
        </w:rPr>
        <w:t xml:space="preserve"> require alternative portfolios be</w:t>
      </w:r>
      <w:r w:rsidR="00A37AB1" w:rsidRPr="00CB15B1">
        <w:rPr>
          <w:rFonts w:ascii="Times New Roman" w:hAnsi="Times New Roman"/>
          <w:sz w:val="24"/>
          <w:szCs w:val="24"/>
        </w:rPr>
        <w:t xml:space="preserve"> </w:t>
      </w:r>
      <w:r w:rsidR="00337864" w:rsidRPr="00CB15B1">
        <w:rPr>
          <w:rFonts w:ascii="Times New Roman" w:hAnsi="Times New Roman"/>
          <w:sz w:val="24"/>
          <w:szCs w:val="24"/>
        </w:rPr>
        <w:t>optimized</w:t>
      </w:r>
      <w:r w:rsidR="00A37AB1" w:rsidRPr="00CB15B1">
        <w:rPr>
          <w:rFonts w:ascii="Times New Roman" w:hAnsi="Times New Roman"/>
          <w:sz w:val="24"/>
          <w:szCs w:val="24"/>
        </w:rPr>
        <w:t xml:space="preserve">.  Optimized means that the </w:t>
      </w:r>
      <w:r w:rsidR="00C6694E">
        <w:rPr>
          <w:rFonts w:ascii="Times New Roman" w:hAnsi="Times New Roman"/>
          <w:sz w:val="24"/>
          <w:szCs w:val="24"/>
        </w:rPr>
        <w:t>capacity expansion planning</w:t>
      </w:r>
      <w:r w:rsidR="00A37AB1" w:rsidRPr="00CB15B1">
        <w:rPr>
          <w:rFonts w:ascii="Times New Roman" w:hAnsi="Times New Roman"/>
          <w:sz w:val="24"/>
          <w:szCs w:val="24"/>
        </w:rPr>
        <w:t xml:space="preserve"> model is allowed to select from </w:t>
      </w:r>
      <w:r w:rsidR="0092028C">
        <w:rPr>
          <w:rFonts w:ascii="Times New Roman" w:hAnsi="Times New Roman"/>
          <w:sz w:val="24"/>
          <w:szCs w:val="24"/>
        </w:rPr>
        <w:t>submitted</w:t>
      </w:r>
      <w:r w:rsidR="00A37AB1" w:rsidRPr="00CB15B1">
        <w:rPr>
          <w:rFonts w:ascii="Times New Roman" w:hAnsi="Times New Roman"/>
          <w:sz w:val="24"/>
          <w:szCs w:val="24"/>
        </w:rPr>
        <w:t xml:space="preserve"> bids to formulate different portfolio</w:t>
      </w:r>
      <w:r w:rsidR="00BB2D57">
        <w:rPr>
          <w:rFonts w:ascii="Times New Roman" w:hAnsi="Times New Roman"/>
          <w:sz w:val="24"/>
          <w:szCs w:val="24"/>
        </w:rPr>
        <w:t xml:space="preserve"> combination</w:t>
      </w:r>
      <w:r w:rsidR="00A37AB1" w:rsidRPr="00CB15B1">
        <w:rPr>
          <w:rFonts w:ascii="Times New Roman" w:hAnsi="Times New Roman"/>
          <w:sz w:val="24"/>
          <w:szCs w:val="24"/>
        </w:rPr>
        <w:t>s of resources around defined parameters.  For example,</w:t>
      </w:r>
      <w:r w:rsidR="00337864">
        <w:rPr>
          <w:rFonts w:ascii="Times New Roman" w:hAnsi="Times New Roman"/>
          <w:sz w:val="24"/>
          <w:szCs w:val="24"/>
        </w:rPr>
        <w:t xml:space="preserve"> alternative</w:t>
      </w:r>
      <w:r w:rsidR="00A37AB1" w:rsidRPr="00CB15B1">
        <w:rPr>
          <w:rFonts w:ascii="Times New Roman" w:hAnsi="Times New Roman"/>
          <w:sz w:val="24"/>
          <w:szCs w:val="24"/>
        </w:rPr>
        <w:t xml:space="preserve"> portfolios can </w:t>
      </w:r>
      <w:r w:rsidR="00337864">
        <w:rPr>
          <w:rFonts w:ascii="Times New Roman" w:hAnsi="Times New Roman"/>
          <w:sz w:val="24"/>
          <w:szCs w:val="24"/>
        </w:rPr>
        <w:t>be optimized to select</w:t>
      </w:r>
      <w:r w:rsidR="00A37AB1" w:rsidRPr="00CB15B1">
        <w:rPr>
          <w:rFonts w:ascii="Times New Roman" w:hAnsi="Times New Roman"/>
          <w:sz w:val="24"/>
          <w:szCs w:val="24"/>
        </w:rPr>
        <w:t xml:space="preserve">:  </w:t>
      </w:r>
      <w:r w:rsidRPr="00CB15B1">
        <w:rPr>
          <w:rFonts w:ascii="Times New Roman" w:hAnsi="Times New Roman"/>
          <w:sz w:val="24"/>
          <w:szCs w:val="24"/>
        </w:rPr>
        <w:t xml:space="preserve">a) </w:t>
      </w:r>
      <w:r w:rsidR="00A37AB1" w:rsidRPr="00CB15B1">
        <w:rPr>
          <w:rFonts w:ascii="Times New Roman" w:hAnsi="Times New Roman"/>
          <w:sz w:val="24"/>
          <w:szCs w:val="24"/>
        </w:rPr>
        <w:t>the utility’s preferred cost-effective plan</w:t>
      </w:r>
      <w:r w:rsidR="00CD7D85">
        <w:rPr>
          <w:rFonts w:ascii="Times New Roman" w:hAnsi="Times New Roman"/>
          <w:sz w:val="24"/>
          <w:szCs w:val="24"/>
        </w:rPr>
        <w:t xml:space="preserve"> with and without the Plant Bowen Units 1-2 in service</w:t>
      </w:r>
      <w:r w:rsidR="00A37AB1" w:rsidRPr="00CB15B1">
        <w:rPr>
          <w:rFonts w:ascii="Times New Roman" w:hAnsi="Times New Roman"/>
          <w:sz w:val="24"/>
          <w:szCs w:val="24"/>
        </w:rPr>
        <w:t xml:space="preserve">, b) a </w:t>
      </w:r>
      <w:r w:rsidR="00CD7D85">
        <w:rPr>
          <w:rFonts w:ascii="Times New Roman" w:hAnsi="Times New Roman"/>
          <w:sz w:val="24"/>
          <w:szCs w:val="24"/>
        </w:rPr>
        <w:t>“</w:t>
      </w:r>
      <w:r w:rsidRPr="00CB15B1">
        <w:rPr>
          <w:rFonts w:ascii="Times New Roman" w:hAnsi="Times New Roman"/>
          <w:sz w:val="24"/>
          <w:szCs w:val="24"/>
        </w:rPr>
        <w:t>least cost</w:t>
      </w:r>
      <w:r w:rsidR="00CD7D85">
        <w:rPr>
          <w:rFonts w:ascii="Times New Roman" w:hAnsi="Times New Roman"/>
          <w:sz w:val="24"/>
          <w:szCs w:val="24"/>
        </w:rPr>
        <w:t>”</w:t>
      </w:r>
      <w:r w:rsidR="00A37AB1" w:rsidRPr="00CB15B1">
        <w:rPr>
          <w:rFonts w:ascii="Times New Roman" w:hAnsi="Times New Roman"/>
          <w:sz w:val="24"/>
          <w:szCs w:val="24"/>
        </w:rPr>
        <w:t xml:space="preserve"> </w:t>
      </w:r>
      <w:r w:rsidR="00CD7D85">
        <w:rPr>
          <w:rFonts w:ascii="Times New Roman" w:hAnsi="Times New Roman"/>
          <w:sz w:val="24"/>
          <w:szCs w:val="24"/>
        </w:rPr>
        <w:t xml:space="preserve">portfolio on an NPVRR basis, </w:t>
      </w:r>
      <w:r w:rsidR="00A37AB1" w:rsidRPr="00CB15B1">
        <w:rPr>
          <w:rFonts w:ascii="Times New Roman" w:hAnsi="Times New Roman"/>
          <w:sz w:val="24"/>
          <w:szCs w:val="24"/>
        </w:rPr>
        <w:t>c</w:t>
      </w:r>
      <w:r w:rsidRPr="00CB15B1">
        <w:rPr>
          <w:rFonts w:ascii="Times New Roman" w:hAnsi="Times New Roman"/>
          <w:sz w:val="24"/>
          <w:szCs w:val="24"/>
        </w:rPr>
        <w:t>) increased renewable</w:t>
      </w:r>
      <w:r w:rsidR="00A37AB1" w:rsidRPr="00CB15B1">
        <w:rPr>
          <w:rFonts w:ascii="Times New Roman" w:hAnsi="Times New Roman"/>
          <w:sz w:val="24"/>
          <w:szCs w:val="24"/>
        </w:rPr>
        <w:t xml:space="preserve"> resources</w:t>
      </w:r>
      <w:r w:rsidR="00FB1E42">
        <w:rPr>
          <w:rFonts w:ascii="Times New Roman" w:hAnsi="Times New Roman"/>
          <w:sz w:val="24"/>
          <w:szCs w:val="24"/>
        </w:rPr>
        <w:t xml:space="preserve"> v</w:t>
      </w:r>
      <w:r w:rsidR="00547EE8">
        <w:rPr>
          <w:rFonts w:ascii="Times New Roman" w:hAnsi="Times New Roman"/>
          <w:sz w:val="24"/>
          <w:szCs w:val="24"/>
        </w:rPr>
        <w:t>ersus</w:t>
      </w:r>
      <w:r w:rsidR="00FB1E42">
        <w:rPr>
          <w:rFonts w:ascii="Times New Roman" w:hAnsi="Times New Roman"/>
          <w:sz w:val="24"/>
          <w:szCs w:val="24"/>
        </w:rPr>
        <w:t xml:space="preserve"> gas</w:t>
      </w:r>
      <w:r w:rsidR="00547EE8">
        <w:rPr>
          <w:rFonts w:ascii="Times New Roman" w:hAnsi="Times New Roman"/>
          <w:sz w:val="24"/>
          <w:szCs w:val="24"/>
        </w:rPr>
        <w:t xml:space="preserve"> resource</w:t>
      </w:r>
      <w:r w:rsidR="00337864">
        <w:rPr>
          <w:rFonts w:ascii="Times New Roman" w:hAnsi="Times New Roman"/>
          <w:sz w:val="24"/>
          <w:szCs w:val="24"/>
        </w:rPr>
        <w:t xml:space="preserve"> portfolio</w:t>
      </w:r>
      <w:r w:rsidR="00547EE8">
        <w:rPr>
          <w:rFonts w:ascii="Times New Roman" w:hAnsi="Times New Roman"/>
          <w:sz w:val="24"/>
          <w:szCs w:val="24"/>
        </w:rPr>
        <w:t>s</w:t>
      </w:r>
      <w:r w:rsidRPr="00CB15B1">
        <w:rPr>
          <w:rFonts w:ascii="Times New Roman" w:hAnsi="Times New Roman"/>
          <w:sz w:val="24"/>
          <w:szCs w:val="24"/>
        </w:rPr>
        <w:t>,</w:t>
      </w:r>
      <w:r w:rsidR="00A37AB1" w:rsidRPr="00CB15B1">
        <w:rPr>
          <w:rFonts w:ascii="Times New Roman" w:hAnsi="Times New Roman"/>
          <w:sz w:val="24"/>
          <w:szCs w:val="24"/>
        </w:rPr>
        <w:t xml:space="preserve"> or d</w:t>
      </w:r>
      <w:r w:rsidRPr="00CB15B1">
        <w:rPr>
          <w:rFonts w:ascii="Times New Roman" w:hAnsi="Times New Roman"/>
          <w:sz w:val="24"/>
          <w:szCs w:val="24"/>
        </w:rPr>
        <w:t xml:space="preserve">) </w:t>
      </w:r>
      <w:r w:rsidR="00A37AB1" w:rsidRPr="00CB15B1">
        <w:rPr>
          <w:rFonts w:ascii="Times New Roman" w:hAnsi="Times New Roman"/>
          <w:sz w:val="24"/>
          <w:szCs w:val="24"/>
        </w:rPr>
        <w:t xml:space="preserve">increased </w:t>
      </w:r>
      <w:r w:rsidRPr="00CB15B1">
        <w:rPr>
          <w:rFonts w:ascii="Times New Roman" w:hAnsi="Times New Roman"/>
          <w:sz w:val="24"/>
          <w:szCs w:val="24"/>
        </w:rPr>
        <w:t>semi-dispatchable</w:t>
      </w:r>
      <w:r w:rsidR="00A37AB1" w:rsidRPr="00CB15B1">
        <w:rPr>
          <w:rFonts w:ascii="Times New Roman" w:hAnsi="Times New Roman"/>
          <w:sz w:val="24"/>
          <w:szCs w:val="24"/>
        </w:rPr>
        <w:t xml:space="preserve"> renewable resources such as</w:t>
      </w:r>
      <w:r w:rsidRPr="00CB15B1">
        <w:rPr>
          <w:rFonts w:ascii="Times New Roman" w:hAnsi="Times New Roman"/>
          <w:sz w:val="24"/>
          <w:szCs w:val="24"/>
        </w:rPr>
        <w:t xml:space="preserve"> solar plus storage</w:t>
      </w:r>
      <w:r w:rsidR="00FB1E42">
        <w:rPr>
          <w:rFonts w:ascii="Times New Roman" w:hAnsi="Times New Roman"/>
          <w:sz w:val="24"/>
          <w:szCs w:val="24"/>
        </w:rPr>
        <w:t xml:space="preserve"> </w:t>
      </w:r>
      <w:r w:rsidR="00EF03D5">
        <w:rPr>
          <w:rFonts w:ascii="Times New Roman" w:hAnsi="Times New Roman"/>
          <w:sz w:val="24"/>
          <w:szCs w:val="24"/>
        </w:rPr>
        <w:t>versus</w:t>
      </w:r>
      <w:r w:rsidR="00FB1E42">
        <w:rPr>
          <w:rFonts w:ascii="Times New Roman" w:hAnsi="Times New Roman"/>
          <w:sz w:val="24"/>
          <w:szCs w:val="24"/>
        </w:rPr>
        <w:t xml:space="preserve"> gas</w:t>
      </w:r>
      <w:r w:rsidR="00337864">
        <w:rPr>
          <w:rFonts w:ascii="Times New Roman" w:hAnsi="Times New Roman"/>
          <w:sz w:val="24"/>
          <w:szCs w:val="24"/>
        </w:rPr>
        <w:t xml:space="preserve"> portfolios</w:t>
      </w:r>
      <w:r w:rsidRPr="00CB15B1">
        <w:rPr>
          <w:rFonts w:ascii="Times New Roman" w:hAnsi="Times New Roman"/>
          <w:sz w:val="24"/>
          <w:szCs w:val="24"/>
        </w:rPr>
        <w:t xml:space="preserve">.  </w:t>
      </w:r>
      <w:r w:rsidR="00FB1E42">
        <w:rPr>
          <w:rFonts w:ascii="Times New Roman" w:hAnsi="Times New Roman"/>
          <w:sz w:val="24"/>
          <w:szCs w:val="24"/>
        </w:rPr>
        <w:t xml:space="preserve"> In this manner, t</w:t>
      </w:r>
      <w:r w:rsidRPr="00CB15B1">
        <w:rPr>
          <w:rFonts w:ascii="Times New Roman" w:hAnsi="Times New Roman"/>
          <w:sz w:val="24"/>
          <w:szCs w:val="24"/>
        </w:rPr>
        <w:t xml:space="preserve">he IRP can </w:t>
      </w:r>
      <w:r w:rsidR="00547EE8">
        <w:rPr>
          <w:rFonts w:ascii="Times New Roman" w:hAnsi="Times New Roman"/>
          <w:sz w:val="24"/>
          <w:szCs w:val="24"/>
        </w:rPr>
        <w:t xml:space="preserve">meaningfully </w:t>
      </w:r>
      <w:r w:rsidRPr="00CB15B1">
        <w:rPr>
          <w:rFonts w:ascii="Times New Roman" w:hAnsi="Times New Roman"/>
          <w:sz w:val="24"/>
          <w:szCs w:val="24"/>
        </w:rPr>
        <w:t xml:space="preserve">evaluate </w:t>
      </w:r>
      <w:r w:rsidR="00337864">
        <w:rPr>
          <w:rFonts w:ascii="Times New Roman" w:hAnsi="Times New Roman"/>
          <w:sz w:val="24"/>
          <w:szCs w:val="24"/>
        </w:rPr>
        <w:t xml:space="preserve">economics of </w:t>
      </w:r>
      <w:r w:rsidR="007941D0">
        <w:rPr>
          <w:rFonts w:ascii="Times New Roman" w:hAnsi="Times New Roman"/>
          <w:sz w:val="24"/>
          <w:szCs w:val="24"/>
        </w:rPr>
        <w:t>alternatives</w:t>
      </w:r>
      <w:r w:rsidRPr="00CB15B1">
        <w:rPr>
          <w:rFonts w:ascii="Times New Roman" w:hAnsi="Times New Roman"/>
          <w:sz w:val="24"/>
          <w:szCs w:val="24"/>
        </w:rPr>
        <w:t xml:space="preserve"> to replacing the </w:t>
      </w:r>
      <w:r w:rsidR="00337864">
        <w:rPr>
          <w:rFonts w:ascii="Times New Roman" w:hAnsi="Times New Roman"/>
          <w:sz w:val="24"/>
          <w:szCs w:val="24"/>
        </w:rPr>
        <w:t xml:space="preserve">Plant </w:t>
      </w:r>
      <w:r w:rsidRPr="00CB15B1">
        <w:rPr>
          <w:rFonts w:ascii="Times New Roman" w:hAnsi="Times New Roman"/>
          <w:sz w:val="24"/>
          <w:szCs w:val="24"/>
        </w:rPr>
        <w:t>Bowen Units</w:t>
      </w:r>
      <w:r w:rsidR="00337864">
        <w:rPr>
          <w:rFonts w:ascii="Times New Roman" w:hAnsi="Times New Roman"/>
          <w:sz w:val="24"/>
          <w:szCs w:val="24"/>
        </w:rPr>
        <w:t xml:space="preserve"> 1-2</w:t>
      </w:r>
      <w:r w:rsidR="00A37AB1" w:rsidRPr="00CB15B1">
        <w:rPr>
          <w:rFonts w:ascii="Times New Roman" w:hAnsi="Times New Roman"/>
          <w:sz w:val="24"/>
          <w:szCs w:val="24"/>
        </w:rPr>
        <w:t xml:space="preserve"> </w:t>
      </w:r>
      <w:r w:rsidR="0092028C">
        <w:rPr>
          <w:rFonts w:ascii="Times New Roman" w:hAnsi="Times New Roman"/>
          <w:sz w:val="24"/>
          <w:szCs w:val="24"/>
        </w:rPr>
        <w:t>based on the market’s overall bid pool</w:t>
      </w:r>
      <w:r w:rsidRPr="00CB15B1">
        <w:rPr>
          <w:rFonts w:ascii="Times New Roman" w:hAnsi="Times New Roman"/>
          <w:sz w:val="24"/>
          <w:szCs w:val="24"/>
        </w:rPr>
        <w:t xml:space="preserve">.  </w:t>
      </w:r>
      <w:bookmarkStart w:id="3" w:name="_Hlk6831597"/>
    </w:p>
    <w:p w:rsidR="0060030B" w:rsidRPr="00337864" w:rsidRDefault="00C72B62" w:rsidP="005C6881">
      <w:pPr>
        <w:pStyle w:val="ListParagraph"/>
        <w:numPr>
          <w:ilvl w:val="0"/>
          <w:numId w:val="5"/>
        </w:numPr>
        <w:spacing w:line="480" w:lineRule="auto"/>
        <w:ind w:left="2160" w:hanging="720"/>
        <w:rPr>
          <w:rFonts w:ascii="Times New Roman" w:hAnsi="Times New Roman"/>
          <w:sz w:val="24"/>
          <w:szCs w:val="24"/>
        </w:rPr>
      </w:pPr>
      <w:r w:rsidRPr="00337864">
        <w:rPr>
          <w:rFonts w:ascii="Times New Roman" w:hAnsi="Times New Roman"/>
          <w:sz w:val="24"/>
          <w:szCs w:val="24"/>
        </w:rPr>
        <w:t xml:space="preserve">GPC should be directed to </w:t>
      </w:r>
      <w:r w:rsidR="00AF3F11">
        <w:rPr>
          <w:rFonts w:ascii="Times New Roman" w:hAnsi="Times New Roman"/>
          <w:sz w:val="24"/>
          <w:szCs w:val="24"/>
        </w:rPr>
        <w:t xml:space="preserve">select the top performing optimized portfolios to </w:t>
      </w:r>
      <w:r w:rsidRPr="00337864">
        <w:rPr>
          <w:rFonts w:ascii="Times New Roman" w:hAnsi="Times New Roman"/>
          <w:sz w:val="24"/>
          <w:szCs w:val="24"/>
        </w:rPr>
        <w:t xml:space="preserve">use </w:t>
      </w:r>
      <w:r w:rsidR="00AF3F11">
        <w:rPr>
          <w:rFonts w:ascii="Times New Roman" w:hAnsi="Times New Roman"/>
          <w:sz w:val="24"/>
          <w:szCs w:val="24"/>
        </w:rPr>
        <w:t xml:space="preserve">the Strategist </w:t>
      </w:r>
      <w:r w:rsidR="00C6694E" w:rsidRPr="00337864">
        <w:rPr>
          <w:rFonts w:ascii="Times New Roman" w:hAnsi="Times New Roman"/>
          <w:sz w:val="24"/>
          <w:szCs w:val="24"/>
        </w:rPr>
        <w:t xml:space="preserve">production cost model </w:t>
      </w:r>
      <w:r w:rsidRPr="00337864">
        <w:rPr>
          <w:rFonts w:ascii="Times New Roman" w:hAnsi="Times New Roman"/>
          <w:sz w:val="24"/>
          <w:szCs w:val="24"/>
        </w:rPr>
        <w:t xml:space="preserve">to then </w:t>
      </w:r>
      <w:r w:rsidR="0060030B" w:rsidRPr="00337864">
        <w:rPr>
          <w:rFonts w:ascii="Times New Roman" w:hAnsi="Times New Roman"/>
          <w:sz w:val="24"/>
          <w:szCs w:val="24"/>
        </w:rPr>
        <w:t>run sensitivities similar to the nine crafted for the Generation Mix study</w:t>
      </w:r>
      <w:r w:rsidRPr="00337864">
        <w:rPr>
          <w:rFonts w:ascii="Times New Roman" w:hAnsi="Times New Roman"/>
          <w:sz w:val="24"/>
          <w:szCs w:val="24"/>
        </w:rPr>
        <w:t xml:space="preserve">, </w:t>
      </w:r>
      <w:r w:rsidR="0060030B" w:rsidRPr="00337864">
        <w:rPr>
          <w:rFonts w:ascii="Times New Roman" w:hAnsi="Times New Roman"/>
          <w:sz w:val="24"/>
          <w:szCs w:val="24"/>
        </w:rPr>
        <w:t>which will provide more valuable information than in the IRP Generation Mix study.</w:t>
      </w:r>
    </w:p>
    <w:bookmarkEnd w:id="3"/>
    <w:p w:rsidR="0060030B" w:rsidRPr="00CB15B1" w:rsidRDefault="0060030B" w:rsidP="005C6881">
      <w:pPr>
        <w:pStyle w:val="ListParagraph"/>
        <w:numPr>
          <w:ilvl w:val="0"/>
          <w:numId w:val="2"/>
        </w:numPr>
        <w:spacing w:line="480" w:lineRule="auto"/>
        <w:rPr>
          <w:rFonts w:ascii="Times New Roman" w:hAnsi="Times New Roman"/>
          <w:sz w:val="24"/>
          <w:szCs w:val="24"/>
        </w:rPr>
      </w:pPr>
      <w:r w:rsidRPr="00CB15B1">
        <w:rPr>
          <w:rFonts w:ascii="Times New Roman" w:hAnsi="Times New Roman"/>
          <w:sz w:val="24"/>
          <w:szCs w:val="24"/>
          <w:u w:val="single"/>
        </w:rPr>
        <w:lastRenderedPageBreak/>
        <w:t>Issues for modeling and bid evaluation</w:t>
      </w:r>
      <w:r w:rsidR="00C72B62" w:rsidRPr="00CB15B1">
        <w:rPr>
          <w:rFonts w:ascii="Times New Roman" w:hAnsi="Times New Roman"/>
          <w:sz w:val="24"/>
          <w:szCs w:val="24"/>
        </w:rPr>
        <w:t>.  Should the Commission adopt an all-source RFP, it should be mindful that modeling should be fair and transparent and based on agreed upon assumptions, as follows:</w:t>
      </w:r>
    </w:p>
    <w:p w:rsidR="00337864" w:rsidRDefault="0060030B" w:rsidP="005C6881">
      <w:pPr>
        <w:pStyle w:val="ListParagraph"/>
        <w:numPr>
          <w:ilvl w:val="0"/>
          <w:numId w:val="3"/>
        </w:numPr>
        <w:spacing w:line="480" w:lineRule="auto"/>
        <w:ind w:left="2160" w:hanging="720"/>
        <w:rPr>
          <w:rFonts w:ascii="Times New Roman" w:hAnsi="Times New Roman"/>
          <w:sz w:val="24"/>
          <w:szCs w:val="24"/>
        </w:rPr>
      </w:pPr>
      <w:r w:rsidRPr="00CB15B1">
        <w:rPr>
          <w:rFonts w:ascii="Times New Roman" w:hAnsi="Times New Roman"/>
          <w:sz w:val="24"/>
          <w:szCs w:val="24"/>
        </w:rPr>
        <w:t>Allow the capacity values developed in the RC</w:t>
      </w:r>
      <w:r w:rsidR="00AF3F11">
        <w:rPr>
          <w:rFonts w:ascii="Times New Roman" w:hAnsi="Times New Roman"/>
          <w:sz w:val="24"/>
          <w:szCs w:val="24"/>
        </w:rPr>
        <w:t>B F</w:t>
      </w:r>
      <w:r w:rsidRPr="00CB15B1">
        <w:rPr>
          <w:rFonts w:ascii="Times New Roman" w:hAnsi="Times New Roman"/>
          <w:sz w:val="24"/>
          <w:szCs w:val="24"/>
        </w:rPr>
        <w:t>ramework to be assigned to renewable technolog</w:t>
      </w:r>
      <w:r w:rsidR="00AF3F11">
        <w:rPr>
          <w:rFonts w:ascii="Times New Roman" w:hAnsi="Times New Roman"/>
          <w:sz w:val="24"/>
          <w:szCs w:val="24"/>
        </w:rPr>
        <w:t>y bids</w:t>
      </w:r>
      <w:r w:rsidRPr="00CB15B1">
        <w:rPr>
          <w:rFonts w:ascii="Times New Roman" w:hAnsi="Times New Roman"/>
          <w:sz w:val="24"/>
          <w:szCs w:val="24"/>
        </w:rPr>
        <w:t xml:space="preserve"> to </w:t>
      </w:r>
      <w:r w:rsidR="00AF3F11">
        <w:rPr>
          <w:rFonts w:ascii="Times New Roman" w:hAnsi="Times New Roman"/>
          <w:sz w:val="24"/>
          <w:szCs w:val="24"/>
        </w:rPr>
        <w:t xml:space="preserve">allow the same to </w:t>
      </w:r>
      <w:r w:rsidRPr="00CB15B1">
        <w:rPr>
          <w:rFonts w:ascii="Times New Roman" w:hAnsi="Times New Roman"/>
          <w:sz w:val="24"/>
          <w:szCs w:val="24"/>
        </w:rPr>
        <w:t xml:space="preserve">compete </w:t>
      </w:r>
      <w:r w:rsidR="00AF3F11">
        <w:rPr>
          <w:rFonts w:ascii="Times New Roman" w:hAnsi="Times New Roman"/>
          <w:sz w:val="24"/>
          <w:szCs w:val="24"/>
        </w:rPr>
        <w:t>to fill</w:t>
      </w:r>
      <w:r w:rsidRPr="00CB15B1">
        <w:rPr>
          <w:rFonts w:ascii="Times New Roman" w:hAnsi="Times New Roman"/>
          <w:sz w:val="24"/>
          <w:szCs w:val="24"/>
        </w:rPr>
        <w:t xml:space="preserve"> a part of the system capacity </w:t>
      </w:r>
      <w:r w:rsidR="00AF3F11">
        <w:rPr>
          <w:rFonts w:ascii="Times New Roman" w:hAnsi="Times New Roman"/>
          <w:sz w:val="24"/>
          <w:szCs w:val="24"/>
        </w:rPr>
        <w:t>based on the risk-adjusted, yet</w:t>
      </w:r>
      <w:r w:rsidRPr="00CB15B1">
        <w:rPr>
          <w:rFonts w:ascii="Times New Roman" w:hAnsi="Times New Roman"/>
          <w:sz w:val="24"/>
          <w:szCs w:val="24"/>
        </w:rPr>
        <w:t xml:space="preserve"> “apples to apples” basis</w:t>
      </w:r>
      <w:r w:rsidR="00AF3F11">
        <w:rPr>
          <w:rFonts w:ascii="Times New Roman" w:hAnsi="Times New Roman"/>
          <w:sz w:val="24"/>
          <w:szCs w:val="24"/>
        </w:rPr>
        <w:t xml:space="preserve"> already used by GPC</w:t>
      </w:r>
      <w:r w:rsidRPr="00CB15B1">
        <w:rPr>
          <w:rFonts w:ascii="Times New Roman" w:hAnsi="Times New Roman"/>
          <w:sz w:val="24"/>
          <w:szCs w:val="24"/>
        </w:rPr>
        <w:t>;</w:t>
      </w:r>
    </w:p>
    <w:p w:rsidR="00C72B62" w:rsidRPr="00337864" w:rsidRDefault="0060030B" w:rsidP="005C6881">
      <w:pPr>
        <w:pStyle w:val="ListParagraph"/>
        <w:numPr>
          <w:ilvl w:val="0"/>
          <w:numId w:val="3"/>
        </w:numPr>
        <w:spacing w:line="480" w:lineRule="auto"/>
        <w:ind w:left="2160" w:hanging="720"/>
        <w:rPr>
          <w:rFonts w:ascii="Times New Roman" w:hAnsi="Times New Roman"/>
          <w:sz w:val="24"/>
          <w:szCs w:val="24"/>
        </w:rPr>
      </w:pPr>
      <w:r w:rsidRPr="00337864">
        <w:rPr>
          <w:rFonts w:ascii="Times New Roman" w:hAnsi="Times New Roman"/>
          <w:sz w:val="24"/>
          <w:szCs w:val="24"/>
        </w:rPr>
        <w:t xml:space="preserve">Modeling assumptions </w:t>
      </w:r>
      <w:r w:rsidR="00C72B62" w:rsidRPr="00337864">
        <w:rPr>
          <w:rFonts w:ascii="Times New Roman" w:hAnsi="Times New Roman"/>
          <w:sz w:val="24"/>
          <w:szCs w:val="24"/>
        </w:rPr>
        <w:t xml:space="preserve">for storage should include benefits not captured in </w:t>
      </w:r>
      <w:r w:rsidR="00C6694E" w:rsidRPr="00337864">
        <w:rPr>
          <w:rFonts w:ascii="Times New Roman" w:hAnsi="Times New Roman"/>
          <w:sz w:val="24"/>
          <w:szCs w:val="24"/>
        </w:rPr>
        <w:t>the capacity expansion planning model, such as sub-hourly voltage support and regulation reserves</w:t>
      </w:r>
      <w:r w:rsidR="00C72B62" w:rsidRPr="00337864">
        <w:rPr>
          <w:rFonts w:ascii="Times New Roman" w:hAnsi="Times New Roman"/>
          <w:sz w:val="24"/>
          <w:szCs w:val="24"/>
        </w:rPr>
        <w:t>.</w:t>
      </w:r>
    </w:p>
    <w:p w:rsidR="00855A85" w:rsidRDefault="00855A85" w:rsidP="00D96CF4">
      <w:pPr>
        <w:pStyle w:val="Question"/>
        <w:keepNext/>
        <w:ind w:firstLine="0"/>
        <w:jc w:val="both"/>
        <w:rPr>
          <w:b/>
        </w:rPr>
      </w:pPr>
    </w:p>
    <w:p w:rsidR="00E6647B" w:rsidRPr="00406218" w:rsidRDefault="00E6647B" w:rsidP="00D96CF4">
      <w:pPr>
        <w:pStyle w:val="Question"/>
        <w:keepNext/>
        <w:ind w:firstLine="0"/>
        <w:jc w:val="both"/>
      </w:pPr>
      <w:r w:rsidRPr="00406218">
        <w:rPr>
          <w:b/>
        </w:rPr>
        <w:t>I</w:t>
      </w:r>
      <w:r>
        <w:rPr>
          <w:b/>
        </w:rPr>
        <w:t>II</w:t>
      </w:r>
      <w:r w:rsidR="008578D5">
        <w:rPr>
          <w:b/>
        </w:rPr>
        <w:t xml:space="preserve">. </w:t>
      </w:r>
      <w:r w:rsidR="008578D5">
        <w:rPr>
          <w:b/>
        </w:rPr>
        <w:tab/>
      </w:r>
      <w:r w:rsidR="008578D5">
        <w:rPr>
          <w:b/>
          <w:u w:val="single"/>
        </w:rPr>
        <w:t>Overview of Colorado ERP Process and 2016 Xcel ERP</w:t>
      </w:r>
    </w:p>
    <w:p w:rsidR="00E6647B" w:rsidRDefault="00E6647B" w:rsidP="00955BA4">
      <w:pPr>
        <w:keepNext/>
        <w:jc w:val="both"/>
        <w:rPr>
          <w:b/>
          <w:bCs/>
        </w:rPr>
      </w:pPr>
      <w:r>
        <w:rPr>
          <w:b/>
          <w:bCs/>
        </w:rPr>
        <w:t>Q.</w:t>
      </w:r>
      <w:r>
        <w:rPr>
          <w:b/>
          <w:bCs/>
        </w:rPr>
        <w:tab/>
      </w:r>
      <w:r w:rsidR="008578D5">
        <w:rPr>
          <w:b/>
          <w:bCs/>
        </w:rPr>
        <w:t>Please describe the purpose of this section</w:t>
      </w:r>
      <w:r>
        <w:rPr>
          <w:b/>
          <w:bCs/>
        </w:rPr>
        <w:t>.</w:t>
      </w:r>
    </w:p>
    <w:p w:rsidR="008578D5" w:rsidRPr="008578D5" w:rsidRDefault="00E6647B" w:rsidP="008578D5">
      <w:pPr>
        <w:spacing w:line="480" w:lineRule="auto"/>
        <w:jc w:val="both"/>
      </w:pPr>
      <w:r>
        <w:t>A.</w:t>
      </w:r>
      <w:r>
        <w:tab/>
        <w:t>The</w:t>
      </w:r>
      <w:r w:rsidR="008578D5">
        <w:t xml:space="preserve"> purpose of this section is to inform the Commission regarding the all-source RFP process employed in Colorado as relevant to </w:t>
      </w:r>
      <w:r w:rsidR="008578D5" w:rsidRPr="008578D5">
        <w:t xml:space="preserve">how </w:t>
      </w:r>
      <w:r w:rsidR="008578D5">
        <w:t xml:space="preserve">and whether Georgia </w:t>
      </w:r>
      <w:r w:rsidR="008578D5" w:rsidRPr="008578D5">
        <w:t xml:space="preserve">may replicate similar low cost, clean energy results </w:t>
      </w:r>
      <w:r w:rsidR="005155E3">
        <w:t>in</w:t>
      </w:r>
      <w:r w:rsidR="005155E3" w:rsidRPr="008578D5">
        <w:t xml:space="preserve"> </w:t>
      </w:r>
      <w:r w:rsidR="008578D5" w:rsidRPr="008578D5">
        <w:t>its IRP</w:t>
      </w:r>
      <w:r w:rsidR="008578D5">
        <w:t xml:space="preserve"> through </w:t>
      </w:r>
      <w:r w:rsidR="005D1A28">
        <w:t>all-source competitive</w:t>
      </w:r>
      <w:r w:rsidR="008578D5">
        <w:t xml:space="preserve"> bidding</w:t>
      </w:r>
      <w:r w:rsidR="008578D5" w:rsidRPr="008578D5">
        <w:t>.</w:t>
      </w:r>
      <w:r w:rsidR="008578D5">
        <w:t xml:space="preserve">   To be clear, my goal is not to tout Colorado</w:t>
      </w:r>
      <w:r w:rsidR="00FB1E42">
        <w:t>’s process</w:t>
      </w:r>
      <w:r w:rsidR="008578D5">
        <w:t xml:space="preserve"> as superior to Georgia’s</w:t>
      </w:r>
      <w:r w:rsidR="00FB1E42">
        <w:t xml:space="preserve">, rather </w:t>
      </w:r>
      <w:r w:rsidR="008578D5">
        <w:t xml:space="preserve">to provide </w:t>
      </w:r>
      <w:r w:rsidR="00FB1E42">
        <w:t xml:space="preserve">the Commission </w:t>
      </w:r>
      <w:r w:rsidR="008578D5">
        <w:t>a</w:t>
      </w:r>
      <w:r w:rsidR="00FB1E42">
        <w:t xml:space="preserve"> perspective</w:t>
      </w:r>
      <w:r w:rsidR="008578D5">
        <w:t xml:space="preserve"> </w:t>
      </w:r>
      <w:r w:rsidR="006079F6">
        <w:t>on</w:t>
      </w:r>
      <w:r w:rsidR="008578D5">
        <w:t xml:space="preserve"> </w:t>
      </w:r>
      <w:r w:rsidR="00EC219B">
        <w:t xml:space="preserve">how </w:t>
      </w:r>
      <w:r w:rsidR="008578D5">
        <w:t xml:space="preserve">a jurisdiction </w:t>
      </w:r>
      <w:r w:rsidR="00FB1E42">
        <w:t>with similar characteristics</w:t>
      </w:r>
      <w:r w:rsidR="008578D5">
        <w:t xml:space="preserve"> </w:t>
      </w:r>
      <w:r w:rsidR="005155E3">
        <w:t xml:space="preserve">undertakes </w:t>
      </w:r>
      <w:r w:rsidR="00855A85">
        <w:t>all-source</w:t>
      </w:r>
      <w:r w:rsidR="008578D5">
        <w:t xml:space="preserve"> resource acquisition</w:t>
      </w:r>
      <w:r w:rsidR="00855A85">
        <w:t>s</w:t>
      </w:r>
      <w:r w:rsidR="006079F6">
        <w:t xml:space="preserve"> with successful results</w:t>
      </w:r>
      <w:r w:rsidR="008578D5">
        <w:t>.</w:t>
      </w:r>
    </w:p>
    <w:p w:rsidR="008578D5" w:rsidRPr="008578D5" w:rsidRDefault="00E6647B" w:rsidP="00FE713A">
      <w:pPr>
        <w:keepNext/>
        <w:spacing w:line="480" w:lineRule="auto"/>
        <w:jc w:val="both"/>
        <w:rPr>
          <w:b/>
        </w:rPr>
      </w:pPr>
      <w:r w:rsidRPr="008578D5">
        <w:rPr>
          <w:b/>
        </w:rPr>
        <w:lastRenderedPageBreak/>
        <w:t xml:space="preserve"> </w:t>
      </w:r>
      <w:r w:rsidR="008578D5" w:rsidRPr="008578D5">
        <w:rPr>
          <w:b/>
        </w:rPr>
        <w:t>Q</w:t>
      </w:r>
      <w:r w:rsidRPr="008578D5">
        <w:rPr>
          <w:b/>
        </w:rPr>
        <w:t>.</w:t>
      </w:r>
      <w:r w:rsidR="008578D5" w:rsidRPr="008578D5">
        <w:rPr>
          <w:b/>
        </w:rPr>
        <w:tab/>
        <w:t>Please provide an overview of the Colorado ERP process.</w:t>
      </w:r>
    </w:p>
    <w:p w:rsidR="008578D5" w:rsidRDefault="008578D5" w:rsidP="008578D5">
      <w:pPr>
        <w:spacing w:line="480" w:lineRule="auto"/>
        <w:jc w:val="both"/>
      </w:pPr>
      <w:r>
        <w:t>A.</w:t>
      </w:r>
      <w:r>
        <w:tab/>
        <w:t>Like Georgia, Colorado relies heavily on modeling in its ERP process, which utilities must bring forward every four years.  Capacity expansion modeling such as Str</w:t>
      </w:r>
      <w:r w:rsidRPr="00C74454">
        <w:t xml:space="preserve">ategist </w:t>
      </w:r>
      <w:r>
        <w:t xml:space="preserve">is the backbone, </w:t>
      </w:r>
      <w:r w:rsidR="00401124">
        <w:t>and</w:t>
      </w:r>
      <w:r>
        <w:t xml:space="preserve"> there are </w:t>
      </w:r>
      <w:r w:rsidR="0071060E">
        <w:t>analogous</w:t>
      </w:r>
      <w:r>
        <w:t xml:space="preserve"> studies for renewable effective load carrying capacity (“ELCC”), renewable integration costs and limits, load growth, </w:t>
      </w:r>
      <w:r w:rsidR="0071060E">
        <w:t xml:space="preserve">and </w:t>
      </w:r>
      <w:r>
        <w:t xml:space="preserve">fuel costs, </w:t>
      </w:r>
      <w:r w:rsidR="00855A85">
        <w:t>among</w:t>
      </w:r>
      <w:r>
        <w:t xml:space="preserve"> others.  Demand-side management (“DSM”) and retail scale distributed generation are approved in separate applications from an ERP, and the approved capacity and energy need </w:t>
      </w:r>
      <w:r w:rsidR="005155E3">
        <w:t>take into account</w:t>
      </w:r>
      <w:r>
        <w:t xml:space="preserve"> the results of those proceedings.</w:t>
      </w:r>
    </w:p>
    <w:p w:rsidR="008578D5" w:rsidRPr="00B45141" w:rsidRDefault="008578D5" w:rsidP="008578D5">
      <w:pPr>
        <w:spacing w:line="480" w:lineRule="auto"/>
        <w:jc w:val="both"/>
        <w:rPr>
          <w:b/>
        </w:rPr>
      </w:pPr>
      <w:r w:rsidRPr="00B45141">
        <w:rPr>
          <w:b/>
        </w:rPr>
        <w:t>Q.</w:t>
      </w:r>
      <w:r w:rsidRPr="00B45141">
        <w:rPr>
          <w:b/>
        </w:rPr>
        <w:tab/>
        <w:t>How is the ERP decided by the Commission?</w:t>
      </w:r>
    </w:p>
    <w:p w:rsidR="00B45141" w:rsidRDefault="008578D5" w:rsidP="008578D5">
      <w:pPr>
        <w:spacing w:line="480" w:lineRule="auto"/>
        <w:jc w:val="both"/>
      </w:pPr>
      <w:r>
        <w:t>A.</w:t>
      </w:r>
      <w:r>
        <w:tab/>
        <w:t>The ERP is bifurcated into two phases.  In P</w:t>
      </w:r>
      <w:r w:rsidRPr="00C74454">
        <w:t xml:space="preserve">hase </w:t>
      </w:r>
      <w:r w:rsidR="00743D71">
        <w:t>1</w:t>
      </w:r>
      <w:r>
        <w:t xml:space="preserve">, the utility presents an application similar to the IRP.   </w:t>
      </w:r>
      <w:r w:rsidRPr="00C74454">
        <w:t>Model</w:t>
      </w:r>
      <w:r w:rsidR="00FB1E42">
        <w:t>ing</w:t>
      </w:r>
      <w:r w:rsidRPr="00C74454">
        <w:t xml:space="preserve"> runs </w:t>
      </w:r>
      <w:r w:rsidR="00FB1E42">
        <w:t xml:space="preserve">and input studies </w:t>
      </w:r>
      <w:r>
        <w:t>provide</w:t>
      </w:r>
      <w:r w:rsidR="0071060E">
        <w:t xml:space="preserve"> indicative</w:t>
      </w:r>
      <w:r w:rsidRPr="00C74454">
        <w:t xml:space="preserve"> </w:t>
      </w:r>
      <w:r>
        <w:t>information that feeds into the Colorado Commission’s</w:t>
      </w:r>
      <w:r w:rsidRPr="00C74454">
        <w:t xml:space="preserve"> determin</w:t>
      </w:r>
      <w:r>
        <w:t>ation of</w:t>
      </w:r>
      <w:r w:rsidRPr="00C74454">
        <w:t xml:space="preserve"> </w:t>
      </w:r>
      <w:r>
        <w:t xml:space="preserve">the </w:t>
      </w:r>
      <w:r w:rsidRPr="00C74454">
        <w:t>resource need</w:t>
      </w:r>
      <w:r w:rsidR="00401124">
        <w:t>.  The litigation in</w:t>
      </w:r>
      <w:r>
        <w:t xml:space="preserve"> Phase 1 centers on the modeling assumptions that will be used to conduct the all-source RFP</w:t>
      </w:r>
      <w:r w:rsidR="00FB1E42">
        <w:t xml:space="preserve"> bid evaluation</w:t>
      </w:r>
      <w:r>
        <w:t xml:space="preserve">, including the capacity need, </w:t>
      </w:r>
      <w:r w:rsidR="00722DAC">
        <w:t xml:space="preserve">the approved studies, modeling </w:t>
      </w:r>
      <w:r w:rsidR="00FB1E42">
        <w:t>of sensitivities</w:t>
      </w:r>
      <w:r w:rsidR="00722DAC">
        <w:t xml:space="preserve">, </w:t>
      </w:r>
      <w:r w:rsidR="00B45141">
        <w:t xml:space="preserve">the RFP documents as well as model contracts, </w:t>
      </w:r>
      <w:r w:rsidR="00722DAC">
        <w:t xml:space="preserve">and </w:t>
      </w:r>
      <w:r w:rsidR="00A06BFE">
        <w:t xml:space="preserve">other </w:t>
      </w:r>
      <w:r w:rsidR="00FB1E42">
        <w:t>policy matters</w:t>
      </w:r>
      <w:r w:rsidR="00722DAC">
        <w:t>.</w:t>
      </w:r>
      <w:r w:rsidR="00B45141">
        <w:t xml:space="preserve">   </w:t>
      </w:r>
      <w:r w:rsidR="00AE6869">
        <w:t xml:space="preserve">The capacity need to be filled in the Xcel RFP is measured on an annual basis for a summer peaking system.  However, no decisions are made in Phase 1 as to </w:t>
      </w:r>
      <w:r w:rsidR="00BD4FA4">
        <w:t>the technologies</w:t>
      </w:r>
      <w:r w:rsidR="00AE6869">
        <w:t xml:space="preserve"> that </w:t>
      </w:r>
      <w:r w:rsidR="00BD4FA4">
        <w:t xml:space="preserve">would fill that </w:t>
      </w:r>
      <w:r w:rsidR="00AE6869">
        <w:t xml:space="preserve">capacity need.  </w:t>
      </w:r>
    </w:p>
    <w:p w:rsidR="00AE6869" w:rsidRDefault="00B45141" w:rsidP="00AE6869">
      <w:pPr>
        <w:spacing w:line="480" w:lineRule="auto"/>
        <w:jc w:val="both"/>
      </w:pPr>
      <w:r>
        <w:tab/>
      </w:r>
      <w:r>
        <w:tab/>
      </w:r>
      <w:r w:rsidR="00AE6869">
        <w:t xml:space="preserve">The Commission reviews the studies and base case model runs, and then approves a resource need to be targeted for acquisition. The Commission issues its Phase 1 Decision, </w:t>
      </w:r>
      <w:r w:rsidR="00AE6869">
        <w:lastRenderedPageBreak/>
        <w:t xml:space="preserve">directing the utility to conduct the all-source RFP within the </w:t>
      </w:r>
      <w:r w:rsidR="00AE6869" w:rsidRPr="001910A5">
        <w:t xml:space="preserve">parameters defined </w:t>
      </w:r>
      <w:r w:rsidR="00AE6869">
        <w:t xml:space="preserve">by </w:t>
      </w:r>
      <w:r w:rsidR="00AE6869" w:rsidRPr="001910A5">
        <w:t>that decision</w:t>
      </w:r>
      <w:r w:rsidR="00AE6869">
        <w:t>.</w:t>
      </w:r>
      <w:r w:rsidR="00AE6869">
        <w:rPr>
          <w:rStyle w:val="FootnoteReference"/>
        </w:rPr>
        <w:footnoteReference w:id="5"/>
      </w:r>
      <w:r w:rsidR="00AE6869">
        <w:t xml:space="preserve">  </w:t>
      </w:r>
      <w:r w:rsidR="00AE6869">
        <w:tab/>
      </w:r>
    </w:p>
    <w:p w:rsidR="00AE6869" w:rsidRPr="00AE6869" w:rsidRDefault="00AE6869" w:rsidP="00FE713A">
      <w:pPr>
        <w:keepNext/>
        <w:jc w:val="both"/>
        <w:rPr>
          <w:b/>
        </w:rPr>
      </w:pPr>
      <w:r w:rsidRPr="00AE6869">
        <w:rPr>
          <w:b/>
        </w:rPr>
        <w:t>Q.</w:t>
      </w:r>
      <w:r w:rsidRPr="00AE6869">
        <w:rPr>
          <w:b/>
        </w:rPr>
        <w:tab/>
        <w:t xml:space="preserve">How is the capacity expansion model configured to </w:t>
      </w:r>
      <w:r>
        <w:rPr>
          <w:b/>
        </w:rPr>
        <w:t>attribute</w:t>
      </w:r>
      <w:r w:rsidRPr="00AE6869">
        <w:rPr>
          <w:b/>
        </w:rPr>
        <w:t xml:space="preserve"> firm capacity </w:t>
      </w:r>
      <w:r>
        <w:rPr>
          <w:b/>
        </w:rPr>
        <w:t>values to</w:t>
      </w:r>
      <w:r w:rsidRPr="00AE6869">
        <w:rPr>
          <w:b/>
        </w:rPr>
        <w:t xml:space="preserve"> renewable resources?</w:t>
      </w:r>
    </w:p>
    <w:p w:rsidR="00B45141" w:rsidRDefault="00AE6869" w:rsidP="00AE6869">
      <w:pPr>
        <w:spacing w:line="480" w:lineRule="auto"/>
        <w:jc w:val="both"/>
      </w:pPr>
      <w:r>
        <w:t>A.</w:t>
      </w:r>
      <w:r>
        <w:tab/>
      </w:r>
      <w:bookmarkStart w:id="4" w:name="_Hlk6831794"/>
      <w:r w:rsidR="00B45141">
        <w:t xml:space="preserve">The ELCC </w:t>
      </w:r>
      <w:r w:rsidR="0071060E">
        <w:t xml:space="preserve">studies </w:t>
      </w:r>
      <w:r w:rsidR="00B45141">
        <w:t xml:space="preserve">for renewables </w:t>
      </w:r>
      <w:r w:rsidR="0071060E">
        <w:t>are</w:t>
      </w:r>
      <w:r w:rsidR="00B45141">
        <w:t xml:space="preserve"> used for the model to assign a </w:t>
      </w:r>
      <w:r w:rsidR="0071060E">
        <w:t xml:space="preserve">firm </w:t>
      </w:r>
      <w:r w:rsidR="00B45141">
        <w:t>capacity cr</w:t>
      </w:r>
      <w:r w:rsidR="0071060E">
        <w:t>edit</w:t>
      </w:r>
      <w:r>
        <w:t xml:space="preserve"> or reliability contribution</w:t>
      </w:r>
      <w:r w:rsidR="0071060E">
        <w:t xml:space="preserve"> to each renewable resource</w:t>
      </w:r>
      <w:r>
        <w:t xml:space="preserve"> technology</w:t>
      </w:r>
      <w:r w:rsidR="00B45141">
        <w:t xml:space="preserve">.  </w:t>
      </w:r>
      <w:bookmarkEnd w:id="4"/>
      <w:r>
        <w:t xml:space="preserve"> </w:t>
      </w:r>
      <w:r w:rsidR="00B45141" w:rsidRPr="001910A5">
        <w:t xml:space="preserve">In the 2016 </w:t>
      </w:r>
      <w:r w:rsidR="001910A5">
        <w:t xml:space="preserve">Xcel </w:t>
      </w:r>
      <w:r>
        <w:t>ERP, the ELCC</w:t>
      </w:r>
      <w:r w:rsidR="00B45141" w:rsidRPr="001910A5">
        <w:t xml:space="preserve"> values </w:t>
      </w:r>
      <w:r w:rsidR="001910A5" w:rsidRPr="001910A5">
        <w:t>varied for incremental additions based on geographic location and technology between 8.4 – 14 percent for wind energy and 27 – 52 percent for solar energy.</w:t>
      </w:r>
      <w:r w:rsidR="001910A5" w:rsidRPr="001910A5">
        <w:rPr>
          <w:rStyle w:val="FootnoteReference"/>
        </w:rPr>
        <w:footnoteReference w:id="6"/>
      </w:r>
      <w:r w:rsidR="0071060E">
        <w:t xml:space="preserve">  </w:t>
      </w:r>
      <w:r w:rsidR="00A06BFE">
        <w:t xml:space="preserve"> </w:t>
      </w:r>
      <w:r w:rsidR="0071060E">
        <w:t>The ELCC represents a risk-adjusted figure for capacity based on the 8760 hourly analysis that is</w:t>
      </w:r>
      <w:r>
        <w:t xml:space="preserve"> studied</w:t>
      </w:r>
      <w:r w:rsidR="0071060E">
        <w:t xml:space="preserve">.  </w:t>
      </w:r>
      <w:r w:rsidR="0071060E" w:rsidRPr="0071060E">
        <w:t xml:space="preserve">There is not a performance guarantee associated with renewable </w:t>
      </w:r>
      <w:r w:rsidR="00401124">
        <w:t>resources</w:t>
      </w:r>
      <w:r w:rsidR="0071060E" w:rsidRPr="0071060E">
        <w:t xml:space="preserve">, because </w:t>
      </w:r>
      <w:r w:rsidR="00401124">
        <w:t>capacity</w:t>
      </w:r>
      <w:r w:rsidR="0071060E" w:rsidRPr="0071060E">
        <w:t xml:space="preserve"> values are factored into the total system capacity and not singled out for reliability on a one-off basis</w:t>
      </w:r>
      <w:r w:rsidR="0071060E">
        <w:t>.  There are contractual remedies for performance in the agreements ultimately reached with winning bidders.</w:t>
      </w:r>
    </w:p>
    <w:p w:rsidR="00B45141" w:rsidRPr="00B45141" w:rsidRDefault="00B45141" w:rsidP="008578D5">
      <w:pPr>
        <w:spacing w:line="480" w:lineRule="auto"/>
        <w:jc w:val="both"/>
        <w:rPr>
          <w:b/>
        </w:rPr>
      </w:pPr>
      <w:r w:rsidRPr="00B45141">
        <w:rPr>
          <w:b/>
        </w:rPr>
        <w:t>Q.</w:t>
      </w:r>
      <w:r w:rsidRPr="00B45141">
        <w:rPr>
          <w:b/>
        </w:rPr>
        <w:tab/>
        <w:t>What occurs in Phase 2 of an ERP?</w:t>
      </w:r>
    </w:p>
    <w:p w:rsidR="00762669" w:rsidRDefault="008578D5" w:rsidP="00762669">
      <w:pPr>
        <w:spacing w:line="480" w:lineRule="auto"/>
        <w:jc w:val="both"/>
      </w:pPr>
      <w:r w:rsidRPr="001910A5">
        <w:t xml:space="preserve"> </w:t>
      </w:r>
      <w:r w:rsidR="00B45141" w:rsidRPr="001910A5">
        <w:t>A.</w:t>
      </w:r>
      <w:r w:rsidR="00B45141" w:rsidRPr="001910A5">
        <w:tab/>
        <w:t xml:space="preserve">In Phase </w:t>
      </w:r>
      <w:r w:rsidR="00743D71">
        <w:t>2</w:t>
      </w:r>
      <w:r w:rsidR="00B45141" w:rsidRPr="001910A5">
        <w:t xml:space="preserve">, the utility issues the all-source RFP, and files its </w:t>
      </w:r>
      <w:r w:rsidR="001910A5" w:rsidRPr="001910A5">
        <w:t xml:space="preserve">bid </w:t>
      </w:r>
      <w:r w:rsidR="00B45141" w:rsidRPr="001910A5">
        <w:t xml:space="preserve">report 120 days after bids are received (the “Phase 2 Report”).  The 2016 Xcel RFP included separate bidding forms </w:t>
      </w:r>
      <w:r w:rsidRPr="001910A5">
        <w:t>for intermittent, dispatchable and semi-dispatchable</w:t>
      </w:r>
      <w:r w:rsidR="00B45141" w:rsidRPr="001910A5">
        <w:t xml:space="preserve"> resources</w:t>
      </w:r>
      <w:r w:rsidRPr="001910A5">
        <w:t xml:space="preserve">.  </w:t>
      </w:r>
      <w:r w:rsidR="0000331F">
        <w:t>These separate forms facilitate the initial screening process, in which b</w:t>
      </w:r>
      <w:r w:rsidRPr="001910A5">
        <w:t xml:space="preserve">ids are </w:t>
      </w:r>
      <w:r w:rsidR="001910A5" w:rsidRPr="001910A5">
        <w:t xml:space="preserve">categorized by resource and </w:t>
      </w:r>
      <w:r w:rsidR="0000331F">
        <w:t>reviewed</w:t>
      </w:r>
      <w:r w:rsidR="0000331F" w:rsidRPr="001910A5">
        <w:t xml:space="preserve"> </w:t>
      </w:r>
      <w:r w:rsidRPr="001910A5">
        <w:t>for</w:t>
      </w:r>
      <w:r w:rsidR="001910A5" w:rsidRPr="001910A5">
        <w:t xml:space="preserve"> minimum</w:t>
      </w:r>
      <w:r w:rsidRPr="001910A5">
        <w:t xml:space="preserve"> eligibility criteria</w:t>
      </w:r>
      <w:r w:rsidR="001910A5" w:rsidRPr="001910A5">
        <w:t xml:space="preserve"> and </w:t>
      </w:r>
      <w:r w:rsidR="00401124">
        <w:t xml:space="preserve">a </w:t>
      </w:r>
      <w:r w:rsidR="001910A5" w:rsidRPr="001910A5">
        <w:t xml:space="preserve">“fatal flaw” analysis.  </w:t>
      </w:r>
      <w:r w:rsidR="001910A5" w:rsidRPr="001910A5">
        <w:rPr>
          <w:rFonts w:eastAsia="Calibri"/>
          <w:szCs w:val="24"/>
        </w:rPr>
        <w:t xml:space="preserve">The initial economic </w:t>
      </w:r>
      <w:r w:rsidR="001910A5" w:rsidRPr="001910A5">
        <w:rPr>
          <w:rFonts w:eastAsia="Calibri"/>
          <w:szCs w:val="24"/>
        </w:rPr>
        <w:lastRenderedPageBreak/>
        <w:t xml:space="preserve">screening </w:t>
      </w:r>
      <w:r w:rsidR="00401124">
        <w:rPr>
          <w:rFonts w:eastAsia="Calibri"/>
          <w:szCs w:val="24"/>
        </w:rPr>
        <w:t>also</w:t>
      </w:r>
      <w:r w:rsidR="00AE6869">
        <w:rPr>
          <w:rFonts w:eastAsia="Calibri"/>
          <w:szCs w:val="24"/>
        </w:rPr>
        <w:t xml:space="preserve"> </w:t>
      </w:r>
      <w:r w:rsidR="001910A5" w:rsidRPr="001910A5">
        <w:rPr>
          <w:rFonts w:eastAsia="Calibri"/>
          <w:szCs w:val="24"/>
        </w:rPr>
        <w:t>consists of calculating an “all-in” levelized energy cost (“LEC”), meaning all costs and benefits included</w:t>
      </w:r>
      <w:r w:rsidR="001910A5">
        <w:rPr>
          <w:rFonts w:ascii="Arial" w:eastAsia="Calibri" w:hAnsi="Arial" w:cs="Arial"/>
          <w:szCs w:val="24"/>
        </w:rPr>
        <w:t>.</w:t>
      </w:r>
      <w:r w:rsidRPr="00C74454">
        <w:t xml:space="preserve"> </w:t>
      </w:r>
      <w:r w:rsidR="00401124">
        <w:t xml:space="preserve"> GPC testified to a similar screening process that was applied, though to generic representations only.</w:t>
      </w:r>
      <w:r w:rsidR="001910A5">
        <w:t xml:space="preserve"> </w:t>
      </w:r>
    </w:p>
    <w:p w:rsidR="0000331F" w:rsidRDefault="00762669" w:rsidP="00762669">
      <w:pPr>
        <w:spacing w:line="480" w:lineRule="auto"/>
        <w:ind w:firstLine="720"/>
        <w:jc w:val="both"/>
      </w:pPr>
      <w:r>
        <w:t>From that initial review process, b</w:t>
      </w:r>
      <w:r w:rsidR="008578D5" w:rsidRPr="00762669">
        <w:t>idder</w:t>
      </w:r>
      <w:r w:rsidR="00B45141" w:rsidRPr="00762669">
        <w:t>s are</w:t>
      </w:r>
      <w:r w:rsidR="008578D5" w:rsidRPr="00762669">
        <w:t xml:space="preserve"> notified whether </w:t>
      </w:r>
      <w:r w:rsidR="0000331F">
        <w:t>their projects</w:t>
      </w:r>
      <w:r w:rsidR="0000331F" w:rsidRPr="00762669">
        <w:t xml:space="preserve"> </w:t>
      </w:r>
      <w:r w:rsidR="00AE6869">
        <w:t>will proceed</w:t>
      </w:r>
      <w:r w:rsidR="00AE6869" w:rsidRPr="00762669">
        <w:t xml:space="preserve"> </w:t>
      </w:r>
      <w:r w:rsidR="008578D5" w:rsidRPr="00762669">
        <w:t xml:space="preserve">to </w:t>
      </w:r>
      <w:r w:rsidR="00743D71">
        <w:t xml:space="preserve">the </w:t>
      </w:r>
      <w:r w:rsidR="008578D5" w:rsidRPr="00762669">
        <w:t xml:space="preserve">modeling </w:t>
      </w:r>
      <w:r w:rsidR="00743D71">
        <w:t xml:space="preserve">phase </w:t>
      </w:r>
      <w:r w:rsidR="008578D5" w:rsidRPr="00762669">
        <w:t xml:space="preserve">and, if so, the assumptions that will apply to their project for </w:t>
      </w:r>
      <w:r w:rsidR="00743D71">
        <w:t>its</w:t>
      </w:r>
      <w:r w:rsidR="00743D71" w:rsidRPr="00762669">
        <w:t xml:space="preserve"> </w:t>
      </w:r>
      <w:r w:rsidR="008578D5" w:rsidRPr="00762669">
        <w:t xml:space="preserve">review </w:t>
      </w:r>
      <w:r w:rsidR="00AE6869">
        <w:t>and possible</w:t>
      </w:r>
      <w:r w:rsidR="008578D5" w:rsidRPr="00762669">
        <w:t xml:space="preserve"> dispute</w:t>
      </w:r>
      <w:r w:rsidR="00B45141" w:rsidRPr="00762669">
        <w:t xml:space="preserve"> </w:t>
      </w:r>
      <w:r w:rsidR="00AE6869">
        <w:t>with</w:t>
      </w:r>
      <w:r w:rsidR="00B45141" w:rsidRPr="00762669">
        <w:t>in a limited time window</w:t>
      </w:r>
      <w:r w:rsidR="008578D5" w:rsidRPr="00762669">
        <w:t>.</w:t>
      </w:r>
      <w:r w:rsidR="00B45141" w:rsidRPr="00762669">
        <w:t xml:space="preserve">  </w:t>
      </w:r>
      <w:r w:rsidRPr="00762669">
        <w:rPr>
          <w:rFonts w:eastAsia="Calibri"/>
          <w:szCs w:val="24"/>
        </w:rPr>
        <w:t>Pursuant to ERP Rule</w:t>
      </w:r>
      <w:r>
        <w:rPr>
          <w:rFonts w:eastAsia="Calibri"/>
          <w:szCs w:val="24"/>
        </w:rPr>
        <w:t>s</w:t>
      </w:r>
      <w:r w:rsidR="0000331F">
        <w:rPr>
          <w:rFonts w:eastAsia="Calibri"/>
          <w:szCs w:val="24"/>
        </w:rPr>
        <w:t>,</w:t>
      </w:r>
      <w:r w:rsidRPr="00762669">
        <w:rPr>
          <w:rFonts w:eastAsia="Calibri"/>
          <w:szCs w:val="24"/>
        </w:rPr>
        <w:t xml:space="preserve"> and contingent upon the existence of sufficient bids passing through bid eligibility and due diligence screening, the Company </w:t>
      </w:r>
      <w:r w:rsidR="00743D71">
        <w:rPr>
          <w:rFonts w:eastAsia="Calibri"/>
          <w:szCs w:val="24"/>
        </w:rPr>
        <w:t>sends</w:t>
      </w:r>
      <w:r w:rsidRPr="00762669">
        <w:rPr>
          <w:rFonts w:eastAsia="Calibri"/>
          <w:szCs w:val="24"/>
        </w:rPr>
        <w:t xml:space="preserve"> to the portfolio development phase a sufficient quantity of bids across the various generation resource types such that </w:t>
      </w:r>
      <w:r w:rsidR="00743D71">
        <w:rPr>
          <w:rFonts w:eastAsia="Calibri"/>
          <w:szCs w:val="24"/>
        </w:rPr>
        <w:t xml:space="preserve">alternative </w:t>
      </w:r>
      <w:r w:rsidRPr="00762669">
        <w:rPr>
          <w:rFonts w:eastAsia="Calibri"/>
          <w:szCs w:val="24"/>
        </w:rPr>
        <w:t>resource plans can be created</w:t>
      </w:r>
      <w:r w:rsidR="00743D71">
        <w:rPr>
          <w:rFonts w:eastAsia="Calibri"/>
          <w:szCs w:val="24"/>
        </w:rPr>
        <w:t>.  These alternative plans</w:t>
      </w:r>
      <w:r w:rsidRPr="00762669">
        <w:rPr>
          <w:rFonts w:eastAsia="Calibri"/>
          <w:szCs w:val="24"/>
        </w:rPr>
        <w:t xml:space="preserve"> conform to the range of scenarios for assessing the costs and benefits from the potential acquisition of increasing amounts of renewable energy resources or as specified in the Phase </w:t>
      </w:r>
      <w:r w:rsidR="00743D71">
        <w:rPr>
          <w:rFonts w:eastAsia="Calibri"/>
          <w:szCs w:val="24"/>
        </w:rPr>
        <w:t>1</w:t>
      </w:r>
      <w:r w:rsidRPr="00762669">
        <w:rPr>
          <w:rFonts w:eastAsia="Calibri"/>
          <w:szCs w:val="24"/>
        </w:rPr>
        <w:t xml:space="preserve"> decision.</w:t>
      </w:r>
      <w:r w:rsidR="00B45141" w:rsidRPr="00762669">
        <w:t xml:space="preserve"> </w:t>
      </w:r>
    </w:p>
    <w:p w:rsidR="008578D5" w:rsidRDefault="0000331F" w:rsidP="00762669">
      <w:pPr>
        <w:spacing w:line="480" w:lineRule="auto"/>
        <w:ind w:firstLine="720"/>
        <w:jc w:val="both"/>
      </w:pPr>
      <w:r>
        <w:t xml:space="preserve">The Company then develops multiple portfolios using its capacity expansion plan modeling. Typically, the modeling would include a large number of </w:t>
      </w:r>
      <w:r w:rsidR="00271648">
        <w:t xml:space="preserve">projects. For example, in 2016, Xcel 160 selected bid alternatives for modeling evaluation. </w:t>
      </w:r>
      <w:r w:rsidR="00B45141" w:rsidRPr="00762669">
        <w:t>The Commission then receive</w:t>
      </w:r>
      <w:r w:rsidR="00743D71">
        <w:t>s</w:t>
      </w:r>
      <w:r w:rsidR="00B45141" w:rsidRPr="00762669">
        <w:t xml:space="preserve"> comments from parties </w:t>
      </w:r>
      <w:r w:rsidR="00BD4FA4">
        <w:t>on</w:t>
      </w:r>
      <w:r w:rsidR="00B45141" w:rsidRPr="00762669">
        <w:t xml:space="preserve"> the Phase 2 Report and subsequently issues its Phase 2 Decision, usually without a hearing.</w:t>
      </w:r>
    </w:p>
    <w:p w:rsidR="00762669" w:rsidRPr="00762669" w:rsidRDefault="00762669" w:rsidP="006459F9">
      <w:pPr>
        <w:keepNext/>
        <w:spacing w:line="480" w:lineRule="auto"/>
        <w:jc w:val="both"/>
        <w:rPr>
          <w:b/>
        </w:rPr>
      </w:pPr>
      <w:r w:rsidRPr="00762669">
        <w:rPr>
          <w:b/>
        </w:rPr>
        <w:t>Q.</w:t>
      </w:r>
      <w:r w:rsidRPr="00762669">
        <w:rPr>
          <w:b/>
        </w:rPr>
        <w:tab/>
        <w:t>How does Xcel use Strategist in the optimization process?</w:t>
      </w:r>
    </w:p>
    <w:p w:rsidR="00911B21" w:rsidRDefault="00762669" w:rsidP="00762669">
      <w:pPr>
        <w:spacing w:line="480" w:lineRule="auto"/>
        <w:jc w:val="both"/>
      </w:pPr>
      <w:r w:rsidRPr="00762669">
        <w:t>A.</w:t>
      </w:r>
      <w:r w:rsidRPr="00762669">
        <w:tab/>
      </w:r>
      <w:r w:rsidR="00AE6869">
        <w:t xml:space="preserve">Generally, Xcel will conduct </w:t>
      </w:r>
      <w:r w:rsidR="00911B21">
        <w:t>many</w:t>
      </w:r>
      <w:r w:rsidR="00AE6869">
        <w:t xml:space="preserve"> model optimization runs to concoct various portfolios that address the resource need and any requirements of the Phase 1 Decision.  Strategist</w:t>
      </w:r>
      <w:r w:rsidR="00911B21">
        <w:t>’s PROVIEW module</w:t>
      </w:r>
      <w:r w:rsidR="00911B21" w:rsidRPr="00911B21">
        <w:t xml:space="preserve"> </w:t>
      </w:r>
      <w:r w:rsidR="00911B21">
        <w:t xml:space="preserve">has the ability to process large mixes and matches of portfolios of </w:t>
      </w:r>
      <w:r w:rsidR="00911B21">
        <w:lastRenderedPageBreak/>
        <w:t>various technologies based on the criteria it is “fed”.  That is to say, PROVIEW will build models and select from the bids available to meet reserve margin and other criteria, for example bids that are mutually exclusive because they are the same bid with different in-service dates.   Once it has the guidelines and rules, PROVIEW will build the scenarios and the model’s “GAF” function provides production cost dispatches of the existing generation fleet plus the portfolio. Strategist may create hundreds of different optimized portfolios, ranked by NPVRR.</w:t>
      </w:r>
    </w:p>
    <w:p w:rsidR="00762669" w:rsidRPr="00762669" w:rsidRDefault="00762669" w:rsidP="00AE6869">
      <w:pPr>
        <w:spacing w:line="480" w:lineRule="auto"/>
        <w:ind w:firstLine="720"/>
        <w:jc w:val="both"/>
        <w:rPr>
          <w:b/>
        </w:rPr>
      </w:pPr>
      <w:r w:rsidRPr="00762669">
        <w:t>In the 2016 Xcel ERP, the Company described the process as follows: “</w:t>
      </w:r>
      <w:r w:rsidRPr="00762669">
        <w:rPr>
          <w:rFonts w:eastAsia="Calibri"/>
          <w:szCs w:val="24"/>
        </w:rPr>
        <w:t>Strategist will be used in developing portfolios of proposals/bids that are advanced to this stage of the competitive acquisition. The modeling framework Public Service will employ in the Phase II portfolio analysis is the same as that used to develop alternative plans that are discussed in ERP Volume 1 … except… actual bids are used to meet RAP needs instead of generic estimates…”</w:t>
      </w:r>
      <w:r>
        <w:rPr>
          <w:rStyle w:val="FootnoteReference"/>
          <w:rFonts w:eastAsia="Calibri"/>
          <w:szCs w:val="24"/>
        </w:rPr>
        <w:footnoteReference w:id="7"/>
      </w:r>
      <w:r w:rsidRPr="00762669">
        <w:t xml:space="preserve"> </w:t>
      </w:r>
      <w:r>
        <w:t xml:space="preserve"> </w:t>
      </w:r>
    </w:p>
    <w:p w:rsidR="008578D5" w:rsidRPr="009E60D7" w:rsidRDefault="009E60D7" w:rsidP="006459F9">
      <w:pPr>
        <w:keepNext/>
        <w:spacing w:line="480" w:lineRule="auto"/>
        <w:rPr>
          <w:b/>
        </w:rPr>
      </w:pPr>
      <w:r w:rsidRPr="009E60D7">
        <w:rPr>
          <w:b/>
        </w:rPr>
        <w:t>Q.</w:t>
      </w:r>
      <w:r w:rsidRPr="009E60D7">
        <w:rPr>
          <w:b/>
        </w:rPr>
        <w:tab/>
        <w:t>What are the contents of a Phase 2 Report?</w:t>
      </w:r>
    </w:p>
    <w:p w:rsidR="00AB3091" w:rsidRDefault="009E60D7" w:rsidP="00B45141">
      <w:pPr>
        <w:spacing w:line="480" w:lineRule="auto"/>
      </w:pPr>
      <w:r>
        <w:t>A.</w:t>
      </w:r>
      <w:r>
        <w:tab/>
        <w:t>The contents are not dictated by rule.</w:t>
      </w:r>
      <w:r>
        <w:rPr>
          <w:rStyle w:val="FootnoteReference"/>
        </w:rPr>
        <w:footnoteReference w:id="8"/>
      </w:r>
      <w:r>
        <w:t xml:space="preserve">   However, they center </w:t>
      </w:r>
      <w:r w:rsidR="00F35F36">
        <w:t>on</w:t>
      </w:r>
      <w:r>
        <w:t xml:space="preserve"> the capacity expansion modeling and bid evaluation exercise</w:t>
      </w:r>
      <w:r w:rsidR="00FE713A">
        <w:t>, as described in the</w:t>
      </w:r>
      <w:r w:rsidR="00AB3091">
        <w:t xml:space="preserve"> 2016 Xcel ERP Phase 2 </w:t>
      </w:r>
      <w:r w:rsidR="00855A85">
        <w:t xml:space="preserve">Utility </w:t>
      </w:r>
      <w:r w:rsidR="00AB3091">
        <w:t>Report</w:t>
      </w:r>
      <w:r w:rsidR="00855A85">
        <w:t xml:space="preserve"> on the results and analysis of the all-source RFP</w:t>
      </w:r>
      <w:r w:rsidR="00AB3091">
        <w:t>.</w:t>
      </w:r>
      <w:r w:rsidR="00762669">
        <w:rPr>
          <w:rStyle w:val="FootnoteReference"/>
        </w:rPr>
        <w:footnoteReference w:id="9"/>
      </w:r>
    </w:p>
    <w:p w:rsidR="009E60D7" w:rsidRDefault="00AB3091" w:rsidP="00AB3091">
      <w:pPr>
        <w:spacing w:line="480" w:lineRule="auto"/>
        <w:ind w:firstLine="720"/>
      </w:pPr>
      <w:r>
        <w:lastRenderedPageBreak/>
        <w:t>Xcel present</w:t>
      </w:r>
      <w:r w:rsidR="00352FAF">
        <w:t>s</w:t>
      </w:r>
      <w:r>
        <w:t xml:space="preserve"> a representative sample of </w:t>
      </w:r>
      <w:r w:rsidR="00C5286D">
        <w:t xml:space="preserve">the top performing </w:t>
      </w:r>
      <w:r>
        <w:t xml:space="preserve">portfolios </w:t>
      </w:r>
      <w:r w:rsidR="00C5286D">
        <w:t xml:space="preserve">that it has selected from its capacity expansion modeling </w:t>
      </w:r>
      <w:r>
        <w:t xml:space="preserve">in its Phase 2 Report.  These portfolios </w:t>
      </w:r>
      <w:r w:rsidR="00EF1BC7">
        <w:t xml:space="preserve">are optimized for different criteria, </w:t>
      </w:r>
      <w:r>
        <w:t xml:space="preserve">include </w:t>
      </w:r>
      <w:r w:rsidR="00EF1BC7">
        <w:t>the utility’</w:t>
      </w:r>
      <w:r>
        <w:t>s preferred portfolio, a least-cost NPVRR portfolio, and</w:t>
      </w:r>
      <w:r w:rsidR="00C5286D">
        <w:t xml:space="preserve"> other</w:t>
      </w:r>
      <w:r>
        <w:t xml:space="preserve"> portfolios that address including increasing amounts of renewables</w:t>
      </w:r>
      <w:r w:rsidR="00EA1B31">
        <w:t xml:space="preserve"> </w:t>
      </w:r>
      <w:r>
        <w:t xml:space="preserve">and other alternatives to the preferred portfolio.  These portfolios are those selected by the model and are optimized; they are also </w:t>
      </w:r>
      <w:r w:rsidR="00BF6016">
        <w:t xml:space="preserve">presented </w:t>
      </w:r>
      <w:r>
        <w:t xml:space="preserve">at Xcel’s discretion, with the model run data provided to Staff.   </w:t>
      </w:r>
    </w:p>
    <w:p w:rsidR="00AB3091" w:rsidRPr="00B45141" w:rsidRDefault="00AB3091" w:rsidP="00AB3091">
      <w:pPr>
        <w:spacing w:line="480" w:lineRule="auto"/>
        <w:ind w:firstLine="720"/>
      </w:pPr>
      <w:bookmarkStart w:id="5" w:name="_Hlk6832031"/>
      <w:r>
        <w:t xml:space="preserve">Using the optimized portfolios, Xcel will then </w:t>
      </w:r>
      <w:r w:rsidR="00C5286D">
        <w:t>run the GAF, or production cost, module of Strategist and change certain assumptions reflect various future scenarios - these are the “sensitivity analyses” where the model can use different assumption inputs for fuel, load growth, carbon e.g.   T</w:t>
      </w:r>
      <w:r>
        <w:t xml:space="preserve">he </w:t>
      </w:r>
      <w:r w:rsidR="00C5286D">
        <w:t xml:space="preserve">GAF module cannot “optimize” or select </w:t>
      </w:r>
      <w:r w:rsidR="00770900">
        <w:t xml:space="preserve">bids, and thus the </w:t>
      </w:r>
      <w:r>
        <w:t xml:space="preserve">sensitivity analyses </w:t>
      </w:r>
      <w:r w:rsidR="00770900">
        <w:t xml:space="preserve">are run </w:t>
      </w:r>
      <w:r>
        <w:t>on the portfolios</w:t>
      </w:r>
      <w:r w:rsidR="00770900" w:rsidRPr="00770900">
        <w:t xml:space="preserve"> </w:t>
      </w:r>
      <w:r w:rsidR="00770900">
        <w:t xml:space="preserve">selected from the </w:t>
      </w:r>
      <w:r w:rsidR="0032159A">
        <w:t>PROVIEW</w:t>
      </w:r>
      <w:r w:rsidR="00770900">
        <w:t xml:space="preserve"> runs</w:t>
      </w:r>
      <w:r>
        <w:t xml:space="preserve">.  The sensitivities are </w:t>
      </w:r>
      <w:r w:rsidR="00EA1B31">
        <w:t xml:space="preserve">similar </w:t>
      </w:r>
      <w:r>
        <w:t>to th</w:t>
      </w:r>
      <w:r w:rsidR="00770900">
        <w:t>e GPC</w:t>
      </w:r>
      <w:r>
        <w:t xml:space="preserve"> IRP, including high carbon cost, high and low gas forecast, load growth, etc.  The Commission receives comments from parties and a reply by the utility, as well as the IE Report (which in Colorado is focused on process more than vetting the model results).</w:t>
      </w:r>
    </w:p>
    <w:bookmarkEnd w:id="5"/>
    <w:p w:rsidR="009E60D7" w:rsidRPr="008C72B6" w:rsidRDefault="008C72B6" w:rsidP="009E60D7">
      <w:pPr>
        <w:spacing w:line="480" w:lineRule="auto"/>
        <w:rPr>
          <w:b/>
        </w:rPr>
      </w:pPr>
      <w:r w:rsidRPr="008C72B6">
        <w:rPr>
          <w:b/>
        </w:rPr>
        <w:t>Q.</w:t>
      </w:r>
      <w:r w:rsidRPr="008C72B6">
        <w:rPr>
          <w:b/>
        </w:rPr>
        <w:tab/>
        <w:t>How did the all-source bidding process work in the most recent ERP?</w:t>
      </w:r>
    </w:p>
    <w:p w:rsidR="008C72B6" w:rsidRDefault="008C72B6" w:rsidP="009E60D7">
      <w:pPr>
        <w:spacing w:line="480" w:lineRule="auto"/>
      </w:pPr>
      <w:r>
        <w:t>A.</w:t>
      </w:r>
      <w:r>
        <w:tab/>
        <w:t xml:space="preserve">In the 2016 Xcel ERP, the company proposed to retire </w:t>
      </w:r>
      <w:r w:rsidR="00C54012">
        <w:t xml:space="preserve">two </w:t>
      </w:r>
      <w:r>
        <w:t xml:space="preserve">coal fired generating units with a total capacity of </w:t>
      </w:r>
      <w:r w:rsidRPr="00352FAF">
        <w:t>66</w:t>
      </w:r>
      <w:r w:rsidR="00352FAF" w:rsidRPr="00352FAF">
        <w:t>0</w:t>
      </w:r>
      <w:r w:rsidRPr="00352FAF">
        <w:t xml:space="preserve"> MW</w:t>
      </w:r>
      <w:r>
        <w:t>.</w:t>
      </w:r>
      <w:r>
        <w:rPr>
          <w:rStyle w:val="FootnoteReference"/>
        </w:rPr>
        <w:footnoteReference w:id="10"/>
      </w:r>
      <w:r>
        <w:t xml:space="preserve">    There was a native load growth and reliability </w:t>
      </w:r>
      <w:r>
        <w:lastRenderedPageBreak/>
        <w:t xml:space="preserve">capacity need established at 450 MW.  As a result, </w:t>
      </w:r>
      <w:r w:rsidR="00855A85">
        <w:t xml:space="preserve">the Commission approved </w:t>
      </w:r>
      <w:r>
        <w:t>Xcel</w:t>
      </w:r>
      <w:r w:rsidR="00855A85">
        <w:t xml:space="preserve">’s capacity need </w:t>
      </w:r>
      <w:r>
        <w:t>to procure 1</w:t>
      </w:r>
      <w:r w:rsidR="00352FAF">
        <w:t>10</w:t>
      </w:r>
      <w:r>
        <w:t xml:space="preserve">0 MW of additional </w:t>
      </w:r>
      <w:r w:rsidR="00855A85">
        <w:t>capacity resources</w:t>
      </w:r>
      <w:r>
        <w:t xml:space="preserve"> during the resource acquisition period in its all-source RFP.</w:t>
      </w:r>
      <w:r>
        <w:rPr>
          <w:rStyle w:val="FootnoteReference"/>
        </w:rPr>
        <w:footnoteReference w:id="11"/>
      </w:r>
      <w:r w:rsidR="006D78D5">
        <w:t xml:space="preserve">  The bidding was divided by intermittent RFP, dispatchable RFP, semi-dispatchable RFP, and then among power purchase agreement (“PPA”) or build transfer agreement (“BTA”) proposals.   All of the bid proposals were evaluated together, however</w:t>
      </w:r>
      <w:r w:rsidR="003F5BE7">
        <w:t>, using Strategist</w:t>
      </w:r>
      <w:r w:rsidR="006D78D5">
        <w:t>.</w:t>
      </w:r>
    </w:p>
    <w:p w:rsidR="008C72B6" w:rsidRPr="008C72B6" w:rsidRDefault="008C72B6" w:rsidP="009E60D7">
      <w:pPr>
        <w:spacing w:line="480" w:lineRule="auto"/>
        <w:rPr>
          <w:b/>
        </w:rPr>
      </w:pPr>
      <w:r w:rsidRPr="008C72B6">
        <w:rPr>
          <w:b/>
        </w:rPr>
        <w:t>Q.</w:t>
      </w:r>
      <w:r w:rsidRPr="008C72B6">
        <w:rPr>
          <w:b/>
        </w:rPr>
        <w:tab/>
        <w:t>What were the results of the all-source RFP?</w:t>
      </w:r>
    </w:p>
    <w:p w:rsidR="008C72B6" w:rsidRDefault="008C72B6" w:rsidP="009E60D7">
      <w:pPr>
        <w:spacing w:line="480" w:lineRule="auto"/>
      </w:pPr>
      <w:r>
        <w:t>A.</w:t>
      </w:r>
      <w:r>
        <w:tab/>
      </w:r>
      <w:r w:rsidR="006D78D5">
        <w:t>The Commission approved Xcel’s preferred portfolio</w:t>
      </w:r>
      <w:r w:rsidR="00352FAF">
        <w:t xml:space="preserve"> of 1100 MW </w:t>
      </w:r>
      <w:r w:rsidR="00271648">
        <w:t xml:space="preserve">annual firm capacity </w:t>
      </w:r>
      <w:r w:rsidR="00352FAF">
        <w:t>need</w:t>
      </w:r>
      <w:r w:rsidR="009D1A69">
        <w:t>.  P</w:t>
      </w:r>
      <w:r w:rsidR="002D1345">
        <w:t>ursuant to that need,</w:t>
      </w:r>
      <w:r w:rsidR="006D78D5">
        <w:t xml:space="preserve"> </w:t>
      </w:r>
      <w:r>
        <w:t xml:space="preserve">Xcel acquired the </w:t>
      </w:r>
      <w:r w:rsidR="00855A85">
        <w:t>2458 MW of nameplate capacity</w:t>
      </w:r>
      <w:r>
        <w:t xml:space="preserve"> resources</w:t>
      </w:r>
      <w:r w:rsidR="002D1345">
        <w:t xml:space="preserve"> </w:t>
      </w:r>
      <w:r w:rsidR="00855A85">
        <w:t>as the preferred portfolio</w:t>
      </w:r>
      <w:r w:rsidR="009D1A69">
        <w:t xml:space="preserve"> from</w:t>
      </w:r>
      <w:r w:rsidR="002D1345">
        <w:t xml:space="preserve"> its all-source RFP</w:t>
      </w:r>
      <w:r>
        <w:t>:</w:t>
      </w:r>
    </w:p>
    <w:p w:rsidR="008C72B6" w:rsidRPr="00352FAF" w:rsidRDefault="008C72B6" w:rsidP="008C72B6">
      <w:pPr>
        <w:spacing w:line="276" w:lineRule="auto"/>
      </w:pPr>
      <w:r>
        <w:tab/>
        <w:t>-</w:t>
      </w:r>
      <w:r>
        <w:tab/>
      </w:r>
      <w:r w:rsidR="00352FAF" w:rsidRPr="00352FAF">
        <w:t>1,100</w:t>
      </w:r>
      <w:r w:rsidRPr="00352FAF">
        <w:t xml:space="preserve"> MW wind</w:t>
      </w:r>
      <w:r w:rsidRPr="00352FAF">
        <w:rPr>
          <w:rStyle w:val="FootnoteReference"/>
        </w:rPr>
        <w:footnoteReference w:id="12"/>
      </w:r>
    </w:p>
    <w:p w:rsidR="008C72B6" w:rsidRPr="00352FAF" w:rsidRDefault="008C72B6" w:rsidP="008C72B6">
      <w:pPr>
        <w:spacing w:line="276" w:lineRule="auto"/>
      </w:pPr>
      <w:r w:rsidRPr="00352FAF">
        <w:tab/>
        <w:t>-</w:t>
      </w:r>
      <w:r w:rsidRPr="00352FAF">
        <w:tab/>
        <w:t>700 MW solar</w:t>
      </w:r>
    </w:p>
    <w:p w:rsidR="008C72B6" w:rsidRPr="00352FAF" w:rsidRDefault="008C72B6" w:rsidP="008C72B6">
      <w:pPr>
        <w:spacing w:line="276" w:lineRule="auto"/>
      </w:pPr>
      <w:r w:rsidRPr="00352FAF">
        <w:tab/>
        <w:t>-</w:t>
      </w:r>
      <w:r w:rsidRPr="00352FAF">
        <w:tab/>
        <w:t>275 MW battery storage, paired with solar</w:t>
      </w:r>
    </w:p>
    <w:p w:rsidR="008C72B6" w:rsidRDefault="008C72B6" w:rsidP="008C72B6">
      <w:pPr>
        <w:spacing w:line="276" w:lineRule="auto"/>
      </w:pPr>
      <w:r w:rsidRPr="00352FAF">
        <w:tab/>
        <w:t>-</w:t>
      </w:r>
      <w:r w:rsidRPr="00352FAF">
        <w:tab/>
      </w:r>
      <w:r w:rsidR="00352FAF" w:rsidRPr="00352FAF">
        <w:t>383</w:t>
      </w:r>
      <w:r w:rsidRPr="00352FAF">
        <w:t xml:space="preserve"> MW gas CTs</w:t>
      </w:r>
      <w:r w:rsidR="00352FAF">
        <w:t xml:space="preserve"> through re-contracting or purchase</w:t>
      </w:r>
    </w:p>
    <w:p w:rsidR="008C72B6" w:rsidRPr="008C72B6" w:rsidRDefault="008C72B6" w:rsidP="008C72B6">
      <w:pPr>
        <w:spacing w:line="480" w:lineRule="auto"/>
        <w:rPr>
          <w:b/>
        </w:rPr>
      </w:pPr>
      <w:r w:rsidRPr="008C72B6">
        <w:rPr>
          <w:b/>
        </w:rPr>
        <w:t>Q.</w:t>
      </w:r>
      <w:r w:rsidRPr="008C72B6">
        <w:rPr>
          <w:b/>
        </w:rPr>
        <w:tab/>
        <w:t>At what prices were these resources acquired?</w:t>
      </w:r>
    </w:p>
    <w:p w:rsidR="00352FAF" w:rsidRDefault="008C72B6" w:rsidP="00352FAF">
      <w:pPr>
        <w:spacing w:line="480" w:lineRule="auto"/>
        <w:rPr>
          <w:rFonts w:eastAsia="Calibri"/>
          <w:szCs w:val="24"/>
        </w:rPr>
      </w:pPr>
      <w:r w:rsidRPr="00352FAF">
        <w:t>A.</w:t>
      </w:r>
      <w:r w:rsidRPr="00352FAF">
        <w:tab/>
        <w:t xml:space="preserve">The prices are not yet publicly available, but will be by May 22, 2019 per Colorado Commission rule.   </w:t>
      </w:r>
      <w:r w:rsidR="003F5BE7">
        <w:t>T</w:t>
      </w:r>
      <w:r w:rsidRPr="00352FAF">
        <w:t xml:space="preserve">he indicative pricing in the Phase 2 Report </w:t>
      </w:r>
      <w:r w:rsidR="00352FAF" w:rsidRPr="00352FAF">
        <w:t>state</w:t>
      </w:r>
      <w:r w:rsidR="009D1A69">
        <w:t>s</w:t>
      </w:r>
      <w:r w:rsidR="00352FAF" w:rsidRPr="00352FAF">
        <w:t xml:space="preserve"> that </w:t>
      </w:r>
      <w:r w:rsidR="009D1A69">
        <w:t>Xcel’s</w:t>
      </w:r>
      <w:r w:rsidR="00352FAF" w:rsidRPr="00352FAF">
        <w:t xml:space="preserve"> </w:t>
      </w:r>
      <w:r w:rsidR="00352FAF" w:rsidRPr="00352FAF">
        <w:lastRenderedPageBreak/>
        <w:t>preferred portfolio included “[</w:t>
      </w:r>
      <w:r w:rsidR="00352FAF" w:rsidRPr="00352FAF">
        <w:rPr>
          <w:rFonts w:eastAsia="Calibri"/>
          <w:szCs w:val="24"/>
        </w:rPr>
        <w:t>u</w:t>
      </w:r>
      <w:r w:rsidR="00BF6016">
        <w:rPr>
          <w:rFonts w:eastAsia="Calibri"/>
          <w:szCs w:val="24"/>
        </w:rPr>
        <w:t>]</w:t>
      </w:r>
      <w:proofErr w:type="spellStart"/>
      <w:r w:rsidR="00352FAF" w:rsidRPr="00352FAF">
        <w:rPr>
          <w:rFonts w:eastAsia="Calibri"/>
          <w:szCs w:val="24"/>
        </w:rPr>
        <w:t>nprecedented</w:t>
      </w:r>
      <w:proofErr w:type="spellEnd"/>
      <w:r w:rsidR="00352FAF" w:rsidRPr="00352FAF">
        <w:rPr>
          <w:rFonts w:eastAsia="Calibri"/>
          <w:szCs w:val="24"/>
        </w:rPr>
        <w:t xml:space="preserve"> low pricing across a range of generation technologies including wind at levelized pricing between $11-18/MWh, solar between $23-$27/MWh, solar with storage between $30-$32/MWh and gas between $1.50 - $2.50/kW-mo.”</w:t>
      </w:r>
      <w:r w:rsidR="00352FAF" w:rsidRPr="00352FAF">
        <w:rPr>
          <w:rStyle w:val="FootnoteReference"/>
          <w:rFonts w:eastAsia="Calibri"/>
          <w:szCs w:val="24"/>
        </w:rPr>
        <w:footnoteReference w:id="13"/>
      </w:r>
      <w:r w:rsidR="00352FAF" w:rsidRPr="00352FAF">
        <w:rPr>
          <w:rFonts w:eastAsia="Calibri"/>
          <w:szCs w:val="24"/>
        </w:rPr>
        <w:t xml:space="preserve"> </w:t>
      </w:r>
      <w:r w:rsidR="00352FAF">
        <w:rPr>
          <w:rFonts w:eastAsia="Calibri"/>
          <w:szCs w:val="24"/>
        </w:rPr>
        <w:t xml:space="preserve">  </w:t>
      </w:r>
    </w:p>
    <w:p w:rsidR="008C72B6" w:rsidRDefault="00352FAF" w:rsidP="00352FAF">
      <w:pPr>
        <w:spacing w:line="480" w:lineRule="auto"/>
        <w:ind w:firstLine="720"/>
      </w:pPr>
      <w:r>
        <w:rPr>
          <w:rFonts w:eastAsia="Calibri"/>
          <w:szCs w:val="24"/>
        </w:rPr>
        <w:t xml:space="preserve">Xcel has </w:t>
      </w:r>
      <w:r w:rsidR="009D1A69">
        <w:rPr>
          <w:rFonts w:eastAsia="Calibri"/>
          <w:szCs w:val="24"/>
        </w:rPr>
        <w:t xml:space="preserve">since </w:t>
      </w:r>
      <w:r>
        <w:rPr>
          <w:rFonts w:eastAsia="Calibri"/>
          <w:szCs w:val="24"/>
        </w:rPr>
        <w:t>described its final contract prices for renewable energy as the lowest in the nation.  The Colorado Commission found that the preferred portfolio could save ratepayers more than $200 million in NPVRR savings over the portfolios term versus that of continuing to run the candidate plants for decommissioning in that ERP</w:t>
      </w:r>
      <w:r w:rsidR="009D1A69">
        <w:rPr>
          <w:rFonts w:eastAsia="Calibri"/>
          <w:szCs w:val="24"/>
        </w:rPr>
        <w:t xml:space="preserve"> on an economic basis</w:t>
      </w:r>
      <w:r>
        <w:rPr>
          <w:rFonts w:eastAsia="Calibri"/>
          <w:szCs w:val="24"/>
        </w:rPr>
        <w:t>.</w:t>
      </w:r>
      <w:r>
        <w:t xml:space="preserve">    </w:t>
      </w:r>
      <w:r w:rsidR="006D78D5">
        <w:t>Follow on applications of Certificate</w:t>
      </w:r>
      <w:r w:rsidR="00EA1B31">
        <w:t>s</w:t>
      </w:r>
      <w:r w:rsidR="006D78D5">
        <w:t xml:space="preserve"> for Public Convenience and Necessity were required for resources that were to be utility-owned</w:t>
      </w:r>
      <w:r w:rsidR="009D1A69">
        <w:t xml:space="preserve"> and new transmission facilities</w:t>
      </w:r>
      <w:r w:rsidR="006D78D5">
        <w:t xml:space="preserve">, but Xcel was otherwise free to move forward </w:t>
      </w:r>
      <w:r w:rsidR="009D1A69">
        <w:t xml:space="preserve">to </w:t>
      </w:r>
      <w:r w:rsidR="006D78D5">
        <w:t>contract</w:t>
      </w:r>
      <w:r w:rsidR="009D1A69">
        <w:t xml:space="preserve"> with</w:t>
      </w:r>
      <w:r w:rsidR="006D78D5">
        <w:t xml:space="preserve"> facilities</w:t>
      </w:r>
      <w:r w:rsidR="009D1A69">
        <w:t xml:space="preserve"> that were in the selected portfolio</w:t>
      </w:r>
      <w:r w:rsidR="006D78D5">
        <w:t>.</w:t>
      </w:r>
    </w:p>
    <w:p w:rsidR="008C72B6" w:rsidRPr="008C72B6" w:rsidRDefault="008C72B6" w:rsidP="006459F9">
      <w:pPr>
        <w:keepNext/>
        <w:rPr>
          <w:b/>
        </w:rPr>
      </w:pPr>
      <w:r w:rsidRPr="008C72B6">
        <w:rPr>
          <w:b/>
        </w:rPr>
        <w:t>Q.</w:t>
      </w:r>
      <w:r w:rsidRPr="008C72B6">
        <w:rPr>
          <w:b/>
        </w:rPr>
        <w:tab/>
      </w:r>
      <w:r w:rsidR="009D1A69">
        <w:rPr>
          <w:b/>
        </w:rPr>
        <w:t>Turning to the projects received in the all-source, w</w:t>
      </w:r>
      <w:r w:rsidRPr="008C72B6">
        <w:rPr>
          <w:b/>
        </w:rPr>
        <w:t>hat was the scope of the bids received</w:t>
      </w:r>
      <w:r w:rsidR="009D1A69">
        <w:rPr>
          <w:b/>
        </w:rPr>
        <w:t xml:space="preserve"> by Xcel</w:t>
      </w:r>
      <w:r w:rsidRPr="008C72B6">
        <w:rPr>
          <w:b/>
        </w:rPr>
        <w:t>?</w:t>
      </w:r>
    </w:p>
    <w:p w:rsidR="008C72B6" w:rsidRDefault="008C72B6" w:rsidP="008C72B6">
      <w:pPr>
        <w:spacing w:line="480" w:lineRule="auto"/>
      </w:pPr>
      <w:r w:rsidRPr="009D795A">
        <w:t>A.</w:t>
      </w:r>
      <w:r w:rsidRPr="009D795A">
        <w:tab/>
        <w:t xml:space="preserve">Xcel received 416 bids from </w:t>
      </w:r>
      <w:r w:rsidR="009D795A" w:rsidRPr="009D795A">
        <w:t>238 distinct projects.  Of the 417 total eligible bids, 160 bids for 79 distinct project</w:t>
      </w:r>
      <w:r w:rsidR="009D795A">
        <w:t>s</w:t>
      </w:r>
      <w:r w:rsidR="009D795A" w:rsidRPr="009D795A">
        <w:t xml:space="preserve"> were advanced to computer</w:t>
      </w:r>
      <w:r w:rsidR="009D1A69">
        <w:t>-</w:t>
      </w:r>
      <w:r w:rsidR="009D795A" w:rsidRPr="009D795A">
        <w:t>based modeling.</w:t>
      </w:r>
      <w:r w:rsidR="009D795A" w:rsidRPr="009D795A">
        <w:rPr>
          <w:rStyle w:val="FootnoteReference"/>
        </w:rPr>
        <w:footnoteReference w:id="14"/>
      </w:r>
      <w:r w:rsidR="009D795A">
        <w:t xml:space="preserve">  This was approximately three times that amount </w:t>
      </w:r>
      <w:r w:rsidR="009D1A69">
        <w:t>the utility</w:t>
      </w:r>
      <w:r w:rsidR="009D795A">
        <w:t xml:space="preserve"> had advanced</w:t>
      </w:r>
      <w:r w:rsidR="009D1A69">
        <w:t xml:space="preserve"> for modeling</w:t>
      </w:r>
      <w:r w:rsidR="009D795A">
        <w:t xml:space="preserve"> in the 2013 </w:t>
      </w:r>
      <w:r w:rsidR="009D795A">
        <w:lastRenderedPageBreak/>
        <w:t xml:space="preserve">Xcel </w:t>
      </w:r>
      <w:r w:rsidR="00547EE8">
        <w:t xml:space="preserve">ERP </w:t>
      </w:r>
      <w:r w:rsidR="009D795A">
        <w:t xml:space="preserve">RFP.  </w:t>
      </w:r>
      <w:r w:rsidR="009D1A69">
        <w:t xml:space="preserve"> The large resource need, and the open competition to fill that need from both a capacity and energy basis, attracted nationwide attention to the Xcel RFP.</w:t>
      </w:r>
      <w:r w:rsidR="009D1A69">
        <w:rPr>
          <w:rStyle w:val="FootnoteReference"/>
        </w:rPr>
        <w:footnoteReference w:id="15"/>
      </w:r>
    </w:p>
    <w:p w:rsidR="009D795A" w:rsidRPr="006D78D5" w:rsidRDefault="009D795A" w:rsidP="009D795A">
      <w:pPr>
        <w:spacing w:line="480" w:lineRule="auto"/>
        <w:rPr>
          <w:b/>
        </w:rPr>
      </w:pPr>
      <w:r w:rsidRPr="006D78D5">
        <w:rPr>
          <w:b/>
        </w:rPr>
        <w:t>Q.</w:t>
      </w:r>
      <w:r w:rsidRPr="006D78D5">
        <w:rPr>
          <w:b/>
        </w:rPr>
        <w:tab/>
        <w:t>How did Xcel handle such a large amount of competitive bids?</w:t>
      </w:r>
    </w:p>
    <w:p w:rsidR="009D795A" w:rsidRDefault="009D795A" w:rsidP="009D795A">
      <w:pPr>
        <w:spacing w:line="480" w:lineRule="auto"/>
      </w:pPr>
      <w:r>
        <w:t>A.</w:t>
      </w:r>
      <w:r>
        <w:tab/>
        <w:t xml:space="preserve">The sheer number of bids resulted in </w:t>
      </w:r>
      <w:r w:rsidR="009D1A69">
        <w:t xml:space="preserve">Xcel adopting </w:t>
      </w:r>
      <w:r>
        <w:t>a two-step</w:t>
      </w:r>
      <w:r w:rsidR="009D1A69">
        <w:t xml:space="preserve"> screening</w:t>
      </w:r>
      <w:r>
        <w:t xml:space="preserve"> process before allowing Strategist to build portfolios.</w:t>
      </w:r>
      <w:r>
        <w:rPr>
          <w:rStyle w:val="FootnoteReference"/>
        </w:rPr>
        <w:footnoteReference w:id="16"/>
      </w:r>
      <w:r>
        <w:t xml:space="preserve">  </w:t>
      </w:r>
      <w:r w:rsidR="009D1A69">
        <w:t xml:space="preserve"> </w:t>
      </w:r>
      <w:r>
        <w:t xml:space="preserve">This process was done </w:t>
      </w:r>
      <w:r w:rsidR="009D1A69">
        <w:t xml:space="preserve">in coordination </w:t>
      </w:r>
      <w:r>
        <w:t>with the IE (that GPC also uses).  Xcel worked with the IE to establish a more extensive initial screening procedure in order to winnow down the pool to the resources that it felt could compete the best</w:t>
      </w:r>
      <w:r w:rsidR="009D1A69">
        <w:t xml:space="preserve"> to represent different technologies and geographic areas of the state</w:t>
      </w:r>
      <w:r>
        <w:t xml:space="preserve">.  </w:t>
      </w:r>
    </w:p>
    <w:p w:rsidR="00EA3B56" w:rsidRPr="00EA3B56" w:rsidRDefault="008C72B6" w:rsidP="00EA3B56">
      <w:pPr>
        <w:spacing w:line="480" w:lineRule="auto"/>
        <w:rPr>
          <w:b/>
        </w:rPr>
      </w:pPr>
      <w:r w:rsidRPr="00EA3B56">
        <w:rPr>
          <w:b/>
        </w:rPr>
        <w:t>Q.</w:t>
      </w:r>
      <w:r w:rsidRPr="00EA3B56">
        <w:rPr>
          <w:b/>
        </w:rPr>
        <w:tab/>
        <w:t xml:space="preserve">How </w:t>
      </w:r>
      <w:r w:rsidR="00EA3B56" w:rsidRPr="00EA3B56">
        <w:rPr>
          <w:b/>
        </w:rPr>
        <w:t>were so many renewable resources selected to fill the capacity need?</w:t>
      </w:r>
    </w:p>
    <w:p w:rsidR="00D96B3F" w:rsidRDefault="00EA3B56" w:rsidP="00EA3B56">
      <w:pPr>
        <w:spacing w:line="480" w:lineRule="auto"/>
      </w:pPr>
      <w:r>
        <w:t>A.</w:t>
      </w:r>
      <w:r>
        <w:tab/>
      </w:r>
      <w:r w:rsidR="004B3A86">
        <w:t>There were of course environmental considerations</w:t>
      </w:r>
      <w:r w:rsidR="009D1A69">
        <w:t xml:space="preserve"> for lower emissions</w:t>
      </w:r>
      <w:r w:rsidR="004B3A86">
        <w:t xml:space="preserve">, </w:t>
      </w:r>
      <w:r w:rsidR="009D795A">
        <w:t>but r</w:t>
      </w:r>
      <w:r>
        <w:t xml:space="preserve">enewables were </w:t>
      </w:r>
      <w:r w:rsidR="00423CE0">
        <w:t xml:space="preserve">ultimately </w:t>
      </w:r>
      <w:r>
        <w:t xml:space="preserve">selected because they were “in the money”.  </w:t>
      </w:r>
      <w:r w:rsidR="004B3A86">
        <w:t>Colorado’s RES requirement had long since been achieved by Xcel</w:t>
      </w:r>
      <w:r w:rsidR="009D1A69">
        <w:t xml:space="preserve"> among other Colorado utilities</w:t>
      </w:r>
      <w:r w:rsidR="004B3A86">
        <w:t>.   As a result, t</w:t>
      </w:r>
      <w:r>
        <w:t>he energy from renewables</w:t>
      </w:r>
      <w:r w:rsidR="00423CE0">
        <w:t>, including with</w:t>
      </w:r>
      <w:r w:rsidR="004B3A86">
        <w:t xml:space="preserve"> storage</w:t>
      </w:r>
      <w:r w:rsidR="00423CE0">
        <w:t>,</w:t>
      </w:r>
      <w:r>
        <w:t xml:space="preserve"> was cheaper than that of either new build natural gas or the going forward variable O &amp; M of </w:t>
      </w:r>
      <w:r w:rsidR="0032159A">
        <w:t xml:space="preserve">the reviewed </w:t>
      </w:r>
      <w:r>
        <w:t>coal facilities.   The capacity acquired considered the ELCC of the renewable resources</w:t>
      </w:r>
      <w:r w:rsidR="003F5BE7">
        <w:t xml:space="preserve"> as being firm</w:t>
      </w:r>
      <w:r>
        <w:t xml:space="preserve">, and acquired a modest amount of gas to firm such resources.  In addition, battery storage was selected to meet part of the </w:t>
      </w:r>
      <w:r w:rsidR="00F35F36">
        <w:t>dispatchable</w:t>
      </w:r>
      <w:r>
        <w:t xml:space="preserve"> need.</w:t>
      </w:r>
      <w:r w:rsidR="004B3A86">
        <w:t xml:space="preserve">   </w:t>
      </w:r>
    </w:p>
    <w:p w:rsidR="00EA3B56" w:rsidRDefault="004B3A86" w:rsidP="008C4EFE">
      <w:pPr>
        <w:spacing w:line="480" w:lineRule="auto"/>
        <w:ind w:firstLine="720"/>
      </w:pPr>
      <w:r>
        <w:lastRenderedPageBreak/>
        <w:t>In other words, capacity was viewed by the model’s analysis of the entire system and was not selected on a 1</w:t>
      </w:r>
      <w:r w:rsidR="00423CE0">
        <w:t>-</w:t>
      </w:r>
      <w:r>
        <w:t>to</w:t>
      </w:r>
      <w:r w:rsidR="00423CE0">
        <w:t>-</w:t>
      </w:r>
      <w:r>
        <w:t xml:space="preserve">1 </w:t>
      </w:r>
      <w:r w:rsidR="009D795A">
        <w:t>nameplate</w:t>
      </w:r>
      <w:r>
        <w:t xml:space="preserve"> basis.  Rather, the model selected the most cost-effective way to replace both the energy and the peaking needs of the system.</w:t>
      </w:r>
      <w:r w:rsidR="009D1A69">
        <w:t xml:space="preserve">  The underlying renewable acquisition requirement of the RES did not play a role.</w:t>
      </w:r>
    </w:p>
    <w:p w:rsidR="004B3A86" w:rsidRPr="004B3A86" w:rsidRDefault="004B3A86" w:rsidP="00EA3B56">
      <w:pPr>
        <w:spacing w:line="480" w:lineRule="auto"/>
        <w:rPr>
          <w:b/>
        </w:rPr>
      </w:pPr>
      <w:r w:rsidRPr="004B3A86">
        <w:rPr>
          <w:b/>
        </w:rPr>
        <w:t>Q.</w:t>
      </w:r>
      <w:r w:rsidRPr="004B3A86">
        <w:rPr>
          <w:b/>
        </w:rPr>
        <w:tab/>
        <w:t>Did the approved portfolio require transmission investment?</w:t>
      </w:r>
    </w:p>
    <w:p w:rsidR="004B3A86" w:rsidRDefault="0032159A" w:rsidP="00EA3B56">
      <w:pPr>
        <w:spacing w:line="480" w:lineRule="auto"/>
      </w:pPr>
      <w:r>
        <w:t>A.</w:t>
      </w:r>
      <w:r>
        <w:tab/>
        <w:t>Yes, approximately $20</w:t>
      </w:r>
      <w:r w:rsidR="004B3A86">
        <w:t>0 M of transmission upgrades were included in the overall portfolio cost of the approved resources.</w:t>
      </w:r>
    </w:p>
    <w:p w:rsidR="004B3A86" w:rsidRPr="00770900" w:rsidRDefault="004B3A86" w:rsidP="006459F9">
      <w:pPr>
        <w:keepNext/>
        <w:rPr>
          <w:b/>
        </w:rPr>
      </w:pPr>
      <w:bookmarkStart w:id="6" w:name="_Hlk6832574"/>
      <w:r w:rsidRPr="00770900">
        <w:rPr>
          <w:b/>
        </w:rPr>
        <w:t>Q.</w:t>
      </w:r>
      <w:r w:rsidRPr="00770900">
        <w:rPr>
          <w:b/>
        </w:rPr>
        <w:tab/>
        <w:t>How was the Commission assured of reliability considerations in approving the resource portfolio?</w:t>
      </w:r>
    </w:p>
    <w:p w:rsidR="0016234B" w:rsidRPr="00EA3B56" w:rsidRDefault="006D78D5" w:rsidP="006D78D5">
      <w:pPr>
        <w:spacing w:line="480" w:lineRule="auto"/>
      </w:pPr>
      <w:r w:rsidRPr="00770900">
        <w:t>A.</w:t>
      </w:r>
      <w:r w:rsidR="00770900" w:rsidRPr="00770900">
        <w:tab/>
      </w:r>
      <w:r w:rsidR="00770900">
        <w:t xml:space="preserve">Xcel’s transmission planning department ran reliability studies associated with the selected portfolios in the Phase 2 Report for transmission considerations.  Xcel also conducted studies regarding its maximum renewable integration and loss of load probability in its Phase 1 ERP, but not as against the selected portfolio. </w:t>
      </w:r>
    </w:p>
    <w:bookmarkEnd w:id="6"/>
    <w:p w:rsidR="006D78D5" w:rsidRPr="006D78D5" w:rsidRDefault="006D78D5" w:rsidP="006D78D5">
      <w:pPr>
        <w:spacing w:line="480" w:lineRule="auto"/>
        <w:rPr>
          <w:b/>
        </w:rPr>
      </w:pPr>
      <w:r w:rsidRPr="006D78D5">
        <w:rPr>
          <w:b/>
        </w:rPr>
        <w:t>Q.</w:t>
      </w:r>
      <w:r w:rsidRPr="006D78D5">
        <w:rPr>
          <w:b/>
        </w:rPr>
        <w:tab/>
        <w:t>Did the IPP market believe the bid evaluation process was fair and transparent?</w:t>
      </w:r>
    </w:p>
    <w:p w:rsidR="008578D5" w:rsidRPr="009E60D7" w:rsidRDefault="006D78D5" w:rsidP="006D78D5">
      <w:pPr>
        <w:spacing w:line="480" w:lineRule="auto"/>
      </w:pPr>
      <w:r>
        <w:t>A.</w:t>
      </w:r>
      <w:r>
        <w:tab/>
        <w:t>On the whole, I would opine yes.  Although there were</w:t>
      </w:r>
      <w:r w:rsidR="009D795A">
        <w:t xml:space="preserve"> of course some</w:t>
      </w:r>
      <w:r>
        <w:t xml:space="preserve"> aggrieved bidders, both the IE and the Colorado Commission concluded that the bid evaluation process was consistent with the parameters approved in the Phase 1 Decision.   </w:t>
      </w:r>
      <w:r w:rsidR="009D1A69">
        <w:t>Selected portfolio p</w:t>
      </w:r>
      <w:r>
        <w:t>rojects</w:t>
      </w:r>
      <w:r w:rsidR="009D1A69">
        <w:t xml:space="preserve"> to be acquired</w:t>
      </w:r>
      <w:r>
        <w:t xml:space="preserve"> ranged in size from 76 MW</w:t>
      </w:r>
      <w:r w:rsidR="009D1A69">
        <w:t xml:space="preserve"> (solar)</w:t>
      </w:r>
      <w:r>
        <w:t xml:space="preserve"> to 500 MW </w:t>
      </w:r>
      <w:r w:rsidR="009D1A69">
        <w:t xml:space="preserve">(wind) </w:t>
      </w:r>
      <w:r>
        <w:t xml:space="preserve">of nameplate capacity. </w:t>
      </w:r>
      <w:r w:rsidR="009D1A69">
        <w:t xml:space="preserve"> These resources were awarded partial firm capacity credit by the model. </w:t>
      </w:r>
      <w:r>
        <w:t xml:space="preserve"> A diverse geographical mix and mix of IPP companies was selected.  Although a stipulation had allowed Xcel to own up to 50% of renewable resources and 75% of other </w:t>
      </w:r>
      <w:r>
        <w:lastRenderedPageBreak/>
        <w:t xml:space="preserve">resources, Xcel ended up only owning about 25% of the bids selected based on the modeling results.   </w:t>
      </w:r>
      <w:r w:rsidR="00423CE0">
        <w:t>T</w:t>
      </w:r>
      <w:r>
        <w:t xml:space="preserve">he members of the </w:t>
      </w:r>
      <w:r w:rsidR="00423CE0">
        <w:t xml:space="preserve">IPP </w:t>
      </w:r>
      <w:r>
        <w:t>trade association I represent</w:t>
      </w:r>
      <w:r w:rsidR="00423CE0">
        <w:t>, the Colorado Independent Energy Association,</w:t>
      </w:r>
      <w:r>
        <w:t xml:space="preserve"> concluded that </w:t>
      </w:r>
      <w:r w:rsidR="008578D5" w:rsidRPr="009E60D7">
        <w:t xml:space="preserve">IPPs </w:t>
      </w:r>
      <w:r>
        <w:t xml:space="preserve">were </w:t>
      </w:r>
      <w:r w:rsidR="008578D5" w:rsidRPr="009E60D7">
        <w:t>generally satisfied with Colorado market conditions.</w:t>
      </w:r>
    </w:p>
    <w:p w:rsidR="008578D5" w:rsidRPr="00B43CB7" w:rsidRDefault="006D78D5" w:rsidP="006D78D5">
      <w:pPr>
        <w:spacing w:line="480" w:lineRule="auto"/>
        <w:rPr>
          <w:b/>
        </w:rPr>
      </w:pPr>
      <w:r w:rsidRPr="00B43CB7">
        <w:rPr>
          <w:b/>
        </w:rPr>
        <w:t>Q.</w:t>
      </w:r>
      <w:r w:rsidRPr="00B43CB7">
        <w:rPr>
          <w:b/>
        </w:rPr>
        <w:tab/>
        <w:t xml:space="preserve">Did the evaluation of storage resources present a challenge for </w:t>
      </w:r>
      <w:r w:rsidR="00B43CB7" w:rsidRPr="00B43CB7">
        <w:rPr>
          <w:b/>
        </w:rPr>
        <w:t>Strategist?</w:t>
      </w:r>
    </w:p>
    <w:p w:rsidR="0003418B" w:rsidRDefault="00B43CB7" w:rsidP="00B43CB7">
      <w:pPr>
        <w:spacing w:line="480" w:lineRule="auto"/>
      </w:pPr>
      <w:r>
        <w:t>A.</w:t>
      </w:r>
      <w:r>
        <w:tab/>
        <w:t xml:space="preserve">Yes, according to testimony filed by intervenors and by </w:t>
      </w:r>
      <w:r w:rsidR="002D1345">
        <w:t>Xcel</w:t>
      </w:r>
      <w:r>
        <w:t xml:space="preserve">, Strategist could not fully capture sub-hourly benefits of storage, as well as arbitrage benefits. </w:t>
      </w:r>
      <w:r w:rsidR="007A2585">
        <w:t>This is described in</w:t>
      </w:r>
      <w:r w:rsidR="008054B0">
        <w:t xml:space="preserve"> the </w:t>
      </w:r>
      <w:r w:rsidR="007A2585">
        <w:t>t</w:t>
      </w:r>
      <w:r w:rsidR="008054B0">
        <w:t>estimony of Xcel chief modeler Kent Scholl</w:t>
      </w:r>
      <w:r w:rsidR="007A2585">
        <w:t>.</w:t>
      </w:r>
      <w:r w:rsidR="007A2585">
        <w:rPr>
          <w:rStyle w:val="FootnoteReference"/>
        </w:rPr>
        <w:footnoteReference w:id="17"/>
      </w:r>
      <w:r w:rsidR="009D1A69">
        <w:rPr>
          <w:b/>
        </w:rPr>
        <w:t xml:space="preserve"> </w:t>
      </w:r>
      <w:r w:rsidR="009D1A69">
        <w:t>Mr. Scholl’s testimony illustrates</w:t>
      </w:r>
      <w:r w:rsidR="008054B0">
        <w:t xml:space="preserve"> how Xcel proposed to handle </w:t>
      </w:r>
      <w:r w:rsidR="009D1A69">
        <w:t>the</w:t>
      </w:r>
      <w:r w:rsidR="00423CE0">
        <w:t xml:space="preserve"> issue </w:t>
      </w:r>
      <w:r w:rsidR="009D1A69">
        <w:t xml:space="preserve">of storage benefits </w:t>
      </w:r>
      <w:r w:rsidR="008054B0">
        <w:t xml:space="preserve">by adding imputations to </w:t>
      </w:r>
      <w:r w:rsidR="009D1A69">
        <w:t xml:space="preserve">represent </w:t>
      </w:r>
      <w:r w:rsidR="008054B0">
        <w:t xml:space="preserve">storage projects in Strategist.  </w:t>
      </w:r>
      <w:r w:rsidR="007A2585">
        <w:t xml:space="preserve">Xcel </w:t>
      </w:r>
      <w:r w:rsidR="0003418B">
        <w:t>proposed</w:t>
      </w:r>
      <w:r w:rsidR="007A2585">
        <w:t>, and received Commission approval, for</w:t>
      </w:r>
      <w:r w:rsidR="0003418B">
        <w:t xml:space="preserve"> the following changes:</w:t>
      </w:r>
    </w:p>
    <w:p w:rsidR="0003418B" w:rsidRPr="008C4EFE" w:rsidRDefault="0003418B" w:rsidP="0003418B">
      <w:pPr>
        <w:spacing w:line="480" w:lineRule="auto"/>
        <w:ind w:left="1440"/>
      </w:pPr>
      <w:r>
        <w:rPr>
          <w:sz w:val="23"/>
          <w:szCs w:val="23"/>
        </w:rPr>
        <w:t>1.</w:t>
      </w:r>
      <w:r>
        <w:rPr>
          <w:sz w:val="23"/>
          <w:szCs w:val="23"/>
        </w:rPr>
        <w:tab/>
      </w:r>
      <w:r w:rsidRPr="008C4EFE">
        <w:t xml:space="preserve">Portfolios that include storage proposals receive energy arbitrage value, avoided spinning reserve credit, and avoided generation capacity credit. </w:t>
      </w:r>
    </w:p>
    <w:p w:rsidR="0003418B" w:rsidRPr="0016234B" w:rsidRDefault="0003418B" w:rsidP="0003418B">
      <w:pPr>
        <w:spacing w:line="480" w:lineRule="auto"/>
        <w:ind w:left="1440"/>
        <w:rPr>
          <w:szCs w:val="24"/>
        </w:rPr>
      </w:pPr>
      <w:r w:rsidRPr="0016234B">
        <w:rPr>
          <w:szCs w:val="24"/>
        </w:rPr>
        <w:t>2.</w:t>
      </w:r>
      <w:r w:rsidRPr="0016234B">
        <w:rPr>
          <w:szCs w:val="24"/>
        </w:rPr>
        <w:tab/>
      </w:r>
      <w:r w:rsidR="0016234B">
        <w:rPr>
          <w:szCs w:val="24"/>
        </w:rPr>
        <w:t>Xcel</w:t>
      </w:r>
      <w:r w:rsidRPr="0016234B">
        <w:rPr>
          <w:szCs w:val="24"/>
        </w:rPr>
        <w:t xml:space="preserve"> assigned storage projects based on the project’s duration generation capacity credit to energy storage bids consistent with the results published in an </w:t>
      </w:r>
      <w:r w:rsidR="00764DBD">
        <w:rPr>
          <w:szCs w:val="24"/>
        </w:rPr>
        <w:t>I</w:t>
      </w:r>
      <w:r w:rsidRPr="0016234B">
        <w:rPr>
          <w:szCs w:val="24"/>
        </w:rPr>
        <w:t>nstitute of Electricity and Electronics Engineers (“IEEE”) journal article titled “A Dynamic Programming Approach to Estimate the Capacity Value of Energy Storage,” as follows:</w:t>
      </w:r>
    </w:p>
    <w:p w:rsidR="0003418B" w:rsidRDefault="0003418B" w:rsidP="0003418B">
      <w:pPr>
        <w:spacing w:line="480" w:lineRule="auto"/>
        <w:ind w:left="1440"/>
        <w:jc w:val="center"/>
        <w:rPr>
          <w:sz w:val="23"/>
          <w:szCs w:val="23"/>
        </w:rPr>
      </w:pPr>
      <w:r>
        <w:rPr>
          <w:noProof/>
          <w:sz w:val="23"/>
          <w:szCs w:val="23"/>
        </w:rPr>
        <w:lastRenderedPageBreak/>
        <w:drawing>
          <wp:inline distT="0" distB="0" distL="0" distR="0" wp14:anchorId="2AE466E1" wp14:editId="7DE1A016">
            <wp:extent cx="2465829" cy="1543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3985" cy="1542301"/>
                    </a:xfrm>
                    <a:prstGeom prst="rect">
                      <a:avLst/>
                    </a:prstGeom>
                    <a:noFill/>
                    <a:ln>
                      <a:noFill/>
                    </a:ln>
                  </pic:spPr>
                </pic:pic>
              </a:graphicData>
            </a:graphic>
          </wp:inline>
        </w:drawing>
      </w:r>
    </w:p>
    <w:p w:rsidR="0003418B" w:rsidRDefault="0016234B" w:rsidP="003F5BE7">
      <w:pPr>
        <w:pStyle w:val="Default"/>
        <w:ind w:firstLine="720"/>
      </w:pPr>
      <w:r>
        <w:t xml:space="preserve">In addition, </w:t>
      </w:r>
      <w:r w:rsidR="007A2585">
        <w:t>Xcel</w:t>
      </w:r>
      <w:r w:rsidR="0003418B">
        <w:t xml:space="preserve"> </w:t>
      </w:r>
      <w:r w:rsidR="00D96B3F">
        <w:t xml:space="preserve">used </w:t>
      </w:r>
      <w:r w:rsidR="00234F3E">
        <w:t xml:space="preserve">the following </w:t>
      </w:r>
      <w:r w:rsidR="00D96B3F">
        <w:t>adders for storage</w:t>
      </w:r>
      <w:r w:rsidR="00234F3E">
        <w:t xml:space="preserve"> value</w:t>
      </w:r>
      <w:r w:rsidR="00D96B3F">
        <w:t>, including</w:t>
      </w:r>
      <w:r w:rsidR="0003418B">
        <w:t>:</w:t>
      </w:r>
    </w:p>
    <w:p w:rsidR="0016234B" w:rsidRDefault="0016234B" w:rsidP="008C4EFE">
      <w:pPr>
        <w:pStyle w:val="Default"/>
        <w:ind w:left="1440"/>
        <w:rPr>
          <w:rFonts w:ascii="Arial" w:hAnsi="Arial" w:cs="Arial"/>
          <w:sz w:val="23"/>
          <w:szCs w:val="23"/>
        </w:rPr>
      </w:pPr>
    </w:p>
    <w:p w:rsidR="008054B0" w:rsidRPr="00234F3E" w:rsidRDefault="008054B0" w:rsidP="005C6881">
      <w:pPr>
        <w:pStyle w:val="Default"/>
        <w:numPr>
          <w:ilvl w:val="0"/>
          <w:numId w:val="7"/>
        </w:numPr>
        <w:ind w:left="1440"/>
      </w:pPr>
      <w:r w:rsidRPr="00234F3E">
        <w:t>wind integration cost savings;</w:t>
      </w:r>
    </w:p>
    <w:p w:rsidR="00234F3E" w:rsidRPr="00234F3E" w:rsidRDefault="00234F3E" w:rsidP="00234F3E">
      <w:pPr>
        <w:pStyle w:val="Default"/>
        <w:ind w:left="1440"/>
      </w:pPr>
    </w:p>
    <w:p w:rsidR="008054B0" w:rsidRPr="00234F3E" w:rsidRDefault="0003418B" w:rsidP="005C6881">
      <w:pPr>
        <w:pStyle w:val="Default"/>
        <w:numPr>
          <w:ilvl w:val="0"/>
          <w:numId w:val="7"/>
        </w:numPr>
        <w:ind w:left="1440"/>
      </w:pPr>
      <w:r w:rsidRPr="00234F3E">
        <w:t>$0.20/kW-</w:t>
      </w:r>
      <w:proofErr w:type="spellStart"/>
      <w:r w:rsidRPr="00234F3E">
        <w:t>mo</w:t>
      </w:r>
      <w:proofErr w:type="spellEnd"/>
      <w:r w:rsidRPr="00234F3E">
        <w:t xml:space="preserve"> for 30-minute start capability and $0.22/kW-</w:t>
      </w:r>
      <w:proofErr w:type="spellStart"/>
      <w:r w:rsidRPr="00234F3E">
        <w:t>mo</w:t>
      </w:r>
      <w:proofErr w:type="spellEnd"/>
      <w:r w:rsidRPr="00234F3E">
        <w:t xml:space="preserve"> for 15 minute start capability</w:t>
      </w:r>
      <w:r w:rsidR="00234F3E" w:rsidRPr="00234F3E">
        <w:t>.</w:t>
      </w:r>
      <w:r w:rsidRPr="00234F3E">
        <w:t xml:space="preserve"> </w:t>
      </w:r>
    </w:p>
    <w:p w:rsidR="00423CE0" w:rsidRPr="008C4EFE" w:rsidRDefault="00423CE0" w:rsidP="00234F3E">
      <w:pPr>
        <w:pStyle w:val="Default"/>
        <w:ind w:left="1440"/>
        <w:rPr>
          <w:sz w:val="23"/>
        </w:rPr>
      </w:pPr>
    </w:p>
    <w:p w:rsidR="00423CE0" w:rsidRPr="008C4EFE" w:rsidRDefault="00423CE0" w:rsidP="006459F9">
      <w:pPr>
        <w:pStyle w:val="Default"/>
        <w:keepNext/>
        <w:autoSpaceDE/>
        <w:autoSpaceDN/>
        <w:adjustRightInd/>
        <w:spacing w:after="160" w:line="360" w:lineRule="auto"/>
        <w:ind w:left="720" w:hanging="720"/>
      </w:pPr>
      <w:r w:rsidRPr="002D1345">
        <w:rPr>
          <w:b/>
        </w:rPr>
        <w:t>Q.</w:t>
      </w:r>
      <w:r w:rsidRPr="002D1345">
        <w:rPr>
          <w:b/>
        </w:rPr>
        <w:tab/>
      </w:r>
      <w:r w:rsidRPr="00521F84">
        <w:rPr>
          <w:b/>
        </w:rPr>
        <w:t xml:space="preserve">Should the </w:t>
      </w:r>
      <w:r w:rsidR="00234F3E">
        <w:rPr>
          <w:b/>
        </w:rPr>
        <w:t>GPSC</w:t>
      </w:r>
      <w:r w:rsidRPr="00521F84">
        <w:rPr>
          <w:b/>
        </w:rPr>
        <w:t xml:space="preserve"> utilize these same parameters </w:t>
      </w:r>
      <w:r w:rsidR="00234F3E">
        <w:rPr>
          <w:b/>
        </w:rPr>
        <w:t xml:space="preserve">the Colorado Commission approved </w:t>
      </w:r>
      <w:r w:rsidRPr="00521F84">
        <w:rPr>
          <w:b/>
        </w:rPr>
        <w:t>for consideration of storage bids in the IRP?</w:t>
      </w:r>
    </w:p>
    <w:p w:rsidR="00B43CB7" w:rsidRDefault="00423CE0" w:rsidP="008C4EFE">
      <w:pPr>
        <w:spacing w:line="480" w:lineRule="auto"/>
      </w:pPr>
      <w:r>
        <w:t>A.</w:t>
      </w:r>
      <w:r>
        <w:tab/>
      </w:r>
      <w:r w:rsidR="00234F3E">
        <w:t xml:space="preserve">Perhaps, but I defer to Commission Staff </w:t>
      </w:r>
      <w:r w:rsidR="00770900">
        <w:t>as to the specific numbers necessary for Georgia</w:t>
      </w:r>
      <w:r w:rsidR="00234F3E">
        <w:t xml:space="preserve">.  </w:t>
      </w:r>
      <w:r>
        <w:t>T</w:t>
      </w:r>
      <w:r w:rsidR="008054B0">
        <w:t xml:space="preserve">he Commission should direct Staff and GPC to review </w:t>
      </w:r>
      <w:r w:rsidR="00234F3E">
        <w:t>Xcel’s</w:t>
      </w:r>
      <w:r w:rsidR="008054B0">
        <w:t xml:space="preserve"> testimony and</w:t>
      </w:r>
      <w:r w:rsidR="00234F3E">
        <w:t xml:space="preserve"> to</w:t>
      </w:r>
      <w:r w:rsidR="008054B0">
        <w:t xml:space="preserve"> make adjustments</w:t>
      </w:r>
      <w:r w:rsidR="002D1345">
        <w:t xml:space="preserve"> </w:t>
      </w:r>
      <w:r w:rsidR="003F5BE7">
        <w:t xml:space="preserve">to the </w:t>
      </w:r>
      <w:r w:rsidR="00596BD0">
        <w:t>model that is</w:t>
      </w:r>
      <w:r w:rsidR="002D1345">
        <w:t xml:space="preserve"> specific to GPC and the Georgia electric system</w:t>
      </w:r>
      <w:r w:rsidR="008054B0">
        <w:t xml:space="preserve"> </w:t>
      </w:r>
      <w:r w:rsidR="002D1345">
        <w:t xml:space="preserve">using </w:t>
      </w:r>
      <w:r w:rsidR="008054B0">
        <w:t xml:space="preserve">the Xcel </w:t>
      </w:r>
      <w:r w:rsidR="003F5BE7">
        <w:t>adjustments</w:t>
      </w:r>
      <w:r w:rsidR="008054B0">
        <w:t xml:space="preserve"> </w:t>
      </w:r>
      <w:r w:rsidR="002D1345">
        <w:t>for guidance</w:t>
      </w:r>
      <w:r w:rsidR="008054B0">
        <w:t xml:space="preserve">.  </w:t>
      </w:r>
      <w:r w:rsidR="003F5BE7">
        <w:t xml:space="preserve"> In hindsight</w:t>
      </w:r>
      <w:r w:rsidR="00234F3E">
        <w:t>, w</w:t>
      </w:r>
      <w:r w:rsidR="008054B0">
        <w:t xml:space="preserve">e know that </w:t>
      </w:r>
      <w:r w:rsidR="00234F3E">
        <w:t xml:space="preserve">for Xcel </w:t>
      </w:r>
      <w:r w:rsidR="00B43CB7">
        <w:t xml:space="preserve">a record amount of </w:t>
      </w:r>
      <w:r w:rsidR="008054B0">
        <w:t xml:space="preserve">low cost </w:t>
      </w:r>
      <w:r w:rsidR="00B43CB7">
        <w:t>storage resources were selected by the capacity expansion model</w:t>
      </w:r>
      <w:r w:rsidR="00234F3E">
        <w:t xml:space="preserve"> with these assumptions in place, which Xcel </w:t>
      </w:r>
      <w:r w:rsidR="00596BD0">
        <w:t>characterized</w:t>
      </w:r>
      <w:r w:rsidR="00234F3E">
        <w:t xml:space="preserve"> as conservative based on the IEEE report</w:t>
      </w:r>
      <w:r w:rsidR="00B43CB7">
        <w:t xml:space="preserve">.   </w:t>
      </w:r>
    </w:p>
    <w:p w:rsidR="00B43CB7" w:rsidRPr="00B43CB7" w:rsidRDefault="00B43CB7" w:rsidP="006459F9">
      <w:pPr>
        <w:keepNext/>
        <w:rPr>
          <w:b/>
        </w:rPr>
      </w:pPr>
      <w:r w:rsidRPr="00B43CB7">
        <w:rPr>
          <w:b/>
        </w:rPr>
        <w:t>Q.</w:t>
      </w:r>
      <w:r w:rsidRPr="00B43CB7">
        <w:rPr>
          <w:b/>
        </w:rPr>
        <w:tab/>
        <w:t>What are your conclusions from the 2016 Xcel ERP for the Commission?</w:t>
      </w:r>
    </w:p>
    <w:p w:rsidR="00B43CB7" w:rsidRDefault="00B43CB7" w:rsidP="00B43CB7">
      <w:pPr>
        <w:spacing w:line="480" w:lineRule="auto"/>
      </w:pPr>
      <w:r>
        <w:t>A.</w:t>
      </w:r>
      <w:r>
        <w:tab/>
        <w:t xml:space="preserve">Using an all-source RFP approach and an optimized capacity expansion model for bid evaluation </w:t>
      </w:r>
      <w:r w:rsidR="00234F3E">
        <w:t xml:space="preserve">for Xcel </w:t>
      </w:r>
      <w:r>
        <w:t xml:space="preserve">resulted in an open and transparent market opportunity that attracted record numbers of bids and the lowest prices available in the country for new generation.  </w:t>
      </w:r>
      <w:r w:rsidR="00234F3E">
        <w:lastRenderedPageBreak/>
        <w:t xml:space="preserve">The need to be filled was in large part driven by retiring uneconomic coal resources. </w:t>
      </w:r>
      <w:r>
        <w:t xml:space="preserve"> </w:t>
      </w:r>
      <w:r w:rsidR="00234F3E">
        <w:t>T</w:t>
      </w:r>
      <w:r>
        <w:t xml:space="preserve">he </w:t>
      </w:r>
      <w:r w:rsidR="00234F3E">
        <w:t xml:space="preserve">Strategist input </w:t>
      </w:r>
      <w:r>
        <w:t xml:space="preserve">assumptions for a fractional </w:t>
      </w:r>
      <w:r w:rsidR="003F5BE7">
        <w:t xml:space="preserve">firm </w:t>
      </w:r>
      <w:r>
        <w:t xml:space="preserve">capacity </w:t>
      </w:r>
      <w:r w:rsidR="003F5BE7">
        <w:t>credit</w:t>
      </w:r>
      <w:r>
        <w:t xml:space="preserve"> to wind and solar resources allowed the model to select projects that deliver cheap </w:t>
      </w:r>
      <w:r w:rsidR="00234F3E">
        <w:t xml:space="preserve">and clean </w:t>
      </w:r>
      <w:r>
        <w:t xml:space="preserve">energy with </w:t>
      </w:r>
      <w:r w:rsidR="00512D2C">
        <w:t>some</w:t>
      </w:r>
      <w:r>
        <w:t xml:space="preserve"> capacity benefit to fill the retirement of a large coal unit</w:t>
      </w:r>
      <w:r w:rsidR="00234F3E">
        <w:t xml:space="preserve"> in significant part</w:t>
      </w:r>
      <w:r>
        <w:t xml:space="preserve">.   </w:t>
      </w:r>
      <w:r w:rsidR="003F5BE7">
        <w:t>Additionally</w:t>
      </w:r>
      <w:r>
        <w:t>, e</w:t>
      </w:r>
      <w:r w:rsidR="008578D5" w:rsidRPr="00C74454">
        <w:t xml:space="preserve">xisting gas units </w:t>
      </w:r>
      <w:r w:rsidR="003F5BE7">
        <w:t xml:space="preserve">that </w:t>
      </w:r>
      <w:r w:rsidR="008578D5" w:rsidRPr="00C74454">
        <w:t xml:space="preserve">re-bid were re-contracted or purchased.  </w:t>
      </w:r>
      <w:r>
        <w:t xml:space="preserve"> The result was a w</w:t>
      </w:r>
      <w:r w:rsidR="008578D5" w:rsidRPr="00C74454">
        <w:t>in for</w:t>
      </w:r>
      <w:r>
        <w:t xml:space="preserve"> both</w:t>
      </w:r>
      <w:r w:rsidR="008578D5" w:rsidRPr="00C74454">
        <w:t xml:space="preserve"> ratepayers and clean energy.   </w:t>
      </w:r>
      <w:r w:rsidR="00BB1A8E">
        <w:t>Xcel Energy’s rates in Colorado are now approximately 36% below the national average.</w:t>
      </w:r>
      <w:r w:rsidR="00BB1A8E">
        <w:rPr>
          <w:rStyle w:val="FootnoteReference"/>
        </w:rPr>
        <w:footnoteReference w:id="18"/>
      </w:r>
    </w:p>
    <w:p w:rsidR="00B43CB7" w:rsidRPr="00B43CB7" w:rsidRDefault="00B43CB7" w:rsidP="006459F9">
      <w:pPr>
        <w:keepNext/>
        <w:rPr>
          <w:b/>
        </w:rPr>
      </w:pPr>
      <w:r w:rsidRPr="00B43CB7">
        <w:rPr>
          <w:b/>
        </w:rPr>
        <w:t>Q.</w:t>
      </w:r>
      <w:r w:rsidRPr="00B43CB7">
        <w:rPr>
          <w:b/>
        </w:rPr>
        <w:tab/>
      </w:r>
      <w:r w:rsidR="00F6039A">
        <w:rPr>
          <w:b/>
        </w:rPr>
        <w:t>You</w:t>
      </w:r>
      <w:r w:rsidRPr="00B43CB7">
        <w:rPr>
          <w:b/>
        </w:rPr>
        <w:t xml:space="preserve"> testif</w:t>
      </w:r>
      <w:r w:rsidR="00F6039A">
        <w:rPr>
          <w:b/>
        </w:rPr>
        <w:t>ied</w:t>
      </w:r>
      <w:r w:rsidRPr="00B43CB7">
        <w:rPr>
          <w:b/>
        </w:rPr>
        <w:t xml:space="preserve"> that the model had to be tweaked for storage, and then had to impute assumptions for capacity and integrations costs</w:t>
      </w:r>
      <w:r w:rsidR="00F6039A">
        <w:rPr>
          <w:b/>
        </w:rPr>
        <w:t>.</w:t>
      </w:r>
      <w:r w:rsidRPr="00B43CB7">
        <w:rPr>
          <w:b/>
        </w:rPr>
        <w:t xml:space="preserve">  </w:t>
      </w:r>
      <w:r w:rsidR="00F6039A">
        <w:rPr>
          <w:b/>
        </w:rPr>
        <w:t xml:space="preserve">Does that suggest the model is </w:t>
      </w:r>
      <w:r w:rsidRPr="00B43CB7">
        <w:rPr>
          <w:b/>
        </w:rPr>
        <w:t>inherently flawed?</w:t>
      </w:r>
    </w:p>
    <w:p w:rsidR="00234F3E" w:rsidRDefault="00B43CB7" w:rsidP="00B43CB7">
      <w:pPr>
        <w:spacing w:line="480" w:lineRule="auto"/>
      </w:pPr>
      <w:r>
        <w:t>A.</w:t>
      </w:r>
      <w:r>
        <w:tab/>
        <w:t>Not in my opinion.  While modeling has inherent issues to solve, which were partially addressed for storage in this instance, using the Strategist model to develop resource portfolios out of bids produced a substantially</w:t>
      </w:r>
      <w:r w:rsidR="00234F3E">
        <w:t xml:space="preserve"> different  - and</w:t>
      </w:r>
      <w:r>
        <w:t xml:space="preserve"> better </w:t>
      </w:r>
      <w:r w:rsidR="00234F3E">
        <w:t xml:space="preserve">for ratepayers - </w:t>
      </w:r>
      <w:r>
        <w:t xml:space="preserve">mix of resources than had Xcel used the costs of generic resources that it had included as placeholders or indicative results in its ERP application.  </w:t>
      </w:r>
    </w:p>
    <w:p w:rsidR="00234F3E" w:rsidRDefault="00234F3E" w:rsidP="006459F9">
      <w:pPr>
        <w:keepNext/>
        <w:rPr>
          <w:b/>
        </w:rPr>
      </w:pPr>
      <w:r w:rsidRPr="00234F3E">
        <w:rPr>
          <w:b/>
        </w:rPr>
        <w:t>Q.</w:t>
      </w:r>
      <w:r>
        <w:tab/>
      </w:r>
      <w:r w:rsidR="00BB1A8E" w:rsidRPr="008C4EFE">
        <w:rPr>
          <w:b/>
        </w:rPr>
        <w:t xml:space="preserve">Did the </w:t>
      </w:r>
      <w:r>
        <w:rPr>
          <w:b/>
        </w:rPr>
        <w:t xml:space="preserve">capacity expansion </w:t>
      </w:r>
      <w:r w:rsidR="00BB1A8E" w:rsidRPr="008C4EFE">
        <w:rPr>
          <w:b/>
        </w:rPr>
        <w:t>model “Base Case” that Xcel used in its Phase I ERP predict the resources acquired through the all-source RFP?</w:t>
      </w:r>
    </w:p>
    <w:p w:rsidR="008578D5" w:rsidRDefault="00234F3E" w:rsidP="00B43CB7">
      <w:pPr>
        <w:spacing w:line="480" w:lineRule="auto"/>
      </w:pPr>
      <w:r w:rsidRPr="00234F3E">
        <w:t>A.</w:t>
      </w:r>
      <w:r>
        <w:rPr>
          <w:b/>
        </w:rPr>
        <w:tab/>
      </w:r>
      <w:r w:rsidR="00BB1A8E">
        <w:t xml:space="preserve">No.   The mix </w:t>
      </w:r>
      <w:r w:rsidR="008C4EFE">
        <w:t xml:space="preserve">resulting from the RFP </w:t>
      </w:r>
      <w:r w:rsidR="00BB1A8E">
        <w:t>was substantially different</w:t>
      </w:r>
      <w:r w:rsidR="008C4EFE">
        <w:t xml:space="preserve"> than predicted by Strategist for the generic resources selected in the Base Case ran for the </w:t>
      </w:r>
      <w:r>
        <w:t xml:space="preserve">ERP </w:t>
      </w:r>
      <w:r w:rsidR="008C4EFE">
        <w:t xml:space="preserve">Phase 1 </w:t>
      </w:r>
      <w:r>
        <w:t>Decision</w:t>
      </w:r>
      <w:r w:rsidR="008C4EFE">
        <w:t>.  This was also true in prior Xcel ERPs</w:t>
      </w:r>
      <w:r w:rsidR="00BB1A8E">
        <w:t xml:space="preserve">.   Xcel’s base gas had not predicted any </w:t>
      </w:r>
      <w:r w:rsidR="00BB1A8E">
        <w:lastRenderedPageBreak/>
        <w:t xml:space="preserve">storage resources would be selected, for example, and the level of wind generation that was achieved was primarily due to the low-cost bids received.  </w:t>
      </w:r>
      <w:r w:rsidR="00B43CB7">
        <w:t xml:space="preserve">When real world competition was brought to bear, the </w:t>
      </w:r>
      <w:r>
        <w:t xml:space="preserve">resource </w:t>
      </w:r>
      <w:r w:rsidR="00B43CB7">
        <w:t xml:space="preserve">mix was different than Xcel or parties had anticipated, both in terms of the </w:t>
      </w:r>
      <w:r>
        <w:t>generation</w:t>
      </w:r>
      <w:r w:rsidR="00B43CB7">
        <w:t xml:space="preserve"> </w:t>
      </w:r>
      <w:r>
        <w:t xml:space="preserve">units selected </w:t>
      </w:r>
      <w:r w:rsidR="00B43CB7">
        <w:t>and the cost of that mix.</w:t>
      </w:r>
    </w:p>
    <w:p w:rsidR="00EC219B" w:rsidRDefault="00EC219B" w:rsidP="00B43CB7">
      <w:pPr>
        <w:spacing w:line="480" w:lineRule="auto"/>
      </w:pPr>
    </w:p>
    <w:p w:rsidR="00A17F55" w:rsidRPr="00D96CF4" w:rsidRDefault="00A17F55" w:rsidP="00A17F55">
      <w:pPr>
        <w:spacing w:line="480" w:lineRule="auto"/>
        <w:ind w:firstLine="0"/>
        <w:rPr>
          <w:b/>
        </w:rPr>
      </w:pPr>
      <w:r w:rsidRPr="00D96CF4">
        <w:rPr>
          <w:b/>
        </w:rPr>
        <w:t>IV.</w:t>
      </w:r>
      <w:r w:rsidRPr="00D96CF4">
        <w:rPr>
          <w:b/>
        </w:rPr>
        <w:tab/>
      </w:r>
      <w:r w:rsidRPr="00D96CF4">
        <w:rPr>
          <w:b/>
          <w:u w:val="single"/>
        </w:rPr>
        <w:t>Analysis of GP IRP in Support of Recommendations</w:t>
      </w:r>
    </w:p>
    <w:p w:rsidR="00A17F55" w:rsidRPr="00A17F55" w:rsidRDefault="00A17F55" w:rsidP="00A17F55">
      <w:pPr>
        <w:spacing w:line="480" w:lineRule="auto"/>
        <w:rPr>
          <w:b/>
        </w:rPr>
      </w:pPr>
      <w:r w:rsidRPr="00A17F55">
        <w:rPr>
          <w:b/>
        </w:rPr>
        <w:t>Q.</w:t>
      </w:r>
      <w:r w:rsidRPr="00A17F55">
        <w:rPr>
          <w:b/>
        </w:rPr>
        <w:tab/>
        <w:t>Please explain the purpose of this section.</w:t>
      </w:r>
    </w:p>
    <w:p w:rsidR="00A17F55" w:rsidRDefault="00A17F55" w:rsidP="00A17F55">
      <w:pPr>
        <w:spacing w:line="480" w:lineRule="auto"/>
      </w:pPr>
      <w:r>
        <w:t>A.</w:t>
      </w:r>
      <w:r>
        <w:tab/>
        <w:t xml:space="preserve">In this section, I demonstrate how the evidence in this IRP supports the </w:t>
      </w:r>
      <w:r w:rsidR="0032159A">
        <w:t xml:space="preserve">policy determination from the </w:t>
      </w:r>
      <w:r>
        <w:t>Commission directing GPC to conduct an all-source RFP process to fill the capacity and energy need identified in the IRP.</w:t>
      </w:r>
    </w:p>
    <w:p w:rsidR="00A17044" w:rsidRDefault="00A17F55" w:rsidP="00A17F55">
      <w:pPr>
        <w:spacing w:line="480" w:lineRule="auto"/>
        <w:rPr>
          <w:b/>
        </w:rPr>
      </w:pPr>
      <w:r w:rsidRPr="00A17F55">
        <w:rPr>
          <w:b/>
        </w:rPr>
        <w:t>Q.</w:t>
      </w:r>
      <w:r w:rsidRPr="00A17F55">
        <w:rPr>
          <w:b/>
        </w:rPr>
        <w:tab/>
      </w:r>
      <w:r w:rsidR="00A17044">
        <w:rPr>
          <w:b/>
        </w:rPr>
        <w:t xml:space="preserve">What are GPC’s proposals for </w:t>
      </w:r>
      <w:r w:rsidR="004B21C1">
        <w:rPr>
          <w:b/>
        </w:rPr>
        <w:t xml:space="preserve">the Capacity RFP </w:t>
      </w:r>
      <w:r w:rsidR="00A17044">
        <w:rPr>
          <w:b/>
        </w:rPr>
        <w:t>bid processes?</w:t>
      </w:r>
    </w:p>
    <w:p w:rsidR="00A17044" w:rsidRDefault="00A17044" w:rsidP="00A17044">
      <w:pPr>
        <w:spacing w:line="480" w:lineRule="auto"/>
      </w:pPr>
      <w:r w:rsidRPr="00A17044">
        <w:t>A.</w:t>
      </w:r>
      <w:r>
        <w:rPr>
          <w:b/>
        </w:rPr>
        <w:tab/>
      </w:r>
      <w:r>
        <w:t xml:space="preserve">GPC testified that “any resource capable of meeting the capacity and reliability requirements specified in the RFP, as determined by the Company in conjunction with the independent evaluator and Commission Staff, will be eligible to participate in the Capacity RFP. The Company anticipates that potential resources will include combined cycle units, combustion turbines, </w:t>
      </w:r>
      <w:r w:rsidRPr="00A17044">
        <w:t>and renewable resources combined with storage providing sufficient capacity and duration</w:t>
      </w:r>
      <w:r>
        <w:t>.”</w:t>
      </w:r>
      <w:r>
        <w:rPr>
          <w:rStyle w:val="FootnoteReference"/>
        </w:rPr>
        <w:footnoteReference w:id="19"/>
      </w:r>
      <w:r>
        <w:t xml:space="preserve">  </w:t>
      </w:r>
      <w:r w:rsidRPr="00234F3E">
        <w:t xml:space="preserve">During the hearing, GPC declined to elaborate on </w:t>
      </w:r>
      <w:r w:rsidR="00F6039A" w:rsidRPr="00234F3E">
        <w:t xml:space="preserve">what would constitute </w:t>
      </w:r>
      <w:r w:rsidRPr="00234F3E">
        <w:t>“sufficient”</w:t>
      </w:r>
      <w:r w:rsidR="00C54012" w:rsidRPr="00234F3E">
        <w:t xml:space="preserve"> </w:t>
      </w:r>
      <w:r w:rsidR="003F5BE7">
        <w:t xml:space="preserve">firmness </w:t>
      </w:r>
      <w:r w:rsidR="00C54012" w:rsidRPr="00234F3E">
        <w:t>for this determination</w:t>
      </w:r>
      <w:r w:rsidR="00234F3E">
        <w:t>.</w:t>
      </w:r>
      <w:r>
        <w:t xml:space="preserve"> </w:t>
      </w:r>
      <w:r w:rsidR="003F5BE7">
        <w:t>(Tr. 392-</w:t>
      </w:r>
      <w:r w:rsidR="003F5BE7">
        <w:lastRenderedPageBreak/>
        <w:t xml:space="preserve">393). </w:t>
      </w:r>
      <w:r>
        <w:t xml:space="preserve"> Renewable resources</w:t>
      </w:r>
      <w:r w:rsidR="00EC7D11">
        <w:t>,</w:t>
      </w:r>
      <w:r>
        <w:t xml:space="preserve"> on the other hand, will </w:t>
      </w:r>
      <w:r w:rsidR="00EC7D11">
        <w:t xml:space="preserve">be separately evaluated in the RCB Framework.  </w:t>
      </w:r>
      <w:r w:rsidR="004B21C1">
        <w:t>T</w:t>
      </w:r>
      <w:r w:rsidR="003F5BE7">
        <w:t xml:space="preserve">he Company’s witness panel did not make it clear, but it is apparent from the record that </w:t>
      </w:r>
      <w:r w:rsidR="004B21C1">
        <w:t>other than solar plus storage</w:t>
      </w:r>
      <w:r w:rsidR="00EC7D11">
        <w:t xml:space="preserve">, </w:t>
      </w:r>
      <w:r w:rsidR="003F5BE7">
        <w:t>GPC</w:t>
      </w:r>
      <w:r w:rsidR="004B21C1">
        <w:t xml:space="preserve"> d</w:t>
      </w:r>
      <w:r w:rsidR="003F5BE7">
        <w:t>oes</w:t>
      </w:r>
      <w:r w:rsidR="004B21C1">
        <w:t xml:space="preserve"> not intend to allow</w:t>
      </w:r>
      <w:r w:rsidR="00EC7D11">
        <w:t xml:space="preserve"> renewable resources to </w:t>
      </w:r>
      <w:r w:rsidR="004B21C1">
        <w:t xml:space="preserve">be included as stand-alone </w:t>
      </w:r>
      <w:r w:rsidR="00EC7D11">
        <w:t>bid</w:t>
      </w:r>
      <w:r w:rsidR="004B21C1">
        <w:t>s</w:t>
      </w:r>
      <w:r w:rsidR="00EC7D11">
        <w:t xml:space="preserve"> </w:t>
      </w:r>
      <w:r w:rsidR="004B21C1">
        <w:t>f</w:t>
      </w:r>
      <w:r w:rsidR="00EC7D11">
        <w:t>or evaluat</w:t>
      </w:r>
      <w:r w:rsidR="004B21C1">
        <w:t>ion</w:t>
      </w:r>
      <w:r w:rsidR="00EC7D11">
        <w:t xml:space="preserve"> alongside the Capacity RFP pre-selected technologies.</w:t>
      </w:r>
      <w:r w:rsidR="003F5BE7">
        <w:t xml:space="preserve"> (Tr 564-569).</w:t>
      </w:r>
      <w:r w:rsidR="003F5BE7">
        <w:rPr>
          <w:rStyle w:val="FootnoteReference"/>
        </w:rPr>
        <w:footnoteReference w:id="20"/>
      </w:r>
    </w:p>
    <w:p w:rsidR="00A17F55" w:rsidRPr="00A17F55" w:rsidRDefault="00A17044" w:rsidP="00A17F55">
      <w:pPr>
        <w:spacing w:line="480" w:lineRule="auto"/>
        <w:rPr>
          <w:b/>
        </w:rPr>
      </w:pPr>
      <w:r>
        <w:rPr>
          <w:b/>
        </w:rPr>
        <w:t>Q.</w:t>
      </w:r>
      <w:r>
        <w:rPr>
          <w:b/>
        </w:rPr>
        <w:tab/>
      </w:r>
      <w:r w:rsidR="00A17F55" w:rsidRPr="00A17F55">
        <w:rPr>
          <w:b/>
        </w:rPr>
        <w:t>At a high level, what are your chief conclusions regarding the IRP?</w:t>
      </w:r>
    </w:p>
    <w:p w:rsidR="00A17F55" w:rsidRDefault="00A17F55" w:rsidP="00A17F55">
      <w:pPr>
        <w:spacing w:line="480" w:lineRule="auto"/>
      </w:pPr>
      <w:r>
        <w:t>A.</w:t>
      </w:r>
      <w:r>
        <w:tab/>
        <w:t>I have identified t</w:t>
      </w:r>
      <w:r w:rsidRPr="00C74454">
        <w:t>wo overarching</w:t>
      </w:r>
      <w:r w:rsidR="0032159A">
        <w:t xml:space="preserve"> policy</w:t>
      </w:r>
      <w:r w:rsidRPr="00C74454">
        <w:t xml:space="preserve"> concerns: </w:t>
      </w:r>
      <w:r>
        <w:t xml:space="preserve">  First, the </w:t>
      </w:r>
      <w:r w:rsidRPr="00C74454">
        <w:t xml:space="preserve">IRP application presents </w:t>
      </w:r>
      <w:r>
        <w:t>a “Base Case” generic analysis</w:t>
      </w:r>
      <w:r w:rsidRPr="00C74454">
        <w:t xml:space="preserve"> that </w:t>
      </w:r>
      <w:r w:rsidR="00EC219B">
        <w:t>did</w:t>
      </w:r>
      <w:r>
        <w:t xml:space="preserve"> not allow the capacity expansion model to </w:t>
      </w:r>
      <w:r w:rsidRPr="00C74454">
        <w:t>optimize</w:t>
      </w:r>
      <w:r>
        <w:t xml:space="preserve"> among different technolog</w:t>
      </w:r>
      <w:r w:rsidR="0032159A">
        <w:t>ies</w:t>
      </w:r>
      <w:r w:rsidRPr="00C74454">
        <w:t xml:space="preserve">, which is </w:t>
      </w:r>
      <w:r>
        <w:t>Strategist’s</w:t>
      </w:r>
      <w:r w:rsidRPr="00C74454">
        <w:t xml:space="preserve"> primary functionality in this type of process</w:t>
      </w:r>
      <w:r w:rsidR="00EC219B">
        <w:t>. This</w:t>
      </w:r>
      <w:r>
        <w:t xml:space="preserve"> </w:t>
      </w:r>
      <w:r w:rsidR="004B5B67">
        <w:t>approach pre-supposes</w:t>
      </w:r>
      <w:r>
        <w:t xml:space="preserve"> the </w:t>
      </w:r>
      <w:r w:rsidR="00EC219B">
        <w:t>RFP</w:t>
      </w:r>
      <w:r>
        <w:t xml:space="preserve"> outcome to certain gas-fired resources. </w:t>
      </w:r>
    </w:p>
    <w:p w:rsidR="004B5B67" w:rsidRDefault="00A17F55" w:rsidP="00EC7D11">
      <w:pPr>
        <w:spacing w:line="480" w:lineRule="auto"/>
        <w:ind w:firstLine="720"/>
      </w:pPr>
      <w:r>
        <w:t>Second,</w:t>
      </w:r>
      <w:r w:rsidR="00234F3E">
        <w:t xml:space="preserve"> </w:t>
      </w:r>
      <w:r w:rsidR="004B5B67">
        <w:t>this</w:t>
      </w:r>
      <w:r w:rsidR="00234F3E">
        <w:t xml:space="preserve"> constrained Base Case </w:t>
      </w:r>
      <w:r w:rsidR="004B5B67">
        <w:t>evaluation is then relied upon to</w:t>
      </w:r>
      <w:r w:rsidR="00234F3E">
        <w:t xml:space="preserve"> inform the RFP to occur to replace Plant Bowen Units 1-2 and </w:t>
      </w:r>
      <w:r w:rsidR="004B5B67">
        <w:t>the 2028 capacity</w:t>
      </w:r>
      <w:r w:rsidR="00234F3E">
        <w:t xml:space="preserve"> need.</w:t>
      </w:r>
      <w:r>
        <w:t xml:space="preserve"> </w:t>
      </w:r>
      <w:r w:rsidR="00234F3E">
        <w:t xml:space="preserve"> This result</w:t>
      </w:r>
      <w:r w:rsidRPr="00C74454">
        <w:t xml:space="preserve"> artificially limits the market</w:t>
      </w:r>
      <w:r w:rsidR="00234F3E">
        <w:t xml:space="preserve"> for GPC ratepayers</w:t>
      </w:r>
      <w:r w:rsidR="004B21C1">
        <w:t>, presenting the Commission with fewer and likely less cost-effective options for its review</w:t>
      </w:r>
      <w:r w:rsidR="00F24F21">
        <w:t xml:space="preserve">.  </w:t>
      </w:r>
      <w:r w:rsidR="004B21C1">
        <w:t xml:space="preserve">Georgia Power’s </w:t>
      </w:r>
      <w:r w:rsidR="007A2D94">
        <w:t xml:space="preserve">modeling </w:t>
      </w:r>
      <w:r w:rsidR="00EC219B">
        <w:t xml:space="preserve">also </w:t>
      </w:r>
      <w:r w:rsidR="0032159A">
        <w:t>may</w:t>
      </w:r>
      <w:r w:rsidR="00EC219B">
        <w:t xml:space="preserve"> lead</w:t>
      </w:r>
      <w:r w:rsidR="007A2D94">
        <w:t xml:space="preserve"> to mar</w:t>
      </w:r>
      <w:r w:rsidRPr="00C74454">
        <w:t xml:space="preserve">ket </w:t>
      </w:r>
      <w:r w:rsidR="007A2D94">
        <w:t>offers</w:t>
      </w:r>
      <w:r>
        <w:t xml:space="preserve"> </w:t>
      </w:r>
      <w:r w:rsidR="004B21C1">
        <w:t xml:space="preserve">that </w:t>
      </w:r>
      <w:r w:rsidR="007A2D94">
        <w:t>are</w:t>
      </w:r>
      <w:r>
        <w:t xml:space="preserve"> smaller </w:t>
      </w:r>
      <w:r w:rsidR="007A2D94">
        <w:t xml:space="preserve">and less </w:t>
      </w:r>
      <w:r w:rsidR="00EC219B">
        <w:t>cost-</w:t>
      </w:r>
      <w:r w:rsidR="007A2D94">
        <w:t xml:space="preserve">effective </w:t>
      </w:r>
      <w:r>
        <w:t xml:space="preserve">than </w:t>
      </w:r>
      <w:r w:rsidR="007A2D94">
        <w:t>they</w:t>
      </w:r>
      <w:r>
        <w:t xml:space="preserve"> could be</w:t>
      </w:r>
      <w:r w:rsidRPr="00C74454">
        <w:t>, and that could mean higher costs for ratepayers.</w:t>
      </w:r>
      <w:r w:rsidR="002A0813">
        <w:t xml:space="preserve"> </w:t>
      </w:r>
    </w:p>
    <w:p w:rsidR="00A17F55" w:rsidRPr="008C4EFE" w:rsidRDefault="00EF1BC7" w:rsidP="000E61D3">
      <w:pPr>
        <w:keepNext/>
        <w:ind w:left="1440"/>
        <w:rPr>
          <w:b/>
          <w:u w:val="single"/>
        </w:rPr>
      </w:pPr>
      <w:r w:rsidRPr="00EF1BC7">
        <w:rPr>
          <w:b/>
        </w:rPr>
        <w:lastRenderedPageBreak/>
        <w:t>A.</w:t>
      </w:r>
      <w:r>
        <w:tab/>
      </w:r>
      <w:r w:rsidR="00A17F55" w:rsidRPr="008C4EFE">
        <w:rPr>
          <w:b/>
          <w:u w:val="single"/>
        </w:rPr>
        <w:t>Factors have aligned to present a low-risk opportunity for the Commission to shi</w:t>
      </w:r>
      <w:r w:rsidR="00437D28" w:rsidRPr="008C4EFE">
        <w:rPr>
          <w:b/>
          <w:u w:val="single"/>
        </w:rPr>
        <w:t>f</w:t>
      </w:r>
      <w:r w:rsidR="00A17F55" w:rsidRPr="008C4EFE">
        <w:rPr>
          <w:b/>
          <w:u w:val="single"/>
        </w:rPr>
        <w:t xml:space="preserve">t to an all-source model.  </w:t>
      </w:r>
    </w:p>
    <w:p w:rsidR="007074E0" w:rsidRPr="007074E0" w:rsidRDefault="007074E0" w:rsidP="000E61D3">
      <w:pPr>
        <w:keepNext/>
        <w:rPr>
          <w:b/>
        </w:rPr>
      </w:pPr>
      <w:r w:rsidRPr="007074E0">
        <w:rPr>
          <w:b/>
        </w:rPr>
        <w:t>Q.</w:t>
      </w:r>
      <w:r w:rsidRPr="007074E0">
        <w:rPr>
          <w:b/>
        </w:rPr>
        <w:tab/>
        <w:t>Has GPC identified any particular risks with an all-source RFP?</w:t>
      </w:r>
    </w:p>
    <w:p w:rsidR="00A17044" w:rsidRDefault="007074E0" w:rsidP="00A17044">
      <w:pPr>
        <w:spacing w:line="480" w:lineRule="auto"/>
      </w:pPr>
      <w:r w:rsidRPr="007074E0">
        <w:t>A.</w:t>
      </w:r>
      <w:r w:rsidRPr="007074E0">
        <w:tab/>
      </w:r>
      <w:r>
        <w:t xml:space="preserve">GPC </w:t>
      </w:r>
      <w:r w:rsidR="004B5B67">
        <w:t>first claim</w:t>
      </w:r>
      <w:r w:rsidR="00512D2C">
        <w:t>s</w:t>
      </w:r>
      <w:r>
        <w:t xml:space="preserve"> that </w:t>
      </w:r>
      <w:r w:rsidR="004B5B67">
        <w:t xml:space="preserve">the </w:t>
      </w:r>
      <w:r>
        <w:t xml:space="preserve">capacity </w:t>
      </w:r>
      <w:r w:rsidR="004B5B67">
        <w:t xml:space="preserve">RFP </w:t>
      </w:r>
      <w:r>
        <w:t xml:space="preserve">must </w:t>
      </w:r>
      <w:r w:rsidR="00F6039A">
        <w:t xml:space="preserve">be </w:t>
      </w:r>
      <w:r w:rsidR="004B5B67">
        <w:t xml:space="preserve">for </w:t>
      </w:r>
      <w:r>
        <w:t>firm, or “guaranteed</w:t>
      </w:r>
      <w:r w:rsidR="00F6039A">
        <w:t>,</w:t>
      </w:r>
      <w:r>
        <w:t xml:space="preserve">” </w:t>
      </w:r>
      <w:r w:rsidR="004B5B67">
        <w:t xml:space="preserve">generation </w:t>
      </w:r>
      <w:r>
        <w:t xml:space="preserve">and that </w:t>
      </w:r>
      <w:r w:rsidR="004B5B67">
        <w:t xml:space="preserve">renewable plants cannot serve </w:t>
      </w:r>
      <w:r w:rsidR="00391AA9">
        <w:t>that purpose.</w:t>
      </w:r>
      <w:r w:rsidR="004B5B67" w:rsidRPr="004B5B67">
        <w:t xml:space="preserve"> </w:t>
      </w:r>
      <w:r w:rsidR="004B5B67">
        <w:t>(Tr. 564-566).</w:t>
      </w:r>
      <w:r w:rsidR="00391AA9">
        <w:t xml:space="preserve">  GPC therefore has expressed a reliability concern associated with renewable energy</w:t>
      </w:r>
      <w:r w:rsidR="004B5B67">
        <w:t xml:space="preserve">.  </w:t>
      </w:r>
    </w:p>
    <w:p w:rsidR="004B5B67" w:rsidRDefault="004B5B67" w:rsidP="004B5B67">
      <w:pPr>
        <w:spacing w:line="480" w:lineRule="auto"/>
      </w:pPr>
      <w:r>
        <w:tab/>
      </w:r>
      <w:r>
        <w:tab/>
        <w:t xml:space="preserve">Second, GPC has also intimated that it may be too difficult </w:t>
      </w:r>
      <w:r w:rsidR="00EF34BB">
        <w:t>“for the model to run” as a justification for a “technology selection process” that was used to eliminate the possibility of modeling renewable technologies as bids either for the “Base Case” or the RFP</w:t>
      </w:r>
      <w:r>
        <w:t>.</w:t>
      </w:r>
      <w:r w:rsidR="00434FC1">
        <w:t xml:space="preserve"> (Tr. 628)</w:t>
      </w:r>
    </w:p>
    <w:p w:rsidR="00391AA9" w:rsidRPr="00391AA9" w:rsidRDefault="00391AA9" w:rsidP="00437D28">
      <w:pPr>
        <w:spacing w:line="480" w:lineRule="auto"/>
        <w:rPr>
          <w:b/>
        </w:rPr>
      </w:pPr>
      <w:r w:rsidRPr="00391AA9">
        <w:rPr>
          <w:b/>
        </w:rPr>
        <w:t>Q.</w:t>
      </w:r>
      <w:r w:rsidRPr="00391AA9">
        <w:rPr>
          <w:b/>
        </w:rPr>
        <w:tab/>
        <w:t>Do you agree with these conclusions of GPC?</w:t>
      </w:r>
    </w:p>
    <w:p w:rsidR="004B21C1" w:rsidRDefault="00391AA9" w:rsidP="00437D28">
      <w:pPr>
        <w:spacing w:line="480" w:lineRule="auto"/>
      </w:pPr>
      <w:r>
        <w:t>A.</w:t>
      </w:r>
      <w:r>
        <w:tab/>
        <w:t xml:space="preserve">No.  </w:t>
      </w:r>
      <w:r w:rsidR="00EF34BB">
        <w:t xml:space="preserve"> First, the Commission should find that c</w:t>
      </w:r>
      <w:r>
        <w:t xml:space="preserve">apacity expansion models are designed for the specific purpose of evaluating </w:t>
      </w:r>
      <w:r w:rsidR="00EF34BB">
        <w:t xml:space="preserve">many different </w:t>
      </w:r>
      <w:r>
        <w:t xml:space="preserve">bids to </w:t>
      </w:r>
      <w:r w:rsidR="00EC219B">
        <w:t>analyze</w:t>
      </w:r>
      <w:r>
        <w:t xml:space="preserve"> the most cost-effective resource </w:t>
      </w:r>
      <w:r w:rsidR="00EF34BB">
        <w:t>compilation</w:t>
      </w:r>
      <w:r>
        <w:t>.  This is standard fare for Strategist</w:t>
      </w:r>
      <w:r w:rsidR="00EF34BB">
        <w:t>.</w:t>
      </w:r>
      <w:r>
        <w:t xml:space="preserve"> </w:t>
      </w:r>
    </w:p>
    <w:p w:rsidR="004B21C1" w:rsidRDefault="00EF34BB" w:rsidP="008C4EFE">
      <w:pPr>
        <w:spacing w:line="480" w:lineRule="auto"/>
        <w:ind w:firstLine="720"/>
      </w:pPr>
      <w:r>
        <w:t xml:space="preserve">Second, the IRP data belies GPC’s contention regarding “sufficient firmness” as a qualification for the capacity RFP.  GPC and Staff have extensively analyzed renewable capacity values to provide firm capacity contributions over an 8760 hour basis.  These values are reflected in the ICE methodology for the RCB Framework.   </w:t>
      </w:r>
      <w:r w:rsidR="00391AA9">
        <w:t xml:space="preserve">GPC’s own </w:t>
      </w:r>
      <w:r>
        <w:t xml:space="preserve">detailed </w:t>
      </w:r>
      <w:r w:rsidR="00391AA9">
        <w:t xml:space="preserve">studies identify </w:t>
      </w:r>
      <w:r w:rsidR="00744288">
        <w:t xml:space="preserve">firm </w:t>
      </w:r>
      <w:r w:rsidR="00391AA9">
        <w:t xml:space="preserve">capacity </w:t>
      </w:r>
      <w:r w:rsidR="00744288">
        <w:t>contributions</w:t>
      </w:r>
      <w:r w:rsidR="00391AA9">
        <w:t xml:space="preserve"> </w:t>
      </w:r>
      <w:r w:rsidR="00ED5D2F">
        <w:t xml:space="preserve">for renewable resources </w:t>
      </w:r>
      <w:r w:rsidR="00391AA9">
        <w:t xml:space="preserve">based on </w:t>
      </w:r>
      <w:r w:rsidR="00ED5D2F">
        <w:t xml:space="preserve">GPC and Commission Staff </w:t>
      </w:r>
      <w:r w:rsidR="00391AA9">
        <w:t xml:space="preserve">data analysis.  These are </w:t>
      </w:r>
      <w:r>
        <w:t>firm</w:t>
      </w:r>
      <w:r w:rsidR="00391AA9">
        <w:t xml:space="preserve"> capacity values that have been determined by rigorous analysis and </w:t>
      </w:r>
      <w:r>
        <w:t>that</w:t>
      </w:r>
      <w:r w:rsidR="00391AA9">
        <w:t xml:space="preserve"> should count</w:t>
      </w:r>
      <w:r w:rsidR="00F24F21">
        <w:t xml:space="preserve"> as </w:t>
      </w:r>
      <w:r>
        <w:t xml:space="preserve">“firm” and </w:t>
      </w:r>
      <w:r w:rsidR="00F24F21">
        <w:t xml:space="preserve">“guaranteed”.  In the </w:t>
      </w:r>
      <w:r w:rsidR="00F24F21">
        <w:lastRenderedPageBreak/>
        <w:t xml:space="preserve">real-world, even a </w:t>
      </w:r>
      <w:r w:rsidR="00EC219B">
        <w:t xml:space="preserve">gas </w:t>
      </w:r>
      <w:r w:rsidR="00F24F21">
        <w:t xml:space="preserve">plant </w:t>
      </w:r>
      <w:r>
        <w:t>that is “</w:t>
      </w:r>
      <w:r w:rsidR="00F24F21">
        <w:t>guaranteed</w:t>
      </w:r>
      <w:r>
        <w:t>”</w:t>
      </w:r>
      <w:r w:rsidR="00F24F21">
        <w:t xml:space="preserve"> to be available at a certain hour of the year maybe unavailable due to a forced outage</w:t>
      </w:r>
      <w:r w:rsidR="00391AA9">
        <w:t xml:space="preserve">.  </w:t>
      </w:r>
      <w:r w:rsidR="00ED5D2F">
        <w:t xml:space="preserve">Thus, there is no merit to the argument that renewable resources should not be allowed to compete to meet the resource need due to a concern over firm capacity.  </w:t>
      </w:r>
    </w:p>
    <w:p w:rsidR="007074E0" w:rsidRPr="007074E0" w:rsidRDefault="00391AA9" w:rsidP="008C4EFE">
      <w:pPr>
        <w:spacing w:line="480" w:lineRule="auto"/>
        <w:ind w:firstLine="720"/>
      </w:pPr>
      <w:bookmarkStart w:id="7" w:name="_Hlk6833638"/>
      <w:r w:rsidRPr="00353FA4">
        <w:t>Third,</w:t>
      </w:r>
      <w:r w:rsidR="00353FA4" w:rsidRPr="00353FA4">
        <w:t xml:space="preserve"> the modeling done for the all-source bid evaluation </w:t>
      </w:r>
      <w:r w:rsidR="00EC0CEB">
        <w:t>can be done iteratively</w:t>
      </w:r>
      <w:r w:rsidR="00353FA4" w:rsidRPr="00353FA4">
        <w:t xml:space="preserve">.  The Strategist model can be given subsets of choices based on the lowest cost renewable resources, for example.  </w:t>
      </w:r>
      <w:r w:rsidR="00EF34BB">
        <w:t>I</w:t>
      </w:r>
      <w:r w:rsidR="00EF34BB" w:rsidRPr="00353FA4">
        <w:t xml:space="preserve">f the model continually selects the low-cost renewable resources </w:t>
      </w:r>
      <w:r w:rsidR="00EF34BB">
        <w:t>made available to it, then s</w:t>
      </w:r>
      <w:r w:rsidR="00353FA4" w:rsidRPr="00353FA4">
        <w:t xml:space="preserve">ubsequent model runs can continue to </w:t>
      </w:r>
      <w:r w:rsidR="00EC219B">
        <w:t>increase renewable</w:t>
      </w:r>
      <w:r w:rsidR="00353FA4" w:rsidRPr="00353FA4">
        <w:t xml:space="preserve"> options available</w:t>
      </w:r>
      <w:r w:rsidR="00EC219B">
        <w:t xml:space="preserve"> to be selected</w:t>
      </w:r>
      <w:r w:rsidR="00353FA4" w:rsidRPr="00353FA4">
        <w:t xml:space="preserve">.  </w:t>
      </w:r>
    </w:p>
    <w:bookmarkEnd w:id="7"/>
    <w:p w:rsidR="000A1447" w:rsidRPr="000A1447" w:rsidRDefault="000A1447" w:rsidP="000A1447">
      <w:pPr>
        <w:spacing w:line="480" w:lineRule="auto"/>
        <w:rPr>
          <w:b/>
        </w:rPr>
      </w:pPr>
      <w:r w:rsidRPr="000A1447">
        <w:rPr>
          <w:b/>
        </w:rPr>
        <w:t>Q.</w:t>
      </w:r>
      <w:r w:rsidRPr="000A1447">
        <w:rPr>
          <w:b/>
        </w:rPr>
        <w:tab/>
        <w:t xml:space="preserve">How does GPC describe the nature of </w:t>
      </w:r>
      <w:r w:rsidR="004B21C1">
        <w:rPr>
          <w:b/>
        </w:rPr>
        <w:t>its</w:t>
      </w:r>
      <w:r w:rsidR="004B21C1" w:rsidRPr="000A1447">
        <w:rPr>
          <w:b/>
        </w:rPr>
        <w:t xml:space="preserve"> </w:t>
      </w:r>
      <w:r w:rsidRPr="000A1447">
        <w:rPr>
          <w:b/>
        </w:rPr>
        <w:t>capacity needs?</w:t>
      </w:r>
    </w:p>
    <w:p w:rsidR="004B21C1" w:rsidRDefault="007074E0" w:rsidP="000A1447">
      <w:pPr>
        <w:spacing w:line="480" w:lineRule="auto"/>
      </w:pPr>
      <w:r>
        <w:t>A.</w:t>
      </w:r>
      <w:r>
        <w:tab/>
      </w:r>
      <w:r w:rsidR="000A1447">
        <w:t xml:space="preserve">GPC states that the capacity shortfall to meet load growth and </w:t>
      </w:r>
      <w:r w:rsidR="00ED5D2F">
        <w:t xml:space="preserve">its </w:t>
      </w:r>
      <w:r w:rsidR="000A1447">
        <w:t>relatively high reserve margin is not until 2028.</w:t>
      </w:r>
      <w:r w:rsidR="000A1447">
        <w:rPr>
          <w:rStyle w:val="FootnoteReference"/>
        </w:rPr>
        <w:footnoteReference w:id="21"/>
      </w:r>
      <w:r w:rsidR="000A1447">
        <w:t xml:space="preserve">   In addition, GPC proposes to decommission the Plant Bowen Units 1-2 that have a capacity of 1</w:t>
      </w:r>
      <w:r w:rsidR="004B21C1">
        <w:t>,</w:t>
      </w:r>
      <w:r w:rsidR="000A1447">
        <w:t>450 MW</w:t>
      </w:r>
      <w:r w:rsidR="00EF34BB">
        <w:t>, and SACE witnesses suggest Plant Wansley should also be subject to the same type of evaluation</w:t>
      </w:r>
      <w:r w:rsidR="000A1447">
        <w:t xml:space="preserve">.  GPC states that </w:t>
      </w:r>
      <w:r w:rsidR="004B21C1">
        <w:t>even though it may decertify 1,450 MW</w:t>
      </w:r>
      <w:r w:rsidR="00EF34BB">
        <w:t xml:space="preserve"> of Plant Bowen</w:t>
      </w:r>
      <w:r w:rsidR="004B21C1">
        <w:t>, it may only need 1,000 MW of replacement capacity</w:t>
      </w:r>
      <w:r w:rsidR="000A1447">
        <w:t xml:space="preserve"> that may result in a capacity need in 2022.</w:t>
      </w:r>
      <w:r w:rsidR="000A1447">
        <w:rPr>
          <w:rStyle w:val="FootnoteReference"/>
        </w:rPr>
        <w:footnoteReference w:id="22"/>
      </w:r>
      <w:r w:rsidR="000A1447">
        <w:t xml:space="preserve">   The 2028 capacity need is already attenuated in time, and at that it is not a certain capacity need.  </w:t>
      </w:r>
    </w:p>
    <w:p w:rsidR="007C59AD" w:rsidRDefault="000A1447" w:rsidP="008C4EFE">
      <w:pPr>
        <w:spacing w:line="480" w:lineRule="auto"/>
        <w:ind w:firstLine="720"/>
      </w:pPr>
      <w:r>
        <w:lastRenderedPageBreak/>
        <w:t xml:space="preserve">In addition, the </w:t>
      </w:r>
      <w:r w:rsidR="007C59AD">
        <w:t xml:space="preserve">Plant </w:t>
      </w:r>
      <w:r>
        <w:t xml:space="preserve">Bowen Units </w:t>
      </w:r>
      <w:r w:rsidR="00EF34BB">
        <w:t xml:space="preserve">1-2 </w:t>
      </w:r>
      <w:r>
        <w:t xml:space="preserve">produce a lot of energy.  </w:t>
      </w:r>
      <w:r w:rsidR="007C59AD">
        <w:t xml:space="preserve">In 2017, Plant Bowen Units 1-2 generated </w:t>
      </w:r>
      <w:r w:rsidR="007C59AD" w:rsidRPr="00EF34BB">
        <w:rPr>
          <w:i/>
          <w:u w:val="single"/>
        </w:rPr>
        <w:t>5.3 million MWh</w:t>
      </w:r>
      <w:r w:rsidR="007C59AD">
        <w:t>, according to data filed by Georgia Power with the U</w:t>
      </w:r>
      <w:r w:rsidR="008C4EFE">
        <w:t>.</w:t>
      </w:r>
      <w:r w:rsidR="007C59AD">
        <w:t>S</w:t>
      </w:r>
      <w:r w:rsidR="008C4EFE">
        <w:t>.</w:t>
      </w:r>
      <w:r w:rsidR="007C59AD">
        <w:t xml:space="preserve"> Energy Information Administration</w:t>
      </w:r>
      <w:r w:rsidR="008C4EFE">
        <w:t xml:space="preserve"> (“EIA”)</w:t>
      </w:r>
      <w:r w:rsidR="007C59AD">
        <w:t xml:space="preserve"> in Form 923. </w:t>
      </w:r>
      <w:r w:rsidR="008C4EFE">
        <w:t xml:space="preserve"> </w:t>
      </w:r>
      <w:r w:rsidR="007C59AD">
        <w:t>This represents an annual</w:t>
      </w:r>
      <w:r w:rsidR="008C4EFE">
        <w:t xml:space="preserve"> combined</w:t>
      </w:r>
      <w:r w:rsidR="007C59AD">
        <w:t xml:space="preserve"> capacity factor of 42%</w:t>
      </w:r>
      <w:r w:rsidR="0080109C">
        <w:t xml:space="preserve"> (51% for Unit 1 and 33</w:t>
      </w:r>
      <w:r w:rsidR="00424110">
        <w:t>% for Unit 2)</w:t>
      </w:r>
      <w:r w:rsidR="007C59AD">
        <w:t xml:space="preserve">, </w:t>
      </w:r>
      <w:r w:rsidR="00ED5D2F">
        <w:t xml:space="preserve">again based on a comparison with EIA data, </w:t>
      </w:r>
      <w:r w:rsidR="007C59AD">
        <w:t>which is typical of these units since 2012.</w:t>
      </w:r>
      <w:r w:rsidR="00ED5D2F">
        <w:rPr>
          <w:rStyle w:val="FootnoteReference"/>
        </w:rPr>
        <w:footnoteReference w:id="23"/>
      </w:r>
    </w:p>
    <w:p w:rsidR="000A1447" w:rsidRDefault="00C3387F" w:rsidP="008C4EFE">
      <w:pPr>
        <w:spacing w:line="480" w:lineRule="auto"/>
      </w:pPr>
      <w:r>
        <w:tab/>
      </w:r>
      <w:r w:rsidR="008C4EFE">
        <w:tab/>
      </w:r>
      <w:r w:rsidR="000A1447">
        <w:t xml:space="preserve">Thus, a large part of </w:t>
      </w:r>
      <w:r w:rsidR="007C59AD">
        <w:t xml:space="preserve">the Company’s need to replace Plant </w:t>
      </w:r>
      <w:r w:rsidR="000A1447">
        <w:t xml:space="preserve">Bowen </w:t>
      </w:r>
      <w:r w:rsidR="007C59AD">
        <w:t>Units 1-2</w:t>
      </w:r>
      <w:r w:rsidR="000A1447">
        <w:t xml:space="preserve"> will be energy.  Renewable resources can fill that gap</w:t>
      </w:r>
      <w:r w:rsidR="00EC0CEB">
        <w:t xml:space="preserve"> and</w:t>
      </w:r>
      <w:r w:rsidR="00EF34BB">
        <w:t xml:space="preserve">, as the RCB Framework demonstrates, </w:t>
      </w:r>
      <w:r w:rsidR="00EC0CEB">
        <w:t>contribute to</w:t>
      </w:r>
      <w:r w:rsidR="000A1447">
        <w:t xml:space="preserve"> </w:t>
      </w:r>
      <w:r w:rsidR="00EC0CEB">
        <w:t xml:space="preserve">part of the </w:t>
      </w:r>
      <w:r w:rsidR="000A1447">
        <w:t>capacity need.</w:t>
      </w:r>
      <w:r w:rsidR="00ED5D2F">
        <w:t xml:space="preserve">   </w:t>
      </w:r>
      <w:r w:rsidR="002F0E85">
        <w:t>The</w:t>
      </w:r>
      <w:r w:rsidR="00ED5D2F">
        <w:t xml:space="preserve"> </w:t>
      </w:r>
      <w:r w:rsidR="002F0E85">
        <w:t xml:space="preserve">Strategist model </w:t>
      </w:r>
      <w:r w:rsidR="00ED5D2F">
        <w:t xml:space="preserve">will select units that </w:t>
      </w:r>
      <w:r w:rsidR="002F0E85">
        <w:t>meet both</w:t>
      </w:r>
      <w:r w:rsidR="00ED5D2F">
        <w:t xml:space="preserve"> the energy </w:t>
      </w:r>
      <w:r w:rsidR="002F0E85">
        <w:t xml:space="preserve">and capacity </w:t>
      </w:r>
      <w:r w:rsidR="00ED5D2F">
        <w:t xml:space="preserve">need created by the retirement of Plant Bowen Units 1-2.   </w:t>
      </w:r>
    </w:p>
    <w:p w:rsidR="000A1447" w:rsidRPr="007074E0" w:rsidRDefault="000A1447" w:rsidP="006459F9">
      <w:pPr>
        <w:keepNext/>
        <w:rPr>
          <w:b/>
        </w:rPr>
      </w:pPr>
      <w:r w:rsidRPr="007074E0">
        <w:rPr>
          <w:b/>
        </w:rPr>
        <w:t>Q.</w:t>
      </w:r>
      <w:r w:rsidRPr="007074E0">
        <w:rPr>
          <w:b/>
        </w:rPr>
        <w:tab/>
        <w:t xml:space="preserve">What are the </w:t>
      </w:r>
      <w:r>
        <w:rPr>
          <w:b/>
        </w:rPr>
        <w:t xml:space="preserve">primary </w:t>
      </w:r>
      <w:r w:rsidRPr="007074E0">
        <w:rPr>
          <w:b/>
        </w:rPr>
        <w:t>factors in the IRP that present a “low-risk” opportunity for the Commission</w:t>
      </w:r>
      <w:r w:rsidR="00ED5D2F">
        <w:rPr>
          <w:b/>
        </w:rPr>
        <w:t xml:space="preserve"> in your opinion</w:t>
      </w:r>
      <w:r w:rsidRPr="007074E0">
        <w:rPr>
          <w:b/>
        </w:rPr>
        <w:t>?</w:t>
      </w:r>
    </w:p>
    <w:p w:rsidR="000A1447" w:rsidRDefault="000A1447" w:rsidP="000A1447">
      <w:pPr>
        <w:spacing w:line="480" w:lineRule="auto"/>
      </w:pPr>
      <w:r>
        <w:t>A.</w:t>
      </w:r>
      <w:r>
        <w:tab/>
      </w:r>
      <w:r w:rsidR="00EC7D11">
        <w:t>T</w:t>
      </w:r>
      <w:r w:rsidR="007074E0">
        <w:t xml:space="preserve">he two primary factors that mitigate </w:t>
      </w:r>
      <w:r w:rsidR="00391AA9">
        <w:t>any perceived</w:t>
      </w:r>
      <w:r w:rsidR="007074E0">
        <w:t xml:space="preserve"> risks</w:t>
      </w:r>
      <w:r w:rsidR="00391AA9">
        <w:t xml:space="preserve"> of GPC</w:t>
      </w:r>
      <w:r w:rsidR="007074E0">
        <w:t xml:space="preserve"> associated with an all-source RFP are</w:t>
      </w:r>
      <w:r w:rsidR="00ED5D2F">
        <w:t>:</w:t>
      </w:r>
      <w:r w:rsidR="007074E0">
        <w:t xml:space="preserve"> </w:t>
      </w:r>
      <w:r>
        <w:t xml:space="preserve">1) </w:t>
      </w:r>
      <w:r w:rsidR="007074E0">
        <w:t xml:space="preserve">the </w:t>
      </w:r>
      <w:r w:rsidR="00ED5D2F">
        <w:t xml:space="preserve">significant </w:t>
      </w:r>
      <w:r w:rsidR="007074E0">
        <w:t xml:space="preserve">time until a </w:t>
      </w:r>
      <w:r w:rsidR="002F0E85">
        <w:t xml:space="preserve">peak </w:t>
      </w:r>
      <w:r w:rsidR="007074E0">
        <w:t xml:space="preserve">capacity </w:t>
      </w:r>
      <w:r>
        <w:t>shortfall</w:t>
      </w:r>
      <w:r w:rsidR="007074E0">
        <w:t xml:space="preserve"> has been identified</w:t>
      </w:r>
      <w:r w:rsidR="00ED5D2F">
        <w:t xml:space="preserve"> for the GPC system</w:t>
      </w:r>
      <w:r w:rsidR="007074E0">
        <w:t xml:space="preserve">, and </w:t>
      </w:r>
      <w:r>
        <w:t>2)</w:t>
      </w:r>
      <w:r w:rsidR="007074E0">
        <w:t xml:space="preserve"> the large energy need that accompanies the potential first tranche of capacity required</w:t>
      </w:r>
      <w:r>
        <w:t xml:space="preserve"> to economically replace the generation provided by Plant Bowen Units 1-2</w:t>
      </w:r>
      <w:r w:rsidR="007074E0">
        <w:t xml:space="preserve">. </w:t>
      </w:r>
      <w:r>
        <w:t xml:space="preserve"> That distinction is critical because Plant Bowen Units 1-2 provide </w:t>
      </w:r>
      <w:r>
        <w:lastRenderedPageBreak/>
        <w:t>capacity and energy, and therefore the only way to test whether there are economic alternatives is to let the market provide those economic metrics in the form of bids.</w:t>
      </w:r>
    </w:p>
    <w:p w:rsidR="000A1447" w:rsidRDefault="000A1447" w:rsidP="006459F9">
      <w:pPr>
        <w:keepNext/>
        <w:rPr>
          <w:b/>
        </w:rPr>
      </w:pPr>
      <w:r>
        <w:rPr>
          <w:b/>
        </w:rPr>
        <w:t>Q.</w:t>
      </w:r>
      <w:r>
        <w:rPr>
          <w:b/>
        </w:rPr>
        <w:tab/>
        <w:t>Is there an opportunity for renewable resources to provide replacement energy for the loss of that provided by Plant Bowen Units 1-2?</w:t>
      </w:r>
    </w:p>
    <w:p w:rsidR="000A1447" w:rsidRPr="000A1447" w:rsidRDefault="000A1447" w:rsidP="00437D28">
      <w:pPr>
        <w:spacing w:line="480" w:lineRule="auto"/>
      </w:pPr>
      <w:r>
        <w:t>A.</w:t>
      </w:r>
      <w:r>
        <w:tab/>
        <w:t xml:space="preserve">Without question.  The IRP states that those units could continue to generate if economic bids are not received to allow it to be decommissioned.  Thus, </w:t>
      </w:r>
      <w:r w:rsidR="00A70968">
        <w:t>the clear</w:t>
      </w:r>
      <w:r>
        <w:t xml:space="preserve"> opportunity </w:t>
      </w:r>
      <w:r w:rsidR="00A70968">
        <w:t xml:space="preserve">is </w:t>
      </w:r>
      <w:r>
        <w:t xml:space="preserve">to </w:t>
      </w:r>
      <w:r w:rsidR="00A70968">
        <w:t xml:space="preserve">allow the most economic bids to </w:t>
      </w:r>
      <w:r>
        <w:t xml:space="preserve">provide both, or each of, capacity and energy to replace the Bowen Units.  An all-source RFP will maximize the bid pool and, as explained below, provide critical </w:t>
      </w:r>
      <w:r w:rsidR="00955AC4">
        <w:t>evaluation for the Bowen retirement analysis</w:t>
      </w:r>
      <w:r>
        <w:t xml:space="preserve">.  </w:t>
      </w:r>
    </w:p>
    <w:p w:rsidR="00391AA9" w:rsidRPr="00391AA9" w:rsidRDefault="00391AA9" w:rsidP="007074E0">
      <w:pPr>
        <w:spacing w:line="480" w:lineRule="auto"/>
        <w:rPr>
          <w:b/>
          <w:szCs w:val="24"/>
        </w:rPr>
      </w:pPr>
      <w:r w:rsidRPr="00391AA9">
        <w:rPr>
          <w:b/>
          <w:szCs w:val="24"/>
        </w:rPr>
        <w:t>Q.</w:t>
      </w:r>
      <w:r w:rsidRPr="00391AA9">
        <w:rPr>
          <w:b/>
          <w:szCs w:val="24"/>
        </w:rPr>
        <w:tab/>
        <w:t>Do GPC’s assumptions in the IRP present risks to ratepayers?</w:t>
      </w:r>
    </w:p>
    <w:p w:rsidR="00FA4586" w:rsidRDefault="00391AA9" w:rsidP="007074E0">
      <w:pPr>
        <w:spacing w:line="480" w:lineRule="auto"/>
        <w:rPr>
          <w:szCs w:val="24"/>
        </w:rPr>
      </w:pPr>
      <w:r>
        <w:rPr>
          <w:szCs w:val="24"/>
        </w:rPr>
        <w:t>A.</w:t>
      </w:r>
      <w:r>
        <w:rPr>
          <w:szCs w:val="24"/>
        </w:rPr>
        <w:tab/>
        <w:t xml:space="preserve">Almost certainly.   </w:t>
      </w:r>
      <w:r w:rsidR="00FA4586">
        <w:rPr>
          <w:szCs w:val="24"/>
        </w:rPr>
        <w:t>First, GPC testified that “[i]</w:t>
      </w:r>
      <w:r w:rsidR="00FA4586">
        <w:t>n the event the market cannot provide adequate and economic capacity during the 2022-2023 RFP, the Company intends to preserve the ability to continue operating Plant Bowen Units 1-2.”</w:t>
      </w:r>
      <w:r w:rsidR="00FA4586">
        <w:rPr>
          <w:rStyle w:val="FootnoteReference"/>
        </w:rPr>
        <w:footnoteReference w:id="24"/>
      </w:r>
      <w:r w:rsidR="00FA4586">
        <w:t xml:space="preserve">   However, </w:t>
      </w:r>
      <w:r w:rsidR="00A70968">
        <w:t>GPC is artificially limiting the market and therefore handicapping the ability of the model to satisfy GPC’s stated criteria, which could lead to the uneconomic units remaining online</w:t>
      </w:r>
      <w:r w:rsidR="00FA4586">
        <w:t xml:space="preserve">. </w:t>
      </w:r>
    </w:p>
    <w:p w:rsidR="007C59AD" w:rsidRDefault="00391AA9" w:rsidP="00FA4586">
      <w:pPr>
        <w:spacing w:line="480" w:lineRule="auto"/>
        <w:ind w:firstLine="720"/>
        <w:rPr>
          <w:szCs w:val="24"/>
        </w:rPr>
      </w:pPr>
      <w:r>
        <w:rPr>
          <w:szCs w:val="24"/>
        </w:rPr>
        <w:t xml:space="preserve">GPC identified in the hearing that there were gas plants coming off contract that could deliver low cost bids to meet the capacity need.  SACE research </w:t>
      </w:r>
      <w:r w:rsidR="00A11768">
        <w:rPr>
          <w:szCs w:val="24"/>
        </w:rPr>
        <w:t>shows the Commission approved</w:t>
      </w:r>
      <w:r>
        <w:rPr>
          <w:szCs w:val="24"/>
        </w:rPr>
        <w:t xml:space="preserve"> some 1000 MW of approved large gas CT PPAs expiring in the </w:t>
      </w:r>
      <w:r>
        <w:rPr>
          <w:szCs w:val="24"/>
        </w:rPr>
        <w:lastRenderedPageBreak/>
        <w:t>relevant time period.</w:t>
      </w:r>
      <w:r w:rsidR="00A17044">
        <w:rPr>
          <w:rStyle w:val="FootnoteReference"/>
          <w:szCs w:val="24"/>
        </w:rPr>
        <w:footnoteReference w:id="25"/>
      </w:r>
      <w:r>
        <w:rPr>
          <w:szCs w:val="24"/>
        </w:rPr>
        <w:t xml:space="preserve">  Assuming these are the units GPC referred to, there is no doubt that these projects could re-bid at the same or even lower </w:t>
      </w:r>
      <w:r w:rsidR="00E36F12">
        <w:rPr>
          <w:szCs w:val="24"/>
        </w:rPr>
        <w:t xml:space="preserve">cost </w:t>
      </w:r>
      <w:r>
        <w:rPr>
          <w:szCs w:val="24"/>
        </w:rPr>
        <w:t xml:space="preserve">pricing in the ERP to meet the capacity need associated with decommissioning of the </w:t>
      </w:r>
      <w:r w:rsidR="007C59AD">
        <w:rPr>
          <w:szCs w:val="24"/>
        </w:rPr>
        <w:t xml:space="preserve">Plant </w:t>
      </w:r>
      <w:r>
        <w:rPr>
          <w:szCs w:val="24"/>
        </w:rPr>
        <w:t xml:space="preserve">Bowen Units.  </w:t>
      </w:r>
    </w:p>
    <w:p w:rsidR="005859CD" w:rsidRPr="0080109C" w:rsidRDefault="00C3387F" w:rsidP="008C4EFE">
      <w:pPr>
        <w:spacing w:line="480" w:lineRule="auto"/>
        <w:ind w:firstLine="0"/>
        <w:rPr>
          <w:szCs w:val="24"/>
        </w:rPr>
      </w:pPr>
      <w:r>
        <w:rPr>
          <w:szCs w:val="24"/>
        </w:rPr>
        <w:tab/>
      </w:r>
      <w:r w:rsidR="00391AA9">
        <w:rPr>
          <w:szCs w:val="24"/>
        </w:rPr>
        <w:t xml:space="preserve">However, </w:t>
      </w:r>
      <w:r w:rsidR="00E36F12">
        <w:rPr>
          <w:szCs w:val="24"/>
        </w:rPr>
        <w:t xml:space="preserve">these </w:t>
      </w:r>
      <w:r w:rsidR="006E3C41">
        <w:rPr>
          <w:szCs w:val="24"/>
        </w:rPr>
        <w:t>combustion turbine</w:t>
      </w:r>
      <w:r w:rsidR="00391AA9">
        <w:rPr>
          <w:szCs w:val="24"/>
        </w:rPr>
        <w:t xml:space="preserve"> units should not be called upon to meet the </w:t>
      </w:r>
      <w:r w:rsidR="00391AA9" w:rsidRPr="00A11768">
        <w:rPr>
          <w:b/>
          <w:i/>
          <w:szCs w:val="24"/>
        </w:rPr>
        <w:t>energy</w:t>
      </w:r>
      <w:r w:rsidR="00391AA9">
        <w:rPr>
          <w:szCs w:val="24"/>
        </w:rPr>
        <w:t xml:space="preserve"> </w:t>
      </w:r>
      <w:r w:rsidR="00A17044">
        <w:rPr>
          <w:szCs w:val="24"/>
        </w:rPr>
        <w:t>formerly generated</w:t>
      </w:r>
      <w:r w:rsidR="00391AA9">
        <w:rPr>
          <w:szCs w:val="24"/>
        </w:rPr>
        <w:t xml:space="preserve"> by the </w:t>
      </w:r>
      <w:r w:rsidR="007C59AD">
        <w:rPr>
          <w:szCs w:val="24"/>
        </w:rPr>
        <w:t xml:space="preserve">Plant </w:t>
      </w:r>
      <w:r w:rsidR="00391AA9">
        <w:rPr>
          <w:szCs w:val="24"/>
        </w:rPr>
        <w:t xml:space="preserve">Bowen Units </w:t>
      </w:r>
      <w:r w:rsidR="00A17044">
        <w:rPr>
          <w:szCs w:val="24"/>
        </w:rPr>
        <w:t>1-2</w:t>
      </w:r>
      <w:r w:rsidR="00391AA9">
        <w:rPr>
          <w:szCs w:val="24"/>
        </w:rPr>
        <w:t>.  Gas CT energy is among the most costly resources to be dispatched</w:t>
      </w:r>
      <w:r w:rsidR="00A70968">
        <w:rPr>
          <w:szCs w:val="24"/>
        </w:rPr>
        <w:t>;</w:t>
      </w:r>
      <w:r w:rsidR="00391AA9">
        <w:rPr>
          <w:szCs w:val="24"/>
        </w:rPr>
        <w:t xml:space="preserve"> usually only for reliability and ancillary services at very limited </w:t>
      </w:r>
      <w:r w:rsidR="004673ED">
        <w:rPr>
          <w:szCs w:val="24"/>
        </w:rPr>
        <w:t xml:space="preserve">utilization rates.  </w:t>
      </w:r>
      <w:r w:rsidR="005859CD" w:rsidRPr="0080109C">
        <w:rPr>
          <w:szCs w:val="24"/>
        </w:rPr>
        <w:t>For example,</w:t>
      </w:r>
      <w:r w:rsidR="005859CD">
        <w:rPr>
          <w:szCs w:val="24"/>
        </w:rPr>
        <w:t xml:space="preserve"> </w:t>
      </w:r>
      <w:r w:rsidR="005859CD" w:rsidRPr="0080109C">
        <w:rPr>
          <w:szCs w:val="24"/>
        </w:rPr>
        <w:t>the 2017 capacity fact</w:t>
      </w:r>
      <w:r w:rsidR="00C21B52">
        <w:rPr>
          <w:szCs w:val="24"/>
        </w:rPr>
        <w:t xml:space="preserve">ors for the three expiring PPAs, calculated from data reported in EIA Form 923, </w:t>
      </w:r>
      <w:r w:rsidR="005859CD" w:rsidRPr="0080109C">
        <w:rPr>
          <w:szCs w:val="24"/>
        </w:rPr>
        <w:t>were</w:t>
      </w:r>
      <w:r w:rsidR="005859CD">
        <w:rPr>
          <w:szCs w:val="24"/>
        </w:rPr>
        <w:t xml:space="preserve"> far below those reported for Plant Bowen Units 1-2.</w:t>
      </w:r>
    </w:p>
    <w:p w:rsidR="005859CD" w:rsidRPr="00BB1A8E" w:rsidRDefault="005859CD" w:rsidP="005C6881">
      <w:pPr>
        <w:pStyle w:val="ListParagraph"/>
        <w:numPr>
          <w:ilvl w:val="0"/>
          <w:numId w:val="8"/>
        </w:numPr>
        <w:spacing w:line="480" w:lineRule="auto"/>
        <w:rPr>
          <w:szCs w:val="24"/>
        </w:rPr>
      </w:pPr>
      <w:r w:rsidRPr="008C4EFE">
        <w:rPr>
          <w:rFonts w:ascii="Times New Roman" w:hAnsi="Times New Roman"/>
          <w:sz w:val="24"/>
          <w:szCs w:val="24"/>
        </w:rPr>
        <w:t>MPC Generating</w:t>
      </w:r>
      <w:r>
        <w:rPr>
          <w:rFonts w:ascii="Times New Roman" w:hAnsi="Times New Roman"/>
          <w:sz w:val="24"/>
          <w:szCs w:val="24"/>
        </w:rPr>
        <w:t xml:space="preserve">: </w:t>
      </w:r>
      <w:r w:rsidR="00FE4C74">
        <w:rPr>
          <w:rFonts w:ascii="Times New Roman" w:hAnsi="Times New Roman"/>
          <w:sz w:val="24"/>
          <w:szCs w:val="24"/>
        </w:rPr>
        <w:t>0.5%</w:t>
      </w:r>
    </w:p>
    <w:p w:rsidR="005859CD" w:rsidRPr="00BB1A8E" w:rsidRDefault="005859CD" w:rsidP="005C6881">
      <w:pPr>
        <w:pStyle w:val="ListParagraph"/>
        <w:numPr>
          <w:ilvl w:val="0"/>
          <w:numId w:val="8"/>
        </w:numPr>
        <w:spacing w:line="480" w:lineRule="auto"/>
        <w:rPr>
          <w:szCs w:val="24"/>
        </w:rPr>
      </w:pPr>
      <w:r w:rsidRPr="008C4EFE">
        <w:rPr>
          <w:rFonts w:ascii="Times New Roman" w:hAnsi="Times New Roman"/>
          <w:sz w:val="24"/>
          <w:szCs w:val="24"/>
        </w:rPr>
        <w:t>Walton County Power</w:t>
      </w:r>
      <w:r>
        <w:rPr>
          <w:rFonts w:ascii="Times New Roman" w:hAnsi="Times New Roman"/>
          <w:sz w:val="24"/>
          <w:szCs w:val="24"/>
        </w:rPr>
        <w:t>: 7%</w:t>
      </w:r>
    </w:p>
    <w:p w:rsidR="005859CD" w:rsidRPr="00BB1A8E" w:rsidRDefault="005859CD" w:rsidP="005C6881">
      <w:pPr>
        <w:pStyle w:val="ListParagraph"/>
        <w:numPr>
          <w:ilvl w:val="0"/>
          <w:numId w:val="8"/>
        </w:numPr>
        <w:spacing w:line="480" w:lineRule="auto"/>
        <w:rPr>
          <w:szCs w:val="24"/>
        </w:rPr>
      </w:pPr>
      <w:r w:rsidRPr="008C4EFE">
        <w:rPr>
          <w:rFonts w:ascii="Times New Roman" w:hAnsi="Times New Roman"/>
          <w:sz w:val="24"/>
          <w:szCs w:val="24"/>
        </w:rPr>
        <w:t>Washington County Power</w:t>
      </w:r>
      <w:r>
        <w:rPr>
          <w:rFonts w:ascii="Times New Roman" w:hAnsi="Times New Roman"/>
          <w:sz w:val="24"/>
          <w:szCs w:val="24"/>
        </w:rPr>
        <w:t>: 4%</w:t>
      </w:r>
    </w:p>
    <w:p w:rsidR="00391AA9" w:rsidRDefault="004673ED" w:rsidP="008C4EFE">
      <w:pPr>
        <w:spacing w:line="480" w:lineRule="auto"/>
        <w:ind w:firstLine="720"/>
        <w:rPr>
          <w:szCs w:val="24"/>
        </w:rPr>
      </w:pPr>
      <w:r>
        <w:rPr>
          <w:szCs w:val="24"/>
        </w:rPr>
        <w:t>If gas CT’s are called upon more often</w:t>
      </w:r>
      <w:r w:rsidR="006E3C41">
        <w:rPr>
          <w:szCs w:val="24"/>
        </w:rPr>
        <w:t xml:space="preserve"> for energy requirements</w:t>
      </w:r>
      <w:r>
        <w:rPr>
          <w:szCs w:val="24"/>
        </w:rPr>
        <w:t>, that will cause higher costs for ratepayers.</w:t>
      </w:r>
    </w:p>
    <w:p w:rsidR="004673ED" w:rsidRPr="004673ED" w:rsidRDefault="004673ED" w:rsidP="007074E0">
      <w:pPr>
        <w:spacing w:line="480" w:lineRule="auto"/>
        <w:rPr>
          <w:b/>
          <w:szCs w:val="24"/>
        </w:rPr>
      </w:pPr>
      <w:r w:rsidRPr="004673ED">
        <w:rPr>
          <w:b/>
          <w:szCs w:val="24"/>
        </w:rPr>
        <w:t>Q.</w:t>
      </w:r>
      <w:r w:rsidRPr="004673ED">
        <w:rPr>
          <w:b/>
          <w:szCs w:val="24"/>
        </w:rPr>
        <w:tab/>
        <w:t>How would the Commission test whether that was a problem?</w:t>
      </w:r>
    </w:p>
    <w:p w:rsidR="004673ED" w:rsidRDefault="004673ED" w:rsidP="007074E0">
      <w:pPr>
        <w:spacing w:line="480" w:lineRule="auto"/>
        <w:rPr>
          <w:szCs w:val="24"/>
        </w:rPr>
      </w:pPr>
      <w:bookmarkStart w:id="8" w:name="_Hlk6834292"/>
      <w:r>
        <w:rPr>
          <w:szCs w:val="24"/>
        </w:rPr>
        <w:t>A.</w:t>
      </w:r>
      <w:r>
        <w:rPr>
          <w:szCs w:val="24"/>
        </w:rPr>
        <w:tab/>
        <w:t xml:space="preserve">In an all-source RFP, renewable projects and storage facilities would be available for the model to select to meet the system capacity and energy needs in a certain year.   The </w:t>
      </w:r>
      <w:r>
        <w:rPr>
          <w:szCs w:val="24"/>
        </w:rPr>
        <w:lastRenderedPageBreak/>
        <w:t xml:space="preserve">capacity expansion model would </w:t>
      </w:r>
      <w:r w:rsidR="00A70968">
        <w:rPr>
          <w:szCs w:val="24"/>
        </w:rPr>
        <w:t>compile and rank</w:t>
      </w:r>
      <w:r>
        <w:rPr>
          <w:szCs w:val="24"/>
        </w:rPr>
        <w:t xml:space="preserve"> portfolios that would likely involve a combination of gas capacity, battery storage, and renewable energy to meet the </w:t>
      </w:r>
      <w:r w:rsidR="0032159A">
        <w:rPr>
          <w:szCs w:val="24"/>
        </w:rPr>
        <w:t>overall</w:t>
      </w:r>
      <w:r>
        <w:rPr>
          <w:szCs w:val="24"/>
        </w:rPr>
        <w:t xml:space="preserve"> need</w:t>
      </w:r>
      <w:r w:rsidR="005859CD">
        <w:rPr>
          <w:szCs w:val="24"/>
        </w:rPr>
        <w:t>.  Based on what I have observed in Colorado</w:t>
      </w:r>
      <w:r>
        <w:rPr>
          <w:szCs w:val="24"/>
        </w:rPr>
        <w:t xml:space="preserve">, </w:t>
      </w:r>
      <w:r w:rsidR="005859CD">
        <w:rPr>
          <w:szCs w:val="24"/>
        </w:rPr>
        <w:t>the capacity expansion model would not select a portfolio that was primarily or exclusively gas peaking CT units, which would result in</w:t>
      </w:r>
      <w:r>
        <w:rPr>
          <w:szCs w:val="24"/>
        </w:rPr>
        <w:t xml:space="preserve"> increase</w:t>
      </w:r>
      <w:r w:rsidR="005859CD">
        <w:rPr>
          <w:szCs w:val="24"/>
        </w:rPr>
        <w:t>d</w:t>
      </w:r>
      <w:r>
        <w:rPr>
          <w:szCs w:val="24"/>
        </w:rPr>
        <w:t xml:space="preserve"> utilization and fuel costs</w:t>
      </w:r>
      <w:r w:rsidR="00BA4710">
        <w:rPr>
          <w:szCs w:val="24"/>
        </w:rPr>
        <w:t xml:space="preserve"> above the cost to operate existing coal facil</w:t>
      </w:r>
      <w:r w:rsidR="00C3387F">
        <w:rPr>
          <w:szCs w:val="24"/>
        </w:rPr>
        <w:t>i</w:t>
      </w:r>
      <w:r w:rsidR="00BA4710">
        <w:rPr>
          <w:szCs w:val="24"/>
        </w:rPr>
        <w:t>ties</w:t>
      </w:r>
      <w:r w:rsidR="00C21B52">
        <w:rPr>
          <w:szCs w:val="24"/>
        </w:rPr>
        <w:t xml:space="preserve"> – unless it had no choice</w:t>
      </w:r>
      <w:r>
        <w:rPr>
          <w:szCs w:val="24"/>
        </w:rPr>
        <w:t xml:space="preserve">.  Under high gas or carbon price scenarios, these differences would </w:t>
      </w:r>
      <w:r w:rsidR="00A70968">
        <w:rPr>
          <w:szCs w:val="24"/>
        </w:rPr>
        <w:t>become more pronounced</w:t>
      </w:r>
      <w:r>
        <w:rPr>
          <w:szCs w:val="24"/>
        </w:rPr>
        <w:t xml:space="preserve">.   This is how renewable resources </w:t>
      </w:r>
      <w:r w:rsidR="00C21B52">
        <w:rPr>
          <w:szCs w:val="24"/>
        </w:rPr>
        <w:t xml:space="preserve">can </w:t>
      </w:r>
      <w:r>
        <w:rPr>
          <w:szCs w:val="24"/>
        </w:rPr>
        <w:t>complement gas resources to fill the capacity need.</w:t>
      </w:r>
    </w:p>
    <w:bookmarkEnd w:id="8"/>
    <w:p w:rsidR="00A17F55" w:rsidRPr="000E61D3" w:rsidRDefault="000E61D3" w:rsidP="000E61D3">
      <w:pPr>
        <w:keepNext/>
        <w:ind w:left="1440"/>
        <w:rPr>
          <w:b/>
        </w:rPr>
      </w:pPr>
      <w:r>
        <w:rPr>
          <w:b/>
        </w:rPr>
        <w:t>B.</w:t>
      </w:r>
      <w:r>
        <w:rPr>
          <w:b/>
        </w:rPr>
        <w:tab/>
      </w:r>
      <w:r w:rsidR="00A17F55" w:rsidRPr="000E61D3">
        <w:rPr>
          <w:b/>
          <w:u w:val="single"/>
        </w:rPr>
        <w:t xml:space="preserve">Evidentiary basis for changes to IRP to move to an all-source RFP. </w:t>
      </w:r>
    </w:p>
    <w:p w:rsidR="00A17F55" w:rsidRPr="004673ED" w:rsidRDefault="004673ED" w:rsidP="004673ED">
      <w:pPr>
        <w:spacing w:line="480" w:lineRule="auto"/>
        <w:rPr>
          <w:b/>
        </w:rPr>
      </w:pPr>
      <w:r w:rsidRPr="004673ED">
        <w:rPr>
          <w:b/>
        </w:rPr>
        <w:t>Q.</w:t>
      </w:r>
      <w:r w:rsidRPr="004673ED">
        <w:rPr>
          <w:b/>
        </w:rPr>
        <w:tab/>
        <w:t>Please explain the purpose of this section.</w:t>
      </w:r>
    </w:p>
    <w:p w:rsidR="004673ED" w:rsidRPr="00C74454" w:rsidRDefault="004673ED" w:rsidP="004673ED">
      <w:pPr>
        <w:spacing w:line="480" w:lineRule="auto"/>
      </w:pPr>
      <w:r>
        <w:t>A.</w:t>
      </w:r>
      <w:r>
        <w:tab/>
        <w:t xml:space="preserve">In the section above, I illustrated </w:t>
      </w:r>
      <w:r w:rsidR="00D575D1">
        <w:t xml:space="preserve">the </w:t>
      </w:r>
      <w:r w:rsidR="00A11768">
        <w:t xml:space="preserve">policy and economic </w:t>
      </w:r>
      <w:r w:rsidR="00D575D1">
        <w:t>reasons why</w:t>
      </w:r>
      <w:r>
        <w:t xml:space="preserve"> this IRP presents more potential ups</w:t>
      </w:r>
      <w:bookmarkStart w:id="9" w:name="_GoBack"/>
      <w:bookmarkEnd w:id="9"/>
      <w:r>
        <w:t>ide to GPC and ratepayers under an all-source process than the risks that GPC has identified.  In this section, I show where the</w:t>
      </w:r>
      <w:r w:rsidR="00A70968">
        <w:t xml:space="preserve"> IRP</w:t>
      </w:r>
      <w:r>
        <w:t xml:space="preserve"> evidence </w:t>
      </w:r>
      <w:r w:rsidR="00A70968">
        <w:t>elucidates</w:t>
      </w:r>
      <w:r>
        <w:t xml:space="preserve"> the benefits of holding an all-source RFP.</w:t>
      </w:r>
    </w:p>
    <w:p w:rsidR="00A17F55" w:rsidRPr="004673ED" w:rsidRDefault="004673ED" w:rsidP="006459F9">
      <w:pPr>
        <w:keepNext/>
        <w:rPr>
          <w:b/>
          <w:szCs w:val="24"/>
        </w:rPr>
      </w:pPr>
      <w:r w:rsidRPr="004673ED">
        <w:rPr>
          <w:b/>
          <w:szCs w:val="24"/>
        </w:rPr>
        <w:t>Q.</w:t>
      </w:r>
      <w:r w:rsidRPr="004673ED">
        <w:rPr>
          <w:b/>
          <w:szCs w:val="24"/>
        </w:rPr>
        <w:tab/>
      </w:r>
      <w:r w:rsidR="00C346A9">
        <w:rPr>
          <w:b/>
          <w:szCs w:val="24"/>
        </w:rPr>
        <w:t>What is your criticism of the IRP’s requested approvals to fill the need identified by the Strategist Base Case?</w:t>
      </w:r>
    </w:p>
    <w:p w:rsidR="00A70968" w:rsidRDefault="004673ED" w:rsidP="004673ED">
      <w:pPr>
        <w:spacing w:line="480" w:lineRule="auto"/>
        <w:rPr>
          <w:szCs w:val="24"/>
        </w:rPr>
      </w:pPr>
      <w:r>
        <w:rPr>
          <w:szCs w:val="24"/>
        </w:rPr>
        <w:t>A.</w:t>
      </w:r>
      <w:r>
        <w:rPr>
          <w:szCs w:val="24"/>
        </w:rPr>
        <w:tab/>
      </w:r>
      <w:r w:rsidR="00C346A9">
        <w:rPr>
          <w:szCs w:val="24"/>
        </w:rPr>
        <w:t xml:space="preserve">GPC </w:t>
      </w:r>
      <w:r w:rsidR="00A70968">
        <w:rPr>
          <w:szCs w:val="24"/>
        </w:rPr>
        <w:t xml:space="preserve">determined the units to be </w:t>
      </w:r>
      <w:r w:rsidR="00AC53CF">
        <w:rPr>
          <w:szCs w:val="24"/>
        </w:rPr>
        <w:t>acquire</w:t>
      </w:r>
      <w:r w:rsidR="00A70968">
        <w:rPr>
          <w:szCs w:val="24"/>
        </w:rPr>
        <w:t>d</w:t>
      </w:r>
      <w:r w:rsidR="00AC53CF">
        <w:rPr>
          <w:szCs w:val="24"/>
        </w:rPr>
        <w:t xml:space="preserve"> in the Base Case by eliminating renewable resources from consideration</w:t>
      </w:r>
      <w:r w:rsidR="00C21B52">
        <w:rPr>
          <w:szCs w:val="24"/>
        </w:rPr>
        <w:t xml:space="preserve"> through its screening process</w:t>
      </w:r>
      <w:r w:rsidR="00AC53CF">
        <w:rPr>
          <w:szCs w:val="24"/>
        </w:rPr>
        <w:t>, creating assumed units for the forthcoming CRSP RFP and populating the model with those</w:t>
      </w:r>
      <w:r w:rsidR="00C21B52">
        <w:rPr>
          <w:szCs w:val="24"/>
        </w:rPr>
        <w:t xml:space="preserve"> assumptions</w:t>
      </w:r>
      <w:r w:rsidR="00AC53CF">
        <w:rPr>
          <w:szCs w:val="24"/>
        </w:rPr>
        <w:t xml:space="preserve">, and then </w:t>
      </w:r>
      <w:r w:rsidR="00AC53CF">
        <w:rPr>
          <w:szCs w:val="24"/>
        </w:rPr>
        <w:lastRenderedPageBreak/>
        <w:t xml:space="preserve">allowing the model to select </w:t>
      </w:r>
      <w:r w:rsidR="00C21B52">
        <w:rPr>
          <w:szCs w:val="24"/>
        </w:rPr>
        <w:t xml:space="preserve">only </w:t>
      </w:r>
      <w:r w:rsidR="00AC53CF">
        <w:rPr>
          <w:szCs w:val="24"/>
        </w:rPr>
        <w:t>certain gas-fired technologies.</w:t>
      </w:r>
      <w:r w:rsidR="00AC53CF">
        <w:rPr>
          <w:rStyle w:val="FootnoteReference"/>
          <w:szCs w:val="24"/>
        </w:rPr>
        <w:footnoteReference w:id="26"/>
      </w:r>
      <w:r w:rsidR="00C346A9">
        <w:rPr>
          <w:szCs w:val="24"/>
        </w:rPr>
        <w:t xml:space="preserve">   </w:t>
      </w:r>
      <w:r w:rsidR="00A70968">
        <w:rPr>
          <w:szCs w:val="24"/>
        </w:rPr>
        <w:t>For the Plant Bowen and Wansley analys</w:t>
      </w:r>
      <w:r w:rsidR="00C21B52">
        <w:rPr>
          <w:szCs w:val="24"/>
        </w:rPr>
        <w:t>e</w:t>
      </w:r>
      <w:r w:rsidR="00A70968">
        <w:rPr>
          <w:szCs w:val="24"/>
        </w:rPr>
        <w:t>s</w:t>
      </w:r>
      <w:r w:rsidR="00C21B52">
        <w:rPr>
          <w:szCs w:val="24"/>
        </w:rPr>
        <w:t xml:space="preserve">, GPC did not rely on the model, </w:t>
      </w:r>
      <w:r w:rsidR="00A70968">
        <w:rPr>
          <w:szCs w:val="24"/>
        </w:rPr>
        <w:t xml:space="preserve">but </w:t>
      </w:r>
      <w:r w:rsidR="00C21B52">
        <w:rPr>
          <w:szCs w:val="24"/>
        </w:rPr>
        <w:t xml:space="preserve">rather </w:t>
      </w:r>
      <w:r w:rsidR="00A70968">
        <w:rPr>
          <w:szCs w:val="24"/>
        </w:rPr>
        <w:t>created a spreadsheet analysis that again did not optimize among available technologies.</w:t>
      </w:r>
    </w:p>
    <w:p w:rsidR="00A17F55" w:rsidRDefault="00C346A9" w:rsidP="00A70968">
      <w:pPr>
        <w:spacing w:line="480" w:lineRule="auto"/>
        <w:ind w:firstLine="720"/>
        <w:rPr>
          <w:szCs w:val="24"/>
        </w:rPr>
      </w:pPr>
      <w:r>
        <w:rPr>
          <w:szCs w:val="24"/>
        </w:rPr>
        <w:t>This means that</w:t>
      </w:r>
      <w:r w:rsidR="004673ED">
        <w:rPr>
          <w:szCs w:val="24"/>
        </w:rPr>
        <w:t xml:space="preserve"> the </w:t>
      </w:r>
      <w:r w:rsidRPr="00A17F55">
        <w:rPr>
          <w:szCs w:val="24"/>
        </w:rPr>
        <w:t xml:space="preserve">expensive and sophisticated </w:t>
      </w:r>
      <w:r w:rsidR="00A17F55" w:rsidRPr="00A17F55">
        <w:rPr>
          <w:szCs w:val="24"/>
        </w:rPr>
        <w:t xml:space="preserve">Strategist model is not being employed for its chief attribute, which is to select bids to populate an expansion model based on their real-world </w:t>
      </w:r>
      <w:r w:rsidR="00A17F55" w:rsidRPr="00A17F55">
        <w:rPr>
          <w:i/>
          <w:szCs w:val="24"/>
        </w:rPr>
        <w:t>i.e.</w:t>
      </w:r>
      <w:r w:rsidR="00A17F55" w:rsidRPr="00A17F55">
        <w:rPr>
          <w:szCs w:val="24"/>
        </w:rPr>
        <w:t xml:space="preserve"> bid, characteristics</w:t>
      </w:r>
      <w:r w:rsidR="004673ED">
        <w:rPr>
          <w:szCs w:val="24"/>
        </w:rPr>
        <w:t xml:space="preserve">.  In this manner, GPC has bypassed the primary attributes of the model, which is to select from a variety of resources based on their </w:t>
      </w:r>
      <w:r>
        <w:rPr>
          <w:szCs w:val="24"/>
        </w:rPr>
        <w:t>project assumptions</w:t>
      </w:r>
      <w:r w:rsidR="00C21B52">
        <w:rPr>
          <w:szCs w:val="24"/>
        </w:rPr>
        <w:t>, based on its characterizations of renewable resources</w:t>
      </w:r>
      <w:r>
        <w:rPr>
          <w:szCs w:val="24"/>
        </w:rPr>
        <w:t xml:space="preserve">.   </w:t>
      </w:r>
    </w:p>
    <w:p w:rsidR="006E3C41" w:rsidRPr="006E3C41" w:rsidRDefault="006E3C41" w:rsidP="006E3C41">
      <w:pPr>
        <w:spacing w:line="480" w:lineRule="auto"/>
        <w:rPr>
          <w:b/>
          <w:szCs w:val="24"/>
        </w:rPr>
      </w:pPr>
      <w:r w:rsidRPr="006E3C41">
        <w:rPr>
          <w:b/>
          <w:szCs w:val="24"/>
        </w:rPr>
        <w:t>Q.</w:t>
      </w:r>
      <w:r w:rsidRPr="006E3C41">
        <w:rPr>
          <w:b/>
          <w:szCs w:val="24"/>
        </w:rPr>
        <w:tab/>
        <w:t>Isn’t the Resource Mix Study reliant upon Strategist?</w:t>
      </w:r>
    </w:p>
    <w:p w:rsidR="006E3C41" w:rsidRDefault="006E3C41" w:rsidP="006E3C41">
      <w:pPr>
        <w:spacing w:line="480" w:lineRule="auto"/>
        <w:rPr>
          <w:szCs w:val="24"/>
        </w:rPr>
      </w:pPr>
      <w:r>
        <w:rPr>
          <w:szCs w:val="24"/>
        </w:rPr>
        <w:t>A.</w:t>
      </w:r>
      <w:r>
        <w:rPr>
          <w:szCs w:val="24"/>
        </w:rPr>
        <w:tab/>
        <w:t xml:space="preserve">Yes, it is, but the </w:t>
      </w:r>
      <w:r w:rsidR="00C21B52">
        <w:rPr>
          <w:szCs w:val="24"/>
        </w:rPr>
        <w:t>misleading methodology</w:t>
      </w:r>
      <w:r>
        <w:rPr>
          <w:szCs w:val="24"/>
        </w:rPr>
        <w:t xml:space="preserve"> </w:t>
      </w:r>
      <w:r w:rsidR="00C21B52">
        <w:rPr>
          <w:szCs w:val="24"/>
        </w:rPr>
        <w:t xml:space="preserve">GPC uses </w:t>
      </w:r>
      <w:r>
        <w:rPr>
          <w:szCs w:val="24"/>
        </w:rPr>
        <w:t xml:space="preserve">is to </w:t>
      </w:r>
      <w:r w:rsidR="00C21B52">
        <w:rPr>
          <w:szCs w:val="24"/>
        </w:rPr>
        <w:t>first limit the Base Case optimization</w:t>
      </w:r>
      <w:r w:rsidR="00C21B52" w:rsidRPr="00C21B52">
        <w:rPr>
          <w:szCs w:val="24"/>
        </w:rPr>
        <w:t xml:space="preserve"> </w:t>
      </w:r>
      <w:r w:rsidR="00281737">
        <w:rPr>
          <w:szCs w:val="24"/>
        </w:rPr>
        <w:t>by eliminating</w:t>
      </w:r>
      <w:r w:rsidR="00C21B52">
        <w:rPr>
          <w:szCs w:val="24"/>
        </w:rPr>
        <w:t xml:space="preserve"> a wide section of the market, and then characterize</w:t>
      </w:r>
      <w:r>
        <w:rPr>
          <w:szCs w:val="24"/>
        </w:rPr>
        <w:t xml:space="preserve"> the Base Case optimization run to be </w:t>
      </w:r>
      <w:r w:rsidR="00C21B52">
        <w:rPr>
          <w:szCs w:val="24"/>
        </w:rPr>
        <w:t xml:space="preserve">a transparent “conclusion” of </w:t>
      </w:r>
      <w:r>
        <w:rPr>
          <w:szCs w:val="24"/>
        </w:rPr>
        <w:t>the resources to be acquired.</w:t>
      </w:r>
      <w:r w:rsidR="00C21B52">
        <w:rPr>
          <w:rStyle w:val="FootnoteReference"/>
          <w:szCs w:val="24"/>
        </w:rPr>
        <w:footnoteReference w:id="27"/>
      </w:r>
      <w:r w:rsidR="00C21B52">
        <w:rPr>
          <w:szCs w:val="24"/>
        </w:rPr>
        <w:t xml:space="preserve">  </w:t>
      </w:r>
    </w:p>
    <w:p w:rsidR="00C346A9" w:rsidRDefault="00C346A9" w:rsidP="006E3C41">
      <w:pPr>
        <w:spacing w:line="480" w:lineRule="auto"/>
        <w:ind w:firstLine="720"/>
        <w:rPr>
          <w:szCs w:val="24"/>
        </w:rPr>
      </w:pPr>
      <w:r>
        <w:rPr>
          <w:szCs w:val="24"/>
        </w:rPr>
        <w:t xml:space="preserve">The Resource Mix study describes Strategist </w:t>
      </w:r>
      <w:r w:rsidRPr="00A11768">
        <w:rPr>
          <w:szCs w:val="24"/>
        </w:rPr>
        <w:t>capability as follows</w:t>
      </w:r>
      <w:r w:rsidR="00A11768">
        <w:rPr>
          <w:rStyle w:val="FootnoteReference"/>
          <w:szCs w:val="24"/>
        </w:rPr>
        <w:footnoteReference w:id="28"/>
      </w:r>
      <w:r>
        <w:rPr>
          <w:szCs w:val="24"/>
        </w:rPr>
        <w:t>:</w:t>
      </w:r>
    </w:p>
    <w:p w:rsidR="00A11768" w:rsidRDefault="00A11768" w:rsidP="006E3C41">
      <w:pPr>
        <w:spacing w:line="240" w:lineRule="auto"/>
        <w:ind w:left="1440" w:right="1440" w:firstLine="0"/>
        <w:rPr>
          <w:szCs w:val="24"/>
        </w:rPr>
      </w:pPr>
      <w:bookmarkStart w:id="10" w:name="_Hlk6834452"/>
      <w:r w:rsidRPr="000C0597">
        <w:rPr>
          <w:rFonts w:cs="Arial"/>
        </w:rPr>
        <w:t>PROVIEW uses dynamic programming techniques to develop the optimum resource mix (see Appendix E for a description of the algorithm)</w:t>
      </w:r>
      <w:r w:rsidRPr="000C0597">
        <w:rPr>
          <w:rFonts w:cs="Arial"/>
          <w:color w:val="000000"/>
        </w:rPr>
        <w:t>. T</w:t>
      </w:r>
      <w:r w:rsidRPr="000C0597">
        <w:rPr>
          <w:rFonts w:cs="Arial"/>
        </w:rPr>
        <w:t xml:space="preserve">his technique allows PROVIEW to evaluate, in every year, each combination of generation additions that satisfy the reserve margin constraint. For each combination, annual operating costs are simulated and are added to the construction costs required </w:t>
      </w:r>
      <w:r w:rsidRPr="000C0597">
        <w:rPr>
          <w:rFonts w:cs="Arial"/>
        </w:rPr>
        <w:lastRenderedPageBreak/>
        <w:t>to build that particular combination of resource additions. A least cost resource plan is developed only after reviewing many construction options.</w:t>
      </w:r>
    </w:p>
    <w:p w:rsidR="00A11768" w:rsidRDefault="00A11768" w:rsidP="008C4EFE">
      <w:pPr>
        <w:spacing w:line="480" w:lineRule="auto"/>
        <w:ind w:firstLine="720"/>
        <w:rPr>
          <w:rFonts w:cs="Arial"/>
        </w:rPr>
      </w:pPr>
      <w:bookmarkStart w:id="11" w:name="_Hlk6834509"/>
      <w:bookmarkEnd w:id="10"/>
      <w:r>
        <w:rPr>
          <w:szCs w:val="24"/>
        </w:rPr>
        <w:t>However, the Report then details that renewable resources were not available even to the generic model: “</w:t>
      </w:r>
      <w:r w:rsidRPr="000C0597">
        <w:rPr>
          <w:rFonts w:cs="Arial"/>
        </w:rPr>
        <w:t xml:space="preserve">Intermittent resources </w:t>
      </w:r>
      <w:r w:rsidRPr="006E3C41">
        <w:rPr>
          <w:rFonts w:cs="Arial"/>
          <w:b/>
          <w:u w:val="single"/>
        </w:rPr>
        <w:t>were not included</w:t>
      </w:r>
      <w:r w:rsidRPr="000C0597">
        <w:rPr>
          <w:rFonts w:cs="Arial"/>
        </w:rPr>
        <w:t xml:space="preserve"> as technologies for the model to select due to model limitations associated with the inclusion of intermittent resources but instead were reflected in the model as planned and committed resources.</w:t>
      </w:r>
      <w:r>
        <w:rPr>
          <w:rFonts w:cs="Arial"/>
        </w:rPr>
        <w:t>”</w:t>
      </w:r>
      <w:r>
        <w:rPr>
          <w:rStyle w:val="FootnoteReference"/>
          <w:rFonts w:cs="Arial"/>
        </w:rPr>
        <w:footnoteReference w:id="29"/>
      </w:r>
      <w:r w:rsidR="006E3C41">
        <w:rPr>
          <w:rFonts w:cs="Arial"/>
        </w:rPr>
        <w:t xml:space="preserve"> (Emphasis added.)</w:t>
      </w:r>
      <w:r w:rsidR="00C21B52">
        <w:rPr>
          <w:rFonts w:cs="Arial"/>
        </w:rPr>
        <w:t xml:space="preserve">  This leads the Base Case </w:t>
      </w:r>
      <w:r w:rsidR="00281737">
        <w:rPr>
          <w:rFonts w:cs="Arial"/>
        </w:rPr>
        <w:t>combinations</w:t>
      </w:r>
      <w:r w:rsidR="00C21B52">
        <w:rPr>
          <w:rFonts w:cs="Arial"/>
        </w:rPr>
        <w:t xml:space="preserve"> to be flawed.</w:t>
      </w:r>
    </w:p>
    <w:bookmarkEnd w:id="11"/>
    <w:p w:rsidR="00A11768" w:rsidRPr="002D1345" w:rsidRDefault="00A11768" w:rsidP="006459F9">
      <w:pPr>
        <w:keepNext/>
        <w:rPr>
          <w:b/>
        </w:rPr>
      </w:pPr>
      <w:r w:rsidRPr="002D1345">
        <w:rPr>
          <w:b/>
        </w:rPr>
        <w:t>Q.</w:t>
      </w:r>
      <w:r w:rsidRPr="002D1345">
        <w:rPr>
          <w:b/>
        </w:rPr>
        <w:tab/>
        <w:t>Does the Resource Mix study defend or elucidate what the limitations of the model were</w:t>
      </w:r>
      <w:r w:rsidR="006E3C41">
        <w:rPr>
          <w:b/>
        </w:rPr>
        <w:t xml:space="preserve"> related to renewable resources</w:t>
      </w:r>
      <w:r w:rsidRPr="002D1345">
        <w:rPr>
          <w:b/>
        </w:rPr>
        <w:t>?</w:t>
      </w:r>
    </w:p>
    <w:p w:rsidR="00A11768" w:rsidRDefault="00A11768" w:rsidP="00A11768">
      <w:pPr>
        <w:spacing w:line="480" w:lineRule="auto"/>
        <w:rPr>
          <w:rFonts w:cs="Arial"/>
        </w:rPr>
      </w:pPr>
      <w:r>
        <w:rPr>
          <w:rFonts w:cs="Arial"/>
        </w:rPr>
        <w:t>A.</w:t>
      </w:r>
      <w:r>
        <w:rPr>
          <w:rFonts w:cs="Arial"/>
        </w:rPr>
        <w:tab/>
        <w:t>Not to my review.</w:t>
      </w:r>
    </w:p>
    <w:p w:rsidR="00A11768" w:rsidRPr="00A11768" w:rsidRDefault="00A11768" w:rsidP="00A11768">
      <w:pPr>
        <w:spacing w:line="480" w:lineRule="auto"/>
        <w:rPr>
          <w:rFonts w:cs="Arial"/>
          <w:b/>
        </w:rPr>
      </w:pPr>
      <w:r w:rsidRPr="00A11768">
        <w:rPr>
          <w:rFonts w:cs="Arial"/>
          <w:b/>
        </w:rPr>
        <w:t>Q.</w:t>
      </w:r>
      <w:r w:rsidRPr="00A11768">
        <w:rPr>
          <w:rFonts w:cs="Arial"/>
          <w:b/>
        </w:rPr>
        <w:tab/>
        <w:t>Are you aware of any such limitations in your experience?</w:t>
      </w:r>
    </w:p>
    <w:p w:rsidR="00C346A9" w:rsidRDefault="00A11768" w:rsidP="00160915">
      <w:pPr>
        <w:spacing w:line="480" w:lineRule="auto"/>
        <w:rPr>
          <w:szCs w:val="24"/>
        </w:rPr>
      </w:pPr>
      <w:bookmarkStart w:id="12" w:name="_Hlk6834545"/>
      <w:r>
        <w:rPr>
          <w:rFonts w:cs="Arial"/>
        </w:rPr>
        <w:t>A.</w:t>
      </w:r>
      <w:r>
        <w:rPr>
          <w:rFonts w:cs="Arial"/>
        </w:rPr>
        <w:tab/>
        <w:t>No.  As mentioned above, there are inputs to Strategist in Colorado for integration costs for wind and solar, but not limitations on the model’s ability to evaluate renewable resources.</w:t>
      </w:r>
      <w:r w:rsidR="00160915">
        <w:rPr>
          <w:rFonts w:cs="Arial"/>
        </w:rPr>
        <w:t xml:space="preserve">  </w:t>
      </w:r>
      <w:r w:rsidR="00A17F55" w:rsidRPr="00A17F55">
        <w:rPr>
          <w:szCs w:val="24"/>
        </w:rPr>
        <w:t>While the Resource Mix study adequately describes Strategist</w:t>
      </w:r>
      <w:r w:rsidR="00160915">
        <w:rPr>
          <w:szCs w:val="24"/>
        </w:rPr>
        <w:t xml:space="preserve"> optimization module</w:t>
      </w:r>
      <w:r w:rsidR="00A17F55" w:rsidRPr="00A17F55">
        <w:rPr>
          <w:szCs w:val="24"/>
        </w:rPr>
        <w:t xml:space="preserve">, the model </w:t>
      </w:r>
      <w:r w:rsidR="00160915">
        <w:rPr>
          <w:szCs w:val="24"/>
        </w:rPr>
        <w:t>was</w:t>
      </w:r>
      <w:r w:rsidR="00A17F55" w:rsidRPr="00A17F55">
        <w:rPr>
          <w:szCs w:val="24"/>
        </w:rPr>
        <w:t xml:space="preserve"> not relied upon </w:t>
      </w:r>
      <w:r w:rsidR="00160915">
        <w:rPr>
          <w:szCs w:val="24"/>
        </w:rPr>
        <w:t xml:space="preserve">by GPC </w:t>
      </w:r>
      <w:r w:rsidR="00A17F55" w:rsidRPr="00A17F55">
        <w:rPr>
          <w:szCs w:val="24"/>
        </w:rPr>
        <w:t xml:space="preserve">to examine the </w:t>
      </w:r>
      <w:r w:rsidR="00160915">
        <w:rPr>
          <w:szCs w:val="24"/>
        </w:rPr>
        <w:t xml:space="preserve">scope of </w:t>
      </w:r>
      <w:r w:rsidR="00BA4710">
        <w:rPr>
          <w:szCs w:val="24"/>
        </w:rPr>
        <w:t>resources</w:t>
      </w:r>
      <w:r w:rsidR="00BA4710" w:rsidRPr="00A17F55">
        <w:rPr>
          <w:szCs w:val="24"/>
        </w:rPr>
        <w:t xml:space="preserve"> </w:t>
      </w:r>
      <w:r w:rsidR="00A17F55" w:rsidRPr="00A17F55">
        <w:rPr>
          <w:szCs w:val="24"/>
        </w:rPr>
        <w:t>available</w:t>
      </w:r>
      <w:r w:rsidR="00A70968">
        <w:rPr>
          <w:szCs w:val="24"/>
        </w:rPr>
        <w:t xml:space="preserve"> or the economic analysis to evaluate the Plant Bowen or Wansley retirements</w:t>
      </w:r>
      <w:r w:rsidR="00160915">
        <w:rPr>
          <w:szCs w:val="24"/>
        </w:rPr>
        <w:t>.  T</w:t>
      </w:r>
      <w:r w:rsidR="00A17F55" w:rsidRPr="00A17F55">
        <w:rPr>
          <w:szCs w:val="24"/>
        </w:rPr>
        <w:t xml:space="preserve">he </w:t>
      </w:r>
      <w:r w:rsidR="00BA4710">
        <w:rPr>
          <w:szCs w:val="24"/>
        </w:rPr>
        <w:t xml:space="preserve">IRP </w:t>
      </w:r>
      <w:r w:rsidR="00F542D1">
        <w:rPr>
          <w:szCs w:val="24"/>
        </w:rPr>
        <w:t>Base Case</w:t>
      </w:r>
      <w:r w:rsidR="00A17F55" w:rsidRPr="00A17F55">
        <w:rPr>
          <w:szCs w:val="24"/>
        </w:rPr>
        <w:t xml:space="preserve"> is therefore </w:t>
      </w:r>
      <w:r w:rsidR="00160915">
        <w:rPr>
          <w:szCs w:val="24"/>
        </w:rPr>
        <w:t xml:space="preserve">fatally flawed in its having </w:t>
      </w:r>
      <w:r w:rsidR="00A17F55" w:rsidRPr="00A17F55">
        <w:rPr>
          <w:szCs w:val="24"/>
        </w:rPr>
        <w:t>c</w:t>
      </w:r>
      <w:r w:rsidR="00F542D1">
        <w:rPr>
          <w:szCs w:val="24"/>
        </w:rPr>
        <w:t xml:space="preserve">onstrained, </w:t>
      </w:r>
      <w:r w:rsidR="00A17F55" w:rsidRPr="00A17F55">
        <w:rPr>
          <w:szCs w:val="24"/>
        </w:rPr>
        <w:t>rather than allowing</w:t>
      </w:r>
      <w:r w:rsidR="00F542D1">
        <w:rPr>
          <w:szCs w:val="24"/>
        </w:rPr>
        <w:t>,</w:t>
      </w:r>
      <w:r w:rsidR="00A17F55" w:rsidRPr="00A17F55">
        <w:rPr>
          <w:szCs w:val="24"/>
        </w:rPr>
        <w:t xml:space="preserve"> the model to perform</w:t>
      </w:r>
      <w:r w:rsidR="00080FE9">
        <w:rPr>
          <w:szCs w:val="24"/>
        </w:rPr>
        <w:t xml:space="preserve"> its primary function</w:t>
      </w:r>
      <w:r w:rsidR="00A17F55" w:rsidRPr="00A17F55">
        <w:rPr>
          <w:szCs w:val="24"/>
        </w:rPr>
        <w:t xml:space="preserve">. </w:t>
      </w:r>
    </w:p>
    <w:p w:rsidR="00C346A9" w:rsidRPr="00C346A9" w:rsidRDefault="00C346A9" w:rsidP="006459F9">
      <w:pPr>
        <w:keepNext/>
        <w:rPr>
          <w:b/>
          <w:szCs w:val="24"/>
        </w:rPr>
      </w:pPr>
      <w:bookmarkStart w:id="13" w:name="_Hlk6834581"/>
      <w:bookmarkEnd w:id="12"/>
      <w:r w:rsidRPr="00C346A9">
        <w:rPr>
          <w:b/>
          <w:szCs w:val="24"/>
        </w:rPr>
        <w:lastRenderedPageBreak/>
        <w:t>Q.</w:t>
      </w:r>
      <w:r w:rsidRPr="00C346A9">
        <w:rPr>
          <w:b/>
          <w:szCs w:val="24"/>
        </w:rPr>
        <w:tab/>
        <w:t>Does the IRP present a basis for its selected renewable additions through the REDI and CRSP initiatives?</w:t>
      </w:r>
    </w:p>
    <w:p w:rsidR="00A97F5C" w:rsidRDefault="00C346A9" w:rsidP="00C346A9">
      <w:pPr>
        <w:spacing w:line="480" w:lineRule="auto"/>
        <w:rPr>
          <w:szCs w:val="24"/>
        </w:rPr>
      </w:pPr>
      <w:r>
        <w:rPr>
          <w:szCs w:val="24"/>
        </w:rPr>
        <w:t>A.</w:t>
      </w:r>
      <w:r>
        <w:rPr>
          <w:szCs w:val="24"/>
        </w:rPr>
        <w:tab/>
        <w:t xml:space="preserve">No, it does not.  </w:t>
      </w:r>
      <w:r w:rsidR="00A97F5C">
        <w:rPr>
          <w:szCs w:val="24"/>
        </w:rPr>
        <w:t>GPC’s proposed</w:t>
      </w:r>
      <w:r>
        <w:rPr>
          <w:szCs w:val="24"/>
        </w:rPr>
        <w:t xml:space="preserve"> r</w:t>
      </w:r>
      <w:r w:rsidR="00A17F55" w:rsidRPr="00A17F55">
        <w:rPr>
          <w:szCs w:val="24"/>
        </w:rPr>
        <w:t>enewable additions are 1) arbitrarily selected</w:t>
      </w:r>
      <w:r w:rsidR="007941D0">
        <w:rPr>
          <w:szCs w:val="24"/>
        </w:rPr>
        <w:t xml:space="preserve"> number without study</w:t>
      </w:r>
      <w:r w:rsidR="00A17F55" w:rsidRPr="00A17F55">
        <w:rPr>
          <w:szCs w:val="24"/>
        </w:rPr>
        <w:t xml:space="preserve">, 2) </w:t>
      </w:r>
      <w:r w:rsidR="00080FE9">
        <w:rPr>
          <w:szCs w:val="24"/>
        </w:rPr>
        <w:t xml:space="preserve">for 950 MW, </w:t>
      </w:r>
      <w:r w:rsidR="00A17F55" w:rsidRPr="00A17F55">
        <w:rPr>
          <w:szCs w:val="24"/>
        </w:rPr>
        <w:t xml:space="preserve">paid for by </w:t>
      </w:r>
      <w:r w:rsidR="00A97F5C">
        <w:rPr>
          <w:szCs w:val="24"/>
        </w:rPr>
        <w:t xml:space="preserve">customer </w:t>
      </w:r>
      <w:r w:rsidR="00A17F55" w:rsidRPr="00A17F55">
        <w:rPr>
          <w:szCs w:val="24"/>
        </w:rPr>
        <w:t xml:space="preserve">subscription </w:t>
      </w:r>
      <w:r w:rsidR="00EC0CEB">
        <w:rPr>
          <w:szCs w:val="24"/>
        </w:rPr>
        <w:t>and therefore present different costs and benefits than system resources</w:t>
      </w:r>
      <w:r w:rsidR="00A17F55" w:rsidRPr="00A17F55">
        <w:rPr>
          <w:szCs w:val="24"/>
        </w:rPr>
        <w:t xml:space="preserve">, 3) </w:t>
      </w:r>
      <w:r w:rsidR="00EC0CEB">
        <w:rPr>
          <w:szCs w:val="24"/>
        </w:rPr>
        <w:t xml:space="preserve">have been </w:t>
      </w:r>
      <w:r w:rsidR="00A17F55" w:rsidRPr="00A17F55">
        <w:rPr>
          <w:szCs w:val="24"/>
        </w:rPr>
        <w:t>sequestered from modeling for the actual resource need.</w:t>
      </w:r>
      <w:r>
        <w:rPr>
          <w:szCs w:val="24"/>
        </w:rPr>
        <w:t xml:space="preserve">   </w:t>
      </w:r>
      <w:bookmarkEnd w:id="13"/>
      <w:r>
        <w:rPr>
          <w:szCs w:val="24"/>
        </w:rPr>
        <w:t>At the hearing, GPC admitted that no studies were performed to determine</w:t>
      </w:r>
      <w:r w:rsidR="00D575D1">
        <w:rPr>
          <w:szCs w:val="24"/>
        </w:rPr>
        <w:t xml:space="preserve"> </w:t>
      </w:r>
      <w:r>
        <w:rPr>
          <w:szCs w:val="24"/>
        </w:rPr>
        <w:t>the appropriate amount of renewable resources to acquire.</w:t>
      </w:r>
      <w:r w:rsidR="00F542D1">
        <w:rPr>
          <w:szCs w:val="24"/>
        </w:rPr>
        <w:t xml:space="preserve"> (Tr. 195).</w:t>
      </w:r>
      <w:r>
        <w:rPr>
          <w:szCs w:val="24"/>
        </w:rPr>
        <w:t xml:space="preserve">  To the contrary, GPC testified that the level of renewable resources selected was based on GPC’s </w:t>
      </w:r>
      <w:r w:rsidR="00F542D1">
        <w:rPr>
          <w:szCs w:val="24"/>
        </w:rPr>
        <w:t>thought that 1,000 MW</w:t>
      </w:r>
      <w:r>
        <w:rPr>
          <w:szCs w:val="24"/>
        </w:rPr>
        <w:t xml:space="preserve"> “keep</w:t>
      </w:r>
      <w:r w:rsidR="00F542D1">
        <w:rPr>
          <w:szCs w:val="24"/>
        </w:rPr>
        <w:t>s</w:t>
      </w:r>
      <w:r>
        <w:rPr>
          <w:szCs w:val="24"/>
        </w:rPr>
        <w:t xml:space="preserve"> the pace” of acquisitions.</w:t>
      </w:r>
      <w:r w:rsidR="00F542D1">
        <w:rPr>
          <w:szCs w:val="24"/>
        </w:rPr>
        <w:t xml:space="preserve"> (Tr. 197).</w:t>
      </w:r>
      <w:r>
        <w:rPr>
          <w:szCs w:val="24"/>
        </w:rPr>
        <w:t xml:space="preserve">   </w:t>
      </w:r>
      <w:r w:rsidR="00A97F5C">
        <w:rPr>
          <w:szCs w:val="24"/>
        </w:rPr>
        <w:t>In discovery, GPC was asked about how it decided on its acquisition level, and its answer was that the number was “strategic”.</w:t>
      </w:r>
      <w:r w:rsidR="00A97F5C">
        <w:rPr>
          <w:rStyle w:val="FootnoteReference"/>
          <w:szCs w:val="24"/>
        </w:rPr>
        <w:footnoteReference w:id="30"/>
      </w:r>
      <w:r w:rsidR="00A97F5C">
        <w:rPr>
          <w:szCs w:val="24"/>
        </w:rPr>
        <w:t xml:space="preserve">   Incredibly, this </w:t>
      </w:r>
      <w:r w:rsidR="00F542D1">
        <w:rPr>
          <w:szCs w:val="24"/>
        </w:rPr>
        <w:t xml:space="preserve">strategic </w:t>
      </w:r>
      <w:r w:rsidR="00A97F5C">
        <w:rPr>
          <w:szCs w:val="24"/>
        </w:rPr>
        <w:t>decision was made with “no analysis” whatsoever</w:t>
      </w:r>
      <w:r w:rsidR="006E3C41">
        <w:rPr>
          <w:szCs w:val="24"/>
        </w:rPr>
        <w:t xml:space="preserve">, including </w:t>
      </w:r>
      <w:r w:rsidR="00F542D1">
        <w:rPr>
          <w:szCs w:val="24"/>
        </w:rPr>
        <w:t xml:space="preserve">no data to support </w:t>
      </w:r>
      <w:r w:rsidR="006E3C41">
        <w:rPr>
          <w:szCs w:val="24"/>
        </w:rPr>
        <w:t xml:space="preserve">the number </w:t>
      </w:r>
      <w:r w:rsidR="00A84C20">
        <w:rPr>
          <w:szCs w:val="24"/>
        </w:rPr>
        <w:t xml:space="preserve">that </w:t>
      </w:r>
      <w:r w:rsidR="00F542D1">
        <w:rPr>
          <w:szCs w:val="24"/>
        </w:rPr>
        <w:t xml:space="preserve">was </w:t>
      </w:r>
      <w:r w:rsidR="006E3C41">
        <w:rPr>
          <w:szCs w:val="24"/>
        </w:rPr>
        <w:t>selected</w:t>
      </w:r>
      <w:r w:rsidR="00A97F5C">
        <w:rPr>
          <w:szCs w:val="24"/>
        </w:rPr>
        <w:t>.</w:t>
      </w:r>
      <w:r w:rsidR="00A97F5C">
        <w:rPr>
          <w:rStyle w:val="FootnoteReference"/>
          <w:szCs w:val="24"/>
        </w:rPr>
        <w:footnoteReference w:id="31"/>
      </w:r>
    </w:p>
    <w:p w:rsidR="00A17F55" w:rsidRPr="00A17F55" w:rsidRDefault="00C346A9" w:rsidP="00A97F5C">
      <w:pPr>
        <w:spacing w:line="480" w:lineRule="auto"/>
        <w:ind w:firstLine="720"/>
        <w:rPr>
          <w:szCs w:val="24"/>
        </w:rPr>
      </w:pPr>
      <w:r>
        <w:rPr>
          <w:szCs w:val="24"/>
        </w:rPr>
        <w:t>This demonstrates arbitrary and subjective decision making</w:t>
      </w:r>
      <w:r w:rsidR="00160915">
        <w:rPr>
          <w:szCs w:val="24"/>
        </w:rPr>
        <w:t xml:space="preserve"> that was </w:t>
      </w:r>
      <w:r w:rsidR="00080FE9">
        <w:rPr>
          <w:szCs w:val="24"/>
        </w:rPr>
        <w:t>done</w:t>
      </w:r>
      <w:r w:rsidR="00160915">
        <w:rPr>
          <w:szCs w:val="24"/>
        </w:rPr>
        <w:t xml:space="preserve"> under the shadow of sophisticated modeling software </w:t>
      </w:r>
      <w:r w:rsidR="00CB11A6">
        <w:rPr>
          <w:szCs w:val="24"/>
        </w:rPr>
        <w:t xml:space="preserve">which </w:t>
      </w:r>
      <w:r w:rsidR="00160915">
        <w:rPr>
          <w:szCs w:val="24"/>
        </w:rPr>
        <w:t>could have provided guidance</w:t>
      </w:r>
      <w:r w:rsidR="00080FE9">
        <w:rPr>
          <w:szCs w:val="24"/>
        </w:rPr>
        <w:t xml:space="preserve"> to GPC and the Commission</w:t>
      </w:r>
      <w:r>
        <w:rPr>
          <w:szCs w:val="24"/>
        </w:rPr>
        <w:t xml:space="preserve">.   </w:t>
      </w:r>
      <w:r w:rsidR="00F542D1">
        <w:rPr>
          <w:szCs w:val="24"/>
        </w:rPr>
        <w:t>These decisions</w:t>
      </w:r>
      <w:r w:rsidR="00A97F5C">
        <w:rPr>
          <w:szCs w:val="24"/>
        </w:rPr>
        <w:t xml:space="preserve"> also pre</w:t>
      </w:r>
      <w:r w:rsidR="00080FE9">
        <w:rPr>
          <w:szCs w:val="24"/>
        </w:rPr>
        <w:t>-suppose</w:t>
      </w:r>
      <w:r w:rsidR="00A97F5C">
        <w:rPr>
          <w:szCs w:val="24"/>
        </w:rPr>
        <w:t xml:space="preserve"> the outcome of the </w:t>
      </w:r>
      <w:r w:rsidR="00080FE9">
        <w:rPr>
          <w:szCs w:val="24"/>
        </w:rPr>
        <w:t>RFP</w:t>
      </w:r>
      <w:r w:rsidR="00A97F5C">
        <w:rPr>
          <w:szCs w:val="24"/>
        </w:rPr>
        <w:t xml:space="preserve"> in defiance of market principles.  </w:t>
      </w:r>
      <w:r>
        <w:rPr>
          <w:szCs w:val="24"/>
        </w:rPr>
        <w:t>Renewable resources are not modeled in Strategist, but in the stand alone R</w:t>
      </w:r>
      <w:r w:rsidR="00D575D1">
        <w:rPr>
          <w:szCs w:val="24"/>
        </w:rPr>
        <w:t>CB</w:t>
      </w:r>
      <w:r>
        <w:rPr>
          <w:szCs w:val="24"/>
        </w:rPr>
        <w:t xml:space="preserve"> </w:t>
      </w:r>
      <w:r w:rsidR="00CB11A6">
        <w:rPr>
          <w:szCs w:val="24"/>
        </w:rPr>
        <w:t>F</w:t>
      </w:r>
      <w:r>
        <w:rPr>
          <w:szCs w:val="24"/>
        </w:rPr>
        <w:t>ramework</w:t>
      </w:r>
      <w:r w:rsidR="00D575D1">
        <w:rPr>
          <w:szCs w:val="24"/>
        </w:rPr>
        <w:t xml:space="preserve"> which</w:t>
      </w:r>
      <w:r w:rsidR="00625D07">
        <w:rPr>
          <w:szCs w:val="24"/>
        </w:rPr>
        <w:t xml:space="preserve"> </w:t>
      </w:r>
      <w:r w:rsidR="00D575D1">
        <w:rPr>
          <w:szCs w:val="24"/>
        </w:rPr>
        <w:t>separates</w:t>
      </w:r>
      <w:r w:rsidR="00F542D1">
        <w:rPr>
          <w:szCs w:val="24"/>
        </w:rPr>
        <w:t>, yet</w:t>
      </w:r>
      <w:r w:rsidR="00D575D1">
        <w:rPr>
          <w:szCs w:val="24"/>
        </w:rPr>
        <w:t xml:space="preserve"> duplicates</w:t>
      </w:r>
      <w:r w:rsidR="00F542D1">
        <w:rPr>
          <w:szCs w:val="24"/>
        </w:rPr>
        <w:t>,</w:t>
      </w:r>
      <w:r w:rsidR="00D575D1">
        <w:rPr>
          <w:szCs w:val="24"/>
        </w:rPr>
        <w:t xml:space="preserve"> some facilities of capacity expansion planning.</w:t>
      </w:r>
    </w:p>
    <w:p w:rsidR="00A97F5C" w:rsidRPr="007941D0" w:rsidRDefault="00A97F5C" w:rsidP="006459F9">
      <w:pPr>
        <w:keepNext/>
        <w:rPr>
          <w:b/>
          <w:szCs w:val="24"/>
        </w:rPr>
      </w:pPr>
      <w:r w:rsidRPr="007941D0">
        <w:rPr>
          <w:b/>
          <w:szCs w:val="24"/>
        </w:rPr>
        <w:lastRenderedPageBreak/>
        <w:t>Q.</w:t>
      </w:r>
      <w:r w:rsidRPr="007941D0">
        <w:rPr>
          <w:b/>
          <w:szCs w:val="24"/>
        </w:rPr>
        <w:tab/>
        <w:t>Should the CRSP additions be deemed sufficient for the IRP?</w:t>
      </w:r>
    </w:p>
    <w:p w:rsidR="00A97F5C" w:rsidRPr="00A97F5C" w:rsidRDefault="00A97F5C" w:rsidP="00C346A9">
      <w:pPr>
        <w:spacing w:line="480" w:lineRule="auto"/>
        <w:contextualSpacing/>
        <w:rPr>
          <w:szCs w:val="24"/>
        </w:rPr>
      </w:pPr>
      <w:r w:rsidRPr="007941D0">
        <w:rPr>
          <w:szCs w:val="24"/>
        </w:rPr>
        <w:t>A.</w:t>
      </w:r>
      <w:r w:rsidRPr="007941D0">
        <w:rPr>
          <w:szCs w:val="24"/>
        </w:rPr>
        <w:tab/>
        <w:t xml:space="preserve">No, </w:t>
      </w:r>
      <w:r w:rsidR="007941D0" w:rsidRPr="007941D0">
        <w:rPr>
          <w:szCs w:val="24"/>
        </w:rPr>
        <w:t>a</w:t>
      </w:r>
      <w:r w:rsidRPr="007941D0">
        <w:rPr>
          <w:szCs w:val="24"/>
        </w:rPr>
        <w:t>s GPC answered, “</w:t>
      </w:r>
      <w:r w:rsidRPr="007941D0">
        <w:rPr>
          <w:rFonts w:eastAsia="Calibri"/>
          <w:szCs w:val="24"/>
        </w:rPr>
        <w:t>Customers participating in the CRSP program will fully cover all costs associated with the program during their contract terms, thereby reducing risk to non-participating customers.”</w:t>
      </w:r>
      <w:r w:rsidRPr="007941D0">
        <w:rPr>
          <w:rStyle w:val="FootnoteReference"/>
          <w:rFonts w:eastAsia="Calibri"/>
          <w:szCs w:val="24"/>
        </w:rPr>
        <w:footnoteReference w:id="32"/>
      </w:r>
      <w:r w:rsidRPr="007941D0">
        <w:rPr>
          <w:rFonts w:eastAsia="Calibri"/>
          <w:szCs w:val="24"/>
        </w:rPr>
        <w:t xml:space="preserve"> </w:t>
      </w:r>
      <w:r w:rsidR="007941D0" w:rsidRPr="007941D0">
        <w:rPr>
          <w:rFonts w:eastAsia="Calibri"/>
          <w:szCs w:val="24"/>
        </w:rPr>
        <w:t xml:space="preserve">  </w:t>
      </w:r>
      <w:r w:rsidRPr="007941D0">
        <w:rPr>
          <w:rFonts w:eastAsia="Calibri"/>
          <w:szCs w:val="24"/>
        </w:rPr>
        <w:t xml:space="preserve">As a result, </w:t>
      </w:r>
      <w:r w:rsidR="007941D0" w:rsidRPr="007941D0">
        <w:rPr>
          <w:rFonts w:eastAsia="Calibri"/>
          <w:szCs w:val="24"/>
        </w:rPr>
        <w:t xml:space="preserve">the CRSP program is a </w:t>
      </w:r>
      <w:r w:rsidRPr="007941D0">
        <w:rPr>
          <w:rFonts w:eastAsia="Calibri"/>
          <w:szCs w:val="24"/>
        </w:rPr>
        <w:t>product sold to certain customers</w:t>
      </w:r>
      <w:r w:rsidR="00F542D1">
        <w:rPr>
          <w:rFonts w:eastAsia="Calibri"/>
          <w:szCs w:val="24"/>
        </w:rPr>
        <w:t xml:space="preserve"> </w:t>
      </w:r>
      <w:r w:rsidR="007941D0" w:rsidRPr="007941D0">
        <w:rPr>
          <w:rFonts w:eastAsia="Calibri"/>
          <w:szCs w:val="24"/>
        </w:rPr>
        <w:t xml:space="preserve">that adds </w:t>
      </w:r>
      <w:r w:rsidR="007941D0">
        <w:rPr>
          <w:rFonts w:eastAsia="Calibri"/>
          <w:szCs w:val="24"/>
        </w:rPr>
        <w:t xml:space="preserve">renewables to create </w:t>
      </w:r>
      <w:r w:rsidR="007941D0" w:rsidRPr="007941D0">
        <w:rPr>
          <w:rFonts w:eastAsia="Calibri"/>
          <w:szCs w:val="24"/>
        </w:rPr>
        <w:t xml:space="preserve">system </w:t>
      </w:r>
      <w:r w:rsidRPr="007941D0">
        <w:rPr>
          <w:rFonts w:eastAsia="Calibri"/>
          <w:szCs w:val="24"/>
        </w:rPr>
        <w:t>benefits</w:t>
      </w:r>
      <w:r w:rsidR="007941D0">
        <w:rPr>
          <w:rFonts w:eastAsia="Calibri"/>
          <w:szCs w:val="24"/>
        </w:rPr>
        <w:t xml:space="preserve"> but cannot affect the capacity need based on its treatment in the Base Case</w:t>
      </w:r>
      <w:r w:rsidR="00F542D1">
        <w:rPr>
          <w:rFonts w:eastAsia="Calibri"/>
          <w:szCs w:val="24"/>
        </w:rPr>
        <w:t xml:space="preserve"> as being “baked into” the model</w:t>
      </w:r>
      <w:r w:rsidRPr="007941D0">
        <w:rPr>
          <w:rFonts w:eastAsia="Calibri"/>
          <w:szCs w:val="24"/>
        </w:rPr>
        <w:t>.</w:t>
      </w:r>
    </w:p>
    <w:p w:rsidR="00F542D1" w:rsidRDefault="00C24A93" w:rsidP="00C346A9">
      <w:pPr>
        <w:spacing w:line="480" w:lineRule="auto"/>
        <w:rPr>
          <w:b/>
          <w:szCs w:val="24"/>
        </w:rPr>
      </w:pPr>
      <w:r>
        <w:rPr>
          <w:b/>
          <w:szCs w:val="24"/>
        </w:rPr>
        <w:t>Q.</w:t>
      </w:r>
      <w:r>
        <w:rPr>
          <w:b/>
          <w:szCs w:val="24"/>
        </w:rPr>
        <w:tab/>
      </w:r>
      <w:r w:rsidR="00F542D1">
        <w:rPr>
          <w:b/>
          <w:szCs w:val="24"/>
        </w:rPr>
        <w:t>How did GPC testify as to its ability to model wind and solar bids?</w:t>
      </w:r>
    </w:p>
    <w:p w:rsidR="00F542D1" w:rsidRDefault="00F542D1" w:rsidP="00C346A9">
      <w:pPr>
        <w:spacing w:line="480" w:lineRule="auto"/>
        <w:rPr>
          <w:szCs w:val="24"/>
        </w:rPr>
      </w:pPr>
      <w:r>
        <w:rPr>
          <w:szCs w:val="24"/>
        </w:rPr>
        <w:t>A.</w:t>
      </w:r>
      <w:r>
        <w:rPr>
          <w:szCs w:val="24"/>
        </w:rPr>
        <w:tab/>
        <w:t xml:space="preserve">GPC stated Strategist can “properly model” wind and solar “when we’re evaluating bids”. (Tr. 627) </w:t>
      </w:r>
    </w:p>
    <w:p w:rsidR="00C24A93" w:rsidRDefault="002E20D2" w:rsidP="006459F9">
      <w:pPr>
        <w:keepNext/>
        <w:rPr>
          <w:b/>
          <w:szCs w:val="24"/>
        </w:rPr>
      </w:pPr>
      <w:r>
        <w:rPr>
          <w:b/>
          <w:szCs w:val="24"/>
        </w:rPr>
        <w:t>Q.</w:t>
      </w:r>
      <w:r>
        <w:rPr>
          <w:b/>
          <w:szCs w:val="24"/>
        </w:rPr>
        <w:tab/>
      </w:r>
      <w:r w:rsidR="00C24A93">
        <w:rPr>
          <w:b/>
          <w:szCs w:val="24"/>
        </w:rPr>
        <w:t xml:space="preserve">Did GPC testify that </w:t>
      </w:r>
      <w:r w:rsidR="00625D07">
        <w:rPr>
          <w:b/>
          <w:szCs w:val="24"/>
        </w:rPr>
        <w:t>it would accept</w:t>
      </w:r>
      <w:r w:rsidR="00C24A93">
        <w:rPr>
          <w:b/>
          <w:szCs w:val="24"/>
        </w:rPr>
        <w:t xml:space="preserve"> </w:t>
      </w:r>
      <w:r w:rsidR="00625D07">
        <w:rPr>
          <w:b/>
          <w:szCs w:val="24"/>
        </w:rPr>
        <w:t>“</w:t>
      </w:r>
      <w:r w:rsidR="00C24A93">
        <w:rPr>
          <w:b/>
          <w:szCs w:val="24"/>
        </w:rPr>
        <w:t>hybrid</w:t>
      </w:r>
      <w:r w:rsidR="00625D07">
        <w:rPr>
          <w:b/>
          <w:szCs w:val="24"/>
        </w:rPr>
        <w:t>” bids, meaning bids that include both solar plants</w:t>
      </w:r>
      <w:r w:rsidR="00C24A93">
        <w:rPr>
          <w:b/>
          <w:szCs w:val="24"/>
        </w:rPr>
        <w:t xml:space="preserve"> and gas plants?</w:t>
      </w:r>
    </w:p>
    <w:p w:rsidR="00F47BB1" w:rsidRDefault="00C24A93" w:rsidP="00547EE8">
      <w:pPr>
        <w:spacing w:line="480" w:lineRule="auto"/>
        <w:rPr>
          <w:szCs w:val="24"/>
        </w:rPr>
      </w:pPr>
      <w:r>
        <w:rPr>
          <w:szCs w:val="24"/>
        </w:rPr>
        <w:t>A.</w:t>
      </w:r>
      <w:r>
        <w:rPr>
          <w:szCs w:val="24"/>
        </w:rPr>
        <w:tab/>
      </w:r>
      <w:r w:rsidR="002E20D2">
        <w:rPr>
          <w:szCs w:val="24"/>
        </w:rPr>
        <w:t>GPC suggested that a hybrid solar and gas model could be evaluated based on firmness</w:t>
      </w:r>
      <w:r>
        <w:rPr>
          <w:szCs w:val="24"/>
        </w:rPr>
        <w:t>.</w:t>
      </w:r>
      <w:r w:rsidR="00F542D1">
        <w:rPr>
          <w:szCs w:val="24"/>
        </w:rPr>
        <w:t xml:space="preserve"> (Tr. 565)  </w:t>
      </w:r>
      <w:r w:rsidR="002E20D2">
        <w:rPr>
          <w:szCs w:val="24"/>
        </w:rPr>
        <w:t xml:space="preserve"> </w:t>
      </w:r>
      <w:r>
        <w:rPr>
          <w:szCs w:val="24"/>
        </w:rPr>
        <w:t xml:space="preserve">However, </w:t>
      </w:r>
      <w:r w:rsidR="002E20D2">
        <w:rPr>
          <w:szCs w:val="24"/>
        </w:rPr>
        <w:t>GPC went on to clarify that “although we</w:t>
      </w:r>
      <w:r w:rsidR="00F47BB1">
        <w:rPr>
          <w:szCs w:val="24"/>
        </w:rPr>
        <w:t xml:space="preserve">’re not allowing the asset to compete head-to-head with some of these other supply side resources…we are evaluating the asset against our reference supply side case.” (Tr. 566)   Rather than having GPC make these choices as to “firmness”, </w:t>
      </w:r>
      <w:r>
        <w:rPr>
          <w:szCs w:val="24"/>
        </w:rPr>
        <w:t xml:space="preserve">the model </w:t>
      </w:r>
      <w:r w:rsidR="00F47BB1">
        <w:rPr>
          <w:szCs w:val="24"/>
        </w:rPr>
        <w:t>is fully capable of evaluating the bids on a head-to-head basis.  GPC is putting its thumb on the scale</w:t>
      </w:r>
      <w:r w:rsidR="00F847DD">
        <w:rPr>
          <w:szCs w:val="24"/>
        </w:rPr>
        <w:t xml:space="preserve"> here</w:t>
      </w:r>
      <w:r w:rsidR="00F47BB1">
        <w:rPr>
          <w:szCs w:val="24"/>
        </w:rPr>
        <w:t>.</w:t>
      </w:r>
    </w:p>
    <w:p w:rsidR="00547EE8" w:rsidRPr="00C24A93" w:rsidRDefault="00F47BB1" w:rsidP="00547EE8">
      <w:pPr>
        <w:spacing w:line="480" w:lineRule="auto"/>
        <w:rPr>
          <w:szCs w:val="24"/>
        </w:rPr>
      </w:pPr>
      <w:r>
        <w:rPr>
          <w:szCs w:val="24"/>
        </w:rPr>
        <w:tab/>
      </w:r>
      <w:r>
        <w:rPr>
          <w:szCs w:val="24"/>
        </w:rPr>
        <w:tab/>
        <w:t xml:space="preserve">The concept that GPC might accept a solar bid if it was paired with gas illustrates how customer value could be diminished under the proposed RFP.   If a solar project could only be </w:t>
      </w:r>
      <w:r w:rsidR="00547EE8">
        <w:rPr>
          <w:szCs w:val="24"/>
        </w:rPr>
        <w:t>evaluate</w:t>
      </w:r>
      <w:r>
        <w:rPr>
          <w:szCs w:val="24"/>
        </w:rPr>
        <w:t>d in the capacity RFP if it were paired with a gas plant, such co-</w:t>
      </w:r>
      <w:r>
        <w:rPr>
          <w:szCs w:val="24"/>
        </w:rPr>
        <w:lastRenderedPageBreak/>
        <w:t xml:space="preserve">located facilities would not necessarily provide any </w:t>
      </w:r>
      <w:r w:rsidR="00547EE8">
        <w:rPr>
          <w:szCs w:val="24"/>
        </w:rPr>
        <w:t xml:space="preserve">economic </w:t>
      </w:r>
      <w:r w:rsidR="00D755F5">
        <w:rPr>
          <w:szCs w:val="24"/>
        </w:rPr>
        <w:t>value</w:t>
      </w:r>
      <w:r w:rsidR="00547EE8">
        <w:rPr>
          <w:szCs w:val="24"/>
        </w:rPr>
        <w:t xml:space="preserve"> that is different from that of solar </w:t>
      </w:r>
      <w:r>
        <w:rPr>
          <w:szCs w:val="24"/>
        </w:rPr>
        <w:t>bid</w:t>
      </w:r>
      <w:r w:rsidR="00547EE8">
        <w:rPr>
          <w:szCs w:val="24"/>
        </w:rPr>
        <w:t xml:space="preserve"> on </w:t>
      </w:r>
      <w:r>
        <w:rPr>
          <w:szCs w:val="24"/>
        </w:rPr>
        <w:t>its</w:t>
      </w:r>
      <w:r w:rsidR="00547EE8">
        <w:rPr>
          <w:szCs w:val="24"/>
        </w:rPr>
        <w:t xml:space="preserve"> own</w:t>
      </w:r>
      <w:r>
        <w:rPr>
          <w:szCs w:val="24"/>
        </w:rPr>
        <w:t xml:space="preserve"> to be selectable by the model</w:t>
      </w:r>
      <w:r w:rsidR="00547EE8">
        <w:rPr>
          <w:szCs w:val="24"/>
        </w:rPr>
        <w:t xml:space="preserve">.   To </w:t>
      </w:r>
      <w:r w:rsidR="00625D07">
        <w:rPr>
          <w:szCs w:val="24"/>
        </w:rPr>
        <w:t xml:space="preserve">the </w:t>
      </w:r>
      <w:r w:rsidR="00547EE8">
        <w:rPr>
          <w:szCs w:val="24"/>
        </w:rPr>
        <w:t xml:space="preserve">contrary, requiring solar </w:t>
      </w:r>
      <w:r w:rsidR="00625D07">
        <w:rPr>
          <w:szCs w:val="24"/>
        </w:rPr>
        <w:t>plant bids</w:t>
      </w:r>
      <w:r w:rsidR="00547EE8">
        <w:rPr>
          <w:szCs w:val="24"/>
        </w:rPr>
        <w:t xml:space="preserve"> to be co-located with </w:t>
      </w:r>
      <w:r>
        <w:rPr>
          <w:szCs w:val="24"/>
        </w:rPr>
        <w:t>a</w:t>
      </w:r>
      <w:r w:rsidR="00625D07">
        <w:rPr>
          <w:szCs w:val="24"/>
        </w:rPr>
        <w:t xml:space="preserve"> gas plant </w:t>
      </w:r>
      <w:r w:rsidR="00547EE8">
        <w:rPr>
          <w:szCs w:val="24"/>
        </w:rPr>
        <w:t>may</w:t>
      </w:r>
      <w:r w:rsidR="00EA491A">
        <w:rPr>
          <w:szCs w:val="24"/>
        </w:rPr>
        <w:t xml:space="preserve"> negatively</w:t>
      </w:r>
      <w:r w:rsidR="00547EE8">
        <w:rPr>
          <w:szCs w:val="24"/>
        </w:rPr>
        <w:t xml:space="preserve"> affect </w:t>
      </w:r>
      <w:r w:rsidR="00F847DD">
        <w:rPr>
          <w:szCs w:val="24"/>
        </w:rPr>
        <w:t>its</w:t>
      </w:r>
      <w:r w:rsidR="00547EE8">
        <w:rPr>
          <w:szCs w:val="24"/>
        </w:rPr>
        <w:t xml:space="preserve"> value based on land availability, aspect, terrain variability and shading, or transmission.</w:t>
      </w:r>
    </w:p>
    <w:p w:rsidR="00C346A9" w:rsidRPr="00C346A9" w:rsidRDefault="00C346A9" w:rsidP="00C346A9">
      <w:pPr>
        <w:spacing w:line="480" w:lineRule="auto"/>
        <w:rPr>
          <w:b/>
          <w:szCs w:val="24"/>
        </w:rPr>
      </w:pPr>
      <w:r w:rsidRPr="00C346A9">
        <w:rPr>
          <w:b/>
          <w:szCs w:val="24"/>
        </w:rPr>
        <w:t>Q.</w:t>
      </w:r>
      <w:r w:rsidRPr="00C346A9">
        <w:rPr>
          <w:b/>
          <w:szCs w:val="24"/>
        </w:rPr>
        <w:tab/>
        <w:t xml:space="preserve">Do the Base Case sensitivities present relevant </w:t>
      </w:r>
      <w:r w:rsidR="00F847DD">
        <w:rPr>
          <w:b/>
          <w:szCs w:val="24"/>
        </w:rPr>
        <w:t>decision points</w:t>
      </w:r>
      <w:r w:rsidRPr="00C346A9">
        <w:rPr>
          <w:b/>
          <w:szCs w:val="24"/>
        </w:rPr>
        <w:t xml:space="preserve"> for the Commission?</w:t>
      </w:r>
    </w:p>
    <w:p w:rsidR="00C346A9" w:rsidRDefault="00C346A9" w:rsidP="00C346A9">
      <w:pPr>
        <w:spacing w:line="480" w:lineRule="auto"/>
        <w:rPr>
          <w:szCs w:val="24"/>
        </w:rPr>
      </w:pPr>
      <w:r>
        <w:rPr>
          <w:szCs w:val="24"/>
        </w:rPr>
        <w:t>A.</w:t>
      </w:r>
      <w:r>
        <w:rPr>
          <w:szCs w:val="24"/>
        </w:rPr>
        <w:tab/>
      </w:r>
      <w:r w:rsidR="00285457">
        <w:rPr>
          <w:szCs w:val="24"/>
        </w:rPr>
        <w:t>The</w:t>
      </w:r>
      <w:r w:rsidR="00D755F5">
        <w:rPr>
          <w:szCs w:val="24"/>
        </w:rPr>
        <w:t xml:space="preserve"> Base Case shows</w:t>
      </w:r>
      <w:r w:rsidR="00285457">
        <w:rPr>
          <w:szCs w:val="24"/>
        </w:rPr>
        <w:t xml:space="preserve"> one possible </w:t>
      </w:r>
      <w:r w:rsidR="00D755F5">
        <w:rPr>
          <w:szCs w:val="24"/>
        </w:rPr>
        <w:t xml:space="preserve">future </w:t>
      </w:r>
      <w:r w:rsidR="00285457">
        <w:rPr>
          <w:szCs w:val="24"/>
        </w:rPr>
        <w:t>scenario, while foreclosing others from review</w:t>
      </w:r>
      <w:r>
        <w:rPr>
          <w:szCs w:val="24"/>
        </w:rPr>
        <w:t xml:space="preserve">.   The sensitivities </w:t>
      </w:r>
      <w:r w:rsidR="00D755F5">
        <w:rPr>
          <w:szCs w:val="24"/>
        </w:rPr>
        <w:t xml:space="preserve">performed on the Base Case </w:t>
      </w:r>
      <w:r>
        <w:rPr>
          <w:szCs w:val="24"/>
        </w:rPr>
        <w:t xml:space="preserve">are </w:t>
      </w:r>
      <w:r w:rsidR="00F847DD">
        <w:rPr>
          <w:szCs w:val="24"/>
        </w:rPr>
        <w:t xml:space="preserve">likewise </w:t>
      </w:r>
      <w:r>
        <w:rPr>
          <w:szCs w:val="24"/>
        </w:rPr>
        <w:t xml:space="preserve">constrained to the </w:t>
      </w:r>
      <w:r w:rsidR="00F847DD">
        <w:rPr>
          <w:szCs w:val="24"/>
        </w:rPr>
        <w:t xml:space="preserve">gas resources that </w:t>
      </w:r>
      <w:r w:rsidR="00F752FB">
        <w:rPr>
          <w:szCs w:val="24"/>
        </w:rPr>
        <w:t>comprised</w:t>
      </w:r>
      <w:r w:rsidR="00F847DD">
        <w:rPr>
          <w:szCs w:val="24"/>
        </w:rPr>
        <w:t xml:space="preserve"> the</w:t>
      </w:r>
      <w:r>
        <w:rPr>
          <w:szCs w:val="24"/>
        </w:rPr>
        <w:t xml:space="preserve"> model</w:t>
      </w:r>
      <w:r w:rsidR="00F752FB">
        <w:rPr>
          <w:szCs w:val="24"/>
        </w:rPr>
        <w:t>’s</w:t>
      </w:r>
      <w:r>
        <w:rPr>
          <w:szCs w:val="24"/>
        </w:rPr>
        <w:t xml:space="preserve"> </w:t>
      </w:r>
      <w:r w:rsidR="00F752FB">
        <w:rPr>
          <w:szCs w:val="24"/>
        </w:rPr>
        <w:t>choices</w:t>
      </w:r>
      <w:r>
        <w:rPr>
          <w:szCs w:val="24"/>
        </w:rPr>
        <w:t xml:space="preserve">.  The sensitivities </w:t>
      </w:r>
      <w:r w:rsidR="00F847DD">
        <w:rPr>
          <w:szCs w:val="24"/>
        </w:rPr>
        <w:t>reflect</w:t>
      </w:r>
      <w:r>
        <w:rPr>
          <w:szCs w:val="24"/>
        </w:rPr>
        <w:t xml:space="preserve"> </w:t>
      </w:r>
      <w:r w:rsidR="00F752FB">
        <w:rPr>
          <w:szCs w:val="24"/>
        </w:rPr>
        <w:t xml:space="preserve">futures with </w:t>
      </w:r>
      <w:r>
        <w:rPr>
          <w:szCs w:val="24"/>
        </w:rPr>
        <w:t>high or low gas cost</w:t>
      </w:r>
      <w:r w:rsidR="00D755F5">
        <w:rPr>
          <w:szCs w:val="24"/>
        </w:rPr>
        <w:t>,</w:t>
      </w:r>
      <w:r>
        <w:rPr>
          <w:szCs w:val="24"/>
        </w:rPr>
        <w:t xml:space="preserve"> or high or low carbon cost</w:t>
      </w:r>
      <w:r w:rsidR="00D755F5">
        <w:rPr>
          <w:szCs w:val="24"/>
        </w:rPr>
        <w:t>,</w:t>
      </w:r>
      <w:r>
        <w:rPr>
          <w:szCs w:val="24"/>
        </w:rPr>
        <w:t xml:space="preserve"> </w:t>
      </w:r>
      <w:r w:rsidR="00F847DD">
        <w:rPr>
          <w:szCs w:val="24"/>
        </w:rPr>
        <w:t xml:space="preserve">yet only different gas plants </w:t>
      </w:r>
      <w:r w:rsidR="00F752FB">
        <w:rPr>
          <w:szCs w:val="24"/>
        </w:rPr>
        <w:t>were</w:t>
      </w:r>
      <w:r w:rsidR="00F847DD">
        <w:rPr>
          <w:szCs w:val="24"/>
        </w:rPr>
        <w:t xml:space="preserve"> analyzed!   The sensitivity runs must </w:t>
      </w:r>
      <w:r w:rsidR="00F752FB">
        <w:rPr>
          <w:szCs w:val="24"/>
        </w:rPr>
        <w:t>include the</w:t>
      </w:r>
      <w:r w:rsidR="00F847DD">
        <w:rPr>
          <w:szCs w:val="24"/>
        </w:rPr>
        <w:t xml:space="preserve"> </w:t>
      </w:r>
      <w:r w:rsidR="00894130">
        <w:rPr>
          <w:szCs w:val="24"/>
        </w:rPr>
        <w:t>caveat</w:t>
      </w:r>
      <w:r>
        <w:rPr>
          <w:szCs w:val="24"/>
        </w:rPr>
        <w:t xml:space="preserve"> that no renewable </w:t>
      </w:r>
      <w:r w:rsidR="00894130">
        <w:rPr>
          <w:szCs w:val="24"/>
        </w:rPr>
        <w:t>resources</w:t>
      </w:r>
      <w:r>
        <w:rPr>
          <w:szCs w:val="24"/>
        </w:rPr>
        <w:t xml:space="preserve"> were available for the model to consider</w:t>
      </w:r>
      <w:r w:rsidR="00F752FB">
        <w:rPr>
          <w:szCs w:val="24"/>
        </w:rPr>
        <w:t>. As a result, t</w:t>
      </w:r>
      <w:r w:rsidR="00F847DD">
        <w:rPr>
          <w:szCs w:val="24"/>
        </w:rPr>
        <w:t>he sensitivity runs</w:t>
      </w:r>
      <w:r w:rsidR="00F752FB">
        <w:rPr>
          <w:szCs w:val="24"/>
        </w:rPr>
        <w:t xml:space="preserve"> do not</w:t>
      </w:r>
      <w:r w:rsidR="00F847DD">
        <w:rPr>
          <w:szCs w:val="24"/>
        </w:rPr>
        <w:t xml:space="preserve"> </w:t>
      </w:r>
      <w:r w:rsidR="00F752FB">
        <w:rPr>
          <w:szCs w:val="24"/>
        </w:rPr>
        <w:t>give</w:t>
      </w:r>
      <w:r>
        <w:rPr>
          <w:szCs w:val="24"/>
        </w:rPr>
        <w:t xml:space="preserve"> the Commission </w:t>
      </w:r>
      <w:r w:rsidR="00F752FB">
        <w:rPr>
          <w:szCs w:val="24"/>
        </w:rPr>
        <w:t>information</w:t>
      </w:r>
      <w:r w:rsidR="00D755F5">
        <w:rPr>
          <w:szCs w:val="24"/>
        </w:rPr>
        <w:t xml:space="preserve"> regarding </w:t>
      </w:r>
      <w:r w:rsidR="00F752FB">
        <w:rPr>
          <w:szCs w:val="24"/>
        </w:rPr>
        <w:t>whether</w:t>
      </w:r>
      <w:r>
        <w:rPr>
          <w:szCs w:val="24"/>
        </w:rPr>
        <w:t xml:space="preserve"> </w:t>
      </w:r>
      <w:r w:rsidR="00F847DD">
        <w:rPr>
          <w:szCs w:val="24"/>
        </w:rPr>
        <w:t xml:space="preserve">portfolios selecting more renewable resources </w:t>
      </w:r>
      <w:r w:rsidR="00080FE9">
        <w:rPr>
          <w:szCs w:val="24"/>
        </w:rPr>
        <w:t xml:space="preserve">might </w:t>
      </w:r>
      <w:r>
        <w:rPr>
          <w:szCs w:val="24"/>
        </w:rPr>
        <w:t xml:space="preserve">mitigate </w:t>
      </w:r>
      <w:r w:rsidR="00080FE9">
        <w:rPr>
          <w:szCs w:val="24"/>
        </w:rPr>
        <w:t>the</w:t>
      </w:r>
      <w:r w:rsidR="00F752FB">
        <w:rPr>
          <w:szCs w:val="24"/>
        </w:rPr>
        <w:t xml:space="preserve"> risks the sensitivities </w:t>
      </w:r>
      <w:r>
        <w:rPr>
          <w:szCs w:val="24"/>
        </w:rPr>
        <w:t>are meant to address</w:t>
      </w:r>
      <w:r w:rsidR="00F752FB">
        <w:rPr>
          <w:szCs w:val="24"/>
        </w:rPr>
        <w:t xml:space="preserve">, </w:t>
      </w:r>
      <w:r w:rsidR="00F752FB" w:rsidRPr="003B2AA9">
        <w:rPr>
          <w:i/>
          <w:szCs w:val="24"/>
        </w:rPr>
        <w:t>e.g.</w:t>
      </w:r>
      <w:r w:rsidR="00F752FB">
        <w:rPr>
          <w:szCs w:val="24"/>
        </w:rPr>
        <w:t xml:space="preserve"> different gas price futures.</w:t>
      </w:r>
    </w:p>
    <w:p w:rsidR="00894130" w:rsidRPr="00D96CF4" w:rsidRDefault="00894130" w:rsidP="00894130">
      <w:pPr>
        <w:spacing w:line="480" w:lineRule="auto"/>
        <w:rPr>
          <w:b/>
          <w:szCs w:val="24"/>
        </w:rPr>
      </w:pPr>
      <w:r w:rsidRPr="00D96CF4">
        <w:rPr>
          <w:b/>
          <w:szCs w:val="24"/>
        </w:rPr>
        <w:t>Q.</w:t>
      </w:r>
      <w:r w:rsidRPr="00D96CF4">
        <w:rPr>
          <w:b/>
          <w:szCs w:val="24"/>
        </w:rPr>
        <w:tab/>
        <w:t>What are the risks associated with GPC</w:t>
      </w:r>
      <w:r w:rsidR="00BE6F15">
        <w:rPr>
          <w:b/>
          <w:szCs w:val="24"/>
        </w:rPr>
        <w:t>’s</w:t>
      </w:r>
      <w:r w:rsidRPr="00D96CF4">
        <w:rPr>
          <w:b/>
          <w:szCs w:val="24"/>
        </w:rPr>
        <w:t xml:space="preserve"> approach to </w:t>
      </w:r>
      <w:r w:rsidR="00BE6F15">
        <w:rPr>
          <w:b/>
          <w:szCs w:val="24"/>
        </w:rPr>
        <w:t>the</w:t>
      </w:r>
      <w:r w:rsidRPr="00D96CF4">
        <w:rPr>
          <w:b/>
          <w:szCs w:val="24"/>
        </w:rPr>
        <w:t xml:space="preserve"> capacity RFP?</w:t>
      </w:r>
    </w:p>
    <w:p w:rsidR="00A17F55" w:rsidRDefault="00894130" w:rsidP="00894130">
      <w:pPr>
        <w:spacing w:line="480" w:lineRule="auto"/>
        <w:rPr>
          <w:szCs w:val="24"/>
        </w:rPr>
      </w:pPr>
      <w:r>
        <w:rPr>
          <w:szCs w:val="24"/>
        </w:rPr>
        <w:t>A.</w:t>
      </w:r>
      <w:r>
        <w:rPr>
          <w:szCs w:val="24"/>
        </w:rPr>
        <w:tab/>
        <w:t xml:space="preserve">GPC’s approach creates an artificial market constraint.   The market opportunity </w:t>
      </w:r>
      <w:r w:rsidR="00D755F5">
        <w:rPr>
          <w:szCs w:val="24"/>
        </w:rPr>
        <w:t>will be</w:t>
      </w:r>
      <w:r>
        <w:rPr>
          <w:szCs w:val="24"/>
        </w:rPr>
        <w:t xml:space="preserve"> small</w:t>
      </w:r>
      <w:r w:rsidR="00160915">
        <w:rPr>
          <w:szCs w:val="24"/>
        </w:rPr>
        <w:t xml:space="preserve">er </w:t>
      </w:r>
      <w:r>
        <w:rPr>
          <w:szCs w:val="24"/>
        </w:rPr>
        <w:t xml:space="preserve">for renewables, which creates less market interest.  This can result in less competition and higher costs </w:t>
      </w:r>
      <w:r w:rsidR="00BE6F15">
        <w:rPr>
          <w:szCs w:val="24"/>
        </w:rPr>
        <w:t>to</w:t>
      </w:r>
      <w:r>
        <w:rPr>
          <w:szCs w:val="24"/>
        </w:rPr>
        <w:t xml:space="preserve"> ratepayers.  A second risk is </w:t>
      </w:r>
      <w:r w:rsidR="00A17F55" w:rsidRPr="00A17F55">
        <w:rPr>
          <w:szCs w:val="24"/>
        </w:rPr>
        <w:t xml:space="preserve">reduced potential for customer savings because the inability to allow the projects to compete </w:t>
      </w:r>
      <w:r w:rsidR="00BE6F15">
        <w:rPr>
          <w:szCs w:val="24"/>
        </w:rPr>
        <w:t xml:space="preserve">head-to-head </w:t>
      </w:r>
      <w:r w:rsidR="00A17F55" w:rsidRPr="00A17F55">
        <w:rPr>
          <w:szCs w:val="24"/>
        </w:rPr>
        <w:t xml:space="preserve">by technology </w:t>
      </w:r>
      <w:r w:rsidR="00D96CF4">
        <w:rPr>
          <w:szCs w:val="24"/>
        </w:rPr>
        <w:t xml:space="preserve">and the failure of the model to be able to rely in part on renewables for capacity </w:t>
      </w:r>
      <w:r w:rsidR="00A17F55" w:rsidRPr="00A17F55">
        <w:rPr>
          <w:szCs w:val="24"/>
        </w:rPr>
        <w:t>may mean capacity is over-procured.</w:t>
      </w:r>
    </w:p>
    <w:p w:rsidR="00D96CF4" w:rsidRPr="00D96CF4" w:rsidRDefault="00D96CF4" w:rsidP="006459F9">
      <w:pPr>
        <w:keepNext/>
        <w:rPr>
          <w:b/>
          <w:szCs w:val="24"/>
        </w:rPr>
      </w:pPr>
      <w:r w:rsidRPr="00D96CF4">
        <w:rPr>
          <w:b/>
          <w:szCs w:val="24"/>
        </w:rPr>
        <w:lastRenderedPageBreak/>
        <w:t>Q.</w:t>
      </w:r>
      <w:r w:rsidRPr="00D96CF4">
        <w:rPr>
          <w:b/>
          <w:szCs w:val="24"/>
        </w:rPr>
        <w:tab/>
        <w:t>But aren’t you ignoring the RCB Framework and its review of renewable resources</w:t>
      </w:r>
      <w:r w:rsidR="00BE6F15">
        <w:rPr>
          <w:b/>
          <w:szCs w:val="24"/>
        </w:rPr>
        <w:t xml:space="preserve"> that do allow for capacity credit</w:t>
      </w:r>
      <w:r w:rsidRPr="00D96CF4">
        <w:rPr>
          <w:b/>
          <w:szCs w:val="24"/>
        </w:rPr>
        <w:t>?</w:t>
      </w:r>
    </w:p>
    <w:p w:rsidR="00BE6F15" w:rsidRDefault="00D96CF4" w:rsidP="00160915">
      <w:pPr>
        <w:spacing w:line="480" w:lineRule="auto"/>
        <w:rPr>
          <w:szCs w:val="24"/>
        </w:rPr>
      </w:pPr>
      <w:r w:rsidRPr="00160915">
        <w:rPr>
          <w:szCs w:val="24"/>
        </w:rPr>
        <w:t>A.</w:t>
      </w:r>
      <w:r w:rsidRPr="00160915">
        <w:rPr>
          <w:szCs w:val="24"/>
        </w:rPr>
        <w:tab/>
        <w:t xml:space="preserve">I do not have </w:t>
      </w:r>
      <w:r w:rsidR="00160915" w:rsidRPr="00160915">
        <w:rPr>
          <w:szCs w:val="24"/>
        </w:rPr>
        <w:t xml:space="preserve">direct </w:t>
      </w:r>
      <w:r w:rsidRPr="00160915">
        <w:rPr>
          <w:szCs w:val="24"/>
        </w:rPr>
        <w:t xml:space="preserve">experience with the </w:t>
      </w:r>
      <w:r w:rsidR="00A17F55" w:rsidRPr="00160915">
        <w:rPr>
          <w:szCs w:val="24"/>
        </w:rPr>
        <w:t xml:space="preserve">RCB </w:t>
      </w:r>
      <w:r w:rsidR="006B3D1F">
        <w:rPr>
          <w:szCs w:val="24"/>
        </w:rPr>
        <w:t>F</w:t>
      </w:r>
      <w:r w:rsidR="00A17F55" w:rsidRPr="00160915">
        <w:rPr>
          <w:szCs w:val="24"/>
        </w:rPr>
        <w:t>ramework</w:t>
      </w:r>
      <w:r w:rsidRPr="00160915">
        <w:rPr>
          <w:szCs w:val="24"/>
        </w:rPr>
        <w:t xml:space="preserve">.  </w:t>
      </w:r>
      <w:r w:rsidR="00BE6F15">
        <w:rPr>
          <w:szCs w:val="24"/>
        </w:rPr>
        <w:t>However, my understanding is that the RCB Framework will be applied to CRSP and will not be applied to the capacity RFP.   Additionally, the CRSP resources will be included in the model as assumptions and not as selectable products.  Thus, the RCB Framework provide</w:t>
      </w:r>
      <w:r w:rsidR="007A0D7A">
        <w:rPr>
          <w:szCs w:val="24"/>
        </w:rPr>
        <w:t>s</w:t>
      </w:r>
      <w:r w:rsidR="00BE6F15">
        <w:rPr>
          <w:szCs w:val="24"/>
        </w:rPr>
        <w:t xml:space="preserve"> a capacity credit but does not let renewable resources compete to fill </w:t>
      </w:r>
      <w:r w:rsidR="007A0D7A">
        <w:rPr>
          <w:szCs w:val="24"/>
        </w:rPr>
        <w:t>actual system</w:t>
      </w:r>
      <w:r w:rsidR="00BE6F15">
        <w:rPr>
          <w:szCs w:val="24"/>
        </w:rPr>
        <w:t xml:space="preserve"> capacity</w:t>
      </w:r>
      <w:r w:rsidR="007A0D7A">
        <w:rPr>
          <w:szCs w:val="24"/>
        </w:rPr>
        <w:t xml:space="preserve"> needs</w:t>
      </w:r>
      <w:r w:rsidR="00BE6F15">
        <w:rPr>
          <w:szCs w:val="24"/>
        </w:rPr>
        <w:t>.</w:t>
      </w:r>
    </w:p>
    <w:p w:rsidR="00BE6F15" w:rsidRPr="00BE6F15" w:rsidRDefault="00BE6F15" w:rsidP="006459F9">
      <w:pPr>
        <w:keepNext/>
        <w:rPr>
          <w:b/>
          <w:szCs w:val="24"/>
        </w:rPr>
      </w:pPr>
      <w:r w:rsidRPr="00BE6F15">
        <w:rPr>
          <w:b/>
          <w:szCs w:val="24"/>
        </w:rPr>
        <w:t>Q.</w:t>
      </w:r>
      <w:r w:rsidRPr="00BE6F15">
        <w:rPr>
          <w:b/>
          <w:szCs w:val="24"/>
        </w:rPr>
        <w:tab/>
        <w:t>Please explain the distinction between the RCB Framework capacity credit and that required to allow an all-source competition.</w:t>
      </w:r>
    </w:p>
    <w:p w:rsidR="00160915" w:rsidRPr="00160915" w:rsidRDefault="00BE6F15" w:rsidP="00BE6F15">
      <w:pPr>
        <w:spacing w:line="480" w:lineRule="auto"/>
        <w:rPr>
          <w:szCs w:val="24"/>
        </w:rPr>
      </w:pPr>
      <w:r>
        <w:rPr>
          <w:szCs w:val="24"/>
        </w:rPr>
        <w:t>A.</w:t>
      </w:r>
      <w:r>
        <w:rPr>
          <w:szCs w:val="24"/>
        </w:rPr>
        <w:tab/>
      </w:r>
      <w:r w:rsidR="00D96CF4" w:rsidRPr="00160915">
        <w:rPr>
          <w:szCs w:val="24"/>
        </w:rPr>
        <w:t xml:space="preserve">My understanding is that the RCB </w:t>
      </w:r>
      <w:r w:rsidR="006B3D1F">
        <w:rPr>
          <w:szCs w:val="24"/>
        </w:rPr>
        <w:t>F</w:t>
      </w:r>
      <w:r w:rsidR="00D96CF4" w:rsidRPr="00160915">
        <w:rPr>
          <w:szCs w:val="24"/>
        </w:rPr>
        <w:t xml:space="preserve">ramework </w:t>
      </w:r>
      <w:r w:rsidR="00A17F55" w:rsidRPr="00160915">
        <w:rPr>
          <w:szCs w:val="24"/>
        </w:rPr>
        <w:t>includ</w:t>
      </w:r>
      <w:r w:rsidR="00D96CF4" w:rsidRPr="00160915">
        <w:rPr>
          <w:szCs w:val="24"/>
        </w:rPr>
        <w:t>es functions that are a</w:t>
      </w:r>
      <w:r w:rsidR="00A17F55" w:rsidRPr="00160915">
        <w:rPr>
          <w:szCs w:val="24"/>
        </w:rPr>
        <w:t>vailable with Strategist model optimization</w:t>
      </w:r>
      <w:r>
        <w:rPr>
          <w:szCs w:val="24"/>
        </w:rPr>
        <w:t>, but is itself conducted outside of that optimization</w:t>
      </w:r>
      <w:r w:rsidR="00A17F55" w:rsidRPr="00160915">
        <w:rPr>
          <w:szCs w:val="24"/>
        </w:rPr>
        <w:t xml:space="preserve">.  </w:t>
      </w:r>
      <w:r>
        <w:rPr>
          <w:szCs w:val="24"/>
        </w:rPr>
        <w:t>T</w:t>
      </w:r>
      <w:r w:rsidR="00160915" w:rsidRPr="00160915">
        <w:rPr>
          <w:rFonts w:eastAsia="Calibri"/>
          <w:szCs w:val="24"/>
        </w:rPr>
        <w:t xml:space="preserve">he </w:t>
      </w:r>
      <w:r>
        <w:rPr>
          <w:rFonts w:eastAsia="Calibri"/>
          <w:szCs w:val="24"/>
        </w:rPr>
        <w:t xml:space="preserve">capacity expansion </w:t>
      </w:r>
      <w:r w:rsidR="00160915" w:rsidRPr="00160915">
        <w:rPr>
          <w:rFonts w:eastAsia="Calibri"/>
          <w:szCs w:val="24"/>
        </w:rPr>
        <w:t xml:space="preserve">model tracks and reports capital costs (and the associated revenue requirements), operations and maintenance costs, fuel costs, emissions and associated costs, </w:t>
      </w:r>
      <w:r w:rsidR="00D755F5">
        <w:rPr>
          <w:rFonts w:eastAsia="Calibri"/>
          <w:szCs w:val="24"/>
        </w:rPr>
        <w:t xml:space="preserve">and </w:t>
      </w:r>
      <w:r w:rsidR="00160915" w:rsidRPr="00160915">
        <w:rPr>
          <w:rFonts w:eastAsia="Calibri"/>
          <w:szCs w:val="24"/>
        </w:rPr>
        <w:t xml:space="preserve">integration costs for solar and wind costs.   If a plant such </w:t>
      </w:r>
      <w:r w:rsidR="00C3387F">
        <w:rPr>
          <w:rFonts w:eastAsia="Calibri"/>
          <w:szCs w:val="24"/>
        </w:rPr>
        <w:t>as</w:t>
      </w:r>
      <w:r w:rsidR="00160915" w:rsidRPr="00160915">
        <w:rPr>
          <w:rFonts w:eastAsia="Calibri"/>
          <w:szCs w:val="24"/>
        </w:rPr>
        <w:t xml:space="preserve"> Bowen </w:t>
      </w:r>
      <w:r w:rsidR="00A06BFE">
        <w:rPr>
          <w:rFonts w:eastAsia="Calibri"/>
          <w:szCs w:val="24"/>
        </w:rPr>
        <w:t xml:space="preserve">or Wansley </w:t>
      </w:r>
      <w:r w:rsidR="00160915" w:rsidRPr="00160915">
        <w:rPr>
          <w:rFonts w:eastAsia="Calibri"/>
          <w:szCs w:val="24"/>
        </w:rPr>
        <w:t>is run both “on” and “off” in the model, the resulting view will show the red</w:t>
      </w:r>
      <w:r w:rsidR="00610BE3">
        <w:rPr>
          <w:rFonts w:eastAsia="Calibri"/>
          <w:szCs w:val="24"/>
        </w:rPr>
        <w:t>uction in fuel and variably O&amp;</w:t>
      </w:r>
      <w:r w:rsidR="00160915" w:rsidRPr="00160915">
        <w:rPr>
          <w:rFonts w:eastAsia="Calibri"/>
          <w:szCs w:val="24"/>
        </w:rPr>
        <w:t>M associated with that plant.</w:t>
      </w:r>
      <w:r w:rsidR="00610BE3">
        <w:rPr>
          <w:rFonts w:eastAsia="Calibri"/>
          <w:szCs w:val="24"/>
        </w:rPr>
        <w:t xml:space="preserve">  But the RCB analysis will not be available to the model to apply in those runs, thus sequestering its results.</w:t>
      </w:r>
    </w:p>
    <w:p w:rsidR="00A17F55" w:rsidRDefault="00610BE3" w:rsidP="00D575D1">
      <w:pPr>
        <w:spacing w:line="480" w:lineRule="auto"/>
        <w:ind w:firstLine="720"/>
        <w:rPr>
          <w:szCs w:val="24"/>
        </w:rPr>
      </w:pPr>
      <w:r>
        <w:rPr>
          <w:szCs w:val="24"/>
        </w:rPr>
        <w:t>Instead</w:t>
      </w:r>
      <w:r w:rsidR="00D96CF4">
        <w:rPr>
          <w:szCs w:val="24"/>
        </w:rPr>
        <w:t xml:space="preserve">, </w:t>
      </w:r>
      <w:r w:rsidR="00D575D1">
        <w:rPr>
          <w:szCs w:val="24"/>
        </w:rPr>
        <w:t xml:space="preserve">the </w:t>
      </w:r>
      <w:r w:rsidR="00D96CF4">
        <w:rPr>
          <w:szCs w:val="24"/>
        </w:rPr>
        <w:t>ICE factor</w:t>
      </w:r>
      <w:r w:rsidR="00D575D1">
        <w:rPr>
          <w:szCs w:val="24"/>
        </w:rPr>
        <w:t xml:space="preserve">s </w:t>
      </w:r>
      <w:r w:rsidR="007A0D7A">
        <w:rPr>
          <w:szCs w:val="24"/>
        </w:rPr>
        <w:t>in the RCB that</w:t>
      </w:r>
      <w:r>
        <w:rPr>
          <w:szCs w:val="24"/>
        </w:rPr>
        <w:t xml:space="preserve"> determine firm</w:t>
      </w:r>
      <w:r w:rsidR="00D96CF4">
        <w:rPr>
          <w:szCs w:val="24"/>
        </w:rPr>
        <w:t xml:space="preserve"> capacity </w:t>
      </w:r>
      <w:r>
        <w:rPr>
          <w:szCs w:val="24"/>
        </w:rPr>
        <w:t xml:space="preserve">values for renewable resources </w:t>
      </w:r>
      <w:r w:rsidR="00D96CF4">
        <w:rPr>
          <w:szCs w:val="24"/>
        </w:rPr>
        <w:t xml:space="preserve">should be used </w:t>
      </w:r>
      <w:r>
        <w:rPr>
          <w:szCs w:val="24"/>
        </w:rPr>
        <w:t>as bid evaluation</w:t>
      </w:r>
      <w:r w:rsidR="00625D07">
        <w:rPr>
          <w:szCs w:val="24"/>
        </w:rPr>
        <w:t xml:space="preserve"> </w:t>
      </w:r>
      <w:r w:rsidR="00D96CF4">
        <w:rPr>
          <w:szCs w:val="24"/>
        </w:rPr>
        <w:t>assumptions for renewable resource</w:t>
      </w:r>
      <w:r w:rsidR="007A0D7A">
        <w:rPr>
          <w:szCs w:val="24"/>
        </w:rPr>
        <w:t>s</w:t>
      </w:r>
      <w:r w:rsidR="00D96CF4">
        <w:rPr>
          <w:szCs w:val="24"/>
        </w:rPr>
        <w:t xml:space="preserve"> in an all-source RFP.</w:t>
      </w:r>
      <w:r w:rsidR="00D575D1">
        <w:rPr>
          <w:szCs w:val="24"/>
        </w:rPr>
        <w:t xml:space="preserve">   GPC </w:t>
      </w:r>
      <w:r w:rsidR="00AE4CFE">
        <w:rPr>
          <w:szCs w:val="24"/>
        </w:rPr>
        <w:t>defines</w:t>
      </w:r>
      <w:r w:rsidR="00D575D1">
        <w:rPr>
          <w:szCs w:val="24"/>
        </w:rPr>
        <w:t xml:space="preserve"> the ICE methodology as follows:</w:t>
      </w:r>
    </w:p>
    <w:p w:rsidR="00D575D1" w:rsidRPr="00D575D1" w:rsidRDefault="00D575D1" w:rsidP="00D575D1">
      <w:pPr>
        <w:spacing w:line="240" w:lineRule="auto"/>
        <w:ind w:left="1440" w:right="1440" w:firstLine="0"/>
        <w:rPr>
          <w:szCs w:val="24"/>
        </w:rPr>
      </w:pPr>
      <w:r w:rsidRPr="00D575D1">
        <w:t xml:space="preserve">[ICE] establishes a capacity value based on a resource’s capacity worth across the entire year, not just a few hours. This method </w:t>
      </w:r>
      <w:r w:rsidRPr="00D575D1">
        <w:lastRenderedPageBreak/>
        <w:t>approximates the reliability of a renewable resource relative to the reliability of a dispatchable CT resource as opposed to just determining the peak load carrying capability.</w:t>
      </w:r>
      <w:r w:rsidRPr="00D575D1">
        <w:rPr>
          <w:rStyle w:val="FootnoteReference"/>
        </w:rPr>
        <w:footnoteReference w:id="33"/>
      </w:r>
      <w:r w:rsidRPr="00D575D1">
        <w:t xml:space="preserve">  </w:t>
      </w:r>
    </w:p>
    <w:p w:rsidR="00D575D1" w:rsidRPr="00D755F5" w:rsidRDefault="00D575D1" w:rsidP="00D755F5">
      <w:pPr>
        <w:spacing w:line="480" w:lineRule="auto"/>
        <w:rPr>
          <w:b/>
          <w:szCs w:val="24"/>
        </w:rPr>
      </w:pPr>
      <w:r>
        <w:rPr>
          <w:b/>
          <w:szCs w:val="24"/>
        </w:rPr>
        <w:tab/>
      </w:r>
      <w:r w:rsidR="0064415A">
        <w:rPr>
          <w:b/>
          <w:szCs w:val="24"/>
        </w:rPr>
        <w:tab/>
      </w:r>
      <w:r>
        <w:rPr>
          <w:szCs w:val="24"/>
        </w:rPr>
        <w:t xml:space="preserve">Thus, </w:t>
      </w:r>
      <w:r w:rsidR="00AE4CFE">
        <w:rPr>
          <w:szCs w:val="24"/>
        </w:rPr>
        <w:t>the</w:t>
      </w:r>
      <w:r>
        <w:rPr>
          <w:szCs w:val="24"/>
        </w:rPr>
        <w:t xml:space="preserve"> ICE factor </w:t>
      </w:r>
      <w:r w:rsidR="00D755F5">
        <w:rPr>
          <w:szCs w:val="24"/>
        </w:rPr>
        <w:t xml:space="preserve">is the </w:t>
      </w:r>
      <w:r w:rsidR="00AE4CFE">
        <w:rPr>
          <w:szCs w:val="24"/>
        </w:rPr>
        <w:t>result</w:t>
      </w:r>
      <w:r w:rsidR="00D755F5">
        <w:rPr>
          <w:szCs w:val="24"/>
        </w:rPr>
        <w:t xml:space="preserve"> of substantial study and collaboration between GPC and Staff.  Its specific </w:t>
      </w:r>
      <w:r w:rsidR="00AE4CFE">
        <w:rPr>
          <w:szCs w:val="24"/>
        </w:rPr>
        <w:t xml:space="preserve">data-driven </w:t>
      </w:r>
      <w:r w:rsidR="00D755F5">
        <w:rPr>
          <w:szCs w:val="24"/>
        </w:rPr>
        <w:t xml:space="preserve">values </w:t>
      </w:r>
      <w:r>
        <w:rPr>
          <w:szCs w:val="24"/>
        </w:rPr>
        <w:t xml:space="preserve">should determine the </w:t>
      </w:r>
      <w:r w:rsidR="00AE4CFE">
        <w:rPr>
          <w:szCs w:val="24"/>
        </w:rPr>
        <w:t xml:space="preserve">firm </w:t>
      </w:r>
      <w:r>
        <w:rPr>
          <w:szCs w:val="24"/>
        </w:rPr>
        <w:t>capacity credit allowed by the Strategist model to assign to renewable resource bids.</w:t>
      </w:r>
      <w:r w:rsidR="00AC53CF">
        <w:rPr>
          <w:szCs w:val="24"/>
        </w:rPr>
        <w:t xml:space="preserve">  </w:t>
      </w:r>
      <w:r w:rsidR="00D755F5">
        <w:rPr>
          <w:szCs w:val="24"/>
        </w:rPr>
        <w:t xml:space="preserve">This is not only consistent with </w:t>
      </w:r>
      <w:r w:rsidR="00AE4CFE">
        <w:rPr>
          <w:szCs w:val="24"/>
        </w:rPr>
        <w:t xml:space="preserve">all-source bid </w:t>
      </w:r>
      <w:r w:rsidR="007A0D7A">
        <w:rPr>
          <w:szCs w:val="24"/>
        </w:rPr>
        <w:t>evaluation;</w:t>
      </w:r>
      <w:r w:rsidR="00D755F5">
        <w:rPr>
          <w:szCs w:val="24"/>
        </w:rPr>
        <w:t xml:space="preserve"> it is consistent with GPC’s testimony.</w:t>
      </w:r>
    </w:p>
    <w:p w:rsidR="00D96CF4" w:rsidRPr="0033130C" w:rsidRDefault="00D96CF4" w:rsidP="00D96CF4">
      <w:pPr>
        <w:spacing w:line="480" w:lineRule="auto"/>
        <w:rPr>
          <w:b/>
          <w:szCs w:val="24"/>
        </w:rPr>
      </w:pPr>
      <w:r w:rsidRPr="0033130C">
        <w:rPr>
          <w:b/>
          <w:szCs w:val="24"/>
        </w:rPr>
        <w:t>Q.</w:t>
      </w:r>
      <w:r w:rsidRPr="0033130C">
        <w:rPr>
          <w:b/>
          <w:szCs w:val="24"/>
        </w:rPr>
        <w:tab/>
        <w:t xml:space="preserve">Does the RCB Framework provide a </w:t>
      </w:r>
      <w:r w:rsidR="00AE4CFE">
        <w:rPr>
          <w:b/>
          <w:szCs w:val="24"/>
        </w:rPr>
        <w:t xml:space="preserve">firm </w:t>
      </w:r>
      <w:r w:rsidRPr="0033130C">
        <w:rPr>
          <w:b/>
          <w:szCs w:val="24"/>
        </w:rPr>
        <w:t>capacity credit?</w:t>
      </w:r>
    </w:p>
    <w:p w:rsidR="00A17F55" w:rsidRPr="00D96CF4" w:rsidRDefault="00D96CF4" w:rsidP="00D96CF4">
      <w:pPr>
        <w:spacing w:line="480" w:lineRule="auto"/>
        <w:rPr>
          <w:szCs w:val="24"/>
        </w:rPr>
      </w:pPr>
      <w:r>
        <w:rPr>
          <w:szCs w:val="24"/>
        </w:rPr>
        <w:t>A.</w:t>
      </w:r>
      <w:r>
        <w:rPr>
          <w:szCs w:val="24"/>
        </w:rPr>
        <w:tab/>
        <w:t>It does</w:t>
      </w:r>
      <w:r w:rsidR="00424110">
        <w:rPr>
          <w:szCs w:val="24"/>
        </w:rPr>
        <w:t xml:space="preserve">, in the form of </w:t>
      </w:r>
      <w:r>
        <w:rPr>
          <w:szCs w:val="24"/>
        </w:rPr>
        <w:t xml:space="preserve">a </w:t>
      </w:r>
      <w:r w:rsidR="00A17F55" w:rsidRPr="00D96CF4">
        <w:rPr>
          <w:szCs w:val="24"/>
        </w:rPr>
        <w:t xml:space="preserve">deferred capacity </w:t>
      </w:r>
      <w:r>
        <w:rPr>
          <w:szCs w:val="24"/>
        </w:rPr>
        <w:t xml:space="preserve">credit.  </w:t>
      </w:r>
      <w:r w:rsidR="00A84C20">
        <w:rPr>
          <w:szCs w:val="24"/>
        </w:rPr>
        <w:t>GPC</w:t>
      </w:r>
      <w:r>
        <w:rPr>
          <w:szCs w:val="24"/>
        </w:rPr>
        <w:t xml:space="preserve"> defines the term as follows</w:t>
      </w:r>
      <w:r w:rsidR="00A17F55" w:rsidRPr="00D96CF4">
        <w:rPr>
          <w:szCs w:val="24"/>
        </w:rPr>
        <w:t>: “This item represents generation capacity costs that are deferred because a portion of the load is being served by a renewable resource.”</w:t>
      </w:r>
      <w:r>
        <w:rPr>
          <w:rStyle w:val="FootnoteReference"/>
          <w:szCs w:val="24"/>
        </w:rPr>
        <w:footnoteReference w:id="34"/>
      </w:r>
      <w:r w:rsidR="00A17F55" w:rsidRPr="00D96CF4">
        <w:rPr>
          <w:szCs w:val="24"/>
        </w:rPr>
        <w:t xml:space="preserve">  In other words, the capacity of a resource defers the need for new capacity, </w:t>
      </w:r>
      <w:r>
        <w:rPr>
          <w:szCs w:val="24"/>
        </w:rPr>
        <w:t xml:space="preserve">which is the same thing as capacity.  </w:t>
      </w:r>
      <w:r>
        <w:rPr>
          <w:i/>
          <w:szCs w:val="24"/>
        </w:rPr>
        <w:t xml:space="preserve">All </w:t>
      </w:r>
      <w:r>
        <w:rPr>
          <w:szCs w:val="24"/>
        </w:rPr>
        <w:t>capacity defers additional capacity</w:t>
      </w:r>
      <w:r w:rsidR="00A17F55" w:rsidRPr="00D96CF4">
        <w:rPr>
          <w:szCs w:val="24"/>
        </w:rPr>
        <w:t>.</w:t>
      </w:r>
      <w:r w:rsidR="00C237E2">
        <w:rPr>
          <w:szCs w:val="24"/>
        </w:rPr>
        <w:t xml:space="preserve">   The Company admitted this in discovery: “</w:t>
      </w:r>
      <w:r w:rsidR="00C237E2" w:rsidRPr="001D02C1">
        <w:rPr>
          <w:szCs w:val="24"/>
        </w:rPr>
        <w:t>The Company’s viewpoint is</w:t>
      </w:r>
      <w:r w:rsidR="00C237E2">
        <w:rPr>
          <w:szCs w:val="24"/>
        </w:rPr>
        <w:t xml:space="preserve"> that providing capacity and deferring the need for future capacity describe the same capacity benefit of a generating resource.”</w:t>
      </w:r>
      <w:r w:rsidR="00C237E2" w:rsidRPr="00C237E2">
        <w:rPr>
          <w:rStyle w:val="FootnoteReference"/>
          <w:szCs w:val="24"/>
        </w:rPr>
        <w:t xml:space="preserve"> </w:t>
      </w:r>
      <w:r w:rsidR="00C237E2">
        <w:rPr>
          <w:rStyle w:val="FootnoteReference"/>
          <w:szCs w:val="24"/>
        </w:rPr>
        <w:footnoteReference w:id="35"/>
      </w:r>
      <w:r w:rsidR="00C237E2">
        <w:rPr>
          <w:szCs w:val="24"/>
        </w:rPr>
        <w:t xml:space="preserve">   As a result, GPC should consent to attributing partial capacity credit to renewable resources in an all-source RFP.</w:t>
      </w:r>
    </w:p>
    <w:p w:rsidR="0033130C" w:rsidRPr="0033130C" w:rsidRDefault="0033130C" w:rsidP="006459F9">
      <w:pPr>
        <w:keepNext/>
        <w:rPr>
          <w:b/>
          <w:szCs w:val="24"/>
        </w:rPr>
      </w:pPr>
      <w:r w:rsidRPr="0033130C">
        <w:rPr>
          <w:b/>
          <w:szCs w:val="24"/>
        </w:rPr>
        <w:lastRenderedPageBreak/>
        <w:t>Q.</w:t>
      </w:r>
      <w:r w:rsidRPr="0033130C">
        <w:rPr>
          <w:b/>
          <w:szCs w:val="24"/>
        </w:rPr>
        <w:tab/>
        <w:t>Turn</w:t>
      </w:r>
      <w:r>
        <w:rPr>
          <w:b/>
          <w:szCs w:val="24"/>
        </w:rPr>
        <w:t>ing</w:t>
      </w:r>
      <w:r w:rsidRPr="0033130C">
        <w:rPr>
          <w:b/>
          <w:szCs w:val="24"/>
        </w:rPr>
        <w:t xml:space="preserve"> to GPC’s </w:t>
      </w:r>
      <w:r w:rsidR="00A17F55" w:rsidRPr="0033130C">
        <w:rPr>
          <w:b/>
          <w:szCs w:val="24"/>
        </w:rPr>
        <w:t>Capacity need</w:t>
      </w:r>
      <w:r w:rsidRPr="0033130C">
        <w:rPr>
          <w:b/>
          <w:szCs w:val="24"/>
        </w:rPr>
        <w:t>, what does GPC request?</w:t>
      </w:r>
    </w:p>
    <w:p w:rsidR="00AE4CFE" w:rsidRDefault="0033130C" w:rsidP="0033130C">
      <w:pPr>
        <w:spacing w:line="480" w:lineRule="auto"/>
        <w:rPr>
          <w:szCs w:val="24"/>
        </w:rPr>
      </w:pPr>
      <w:r w:rsidRPr="0064415A">
        <w:rPr>
          <w:szCs w:val="24"/>
        </w:rPr>
        <w:t>A.</w:t>
      </w:r>
      <w:r w:rsidRPr="0064415A">
        <w:rPr>
          <w:szCs w:val="24"/>
        </w:rPr>
        <w:tab/>
        <w:t xml:space="preserve">GPC determines that it requires capacity in the years </w:t>
      </w:r>
      <w:r w:rsidR="00C237E2" w:rsidRPr="0064415A">
        <w:rPr>
          <w:szCs w:val="24"/>
        </w:rPr>
        <w:t xml:space="preserve">2028 and possibly 2022.  The 2022 need is dependent on </w:t>
      </w:r>
      <w:r w:rsidR="00354A9E">
        <w:rPr>
          <w:szCs w:val="24"/>
        </w:rPr>
        <w:t>GPC’s review of bids as against the</w:t>
      </w:r>
      <w:r w:rsidR="00C237E2" w:rsidRPr="0064415A">
        <w:rPr>
          <w:szCs w:val="24"/>
        </w:rPr>
        <w:t xml:space="preserve"> economics of continuing to run Plant Bowen Units 1-2 and is not driven by load growth</w:t>
      </w:r>
      <w:r w:rsidRPr="0064415A">
        <w:rPr>
          <w:szCs w:val="24"/>
        </w:rPr>
        <w:t xml:space="preserve">.  </w:t>
      </w:r>
    </w:p>
    <w:p w:rsidR="0033130C" w:rsidRPr="0033130C" w:rsidRDefault="0033130C" w:rsidP="0033130C">
      <w:pPr>
        <w:spacing w:line="480" w:lineRule="auto"/>
        <w:rPr>
          <w:b/>
          <w:szCs w:val="24"/>
        </w:rPr>
      </w:pPr>
      <w:r w:rsidRPr="0033130C">
        <w:rPr>
          <w:b/>
          <w:szCs w:val="24"/>
        </w:rPr>
        <w:t>Q.</w:t>
      </w:r>
      <w:r w:rsidRPr="0033130C">
        <w:rPr>
          <w:b/>
          <w:szCs w:val="24"/>
        </w:rPr>
        <w:tab/>
        <w:t>Are there flaws to that approach</w:t>
      </w:r>
      <w:r w:rsidR="00AE4CFE">
        <w:rPr>
          <w:b/>
          <w:szCs w:val="24"/>
        </w:rPr>
        <w:t xml:space="preserve"> to the capacity RFP</w:t>
      </w:r>
      <w:r w:rsidRPr="0033130C">
        <w:rPr>
          <w:b/>
          <w:szCs w:val="24"/>
        </w:rPr>
        <w:t>?</w:t>
      </w:r>
    </w:p>
    <w:p w:rsidR="0033130C" w:rsidRDefault="0033130C" w:rsidP="00A06BFE">
      <w:pPr>
        <w:spacing w:line="480" w:lineRule="auto"/>
        <w:rPr>
          <w:szCs w:val="24"/>
        </w:rPr>
      </w:pPr>
      <w:r>
        <w:rPr>
          <w:szCs w:val="24"/>
        </w:rPr>
        <w:t>A.</w:t>
      </w:r>
      <w:r>
        <w:rPr>
          <w:szCs w:val="24"/>
        </w:rPr>
        <w:tab/>
      </w:r>
      <w:r w:rsidR="00C237E2">
        <w:rPr>
          <w:szCs w:val="24"/>
        </w:rPr>
        <w:t>Yes</w:t>
      </w:r>
      <w:r>
        <w:rPr>
          <w:szCs w:val="24"/>
        </w:rPr>
        <w:t xml:space="preserve">.  </w:t>
      </w:r>
      <w:r w:rsidR="00C237E2">
        <w:rPr>
          <w:szCs w:val="24"/>
        </w:rPr>
        <w:t xml:space="preserve">Although the decommissioning of Plant Bowen Units 1-2 would cause a reduction in </w:t>
      </w:r>
      <w:r w:rsidR="00A06BFE">
        <w:rPr>
          <w:szCs w:val="24"/>
        </w:rPr>
        <w:t xml:space="preserve">system </w:t>
      </w:r>
      <w:r w:rsidR="00C237E2">
        <w:rPr>
          <w:szCs w:val="24"/>
        </w:rPr>
        <w:t>capacity, that capacity is not peak</w:t>
      </w:r>
      <w:r w:rsidR="00A06BFE">
        <w:rPr>
          <w:szCs w:val="24"/>
        </w:rPr>
        <w:t xml:space="preserve">ing </w:t>
      </w:r>
      <w:r w:rsidR="00C237E2">
        <w:rPr>
          <w:szCs w:val="24"/>
        </w:rPr>
        <w:t xml:space="preserve">capacity </w:t>
      </w:r>
      <w:r w:rsidR="00A06BFE">
        <w:rPr>
          <w:szCs w:val="24"/>
        </w:rPr>
        <w:t>typically provided</w:t>
      </w:r>
      <w:r w:rsidR="00AE4CFE">
        <w:rPr>
          <w:szCs w:val="24"/>
        </w:rPr>
        <w:t xml:space="preserve"> by CT</w:t>
      </w:r>
      <w:r w:rsidR="00C237E2">
        <w:rPr>
          <w:szCs w:val="24"/>
        </w:rPr>
        <w:t xml:space="preserve">s.  It is </w:t>
      </w:r>
      <w:r w:rsidR="00A06BFE">
        <w:rPr>
          <w:szCs w:val="24"/>
        </w:rPr>
        <w:t xml:space="preserve">primarily </w:t>
      </w:r>
      <w:r w:rsidR="0080109C">
        <w:rPr>
          <w:szCs w:val="24"/>
        </w:rPr>
        <w:t>intermediate</w:t>
      </w:r>
      <w:r w:rsidR="00A06BFE">
        <w:rPr>
          <w:szCs w:val="24"/>
        </w:rPr>
        <w:t xml:space="preserve"> load, though</w:t>
      </w:r>
      <w:r w:rsidR="00523273">
        <w:rPr>
          <w:szCs w:val="24"/>
        </w:rPr>
        <w:t xml:space="preserve"> </w:t>
      </w:r>
      <w:r w:rsidR="007808C7">
        <w:rPr>
          <w:szCs w:val="24"/>
        </w:rPr>
        <w:t xml:space="preserve">perhaps </w:t>
      </w:r>
      <w:r w:rsidR="00523273">
        <w:rPr>
          <w:szCs w:val="24"/>
        </w:rPr>
        <w:t>at times base</w:t>
      </w:r>
      <w:r w:rsidR="00C237E2">
        <w:rPr>
          <w:szCs w:val="24"/>
        </w:rPr>
        <w:t>load</w:t>
      </w:r>
      <w:r w:rsidR="00523273">
        <w:rPr>
          <w:szCs w:val="24"/>
        </w:rPr>
        <w:t>,</w:t>
      </w:r>
      <w:r w:rsidR="00C237E2">
        <w:rPr>
          <w:szCs w:val="24"/>
        </w:rPr>
        <w:t xml:space="preserve"> capacity. </w:t>
      </w:r>
      <w:r w:rsidR="00523273">
        <w:rPr>
          <w:szCs w:val="24"/>
        </w:rPr>
        <w:t xml:space="preserve"> </w:t>
      </w:r>
      <w:r w:rsidR="00AE4CFE">
        <w:rPr>
          <w:szCs w:val="24"/>
        </w:rPr>
        <w:t xml:space="preserve">As mentioned above, </w:t>
      </w:r>
      <w:r w:rsidR="00A84C20">
        <w:rPr>
          <w:szCs w:val="24"/>
        </w:rPr>
        <w:t xml:space="preserve">in the </w:t>
      </w:r>
      <w:r w:rsidR="00AE4CFE">
        <w:rPr>
          <w:szCs w:val="24"/>
        </w:rPr>
        <w:t>g</w:t>
      </w:r>
      <w:r w:rsidR="0080109C">
        <w:rPr>
          <w:szCs w:val="24"/>
        </w:rPr>
        <w:t xml:space="preserve">eneration data reported by </w:t>
      </w:r>
      <w:r w:rsidR="00AE4CFE">
        <w:rPr>
          <w:szCs w:val="24"/>
        </w:rPr>
        <w:t>GPC</w:t>
      </w:r>
      <w:r w:rsidR="0080109C">
        <w:rPr>
          <w:szCs w:val="24"/>
        </w:rPr>
        <w:t xml:space="preserve"> to</w:t>
      </w:r>
      <w:r w:rsidR="00C237E2">
        <w:rPr>
          <w:szCs w:val="24"/>
        </w:rPr>
        <w:t xml:space="preserve"> EIA</w:t>
      </w:r>
      <w:r w:rsidR="00AE4CFE">
        <w:rPr>
          <w:szCs w:val="24"/>
        </w:rPr>
        <w:t xml:space="preserve">, </w:t>
      </w:r>
      <w:r w:rsidR="00523273">
        <w:rPr>
          <w:szCs w:val="24"/>
        </w:rPr>
        <w:t>set forth in EXHIBIT SACE-MDD-</w:t>
      </w:r>
      <w:r w:rsidR="008606C7">
        <w:rPr>
          <w:szCs w:val="24"/>
        </w:rPr>
        <w:t>6</w:t>
      </w:r>
      <w:r w:rsidR="00523273">
        <w:rPr>
          <w:szCs w:val="24"/>
        </w:rPr>
        <w:t>,</w:t>
      </w:r>
      <w:r w:rsidR="00C237E2">
        <w:rPr>
          <w:szCs w:val="24"/>
        </w:rPr>
        <w:t xml:space="preserve"> </w:t>
      </w:r>
      <w:r w:rsidR="00AE4CFE">
        <w:rPr>
          <w:szCs w:val="24"/>
        </w:rPr>
        <w:t>t</w:t>
      </w:r>
      <w:r w:rsidR="00523273">
        <w:rPr>
          <w:szCs w:val="24"/>
        </w:rPr>
        <w:t xml:space="preserve">he availability numbers suggest that the units are not providing </w:t>
      </w:r>
      <w:r w:rsidR="007808C7">
        <w:rPr>
          <w:szCs w:val="24"/>
        </w:rPr>
        <w:t>“</w:t>
      </w:r>
      <w:r w:rsidR="00523273">
        <w:rPr>
          <w:szCs w:val="24"/>
        </w:rPr>
        <w:t>guaranteed</w:t>
      </w:r>
      <w:r w:rsidR="007808C7">
        <w:rPr>
          <w:szCs w:val="24"/>
        </w:rPr>
        <w:t>”</w:t>
      </w:r>
      <w:r w:rsidR="00523273">
        <w:rPr>
          <w:szCs w:val="24"/>
        </w:rPr>
        <w:t xml:space="preserve"> system capacity as </w:t>
      </w:r>
      <w:r w:rsidR="00A06BFE">
        <w:rPr>
          <w:szCs w:val="24"/>
        </w:rPr>
        <w:t>far as meeting the system peak</w:t>
      </w:r>
      <w:r w:rsidR="00523273">
        <w:rPr>
          <w:szCs w:val="24"/>
        </w:rPr>
        <w:t xml:space="preserve">.  </w:t>
      </w:r>
      <w:bookmarkStart w:id="14" w:name="_Hlk6835625"/>
      <w:r w:rsidR="00C237E2">
        <w:rPr>
          <w:szCs w:val="24"/>
        </w:rPr>
        <w:t xml:space="preserve">As a result, </w:t>
      </w:r>
      <w:r w:rsidR="00523273">
        <w:rPr>
          <w:szCs w:val="24"/>
        </w:rPr>
        <w:t xml:space="preserve">replacing these intermediate load facilities with high energy output with </w:t>
      </w:r>
      <w:r w:rsidR="00C237E2">
        <w:rPr>
          <w:szCs w:val="24"/>
        </w:rPr>
        <w:t>gas peaking units</w:t>
      </w:r>
      <w:r w:rsidR="0029164E">
        <w:rPr>
          <w:szCs w:val="24"/>
        </w:rPr>
        <w:t xml:space="preserve"> or combined cycle units</w:t>
      </w:r>
      <w:r w:rsidR="00C237E2">
        <w:rPr>
          <w:szCs w:val="24"/>
        </w:rPr>
        <w:t xml:space="preserve"> </w:t>
      </w:r>
      <w:r w:rsidR="00523273">
        <w:rPr>
          <w:szCs w:val="24"/>
        </w:rPr>
        <w:t xml:space="preserve">is not justified based on a guaranteed </w:t>
      </w:r>
      <w:r w:rsidR="0029164E">
        <w:rPr>
          <w:szCs w:val="24"/>
        </w:rPr>
        <w:t xml:space="preserve">firm capacity rationale. </w:t>
      </w:r>
      <w:r w:rsidR="00C237E2">
        <w:rPr>
          <w:szCs w:val="24"/>
        </w:rPr>
        <w:t xml:space="preserve"> </w:t>
      </w:r>
      <w:bookmarkEnd w:id="14"/>
      <w:r w:rsidR="00523273">
        <w:rPr>
          <w:szCs w:val="24"/>
        </w:rPr>
        <w:t xml:space="preserve">The only way we can test </w:t>
      </w:r>
      <w:r w:rsidR="00AE4CFE">
        <w:rPr>
          <w:szCs w:val="24"/>
        </w:rPr>
        <w:t>this capacity distinction</w:t>
      </w:r>
      <w:r w:rsidR="00523273">
        <w:rPr>
          <w:szCs w:val="24"/>
        </w:rPr>
        <w:t xml:space="preserve"> is through an all-source RFP.</w:t>
      </w:r>
    </w:p>
    <w:p w:rsidR="0033130C" w:rsidRPr="00EE460C" w:rsidRDefault="0033130C" w:rsidP="006459F9">
      <w:pPr>
        <w:keepNext/>
        <w:rPr>
          <w:b/>
          <w:szCs w:val="24"/>
        </w:rPr>
      </w:pPr>
      <w:r w:rsidRPr="00EE460C">
        <w:rPr>
          <w:b/>
          <w:szCs w:val="24"/>
        </w:rPr>
        <w:t>Q.</w:t>
      </w:r>
      <w:r w:rsidRPr="00EE460C">
        <w:rPr>
          <w:b/>
          <w:szCs w:val="24"/>
        </w:rPr>
        <w:tab/>
        <w:t>Could the capacity need be different if renewable resources were simultaneously considered by the model?</w:t>
      </w:r>
    </w:p>
    <w:p w:rsidR="00A17F55" w:rsidRPr="00A17F55" w:rsidRDefault="0033130C" w:rsidP="0033130C">
      <w:pPr>
        <w:spacing w:line="480" w:lineRule="auto"/>
        <w:rPr>
          <w:szCs w:val="24"/>
        </w:rPr>
      </w:pPr>
      <w:r>
        <w:rPr>
          <w:szCs w:val="24"/>
        </w:rPr>
        <w:t>A.</w:t>
      </w:r>
      <w:r>
        <w:rPr>
          <w:szCs w:val="24"/>
        </w:rPr>
        <w:tab/>
        <w:t xml:space="preserve">Absolutely.  </w:t>
      </w:r>
      <w:r w:rsidR="00A17F55" w:rsidRPr="00A17F55">
        <w:rPr>
          <w:szCs w:val="24"/>
        </w:rPr>
        <w:t>GP</w:t>
      </w:r>
      <w:r>
        <w:rPr>
          <w:szCs w:val="24"/>
        </w:rPr>
        <w:t>C</w:t>
      </w:r>
      <w:r w:rsidR="00A17F55" w:rsidRPr="00A17F55">
        <w:rPr>
          <w:szCs w:val="24"/>
        </w:rPr>
        <w:t xml:space="preserve"> has </w:t>
      </w:r>
      <w:r w:rsidR="00AE4CFE">
        <w:rPr>
          <w:szCs w:val="24"/>
        </w:rPr>
        <w:t>31</w:t>
      </w:r>
      <w:r w:rsidR="0080109C">
        <w:rPr>
          <w:szCs w:val="24"/>
        </w:rPr>
        <w:t xml:space="preserve"> dispatchable </w:t>
      </w:r>
      <w:r>
        <w:rPr>
          <w:szCs w:val="24"/>
        </w:rPr>
        <w:t xml:space="preserve">gas or diesel </w:t>
      </w:r>
      <w:r w:rsidR="0080109C">
        <w:rPr>
          <w:szCs w:val="24"/>
        </w:rPr>
        <w:t xml:space="preserve">CT </w:t>
      </w:r>
      <w:r w:rsidR="00A17F55" w:rsidRPr="00A17F55">
        <w:rPr>
          <w:szCs w:val="24"/>
        </w:rPr>
        <w:t>units</w:t>
      </w:r>
      <w:r>
        <w:rPr>
          <w:szCs w:val="24"/>
        </w:rPr>
        <w:t>, only three of which have seasonal usage restrictions.</w:t>
      </w:r>
      <w:r>
        <w:rPr>
          <w:rStyle w:val="FootnoteReference"/>
          <w:szCs w:val="24"/>
        </w:rPr>
        <w:footnoteReference w:id="36"/>
      </w:r>
      <w:r>
        <w:rPr>
          <w:szCs w:val="24"/>
        </w:rPr>
        <w:t xml:space="preserve"> </w:t>
      </w:r>
      <w:r w:rsidR="00FA4586">
        <w:rPr>
          <w:szCs w:val="24"/>
        </w:rPr>
        <w:t xml:space="preserve"> </w:t>
      </w:r>
      <w:r w:rsidR="00AE4CFE">
        <w:rPr>
          <w:szCs w:val="24"/>
        </w:rPr>
        <w:t xml:space="preserve">Most of these units have very low utilization, according to a review of EIA Form 923 data. </w:t>
      </w:r>
      <w:r w:rsidR="00FA4586">
        <w:rPr>
          <w:szCs w:val="24"/>
        </w:rPr>
        <w:t xml:space="preserve">Ten of those </w:t>
      </w:r>
      <w:r w:rsidR="0080109C">
        <w:rPr>
          <w:szCs w:val="24"/>
        </w:rPr>
        <w:t xml:space="preserve">plants </w:t>
      </w:r>
      <w:r w:rsidR="00FA4586">
        <w:rPr>
          <w:szCs w:val="24"/>
        </w:rPr>
        <w:t xml:space="preserve">have some utilization, but at capacity </w:t>
      </w:r>
      <w:r w:rsidR="00FA4586">
        <w:rPr>
          <w:szCs w:val="24"/>
        </w:rPr>
        <w:lastRenderedPageBreak/>
        <w:t xml:space="preserve">factors </w:t>
      </w:r>
      <w:r w:rsidR="0080109C">
        <w:rPr>
          <w:szCs w:val="24"/>
        </w:rPr>
        <w:t xml:space="preserve">of </w:t>
      </w:r>
      <w:r w:rsidR="00FA4586">
        <w:rPr>
          <w:szCs w:val="24"/>
        </w:rPr>
        <w:t xml:space="preserve">1-10%. </w:t>
      </w:r>
      <w:r>
        <w:rPr>
          <w:szCs w:val="24"/>
        </w:rPr>
        <w:t xml:space="preserve"> It is possible that GPC has </w:t>
      </w:r>
      <w:r w:rsidR="00A17F55" w:rsidRPr="00A17F55">
        <w:rPr>
          <w:szCs w:val="24"/>
        </w:rPr>
        <w:t xml:space="preserve">potential slack in </w:t>
      </w:r>
      <w:r w:rsidR="00523273">
        <w:rPr>
          <w:szCs w:val="24"/>
        </w:rPr>
        <w:t>its</w:t>
      </w:r>
      <w:r w:rsidR="00A17F55" w:rsidRPr="00A17F55">
        <w:rPr>
          <w:szCs w:val="24"/>
        </w:rPr>
        <w:t xml:space="preserve"> system </w:t>
      </w:r>
      <w:r w:rsidR="00523273">
        <w:rPr>
          <w:szCs w:val="24"/>
        </w:rPr>
        <w:t xml:space="preserve">capacity </w:t>
      </w:r>
      <w:r w:rsidR="00A17F55" w:rsidRPr="00A17F55">
        <w:rPr>
          <w:szCs w:val="24"/>
        </w:rPr>
        <w:t>that Strategist could identify.</w:t>
      </w:r>
      <w:r>
        <w:rPr>
          <w:szCs w:val="24"/>
        </w:rPr>
        <w:t xml:space="preserve">  </w:t>
      </w:r>
      <w:r w:rsidR="00EE460C">
        <w:rPr>
          <w:szCs w:val="24"/>
        </w:rPr>
        <w:t>The</w:t>
      </w:r>
      <w:r w:rsidR="00523273">
        <w:rPr>
          <w:szCs w:val="24"/>
        </w:rPr>
        <w:t xml:space="preserve"> point of this analysis is</w:t>
      </w:r>
      <w:r w:rsidR="00EE460C">
        <w:rPr>
          <w:szCs w:val="24"/>
        </w:rPr>
        <w:t xml:space="preserve"> not to draw </w:t>
      </w:r>
      <w:r w:rsidR="00AE4CFE">
        <w:rPr>
          <w:szCs w:val="24"/>
        </w:rPr>
        <w:t>hard</w:t>
      </w:r>
      <w:r w:rsidR="00EE460C">
        <w:rPr>
          <w:szCs w:val="24"/>
        </w:rPr>
        <w:t xml:space="preserve"> conclusions about the </w:t>
      </w:r>
      <w:r w:rsidR="00AE4CFE">
        <w:rPr>
          <w:szCs w:val="24"/>
        </w:rPr>
        <w:t>state of GPC’s system</w:t>
      </w:r>
      <w:r w:rsidR="00EE460C">
        <w:rPr>
          <w:szCs w:val="24"/>
        </w:rPr>
        <w:t xml:space="preserve">.  Rather, these questions highlight areas that </w:t>
      </w:r>
      <w:r w:rsidR="00AE4CFE">
        <w:rPr>
          <w:szCs w:val="24"/>
        </w:rPr>
        <w:t>are</w:t>
      </w:r>
      <w:r w:rsidR="00EE460C">
        <w:rPr>
          <w:szCs w:val="24"/>
        </w:rPr>
        <w:t xml:space="preserve"> </w:t>
      </w:r>
      <w:r w:rsidR="00AE4CFE">
        <w:rPr>
          <w:szCs w:val="24"/>
        </w:rPr>
        <w:t xml:space="preserve">appropriate for inquiry via </w:t>
      </w:r>
      <w:r w:rsidR="00EE460C">
        <w:rPr>
          <w:szCs w:val="24"/>
        </w:rPr>
        <w:t>an all-source RFP.</w:t>
      </w:r>
    </w:p>
    <w:p w:rsidR="00160915" w:rsidRPr="00D96CF4" w:rsidRDefault="00160915" w:rsidP="006459F9">
      <w:pPr>
        <w:keepNext/>
        <w:rPr>
          <w:b/>
          <w:szCs w:val="24"/>
        </w:rPr>
      </w:pPr>
      <w:r w:rsidRPr="00D96CF4">
        <w:rPr>
          <w:b/>
          <w:szCs w:val="24"/>
        </w:rPr>
        <w:t>Q.</w:t>
      </w:r>
      <w:r w:rsidRPr="00D96CF4">
        <w:rPr>
          <w:b/>
          <w:szCs w:val="24"/>
        </w:rPr>
        <w:tab/>
        <w:t>Does the RCB Framework allow the Commission to review whether renewable resources can be competitive with gas-fired units?</w:t>
      </w:r>
    </w:p>
    <w:p w:rsidR="00160915" w:rsidRDefault="00160915" w:rsidP="00160915">
      <w:pPr>
        <w:spacing w:line="480" w:lineRule="auto"/>
        <w:rPr>
          <w:szCs w:val="24"/>
        </w:rPr>
      </w:pPr>
      <w:r>
        <w:rPr>
          <w:szCs w:val="24"/>
        </w:rPr>
        <w:t>A.</w:t>
      </w:r>
      <w:r>
        <w:rPr>
          <w:szCs w:val="24"/>
        </w:rPr>
        <w:tab/>
        <w:t>It does not.  The use of the R</w:t>
      </w:r>
      <w:r w:rsidRPr="00A17F55">
        <w:rPr>
          <w:szCs w:val="24"/>
        </w:rPr>
        <w:t xml:space="preserve">CB </w:t>
      </w:r>
      <w:r w:rsidR="006B3D1F">
        <w:rPr>
          <w:szCs w:val="24"/>
        </w:rPr>
        <w:t>F</w:t>
      </w:r>
      <w:r w:rsidRPr="00A17F55">
        <w:rPr>
          <w:szCs w:val="24"/>
        </w:rPr>
        <w:t xml:space="preserve">ramework means that </w:t>
      </w:r>
      <w:r w:rsidR="00523273">
        <w:rPr>
          <w:szCs w:val="24"/>
        </w:rPr>
        <w:t xml:space="preserve">CRSP </w:t>
      </w:r>
      <w:r w:rsidRPr="00A17F55">
        <w:rPr>
          <w:szCs w:val="24"/>
        </w:rPr>
        <w:t xml:space="preserve">renewables are </w:t>
      </w:r>
      <w:r w:rsidR="0080109C">
        <w:rPr>
          <w:szCs w:val="24"/>
        </w:rPr>
        <w:t xml:space="preserve">assumptions </w:t>
      </w:r>
      <w:r w:rsidR="00AE4CFE">
        <w:rPr>
          <w:szCs w:val="24"/>
        </w:rPr>
        <w:t>input</w:t>
      </w:r>
      <w:r w:rsidR="0080109C" w:rsidRPr="00A17F55">
        <w:rPr>
          <w:szCs w:val="24"/>
        </w:rPr>
        <w:t xml:space="preserve"> </w:t>
      </w:r>
      <w:r w:rsidRPr="00A17F55">
        <w:rPr>
          <w:szCs w:val="24"/>
        </w:rPr>
        <w:t xml:space="preserve">into </w:t>
      </w:r>
      <w:r w:rsidR="0080109C">
        <w:rPr>
          <w:szCs w:val="24"/>
        </w:rPr>
        <w:t>the capacity expansion plan,</w:t>
      </w:r>
      <w:r w:rsidRPr="00A17F55">
        <w:rPr>
          <w:szCs w:val="24"/>
        </w:rPr>
        <w:t xml:space="preserve"> and thus not analyzed </w:t>
      </w:r>
      <w:r>
        <w:rPr>
          <w:szCs w:val="24"/>
        </w:rPr>
        <w:t>by the model to determine</w:t>
      </w:r>
      <w:r w:rsidRPr="00A17F55">
        <w:rPr>
          <w:szCs w:val="24"/>
        </w:rPr>
        <w:t xml:space="preserve"> whether they can benefit the integrated electric system better or worse than a gas unit</w:t>
      </w:r>
      <w:r>
        <w:rPr>
          <w:szCs w:val="24"/>
        </w:rPr>
        <w:t xml:space="preserve"> in a given year under the model’s parameters.  The </w:t>
      </w:r>
      <w:r w:rsidR="00A06BFE">
        <w:rPr>
          <w:szCs w:val="24"/>
        </w:rPr>
        <w:t xml:space="preserve">RCB </w:t>
      </w:r>
      <w:r>
        <w:rPr>
          <w:szCs w:val="24"/>
        </w:rPr>
        <w:t>Framework therefore cannot substitute from the evaluation of an all-source RFP within Strategist</w:t>
      </w:r>
      <w:r w:rsidRPr="00A17F55">
        <w:rPr>
          <w:szCs w:val="24"/>
        </w:rPr>
        <w:t xml:space="preserve">.  </w:t>
      </w:r>
    </w:p>
    <w:p w:rsidR="00A06BFE" w:rsidRDefault="00A06BFE" w:rsidP="00160915">
      <w:pPr>
        <w:spacing w:line="480" w:lineRule="auto"/>
        <w:rPr>
          <w:szCs w:val="24"/>
        </w:rPr>
      </w:pPr>
    </w:p>
    <w:p w:rsidR="00A17F55" w:rsidRPr="00D96CF4" w:rsidRDefault="00A17F55" w:rsidP="00D96CF4">
      <w:pPr>
        <w:spacing w:line="480" w:lineRule="auto"/>
        <w:ind w:firstLine="0"/>
        <w:rPr>
          <w:b/>
          <w:szCs w:val="24"/>
        </w:rPr>
      </w:pPr>
      <w:r w:rsidRPr="00D96CF4">
        <w:rPr>
          <w:b/>
          <w:szCs w:val="24"/>
        </w:rPr>
        <w:t>V.</w:t>
      </w:r>
      <w:r w:rsidRPr="00D96CF4">
        <w:rPr>
          <w:b/>
          <w:szCs w:val="24"/>
        </w:rPr>
        <w:tab/>
      </w:r>
      <w:r w:rsidR="006B3D1F" w:rsidRPr="00523273">
        <w:rPr>
          <w:b/>
          <w:szCs w:val="24"/>
          <w:u w:val="single"/>
        </w:rPr>
        <w:t>Recommendatio</w:t>
      </w:r>
      <w:r w:rsidR="00523273">
        <w:rPr>
          <w:b/>
          <w:szCs w:val="24"/>
          <w:u w:val="single"/>
        </w:rPr>
        <w:t xml:space="preserve">ns </w:t>
      </w:r>
      <w:r w:rsidR="006B3D1F">
        <w:rPr>
          <w:b/>
          <w:szCs w:val="24"/>
          <w:u w:val="single"/>
        </w:rPr>
        <w:t>i</w:t>
      </w:r>
      <w:r w:rsidRPr="00D96CF4">
        <w:rPr>
          <w:b/>
          <w:szCs w:val="24"/>
          <w:u w:val="single"/>
        </w:rPr>
        <w:t>f all-source is employed</w:t>
      </w:r>
    </w:p>
    <w:p w:rsidR="00A17F55" w:rsidRPr="00CC228C" w:rsidRDefault="00D96CF4" w:rsidP="00A17F55">
      <w:pPr>
        <w:spacing w:line="480" w:lineRule="auto"/>
        <w:rPr>
          <w:b/>
          <w:szCs w:val="24"/>
        </w:rPr>
      </w:pPr>
      <w:r w:rsidRPr="00CC228C">
        <w:rPr>
          <w:b/>
          <w:szCs w:val="24"/>
        </w:rPr>
        <w:t>Q.</w:t>
      </w:r>
      <w:r w:rsidRPr="00CC228C">
        <w:rPr>
          <w:b/>
          <w:szCs w:val="24"/>
        </w:rPr>
        <w:tab/>
        <w:t>Please explain the purpose of this section.</w:t>
      </w:r>
    </w:p>
    <w:p w:rsidR="00D96CF4" w:rsidRDefault="00D96CF4" w:rsidP="00A17F55">
      <w:pPr>
        <w:spacing w:line="480" w:lineRule="auto"/>
        <w:rPr>
          <w:szCs w:val="24"/>
        </w:rPr>
      </w:pPr>
      <w:r>
        <w:rPr>
          <w:szCs w:val="24"/>
        </w:rPr>
        <w:t>A.</w:t>
      </w:r>
      <w:r>
        <w:rPr>
          <w:szCs w:val="24"/>
        </w:rPr>
        <w:tab/>
        <w:t xml:space="preserve">The purpose of this section is to provide guidance to the Commission should </w:t>
      </w:r>
      <w:r w:rsidR="00523273">
        <w:rPr>
          <w:szCs w:val="24"/>
        </w:rPr>
        <w:t>it</w:t>
      </w:r>
      <w:r>
        <w:rPr>
          <w:szCs w:val="24"/>
        </w:rPr>
        <w:t xml:space="preserve"> choose to adopt an all-source RFP.</w:t>
      </w:r>
    </w:p>
    <w:p w:rsidR="00160915" w:rsidRPr="002D1345" w:rsidRDefault="00160915" w:rsidP="006459F9">
      <w:pPr>
        <w:keepNext/>
        <w:rPr>
          <w:b/>
        </w:rPr>
      </w:pPr>
      <w:r w:rsidRPr="002D1345">
        <w:rPr>
          <w:b/>
        </w:rPr>
        <w:t>Q.</w:t>
      </w:r>
      <w:r w:rsidRPr="002D1345">
        <w:rPr>
          <w:b/>
        </w:rPr>
        <w:tab/>
        <w:t>What assumptions and inputs should the Commission monitor if an all-source RFP is employed?</w:t>
      </w:r>
    </w:p>
    <w:p w:rsidR="00160915" w:rsidRDefault="00160915" w:rsidP="00A17F55">
      <w:pPr>
        <w:spacing w:line="480" w:lineRule="auto"/>
        <w:rPr>
          <w:szCs w:val="24"/>
        </w:rPr>
      </w:pPr>
      <w:r>
        <w:rPr>
          <w:szCs w:val="24"/>
        </w:rPr>
        <w:t>A.</w:t>
      </w:r>
      <w:r>
        <w:rPr>
          <w:szCs w:val="24"/>
        </w:rPr>
        <w:tab/>
        <w:t xml:space="preserve">Many of the assumptions have been discussed in the IRP, or in this testimony.   The model used by GPC has already incorporated assumptions on load growth, fuel cost </w:t>
      </w:r>
      <w:r>
        <w:rPr>
          <w:szCs w:val="24"/>
        </w:rPr>
        <w:lastRenderedPageBreak/>
        <w:t>forecasts, wind and solar integration costs, emissions, operating characteristics of various plants, including curtailments for wind or air permit constraints for gas, DSM and DR values, seasonal capacity purchases, gas transportation costs, and revenue information associated with the utility’s capital structure and weighted average cost of capital.  This list is not exhaustive, but should demonstrate that a lot of the heavy lifting has been done.</w:t>
      </w:r>
    </w:p>
    <w:p w:rsidR="00160915" w:rsidRPr="002D1345" w:rsidRDefault="00160915" w:rsidP="00A17F55">
      <w:pPr>
        <w:spacing w:line="480" w:lineRule="auto"/>
        <w:rPr>
          <w:b/>
        </w:rPr>
      </w:pPr>
      <w:r w:rsidRPr="002D1345">
        <w:rPr>
          <w:b/>
        </w:rPr>
        <w:t>Q.</w:t>
      </w:r>
      <w:r w:rsidRPr="002D1345">
        <w:rPr>
          <w:b/>
        </w:rPr>
        <w:tab/>
        <w:t>If the heavy lifting has been done, what should be the Commission’s concern?</w:t>
      </w:r>
    </w:p>
    <w:p w:rsidR="00D50DD7" w:rsidRPr="00D50DD7" w:rsidRDefault="00160915" w:rsidP="00A17F55">
      <w:pPr>
        <w:spacing w:line="480" w:lineRule="auto"/>
        <w:rPr>
          <w:rFonts w:eastAsia="Calibri"/>
          <w:szCs w:val="24"/>
        </w:rPr>
      </w:pPr>
      <w:r w:rsidRPr="00D50DD7">
        <w:rPr>
          <w:szCs w:val="24"/>
        </w:rPr>
        <w:t>A.</w:t>
      </w:r>
      <w:r w:rsidRPr="00D50DD7">
        <w:rPr>
          <w:szCs w:val="24"/>
        </w:rPr>
        <w:tab/>
        <w:t xml:space="preserve">First, bid resources must be modeled according to their bids and without external cost factors applied to them that are not approved by the Commission.  Second, </w:t>
      </w:r>
      <w:r w:rsidR="00D50DD7" w:rsidRPr="00D50DD7">
        <w:rPr>
          <w:szCs w:val="24"/>
        </w:rPr>
        <w:t>bid resources must also have their benefits accounted for in the model.  For example, Colorado applies a “Surplus Capacity Credit” in the model f</w:t>
      </w:r>
      <w:r w:rsidR="00D50DD7" w:rsidRPr="00D50DD7">
        <w:rPr>
          <w:rFonts w:eastAsia="Calibri"/>
          <w:szCs w:val="24"/>
        </w:rPr>
        <w:t>or the period up to the year in which the Company’s loads and resources table shows firm generation capacity in excess of the planning reserve margin (i.e. the periods in which the Company is currently long capacity).</w:t>
      </w:r>
      <w:r w:rsidR="00D50DD7" w:rsidRPr="00D50DD7">
        <w:rPr>
          <w:rStyle w:val="FootnoteReference"/>
          <w:rFonts w:eastAsia="Calibri"/>
          <w:szCs w:val="24"/>
        </w:rPr>
        <w:footnoteReference w:id="37"/>
      </w:r>
      <w:r w:rsidR="00D50DD7" w:rsidRPr="00D50DD7">
        <w:rPr>
          <w:rFonts w:eastAsia="Calibri"/>
          <w:szCs w:val="24"/>
        </w:rPr>
        <w:t xml:space="preserve">  </w:t>
      </w:r>
      <w:r w:rsidR="005D572A">
        <w:rPr>
          <w:rFonts w:eastAsia="Calibri"/>
          <w:szCs w:val="24"/>
        </w:rPr>
        <w:t>In Georgia</w:t>
      </w:r>
      <w:r w:rsidR="00B53C75">
        <w:rPr>
          <w:rFonts w:eastAsia="Calibri"/>
          <w:szCs w:val="24"/>
        </w:rPr>
        <w:t>,</w:t>
      </w:r>
      <w:r w:rsidR="00523273">
        <w:rPr>
          <w:rFonts w:eastAsia="Calibri"/>
          <w:szCs w:val="24"/>
        </w:rPr>
        <w:t xml:space="preserve"> my understanding is that model would not give credit for potential </w:t>
      </w:r>
      <w:r w:rsidR="00B53C75">
        <w:rPr>
          <w:rFonts w:eastAsia="Calibri"/>
          <w:szCs w:val="24"/>
        </w:rPr>
        <w:t xml:space="preserve">short-term </w:t>
      </w:r>
      <w:r w:rsidR="00523273">
        <w:rPr>
          <w:rFonts w:eastAsia="Calibri"/>
          <w:szCs w:val="24"/>
        </w:rPr>
        <w:t>off-system sales</w:t>
      </w:r>
      <w:r w:rsidR="00B53C75">
        <w:rPr>
          <w:rFonts w:eastAsia="Calibri"/>
          <w:szCs w:val="24"/>
        </w:rPr>
        <w:t xml:space="preserve"> of firm capacity</w:t>
      </w:r>
      <w:r w:rsidR="00523273">
        <w:rPr>
          <w:rFonts w:eastAsia="Calibri"/>
          <w:szCs w:val="24"/>
        </w:rPr>
        <w:t>.</w:t>
      </w:r>
    </w:p>
    <w:p w:rsidR="00CC228C" w:rsidRPr="00CC228C" w:rsidRDefault="00CC228C" w:rsidP="00A17F55">
      <w:pPr>
        <w:spacing w:line="480" w:lineRule="auto"/>
        <w:rPr>
          <w:b/>
          <w:szCs w:val="24"/>
        </w:rPr>
      </w:pPr>
      <w:r w:rsidRPr="00CC228C">
        <w:rPr>
          <w:b/>
          <w:szCs w:val="24"/>
        </w:rPr>
        <w:t>Q.</w:t>
      </w:r>
      <w:r w:rsidRPr="00CC228C">
        <w:rPr>
          <w:b/>
          <w:szCs w:val="24"/>
        </w:rPr>
        <w:tab/>
        <w:t>Does Strategist have limitations with respect to storage?</w:t>
      </w:r>
    </w:p>
    <w:p w:rsidR="00CC228C" w:rsidRPr="00A17F55" w:rsidRDefault="00CC228C" w:rsidP="00A17F55">
      <w:pPr>
        <w:spacing w:line="480" w:lineRule="auto"/>
        <w:rPr>
          <w:szCs w:val="24"/>
        </w:rPr>
      </w:pPr>
      <w:r>
        <w:rPr>
          <w:szCs w:val="24"/>
        </w:rPr>
        <w:t>A.</w:t>
      </w:r>
      <w:r>
        <w:rPr>
          <w:szCs w:val="24"/>
        </w:rPr>
        <w:tab/>
      </w:r>
      <w:r w:rsidR="00D50DD7">
        <w:rPr>
          <w:szCs w:val="24"/>
        </w:rPr>
        <w:t>Y</w:t>
      </w:r>
      <w:r>
        <w:rPr>
          <w:szCs w:val="24"/>
        </w:rPr>
        <w:t xml:space="preserve">es, </w:t>
      </w:r>
      <w:r w:rsidR="00D50DD7">
        <w:rPr>
          <w:szCs w:val="24"/>
        </w:rPr>
        <w:t xml:space="preserve">at least the Colorado Commission has so recognized </w:t>
      </w:r>
      <w:r>
        <w:rPr>
          <w:szCs w:val="24"/>
        </w:rPr>
        <w:t xml:space="preserve">based on the testimony in the 2016 Xcel ERP referenced above.  Should the Commission adopt an all-source RFP, I </w:t>
      </w:r>
      <w:r>
        <w:rPr>
          <w:szCs w:val="24"/>
        </w:rPr>
        <w:lastRenderedPageBreak/>
        <w:t xml:space="preserve">suggest the Commission also adopt </w:t>
      </w:r>
      <w:r w:rsidR="00A06BFE">
        <w:rPr>
          <w:szCs w:val="24"/>
        </w:rPr>
        <w:t>similar</w:t>
      </w:r>
      <w:r>
        <w:rPr>
          <w:szCs w:val="24"/>
        </w:rPr>
        <w:t xml:space="preserve"> storage assumptions </w:t>
      </w:r>
      <w:r w:rsidR="00A06BFE">
        <w:rPr>
          <w:szCs w:val="24"/>
        </w:rPr>
        <w:t xml:space="preserve">to those </w:t>
      </w:r>
      <w:r>
        <w:rPr>
          <w:szCs w:val="24"/>
        </w:rPr>
        <w:t xml:space="preserve">used in the 2016 PSCO </w:t>
      </w:r>
      <w:r w:rsidR="00523273">
        <w:rPr>
          <w:szCs w:val="24"/>
        </w:rPr>
        <w:t>ERP Phase 1 Decision</w:t>
      </w:r>
      <w:r>
        <w:rPr>
          <w:szCs w:val="24"/>
        </w:rPr>
        <w:t>.</w:t>
      </w:r>
      <w:r w:rsidR="00FE713A">
        <w:rPr>
          <w:rStyle w:val="FootnoteReference"/>
          <w:szCs w:val="24"/>
        </w:rPr>
        <w:footnoteReference w:id="38"/>
      </w:r>
      <w:r>
        <w:rPr>
          <w:szCs w:val="24"/>
        </w:rPr>
        <w:t xml:space="preserve">   </w:t>
      </w:r>
    </w:p>
    <w:p w:rsidR="00CC228C" w:rsidRPr="00CC228C" w:rsidRDefault="00CC228C" w:rsidP="00FE713A">
      <w:pPr>
        <w:keepNext/>
        <w:spacing w:line="480" w:lineRule="auto"/>
        <w:rPr>
          <w:b/>
          <w:szCs w:val="24"/>
        </w:rPr>
      </w:pPr>
      <w:r w:rsidRPr="00CC228C">
        <w:rPr>
          <w:b/>
          <w:szCs w:val="24"/>
        </w:rPr>
        <w:t>Q.</w:t>
      </w:r>
      <w:r w:rsidRPr="00CC228C">
        <w:rPr>
          <w:b/>
          <w:szCs w:val="24"/>
        </w:rPr>
        <w:tab/>
        <w:t>Does Strategist have limitations with respect to renewable resource integration?</w:t>
      </w:r>
    </w:p>
    <w:p w:rsidR="00CC228C" w:rsidRDefault="00CC228C" w:rsidP="00CC228C">
      <w:pPr>
        <w:spacing w:line="480" w:lineRule="auto"/>
        <w:rPr>
          <w:szCs w:val="24"/>
        </w:rPr>
      </w:pPr>
      <w:r>
        <w:rPr>
          <w:szCs w:val="24"/>
        </w:rPr>
        <w:t>A.</w:t>
      </w:r>
      <w:r>
        <w:rPr>
          <w:szCs w:val="24"/>
        </w:rPr>
        <w:tab/>
        <w:t xml:space="preserve">My understanding is that Strategist is dependent on </w:t>
      </w:r>
      <w:r w:rsidR="005D572A">
        <w:rPr>
          <w:szCs w:val="24"/>
        </w:rPr>
        <w:t>inpu</w:t>
      </w:r>
      <w:r w:rsidR="00A06BFE">
        <w:rPr>
          <w:szCs w:val="24"/>
        </w:rPr>
        <w:t>t</w:t>
      </w:r>
      <w:r w:rsidR="005D572A">
        <w:rPr>
          <w:szCs w:val="24"/>
        </w:rPr>
        <w:t xml:space="preserve"> </w:t>
      </w:r>
      <w:r>
        <w:rPr>
          <w:szCs w:val="24"/>
        </w:rPr>
        <w:t xml:space="preserve">assumptions </w:t>
      </w:r>
      <w:r w:rsidR="005D572A">
        <w:rPr>
          <w:szCs w:val="24"/>
        </w:rPr>
        <w:t xml:space="preserve">that comprise </w:t>
      </w:r>
      <w:r>
        <w:rPr>
          <w:szCs w:val="24"/>
        </w:rPr>
        <w:t xml:space="preserve">the all-in costs of each project, including interconnection costs and ancillary services requirements.   The RCB Framework is a starting point for </w:t>
      </w:r>
      <w:r w:rsidR="0016234B">
        <w:rPr>
          <w:szCs w:val="24"/>
        </w:rPr>
        <w:t>developing</w:t>
      </w:r>
      <w:r>
        <w:rPr>
          <w:szCs w:val="24"/>
        </w:rPr>
        <w:t xml:space="preserve"> such assumptions.  Other witnesses may comment on what those final inputs should reflect.  My addition is that such inputs should be adopted into Strategist for the purposes of bid evaluation.</w:t>
      </w:r>
    </w:p>
    <w:p w:rsidR="00A17F55" w:rsidRPr="00CC228C" w:rsidRDefault="00CC228C" w:rsidP="006459F9">
      <w:pPr>
        <w:keepNext/>
        <w:rPr>
          <w:b/>
          <w:szCs w:val="24"/>
        </w:rPr>
      </w:pPr>
      <w:r w:rsidRPr="00CC228C">
        <w:rPr>
          <w:b/>
          <w:szCs w:val="24"/>
        </w:rPr>
        <w:t>Q.</w:t>
      </w:r>
      <w:r w:rsidRPr="00CC228C">
        <w:rPr>
          <w:b/>
          <w:szCs w:val="24"/>
        </w:rPr>
        <w:tab/>
        <w:t>Is modeling a panacea versus the standalone RCB Framework approach</w:t>
      </w:r>
      <w:r w:rsidR="00B53C75">
        <w:rPr>
          <w:b/>
          <w:szCs w:val="24"/>
        </w:rPr>
        <w:t xml:space="preserve"> to bid evaluation</w:t>
      </w:r>
      <w:r w:rsidRPr="00CC228C">
        <w:rPr>
          <w:b/>
          <w:szCs w:val="24"/>
        </w:rPr>
        <w:t>?</w:t>
      </w:r>
    </w:p>
    <w:p w:rsidR="00A17F55" w:rsidRDefault="00CC228C" w:rsidP="00CC228C">
      <w:pPr>
        <w:spacing w:line="480" w:lineRule="auto"/>
        <w:rPr>
          <w:szCs w:val="24"/>
        </w:rPr>
      </w:pPr>
      <w:r>
        <w:rPr>
          <w:szCs w:val="24"/>
        </w:rPr>
        <w:t>A.</w:t>
      </w:r>
      <w:r>
        <w:rPr>
          <w:szCs w:val="24"/>
        </w:rPr>
        <w:tab/>
        <w:t xml:space="preserve">It is definitely not a panacea.  </w:t>
      </w:r>
      <w:r w:rsidR="005D572A">
        <w:rPr>
          <w:szCs w:val="24"/>
        </w:rPr>
        <w:t>The Commission should be conscious that m</w:t>
      </w:r>
      <w:r w:rsidR="00A17F55" w:rsidRPr="00A17F55">
        <w:rPr>
          <w:szCs w:val="24"/>
        </w:rPr>
        <w:t xml:space="preserve">odeling offers requires vigilance to protect </w:t>
      </w:r>
      <w:r>
        <w:rPr>
          <w:szCs w:val="24"/>
        </w:rPr>
        <w:t xml:space="preserve">the market.  Here, modeling offers </w:t>
      </w:r>
      <w:r w:rsidR="00D51BC3">
        <w:rPr>
          <w:szCs w:val="24"/>
        </w:rPr>
        <w:t xml:space="preserve">a clear, and unwisely curtailed, opportunity </w:t>
      </w:r>
      <w:r>
        <w:rPr>
          <w:szCs w:val="24"/>
        </w:rPr>
        <w:t xml:space="preserve">to bring renewable energy resources on par with all other available resources to meet the resource need.   The renewable </w:t>
      </w:r>
      <w:r w:rsidR="00D51BC3">
        <w:rPr>
          <w:szCs w:val="24"/>
        </w:rPr>
        <w:t xml:space="preserve">resource development industry </w:t>
      </w:r>
      <w:r>
        <w:rPr>
          <w:szCs w:val="24"/>
        </w:rPr>
        <w:t xml:space="preserve">has become low cost and </w:t>
      </w:r>
      <w:r w:rsidR="005D572A">
        <w:rPr>
          <w:szCs w:val="24"/>
        </w:rPr>
        <w:t xml:space="preserve">includes </w:t>
      </w:r>
      <w:r>
        <w:rPr>
          <w:szCs w:val="24"/>
        </w:rPr>
        <w:t>sophisticated market players.  The market can and will rise to the challenge of an all-source RFP.   GPC’s adoption of the Strategist model gives the Commission that opportunity.  Based on my experience, that can have positive results for ratepayers.</w:t>
      </w:r>
    </w:p>
    <w:p w:rsidR="00A06BFE" w:rsidRDefault="00A06BFE" w:rsidP="00CC228C">
      <w:pPr>
        <w:spacing w:line="480" w:lineRule="auto"/>
        <w:rPr>
          <w:szCs w:val="24"/>
        </w:rPr>
      </w:pPr>
    </w:p>
    <w:p w:rsidR="00A17F55" w:rsidRPr="00CC228C" w:rsidRDefault="00A17F55" w:rsidP="00CC228C">
      <w:pPr>
        <w:spacing w:line="480" w:lineRule="auto"/>
        <w:ind w:firstLine="0"/>
        <w:rPr>
          <w:b/>
          <w:szCs w:val="24"/>
        </w:rPr>
      </w:pPr>
      <w:r w:rsidRPr="00CC228C">
        <w:rPr>
          <w:b/>
          <w:szCs w:val="24"/>
        </w:rPr>
        <w:lastRenderedPageBreak/>
        <w:t>VII.</w:t>
      </w:r>
      <w:r w:rsidRPr="00CC228C">
        <w:rPr>
          <w:b/>
          <w:szCs w:val="24"/>
        </w:rPr>
        <w:tab/>
      </w:r>
      <w:r w:rsidRPr="00CC228C">
        <w:rPr>
          <w:b/>
          <w:szCs w:val="24"/>
          <w:u w:val="single"/>
        </w:rPr>
        <w:t>Conclusion</w:t>
      </w:r>
    </w:p>
    <w:p w:rsidR="00800997" w:rsidRPr="004673ED" w:rsidRDefault="00800997" w:rsidP="00800997">
      <w:pPr>
        <w:spacing w:line="480" w:lineRule="auto"/>
        <w:rPr>
          <w:b/>
          <w:szCs w:val="24"/>
        </w:rPr>
      </w:pPr>
      <w:r w:rsidRPr="004673ED">
        <w:rPr>
          <w:b/>
          <w:szCs w:val="24"/>
        </w:rPr>
        <w:t>Q.</w:t>
      </w:r>
      <w:r w:rsidRPr="004673ED">
        <w:rPr>
          <w:b/>
          <w:szCs w:val="24"/>
        </w:rPr>
        <w:tab/>
        <w:t>Does the lack of an all-source RFP harm the market for resources in Georgia?</w:t>
      </w:r>
    </w:p>
    <w:p w:rsidR="00800997" w:rsidRPr="004673ED" w:rsidRDefault="00800997" w:rsidP="00800997">
      <w:pPr>
        <w:spacing w:line="480" w:lineRule="auto"/>
        <w:rPr>
          <w:szCs w:val="24"/>
        </w:rPr>
      </w:pPr>
      <w:r>
        <w:rPr>
          <w:szCs w:val="24"/>
        </w:rPr>
        <w:t>A.</w:t>
      </w:r>
      <w:r>
        <w:rPr>
          <w:szCs w:val="24"/>
        </w:rPr>
        <w:tab/>
        <w:t xml:space="preserve">There is no reason to believe it has harmed the market, but in my opinion it </w:t>
      </w:r>
      <w:r w:rsidR="0016234B">
        <w:rPr>
          <w:szCs w:val="24"/>
        </w:rPr>
        <w:t>may</w:t>
      </w:r>
      <w:r>
        <w:rPr>
          <w:szCs w:val="24"/>
        </w:rPr>
        <w:t xml:space="preserve"> cause reduced interest in the market from IPPs.  The </w:t>
      </w:r>
      <w:r w:rsidR="005C7C8C" w:rsidRPr="004673ED">
        <w:rPr>
          <w:szCs w:val="24"/>
        </w:rPr>
        <w:t>GP</w:t>
      </w:r>
      <w:r w:rsidR="005C7C8C">
        <w:rPr>
          <w:szCs w:val="24"/>
        </w:rPr>
        <w:t>C</w:t>
      </w:r>
      <w:r w:rsidR="005C7C8C" w:rsidRPr="004673ED">
        <w:rPr>
          <w:szCs w:val="24"/>
        </w:rPr>
        <w:t xml:space="preserve"> </w:t>
      </w:r>
      <w:r>
        <w:rPr>
          <w:szCs w:val="24"/>
        </w:rPr>
        <w:t>re</w:t>
      </w:r>
      <w:r w:rsidRPr="004673ED">
        <w:rPr>
          <w:szCs w:val="24"/>
        </w:rPr>
        <w:t xml:space="preserve">newables market is </w:t>
      </w:r>
      <w:r>
        <w:rPr>
          <w:szCs w:val="24"/>
        </w:rPr>
        <w:t xml:space="preserve">being artificially </w:t>
      </w:r>
      <w:r w:rsidRPr="004673ED">
        <w:rPr>
          <w:szCs w:val="24"/>
        </w:rPr>
        <w:t xml:space="preserve">constrained in </w:t>
      </w:r>
      <w:r>
        <w:rPr>
          <w:szCs w:val="24"/>
        </w:rPr>
        <w:t xml:space="preserve">the </w:t>
      </w:r>
      <w:r w:rsidRPr="004673ED">
        <w:rPr>
          <w:szCs w:val="24"/>
        </w:rPr>
        <w:t>IRP to customer-supported pro</w:t>
      </w:r>
      <w:r w:rsidR="005C7C8C">
        <w:rPr>
          <w:szCs w:val="24"/>
        </w:rPr>
        <w:t xml:space="preserve">ducts </w:t>
      </w:r>
      <w:r w:rsidRPr="004673ED">
        <w:rPr>
          <w:szCs w:val="24"/>
        </w:rPr>
        <w:t xml:space="preserve">despite </w:t>
      </w:r>
      <w:r>
        <w:rPr>
          <w:szCs w:val="24"/>
        </w:rPr>
        <w:t xml:space="preserve">the clear </w:t>
      </w:r>
      <w:r w:rsidRPr="004673ED">
        <w:rPr>
          <w:szCs w:val="24"/>
        </w:rPr>
        <w:t xml:space="preserve">market growth and </w:t>
      </w:r>
      <w:r>
        <w:rPr>
          <w:szCs w:val="24"/>
        </w:rPr>
        <w:t xml:space="preserve">lower costs </w:t>
      </w:r>
      <w:r w:rsidR="005C7C8C">
        <w:rPr>
          <w:szCs w:val="24"/>
        </w:rPr>
        <w:t>being developed</w:t>
      </w:r>
      <w:r w:rsidRPr="004673ED">
        <w:rPr>
          <w:szCs w:val="24"/>
        </w:rPr>
        <w:t xml:space="preserve"> nationwide. </w:t>
      </w:r>
      <w:r>
        <w:rPr>
          <w:szCs w:val="24"/>
        </w:rPr>
        <w:t xml:space="preserve"> </w:t>
      </w:r>
      <w:r w:rsidR="00D51BC3">
        <w:rPr>
          <w:szCs w:val="24"/>
        </w:rPr>
        <w:t xml:space="preserve">Whereas the CRSP is a nameplate capacity </w:t>
      </w:r>
      <w:r w:rsidR="005C7C8C">
        <w:rPr>
          <w:szCs w:val="24"/>
        </w:rPr>
        <w:t xml:space="preserve">950 MW </w:t>
      </w:r>
      <w:r w:rsidR="00D51BC3">
        <w:rPr>
          <w:szCs w:val="24"/>
        </w:rPr>
        <w:t xml:space="preserve">RFP, the Plant Bowen Units 1-2 </w:t>
      </w:r>
      <w:r w:rsidR="005C7C8C">
        <w:rPr>
          <w:szCs w:val="24"/>
        </w:rPr>
        <w:t xml:space="preserve">need </w:t>
      </w:r>
      <w:r w:rsidR="00D51BC3">
        <w:rPr>
          <w:szCs w:val="24"/>
        </w:rPr>
        <w:t>may be several gigawatts of renewable capacity, based on a partial capacity credit (for example, at 50% capacity credit it would require 2 GW of solar to achieve 1,000 MW of capacity).  The size of that market opportunity will attract nationwide attention</w:t>
      </w:r>
      <w:r w:rsidR="005C7C8C">
        <w:rPr>
          <w:szCs w:val="24"/>
        </w:rPr>
        <w:t xml:space="preserve">.  Renewable resource </w:t>
      </w:r>
      <w:r w:rsidR="00D51BC3">
        <w:rPr>
          <w:szCs w:val="24"/>
        </w:rPr>
        <w:t xml:space="preserve">economies of scale </w:t>
      </w:r>
      <w:r w:rsidR="005C7C8C">
        <w:rPr>
          <w:szCs w:val="24"/>
        </w:rPr>
        <w:t>can drive down bid prices significantly</w:t>
      </w:r>
      <w:r w:rsidR="00D51BC3">
        <w:rPr>
          <w:szCs w:val="24"/>
        </w:rPr>
        <w:t xml:space="preserve">. </w:t>
      </w:r>
      <w:r>
        <w:rPr>
          <w:szCs w:val="24"/>
        </w:rPr>
        <w:t xml:space="preserve"> </w:t>
      </w:r>
    </w:p>
    <w:p w:rsidR="00CC228C" w:rsidRPr="00D50DD7" w:rsidRDefault="00CC228C" w:rsidP="00CC228C">
      <w:pPr>
        <w:spacing w:line="480" w:lineRule="auto"/>
        <w:rPr>
          <w:b/>
        </w:rPr>
      </w:pPr>
      <w:r w:rsidRPr="00D50DD7">
        <w:rPr>
          <w:b/>
        </w:rPr>
        <w:t>Q.</w:t>
      </w:r>
      <w:r w:rsidRPr="00D50DD7">
        <w:rPr>
          <w:b/>
        </w:rPr>
        <w:tab/>
        <w:t>Do you draw any other conclusions for the Commission’s consideration?</w:t>
      </w:r>
    </w:p>
    <w:p w:rsidR="00A17F55" w:rsidRPr="00A17F55" w:rsidRDefault="00CC228C" w:rsidP="00A17F55">
      <w:pPr>
        <w:spacing w:line="480" w:lineRule="auto"/>
        <w:rPr>
          <w:szCs w:val="24"/>
        </w:rPr>
      </w:pPr>
      <w:r>
        <w:t>A.</w:t>
      </w:r>
      <w:r>
        <w:tab/>
        <w:t>Yes.  I recommend t</w:t>
      </w:r>
      <w:r w:rsidR="002A0813">
        <w:t xml:space="preserve">he Commission </w:t>
      </w:r>
      <w:r>
        <w:t>rely</w:t>
      </w:r>
      <w:r w:rsidR="0033130C">
        <w:t xml:space="preserve"> </w:t>
      </w:r>
      <w:r w:rsidR="002A0813">
        <w:t>on market</w:t>
      </w:r>
      <w:r w:rsidR="00D51BC3">
        <w:t>-</w:t>
      </w:r>
      <w:r w:rsidR="002A0813">
        <w:t xml:space="preserve">based solutions </w:t>
      </w:r>
      <w:r w:rsidR="0033130C">
        <w:t xml:space="preserve">to deliver price discipline and technological innovation to </w:t>
      </w:r>
      <w:r w:rsidR="002A0813">
        <w:t>benefit ratepayers</w:t>
      </w:r>
      <w:r w:rsidR="00800997">
        <w:t xml:space="preserve"> by replacing the energy and capacity needs on the system in an economic fashion</w:t>
      </w:r>
      <w:r w:rsidR="002A0813">
        <w:t>.</w:t>
      </w:r>
      <w:r w:rsidR="0033130C">
        <w:t xml:space="preserve">  </w:t>
      </w:r>
      <w:r w:rsidR="00A17F55" w:rsidRPr="00A17F55">
        <w:rPr>
          <w:szCs w:val="24"/>
        </w:rPr>
        <w:t xml:space="preserve">Without an all-source RFP, ratepayers are potentially leaving money on the table.  The </w:t>
      </w:r>
      <w:r w:rsidR="00581FFF">
        <w:rPr>
          <w:szCs w:val="24"/>
        </w:rPr>
        <w:t>G</w:t>
      </w:r>
      <w:r w:rsidR="00A17F55" w:rsidRPr="00A17F55">
        <w:rPr>
          <w:szCs w:val="24"/>
        </w:rPr>
        <w:t xml:space="preserve">PSC </w:t>
      </w:r>
      <w:r w:rsidR="0033130C">
        <w:rPr>
          <w:szCs w:val="24"/>
        </w:rPr>
        <w:t xml:space="preserve">and GPC </w:t>
      </w:r>
      <w:r w:rsidR="00A17F55" w:rsidRPr="00A17F55">
        <w:rPr>
          <w:szCs w:val="24"/>
        </w:rPr>
        <w:t>h</w:t>
      </w:r>
      <w:r w:rsidR="0033130C">
        <w:rPr>
          <w:szCs w:val="24"/>
        </w:rPr>
        <w:t>ave</w:t>
      </w:r>
      <w:r w:rsidR="00A17F55" w:rsidRPr="00A17F55">
        <w:rPr>
          <w:szCs w:val="24"/>
        </w:rPr>
        <w:t xml:space="preserve"> the tools to </w:t>
      </w:r>
      <w:r w:rsidR="0033130C">
        <w:rPr>
          <w:szCs w:val="24"/>
        </w:rPr>
        <w:t>allow</w:t>
      </w:r>
      <w:r w:rsidR="00A17F55" w:rsidRPr="00A17F55">
        <w:rPr>
          <w:szCs w:val="24"/>
        </w:rPr>
        <w:t xml:space="preserve"> this</w:t>
      </w:r>
      <w:r w:rsidR="0033130C">
        <w:rPr>
          <w:szCs w:val="24"/>
        </w:rPr>
        <w:t xml:space="preserve"> market fix</w:t>
      </w:r>
      <w:r w:rsidR="00A17F55" w:rsidRPr="00A17F55">
        <w:rPr>
          <w:szCs w:val="24"/>
        </w:rPr>
        <w:t>, and the time horizon to give it a chance to work in practice.</w:t>
      </w:r>
    </w:p>
    <w:p w:rsidR="0036456B" w:rsidRPr="00CB15B1" w:rsidRDefault="0036456B" w:rsidP="00955BA4">
      <w:pPr>
        <w:pStyle w:val="BodyTextIndent"/>
        <w:keepNext/>
        <w:spacing w:after="160" w:line="360" w:lineRule="auto"/>
        <w:ind w:left="720" w:hanging="720"/>
        <w:rPr>
          <w:rFonts w:ascii="Times New Roman" w:hAnsi="Times New Roman"/>
          <w:b/>
          <w:lang w:val="en-US"/>
        </w:rPr>
      </w:pPr>
      <w:r w:rsidRPr="0036456B">
        <w:rPr>
          <w:rFonts w:ascii="Times New Roman" w:hAnsi="Times New Roman"/>
          <w:b/>
        </w:rPr>
        <w:t>Q.</w:t>
      </w:r>
      <w:r w:rsidRPr="0036456B">
        <w:rPr>
          <w:rFonts w:ascii="Times New Roman" w:hAnsi="Times New Roman"/>
          <w:b/>
        </w:rPr>
        <w:tab/>
        <w:t>Do</w:t>
      </w:r>
      <w:r w:rsidR="008578D5">
        <w:rPr>
          <w:rFonts w:ascii="Times New Roman" w:hAnsi="Times New Roman"/>
          <w:b/>
        </w:rPr>
        <w:t>es this conclude your testimony</w:t>
      </w:r>
      <w:r w:rsidR="00CB15B1">
        <w:rPr>
          <w:rFonts w:ascii="Times New Roman" w:hAnsi="Times New Roman"/>
          <w:b/>
          <w:lang w:val="en-US"/>
        </w:rPr>
        <w:t>?</w:t>
      </w:r>
    </w:p>
    <w:p w:rsidR="0036456B" w:rsidRPr="0036456B" w:rsidRDefault="0036456B" w:rsidP="00704815">
      <w:pPr>
        <w:pStyle w:val="BodyTextIndent"/>
        <w:rPr>
          <w:rFonts w:ascii="Times New Roman" w:hAnsi="Times New Roman"/>
        </w:rPr>
      </w:pPr>
      <w:r w:rsidRPr="0036456B">
        <w:rPr>
          <w:rFonts w:ascii="Times New Roman" w:hAnsi="Times New Roman"/>
        </w:rPr>
        <w:t>A</w:t>
      </w:r>
      <w:r w:rsidRPr="0036456B">
        <w:rPr>
          <w:rFonts w:ascii="Times New Roman" w:hAnsi="Times New Roman"/>
          <w:b/>
        </w:rPr>
        <w:t>.</w:t>
      </w:r>
      <w:r w:rsidRPr="0036456B">
        <w:rPr>
          <w:rFonts w:ascii="Times New Roman" w:hAnsi="Times New Roman"/>
          <w:b/>
        </w:rPr>
        <w:tab/>
      </w:r>
      <w:r w:rsidRPr="0036456B">
        <w:rPr>
          <w:rFonts w:ascii="Times New Roman" w:hAnsi="Times New Roman"/>
        </w:rPr>
        <w:t>Yes</w:t>
      </w:r>
      <w:r w:rsidR="00CB15B1">
        <w:rPr>
          <w:rFonts w:ascii="Times New Roman" w:hAnsi="Times New Roman"/>
          <w:lang w:val="en-US"/>
        </w:rPr>
        <w:t>, it does. Thank you</w:t>
      </w:r>
      <w:r w:rsidRPr="0036456B">
        <w:rPr>
          <w:rFonts w:ascii="Times New Roman" w:hAnsi="Times New Roman"/>
        </w:rPr>
        <w:t>.</w:t>
      </w:r>
    </w:p>
    <w:sectPr w:rsidR="0036456B" w:rsidRPr="0036456B" w:rsidSect="000F4A4E">
      <w:headerReference w:type="default" r:id="rId9"/>
      <w:footerReference w:type="default" r:id="rId10"/>
      <w:headerReference w:type="first" r:id="rId11"/>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B1D" w:rsidRDefault="00F62B1D" w:rsidP="00BC33A2">
      <w:pPr>
        <w:spacing w:after="0" w:line="240" w:lineRule="auto"/>
      </w:pPr>
      <w:r>
        <w:separator/>
      </w:r>
    </w:p>
  </w:endnote>
  <w:endnote w:type="continuationSeparator" w:id="0">
    <w:p w:rsidR="00F62B1D" w:rsidRDefault="00F62B1D" w:rsidP="00BC33A2">
      <w:pPr>
        <w:spacing w:after="0" w:line="240" w:lineRule="auto"/>
      </w:pPr>
      <w:r>
        <w:continuationSeparator/>
      </w:r>
    </w:p>
  </w:endnote>
  <w:endnote w:type="continuationNotice" w:id="1">
    <w:p w:rsidR="00F62B1D" w:rsidRDefault="00F62B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B52" w:rsidRDefault="00C21B52">
    <w:pPr>
      <w:pStyle w:val="Footer"/>
      <w:jc w:val="center"/>
    </w:pPr>
    <w:r>
      <w:fldChar w:fldCharType="begin"/>
    </w:r>
    <w:r>
      <w:instrText xml:space="preserve"> PAGE   \* MERGEFORMAT </w:instrText>
    </w:r>
    <w:r>
      <w:fldChar w:fldCharType="separate"/>
    </w:r>
    <w:r w:rsidR="00A76FF6">
      <w:rPr>
        <w:noProof/>
      </w:rPr>
      <w:t>40</w:t>
    </w:r>
    <w:r>
      <w:fldChar w:fldCharType="end"/>
    </w:r>
  </w:p>
  <w:p w:rsidR="00C21B52" w:rsidRDefault="00C21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B1D" w:rsidRDefault="00F62B1D" w:rsidP="00BC33A2">
      <w:pPr>
        <w:spacing w:after="0" w:line="240" w:lineRule="auto"/>
      </w:pPr>
      <w:r>
        <w:separator/>
      </w:r>
    </w:p>
  </w:footnote>
  <w:footnote w:type="continuationSeparator" w:id="0">
    <w:p w:rsidR="00F62B1D" w:rsidRDefault="00F62B1D" w:rsidP="00BC33A2">
      <w:pPr>
        <w:spacing w:after="0" w:line="240" w:lineRule="auto"/>
      </w:pPr>
      <w:r>
        <w:continuationSeparator/>
      </w:r>
    </w:p>
  </w:footnote>
  <w:footnote w:type="continuationNotice" w:id="1">
    <w:p w:rsidR="00F62B1D" w:rsidRDefault="00F62B1D">
      <w:pPr>
        <w:spacing w:after="0" w:line="240" w:lineRule="auto"/>
      </w:pPr>
    </w:p>
  </w:footnote>
  <w:footnote w:id="2">
    <w:p w:rsidR="00C21B52" w:rsidRPr="00173E81" w:rsidRDefault="00C21B52" w:rsidP="000A1447">
      <w:pPr>
        <w:pStyle w:val="FootnoteText"/>
        <w:ind w:left="0" w:firstLine="0"/>
        <w:rPr>
          <w:lang w:val="en-US"/>
        </w:rPr>
      </w:pPr>
      <w:r>
        <w:rPr>
          <w:rStyle w:val="FootnoteReference"/>
        </w:rPr>
        <w:footnoteRef/>
      </w:r>
      <w:r>
        <w:t xml:space="preserve"> </w:t>
      </w:r>
      <w:r>
        <w:rPr>
          <w:lang w:val="en-US"/>
        </w:rPr>
        <w:t xml:space="preserve">Public Service Company of Colorado Annual Progress Report, Colorado Public Utilities Commission Proceeding 16A-0396E, dated October 31, 2018. </w:t>
      </w:r>
    </w:p>
  </w:footnote>
  <w:footnote w:id="3">
    <w:p w:rsidR="00C21B52" w:rsidRPr="00FF182C" w:rsidRDefault="00C21B52" w:rsidP="00BB2D57">
      <w:pPr>
        <w:pStyle w:val="Heading4"/>
        <w:spacing w:before="0" w:beforeAutospacing="0" w:after="0" w:afterAutospacing="0"/>
        <w:rPr>
          <w:b w:val="0"/>
          <w:sz w:val="20"/>
          <w:szCs w:val="20"/>
        </w:rPr>
      </w:pPr>
      <w:r w:rsidRPr="00FF182C">
        <w:rPr>
          <w:rStyle w:val="FootnoteReference"/>
          <w:b w:val="0"/>
          <w:sz w:val="20"/>
          <w:szCs w:val="20"/>
        </w:rPr>
        <w:footnoteRef/>
      </w:r>
      <w:r w:rsidRPr="00FF182C">
        <w:rPr>
          <w:b w:val="0"/>
          <w:sz w:val="20"/>
          <w:szCs w:val="20"/>
        </w:rPr>
        <w:t xml:space="preserve"> </w:t>
      </w:r>
      <w:r w:rsidRPr="00FF182C">
        <w:rPr>
          <w:b w:val="0"/>
          <w:i/>
          <w:sz w:val="20"/>
          <w:szCs w:val="20"/>
        </w:rPr>
        <w:t xml:space="preserve">See e.g., </w:t>
      </w:r>
      <w:r w:rsidR="00FE713A">
        <w:rPr>
          <w:b w:val="0"/>
          <w:sz w:val="20"/>
          <w:szCs w:val="20"/>
        </w:rPr>
        <w:t xml:space="preserve">Rocky Mountain Institute, </w:t>
      </w:r>
      <w:r w:rsidRPr="00FE713A">
        <w:rPr>
          <w:b w:val="0"/>
          <w:i/>
          <w:sz w:val="20"/>
          <w:szCs w:val="20"/>
        </w:rPr>
        <w:t>The Economics of Clean Energy Portfolios</w:t>
      </w:r>
      <w:r w:rsidR="00FE713A">
        <w:rPr>
          <w:b w:val="0"/>
          <w:sz w:val="20"/>
          <w:szCs w:val="20"/>
        </w:rPr>
        <w:t xml:space="preserve"> (</w:t>
      </w:r>
      <w:r>
        <w:rPr>
          <w:b w:val="0"/>
          <w:sz w:val="20"/>
          <w:szCs w:val="20"/>
        </w:rPr>
        <w:t>May 2018</w:t>
      </w:r>
      <w:r w:rsidR="00FE713A">
        <w:rPr>
          <w:b w:val="0"/>
          <w:sz w:val="20"/>
          <w:szCs w:val="20"/>
        </w:rPr>
        <w:t>).</w:t>
      </w:r>
      <w:r>
        <w:rPr>
          <w:b w:val="0"/>
          <w:sz w:val="20"/>
          <w:szCs w:val="20"/>
        </w:rPr>
        <w:t xml:space="preserve"> “</w:t>
      </w:r>
      <w:r w:rsidRPr="00FF182C">
        <w:rPr>
          <w:b w:val="0"/>
          <w:sz w:val="20"/>
          <w:szCs w:val="20"/>
        </w:rPr>
        <w:t>RMI’s analysis finds that, because of recent innovation and rapid cost declines in renewable energy and DER technologies, clean energy portfolios can often be procured at significant net cost savings, with lower risk and zero carbon and air emissions, compared to building a new gas plant.</w:t>
      </w:r>
      <w:r w:rsidR="00FE713A">
        <w:rPr>
          <w:b w:val="0"/>
          <w:sz w:val="20"/>
          <w:szCs w:val="20"/>
        </w:rPr>
        <w:t>”</w:t>
      </w:r>
    </w:p>
    <w:p w:rsidR="00C21B52" w:rsidRPr="00FF182C" w:rsidRDefault="00C21B52" w:rsidP="000A1447">
      <w:pPr>
        <w:pStyle w:val="FootnoteText"/>
        <w:ind w:left="0" w:firstLine="0"/>
        <w:rPr>
          <w:lang w:val="en-US"/>
        </w:rPr>
      </w:pPr>
    </w:p>
  </w:footnote>
  <w:footnote w:id="4">
    <w:p w:rsidR="00C21B52" w:rsidRPr="00BB2D57" w:rsidRDefault="00C21B52" w:rsidP="00BB2D57">
      <w:pPr>
        <w:pStyle w:val="FootnoteText"/>
        <w:ind w:left="0" w:firstLine="0"/>
        <w:rPr>
          <w:lang w:val="en-US"/>
        </w:rPr>
      </w:pPr>
      <w:r>
        <w:rPr>
          <w:rStyle w:val="FootnoteReference"/>
        </w:rPr>
        <w:footnoteRef/>
      </w:r>
      <w:r>
        <w:t xml:space="preserve"> </w:t>
      </w:r>
      <w:r>
        <w:rPr>
          <w:lang w:val="en-US"/>
        </w:rPr>
        <w:t xml:space="preserve">As suggested by SACE witnesses </w:t>
      </w:r>
      <w:proofErr w:type="spellStart"/>
      <w:r>
        <w:rPr>
          <w:lang w:val="en-US"/>
        </w:rPr>
        <w:t>Mssrs</w:t>
      </w:r>
      <w:proofErr w:type="spellEnd"/>
      <w:r>
        <w:rPr>
          <w:lang w:val="en-US"/>
        </w:rPr>
        <w:t>. Wilson and Jacob, the Commission may elect to see a similar review for the Plant Wansley units.</w:t>
      </w:r>
    </w:p>
  </w:footnote>
  <w:footnote w:id="5">
    <w:p w:rsidR="00C21B52" w:rsidRPr="001910A5" w:rsidRDefault="00C21B52" w:rsidP="00AE6869">
      <w:pPr>
        <w:pStyle w:val="FootnoteText"/>
        <w:ind w:left="0" w:firstLine="0"/>
        <w:rPr>
          <w:lang w:val="en-US"/>
        </w:rPr>
      </w:pPr>
      <w:r>
        <w:rPr>
          <w:rStyle w:val="FootnoteReference"/>
        </w:rPr>
        <w:footnoteRef/>
      </w:r>
      <w:r>
        <w:t xml:space="preserve"> </w:t>
      </w:r>
      <w:r w:rsidR="00FE713A">
        <w:rPr>
          <w:lang w:val="en-US"/>
        </w:rPr>
        <w:t xml:space="preserve">Colorado Public Utilities Commission, </w:t>
      </w:r>
      <w:r w:rsidR="00FE713A">
        <w:rPr>
          <w:i/>
          <w:lang w:val="en-US"/>
        </w:rPr>
        <w:t xml:space="preserve">Phase I Decision Granting, with Modifications, Application for Approval of 2016 Electric Resource </w:t>
      </w:r>
      <w:r w:rsidR="00FE713A" w:rsidRPr="00FE713A">
        <w:rPr>
          <w:lang w:val="en-US"/>
        </w:rPr>
        <w:t>Plan</w:t>
      </w:r>
      <w:r w:rsidR="00FE713A">
        <w:rPr>
          <w:lang w:val="en-US"/>
        </w:rPr>
        <w:t xml:space="preserve">, Decision No. C17-0316, Proceeding No. 16A-0396E, </w:t>
      </w:r>
      <w:r>
        <w:rPr>
          <w:lang w:val="en-US"/>
        </w:rPr>
        <w:t>p. 44</w:t>
      </w:r>
      <w:r w:rsidR="00FE713A">
        <w:rPr>
          <w:lang w:val="en-US"/>
        </w:rPr>
        <w:t>.</w:t>
      </w:r>
    </w:p>
  </w:footnote>
  <w:footnote w:id="6">
    <w:p w:rsidR="00C21B52" w:rsidRPr="001910A5" w:rsidRDefault="00C21B52" w:rsidP="000A1447">
      <w:pPr>
        <w:pStyle w:val="FootnoteText"/>
        <w:ind w:left="0" w:firstLine="0"/>
        <w:rPr>
          <w:lang w:val="en-US"/>
        </w:rPr>
      </w:pPr>
      <w:r>
        <w:rPr>
          <w:rStyle w:val="FootnoteReference"/>
        </w:rPr>
        <w:footnoteRef/>
      </w:r>
      <w:r>
        <w:t xml:space="preserve"> </w:t>
      </w:r>
      <w:r>
        <w:rPr>
          <w:lang w:val="en-US"/>
        </w:rPr>
        <w:t>These values are taken from the technical appendices to Xcel’s 2016 ERP application.</w:t>
      </w:r>
    </w:p>
  </w:footnote>
  <w:footnote w:id="7">
    <w:p w:rsidR="00C21B52" w:rsidRPr="00762669" w:rsidRDefault="00C21B52" w:rsidP="000A1447">
      <w:pPr>
        <w:pStyle w:val="FootnoteText"/>
        <w:ind w:left="0" w:firstLine="0"/>
        <w:rPr>
          <w:lang w:val="en-US"/>
        </w:rPr>
      </w:pPr>
      <w:r>
        <w:rPr>
          <w:rStyle w:val="FootnoteReference"/>
        </w:rPr>
        <w:footnoteRef/>
      </w:r>
      <w:r>
        <w:t xml:space="preserve"> </w:t>
      </w:r>
      <w:r>
        <w:rPr>
          <w:i/>
          <w:lang w:val="en-US"/>
        </w:rPr>
        <w:t xml:space="preserve">See, </w:t>
      </w:r>
      <w:r>
        <w:rPr>
          <w:lang w:val="en-US"/>
        </w:rPr>
        <w:t>Attachment AKJ-2 to Xcel 2016 ERP application, at page 2-224.</w:t>
      </w:r>
    </w:p>
  </w:footnote>
  <w:footnote w:id="8">
    <w:p w:rsidR="00C21B52" w:rsidRPr="009E60D7" w:rsidRDefault="00C21B52" w:rsidP="000A1447">
      <w:pPr>
        <w:pStyle w:val="FootnoteText"/>
        <w:ind w:left="0" w:firstLine="0"/>
        <w:rPr>
          <w:lang w:val="en-US"/>
        </w:rPr>
      </w:pPr>
      <w:r>
        <w:rPr>
          <w:rStyle w:val="FootnoteReference"/>
        </w:rPr>
        <w:footnoteRef/>
      </w:r>
      <w:r>
        <w:t xml:space="preserve"> </w:t>
      </w:r>
      <w:r>
        <w:rPr>
          <w:lang w:val="en-US"/>
        </w:rPr>
        <w:t>Note that there is a pending Notice of Public Rulemaking regarding the ERP rules.  The Colorado Commission has proposed a more formal process regarding the contents of a Phase 2 Report, among other reforms.</w:t>
      </w:r>
    </w:p>
  </w:footnote>
  <w:footnote w:id="9">
    <w:p w:rsidR="00C21B52" w:rsidRPr="007A2585" w:rsidRDefault="00C21B52" w:rsidP="000A1447">
      <w:pPr>
        <w:pStyle w:val="FootnoteText"/>
        <w:ind w:left="0" w:firstLine="0"/>
        <w:rPr>
          <w:lang w:val="en-US"/>
        </w:rPr>
      </w:pPr>
      <w:r>
        <w:rPr>
          <w:rStyle w:val="FootnoteReference"/>
        </w:rPr>
        <w:footnoteRef/>
      </w:r>
      <w:r>
        <w:t xml:space="preserve"> </w:t>
      </w:r>
      <w:r w:rsidR="007A2585">
        <w:rPr>
          <w:lang w:val="en-US"/>
        </w:rPr>
        <w:t xml:space="preserve">Xcel Energy Colorado, </w:t>
      </w:r>
      <w:r w:rsidR="007A2585">
        <w:rPr>
          <w:i/>
          <w:lang w:val="en-US"/>
        </w:rPr>
        <w:t>2016 Electric Resource Plan, 120-Day Report</w:t>
      </w:r>
      <w:r w:rsidR="007A2585">
        <w:rPr>
          <w:lang w:val="en-US"/>
        </w:rPr>
        <w:t>, CPUC Proceeding No. 16A-0396E (June 6, 2018).</w:t>
      </w:r>
    </w:p>
  </w:footnote>
  <w:footnote w:id="10">
    <w:p w:rsidR="00C21B52" w:rsidRPr="008C72B6" w:rsidRDefault="00C21B52" w:rsidP="000A1447">
      <w:pPr>
        <w:pStyle w:val="FootnoteText"/>
        <w:ind w:left="0" w:firstLine="0"/>
        <w:rPr>
          <w:lang w:val="en-US"/>
        </w:rPr>
      </w:pPr>
      <w:r>
        <w:rPr>
          <w:rStyle w:val="FootnoteReference"/>
        </w:rPr>
        <w:footnoteRef/>
      </w:r>
      <w:r>
        <w:t xml:space="preserve"> </w:t>
      </w:r>
      <w:r>
        <w:rPr>
          <w:lang w:val="en-US"/>
        </w:rPr>
        <w:t>Due to the timing of the proposal, an additional hearing was conducted on the proposed retirement process.</w:t>
      </w:r>
    </w:p>
  </w:footnote>
  <w:footnote w:id="11">
    <w:p w:rsidR="00C21B52" w:rsidRPr="008C72B6" w:rsidRDefault="00C21B52" w:rsidP="000A1447">
      <w:pPr>
        <w:pStyle w:val="FootnoteText"/>
        <w:ind w:left="0" w:firstLine="0"/>
        <w:rPr>
          <w:lang w:val="en-US"/>
        </w:rPr>
      </w:pPr>
      <w:r>
        <w:rPr>
          <w:rStyle w:val="FootnoteReference"/>
        </w:rPr>
        <w:footnoteRef/>
      </w:r>
      <w:r>
        <w:t xml:space="preserve"> </w:t>
      </w:r>
      <w:r w:rsidR="007A2585">
        <w:rPr>
          <w:lang w:val="en-US"/>
        </w:rPr>
        <w:t xml:space="preserve">Xcel Energy Colorado, </w:t>
      </w:r>
      <w:r w:rsidR="007A2585">
        <w:rPr>
          <w:i/>
          <w:lang w:val="en-US"/>
        </w:rPr>
        <w:t>2016 Electric Resource Plan, 120-Day Report</w:t>
      </w:r>
      <w:r w:rsidR="007A2585">
        <w:rPr>
          <w:lang w:val="en-US"/>
        </w:rPr>
        <w:t>, CPUC Proceeding No. 16A-0396E (June 6, 2018)</w:t>
      </w:r>
      <w:r>
        <w:rPr>
          <w:lang w:val="en-US"/>
        </w:rPr>
        <w:t xml:space="preserve">, </w:t>
      </w:r>
      <w:r w:rsidR="007A2585">
        <w:rPr>
          <w:lang w:val="en-US"/>
        </w:rPr>
        <w:t>pp.</w:t>
      </w:r>
      <w:r>
        <w:rPr>
          <w:lang w:val="en-US"/>
        </w:rPr>
        <w:t xml:space="preserve"> 8-9.  Because the resource acquisition period ended in 2023, Xcel deferred some capacity need due to the proposed retirement of the Comanche 2 Unit in 2025.</w:t>
      </w:r>
    </w:p>
  </w:footnote>
  <w:footnote w:id="12">
    <w:p w:rsidR="00C21B52" w:rsidRPr="007A2585" w:rsidRDefault="00C21B52" w:rsidP="000A1447">
      <w:pPr>
        <w:pStyle w:val="FootnoteText"/>
        <w:ind w:left="0" w:firstLine="0"/>
        <w:rPr>
          <w:lang w:val="en-US"/>
        </w:rPr>
      </w:pPr>
      <w:r>
        <w:rPr>
          <w:rStyle w:val="FootnoteReference"/>
        </w:rPr>
        <w:footnoteRef/>
      </w:r>
      <w:r>
        <w:t xml:space="preserve"> </w:t>
      </w:r>
      <w:r w:rsidR="007A2585">
        <w:rPr>
          <w:lang w:val="en-US"/>
        </w:rPr>
        <w:t xml:space="preserve">Colorado Public Utilities Commission, </w:t>
      </w:r>
      <w:r w:rsidR="007A2585">
        <w:rPr>
          <w:i/>
          <w:lang w:val="en-US"/>
        </w:rPr>
        <w:t>Phase II Decision Approving Retirement of Comanche Units 1 and 2; Approving Resource Selection in Colorado Energy Plan Portfolio; Setting Requirements for Applications for Certificates of Public Convenience and Necessity; and Setting Requirements for the Next Electric Resource Plan Filing</w:t>
      </w:r>
      <w:r w:rsidR="007A2585">
        <w:rPr>
          <w:lang w:val="en-US"/>
        </w:rPr>
        <w:t>, Decision No. C18-0761, Proceeding No. 16A-0396E (August 27, 2018).</w:t>
      </w:r>
    </w:p>
  </w:footnote>
  <w:footnote w:id="13">
    <w:p w:rsidR="00C21B52" w:rsidRPr="00352FAF" w:rsidRDefault="00C21B52" w:rsidP="000A1447">
      <w:pPr>
        <w:pStyle w:val="FootnoteText"/>
        <w:ind w:left="0" w:firstLine="0"/>
        <w:rPr>
          <w:lang w:val="en-US"/>
        </w:rPr>
      </w:pPr>
      <w:r>
        <w:rPr>
          <w:rStyle w:val="FootnoteReference"/>
        </w:rPr>
        <w:footnoteRef/>
      </w:r>
      <w:r>
        <w:t xml:space="preserve"> </w:t>
      </w:r>
      <w:r w:rsidR="007A2585">
        <w:rPr>
          <w:lang w:val="en-US"/>
        </w:rPr>
        <w:t xml:space="preserve">Xcel Energy Colorado, </w:t>
      </w:r>
      <w:r w:rsidR="007A2585">
        <w:rPr>
          <w:i/>
          <w:lang w:val="en-US"/>
        </w:rPr>
        <w:t>2016 Electric Resource Plan, 120-Day Report</w:t>
      </w:r>
      <w:r w:rsidR="007A2585">
        <w:rPr>
          <w:lang w:val="en-US"/>
        </w:rPr>
        <w:t xml:space="preserve">, CPUC Proceeding No. 16A-0396E (June 6, 2018), p. </w:t>
      </w:r>
      <w:r>
        <w:rPr>
          <w:lang w:val="en-US"/>
        </w:rPr>
        <w:t>52.</w:t>
      </w:r>
    </w:p>
  </w:footnote>
  <w:footnote w:id="14">
    <w:p w:rsidR="00C21B52" w:rsidRPr="009D795A" w:rsidRDefault="00C21B52" w:rsidP="000A1447">
      <w:pPr>
        <w:pStyle w:val="FootnoteText"/>
        <w:ind w:left="0" w:firstLine="0"/>
        <w:rPr>
          <w:lang w:val="en-US"/>
        </w:rPr>
      </w:pPr>
      <w:r>
        <w:rPr>
          <w:rStyle w:val="FootnoteReference"/>
        </w:rPr>
        <w:footnoteRef/>
      </w:r>
      <w:r>
        <w:t xml:space="preserve"> </w:t>
      </w:r>
      <w:r>
        <w:rPr>
          <w:i/>
          <w:lang w:val="en-US"/>
        </w:rPr>
        <w:t xml:space="preserve">Id. </w:t>
      </w:r>
      <w:r>
        <w:rPr>
          <w:lang w:val="en-US"/>
        </w:rPr>
        <w:t>at 85.</w:t>
      </w:r>
    </w:p>
  </w:footnote>
  <w:footnote w:id="15">
    <w:p w:rsidR="00C21B52" w:rsidRPr="00770900" w:rsidRDefault="00C21B52" w:rsidP="00770900">
      <w:pPr>
        <w:pStyle w:val="FootnoteText"/>
        <w:ind w:left="0" w:firstLine="0"/>
        <w:rPr>
          <w:lang w:val="en-US"/>
        </w:rPr>
      </w:pPr>
      <w:r>
        <w:rPr>
          <w:rStyle w:val="FootnoteReference"/>
        </w:rPr>
        <w:footnoteRef/>
      </w:r>
      <w:r>
        <w:t xml:space="preserve"> </w:t>
      </w:r>
      <w:r>
        <w:rPr>
          <w:i/>
          <w:lang w:val="en-US"/>
        </w:rPr>
        <w:t xml:space="preserve">See e.g., “Xcel solicitation returns ‘incredible’ renewable energy, storage bids, </w:t>
      </w:r>
      <w:r>
        <w:rPr>
          <w:lang w:val="en-US"/>
        </w:rPr>
        <w:t xml:space="preserve">Utility Dive, dated Jan. 8, 2018, </w:t>
      </w:r>
      <w:r>
        <w:rPr>
          <w:i/>
          <w:lang w:val="en-US"/>
        </w:rPr>
        <w:t xml:space="preserve">available at </w:t>
      </w:r>
      <w:hyperlink r:id="rId1" w:history="1">
        <w:r w:rsidRPr="004877B9">
          <w:rPr>
            <w:rStyle w:val="Hyperlink"/>
            <w:lang w:val="en-US"/>
          </w:rPr>
          <w:t>https://www.utilitydive.com/news/xcel-solicitation-returns-incredible-renewable-energy-storage-bids/514287/</w:t>
        </w:r>
      </w:hyperlink>
    </w:p>
  </w:footnote>
  <w:footnote w:id="16">
    <w:p w:rsidR="00C21B52" w:rsidRPr="009D795A" w:rsidRDefault="00C21B52" w:rsidP="000A1447">
      <w:pPr>
        <w:pStyle w:val="FootnoteText"/>
        <w:ind w:left="0" w:firstLine="0"/>
        <w:rPr>
          <w:lang w:val="en-US"/>
        </w:rPr>
      </w:pPr>
      <w:r>
        <w:rPr>
          <w:rStyle w:val="FootnoteReference"/>
        </w:rPr>
        <w:footnoteRef/>
      </w:r>
      <w:r>
        <w:t xml:space="preserve"> </w:t>
      </w:r>
      <w:r>
        <w:rPr>
          <w:i/>
          <w:lang w:val="en-US"/>
        </w:rPr>
        <w:t xml:space="preserve">Id. </w:t>
      </w:r>
      <w:r>
        <w:rPr>
          <w:lang w:val="en-US"/>
        </w:rPr>
        <w:t>at 89.</w:t>
      </w:r>
    </w:p>
  </w:footnote>
  <w:footnote w:id="17">
    <w:p w:rsidR="007A2585" w:rsidRPr="007A2585" w:rsidRDefault="007A2585" w:rsidP="007A2585">
      <w:pPr>
        <w:pStyle w:val="FootnoteText"/>
        <w:ind w:left="0" w:firstLine="0"/>
        <w:rPr>
          <w:lang w:val="en-US"/>
        </w:rPr>
      </w:pPr>
      <w:r>
        <w:rPr>
          <w:rStyle w:val="FootnoteReference"/>
        </w:rPr>
        <w:footnoteRef/>
      </w:r>
      <w:r>
        <w:t xml:space="preserve"> </w:t>
      </w:r>
      <w:r>
        <w:rPr>
          <w:lang w:val="en-US"/>
        </w:rPr>
        <w:t xml:space="preserve">Corrected Revised Rebuttal Testimony and Attachments of Kent L. Scholl, </w:t>
      </w:r>
      <w:r>
        <w:rPr>
          <w:i/>
          <w:lang w:val="en-US"/>
        </w:rPr>
        <w:t>In the Matter of the Application of Public Service Company of Colorado for Approval of its 2016 Electric Resource Plan</w:t>
      </w:r>
      <w:r>
        <w:rPr>
          <w:lang w:val="en-US"/>
        </w:rPr>
        <w:t xml:space="preserve"> (January 30, 2017), Proceeding No. 16A-0396E.</w:t>
      </w:r>
    </w:p>
  </w:footnote>
  <w:footnote w:id="18">
    <w:p w:rsidR="00C21B52" w:rsidRPr="008C4EFE" w:rsidRDefault="00C21B52" w:rsidP="00234F3E">
      <w:pPr>
        <w:pStyle w:val="FootnoteText"/>
        <w:ind w:left="0" w:firstLine="0"/>
        <w:rPr>
          <w:lang w:val="en-US"/>
        </w:rPr>
      </w:pPr>
      <w:r>
        <w:rPr>
          <w:rStyle w:val="FootnoteReference"/>
        </w:rPr>
        <w:footnoteRef/>
      </w:r>
      <w:r>
        <w:t xml:space="preserve"> </w:t>
      </w:r>
      <w:r>
        <w:rPr>
          <w:lang w:val="en-US"/>
        </w:rPr>
        <w:t>Statement of Alice K. Jackson, President of Public Service Company of Colorado, before Colorado General Assembly on April 17, 2019.</w:t>
      </w:r>
    </w:p>
  </w:footnote>
  <w:footnote w:id="19">
    <w:p w:rsidR="00C21B52" w:rsidRPr="00234F3E" w:rsidRDefault="00C21B52" w:rsidP="000A1447">
      <w:pPr>
        <w:pStyle w:val="FootnoteText"/>
        <w:ind w:left="0" w:firstLine="0"/>
        <w:rPr>
          <w:lang w:val="en-US"/>
        </w:rPr>
      </w:pPr>
      <w:r>
        <w:rPr>
          <w:rStyle w:val="FootnoteReference"/>
        </w:rPr>
        <w:footnoteRef/>
      </w:r>
      <w:r>
        <w:t xml:space="preserve"> Direct Testimony of Jeffrey R. Grubb, </w:t>
      </w:r>
      <w:proofErr w:type="spellStart"/>
      <w:r>
        <w:t>Narin</w:t>
      </w:r>
      <w:proofErr w:type="spellEnd"/>
      <w:r>
        <w:t xml:space="preserve"> Smith, Michael A. Bush, and Jeffrey B. Weathers</w:t>
      </w:r>
      <w:r>
        <w:rPr>
          <w:lang w:val="en-US"/>
        </w:rPr>
        <w:t xml:space="preserve"> </w:t>
      </w:r>
      <w:r>
        <w:t>On behalf of Georgia Power Company</w:t>
      </w:r>
      <w:r>
        <w:rPr>
          <w:lang w:val="en-US"/>
        </w:rPr>
        <w:t xml:space="preserve">, </w:t>
      </w:r>
      <w:r>
        <w:t>Docket Nos. 42310 &amp; 42311</w:t>
      </w:r>
      <w:r>
        <w:rPr>
          <w:lang w:val="en-US"/>
        </w:rPr>
        <w:t>, at p. 40.</w:t>
      </w:r>
    </w:p>
  </w:footnote>
  <w:footnote w:id="20">
    <w:p w:rsidR="00C21B52" w:rsidRPr="003F5BE7" w:rsidRDefault="00C21B52" w:rsidP="004B5B67">
      <w:pPr>
        <w:pStyle w:val="FootnoteText"/>
        <w:ind w:left="0" w:firstLine="0"/>
        <w:rPr>
          <w:lang w:val="en-US"/>
        </w:rPr>
      </w:pPr>
      <w:r>
        <w:rPr>
          <w:rStyle w:val="FootnoteReference"/>
        </w:rPr>
        <w:footnoteRef/>
      </w:r>
      <w:r>
        <w:t xml:space="preserve"> </w:t>
      </w:r>
      <w:r>
        <w:rPr>
          <w:i/>
          <w:lang w:val="en-US"/>
        </w:rPr>
        <w:t>See e.g.</w:t>
      </w:r>
      <w:proofErr w:type="gramStart"/>
      <w:r>
        <w:rPr>
          <w:i/>
          <w:lang w:val="en-US"/>
        </w:rPr>
        <w:t>,</w:t>
      </w:r>
      <w:proofErr w:type="spellStart"/>
      <w:r>
        <w:rPr>
          <w:lang w:val="en-US"/>
        </w:rPr>
        <w:t>Tr</w:t>
      </w:r>
      <w:proofErr w:type="spellEnd"/>
      <w:proofErr w:type="gramEnd"/>
      <w:r>
        <w:rPr>
          <w:lang w:val="en-US"/>
        </w:rPr>
        <w:t xml:space="preserve"> at 566:3-11</w:t>
      </w:r>
      <w:r>
        <w:rPr>
          <w:i/>
          <w:lang w:val="en-US"/>
        </w:rPr>
        <w:t xml:space="preserve"> </w:t>
      </w:r>
      <w:r>
        <w:rPr>
          <w:lang w:val="en-US"/>
        </w:rPr>
        <w:t>(“We’re not allowing the asset to compete head-to-head with some of these other supply-side resources…”).</w:t>
      </w:r>
    </w:p>
  </w:footnote>
  <w:footnote w:id="21">
    <w:p w:rsidR="00C21B52" w:rsidRPr="00FA4586" w:rsidRDefault="00C21B52" w:rsidP="000A1447">
      <w:pPr>
        <w:pStyle w:val="FootnoteText"/>
        <w:ind w:left="0" w:firstLine="0"/>
        <w:rPr>
          <w:lang w:val="en-US"/>
        </w:rPr>
      </w:pPr>
      <w:r>
        <w:rPr>
          <w:rStyle w:val="FootnoteReference"/>
        </w:rPr>
        <w:footnoteRef/>
      </w:r>
      <w:r>
        <w:t xml:space="preserve"> Direct Testimony of Jeffrey R. Grubb, </w:t>
      </w:r>
      <w:proofErr w:type="spellStart"/>
      <w:r>
        <w:t>Narin</w:t>
      </w:r>
      <w:proofErr w:type="spellEnd"/>
      <w:r>
        <w:t xml:space="preserve"> Smith, Michael A. Bush, and Jeffrey B. Weathers</w:t>
      </w:r>
      <w:r>
        <w:rPr>
          <w:lang w:val="en-US"/>
        </w:rPr>
        <w:t xml:space="preserve"> </w:t>
      </w:r>
      <w:r>
        <w:t>On behalf of Georgia Power Company</w:t>
      </w:r>
      <w:r>
        <w:rPr>
          <w:lang w:val="en-US"/>
        </w:rPr>
        <w:t xml:space="preserve">, </w:t>
      </w:r>
      <w:r>
        <w:t>Docket Nos. 42310 &amp; 42311</w:t>
      </w:r>
      <w:r>
        <w:rPr>
          <w:lang w:val="en-US"/>
        </w:rPr>
        <w:t>, at p. 38. “</w:t>
      </w:r>
      <w:r>
        <w:t xml:space="preserve">The planned and committed resources included in the 2019 IRP provide for adequate reserves until 2028 at which point the Company is currently projected to have a capacity need based on projected load growth, expiration of PPAs, and the </w:t>
      </w:r>
      <w:proofErr w:type="spellStart"/>
      <w:r>
        <w:t>decertifications</w:t>
      </w:r>
      <w:proofErr w:type="spellEnd"/>
      <w:r>
        <w:t xml:space="preserve"> requested in this IRP.</w:t>
      </w:r>
      <w:r>
        <w:rPr>
          <w:lang w:val="en-US"/>
        </w:rPr>
        <w:t>”</w:t>
      </w:r>
    </w:p>
  </w:footnote>
  <w:footnote w:id="22">
    <w:p w:rsidR="00C21B52" w:rsidRPr="00FA4586" w:rsidRDefault="00C21B52" w:rsidP="000A1447">
      <w:pPr>
        <w:pStyle w:val="FootnoteText"/>
        <w:ind w:left="0" w:firstLine="0"/>
        <w:rPr>
          <w:lang w:val="en-US"/>
        </w:rPr>
      </w:pPr>
      <w:r>
        <w:rPr>
          <w:rStyle w:val="FootnoteReference"/>
        </w:rPr>
        <w:footnoteRef/>
      </w:r>
      <w:r>
        <w:t xml:space="preserve"> </w:t>
      </w:r>
      <w:r w:rsidRPr="00ED5D2F">
        <w:rPr>
          <w:i/>
          <w:lang w:val="en-US"/>
        </w:rPr>
        <w:t>Id</w:t>
      </w:r>
      <w:r>
        <w:rPr>
          <w:i/>
          <w:lang w:val="en-US"/>
        </w:rPr>
        <w:t>.</w:t>
      </w:r>
    </w:p>
  </w:footnote>
  <w:footnote w:id="23">
    <w:p w:rsidR="00C21B52" w:rsidRPr="0080109C" w:rsidRDefault="00C21B52" w:rsidP="00ED5D2F">
      <w:pPr>
        <w:pStyle w:val="CommentText"/>
        <w:ind w:left="0" w:firstLine="0"/>
        <w:rPr>
          <w:lang w:val="en-US"/>
        </w:rPr>
      </w:pPr>
      <w:r>
        <w:rPr>
          <w:rStyle w:val="FootnoteReference"/>
        </w:rPr>
        <w:footnoteRef/>
      </w:r>
      <w:r>
        <w:rPr>
          <w:lang w:val="en-US"/>
        </w:rPr>
        <w:t xml:space="preserve">  SACE recalculated the capacity factors provide by EIA data based on 725 MW per unit, rather than the values reported to EIA, for consistency with the 1450 MW value given by witnesses for the two units together.   On information and belief, Georgia Power allocates capacity between the units in such fashion.  </w:t>
      </w:r>
      <w:r w:rsidRPr="00ED5D2F">
        <w:rPr>
          <w:i/>
          <w:lang w:val="en-US"/>
        </w:rPr>
        <w:t>See</w:t>
      </w:r>
      <w:r>
        <w:rPr>
          <w:i/>
          <w:lang w:val="en-US"/>
        </w:rPr>
        <w:t>,</w:t>
      </w:r>
      <w:r>
        <w:rPr>
          <w:lang w:val="en-US"/>
        </w:rPr>
        <w:t xml:space="preserve"> </w:t>
      </w:r>
      <w:r w:rsidR="008606C7">
        <w:rPr>
          <w:b/>
          <w:lang w:val="en-US"/>
        </w:rPr>
        <w:t>EXHIBIT-SACE-MDD-6</w:t>
      </w:r>
      <w:r w:rsidRPr="00CC7117">
        <w:rPr>
          <w:lang w:val="en-US"/>
        </w:rPr>
        <w:t>.</w:t>
      </w:r>
      <w:r>
        <w:rPr>
          <w:lang w:val="en-US"/>
        </w:rPr>
        <w:t xml:space="preserve">  </w:t>
      </w:r>
    </w:p>
    <w:p w:rsidR="00C21B52" w:rsidRPr="00ED5D2F" w:rsidRDefault="00C21B52">
      <w:pPr>
        <w:pStyle w:val="FootnoteText"/>
        <w:rPr>
          <w:lang w:val="en-US"/>
        </w:rPr>
      </w:pPr>
    </w:p>
  </w:footnote>
  <w:footnote w:id="24">
    <w:p w:rsidR="00C21B52" w:rsidRPr="00FA4586" w:rsidRDefault="00C21B52" w:rsidP="000A1447">
      <w:pPr>
        <w:pStyle w:val="FootnoteText"/>
        <w:ind w:left="0" w:firstLine="0"/>
        <w:rPr>
          <w:lang w:val="en-US"/>
        </w:rPr>
      </w:pPr>
      <w:r>
        <w:rPr>
          <w:rStyle w:val="FootnoteReference"/>
        </w:rPr>
        <w:footnoteRef/>
      </w:r>
      <w:r>
        <w:t xml:space="preserve"> </w:t>
      </w:r>
      <w:r w:rsidRPr="006E3C41">
        <w:rPr>
          <w:i/>
          <w:lang w:val="en-US"/>
        </w:rPr>
        <w:t>Id</w:t>
      </w:r>
      <w:r>
        <w:rPr>
          <w:i/>
          <w:lang w:val="en-US"/>
        </w:rPr>
        <w:t>.</w:t>
      </w:r>
    </w:p>
  </w:footnote>
  <w:footnote w:id="25">
    <w:p w:rsidR="00C21B52" w:rsidRPr="00A11768" w:rsidRDefault="00C21B52" w:rsidP="00A11768">
      <w:pPr>
        <w:spacing w:line="240" w:lineRule="auto"/>
        <w:ind w:left="0" w:firstLine="0"/>
        <w:jc w:val="both"/>
        <w:rPr>
          <w:b/>
          <w:sz w:val="20"/>
        </w:rPr>
      </w:pPr>
      <w:r w:rsidRPr="006E3C41">
        <w:rPr>
          <w:rStyle w:val="FootnoteReference"/>
          <w:sz w:val="20"/>
        </w:rPr>
        <w:footnoteRef/>
      </w:r>
      <w:r w:rsidRPr="006E3C41">
        <w:rPr>
          <w:sz w:val="20"/>
        </w:rPr>
        <w:t xml:space="preserve"> The expiring peaking combustion turbine PPAs</w:t>
      </w:r>
      <w:r>
        <w:rPr>
          <w:sz w:val="20"/>
        </w:rPr>
        <w:t xml:space="preserve">: </w:t>
      </w:r>
      <w:r w:rsidRPr="006E3C41">
        <w:rPr>
          <w:sz w:val="20"/>
        </w:rPr>
        <w:t>MPC Generating - 301 MW GT; Walton County Power - 436 MW GT; Washington County Power - 302 MW GT</w:t>
      </w:r>
      <w:r w:rsidRPr="00A11768">
        <w:rPr>
          <w:sz w:val="20"/>
        </w:rPr>
        <w:t xml:space="preserve">.  </w:t>
      </w:r>
      <w:r w:rsidRPr="00A11768">
        <w:rPr>
          <w:i/>
          <w:sz w:val="20"/>
        </w:rPr>
        <w:t xml:space="preserve">See, </w:t>
      </w:r>
      <w:r>
        <w:rPr>
          <w:sz w:val="20"/>
        </w:rPr>
        <w:t>Stipulation</w:t>
      </w:r>
      <w:r w:rsidRPr="00A11768">
        <w:rPr>
          <w:sz w:val="20"/>
        </w:rPr>
        <w:t xml:space="preserve"> in Docket No. 22528-U, dated Nov. 2, 2006.</w:t>
      </w:r>
    </w:p>
    <w:p w:rsidR="00C21B52" w:rsidRPr="000A1447" w:rsidRDefault="00C21B52" w:rsidP="000A1447">
      <w:pPr>
        <w:spacing w:after="0" w:line="240" w:lineRule="auto"/>
        <w:ind w:left="0" w:firstLine="0"/>
        <w:rPr>
          <w:sz w:val="20"/>
        </w:rPr>
      </w:pPr>
    </w:p>
    <w:p w:rsidR="00C21B52" w:rsidRPr="00A17044" w:rsidRDefault="00C21B52" w:rsidP="000A1447">
      <w:pPr>
        <w:spacing w:after="0" w:line="240" w:lineRule="auto"/>
        <w:ind w:left="0" w:firstLine="0"/>
        <w:rPr>
          <w:szCs w:val="24"/>
        </w:rPr>
      </w:pPr>
    </w:p>
    <w:p w:rsidR="00C21B52" w:rsidRPr="00A17044" w:rsidRDefault="00C21B52" w:rsidP="000A1447">
      <w:pPr>
        <w:pStyle w:val="FootnoteText"/>
        <w:ind w:left="0" w:firstLine="0"/>
        <w:rPr>
          <w:lang w:val="en-US"/>
        </w:rPr>
      </w:pPr>
    </w:p>
  </w:footnote>
  <w:footnote w:id="26">
    <w:p w:rsidR="00C21B52" w:rsidRPr="00AC53CF" w:rsidRDefault="00C21B52" w:rsidP="000A1447">
      <w:pPr>
        <w:pStyle w:val="FootnoteText"/>
        <w:ind w:left="0" w:firstLine="0"/>
        <w:rPr>
          <w:lang w:val="en-US"/>
        </w:rPr>
      </w:pPr>
      <w:r>
        <w:rPr>
          <w:rStyle w:val="FootnoteReference"/>
        </w:rPr>
        <w:footnoteRef/>
      </w:r>
      <w:r>
        <w:t xml:space="preserve"> </w:t>
      </w:r>
      <w:r>
        <w:rPr>
          <w:lang w:val="en-US"/>
        </w:rPr>
        <w:t>GPC claims that solar plus storage may perhaps bid into the Capacity RFP, though it was not a selectable resource in the IRP base case.  IRP at Resource Mix Study, at 1.3 (“</w:t>
      </w:r>
      <w:r w:rsidRPr="008B5647">
        <w:rPr>
          <w:lang w:val="en-US"/>
        </w:rPr>
        <w:t>Combined cycle (“CC”), CC with carbon capture and compression (“CCC”), combustion turbines</w:t>
      </w:r>
      <w:r>
        <w:rPr>
          <w:lang w:val="en-US"/>
        </w:rPr>
        <w:t xml:space="preserve"> </w:t>
      </w:r>
      <w:r w:rsidRPr="008B5647">
        <w:rPr>
          <w:lang w:val="en-US"/>
        </w:rPr>
        <w:t>(“CT”), and CT with Selective Catalytic Reduction (“SCR”) were the technologies selected for</w:t>
      </w:r>
      <w:r>
        <w:rPr>
          <w:lang w:val="en-US"/>
        </w:rPr>
        <w:t xml:space="preserve"> </w:t>
      </w:r>
      <w:r w:rsidRPr="008B5647">
        <w:rPr>
          <w:lang w:val="en-US"/>
        </w:rPr>
        <w:t>the mix analysis.</w:t>
      </w:r>
      <w:r>
        <w:rPr>
          <w:lang w:val="en-US"/>
        </w:rPr>
        <w:t>”)</w:t>
      </w:r>
    </w:p>
  </w:footnote>
  <w:footnote w:id="27">
    <w:p w:rsidR="00C21B52" w:rsidRPr="00C21B52" w:rsidRDefault="00C21B52" w:rsidP="00C21B52">
      <w:pPr>
        <w:pStyle w:val="FootnoteText"/>
        <w:ind w:left="0" w:firstLine="0"/>
        <w:rPr>
          <w:lang w:val="en-US"/>
        </w:rPr>
      </w:pPr>
      <w:r>
        <w:rPr>
          <w:rStyle w:val="FootnoteReference"/>
        </w:rPr>
        <w:footnoteRef/>
      </w:r>
      <w:r>
        <w:t xml:space="preserve"> </w:t>
      </w:r>
      <w:r>
        <w:rPr>
          <w:i/>
          <w:lang w:val="en-US"/>
        </w:rPr>
        <w:t xml:space="preserve">Compare, </w:t>
      </w:r>
      <w:r>
        <w:rPr>
          <w:lang w:val="en-US"/>
        </w:rPr>
        <w:t xml:space="preserve">IRP at p. 27 (“Intermittent resources, such as solar and wind, were not included as selectable technologies for the expansion planning model…”) </w:t>
      </w:r>
      <w:r>
        <w:rPr>
          <w:i/>
          <w:lang w:val="en-US"/>
        </w:rPr>
        <w:t xml:space="preserve">with </w:t>
      </w:r>
      <w:r>
        <w:rPr>
          <w:lang w:val="en-US"/>
        </w:rPr>
        <w:t>Resource Mix Study at B-108 (“The conclusion of this study, based upon the results of the base case…is that additional generation capacity requirements will involve a mixture of combustion turbine generation…with SCR…combined cycle generation…with CCC.”)</w:t>
      </w:r>
    </w:p>
  </w:footnote>
  <w:footnote w:id="28">
    <w:p w:rsidR="00C21B52" w:rsidRPr="00A11768" w:rsidRDefault="00C21B52">
      <w:pPr>
        <w:pStyle w:val="FootnoteText"/>
        <w:rPr>
          <w:lang w:val="en-US"/>
        </w:rPr>
      </w:pPr>
      <w:r>
        <w:rPr>
          <w:rStyle w:val="FootnoteReference"/>
        </w:rPr>
        <w:footnoteRef/>
      </w:r>
      <w:r>
        <w:t xml:space="preserve"> </w:t>
      </w:r>
      <w:r>
        <w:rPr>
          <w:lang w:val="en-US"/>
        </w:rPr>
        <w:t>2019 Resource Mix Study, at 1-4.</w:t>
      </w:r>
    </w:p>
  </w:footnote>
  <w:footnote w:id="29">
    <w:p w:rsidR="00C21B52" w:rsidRPr="00A11768" w:rsidRDefault="00C21B52">
      <w:pPr>
        <w:pStyle w:val="FootnoteText"/>
        <w:rPr>
          <w:lang w:val="en-US"/>
        </w:rPr>
      </w:pPr>
      <w:r>
        <w:rPr>
          <w:rStyle w:val="FootnoteReference"/>
        </w:rPr>
        <w:footnoteRef/>
      </w:r>
      <w:r>
        <w:t xml:space="preserve"> </w:t>
      </w:r>
      <w:r>
        <w:rPr>
          <w:i/>
          <w:lang w:val="en-US"/>
        </w:rPr>
        <w:t xml:space="preserve">Id. </w:t>
      </w:r>
      <w:r>
        <w:rPr>
          <w:lang w:val="en-US"/>
        </w:rPr>
        <w:t>at 17.</w:t>
      </w:r>
    </w:p>
  </w:footnote>
  <w:footnote w:id="30">
    <w:p w:rsidR="00C21B52" w:rsidRPr="00A97F5C" w:rsidRDefault="00C21B52" w:rsidP="000A1447">
      <w:pPr>
        <w:pStyle w:val="FootnoteText"/>
        <w:ind w:left="0" w:firstLine="0"/>
        <w:rPr>
          <w:lang w:val="en-US"/>
        </w:rPr>
      </w:pPr>
      <w:r>
        <w:rPr>
          <w:rStyle w:val="FootnoteReference"/>
        </w:rPr>
        <w:footnoteRef/>
      </w:r>
      <w:r>
        <w:t xml:space="preserve"> </w:t>
      </w:r>
      <w:r w:rsidR="008606C7">
        <w:rPr>
          <w:b/>
          <w:lang w:val="en-US"/>
        </w:rPr>
        <w:t>EXHIBIT SACE-MDD-2</w:t>
      </w:r>
      <w:r>
        <w:rPr>
          <w:lang w:val="en-US"/>
        </w:rPr>
        <w:t xml:space="preserve">, Discovery Response </w:t>
      </w:r>
      <w:r w:rsidRPr="00A97F5C">
        <w:rPr>
          <w:lang w:val="en-US"/>
        </w:rPr>
        <w:t>STF-DEA-1-5.</w:t>
      </w:r>
    </w:p>
  </w:footnote>
  <w:footnote w:id="31">
    <w:p w:rsidR="00C21B52" w:rsidRPr="00A97F5C" w:rsidRDefault="00C21B52" w:rsidP="000A1447">
      <w:pPr>
        <w:pStyle w:val="FootnoteText"/>
        <w:ind w:left="0" w:firstLine="0"/>
        <w:rPr>
          <w:lang w:val="en-US"/>
        </w:rPr>
      </w:pPr>
      <w:r>
        <w:rPr>
          <w:rStyle w:val="FootnoteReference"/>
        </w:rPr>
        <w:footnoteRef/>
      </w:r>
      <w:r>
        <w:t xml:space="preserve"> </w:t>
      </w:r>
      <w:r w:rsidRPr="00F542D1">
        <w:rPr>
          <w:b/>
          <w:lang w:val="en-US"/>
        </w:rPr>
        <w:t>EXHIBIT SACE-MDD-</w:t>
      </w:r>
      <w:r w:rsidR="008606C7">
        <w:rPr>
          <w:b/>
          <w:lang w:val="en-US"/>
        </w:rPr>
        <w:t>3</w:t>
      </w:r>
      <w:r>
        <w:rPr>
          <w:lang w:val="en-US"/>
        </w:rPr>
        <w:t xml:space="preserve">, Discovery Response </w:t>
      </w:r>
      <w:r w:rsidRPr="00A97F5C">
        <w:rPr>
          <w:lang w:val="en-US"/>
        </w:rPr>
        <w:t>STF-DEA-1-</w:t>
      </w:r>
      <w:r>
        <w:rPr>
          <w:lang w:val="en-US"/>
        </w:rPr>
        <w:t>6</w:t>
      </w:r>
      <w:r w:rsidRPr="00A97F5C">
        <w:rPr>
          <w:lang w:val="en-US"/>
        </w:rPr>
        <w:t>.</w:t>
      </w:r>
    </w:p>
  </w:footnote>
  <w:footnote w:id="32">
    <w:p w:rsidR="00C21B52" w:rsidRPr="00A97F5C" w:rsidRDefault="00C21B52" w:rsidP="000A1447">
      <w:pPr>
        <w:pStyle w:val="FootnoteText"/>
        <w:ind w:left="0" w:firstLine="0"/>
        <w:rPr>
          <w:lang w:val="en-US"/>
        </w:rPr>
      </w:pPr>
      <w:r>
        <w:rPr>
          <w:rStyle w:val="FootnoteReference"/>
        </w:rPr>
        <w:footnoteRef/>
      </w:r>
      <w:r>
        <w:t xml:space="preserve"> </w:t>
      </w:r>
      <w:r w:rsidRPr="00CC7117">
        <w:rPr>
          <w:b/>
          <w:lang w:val="en-US"/>
        </w:rPr>
        <w:t>EXHIBIT SACE-MDD-</w:t>
      </w:r>
      <w:r w:rsidR="008606C7">
        <w:rPr>
          <w:b/>
          <w:lang w:val="en-US"/>
        </w:rPr>
        <w:t>4</w:t>
      </w:r>
      <w:r>
        <w:rPr>
          <w:lang w:val="en-US"/>
        </w:rPr>
        <w:t xml:space="preserve">, Discovery Response </w:t>
      </w:r>
      <w:r w:rsidRPr="00A97F5C">
        <w:rPr>
          <w:lang w:val="en-US"/>
        </w:rPr>
        <w:t>STF-DEA-1-</w:t>
      </w:r>
      <w:r>
        <w:rPr>
          <w:lang w:val="en-US"/>
        </w:rPr>
        <w:t>8</w:t>
      </w:r>
    </w:p>
  </w:footnote>
  <w:footnote w:id="33">
    <w:p w:rsidR="00C21B52" w:rsidRPr="00160915" w:rsidRDefault="00C21B52" w:rsidP="00517958">
      <w:pPr>
        <w:spacing w:after="0" w:line="240" w:lineRule="auto"/>
        <w:ind w:left="0" w:firstLine="0"/>
        <w:rPr>
          <w:rFonts w:ascii="Arial" w:hAnsi="Arial" w:cs="Arial"/>
          <w:sz w:val="20"/>
        </w:rPr>
      </w:pPr>
      <w:r w:rsidRPr="00D575D1">
        <w:rPr>
          <w:rStyle w:val="FootnoteReference"/>
          <w:sz w:val="20"/>
        </w:rPr>
        <w:footnoteRef/>
      </w:r>
      <w:r w:rsidRPr="00D575D1">
        <w:rPr>
          <w:sz w:val="20"/>
        </w:rPr>
        <w:t xml:space="preserve"> </w:t>
      </w:r>
      <w:r w:rsidR="00AE4CFE">
        <w:rPr>
          <w:sz w:val="20"/>
        </w:rPr>
        <w:t xml:space="preserve">GPC, </w:t>
      </w:r>
      <w:r w:rsidRPr="00AE4CFE">
        <w:rPr>
          <w:i/>
          <w:sz w:val="20"/>
        </w:rPr>
        <w:t>A Framework for Determining the Costs and Benefits of Renewable Resources in Georgia</w:t>
      </w:r>
      <w:r w:rsidRPr="0016234B">
        <w:rPr>
          <w:sz w:val="20"/>
        </w:rPr>
        <w:t>, Revised: 1/17/19, at</w:t>
      </w:r>
      <w:r w:rsidR="00AE4CFE">
        <w:rPr>
          <w:sz w:val="20"/>
        </w:rPr>
        <w:t xml:space="preserve"> pp.</w:t>
      </w:r>
      <w:r w:rsidRPr="0016234B">
        <w:rPr>
          <w:sz w:val="20"/>
        </w:rPr>
        <w:t xml:space="preserve"> 12-13</w:t>
      </w:r>
      <w:r>
        <w:rPr>
          <w:rFonts w:ascii="Arial" w:hAnsi="Arial" w:cs="Arial"/>
          <w:sz w:val="20"/>
        </w:rPr>
        <w:t>.</w:t>
      </w:r>
    </w:p>
  </w:footnote>
  <w:footnote w:id="34">
    <w:p w:rsidR="00C21B52" w:rsidRPr="00D755F5" w:rsidRDefault="00C21B52" w:rsidP="000A1447">
      <w:pPr>
        <w:pStyle w:val="FootnoteText"/>
        <w:ind w:left="0" w:firstLine="0"/>
        <w:rPr>
          <w:lang w:val="en-US"/>
        </w:rPr>
      </w:pPr>
      <w:r>
        <w:rPr>
          <w:rStyle w:val="FootnoteReference"/>
        </w:rPr>
        <w:footnoteRef/>
      </w:r>
      <w:r>
        <w:t xml:space="preserve"> </w:t>
      </w:r>
      <w:r>
        <w:rPr>
          <w:i/>
          <w:lang w:val="en-US"/>
        </w:rPr>
        <w:t>Id.</w:t>
      </w:r>
    </w:p>
  </w:footnote>
  <w:footnote w:id="35">
    <w:p w:rsidR="00C21B52" w:rsidRPr="00C237E2" w:rsidRDefault="00C21B52" w:rsidP="000A1447">
      <w:pPr>
        <w:pStyle w:val="FootnoteText"/>
        <w:ind w:left="0" w:firstLine="0"/>
        <w:rPr>
          <w:lang w:val="en-US"/>
        </w:rPr>
      </w:pPr>
      <w:r>
        <w:rPr>
          <w:rStyle w:val="FootnoteReference"/>
        </w:rPr>
        <w:footnoteRef/>
      </w:r>
      <w:r>
        <w:t xml:space="preserve"> </w:t>
      </w:r>
      <w:r w:rsidRPr="00AE4CFE">
        <w:rPr>
          <w:b/>
          <w:lang w:val="en-US"/>
        </w:rPr>
        <w:t>EXHIBIT SACE-MDD-</w:t>
      </w:r>
      <w:r w:rsidR="008606C7">
        <w:rPr>
          <w:b/>
          <w:lang w:val="en-US"/>
        </w:rPr>
        <w:t>5</w:t>
      </w:r>
      <w:r>
        <w:rPr>
          <w:lang w:val="en-US"/>
        </w:rPr>
        <w:t>, Discovery Response STF-DEA-1-10</w:t>
      </w:r>
    </w:p>
  </w:footnote>
  <w:footnote w:id="36">
    <w:p w:rsidR="00C21B52" w:rsidRPr="0080109C" w:rsidRDefault="00C21B52" w:rsidP="007941D0">
      <w:pPr>
        <w:pStyle w:val="CommentText"/>
        <w:ind w:left="0" w:firstLine="0"/>
        <w:rPr>
          <w:lang w:val="en-US"/>
        </w:rPr>
      </w:pPr>
      <w:r>
        <w:rPr>
          <w:rStyle w:val="FootnoteReference"/>
        </w:rPr>
        <w:footnoteRef/>
      </w:r>
      <w:r>
        <w:t xml:space="preserve"> </w:t>
      </w:r>
      <w:r w:rsidR="00AE4CFE">
        <w:rPr>
          <w:lang w:val="en-US"/>
        </w:rPr>
        <w:t>IRP at 15, 37</w:t>
      </w:r>
      <w:r>
        <w:rPr>
          <w:lang w:val="en-US"/>
        </w:rPr>
        <w:t xml:space="preserve">.  </w:t>
      </w:r>
    </w:p>
    <w:p w:rsidR="00C21B52" w:rsidRPr="00523273" w:rsidRDefault="00C21B52" w:rsidP="000A1447">
      <w:pPr>
        <w:pStyle w:val="FootnoteText"/>
        <w:ind w:left="0" w:firstLine="0"/>
        <w:rPr>
          <w:lang w:val="en-US"/>
        </w:rPr>
      </w:pPr>
    </w:p>
  </w:footnote>
  <w:footnote w:id="37">
    <w:p w:rsidR="00C21B52" w:rsidRPr="00D50DD7" w:rsidRDefault="00C21B52" w:rsidP="00D50DD7">
      <w:pPr>
        <w:pStyle w:val="FootnoteText"/>
        <w:ind w:left="0" w:firstLine="0"/>
        <w:rPr>
          <w:lang w:val="en-US"/>
        </w:rPr>
      </w:pPr>
      <w:r w:rsidRPr="00D50DD7">
        <w:rPr>
          <w:rStyle w:val="FootnoteReference"/>
        </w:rPr>
        <w:footnoteRef/>
      </w:r>
      <w:r w:rsidRPr="00D50DD7">
        <w:t xml:space="preserve"> </w:t>
      </w:r>
      <w:r w:rsidRPr="00D50DD7">
        <w:rPr>
          <w:rFonts w:eastAsia="Calibri"/>
          <w:szCs w:val="24"/>
        </w:rPr>
        <w:t>In those year</w:t>
      </w:r>
      <w:r w:rsidRPr="00D50DD7">
        <w:rPr>
          <w:rFonts w:eastAsia="Calibri"/>
          <w:szCs w:val="24"/>
          <w:lang w:val="en-US"/>
        </w:rPr>
        <w:t>s</w:t>
      </w:r>
      <w:r w:rsidRPr="00D50DD7">
        <w:rPr>
          <w:rFonts w:eastAsia="Calibri"/>
          <w:szCs w:val="24"/>
        </w:rPr>
        <w:t>, surplus capacity over the need is credited $2.79/kW-</w:t>
      </w:r>
      <w:proofErr w:type="spellStart"/>
      <w:r w:rsidRPr="00D50DD7">
        <w:rPr>
          <w:rFonts w:eastAsia="Calibri"/>
          <w:szCs w:val="24"/>
        </w:rPr>
        <w:t>mo</w:t>
      </w:r>
      <w:proofErr w:type="spellEnd"/>
      <w:r w:rsidRPr="00D50DD7">
        <w:rPr>
          <w:rFonts w:eastAsia="Calibri"/>
          <w:szCs w:val="24"/>
        </w:rPr>
        <w:t xml:space="preserve"> up to an excess of 200 MW in the Phase I alternative plan analysis and during Phase II portfolio creation. The surplus capacity credit price is based on bids received </w:t>
      </w:r>
      <w:r>
        <w:rPr>
          <w:rFonts w:eastAsia="Calibri"/>
          <w:szCs w:val="24"/>
          <w:lang w:val="en-US"/>
        </w:rPr>
        <w:t xml:space="preserve">in an RTO market </w:t>
      </w:r>
      <w:r w:rsidRPr="00D50DD7">
        <w:rPr>
          <w:rFonts w:eastAsia="Calibri"/>
          <w:szCs w:val="24"/>
        </w:rPr>
        <w:t xml:space="preserve">for seasonal capacity for a prior summer season. This credit </w:t>
      </w:r>
      <w:r>
        <w:rPr>
          <w:rFonts w:eastAsia="Calibri"/>
          <w:szCs w:val="24"/>
          <w:lang w:val="en-US"/>
        </w:rPr>
        <w:t>is</w:t>
      </w:r>
      <w:r w:rsidRPr="00D50DD7">
        <w:rPr>
          <w:rFonts w:eastAsia="Calibri"/>
          <w:szCs w:val="24"/>
        </w:rPr>
        <w:t xml:space="preserve"> applied for the four summer months of June through September.</w:t>
      </w:r>
    </w:p>
  </w:footnote>
  <w:footnote w:id="38">
    <w:p w:rsidR="00FE713A" w:rsidRPr="00FE713A" w:rsidRDefault="00FE713A" w:rsidP="00FE713A">
      <w:pPr>
        <w:pStyle w:val="FootnoteText"/>
        <w:ind w:left="0" w:firstLine="0"/>
        <w:rPr>
          <w:lang w:val="en-US"/>
        </w:rPr>
      </w:pPr>
      <w:r>
        <w:rPr>
          <w:rStyle w:val="FootnoteReference"/>
        </w:rPr>
        <w:footnoteRef/>
      </w:r>
      <w:r>
        <w:t xml:space="preserve"> </w:t>
      </w:r>
      <w:r>
        <w:rPr>
          <w:lang w:val="en-US"/>
        </w:rPr>
        <w:t xml:space="preserve">Colorado Public Utilities Commission, </w:t>
      </w:r>
      <w:r>
        <w:rPr>
          <w:i/>
          <w:lang w:val="en-US"/>
        </w:rPr>
        <w:t xml:space="preserve">Phase I Decision Granting, with Modifications, Application for Approval of 2016 Electric Resource </w:t>
      </w:r>
      <w:r w:rsidRPr="00FE713A">
        <w:rPr>
          <w:lang w:val="en-US"/>
        </w:rPr>
        <w:t>Plan</w:t>
      </w:r>
      <w:r>
        <w:rPr>
          <w:lang w:val="en-US"/>
        </w:rPr>
        <w:t>, Decision No. C17-0316, Proceeding No. 16A-0396E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B52" w:rsidRPr="007C4D13" w:rsidRDefault="00C21B52" w:rsidP="000976DC">
    <w:pPr>
      <w:pStyle w:val="Header"/>
      <w:ind w:left="0" w:firstLine="0"/>
      <w:rPr>
        <w:lang w:val="en-US"/>
      </w:rPr>
    </w:pPr>
    <w:r w:rsidRPr="00E82C78">
      <w:t>Dir</w:t>
    </w:r>
    <w:r>
      <w:t xml:space="preserve">ect Testimony of </w:t>
    </w:r>
    <w:r>
      <w:rPr>
        <w:lang w:val="en-US"/>
      </w:rPr>
      <w:t>Mark</w:t>
    </w:r>
    <w:r>
      <w:t xml:space="preserve"> D. </w:t>
    </w:r>
    <w:r>
      <w:rPr>
        <w:lang w:val="en-US"/>
      </w:rPr>
      <w:t>Detsky</w:t>
    </w:r>
  </w:p>
  <w:p w:rsidR="00C21B52" w:rsidRDefault="00C21B52" w:rsidP="00BC33A2">
    <w:pPr>
      <w:pStyle w:val="Header"/>
    </w:pPr>
    <w:r w:rsidRPr="00E82C78">
      <w:t>Southern Alliance for Clean Energy</w:t>
    </w:r>
    <w:r>
      <w:rPr>
        <w:lang w:val="en-US"/>
      </w:rPr>
      <w:t xml:space="preserve"> and Southern Renewable Energy Association</w:t>
    </w:r>
    <w:r w:rsidRPr="00E82C78">
      <w:tab/>
      <w:t xml:space="preserve">                   </w:t>
    </w:r>
  </w:p>
  <w:p w:rsidR="00C21B52" w:rsidRPr="00E82C78" w:rsidRDefault="00C21B52" w:rsidP="00BC33A2">
    <w:pPr>
      <w:pStyle w:val="Header"/>
    </w:pPr>
    <w:r>
      <w:rPr>
        <w:lang w:val="en-US"/>
      </w:rPr>
      <w:t>April 25, 2019</w:t>
    </w:r>
    <w:r w:rsidRPr="00E82C78">
      <w:t xml:space="preserve"> </w:t>
    </w:r>
  </w:p>
  <w:p w:rsidR="00C21B52" w:rsidRPr="00CA6242" w:rsidRDefault="00C21B52" w:rsidP="00BC33A2">
    <w:pPr>
      <w:pStyle w:val="Header"/>
      <w:rPr>
        <w:lang w:val="en-US"/>
      </w:rPr>
    </w:pPr>
    <w:r w:rsidRPr="00E82C78">
      <w:t xml:space="preserve">Georgia PSC, Docket No. </w:t>
    </w:r>
    <w:r w:rsidR="00A76DE9">
      <w:rPr>
        <w:lang w:val="en-US"/>
      </w:rPr>
      <w:t>42310</w:t>
    </w:r>
  </w:p>
  <w:p w:rsidR="00C21B52" w:rsidRPr="00F26060" w:rsidRDefault="00C21B52" w:rsidP="00BC33A2">
    <w:pPr>
      <w:pStyle w:val="Header"/>
      <w:rPr>
        <w:lang w:val="en-US"/>
      </w:rPr>
    </w:pPr>
  </w:p>
  <w:p w:rsidR="00C21B52" w:rsidRDefault="00C21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B52" w:rsidRPr="001C48E7" w:rsidRDefault="00C21B52" w:rsidP="008B4CA6">
    <w:pPr>
      <w:pStyle w:val="Header"/>
      <w:jc w:val="center"/>
      <w:rPr>
        <w:b/>
        <w:lang w:val="en-US"/>
      </w:rPr>
    </w:pPr>
    <w:r>
      <w:rPr>
        <w:b/>
        <w:lang w:val="en-US"/>
      </w:rPr>
      <w:t>CONFIDENTIAL DRAFT MAY CONTAIN TRADE SECRET INFORMATION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124"/>
    <w:multiLevelType w:val="hybridMultilevel"/>
    <w:tmpl w:val="D11A6596"/>
    <w:lvl w:ilvl="0" w:tplc="F4A4CFA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553DC5"/>
    <w:multiLevelType w:val="hybridMultilevel"/>
    <w:tmpl w:val="80FE2698"/>
    <w:lvl w:ilvl="0" w:tplc="E5C2DBAA">
      <w:start w:val="3"/>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B691E1A"/>
    <w:multiLevelType w:val="hybridMultilevel"/>
    <w:tmpl w:val="7BC84AE6"/>
    <w:lvl w:ilvl="0" w:tplc="04090019">
      <w:start w:val="1"/>
      <w:numFmt w:val="lowerLetter"/>
      <w:lvlText w:val="%1."/>
      <w:lvlJc w:val="left"/>
      <w:pPr>
        <w:ind w:left="2160" w:hanging="72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BA16D5E"/>
    <w:multiLevelType w:val="hybridMultilevel"/>
    <w:tmpl w:val="7DF24BF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C394D7E"/>
    <w:multiLevelType w:val="hybridMultilevel"/>
    <w:tmpl w:val="2DB25D9E"/>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24C17B1"/>
    <w:multiLevelType w:val="hybridMultilevel"/>
    <w:tmpl w:val="3BFA6278"/>
    <w:lvl w:ilvl="0" w:tplc="04090019">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70C319C"/>
    <w:multiLevelType w:val="hybridMultilevel"/>
    <w:tmpl w:val="B0448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8CB1373"/>
    <w:multiLevelType w:val="hybridMultilevel"/>
    <w:tmpl w:val="B9FCA7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5"/>
  </w:num>
  <w:num w:numId="4">
    <w:abstractNumId w:val="2"/>
  </w:num>
  <w:num w:numId="5">
    <w:abstractNumId w:val="4"/>
  </w:num>
  <w:num w:numId="6">
    <w:abstractNumId w:val="0"/>
  </w:num>
  <w:num w:numId="7">
    <w:abstractNumId w:val="1"/>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3A2"/>
    <w:rsid w:val="00000344"/>
    <w:rsid w:val="00002125"/>
    <w:rsid w:val="0000331F"/>
    <w:rsid w:val="00014192"/>
    <w:rsid w:val="000210BA"/>
    <w:rsid w:val="0002178D"/>
    <w:rsid w:val="0002736E"/>
    <w:rsid w:val="00030C50"/>
    <w:rsid w:val="00032C6E"/>
    <w:rsid w:val="000330D7"/>
    <w:rsid w:val="0003418B"/>
    <w:rsid w:val="000433CA"/>
    <w:rsid w:val="00047D7B"/>
    <w:rsid w:val="0005068A"/>
    <w:rsid w:val="000514D8"/>
    <w:rsid w:val="00057AA0"/>
    <w:rsid w:val="00063AA8"/>
    <w:rsid w:val="00064118"/>
    <w:rsid w:val="00064B45"/>
    <w:rsid w:val="00065494"/>
    <w:rsid w:val="00066229"/>
    <w:rsid w:val="00070B63"/>
    <w:rsid w:val="00071A5E"/>
    <w:rsid w:val="00073922"/>
    <w:rsid w:val="00077DE6"/>
    <w:rsid w:val="0008037A"/>
    <w:rsid w:val="00080FE9"/>
    <w:rsid w:val="00082DE5"/>
    <w:rsid w:val="00085A2E"/>
    <w:rsid w:val="00090716"/>
    <w:rsid w:val="00092BAC"/>
    <w:rsid w:val="000956F0"/>
    <w:rsid w:val="00096EA7"/>
    <w:rsid w:val="000976DC"/>
    <w:rsid w:val="000A1447"/>
    <w:rsid w:val="000A1A6B"/>
    <w:rsid w:val="000A1F0F"/>
    <w:rsid w:val="000A588C"/>
    <w:rsid w:val="000B09DA"/>
    <w:rsid w:val="000C293C"/>
    <w:rsid w:val="000C572B"/>
    <w:rsid w:val="000D03AE"/>
    <w:rsid w:val="000D0C49"/>
    <w:rsid w:val="000D1BA9"/>
    <w:rsid w:val="000E3302"/>
    <w:rsid w:val="000E3D7A"/>
    <w:rsid w:val="000E61D3"/>
    <w:rsid w:val="000E6F88"/>
    <w:rsid w:val="000E751C"/>
    <w:rsid w:val="000F440B"/>
    <w:rsid w:val="000F4A4E"/>
    <w:rsid w:val="000F707C"/>
    <w:rsid w:val="00101E12"/>
    <w:rsid w:val="00103080"/>
    <w:rsid w:val="001036A6"/>
    <w:rsid w:val="00103822"/>
    <w:rsid w:val="001056EB"/>
    <w:rsid w:val="001058E0"/>
    <w:rsid w:val="00111053"/>
    <w:rsid w:val="00114DBF"/>
    <w:rsid w:val="00122211"/>
    <w:rsid w:val="001301CC"/>
    <w:rsid w:val="0013099A"/>
    <w:rsid w:val="00133D72"/>
    <w:rsid w:val="001427E2"/>
    <w:rsid w:val="001452E6"/>
    <w:rsid w:val="00146948"/>
    <w:rsid w:val="00146A20"/>
    <w:rsid w:val="00147893"/>
    <w:rsid w:val="001501EA"/>
    <w:rsid w:val="00157260"/>
    <w:rsid w:val="001604F2"/>
    <w:rsid w:val="0016070B"/>
    <w:rsid w:val="00160915"/>
    <w:rsid w:val="0016234B"/>
    <w:rsid w:val="00162569"/>
    <w:rsid w:val="00164175"/>
    <w:rsid w:val="00167374"/>
    <w:rsid w:val="00167F1D"/>
    <w:rsid w:val="0017374B"/>
    <w:rsid w:val="00173E81"/>
    <w:rsid w:val="001768BD"/>
    <w:rsid w:val="001842D8"/>
    <w:rsid w:val="0018489F"/>
    <w:rsid w:val="001870E2"/>
    <w:rsid w:val="00190C38"/>
    <w:rsid w:val="001910A5"/>
    <w:rsid w:val="00192308"/>
    <w:rsid w:val="00194899"/>
    <w:rsid w:val="00195B52"/>
    <w:rsid w:val="001A2CDF"/>
    <w:rsid w:val="001A35D7"/>
    <w:rsid w:val="001A4B61"/>
    <w:rsid w:val="001A71FF"/>
    <w:rsid w:val="001B1651"/>
    <w:rsid w:val="001B21BE"/>
    <w:rsid w:val="001B7519"/>
    <w:rsid w:val="001C48E7"/>
    <w:rsid w:val="001C6A0E"/>
    <w:rsid w:val="001C6DF2"/>
    <w:rsid w:val="001D0BF3"/>
    <w:rsid w:val="001D0D06"/>
    <w:rsid w:val="001D4A17"/>
    <w:rsid w:val="001D7AA9"/>
    <w:rsid w:val="001E0ABC"/>
    <w:rsid w:val="001E228C"/>
    <w:rsid w:val="001E430B"/>
    <w:rsid w:val="001F453C"/>
    <w:rsid w:val="002037C1"/>
    <w:rsid w:val="00206327"/>
    <w:rsid w:val="0020688C"/>
    <w:rsid w:val="00206E7D"/>
    <w:rsid w:val="00217A4A"/>
    <w:rsid w:val="002206A7"/>
    <w:rsid w:val="0022185A"/>
    <w:rsid w:val="00226754"/>
    <w:rsid w:val="00227626"/>
    <w:rsid w:val="00230A62"/>
    <w:rsid w:val="00234323"/>
    <w:rsid w:val="00234F3E"/>
    <w:rsid w:val="00245539"/>
    <w:rsid w:val="002523BC"/>
    <w:rsid w:val="002550D5"/>
    <w:rsid w:val="002571B6"/>
    <w:rsid w:val="00271648"/>
    <w:rsid w:val="00273759"/>
    <w:rsid w:val="002739EC"/>
    <w:rsid w:val="00280043"/>
    <w:rsid w:val="0028071A"/>
    <w:rsid w:val="00281378"/>
    <w:rsid w:val="00281737"/>
    <w:rsid w:val="00284547"/>
    <w:rsid w:val="00284F13"/>
    <w:rsid w:val="00285457"/>
    <w:rsid w:val="00290CC4"/>
    <w:rsid w:val="0029164E"/>
    <w:rsid w:val="00292AA7"/>
    <w:rsid w:val="00295CD5"/>
    <w:rsid w:val="002A0813"/>
    <w:rsid w:val="002A09CD"/>
    <w:rsid w:val="002A1F66"/>
    <w:rsid w:val="002A3063"/>
    <w:rsid w:val="002A3B9D"/>
    <w:rsid w:val="002A4E77"/>
    <w:rsid w:val="002A7084"/>
    <w:rsid w:val="002A7C85"/>
    <w:rsid w:val="002B100F"/>
    <w:rsid w:val="002B15A7"/>
    <w:rsid w:val="002B1EAF"/>
    <w:rsid w:val="002B59E2"/>
    <w:rsid w:val="002C0070"/>
    <w:rsid w:val="002C24D3"/>
    <w:rsid w:val="002D1345"/>
    <w:rsid w:val="002D1F2E"/>
    <w:rsid w:val="002E20D2"/>
    <w:rsid w:val="002E3F9E"/>
    <w:rsid w:val="002E6564"/>
    <w:rsid w:val="002E7A3B"/>
    <w:rsid w:val="002F0E85"/>
    <w:rsid w:val="002F172E"/>
    <w:rsid w:val="003010BE"/>
    <w:rsid w:val="0030687A"/>
    <w:rsid w:val="00312C4E"/>
    <w:rsid w:val="0032159A"/>
    <w:rsid w:val="00323909"/>
    <w:rsid w:val="00324724"/>
    <w:rsid w:val="00327A8C"/>
    <w:rsid w:val="00327D6C"/>
    <w:rsid w:val="00327F6B"/>
    <w:rsid w:val="0033130C"/>
    <w:rsid w:val="00331FAA"/>
    <w:rsid w:val="00337864"/>
    <w:rsid w:val="00342183"/>
    <w:rsid w:val="00344477"/>
    <w:rsid w:val="00344DB4"/>
    <w:rsid w:val="00352FAF"/>
    <w:rsid w:val="00353FA4"/>
    <w:rsid w:val="00354A9E"/>
    <w:rsid w:val="003557EC"/>
    <w:rsid w:val="003574FF"/>
    <w:rsid w:val="00357A12"/>
    <w:rsid w:val="00363DD4"/>
    <w:rsid w:val="0036456B"/>
    <w:rsid w:val="00364CFC"/>
    <w:rsid w:val="00364D80"/>
    <w:rsid w:val="0037151D"/>
    <w:rsid w:val="00376507"/>
    <w:rsid w:val="00376BCD"/>
    <w:rsid w:val="00383136"/>
    <w:rsid w:val="003861DB"/>
    <w:rsid w:val="003865AE"/>
    <w:rsid w:val="00391AA9"/>
    <w:rsid w:val="0039660B"/>
    <w:rsid w:val="003A2D43"/>
    <w:rsid w:val="003A5E69"/>
    <w:rsid w:val="003A793B"/>
    <w:rsid w:val="003B2AA9"/>
    <w:rsid w:val="003B74BE"/>
    <w:rsid w:val="003C2849"/>
    <w:rsid w:val="003C3793"/>
    <w:rsid w:val="003C7AD6"/>
    <w:rsid w:val="003D0F52"/>
    <w:rsid w:val="003D2B98"/>
    <w:rsid w:val="003E41A8"/>
    <w:rsid w:val="003E53F5"/>
    <w:rsid w:val="003E6776"/>
    <w:rsid w:val="003F0E24"/>
    <w:rsid w:val="003F1EF9"/>
    <w:rsid w:val="003F375B"/>
    <w:rsid w:val="003F54CC"/>
    <w:rsid w:val="003F5BE7"/>
    <w:rsid w:val="003F6654"/>
    <w:rsid w:val="00401124"/>
    <w:rsid w:val="00402701"/>
    <w:rsid w:val="00406218"/>
    <w:rsid w:val="00407F53"/>
    <w:rsid w:val="00412D77"/>
    <w:rsid w:val="00414E18"/>
    <w:rsid w:val="00417411"/>
    <w:rsid w:val="00417B6E"/>
    <w:rsid w:val="00423CE0"/>
    <w:rsid w:val="00424110"/>
    <w:rsid w:val="00425341"/>
    <w:rsid w:val="00425C47"/>
    <w:rsid w:val="00426F79"/>
    <w:rsid w:val="00430FF2"/>
    <w:rsid w:val="00432866"/>
    <w:rsid w:val="004336A3"/>
    <w:rsid w:val="00434FC1"/>
    <w:rsid w:val="0043628A"/>
    <w:rsid w:val="00437D28"/>
    <w:rsid w:val="00441A14"/>
    <w:rsid w:val="00441BA5"/>
    <w:rsid w:val="004431A8"/>
    <w:rsid w:val="00446BAB"/>
    <w:rsid w:val="004504EE"/>
    <w:rsid w:val="00451099"/>
    <w:rsid w:val="0045339F"/>
    <w:rsid w:val="00453452"/>
    <w:rsid w:val="00453556"/>
    <w:rsid w:val="004570DB"/>
    <w:rsid w:val="004610F5"/>
    <w:rsid w:val="004623E7"/>
    <w:rsid w:val="004673ED"/>
    <w:rsid w:val="0046758F"/>
    <w:rsid w:val="00474A00"/>
    <w:rsid w:val="004760D0"/>
    <w:rsid w:val="00477741"/>
    <w:rsid w:val="00477996"/>
    <w:rsid w:val="00480200"/>
    <w:rsid w:val="00481814"/>
    <w:rsid w:val="00481D4E"/>
    <w:rsid w:val="00492B28"/>
    <w:rsid w:val="00493A11"/>
    <w:rsid w:val="00496D44"/>
    <w:rsid w:val="004A629B"/>
    <w:rsid w:val="004B0C3F"/>
    <w:rsid w:val="004B21C1"/>
    <w:rsid w:val="004B3A86"/>
    <w:rsid w:val="004B3B76"/>
    <w:rsid w:val="004B4D0A"/>
    <w:rsid w:val="004B5B67"/>
    <w:rsid w:val="004B79F5"/>
    <w:rsid w:val="004C0A1E"/>
    <w:rsid w:val="004C687D"/>
    <w:rsid w:val="004D0066"/>
    <w:rsid w:val="004D0A98"/>
    <w:rsid w:val="004D2FCE"/>
    <w:rsid w:val="004D50CF"/>
    <w:rsid w:val="004D71C1"/>
    <w:rsid w:val="004D7FE4"/>
    <w:rsid w:val="004E73D3"/>
    <w:rsid w:val="004F3199"/>
    <w:rsid w:val="004F3428"/>
    <w:rsid w:val="004F378E"/>
    <w:rsid w:val="004F3AA6"/>
    <w:rsid w:val="004F5764"/>
    <w:rsid w:val="0050203B"/>
    <w:rsid w:val="00502A49"/>
    <w:rsid w:val="005042A3"/>
    <w:rsid w:val="005047BD"/>
    <w:rsid w:val="00506FF2"/>
    <w:rsid w:val="00512C8B"/>
    <w:rsid w:val="00512D2C"/>
    <w:rsid w:val="005146BC"/>
    <w:rsid w:val="005155E3"/>
    <w:rsid w:val="00517958"/>
    <w:rsid w:val="00521A98"/>
    <w:rsid w:val="00521F84"/>
    <w:rsid w:val="00523273"/>
    <w:rsid w:val="005235FF"/>
    <w:rsid w:val="00524934"/>
    <w:rsid w:val="005264FC"/>
    <w:rsid w:val="00526CEF"/>
    <w:rsid w:val="00527420"/>
    <w:rsid w:val="00527EF3"/>
    <w:rsid w:val="00532CC1"/>
    <w:rsid w:val="0053304A"/>
    <w:rsid w:val="005424BC"/>
    <w:rsid w:val="00543B1E"/>
    <w:rsid w:val="00545A25"/>
    <w:rsid w:val="005464AA"/>
    <w:rsid w:val="00546886"/>
    <w:rsid w:val="0054729A"/>
    <w:rsid w:val="00547EE8"/>
    <w:rsid w:val="00551F26"/>
    <w:rsid w:val="005538B2"/>
    <w:rsid w:val="0057481F"/>
    <w:rsid w:val="00581CEB"/>
    <w:rsid w:val="00581FFF"/>
    <w:rsid w:val="005825F5"/>
    <w:rsid w:val="00583F50"/>
    <w:rsid w:val="005859CD"/>
    <w:rsid w:val="00591CDE"/>
    <w:rsid w:val="00595743"/>
    <w:rsid w:val="00596BD0"/>
    <w:rsid w:val="005A0BF8"/>
    <w:rsid w:val="005A0C4F"/>
    <w:rsid w:val="005A267E"/>
    <w:rsid w:val="005A6C4A"/>
    <w:rsid w:val="005B0BF0"/>
    <w:rsid w:val="005B5466"/>
    <w:rsid w:val="005B6019"/>
    <w:rsid w:val="005C10C1"/>
    <w:rsid w:val="005C491D"/>
    <w:rsid w:val="005C5309"/>
    <w:rsid w:val="005C5D54"/>
    <w:rsid w:val="005C5F04"/>
    <w:rsid w:val="005C6881"/>
    <w:rsid w:val="005C7C8C"/>
    <w:rsid w:val="005D0F8F"/>
    <w:rsid w:val="005D1A28"/>
    <w:rsid w:val="005D572A"/>
    <w:rsid w:val="005D797A"/>
    <w:rsid w:val="005E7C86"/>
    <w:rsid w:val="005F055F"/>
    <w:rsid w:val="005F1B88"/>
    <w:rsid w:val="005F228F"/>
    <w:rsid w:val="005F3C62"/>
    <w:rsid w:val="005F4878"/>
    <w:rsid w:val="005F5C92"/>
    <w:rsid w:val="005F5FBA"/>
    <w:rsid w:val="005F71AD"/>
    <w:rsid w:val="0060030B"/>
    <w:rsid w:val="006008B4"/>
    <w:rsid w:val="00601B4C"/>
    <w:rsid w:val="006070E8"/>
    <w:rsid w:val="0060726D"/>
    <w:rsid w:val="006079F6"/>
    <w:rsid w:val="00610BE3"/>
    <w:rsid w:val="00611D5C"/>
    <w:rsid w:val="00616803"/>
    <w:rsid w:val="00616932"/>
    <w:rsid w:val="006169BF"/>
    <w:rsid w:val="006177A0"/>
    <w:rsid w:val="00620318"/>
    <w:rsid w:val="0062124D"/>
    <w:rsid w:val="00621C49"/>
    <w:rsid w:val="00621DCE"/>
    <w:rsid w:val="00625D07"/>
    <w:rsid w:val="006331E3"/>
    <w:rsid w:val="006346C3"/>
    <w:rsid w:val="00640C82"/>
    <w:rsid w:val="006426D8"/>
    <w:rsid w:val="0064415A"/>
    <w:rsid w:val="006459F9"/>
    <w:rsid w:val="00651839"/>
    <w:rsid w:val="00651E38"/>
    <w:rsid w:val="00651F04"/>
    <w:rsid w:val="00655315"/>
    <w:rsid w:val="00663B7E"/>
    <w:rsid w:val="00667E0D"/>
    <w:rsid w:val="0067008A"/>
    <w:rsid w:val="006704BA"/>
    <w:rsid w:val="00674F7F"/>
    <w:rsid w:val="00675E26"/>
    <w:rsid w:val="00694420"/>
    <w:rsid w:val="00694682"/>
    <w:rsid w:val="00695647"/>
    <w:rsid w:val="00695DE9"/>
    <w:rsid w:val="006A2806"/>
    <w:rsid w:val="006A3029"/>
    <w:rsid w:val="006A4095"/>
    <w:rsid w:val="006A4E46"/>
    <w:rsid w:val="006A6811"/>
    <w:rsid w:val="006B3D1F"/>
    <w:rsid w:val="006C0206"/>
    <w:rsid w:val="006C22E6"/>
    <w:rsid w:val="006C56BA"/>
    <w:rsid w:val="006C7590"/>
    <w:rsid w:val="006D56ED"/>
    <w:rsid w:val="006D7529"/>
    <w:rsid w:val="006D78D5"/>
    <w:rsid w:val="006E351B"/>
    <w:rsid w:val="006E3C41"/>
    <w:rsid w:val="006F113A"/>
    <w:rsid w:val="006F5590"/>
    <w:rsid w:val="00701977"/>
    <w:rsid w:val="00704815"/>
    <w:rsid w:val="007053CA"/>
    <w:rsid w:val="00705D4A"/>
    <w:rsid w:val="007074E0"/>
    <w:rsid w:val="0071060E"/>
    <w:rsid w:val="007128B7"/>
    <w:rsid w:val="00715B67"/>
    <w:rsid w:val="00716400"/>
    <w:rsid w:val="00717004"/>
    <w:rsid w:val="00722DAC"/>
    <w:rsid w:val="007259E1"/>
    <w:rsid w:val="00733A67"/>
    <w:rsid w:val="007341E0"/>
    <w:rsid w:val="0074383D"/>
    <w:rsid w:val="00743D71"/>
    <w:rsid w:val="00744288"/>
    <w:rsid w:val="007465DF"/>
    <w:rsid w:val="00747095"/>
    <w:rsid w:val="00761879"/>
    <w:rsid w:val="00762669"/>
    <w:rsid w:val="00762A97"/>
    <w:rsid w:val="00764DBD"/>
    <w:rsid w:val="00765252"/>
    <w:rsid w:val="0076602F"/>
    <w:rsid w:val="007672A3"/>
    <w:rsid w:val="007704F3"/>
    <w:rsid w:val="00770900"/>
    <w:rsid w:val="00771C12"/>
    <w:rsid w:val="00780118"/>
    <w:rsid w:val="007808C7"/>
    <w:rsid w:val="00781E9E"/>
    <w:rsid w:val="007941D0"/>
    <w:rsid w:val="0079672D"/>
    <w:rsid w:val="007A0D7A"/>
    <w:rsid w:val="007A0DA0"/>
    <w:rsid w:val="007A2585"/>
    <w:rsid w:val="007A2D94"/>
    <w:rsid w:val="007A30D3"/>
    <w:rsid w:val="007A3676"/>
    <w:rsid w:val="007B1BF2"/>
    <w:rsid w:val="007B2227"/>
    <w:rsid w:val="007B24EC"/>
    <w:rsid w:val="007B6657"/>
    <w:rsid w:val="007B7CAC"/>
    <w:rsid w:val="007C42B2"/>
    <w:rsid w:val="007C4C01"/>
    <w:rsid w:val="007C4D13"/>
    <w:rsid w:val="007C59AD"/>
    <w:rsid w:val="007C5F9D"/>
    <w:rsid w:val="007D012E"/>
    <w:rsid w:val="007D2BAB"/>
    <w:rsid w:val="007D3F27"/>
    <w:rsid w:val="007E5C44"/>
    <w:rsid w:val="007F3F87"/>
    <w:rsid w:val="007F4C3F"/>
    <w:rsid w:val="007F5094"/>
    <w:rsid w:val="007F5E6E"/>
    <w:rsid w:val="007F659F"/>
    <w:rsid w:val="007F6CCA"/>
    <w:rsid w:val="00800997"/>
    <w:rsid w:val="0080109C"/>
    <w:rsid w:val="008054B0"/>
    <w:rsid w:val="008055DB"/>
    <w:rsid w:val="0081141B"/>
    <w:rsid w:val="00812CC3"/>
    <w:rsid w:val="00813991"/>
    <w:rsid w:val="00816663"/>
    <w:rsid w:val="0081713E"/>
    <w:rsid w:val="008216B0"/>
    <w:rsid w:val="00825A9C"/>
    <w:rsid w:val="0082760D"/>
    <w:rsid w:val="00834727"/>
    <w:rsid w:val="008358D7"/>
    <w:rsid w:val="008374B6"/>
    <w:rsid w:val="0085086B"/>
    <w:rsid w:val="008523DC"/>
    <w:rsid w:val="00852B57"/>
    <w:rsid w:val="00855A85"/>
    <w:rsid w:val="00855FA4"/>
    <w:rsid w:val="008578D5"/>
    <w:rsid w:val="008606C7"/>
    <w:rsid w:val="008638F2"/>
    <w:rsid w:val="008649A3"/>
    <w:rsid w:val="00867378"/>
    <w:rsid w:val="00870978"/>
    <w:rsid w:val="0088072F"/>
    <w:rsid w:val="008830D4"/>
    <w:rsid w:val="008854D3"/>
    <w:rsid w:val="00890E9D"/>
    <w:rsid w:val="00894130"/>
    <w:rsid w:val="00895399"/>
    <w:rsid w:val="00897F88"/>
    <w:rsid w:val="008A4782"/>
    <w:rsid w:val="008B2B13"/>
    <w:rsid w:val="008B45E5"/>
    <w:rsid w:val="008B4CA6"/>
    <w:rsid w:val="008B5647"/>
    <w:rsid w:val="008C01FB"/>
    <w:rsid w:val="008C4EFE"/>
    <w:rsid w:val="008C72B6"/>
    <w:rsid w:val="008C78B2"/>
    <w:rsid w:val="008D3763"/>
    <w:rsid w:val="008D3AC9"/>
    <w:rsid w:val="008E1EAB"/>
    <w:rsid w:val="008E323C"/>
    <w:rsid w:val="008E5A7E"/>
    <w:rsid w:val="008F34AE"/>
    <w:rsid w:val="008F3703"/>
    <w:rsid w:val="008F3983"/>
    <w:rsid w:val="008F48C9"/>
    <w:rsid w:val="00911738"/>
    <w:rsid w:val="00911B21"/>
    <w:rsid w:val="0091687D"/>
    <w:rsid w:val="0092028C"/>
    <w:rsid w:val="00920CA0"/>
    <w:rsid w:val="00926EB0"/>
    <w:rsid w:val="009329B5"/>
    <w:rsid w:val="00932DE3"/>
    <w:rsid w:val="009400FA"/>
    <w:rsid w:val="009403A2"/>
    <w:rsid w:val="00940A61"/>
    <w:rsid w:val="00947D7B"/>
    <w:rsid w:val="00955AC4"/>
    <w:rsid w:val="00955BA4"/>
    <w:rsid w:val="00962717"/>
    <w:rsid w:val="009744C2"/>
    <w:rsid w:val="00982D47"/>
    <w:rsid w:val="00983613"/>
    <w:rsid w:val="00983ADD"/>
    <w:rsid w:val="00992BED"/>
    <w:rsid w:val="00993C0D"/>
    <w:rsid w:val="00994F17"/>
    <w:rsid w:val="009975D2"/>
    <w:rsid w:val="009A0D77"/>
    <w:rsid w:val="009A25B7"/>
    <w:rsid w:val="009A3DA5"/>
    <w:rsid w:val="009B1EA9"/>
    <w:rsid w:val="009B7E9B"/>
    <w:rsid w:val="009C28FB"/>
    <w:rsid w:val="009C5D4F"/>
    <w:rsid w:val="009C6642"/>
    <w:rsid w:val="009C70A7"/>
    <w:rsid w:val="009C72A7"/>
    <w:rsid w:val="009D1284"/>
    <w:rsid w:val="009D1A69"/>
    <w:rsid w:val="009D20A6"/>
    <w:rsid w:val="009D4119"/>
    <w:rsid w:val="009D6130"/>
    <w:rsid w:val="009D795A"/>
    <w:rsid w:val="009E0C8A"/>
    <w:rsid w:val="009E2009"/>
    <w:rsid w:val="009E5653"/>
    <w:rsid w:val="009E60D7"/>
    <w:rsid w:val="00A01B23"/>
    <w:rsid w:val="00A06BFE"/>
    <w:rsid w:val="00A11768"/>
    <w:rsid w:val="00A11EAB"/>
    <w:rsid w:val="00A123EE"/>
    <w:rsid w:val="00A13B59"/>
    <w:rsid w:val="00A15645"/>
    <w:rsid w:val="00A17044"/>
    <w:rsid w:val="00A17C45"/>
    <w:rsid w:val="00A17F55"/>
    <w:rsid w:val="00A20F0A"/>
    <w:rsid w:val="00A22B3E"/>
    <w:rsid w:val="00A22E82"/>
    <w:rsid w:val="00A24EF8"/>
    <w:rsid w:val="00A257B2"/>
    <w:rsid w:val="00A30F25"/>
    <w:rsid w:val="00A34690"/>
    <w:rsid w:val="00A37997"/>
    <w:rsid w:val="00A37AB1"/>
    <w:rsid w:val="00A42C83"/>
    <w:rsid w:val="00A435CB"/>
    <w:rsid w:val="00A44A46"/>
    <w:rsid w:val="00A51422"/>
    <w:rsid w:val="00A6387A"/>
    <w:rsid w:val="00A647C7"/>
    <w:rsid w:val="00A70347"/>
    <w:rsid w:val="00A70968"/>
    <w:rsid w:val="00A70AC4"/>
    <w:rsid w:val="00A72250"/>
    <w:rsid w:val="00A74BA4"/>
    <w:rsid w:val="00A76DE9"/>
    <w:rsid w:val="00A76FF6"/>
    <w:rsid w:val="00A801E5"/>
    <w:rsid w:val="00A81012"/>
    <w:rsid w:val="00A810DA"/>
    <w:rsid w:val="00A84C20"/>
    <w:rsid w:val="00A9659A"/>
    <w:rsid w:val="00A97F5C"/>
    <w:rsid w:val="00AA4A5C"/>
    <w:rsid w:val="00AA5958"/>
    <w:rsid w:val="00AB096E"/>
    <w:rsid w:val="00AB1203"/>
    <w:rsid w:val="00AB3091"/>
    <w:rsid w:val="00AB39C0"/>
    <w:rsid w:val="00AC41E6"/>
    <w:rsid w:val="00AC53CF"/>
    <w:rsid w:val="00AC6DA8"/>
    <w:rsid w:val="00AD1211"/>
    <w:rsid w:val="00AD6C6F"/>
    <w:rsid w:val="00AE092E"/>
    <w:rsid w:val="00AE1412"/>
    <w:rsid w:val="00AE3B2B"/>
    <w:rsid w:val="00AE4CFE"/>
    <w:rsid w:val="00AE5733"/>
    <w:rsid w:val="00AE6869"/>
    <w:rsid w:val="00AF3F11"/>
    <w:rsid w:val="00AF46E0"/>
    <w:rsid w:val="00B025FC"/>
    <w:rsid w:val="00B03328"/>
    <w:rsid w:val="00B0433C"/>
    <w:rsid w:val="00B04DF9"/>
    <w:rsid w:val="00B0523D"/>
    <w:rsid w:val="00B055E9"/>
    <w:rsid w:val="00B06A4F"/>
    <w:rsid w:val="00B13B32"/>
    <w:rsid w:val="00B15E62"/>
    <w:rsid w:val="00B16A49"/>
    <w:rsid w:val="00B210DE"/>
    <w:rsid w:val="00B227FE"/>
    <w:rsid w:val="00B22ECB"/>
    <w:rsid w:val="00B22FE8"/>
    <w:rsid w:val="00B24624"/>
    <w:rsid w:val="00B317F2"/>
    <w:rsid w:val="00B34ED9"/>
    <w:rsid w:val="00B3508C"/>
    <w:rsid w:val="00B405F7"/>
    <w:rsid w:val="00B424F0"/>
    <w:rsid w:val="00B43CB7"/>
    <w:rsid w:val="00B44012"/>
    <w:rsid w:val="00B45141"/>
    <w:rsid w:val="00B45446"/>
    <w:rsid w:val="00B4569D"/>
    <w:rsid w:val="00B4709B"/>
    <w:rsid w:val="00B47CD7"/>
    <w:rsid w:val="00B53C75"/>
    <w:rsid w:val="00B55AB5"/>
    <w:rsid w:val="00B56084"/>
    <w:rsid w:val="00B565B6"/>
    <w:rsid w:val="00B56ECB"/>
    <w:rsid w:val="00B57D42"/>
    <w:rsid w:val="00B66D4F"/>
    <w:rsid w:val="00B7461F"/>
    <w:rsid w:val="00B751E8"/>
    <w:rsid w:val="00B7658E"/>
    <w:rsid w:val="00B77B4E"/>
    <w:rsid w:val="00B848B0"/>
    <w:rsid w:val="00B87B35"/>
    <w:rsid w:val="00B90B8E"/>
    <w:rsid w:val="00BA006E"/>
    <w:rsid w:val="00BA0C78"/>
    <w:rsid w:val="00BA0FE5"/>
    <w:rsid w:val="00BA2A54"/>
    <w:rsid w:val="00BA4710"/>
    <w:rsid w:val="00BA5CD7"/>
    <w:rsid w:val="00BB1A8E"/>
    <w:rsid w:val="00BB2D57"/>
    <w:rsid w:val="00BB2E73"/>
    <w:rsid w:val="00BB4DD3"/>
    <w:rsid w:val="00BB51D0"/>
    <w:rsid w:val="00BB6B5A"/>
    <w:rsid w:val="00BC0F51"/>
    <w:rsid w:val="00BC117B"/>
    <w:rsid w:val="00BC2EB2"/>
    <w:rsid w:val="00BC33A2"/>
    <w:rsid w:val="00BD1B96"/>
    <w:rsid w:val="00BD4FA4"/>
    <w:rsid w:val="00BD6C44"/>
    <w:rsid w:val="00BE342C"/>
    <w:rsid w:val="00BE5E23"/>
    <w:rsid w:val="00BE65EF"/>
    <w:rsid w:val="00BE6F15"/>
    <w:rsid w:val="00BF5DF2"/>
    <w:rsid w:val="00BF6016"/>
    <w:rsid w:val="00BF6406"/>
    <w:rsid w:val="00C05BBC"/>
    <w:rsid w:val="00C07072"/>
    <w:rsid w:val="00C12F2D"/>
    <w:rsid w:val="00C16B10"/>
    <w:rsid w:val="00C21B52"/>
    <w:rsid w:val="00C22B2F"/>
    <w:rsid w:val="00C237E2"/>
    <w:rsid w:val="00C24A93"/>
    <w:rsid w:val="00C2504A"/>
    <w:rsid w:val="00C25638"/>
    <w:rsid w:val="00C26A7F"/>
    <w:rsid w:val="00C26ED6"/>
    <w:rsid w:val="00C32D6C"/>
    <w:rsid w:val="00C3387F"/>
    <w:rsid w:val="00C33A30"/>
    <w:rsid w:val="00C346A9"/>
    <w:rsid w:val="00C3521C"/>
    <w:rsid w:val="00C4116D"/>
    <w:rsid w:val="00C42BCB"/>
    <w:rsid w:val="00C4355C"/>
    <w:rsid w:val="00C47EA3"/>
    <w:rsid w:val="00C5286D"/>
    <w:rsid w:val="00C54012"/>
    <w:rsid w:val="00C664ED"/>
    <w:rsid w:val="00C6694E"/>
    <w:rsid w:val="00C71B9D"/>
    <w:rsid w:val="00C71FB0"/>
    <w:rsid w:val="00C72B62"/>
    <w:rsid w:val="00C74581"/>
    <w:rsid w:val="00C75F2C"/>
    <w:rsid w:val="00C769E2"/>
    <w:rsid w:val="00C7744F"/>
    <w:rsid w:val="00C77B7C"/>
    <w:rsid w:val="00C77D26"/>
    <w:rsid w:val="00C81DAF"/>
    <w:rsid w:val="00C82FE1"/>
    <w:rsid w:val="00C85F05"/>
    <w:rsid w:val="00C90A03"/>
    <w:rsid w:val="00C97EFA"/>
    <w:rsid w:val="00CA6242"/>
    <w:rsid w:val="00CB11A6"/>
    <w:rsid w:val="00CB15B1"/>
    <w:rsid w:val="00CB2B56"/>
    <w:rsid w:val="00CB34D6"/>
    <w:rsid w:val="00CC06CC"/>
    <w:rsid w:val="00CC1009"/>
    <w:rsid w:val="00CC228C"/>
    <w:rsid w:val="00CC7117"/>
    <w:rsid w:val="00CC7E8D"/>
    <w:rsid w:val="00CD213B"/>
    <w:rsid w:val="00CD3057"/>
    <w:rsid w:val="00CD5D17"/>
    <w:rsid w:val="00CD6341"/>
    <w:rsid w:val="00CD7696"/>
    <w:rsid w:val="00CD7D85"/>
    <w:rsid w:val="00CE1AD8"/>
    <w:rsid w:val="00CE53CA"/>
    <w:rsid w:val="00CE55A4"/>
    <w:rsid w:val="00CF7657"/>
    <w:rsid w:val="00CF7C48"/>
    <w:rsid w:val="00D00F99"/>
    <w:rsid w:val="00D03BA8"/>
    <w:rsid w:val="00D101BF"/>
    <w:rsid w:val="00D127D6"/>
    <w:rsid w:val="00D16E9E"/>
    <w:rsid w:val="00D20DD3"/>
    <w:rsid w:val="00D22116"/>
    <w:rsid w:val="00D240ED"/>
    <w:rsid w:val="00D241C0"/>
    <w:rsid w:val="00D25232"/>
    <w:rsid w:val="00D276E0"/>
    <w:rsid w:val="00D31854"/>
    <w:rsid w:val="00D44B1B"/>
    <w:rsid w:val="00D46538"/>
    <w:rsid w:val="00D50DD7"/>
    <w:rsid w:val="00D51BC3"/>
    <w:rsid w:val="00D538D1"/>
    <w:rsid w:val="00D53AF8"/>
    <w:rsid w:val="00D575D1"/>
    <w:rsid w:val="00D608E9"/>
    <w:rsid w:val="00D609BC"/>
    <w:rsid w:val="00D672B1"/>
    <w:rsid w:val="00D74529"/>
    <w:rsid w:val="00D74837"/>
    <w:rsid w:val="00D752DF"/>
    <w:rsid w:val="00D755F5"/>
    <w:rsid w:val="00D80BAB"/>
    <w:rsid w:val="00D80D4F"/>
    <w:rsid w:val="00D80E8D"/>
    <w:rsid w:val="00D851DB"/>
    <w:rsid w:val="00D871B4"/>
    <w:rsid w:val="00D878C9"/>
    <w:rsid w:val="00D90BD9"/>
    <w:rsid w:val="00D96B3F"/>
    <w:rsid w:val="00D96CF4"/>
    <w:rsid w:val="00D96F60"/>
    <w:rsid w:val="00DA1FB1"/>
    <w:rsid w:val="00DA2A9C"/>
    <w:rsid w:val="00DA5D91"/>
    <w:rsid w:val="00DA6730"/>
    <w:rsid w:val="00DB1CC8"/>
    <w:rsid w:val="00DB2FD8"/>
    <w:rsid w:val="00DB4224"/>
    <w:rsid w:val="00DC0268"/>
    <w:rsid w:val="00DC04C3"/>
    <w:rsid w:val="00DC3080"/>
    <w:rsid w:val="00DC37D5"/>
    <w:rsid w:val="00DC4A32"/>
    <w:rsid w:val="00DD397C"/>
    <w:rsid w:val="00DD39F6"/>
    <w:rsid w:val="00DD40D6"/>
    <w:rsid w:val="00DE0220"/>
    <w:rsid w:val="00DE04B4"/>
    <w:rsid w:val="00DE13B0"/>
    <w:rsid w:val="00DE17B1"/>
    <w:rsid w:val="00DE29F4"/>
    <w:rsid w:val="00DE4307"/>
    <w:rsid w:val="00DF097F"/>
    <w:rsid w:val="00DF46B9"/>
    <w:rsid w:val="00DF4D39"/>
    <w:rsid w:val="00DF5DA3"/>
    <w:rsid w:val="00DF6697"/>
    <w:rsid w:val="00DF788A"/>
    <w:rsid w:val="00E06A2D"/>
    <w:rsid w:val="00E1656F"/>
    <w:rsid w:val="00E2210A"/>
    <w:rsid w:val="00E253EA"/>
    <w:rsid w:val="00E25F78"/>
    <w:rsid w:val="00E27D87"/>
    <w:rsid w:val="00E30C39"/>
    <w:rsid w:val="00E319C7"/>
    <w:rsid w:val="00E32BFF"/>
    <w:rsid w:val="00E34ED2"/>
    <w:rsid w:val="00E353D0"/>
    <w:rsid w:val="00E363B3"/>
    <w:rsid w:val="00E36F12"/>
    <w:rsid w:val="00E40A49"/>
    <w:rsid w:val="00E412E0"/>
    <w:rsid w:val="00E43CC4"/>
    <w:rsid w:val="00E46A93"/>
    <w:rsid w:val="00E4706D"/>
    <w:rsid w:val="00E47CF8"/>
    <w:rsid w:val="00E56064"/>
    <w:rsid w:val="00E60F6B"/>
    <w:rsid w:val="00E628E1"/>
    <w:rsid w:val="00E63E8B"/>
    <w:rsid w:val="00E64414"/>
    <w:rsid w:val="00E6647B"/>
    <w:rsid w:val="00E82C78"/>
    <w:rsid w:val="00E86090"/>
    <w:rsid w:val="00E87C00"/>
    <w:rsid w:val="00E92F13"/>
    <w:rsid w:val="00E93F39"/>
    <w:rsid w:val="00EA0FA2"/>
    <w:rsid w:val="00EA1230"/>
    <w:rsid w:val="00EA1B31"/>
    <w:rsid w:val="00EA3B56"/>
    <w:rsid w:val="00EA3C29"/>
    <w:rsid w:val="00EA491A"/>
    <w:rsid w:val="00EA6F85"/>
    <w:rsid w:val="00EB05F3"/>
    <w:rsid w:val="00EB06D6"/>
    <w:rsid w:val="00EB10E8"/>
    <w:rsid w:val="00EB3B39"/>
    <w:rsid w:val="00EB5801"/>
    <w:rsid w:val="00EB58CB"/>
    <w:rsid w:val="00EB5FD3"/>
    <w:rsid w:val="00EC0124"/>
    <w:rsid w:val="00EC0CEB"/>
    <w:rsid w:val="00EC219B"/>
    <w:rsid w:val="00EC5450"/>
    <w:rsid w:val="00EC7D11"/>
    <w:rsid w:val="00ED1A18"/>
    <w:rsid w:val="00ED3B86"/>
    <w:rsid w:val="00ED5D2F"/>
    <w:rsid w:val="00ED768D"/>
    <w:rsid w:val="00EE322A"/>
    <w:rsid w:val="00EE460C"/>
    <w:rsid w:val="00EE4CA3"/>
    <w:rsid w:val="00EF03D5"/>
    <w:rsid w:val="00EF1BC7"/>
    <w:rsid w:val="00EF34BB"/>
    <w:rsid w:val="00EF3A03"/>
    <w:rsid w:val="00EF7A18"/>
    <w:rsid w:val="00F0061C"/>
    <w:rsid w:val="00F01840"/>
    <w:rsid w:val="00F01A25"/>
    <w:rsid w:val="00F026DA"/>
    <w:rsid w:val="00F04A8B"/>
    <w:rsid w:val="00F07857"/>
    <w:rsid w:val="00F10BB8"/>
    <w:rsid w:val="00F24C1C"/>
    <w:rsid w:val="00F24F21"/>
    <w:rsid w:val="00F26060"/>
    <w:rsid w:val="00F31E82"/>
    <w:rsid w:val="00F33E29"/>
    <w:rsid w:val="00F35F36"/>
    <w:rsid w:val="00F36D31"/>
    <w:rsid w:val="00F3765A"/>
    <w:rsid w:val="00F37D82"/>
    <w:rsid w:val="00F4008C"/>
    <w:rsid w:val="00F40B9D"/>
    <w:rsid w:val="00F43259"/>
    <w:rsid w:val="00F44C28"/>
    <w:rsid w:val="00F47BB1"/>
    <w:rsid w:val="00F50220"/>
    <w:rsid w:val="00F51E49"/>
    <w:rsid w:val="00F53211"/>
    <w:rsid w:val="00F542D1"/>
    <w:rsid w:val="00F54344"/>
    <w:rsid w:val="00F60187"/>
    <w:rsid w:val="00F6039A"/>
    <w:rsid w:val="00F62B1D"/>
    <w:rsid w:val="00F63712"/>
    <w:rsid w:val="00F660F6"/>
    <w:rsid w:val="00F70D39"/>
    <w:rsid w:val="00F752FB"/>
    <w:rsid w:val="00F81CEC"/>
    <w:rsid w:val="00F82C2A"/>
    <w:rsid w:val="00F847DD"/>
    <w:rsid w:val="00F849D6"/>
    <w:rsid w:val="00F91BF2"/>
    <w:rsid w:val="00F96D66"/>
    <w:rsid w:val="00FA00A4"/>
    <w:rsid w:val="00FA115F"/>
    <w:rsid w:val="00FA1797"/>
    <w:rsid w:val="00FA1D9B"/>
    <w:rsid w:val="00FA24A5"/>
    <w:rsid w:val="00FA2C83"/>
    <w:rsid w:val="00FA4586"/>
    <w:rsid w:val="00FA4D07"/>
    <w:rsid w:val="00FA55D6"/>
    <w:rsid w:val="00FA6230"/>
    <w:rsid w:val="00FB0F24"/>
    <w:rsid w:val="00FB1E42"/>
    <w:rsid w:val="00FB27E4"/>
    <w:rsid w:val="00FC0AB1"/>
    <w:rsid w:val="00FC15A9"/>
    <w:rsid w:val="00FC622A"/>
    <w:rsid w:val="00FC66FE"/>
    <w:rsid w:val="00FD1D25"/>
    <w:rsid w:val="00FE4C74"/>
    <w:rsid w:val="00FE713A"/>
    <w:rsid w:val="00FF182C"/>
    <w:rsid w:val="00FF1CE8"/>
    <w:rsid w:val="00FF3ED7"/>
    <w:rsid w:val="00FF4A16"/>
    <w:rsid w:val="00FF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33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AF"/>
    <w:pPr>
      <w:spacing w:after="160" w:line="360" w:lineRule="auto"/>
      <w:ind w:left="720" w:hanging="720"/>
    </w:pPr>
    <w:rPr>
      <w:rFonts w:ascii="Times New Roman" w:eastAsia="Times New Roman" w:hAnsi="Times New Roman"/>
      <w:sz w:val="24"/>
    </w:rPr>
  </w:style>
  <w:style w:type="paragraph" w:styleId="Heading4">
    <w:name w:val="heading 4"/>
    <w:basedOn w:val="Normal"/>
    <w:link w:val="Heading4Char"/>
    <w:uiPriority w:val="9"/>
    <w:qFormat/>
    <w:rsid w:val="00FF182C"/>
    <w:pPr>
      <w:spacing w:before="100" w:beforeAutospacing="1" w:after="100" w:afterAutospacing="1" w:line="240" w:lineRule="auto"/>
      <w:ind w:left="0" w:firstLine="0"/>
      <w:outlineLvl w:val="3"/>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C33A2"/>
    <w:pPr>
      <w:spacing w:after="360" w:line="240" w:lineRule="auto"/>
      <w:ind w:left="0" w:firstLine="0"/>
      <w:jc w:val="center"/>
    </w:pPr>
    <w:rPr>
      <w:b/>
      <w:caps/>
      <w:lang w:val="x-none" w:eastAsia="x-none"/>
    </w:rPr>
  </w:style>
  <w:style w:type="character" w:customStyle="1" w:styleId="TitleChar">
    <w:name w:val="Title Char"/>
    <w:link w:val="Title"/>
    <w:rsid w:val="00BC33A2"/>
    <w:rPr>
      <w:rFonts w:ascii="Times New Roman" w:eastAsia="Times New Roman" w:hAnsi="Times New Roman" w:cs="Times New Roman"/>
      <w:b/>
      <w:caps/>
      <w:sz w:val="24"/>
      <w:szCs w:val="20"/>
    </w:rPr>
  </w:style>
  <w:style w:type="paragraph" w:styleId="BodyTextIndent">
    <w:name w:val="Body Text Indent"/>
    <w:basedOn w:val="Normal"/>
    <w:link w:val="BodyTextIndentChar"/>
    <w:rsid w:val="00BC33A2"/>
    <w:pPr>
      <w:spacing w:after="240" w:line="480" w:lineRule="auto"/>
      <w:ind w:left="0" w:firstLine="0"/>
      <w:jc w:val="both"/>
    </w:pPr>
    <w:rPr>
      <w:rFonts w:ascii="CG Times" w:hAnsi="CG Times"/>
      <w:lang w:val="x-none" w:eastAsia="x-none"/>
    </w:rPr>
  </w:style>
  <w:style w:type="character" w:customStyle="1" w:styleId="BodyTextIndentChar">
    <w:name w:val="Body Text Indent Char"/>
    <w:link w:val="BodyTextIndent"/>
    <w:rsid w:val="00BC33A2"/>
    <w:rPr>
      <w:rFonts w:ascii="CG Times" w:eastAsia="Times New Roman" w:hAnsi="CG Times" w:cs="Times New Roman"/>
      <w:sz w:val="24"/>
      <w:szCs w:val="20"/>
    </w:rPr>
  </w:style>
  <w:style w:type="paragraph" w:styleId="NoSpacing">
    <w:name w:val="No Spacing"/>
    <w:uiPriority w:val="1"/>
    <w:qFormat/>
    <w:rsid w:val="00BC33A2"/>
    <w:pPr>
      <w:ind w:left="720" w:hanging="720"/>
    </w:pPr>
    <w:rPr>
      <w:rFonts w:ascii="Times New Roman" w:eastAsia="Times New Roman" w:hAnsi="Times New Roman"/>
      <w:sz w:val="24"/>
    </w:rPr>
  </w:style>
  <w:style w:type="paragraph" w:styleId="Header">
    <w:name w:val="header"/>
    <w:basedOn w:val="Normal"/>
    <w:link w:val="HeaderChar"/>
    <w:unhideWhenUsed/>
    <w:rsid w:val="00BC33A2"/>
    <w:pPr>
      <w:tabs>
        <w:tab w:val="center" w:pos="4680"/>
        <w:tab w:val="right" w:pos="9360"/>
      </w:tabs>
      <w:spacing w:after="0" w:line="240" w:lineRule="auto"/>
    </w:pPr>
    <w:rPr>
      <w:lang w:val="x-none" w:eastAsia="x-none"/>
    </w:rPr>
  </w:style>
  <w:style w:type="character" w:customStyle="1" w:styleId="HeaderChar">
    <w:name w:val="Header Char"/>
    <w:link w:val="Header"/>
    <w:rsid w:val="00BC33A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C33A2"/>
    <w:pPr>
      <w:tabs>
        <w:tab w:val="center" w:pos="4680"/>
        <w:tab w:val="right" w:pos="9360"/>
      </w:tabs>
      <w:spacing w:after="0" w:line="240" w:lineRule="auto"/>
    </w:pPr>
    <w:rPr>
      <w:lang w:val="x-none" w:eastAsia="x-none"/>
    </w:rPr>
  </w:style>
  <w:style w:type="character" w:customStyle="1" w:styleId="FooterChar">
    <w:name w:val="Footer Char"/>
    <w:link w:val="Footer"/>
    <w:uiPriority w:val="99"/>
    <w:rsid w:val="00BC33A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BC33A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C33A2"/>
    <w:rPr>
      <w:rFonts w:ascii="Tahoma" w:eastAsia="Times New Roman" w:hAnsi="Tahoma" w:cs="Tahoma"/>
      <w:sz w:val="16"/>
      <w:szCs w:val="16"/>
    </w:rPr>
  </w:style>
  <w:style w:type="paragraph" w:styleId="TOC1">
    <w:name w:val="toc 1"/>
    <w:basedOn w:val="Normal"/>
    <w:next w:val="Normal"/>
    <w:autoRedefine/>
    <w:uiPriority w:val="39"/>
    <w:rsid w:val="00BC33A2"/>
    <w:pPr>
      <w:tabs>
        <w:tab w:val="right" w:leader="dot" w:pos="9350"/>
      </w:tabs>
      <w:spacing w:after="100"/>
    </w:pPr>
    <w:rPr>
      <w:szCs w:val="24"/>
    </w:rPr>
  </w:style>
  <w:style w:type="character" w:styleId="Hyperlink">
    <w:name w:val="Hyperlink"/>
    <w:uiPriority w:val="99"/>
    <w:unhideWhenUsed/>
    <w:rsid w:val="00BC33A2"/>
    <w:rPr>
      <w:color w:val="0000FF"/>
      <w:u w:val="single"/>
    </w:rPr>
  </w:style>
  <w:style w:type="paragraph" w:customStyle="1" w:styleId="ColorfulList-Accent11">
    <w:name w:val="Colorful List - Accent 11"/>
    <w:basedOn w:val="Normal"/>
    <w:uiPriority w:val="34"/>
    <w:qFormat/>
    <w:rsid w:val="00BC33A2"/>
    <w:pPr>
      <w:contextualSpacing/>
    </w:pPr>
  </w:style>
  <w:style w:type="paragraph" w:customStyle="1" w:styleId="Question">
    <w:name w:val="Question"/>
    <w:basedOn w:val="Answer"/>
    <w:next w:val="Answer"/>
    <w:link w:val="QuestionChar"/>
    <w:rsid w:val="00BC33A2"/>
  </w:style>
  <w:style w:type="paragraph" w:customStyle="1" w:styleId="Answer">
    <w:name w:val="Answer"/>
    <w:next w:val="Question"/>
    <w:link w:val="AnswerChar"/>
    <w:rsid w:val="00BC33A2"/>
    <w:pPr>
      <w:spacing w:after="160" w:line="360" w:lineRule="auto"/>
      <w:ind w:left="720" w:hanging="720"/>
    </w:pPr>
    <w:rPr>
      <w:rFonts w:ascii="Times New Roman" w:eastAsia="Times New Roman" w:hAnsi="Times New Roman"/>
      <w:sz w:val="24"/>
    </w:rPr>
  </w:style>
  <w:style w:type="character" w:customStyle="1" w:styleId="QuestionChar">
    <w:name w:val="Question Char"/>
    <w:link w:val="Question"/>
    <w:rsid w:val="00BC33A2"/>
    <w:rPr>
      <w:rFonts w:ascii="Times New Roman" w:eastAsia="Times New Roman" w:hAnsi="Times New Roman" w:cs="Times New Roman"/>
      <w:sz w:val="24"/>
    </w:rPr>
  </w:style>
  <w:style w:type="character" w:customStyle="1" w:styleId="AnswerChar">
    <w:name w:val="Answer Char"/>
    <w:link w:val="Answer"/>
    <w:rsid w:val="00BC33A2"/>
    <w:rPr>
      <w:rFonts w:ascii="Times New Roman" w:eastAsia="Times New Roman" w:hAnsi="Times New Roman"/>
      <w:sz w:val="24"/>
      <w:lang w:bidi="ar-SA"/>
    </w:rPr>
  </w:style>
  <w:style w:type="character" w:styleId="CommentReference">
    <w:name w:val="annotation reference"/>
    <w:uiPriority w:val="99"/>
    <w:semiHidden/>
    <w:unhideWhenUsed/>
    <w:rsid w:val="000F4A4E"/>
    <w:rPr>
      <w:sz w:val="16"/>
      <w:szCs w:val="16"/>
    </w:rPr>
  </w:style>
  <w:style w:type="paragraph" w:styleId="CommentText">
    <w:name w:val="annotation text"/>
    <w:basedOn w:val="Normal"/>
    <w:link w:val="CommentTextChar"/>
    <w:uiPriority w:val="99"/>
    <w:unhideWhenUsed/>
    <w:rsid w:val="000F4A4E"/>
    <w:pPr>
      <w:spacing w:line="240" w:lineRule="auto"/>
    </w:pPr>
    <w:rPr>
      <w:sz w:val="20"/>
      <w:lang w:val="x-none" w:eastAsia="x-none"/>
    </w:rPr>
  </w:style>
  <w:style w:type="character" w:customStyle="1" w:styleId="CommentTextChar">
    <w:name w:val="Comment Text Char"/>
    <w:link w:val="CommentText"/>
    <w:uiPriority w:val="99"/>
    <w:rsid w:val="000F4A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F4A4E"/>
    <w:rPr>
      <w:b/>
      <w:bCs/>
    </w:rPr>
  </w:style>
  <w:style w:type="character" w:customStyle="1" w:styleId="CommentSubjectChar">
    <w:name w:val="Comment Subject Char"/>
    <w:link w:val="CommentSubject"/>
    <w:uiPriority w:val="99"/>
    <w:semiHidden/>
    <w:rsid w:val="000F4A4E"/>
    <w:rPr>
      <w:rFonts w:ascii="Times New Roman" w:eastAsia="Times New Roman" w:hAnsi="Times New Roman" w:cs="Times New Roman"/>
      <w:b/>
      <w:bCs/>
      <w:sz w:val="20"/>
      <w:szCs w:val="20"/>
    </w:rPr>
  </w:style>
  <w:style w:type="character" w:styleId="LineNumber">
    <w:name w:val="line number"/>
    <w:basedOn w:val="DefaultParagraphFont"/>
    <w:uiPriority w:val="99"/>
    <w:semiHidden/>
    <w:unhideWhenUsed/>
    <w:rsid w:val="000F4A4E"/>
  </w:style>
  <w:style w:type="paragraph" w:styleId="FootnoteText">
    <w:name w:val="footnote text"/>
    <w:basedOn w:val="Normal"/>
    <w:link w:val="FootnoteTextChar"/>
    <w:uiPriority w:val="99"/>
    <w:semiHidden/>
    <w:unhideWhenUsed/>
    <w:rsid w:val="009975D2"/>
    <w:pPr>
      <w:spacing w:after="0" w:line="240" w:lineRule="auto"/>
    </w:pPr>
    <w:rPr>
      <w:sz w:val="20"/>
      <w:lang w:val="x-none" w:eastAsia="x-none"/>
    </w:rPr>
  </w:style>
  <w:style w:type="character" w:customStyle="1" w:styleId="FootnoteTextChar">
    <w:name w:val="Footnote Text Char"/>
    <w:link w:val="FootnoteText"/>
    <w:uiPriority w:val="99"/>
    <w:semiHidden/>
    <w:rsid w:val="009975D2"/>
    <w:rPr>
      <w:rFonts w:ascii="Times New Roman" w:eastAsia="Times New Roman" w:hAnsi="Times New Roman" w:cs="Times New Roman"/>
      <w:sz w:val="20"/>
      <w:szCs w:val="20"/>
    </w:rPr>
  </w:style>
  <w:style w:type="character" w:styleId="FootnoteReference">
    <w:name w:val="footnote reference"/>
    <w:uiPriority w:val="99"/>
    <w:semiHidden/>
    <w:unhideWhenUsed/>
    <w:rsid w:val="009975D2"/>
    <w:rPr>
      <w:vertAlign w:val="superscript"/>
    </w:rPr>
  </w:style>
  <w:style w:type="table" w:customStyle="1" w:styleId="LightList1">
    <w:name w:val="Light List1"/>
    <w:basedOn w:val="TableNormal"/>
    <w:uiPriority w:val="61"/>
    <w:rsid w:val="003E53F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Grid">
    <w:name w:val="Table Grid"/>
    <w:basedOn w:val="TableNormal"/>
    <w:uiPriority w:val="59"/>
    <w:rsid w:val="009E0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5A0C4F"/>
    <w:rPr>
      <w:rFonts w:ascii="Times New Roman" w:eastAsia="Times New Roman" w:hAnsi="Times New Roman"/>
      <w:sz w:val="24"/>
    </w:rPr>
  </w:style>
  <w:style w:type="paragraph" w:customStyle="1" w:styleId="Default">
    <w:name w:val="Default"/>
    <w:rsid w:val="00A37997"/>
    <w:pPr>
      <w:autoSpaceDE w:val="0"/>
      <w:autoSpaceDN w:val="0"/>
      <w:adjustRightInd w:val="0"/>
    </w:pPr>
    <w:rPr>
      <w:rFonts w:ascii="Times New Roman" w:hAnsi="Times New Roman"/>
      <w:color w:val="000000"/>
      <w:sz w:val="24"/>
      <w:szCs w:val="24"/>
    </w:rPr>
  </w:style>
  <w:style w:type="table" w:styleId="LightList">
    <w:name w:val="Light List"/>
    <w:basedOn w:val="TableNormal"/>
    <w:uiPriority w:val="61"/>
    <w:rsid w:val="00327A8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2">
    <w:name w:val="toc 2"/>
    <w:basedOn w:val="Normal"/>
    <w:next w:val="Normal"/>
    <w:autoRedefine/>
    <w:uiPriority w:val="39"/>
    <w:unhideWhenUsed/>
    <w:rsid w:val="00A810DA"/>
    <w:pPr>
      <w:ind w:left="240"/>
    </w:pPr>
  </w:style>
  <w:style w:type="paragraph" w:styleId="TOC3">
    <w:name w:val="toc 3"/>
    <w:basedOn w:val="Normal"/>
    <w:next w:val="Normal"/>
    <w:autoRedefine/>
    <w:uiPriority w:val="39"/>
    <w:unhideWhenUsed/>
    <w:rsid w:val="00A810DA"/>
    <w:pPr>
      <w:ind w:left="480"/>
    </w:pPr>
  </w:style>
  <w:style w:type="paragraph" w:styleId="TOC4">
    <w:name w:val="toc 4"/>
    <w:basedOn w:val="Normal"/>
    <w:next w:val="Normal"/>
    <w:autoRedefine/>
    <w:uiPriority w:val="39"/>
    <w:unhideWhenUsed/>
    <w:rsid w:val="00A810DA"/>
  </w:style>
  <w:style w:type="paragraph" w:styleId="TOC5">
    <w:name w:val="toc 5"/>
    <w:basedOn w:val="Normal"/>
    <w:next w:val="Normal"/>
    <w:autoRedefine/>
    <w:uiPriority w:val="39"/>
    <w:unhideWhenUsed/>
    <w:rsid w:val="00A810DA"/>
    <w:pPr>
      <w:ind w:left="960"/>
    </w:pPr>
  </w:style>
  <w:style w:type="paragraph" w:styleId="TOC6">
    <w:name w:val="toc 6"/>
    <w:basedOn w:val="Normal"/>
    <w:next w:val="Normal"/>
    <w:autoRedefine/>
    <w:uiPriority w:val="39"/>
    <w:unhideWhenUsed/>
    <w:rsid w:val="00A810DA"/>
    <w:pPr>
      <w:ind w:left="1200"/>
    </w:pPr>
  </w:style>
  <w:style w:type="paragraph" w:styleId="TOC7">
    <w:name w:val="toc 7"/>
    <w:basedOn w:val="Normal"/>
    <w:next w:val="Normal"/>
    <w:autoRedefine/>
    <w:uiPriority w:val="39"/>
    <w:unhideWhenUsed/>
    <w:rsid w:val="00A810DA"/>
    <w:pPr>
      <w:ind w:left="1440"/>
    </w:pPr>
  </w:style>
  <w:style w:type="paragraph" w:styleId="TOC8">
    <w:name w:val="toc 8"/>
    <w:basedOn w:val="Normal"/>
    <w:next w:val="Normal"/>
    <w:autoRedefine/>
    <w:uiPriority w:val="39"/>
    <w:unhideWhenUsed/>
    <w:rsid w:val="00A810DA"/>
    <w:pPr>
      <w:ind w:left="1680"/>
    </w:pPr>
  </w:style>
  <w:style w:type="paragraph" w:styleId="TOC9">
    <w:name w:val="toc 9"/>
    <w:basedOn w:val="Normal"/>
    <w:next w:val="Normal"/>
    <w:autoRedefine/>
    <w:uiPriority w:val="39"/>
    <w:unhideWhenUsed/>
    <w:rsid w:val="00A810DA"/>
    <w:pPr>
      <w:ind w:left="1920"/>
    </w:pPr>
  </w:style>
  <w:style w:type="paragraph" w:styleId="ListParagraph">
    <w:name w:val="List Paragraph"/>
    <w:basedOn w:val="Normal"/>
    <w:uiPriority w:val="34"/>
    <w:qFormat/>
    <w:rsid w:val="00103080"/>
    <w:pPr>
      <w:spacing w:after="0" w:line="240" w:lineRule="auto"/>
      <w:ind w:firstLine="0"/>
    </w:pPr>
    <w:rPr>
      <w:rFonts w:ascii="Calibri" w:eastAsia="Calibri" w:hAnsi="Calibri"/>
      <w:sz w:val="22"/>
      <w:szCs w:val="22"/>
    </w:rPr>
  </w:style>
  <w:style w:type="paragraph" w:styleId="BodyText">
    <w:name w:val="Body Text"/>
    <w:basedOn w:val="Normal"/>
    <w:link w:val="BodyTextChar"/>
    <w:uiPriority w:val="99"/>
    <w:semiHidden/>
    <w:unhideWhenUsed/>
    <w:rsid w:val="00A17044"/>
    <w:pPr>
      <w:spacing w:after="120"/>
    </w:pPr>
  </w:style>
  <w:style w:type="character" w:customStyle="1" w:styleId="BodyTextChar">
    <w:name w:val="Body Text Char"/>
    <w:basedOn w:val="DefaultParagraphFont"/>
    <w:link w:val="BodyText"/>
    <w:uiPriority w:val="99"/>
    <w:semiHidden/>
    <w:rsid w:val="00A17044"/>
    <w:rPr>
      <w:rFonts w:ascii="Times New Roman" w:eastAsia="Times New Roman" w:hAnsi="Times New Roman"/>
      <w:sz w:val="24"/>
    </w:rPr>
  </w:style>
  <w:style w:type="character" w:customStyle="1" w:styleId="Heading4Char">
    <w:name w:val="Heading 4 Char"/>
    <w:basedOn w:val="DefaultParagraphFont"/>
    <w:link w:val="Heading4"/>
    <w:uiPriority w:val="9"/>
    <w:rsid w:val="00FF182C"/>
    <w:rPr>
      <w:rFonts w:ascii="Times New Roman" w:eastAsia="Times New Roman" w:hAnsi="Times New Roman"/>
      <w:b/>
      <w:bCs/>
      <w:sz w:val="24"/>
      <w:szCs w:val="24"/>
    </w:rPr>
  </w:style>
  <w:style w:type="paragraph" w:styleId="Revision">
    <w:name w:val="Revision"/>
    <w:hidden/>
    <w:uiPriority w:val="99"/>
    <w:semiHidden/>
    <w:rsid w:val="002D1345"/>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507551">
      <w:bodyDiv w:val="1"/>
      <w:marLeft w:val="0"/>
      <w:marRight w:val="0"/>
      <w:marTop w:val="0"/>
      <w:marBottom w:val="0"/>
      <w:divBdr>
        <w:top w:val="none" w:sz="0" w:space="0" w:color="auto"/>
        <w:left w:val="none" w:sz="0" w:space="0" w:color="auto"/>
        <w:bottom w:val="none" w:sz="0" w:space="0" w:color="auto"/>
        <w:right w:val="none" w:sz="0" w:space="0" w:color="auto"/>
      </w:divBdr>
    </w:div>
    <w:div w:id="419180588">
      <w:bodyDiv w:val="1"/>
      <w:marLeft w:val="0"/>
      <w:marRight w:val="0"/>
      <w:marTop w:val="0"/>
      <w:marBottom w:val="0"/>
      <w:divBdr>
        <w:top w:val="none" w:sz="0" w:space="0" w:color="auto"/>
        <w:left w:val="none" w:sz="0" w:space="0" w:color="auto"/>
        <w:bottom w:val="none" w:sz="0" w:space="0" w:color="auto"/>
        <w:right w:val="none" w:sz="0" w:space="0" w:color="auto"/>
      </w:divBdr>
    </w:div>
    <w:div w:id="756826836">
      <w:bodyDiv w:val="1"/>
      <w:marLeft w:val="0"/>
      <w:marRight w:val="0"/>
      <w:marTop w:val="0"/>
      <w:marBottom w:val="0"/>
      <w:divBdr>
        <w:top w:val="none" w:sz="0" w:space="0" w:color="auto"/>
        <w:left w:val="none" w:sz="0" w:space="0" w:color="auto"/>
        <w:bottom w:val="none" w:sz="0" w:space="0" w:color="auto"/>
        <w:right w:val="none" w:sz="0" w:space="0" w:color="auto"/>
      </w:divBdr>
    </w:div>
    <w:div w:id="1002929158">
      <w:bodyDiv w:val="1"/>
      <w:marLeft w:val="0"/>
      <w:marRight w:val="0"/>
      <w:marTop w:val="0"/>
      <w:marBottom w:val="0"/>
      <w:divBdr>
        <w:top w:val="none" w:sz="0" w:space="0" w:color="auto"/>
        <w:left w:val="none" w:sz="0" w:space="0" w:color="auto"/>
        <w:bottom w:val="none" w:sz="0" w:space="0" w:color="auto"/>
        <w:right w:val="none" w:sz="0" w:space="0" w:color="auto"/>
      </w:divBdr>
      <w:divsChild>
        <w:div w:id="2097632697">
          <w:marLeft w:val="0"/>
          <w:marRight w:val="0"/>
          <w:marTop w:val="0"/>
          <w:marBottom w:val="0"/>
          <w:divBdr>
            <w:top w:val="none" w:sz="0" w:space="0" w:color="auto"/>
            <w:left w:val="none" w:sz="0" w:space="0" w:color="auto"/>
            <w:bottom w:val="none" w:sz="0" w:space="0" w:color="auto"/>
            <w:right w:val="none" w:sz="0" w:space="0" w:color="auto"/>
          </w:divBdr>
        </w:div>
        <w:div w:id="960258263">
          <w:marLeft w:val="0"/>
          <w:marRight w:val="0"/>
          <w:marTop w:val="0"/>
          <w:marBottom w:val="0"/>
          <w:divBdr>
            <w:top w:val="none" w:sz="0" w:space="0" w:color="auto"/>
            <w:left w:val="none" w:sz="0" w:space="0" w:color="auto"/>
            <w:bottom w:val="none" w:sz="0" w:space="0" w:color="auto"/>
            <w:right w:val="none" w:sz="0" w:space="0" w:color="auto"/>
          </w:divBdr>
        </w:div>
        <w:div w:id="983848986">
          <w:marLeft w:val="0"/>
          <w:marRight w:val="0"/>
          <w:marTop w:val="0"/>
          <w:marBottom w:val="0"/>
          <w:divBdr>
            <w:top w:val="none" w:sz="0" w:space="0" w:color="auto"/>
            <w:left w:val="none" w:sz="0" w:space="0" w:color="auto"/>
            <w:bottom w:val="none" w:sz="0" w:space="0" w:color="auto"/>
            <w:right w:val="none" w:sz="0" w:space="0" w:color="auto"/>
          </w:divBdr>
        </w:div>
        <w:div w:id="1892690315">
          <w:marLeft w:val="0"/>
          <w:marRight w:val="0"/>
          <w:marTop w:val="0"/>
          <w:marBottom w:val="0"/>
          <w:divBdr>
            <w:top w:val="none" w:sz="0" w:space="0" w:color="auto"/>
            <w:left w:val="none" w:sz="0" w:space="0" w:color="auto"/>
            <w:bottom w:val="none" w:sz="0" w:space="0" w:color="auto"/>
            <w:right w:val="none" w:sz="0" w:space="0" w:color="auto"/>
          </w:divBdr>
        </w:div>
      </w:divsChild>
    </w:div>
    <w:div w:id="1082487600">
      <w:bodyDiv w:val="1"/>
      <w:marLeft w:val="0"/>
      <w:marRight w:val="0"/>
      <w:marTop w:val="0"/>
      <w:marBottom w:val="0"/>
      <w:divBdr>
        <w:top w:val="none" w:sz="0" w:space="0" w:color="auto"/>
        <w:left w:val="none" w:sz="0" w:space="0" w:color="auto"/>
        <w:bottom w:val="none" w:sz="0" w:space="0" w:color="auto"/>
        <w:right w:val="none" w:sz="0" w:space="0" w:color="auto"/>
      </w:divBdr>
    </w:div>
    <w:div w:id="1385374683">
      <w:bodyDiv w:val="1"/>
      <w:marLeft w:val="0"/>
      <w:marRight w:val="0"/>
      <w:marTop w:val="0"/>
      <w:marBottom w:val="0"/>
      <w:divBdr>
        <w:top w:val="none" w:sz="0" w:space="0" w:color="auto"/>
        <w:left w:val="none" w:sz="0" w:space="0" w:color="auto"/>
        <w:bottom w:val="none" w:sz="0" w:space="0" w:color="auto"/>
        <w:right w:val="none" w:sz="0" w:space="0" w:color="auto"/>
      </w:divBdr>
    </w:div>
    <w:div w:id="1394809540">
      <w:bodyDiv w:val="1"/>
      <w:marLeft w:val="0"/>
      <w:marRight w:val="0"/>
      <w:marTop w:val="0"/>
      <w:marBottom w:val="0"/>
      <w:divBdr>
        <w:top w:val="none" w:sz="0" w:space="0" w:color="auto"/>
        <w:left w:val="none" w:sz="0" w:space="0" w:color="auto"/>
        <w:bottom w:val="none" w:sz="0" w:space="0" w:color="auto"/>
        <w:right w:val="none" w:sz="0" w:space="0" w:color="auto"/>
      </w:divBdr>
    </w:div>
    <w:div w:id="1436635243">
      <w:bodyDiv w:val="1"/>
      <w:marLeft w:val="0"/>
      <w:marRight w:val="0"/>
      <w:marTop w:val="0"/>
      <w:marBottom w:val="0"/>
      <w:divBdr>
        <w:top w:val="none" w:sz="0" w:space="0" w:color="auto"/>
        <w:left w:val="none" w:sz="0" w:space="0" w:color="auto"/>
        <w:bottom w:val="none" w:sz="0" w:space="0" w:color="auto"/>
        <w:right w:val="none" w:sz="0" w:space="0" w:color="auto"/>
      </w:divBdr>
      <w:divsChild>
        <w:div w:id="1257590798">
          <w:marLeft w:val="0"/>
          <w:marRight w:val="0"/>
          <w:marTop w:val="0"/>
          <w:marBottom w:val="0"/>
          <w:divBdr>
            <w:top w:val="none" w:sz="0" w:space="0" w:color="auto"/>
            <w:left w:val="none" w:sz="0" w:space="0" w:color="auto"/>
            <w:bottom w:val="none" w:sz="0" w:space="0" w:color="auto"/>
            <w:right w:val="none" w:sz="0" w:space="0" w:color="auto"/>
          </w:divBdr>
        </w:div>
        <w:div w:id="1025792208">
          <w:marLeft w:val="0"/>
          <w:marRight w:val="0"/>
          <w:marTop w:val="0"/>
          <w:marBottom w:val="0"/>
          <w:divBdr>
            <w:top w:val="none" w:sz="0" w:space="0" w:color="auto"/>
            <w:left w:val="none" w:sz="0" w:space="0" w:color="auto"/>
            <w:bottom w:val="none" w:sz="0" w:space="0" w:color="auto"/>
            <w:right w:val="none" w:sz="0" w:space="0" w:color="auto"/>
          </w:divBdr>
        </w:div>
      </w:divsChild>
    </w:div>
    <w:div w:id="1534533723">
      <w:bodyDiv w:val="1"/>
      <w:marLeft w:val="0"/>
      <w:marRight w:val="0"/>
      <w:marTop w:val="0"/>
      <w:marBottom w:val="0"/>
      <w:divBdr>
        <w:top w:val="none" w:sz="0" w:space="0" w:color="auto"/>
        <w:left w:val="none" w:sz="0" w:space="0" w:color="auto"/>
        <w:bottom w:val="none" w:sz="0" w:space="0" w:color="auto"/>
        <w:right w:val="none" w:sz="0" w:space="0" w:color="auto"/>
      </w:divBdr>
    </w:div>
    <w:div w:id="1655986424">
      <w:bodyDiv w:val="1"/>
      <w:marLeft w:val="0"/>
      <w:marRight w:val="0"/>
      <w:marTop w:val="0"/>
      <w:marBottom w:val="0"/>
      <w:divBdr>
        <w:top w:val="none" w:sz="0" w:space="0" w:color="auto"/>
        <w:left w:val="none" w:sz="0" w:space="0" w:color="auto"/>
        <w:bottom w:val="none" w:sz="0" w:space="0" w:color="auto"/>
        <w:right w:val="none" w:sz="0" w:space="0" w:color="auto"/>
      </w:divBdr>
    </w:div>
    <w:div w:id="1696031486">
      <w:bodyDiv w:val="1"/>
      <w:marLeft w:val="0"/>
      <w:marRight w:val="0"/>
      <w:marTop w:val="0"/>
      <w:marBottom w:val="0"/>
      <w:divBdr>
        <w:top w:val="none" w:sz="0" w:space="0" w:color="auto"/>
        <w:left w:val="none" w:sz="0" w:space="0" w:color="auto"/>
        <w:bottom w:val="none" w:sz="0" w:space="0" w:color="auto"/>
        <w:right w:val="none" w:sz="0" w:space="0" w:color="auto"/>
      </w:divBdr>
    </w:div>
    <w:div w:id="1997486770">
      <w:bodyDiv w:val="1"/>
      <w:marLeft w:val="0"/>
      <w:marRight w:val="0"/>
      <w:marTop w:val="0"/>
      <w:marBottom w:val="0"/>
      <w:divBdr>
        <w:top w:val="none" w:sz="0" w:space="0" w:color="auto"/>
        <w:left w:val="none" w:sz="0" w:space="0" w:color="auto"/>
        <w:bottom w:val="none" w:sz="0" w:space="0" w:color="auto"/>
        <w:right w:val="none" w:sz="0" w:space="0" w:color="auto"/>
      </w:divBdr>
    </w:div>
    <w:div w:id="2020426688">
      <w:bodyDiv w:val="1"/>
      <w:marLeft w:val="0"/>
      <w:marRight w:val="0"/>
      <w:marTop w:val="0"/>
      <w:marBottom w:val="0"/>
      <w:divBdr>
        <w:top w:val="none" w:sz="0" w:space="0" w:color="auto"/>
        <w:left w:val="none" w:sz="0" w:space="0" w:color="auto"/>
        <w:bottom w:val="none" w:sz="0" w:space="0" w:color="auto"/>
        <w:right w:val="none" w:sz="0" w:space="0" w:color="auto"/>
      </w:divBdr>
    </w:div>
    <w:div w:id="2115856559">
      <w:bodyDiv w:val="1"/>
      <w:marLeft w:val="0"/>
      <w:marRight w:val="0"/>
      <w:marTop w:val="0"/>
      <w:marBottom w:val="0"/>
      <w:divBdr>
        <w:top w:val="none" w:sz="0" w:space="0" w:color="auto"/>
        <w:left w:val="none" w:sz="0" w:space="0" w:color="auto"/>
        <w:bottom w:val="none" w:sz="0" w:space="0" w:color="auto"/>
        <w:right w:val="none" w:sz="0" w:space="0" w:color="auto"/>
      </w:divBdr>
    </w:div>
    <w:div w:id="2128045014">
      <w:bodyDiv w:val="1"/>
      <w:marLeft w:val="0"/>
      <w:marRight w:val="0"/>
      <w:marTop w:val="0"/>
      <w:marBottom w:val="0"/>
      <w:divBdr>
        <w:top w:val="none" w:sz="0" w:space="0" w:color="auto"/>
        <w:left w:val="none" w:sz="0" w:space="0" w:color="auto"/>
        <w:bottom w:val="none" w:sz="0" w:space="0" w:color="auto"/>
        <w:right w:val="none" w:sz="0" w:space="0" w:color="auto"/>
      </w:divBdr>
      <w:divsChild>
        <w:div w:id="1314992895">
          <w:marLeft w:val="0"/>
          <w:marRight w:val="0"/>
          <w:marTop w:val="0"/>
          <w:marBottom w:val="0"/>
          <w:divBdr>
            <w:top w:val="none" w:sz="0" w:space="0" w:color="auto"/>
            <w:left w:val="none" w:sz="0" w:space="0" w:color="auto"/>
            <w:bottom w:val="none" w:sz="0" w:space="0" w:color="auto"/>
            <w:right w:val="none" w:sz="0" w:space="0" w:color="auto"/>
          </w:divBdr>
          <w:divsChild>
            <w:div w:id="1358117002">
              <w:marLeft w:val="0"/>
              <w:marRight w:val="0"/>
              <w:marTop w:val="0"/>
              <w:marBottom w:val="0"/>
              <w:divBdr>
                <w:top w:val="none" w:sz="0" w:space="0" w:color="auto"/>
                <w:left w:val="none" w:sz="0" w:space="0" w:color="auto"/>
                <w:bottom w:val="none" w:sz="0" w:space="0" w:color="auto"/>
                <w:right w:val="none" w:sz="0" w:space="0" w:color="auto"/>
              </w:divBdr>
              <w:divsChild>
                <w:div w:id="1766464296">
                  <w:marLeft w:val="0"/>
                  <w:marRight w:val="0"/>
                  <w:marTop w:val="0"/>
                  <w:marBottom w:val="0"/>
                  <w:divBdr>
                    <w:top w:val="none" w:sz="0" w:space="0" w:color="auto"/>
                    <w:left w:val="none" w:sz="0" w:space="0" w:color="auto"/>
                    <w:bottom w:val="none" w:sz="0" w:space="0" w:color="auto"/>
                    <w:right w:val="none" w:sz="0" w:space="0" w:color="auto"/>
                  </w:divBdr>
                </w:div>
              </w:divsChild>
            </w:div>
            <w:div w:id="257567839">
              <w:marLeft w:val="0"/>
              <w:marRight w:val="0"/>
              <w:marTop w:val="0"/>
              <w:marBottom w:val="0"/>
              <w:divBdr>
                <w:top w:val="none" w:sz="0" w:space="0" w:color="auto"/>
                <w:left w:val="none" w:sz="0" w:space="0" w:color="auto"/>
                <w:bottom w:val="none" w:sz="0" w:space="0" w:color="auto"/>
                <w:right w:val="none" w:sz="0" w:space="0" w:color="auto"/>
              </w:divBdr>
              <w:divsChild>
                <w:div w:id="34783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utilitydive.com/news/xcel-solicitation-returns-incredible-renewable-energy-storage-bids/5142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6FC72-CC10-49D8-881F-F6912FE25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8550</Words>
  <Characters>48736</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2019-04-25T04:19:00Z</dcterms:created>
  <dcterms:modified xsi:type="dcterms:W3CDTF">2019-04-25T04:53:00Z</dcterms:modified>
</cp:coreProperties>
</file>